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3CAE">
      <w:pPr>
        <w:spacing w:before="165" w:beforeLines="50"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lang w:val="en-US" w:eastAsia="zh-CN"/>
        </w:rPr>
        <w:t>防城港市上思县</w:t>
      </w:r>
      <w:r>
        <w:rPr>
          <w:rFonts w:hint="eastAsia" w:ascii="宋体" w:hAnsi="宋体" w:cs="宋体"/>
          <w:color w:val="auto"/>
          <w:sz w:val="52"/>
          <w:szCs w:val="52"/>
          <w:highlight w:val="none"/>
        </w:rPr>
        <w:t>政府采购</w:t>
      </w:r>
    </w:p>
    <w:p w14:paraId="17CBF4FC">
      <w:pPr>
        <w:spacing w:before="165" w:beforeLines="50" w:line="360" w:lineRule="auto"/>
        <w:jc w:val="center"/>
        <w:rPr>
          <w:rFonts w:ascii="宋体" w:hAnsi="宋体" w:cs="宋体"/>
          <w:color w:val="auto"/>
          <w:sz w:val="36"/>
          <w:szCs w:val="36"/>
          <w:highlight w:val="none"/>
        </w:rPr>
      </w:pPr>
    </w:p>
    <w:p w14:paraId="42B44E4A">
      <w:pPr>
        <w:snapToGrid w:val="0"/>
        <w:spacing w:before="165" w:beforeLines="50" w:line="360" w:lineRule="auto"/>
        <w:jc w:val="center"/>
        <w:rPr>
          <w:rFonts w:ascii="宋体" w:hAnsi="宋体" w:cs="宋体"/>
          <w:color w:val="auto"/>
          <w:sz w:val="44"/>
          <w:szCs w:val="44"/>
          <w:highlight w:val="none"/>
        </w:rPr>
      </w:pPr>
      <w:r>
        <w:rPr>
          <w:rFonts w:hint="eastAsia" w:ascii="宋体" w:hAnsi="宋体" w:cs="宋体"/>
          <w:color w:val="auto"/>
          <w:sz w:val="72"/>
          <w:szCs w:val="72"/>
          <w:highlight w:val="none"/>
        </w:rPr>
        <w:t>竞争性磋商文件</w:t>
      </w:r>
    </w:p>
    <w:p w14:paraId="76F70EBB">
      <w:pPr>
        <w:spacing w:before="331" w:beforeLines="10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（全流程电子化评标）</w:t>
      </w:r>
    </w:p>
    <w:p w14:paraId="00ACE4CA">
      <w:pPr>
        <w:spacing w:line="360" w:lineRule="auto"/>
        <w:rPr>
          <w:rFonts w:ascii="宋体" w:hAnsi="宋体" w:cs="宋体"/>
          <w:b/>
          <w:color w:val="auto"/>
          <w:sz w:val="32"/>
          <w:szCs w:val="32"/>
          <w:highlight w:val="none"/>
        </w:rPr>
      </w:pPr>
    </w:p>
    <w:p w14:paraId="3FEC3126">
      <w:pPr>
        <w:spacing w:line="360" w:lineRule="auto"/>
        <w:jc w:val="center"/>
        <w:rPr>
          <w:rFonts w:ascii="宋体" w:hAnsi="宋体" w:cs="宋体"/>
          <w:b/>
          <w:color w:val="auto"/>
          <w:sz w:val="32"/>
          <w:szCs w:val="32"/>
          <w:highlight w:val="none"/>
        </w:rPr>
      </w:pPr>
    </w:p>
    <w:p w14:paraId="4C027CE0">
      <w:pPr>
        <w:pStyle w:val="15"/>
        <w:snapToGrid w:val="0"/>
        <w:spacing w:before="50" w:after="120" w:line="360" w:lineRule="auto"/>
        <w:ind w:left="3295" w:leftChars="852" w:hanging="1506" w:hangingChars="500"/>
        <w:rPr>
          <w:rFonts w:hint="eastAsia" w:hAnsi="宋体" w:cs="宋体"/>
          <w:b/>
          <w:bCs/>
          <w:color w:val="auto"/>
          <w:sz w:val="30"/>
          <w:szCs w:val="30"/>
          <w:highlight w:val="none"/>
          <w:lang w:eastAsia="zh-CN"/>
        </w:rPr>
      </w:pPr>
      <w:r>
        <w:rPr>
          <w:rFonts w:hint="eastAsia" w:hAnsi="宋体" w:cs="宋体"/>
          <w:b/>
          <w:bCs/>
          <w:color w:val="auto"/>
          <w:sz w:val="30"/>
          <w:szCs w:val="30"/>
          <w:highlight w:val="none"/>
        </w:rPr>
        <w:t>项目名称：</w:t>
      </w:r>
      <w:r>
        <w:rPr>
          <w:rFonts w:hint="eastAsia" w:hAnsi="宋体" w:cs="宋体"/>
          <w:b/>
          <w:bCs/>
          <w:color w:val="auto"/>
          <w:sz w:val="30"/>
          <w:szCs w:val="30"/>
          <w:highlight w:val="none"/>
          <w:lang w:eastAsia="zh-CN"/>
        </w:rPr>
        <w:t>2026年上思县昌墩、昌菱产业道路项目</w:t>
      </w:r>
    </w:p>
    <w:p w14:paraId="575086AF">
      <w:pPr>
        <w:pStyle w:val="15"/>
        <w:snapToGrid w:val="0"/>
        <w:spacing w:before="50" w:after="120" w:line="360" w:lineRule="auto"/>
        <w:ind w:firstLine="1783" w:firstLineChars="592"/>
        <w:outlineLvl w:val="0"/>
        <w:rPr>
          <w:rFonts w:hint="eastAsia" w:hAnsi="宋体" w:eastAsia="宋体" w:cs="宋体"/>
          <w:b/>
          <w:bCs/>
          <w:color w:val="auto"/>
          <w:sz w:val="30"/>
          <w:szCs w:val="30"/>
          <w:highlight w:val="none"/>
          <w:lang w:eastAsia="zh-CN"/>
        </w:rPr>
      </w:pPr>
      <w:bookmarkStart w:id="0" w:name="_Toc681"/>
      <w:bookmarkStart w:id="1" w:name="_Toc7308"/>
      <w:r>
        <w:rPr>
          <w:rFonts w:hint="eastAsia" w:hAnsi="宋体" w:cs="宋体"/>
          <w:b/>
          <w:bCs/>
          <w:color w:val="auto"/>
          <w:sz w:val="30"/>
          <w:szCs w:val="30"/>
          <w:highlight w:val="none"/>
        </w:rPr>
        <w:t>项目编号：</w:t>
      </w:r>
      <w:bookmarkEnd w:id="0"/>
      <w:bookmarkEnd w:id="1"/>
      <w:r>
        <w:rPr>
          <w:rFonts w:hint="eastAsia" w:hAnsi="宋体" w:cs="宋体"/>
          <w:b/>
          <w:bCs/>
          <w:color w:val="auto"/>
          <w:sz w:val="30"/>
          <w:szCs w:val="30"/>
          <w:highlight w:val="none"/>
        </w:rPr>
        <w:fldChar w:fldCharType="begin"/>
      </w:r>
      <w:r>
        <w:rPr>
          <w:rFonts w:hint="eastAsia" w:hAnsi="宋体" w:cs="宋体"/>
          <w:b/>
          <w:bCs/>
          <w:color w:val="auto"/>
          <w:sz w:val="30"/>
          <w:szCs w:val="30"/>
          <w:highlight w:val="none"/>
        </w:rPr>
        <w:instrText xml:space="preserve"> HYPERLINK "https://www.gcy.zfcg.gxzf.gov.cn/gaea/api/project/flow/redirect?projectId=7228424328079736838&amp;newUrl=https://www.gcy.zfcg.gxzf.gov.cn/micro-app-back-index/blank?_flow_type_=agency&amp;_flow_projectId_=7228424328079736838&amp;_jump_page_type_=project_procurement_management_flow&amp;_app_=zcy.procurement&amp;oldUrl=https://www.gcy.zfcg.gxzf.gov.cn/project-center/_procurement_/project-result-detail/7228424328079736838" \t "https://www.gcy.zfcg.gxzf.gov.cn/project-center/_procurement_/self-project/_blank" </w:instrText>
      </w:r>
      <w:r>
        <w:rPr>
          <w:rFonts w:hint="eastAsia" w:hAnsi="宋体" w:cs="宋体"/>
          <w:b/>
          <w:bCs/>
          <w:color w:val="auto"/>
          <w:sz w:val="30"/>
          <w:szCs w:val="30"/>
          <w:highlight w:val="none"/>
        </w:rPr>
        <w:fldChar w:fldCharType="separate"/>
      </w:r>
      <w:r>
        <w:rPr>
          <w:rFonts w:hint="eastAsia" w:hAnsi="宋体" w:cs="宋体"/>
          <w:b/>
          <w:bCs/>
          <w:color w:val="auto"/>
          <w:sz w:val="30"/>
          <w:szCs w:val="30"/>
          <w:highlight w:val="none"/>
          <w:lang w:eastAsia="zh-CN"/>
        </w:rPr>
        <w:t>FCZC2026-C2-210055-GXZZ</w:t>
      </w:r>
      <w:r>
        <w:rPr>
          <w:rFonts w:hint="eastAsia" w:hAnsi="宋体" w:cs="宋体"/>
          <w:b/>
          <w:bCs/>
          <w:color w:val="auto"/>
          <w:sz w:val="30"/>
          <w:szCs w:val="30"/>
          <w:highlight w:val="none"/>
        </w:rPr>
        <w:fldChar w:fldCharType="end"/>
      </w:r>
    </w:p>
    <w:p w14:paraId="5439C2E3">
      <w:pPr>
        <w:pStyle w:val="15"/>
        <w:snapToGrid w:val="0"/>
        <w:spacing w:before="50" w:after="120" w:line="360" w:lineRule="auto"/>
        <w:ind w:firstLine="1783" w:firstLineChars="592"/>
        <w:outlineLvl w:val="0"/>
        <w:rPr>
          <w:rFonts w:hint="eastAsia" w:hAnsi="宋体" w:eastAsia="宋体" w:cs="宋体"/>
          <w:b/>
          <w:bCs/>
          <w:color w:val="auto"/>
          <w:sz w:val="30"/>
          <w:szCs w:val="30"/>
          <w:highlight w:val="none"/>
          <w:lang w:eastAsia="zh-CN"/>
        </w:rPr>
      </w:pPr>
      <w:bookmarkStart w:id="2" w:name="_Toc23882"/>
      <w:bookmarkStart w:id="3" w:name="_Toc31224"/>
      <w:r>
        <w:rPr>
          <w:rFonts w:hint="eastAsia" w:hAnsi="宋体" w:cs="宋体"/>
          <w:b/>
          <w:bCs/>
          <w:color w:val="auto"/>
          <w:sz w:val="30"/>
          <w:szCs w:val="30"/>
          <w:highlight w:val="none"/>
        </w:rPr>
        <w:t>采购文号：</w:t>
      </w:r>
      <w:bookmarkEnd w:id="2"/>
      <w:bookmarkEnd w:id="3"/>
      <w:r>
        <w:rPr>
          <w:rFonts w:hint="eastAsia" w:hAnsi="宋体" w:cs="宋体"/>
          <w:b/>
          <w:bCs/>
          <w:color w:val="auto"/>
          <w:sz w:val="30"/>
          <w:szCs w:val="30"/>
          <w:highlight w:val="none"/>
        </w:rPr>
        <w:t>SSZC2026-C2-00797</w:t>
      </w:r>
    </w:p>
    <w:p w14:paraId="689DF322">
      <w:pPr>
        <w:pStyle w:val="15"/>
        <w:snapToGrid w:val="0"/>
        <w:spacing w:before="50" w:after="120" w:line="360" w:lineRule="auto"/>
        <w:ind w:firstLine="1783" w:firstLineChars="592"/>
        <w:rPr>
          <w:rFonts w:hAnsi="宋体" w:cs="宋体"/>
          <w:b/>
          <w:bCs/>
          <w:color w:val="auto"/>
          <w:sz w:val="30"/>
          <w:szCs w:val="30"/>
          <w:highlight w:val="none"/>
        </w:rPr>
      </w:pPr>
      <w:r>
        <w:rPr>
          <w:rFonts w:hint="eastAsia" w:hAnsi="宋体" w:cs="宋体"/>
          <w:b/>
          <w:bCs/>
          <w:color w:val="auto"/>
          <w:sz w:val="30"/>
          <w:szCs w:val="30"/>
          <w:highlight w:val="none"/>
        </w:rPr>
        <w:t>项目所属区划：</w:t>
      </w:r>
      <w:r>
        <w:rPr>
          <w:rFonts w:hint="eastAsia" w:hAnsi="宋体" w:cs="宋体"/>
          <w:b/>
          <w:bCs/>
          <w:color w:val="auto"/>
          <w:sz w:val="30"/>
          <w:szCs w:val="30"/>
          <w:highlight w:val="none"/>
          <w:lang w:val="en-US" w:eastAsia="zh-CN"/>
        </w:rPr>
        <w:t>防城港市上思县</w:t>
      </w:r>
      <w:r>
        <w:rPr>
          <w:rFonts w:hint="eastAsia" w:hAnsi="宋体" w:cs="宋体"/>
          <w:b/>
          <w:bCs/>
          <w:color w:val="auto"/>
          <w:sz w:val="30"/>
          <w:szCs w:val="30"/>
          <w:highlight w:val="none"/>
        </w:rPr>
        <w:t xml:space="preserve">   </w:t>
      </w:r>
    </w:p>
    <w:p w14:paraId="509F531A">
      <w:pPr>
        <w:pStyle w:val="15"/>
        <w:snapToGrid w:val="0"/>
        <w:spacing w:before="50" w:after="120" w:line="360" w:lineRule="auto"/>
        <w:ind w:left="3310" w:leftChars="852" w:hanging="1521" w:hangingChars="505"/>
        <w:outlineLvl w:val="0"/>
        <w:rPr>
          <w:rFonts w:hint="eastAsia" w:hAnsi="宋体" w:eastAsia="宋体" w:cs="宋体"/>
          <w:b/>
          <w:bCs/>
          <w:color w:val="auto"/>
          <w:sz w:val="30"/>
          <w:szCs w:val="30"/>
          <w:highlight w:val="none"/>
          <w:lang w:eastAsia="zh-CN"/>
        </w:rPr>
      </w:pPr>
      <w:bookmarkStart w:id="4" w:name="_Toc26813"/>
      <w:bookmarkStart w:id="5" w:name="_Toc19676"/>
      <w:r>
        <w:rPr>
          <w:rFonts w:hint="eastAsia" w:hAnsi="宋体" w:cs="宋体"/>
          <w:b/>
          <w:bCs/>
          <w:color w:val="auto"/>
          <w:sz w:val="30"/>
          <w:szCs w:val="30"/>
          <w:highlight w:val="none"/>
        </w:rPr>
        <w:t>采 购 人：</w:t>
      </w:r>
      <w:bookmarkEnd w:id="4"/>
      <w:bookmarkEnd w:id="5"/>
      <w:bookmarkStart w:id="6" w:name="_Toc6082"/>
      <w:r>
        <w:rPr>
          <w:rFonts w:hint="eastAsia" w:hAnsi="宋体" w:cs="宋体"/>
          <w:b/>
          <w:bCs/>
          <w:color w:val="auto"/>
          <w:sz w:val="30"/>
          <w:szCs w:val="30"/>
          <w:highlight w:val="none"/>
          <w:lang w:eastAsia="zh-CN"/>
        </w:rPr>
        <w:t>上思县农业农村局</w:t>
      </w:r>
    </w:p>
    <w:p w14:paraId="2C3FB451">
      <w:pPr>
        <w:pStyle w:val="15"/>
        <w:snapToGrid w:val="0"/>
        <w:spacing w:before="50" w:after="120" w:line="360" w:lineRule="auto"/>
        <w:ind w:firstLine="1783" w:firstLineChars="592"/>
        <w:outlineLvl w:val="0"/>
        <w:rPr>
          <w:rFonts w:hint="eastAsia" w:hAnsi="宋体" w:eastAsia="宋体" w:cs="宋体"/>
          <w:b/>
          <w:bCs/>
          <w:color w:val="auto"/>
          <w:w w:val="95"/>
          <w:sz w:val="30"/>
          <w:szCs w:val="30"/>
          <w:highlight w:val="none"/>
          <w:lang w:eastAsia="zh-CN"/>
        </w:rPr>
      </w:pPr>
      <w:bookmarkStart w:id="7" w:name="_Toc5106"/>
      <w:r>
        <w:rPr>
          <w:rFonts w:hint="eastAsia" w:hAnsi="宋体" w:cs="宋体"/>
          <w:b/>
          <w:bCs/>
          <w:color w:val="auto"/>
          <w:sz w:val="30"/>
          <w:szCs w:val="30"/>
          <w:highlight w:val="none"/>
        </w:rPr>
        <w:t>采购代理机构：</w:t>
      </w:r>
      <w:bookmarkEnd w:id="6"/>
      <w:bookmarkEnd w:id="7"/>
      <w:r>
        <w:rPr>
          <w:rFonts w:hint="eastAsia" w:hAnsi="宋体" w:cs="宋体"/>
          <w:b/>
          <w:bCs/>
          <w:color w:val="auto"/>
          <w:sz w:val="30"/>
          <w:szCs w:val="30"/>
          <w:highlight w:val="none"/>
          <w:lang w:eastAsia="zh-CN"/>
        </w:rPr>
        <w:t>广西中泽诚信工程项目管理有限公司</w:t>
      </w:r>
    </w:p>
    <w:p w14:paraId="768277FC">
      <w:pPr>
        <w:pStyle w:val="15"/>
        <w:snapToGrid w:val="0"/>
        <w:spacing w:before="50" w:after="120" w:line="360" w:lineRule="auto"/>
        <w:jc w:val="center"/>
        <w:rPr>
          <w:rFonts w:hAnsi="宋体" w:cs="宋体"/>
          <w:b/>
          <w:bCs/>
          <w:color w:val="auto"/>
          <w:w w:val="95"/>
          <w:sz w:val="30"/>
          <w:szCs w:val="30"/>
          <w:highlight w:val="none"/>
        </w:rPr>
      </w:pPr>
      <w:r>
        <w:rPr>
          <w:rFonts w:hint="eastAsia" w:hAnsi="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8</w:t>
      </w:r>
      <w:r>
        <w:rPr>
          <w:rFonts w:hint="eastAsia" w:hAnsi="宋体" w:cs="宋体"/>
          <w:b/>
          <w:bCs/>
          <w:color w:val="auto"/>
          <w:w w:val="95"/>
          <w:sz w:val="30"/>
          <w:szCs w:val="30"/>
          <w:highlight w:val="none"/>
        </w:rPr>
        <w:t>月</w:t>
      </w:r>
      <w:r>
        <w:rPr>
          <w:rFonts w:hint="eastAsia" w:hAnsi="宋体" w:cs="宋体"/>
          <w:b/>
          <w:bCs/>
          <w:color w:val="auto"/>
          <w:w w:val="95"/>
          <w:sz w:val="30"/>
          <w:szCs w:val="30"/>
          <w:highlight w:val="none"/>
          <w:lang w:val="en-US" w:eastAsia="zh-CN"/>
        </w:rPr>
        <w:t>10</w:t>
      </w:r>
      <w:r>
        <w:rPr>
          <w:rFonts w:hint="eastAsia" w:hAnsi="宋体" w:cs="宋体"/>
          <w:b/>
          <w:bCs/>
          <w:color w:val="auto"/>
          <w:w w:val="95"/>
          <w:sz w:val="30"/>
          <w:szCs w:val="30"/>
          <w:highlight w:val="none"/>
        </w:rPr>
        <w:t>日</w:t>
      </w:r>
    </w:p>
    <w:p w14:paraId="6BB46A5A">
      <w:pPr>
        <w:widowControl/>
        <w:spacing w:line="360" w:lineRule="auto"/>
        <w:jc w:val="left"/>
        <w:rPr>
          <w:rFonts w:ascii="宋体" w:hAnsi="宋体" w:cs="宋体"/>
          <w:b/>
          <w:bCs/>
          <w:color w:val="auto"/>
          <w:w w:val="95"/>
          <w:kern w:val="0"/>
          <w:sz w:val="30"/>
          <w:szCs w:val="30"/>
          <w:highlight w:val="none"/>
        </w:rPr>
        <w:sectPr>
          <w:headerReference r:id="rId4" w:type="default"/>
          <w:pgSz w:w="11906" w:h="16838"/>
          <w:pgMar w:top="1134" w:right="1134" w:bottom="1134" w:left="1134" w:header="720" w:footer="720" w:gutter="0"/>
          <w:pgNumType w:start="1"/>
          <w:cols w:space="720" w:num="1"/>
          <w:docGrid w:type="lines" w:linePitch="331" w:charSpace="0"/>
        </w:sectPr>
      </w:pPr>
    </w:p>
    <w:p w14:paraId="4A4824DF">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43BF2E23">
      <w:pPr>
        <w:spacing w:line="400" w:lineRule="exact"/>
        <w:jc w:val="center"/>
        <w:rPr>
          <w:rFonts w:ascii="宋体" w:hAnsi="宋体" w:cs="宋体"/>
          <w:b/>
          <w:color w:val="auto"/>
          <w:sz w:val="44"/>
          <w:szCs w:val="44"/>
          <w:highlight w:val="none"/>
        </w:rPr>
      </w:pPr>
    </w:p>
    <w:p w14:paraId="0B1E094E">
      <w:pPr>
        <w:pStyle w:val="20"/>
        <w:tabs>
          <w:tab w:val="right" w:leader="dot" w:pos="8879"/>
        </w:tabs>
        <w:rPr>
          <w:rFonts w:ascii="宋体" w:hAnsi="宋体" w:cs="宋体"/>
          <w:color w:val="auto"/>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p>
    <w:p w14:paraId="72DA96DA">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"_Toc193" </w:instrText>
      </w:r>
      <w:r>
        <w:rPr>
          <w:color w:val="auto"/>
          <w:highlight w:val="none"/>
        </w:rPr>
        <w:fldChar w:fldCharType="separate"/>
      </w:r>
      <w:r>
        <w:rPr>
          <w:rFonts w:hint="eastAsia" w:ascii="宋体" w:hAnsi="宋体" w:cs="宋体"/>
          <w:color w:val="auto"/>
          <w:highlight w:val="none"/>
        </w:rPr>
        <w:t>第一章 竞争性磋商公告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_Toc193 \h </w:instrText>
      </w:r>
      <w:r>
        <w:rPr>
          <w:rFonts w:hint="eastAsia" w:ascii="宋体" w:hAnsi="宋体" w:cs="宋体"/>
          <w:color w:val="auto"/>
          <w:highlight w:val="none"/>
        </w:rPr>
        <w:fldChar w:fldCharType="separate"/>
      </w:r>
      <w:r>
        <w:rPr>
          <w:rFonts w:hint="eastAsia" w:ascii="宋体" w:hAnsi="宋体" w:cs="宋体"/>
          <w:color w:val="auto"/>
          <w:highlight w:val="none"/>
        </w:rPr>
        <w:t>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F5495DA">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"_Toc10702" </w:instrText>
      </w:r>
      <w:r>
        <w:rPr>
          <w:color w:val="auto"/>
          <w:highlight w:val="none"/>
        </w:rPr>
        <w:fldChar w:fldCharType="separate"/>
      </w:r>
      <w:r>
        <w:rPr>
          <w:rFonts w:hint="eastAsia" w:ascii="宋体" w:hAnsi="宋体" w:cs="宋体"/>
          <w:color w:val="auto"/>
          <w:szCs w:val="32"/>
          <w:highlight w:val="none"/>
        </w:rPr>
        <w:t>第二章 采购需求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_Toc10702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9EC02DA">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"_Toc32550" </w:instrText>
      </w:r>
      <w:r>
        <w:rPr>
          <w:color w:val="auto"/>
          <w:highlight w:val="none"/>
        </w:rPr>
        <w:fldChar w:fldCharType="separate"/>
      </w:r>
      <w:r>
        <w:rPr>
          <w:rFonts w:hint="eastAsia" w:ascii="宋体" w:hAnsi="宋体" w:cs="宋体"/>
          <w:color w:val="auto"/>
          <w:szCs w:val="32"/>
          <w:highlight w:val="none"/>
        </w:rPr>
        <w:t>第三章 供应商须知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_Toc32550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11EC1EA">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"_Toc28882" </w:instrText>
      </w:r>
      <w:r>
        <w:rPr>
          <w:color w:val="auto"/>
          <w:highlight w:val="none"/>
        </w:rPr>
        <w:fldChar w:fldCharType="separate"/>
      </w:r>
      <w:r>
        <w:rPr>
          <w:rFonts w:hint="eastAsia" w:ascii="宋体" w:hAnsi="宋体" w:cs="宋体"/>
          <w:color w:val="auto"/>
          <w:highlight w:val="none"/>
        </w:rPr>
        <w:t>第一节 供应商须知前附表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_Toc28882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1C7133E">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"_Toc23846" </w:instrText>
      </w:r>
      <w:r>
        <w:rPr>
          <w:color w:val="auto"/>
          <w:highlight w:val="none"/>
        </w:rPr>
        <w:fldChar w:fldCharType="separate"/>
      </w:r>
      <w:r>
        <w:rPr>
          <w:rFonts w:hint="eastAsia" w:ascii="宋体" w:hAnsi="宋体" w:cs="宋体"/>
          <w:color w:val="auto"/>
          <w:highlight w:val="none"/>
        </w:rPr>
        <w:t>第二节 供应商须知正文</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_Toc23846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A092B7E">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"_Toc20691" </w:instrText>
      </w:r>
      <w:r>
        <w:rPr>
          <w:color w:val="auto"/>
          <w:highlight w:val="none"/>
        </w:rPr>
        <w:fldChar w:fldCharType="separate"/>
      </w:r>
      <w:r>
        <w:rPr>
          <w:rFonts w:hint="eastAsia" w:ascii="宋体" w:hAnsi="宋体" w:cs="宋体"/>
          <w:color w:val="auto"/>
          <w:highlight w:val="none"/>
        </w:rPr>
        <w:t>一、总则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_Toc20691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A9B9B02">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"_Toc5567" </w:instrText>
      </w:r>
      <w:r>
        <w:rPr>
          <w:color w:val="auto"/>
          <w:highlight w:val="none"/>
        </w:rPr>
        <w:fldChar w:fldCharType="separate"/>
      </w:r>
      <w:r>
        <w:rPr>
          <w:rFonts w:hint="eastAsia" w:ascii="宋体" w:hAnsi="宋体" w:cs="宋体"/>
          <w:color w:val="auto"/>
          <w:highlight w:val="none"/>
        </w:rPr>
        <w:t>二、磋商文件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_Toc5567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7BB95B0">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"_Toc18770" </w:instrText>
      </w:r>
      <w:r>
        <w:rPr>
          <w:color w:val="auto"/>
          <w:highlight w:val="none"/>
        </w:rPr>
        <w:fldChar w:fldCharType="separate"/>
      </w:r>
      <w:r>
        <w:rPr>
          <w:rFonts w:hint="eastAsia" w:ascii="宋体" w:hAnsi="宋体" w:cs="宋体"/>
          <w:color w:val="auto"/>
          <w:highlight w:val="none"/>
        </w:rPr>
        <w:t>三、响应文件的编制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_Toc18770 \h </w:instrText>
      </w:r>
      <w:r>
        <w:rPr>
          <w:rFonts w:hint="eastAsia" w:ascii="宋体" w:hAnsi="宋体" w:cs="宋体"/>
          <w:color w:val="auto"/>
          <w:highlight w:val="none"/>
        </w:rPr>
        <w:fldChar w:fldCharType="separate"/>
      </w:r>
      <w:r>
        <w:rPr>
          <w:rFonts w:hint="eastAsia" w:ascii="宋体" w:hAnsi="宋体" w:cs="宋体"/>
          <w:color w:val="auto"/>
          <w:highlight w:val="none"/>
        </w:rPr>
        <w:t>18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0DED84D">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"_Toc16642" </w:instrText>
      </w:r>
      <w:r>
        <w:rPr>
          <w:color w:val="auto"/>
          <w:highlight w:val="none"/>
        </w:rPr>
        <w:fldChar w:fldCharType="separate"/>
      </w:r>
      <w:r>
        <w:rPr>
          <w:rFonts w:hint="eastAsia" w:ascii="宋体" w:hAnsi="宋体" w:cs="宋体"/>
          <w:color w:val="auto"/>
          <w:highlight w:val="none"/>
        </w:rPr>
        <w:t>四、评审及磋商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_Toc16642 \h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FCA6433">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"_Toc5736" </w:instrText>
      </w:r>
      <w:r>
        <w:rPr>
          <w:color w:val="auto"/>
          <w:highlight w:val="none"/>
        </w:rPr>
        <w:fldChar w:fldCharType="separate"/>
      </w:r>
      <w:r>
        <w:rPr>
          <w:rFonts w:hint="eastAsia" w:ascii="宋体" w:hAnsi="宋体" w:cs="宋体"/>
          <w:color w:val="auto"/>
          <w:highlight w:val="none"/>
        </w:rPr>
        <w:t>五、成交及合同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_Toc5736 \h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C2983CB">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"_Toc17863" </w:instrText>
      </w:r>
      <w:r>
        <w:rPr>
          <w:color w:val="auto"/>
          <w:highlight w:val="none"/>
        </w:rPr>
        <w:fldChar w:fldCharType="separate"/>
      </w:r>
      <w:r>
        <w:rPr>
          <w:rFonts w:hint="eastAsia" w:ascii="宋体" w:hAnsi="宋体" w:cs="宋体"/>
          <w:color w:val="auto"/>
          <w:highlight w:val="none"/>
        </w:rPr>
        <w:t>六、验收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_Toc17863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E77D122">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"_Toc14884" </w:instrText>
      </w:r>
      <w:r>
        <w:rPr>
          <w:color w:val="auto"/>
          <w:highlight w:val="none"/>
        </w:rPr>
        <w:fldChar w:fldCharType="separate"/>
      </w:r>
      <w:r>
        <w:rPr>
          <w:rFonts w:hint="eastAsia" w:ascii="宋体" w:hAnsi="宋体" w:cs="宋体"/>
          <w:color w:val="auto"/>
          <w:highlight w:val="none"/>
        </w:rPr>
        <w:t>七、其他事项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_Toc14884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38CD28">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"_Toc25106" </w:instrText>
      </w:r>
      <w:r>
        <w:rPr>
          <w:color w:val="auto"/>
          <w:highlight w:val="none"/>
        </w:rPr>
        <w:fldChar w:fldCharType="separate"/>
      </w:r>
      <w:r>
        <w:rPr>
          <w:rFonts w:hint="eastAsia" w:ascii="宋体" w:hAnsi="宋体" w:cs="宋体"/>
          <w:color w:val="auto"/>
          <w:highlight w:val="none"/>
        </w:rPr>
        <w:t>第四章  评审程序、评审方法和评审标准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_Toc25106 \h </w:instrText>
      </w:r>
      <w:r>
        <w:rPr>
          <w:rFonts w:hint="eastAsia" w:ascii="宋体" w:hAnsi="宋体" w:cs="宋体"/>
          <w:color w:val="auto"/>
          <w:highlight w:val="none"/>
        </w:rPr>
        <w:fldChar w:fldCharType="separate"/>
      </w:r>
      <w:r>
        <w:rPr>
          <w:rFonts w:hint="eastAsia" w:ascii="宋体" w:hAnsi="宋体" w:cs="宋体"/>
          <w:color w:val="auto"/>
          <w:highlight w:val="none"/>
        </w:rPr>
        <w:t>26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A0F274E">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宋体" w:hAnsi="宋体" w:cs="宋体"/>
          <w:color w:val="auto"/>
          <w:highlight w:val="none"/>
        </w:rPr>
        <w:t>第一节 评审程序和评审方法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_Toc30181 \h </w:instrText>
      </w:r>
      <w:r>
        <w:rPr>
          <w:rFonts w:hint="eastAsia" w:ascii="宋体" w:hAnsi="宋体" w:cs="宋体"/>
          <w:color w:val="auto"/>
          <w:highlight w:val="none"/>
        </w:rPr>
        <w:fldChar w:fldCharType="separate"/>
      </w:r>
      <w:r>
        <w:rPr>
          <w:rFonts w:hint="eastAsia" w:ascii="宋体" w:hAnsi="宋体" w:cs="宋体"/>
          <w:color w:val="auto"/>
          <w:highlight w:val="none"/>
        </w:rPr>
        <w:t>26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6A7748">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"_Toc1930" </w:instrText>
      </w:r>
      <w:r>
        <w:rPr>
          <w:color w:val="auto"/>
          <w:highlight w:val="none"/>
        </w:rPr>
        <w:fldChar w:fldCharType="separate"/>
      </w:r>
      <w:r>
        <w:rPr>
          <w:rFonts w:hint="eastAsia" w:ascii="宋体" w:hAnsi="宋体" w:cs="宋体"/>
          <w:color w:val="auto"/>
          <w:highlight w:val="none"/>
        </w:rPr>
        <w:t>第二节 评标报告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_Toc1930 \h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75A2B30">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"_Toc23409" </w:instrText>
      </w:r>
      <w:r>
        <w:rPr>
          <w:color w:val="auto"/>
          <w:highlight w:val="none"/>
        </w:rPr>
        <w:fldChar w:fldCharType="separate"/>
      </w:r>
      <w:r>
        <w:rPr>
          <w:rFonts w:hint="eastAsia" w:ascii="宋体" w:hAnsi="宋体" w:cs="宋体"/>
          <w:color w:val="auto"/>
          <w:highlight w:val="none"/>
        </w:rPr>
        <w:t>第三节 评审过程的保密与录像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_Toc23409 \h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8098967">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"_Toc13484" </w:instrText>
      </w:r>
      <w:r>
        <w:rPr>
          <w:color w:val="auto"/>
          <w:highlight w:val="none"/>
        </w:rPr>
        <w:fldChar w:fldCharType="separate"/>
      </w:r>
      <w:r>
        <w:rPr>
          <w:rFonts w:hint="eastAsia" w:ascii="宋体" w:hAnsi="宋体" w:cs="宋体"/>
          <w:color w:val="auto"/>
          <w:highlight w:val="none"/>
        </w:rPr>
        <w:t>第五章 响应文件格式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_Toc13484 \h </w:instrText>
      </w:r>
      <w:r>
        <w:rPr>
          <w:rFonts w:hint="eastAsia" w:ascii="宋体" w:hAnsi="宋体" w:cs="宋体"/>
          <w:color w:val="auto"/>
          <w:highlight w:val="none"/>
        </w:rPr>
        <w:fldChar w:fldCharType="separate"/>
      </w:r>
      <w:r>
        <w:rPr>
          <w:rFonts w:hint="eastAsia" w:ascii="宋体" w:hAnsi="宋体" w:cs="宋体"/>
          <w:color w:val="auto"/>
          <w:highlight w:val="none"/>
        </w:rPr>
        <w:t>37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409091A">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"_Toc30886"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一</w:t>
      </w:r>
      <w:r>
        <w:rPr>
          <w:rFonts w:hint="eastAsia" w:ascii="宋体" w:hAnsi="宋体" w:cs="宋体"/>
          <w:color w:val="auto"/>
          <w:highlight w:val="none"/>
        </w:rPr>
        <w:t>节 资格证明文件格式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_Toc30886 \h </w:instrText>
      </w:r>
      <w:r>
        <w:rPr>
          <w:rFonts w:hint="eastAsia" w:ascii="宋体" w:hAnsi="宋体" w:cs="宋体"/>
          <w:color w:val="auto"/>
          <w:highlight w:val="none"/>
        </w:rPr>
        <w:fldChar w:fldCharType="separate"/>
      </w:r>
      <w:r>
        <w:rPr>
          <w:rFonts w:hint="eastAsia" w:ascii="宋体" w:hAnsi="宋体" w:cs="宋体"/>
          <w:color w:val="auto"/>
          <w:highlight w:val="none"/>
        </w:rPr>
        <w:t>38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6C1B230">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"_Toc10861"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二</w:t>
      </w:r>
      <w:r>
        <w:rPr>
          <w:rFonts w:hint="eastAsia" w:ascii="宋体" w:hAnsi="宋体" w:cs="宋体"/>
          <w:color w:val="auto"/>
          <w:highlight w:val="none"/>
        </w:rPr>
        <w:t>节 商务技术文件格式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_Toc10861 \h </w:instrText>
      </w:r>
      <w:r>
        <w:rPr>
          <w:rFonts w:hint="eastAsia" w:ascii="宋体" w:hAnsi="宋体" w:cs="宋体"/>
          <w:color w:val="auto"/>
          <w:highlight w:val="none"/>
        </w:rPr>
        <w:fldChar w:fldCharType="separate"/>
      </w:r>
      <w:r>
        <w:rPr>
          <w:rFonts w:hint="eastAsia" w:ascii="宋体" w:hAnsi="宋体" w:cs="宋体"/>
          <w:color w:val="auto"/>
          <w:highlight w:val="none"/>
        </w:rPr>
        <w:t>49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030474A">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"_Toc32512"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三</w:t>
      </w:r>
      <w:r>
        <w:rPr>
          <w:rFonts w:hint="eastAsia" w:ascii="宋体" w:hAnsi="宋体" w:cs="宋体"/>
          <w:color w:val="auto"/>
          <w:highlight w:val="none"/>
        </w:rPr>
        <w:t>节 报价文件格式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_Toc32512 \h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AB9B53C">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"_Toc10609" </w:instrText>
      </w:r>
      <w:r>
        <w:rPr>
          <w:color w:val="auto"/>
          <w:highlight w:val="none"/>
        </w:rPr>
        <w:fldChar w:fldCharType="separate"/>
      </w:r>
      <w:r>
        <w:rPr>
          <w:rFonts w:hint="eastAsia" w:ascii="宋体" w:hAnsi="宋体" w:cs="宋体"/>
          <w:color w:val="auto"/>
          <w:highlight w:val="none"/>
        </w:rPr>
        <w:t>第六章  合同文本</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_Toc10609 \h </w:instrText>
      </w:r>
      <w:r>
        <w:rPr>
          <w:rFonts w:hint="eastAsia" w:ascii="宋体" w:hAnsi="宋体" w:cs="宋体"/>
          <w:color w:val="auto"/>
          <w:highlight w:val="none"/>
        </w:rPr>
        <w:fldChar w:fldCharType="separate"/>
      </w:r>
      <w:r>
        <w:rPr>
          <w:rFonts w:hint="eastAsia" w:ascii="宋体" w:hAnsi="宋体" w:cs="宋体"/>
          <w:color w:val="auto"/>
          <w:highlight w:val="none"/>
        </w:rPr>
        <w:t>63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B6D49C5">
      <w:pPr>
        <w:pStyle w:val="23"/>
        <w:tabs>
          <w:tab w:val="right" w:leader="dot" w:pos="8879"/>
          <w:tab w:val="clear" w:pos="8296"/>
        </w:tabs>
        <w:rPr>
          <w:rFonts w:hint="default" w:eastAsia="宋体"/>
          <w:color w:val="auto"/>
          <w:highlight w:val="none"/>
          <w:lang w:val="en-US" w:eastAsia="zh-CN"/>
        </w:rPr>
      </w:pPr>
      <w:r>
        <w:rPr>
          <w:rFonts w:hint="eastAsia" w:ascii="宋体" w:hAnsi="宋体" w:cs="宋体"/>
          <w:color w:val="auto"/>
          <w:szCs w:val="28"/>
          <w:highlight w:val="none"/>
        </w:rPr>
        <w:t>合同</w:t>
      </w:r>
      <w:r>
        <w:rPr>
          <w:rFonts w:hint="eastAsia" w:ascii="宋体" w:hAnsi="宋体" w:cs="宋体"/>
          <w:color w:val="auto"/>
          <w:szCs w:val="28"/>
          <w:highlight w:val="none"/>
          <w:lang w:val="en-US" w:eastAsia="zh-CN"/>
        </w:rPr>
        <w:t>协议书</w:t>
      </w:r>
      <w:r>
        <w:rPr>
          <w:rFonts w:hint="eastAsia" w:ascii="宋体" w:hAnsi="宋体" w:cs="宋体"/>
          <w:color w:val="auto"/>
          <w:highlight w:val="none"/>
        </w:rPr>
        <w:tab/>
      </w:r>
      <w:r>
        <w:rPr>
          <w:rFonts w:hint="eastAsia" w:ascii="宋体" w:hAnsi="宋体" w:cs="宋体"/>
          <w:color w:val="auto"/>
          <w:highlight w:val="none"/>
          <w:lang w:val="en-US" w:eastAsia="zh-CN"/>
        </w:rPr>
        <w:t>72</w:t>
      </w:r>
    </w:p>
    <w:p w14:paraId="5FEDE307">
      <w:pPr>
        <w:pStyle w:val="23"/>
        <w:tabs>
          <w:tab w:val="right" w:leader="dot" w:pos="8879"/>
          <w:tab w:val="clear" w:pos="8296"/>
        </w:tabs>
        <w:rPr>
          <w:rFonts w:hint="eastAsia" w:ascii="宋体" w:hAnsi="宋体" w:eastAsia="宋体" w:cs="宋体"/>
          <w:color w:val="auto"/>
          <w:highlight w:val="none"/>
          <w:lang w:val="en-US" w:eastAsia="zh-CN"/>
        </w:rPr>
      </w:pPr>
      <w:r>
        <w:rPr>
          <w:color w:val="auto"/>
          <w:highlight w:val="none"/>
        </w:rPr>
        <w:fldChar w:fldCharType="begin"/>
      </w:r>
      <w:r>
        <w:rPr>
          <w:color w:val="auto"/>
          <w:highlight w:val="none"/>
        </w:rPr>
        <w:instrText xml:space="preserve"> HYPERLINK \l "_Toc12590" </w:instrText>
      </w:r>
      <w:r>
        <w:rPr>
          <w:color w:val="auto"/>
          <w:highlight w:val="none"/>
        </w:rPr>
        <w:fldChar w:fldCharType="separate"/>
      </w:r>
      <w:r>
        <w:rPr>
          <w:rFonts w:hint="eastAsia" w:ascii="宋体" w:hAnsi="宋体" w:cs="宋体"/>
          <w:color w:val="auto"/>
          <w:szCs w:val="28"/>
          <w:highlight w:val="none"/>
        </w:rPr>
        <w:t xml:space="preserve">第一部分 </w:t>
      </w:r>
      <w:r>
        <w:rPr>
          <w:rFonts w:hint="eastAsia" w:ascii="宋体" w:hAnsi="宋体" w:cs="宋体"/>
          <w:color w:val="auto"/>
          <w:szCs w:val="28"/>
          <w:highlight w:val="none"/>
          <w:lang w:eastAsia="zh-CN"/>
        </w:rPr>
        <w:t>通用合同条款</w:t>
      </w:r>
      <w:r>
        <w:rPr>
          <w:rFonts w:hint="eastAsia" w:ascii="宋体" w:hAnsi="宋体" w:cs="宋体"/>
          <w:color w:val="auto"/>
          <w:szCs w:val="28"/>
          <w:highlight w:val="none"/>
          <w:lang w:val="en-US" w:eastAsia="zh-CN"/>
        </w:rPr>
        <w:t xml:space="preserve"> </w:t>
      </w:r>
      <w:r>
        <w:rPr>
          <w:rFonts w:hint="eastAsia" w:ascii="宋体" w:hAnsi="宋体" w:cs="宋体"/>
          <w:color w:val="auto"/>
          <w:highlight w:val="none"/>
        </w:rPr>
        <w:tab/>
      </w:r>
      <w:r>
        <w:rPr>
          <w:rFonts w:hint="eastAsia" w:ascii="宋体" w:hAnsi="宋体" w:cs="宋体"/>
          <w:color w:val="auto"/>
          <w:highlight w:val="none"/>
          <w:lang w:val="en-US" w:eastAsia="zh-CN"/>
        </w:rPr>
        <w:t>7</w:t>
      </w:r>
      <w:r>
        <w:rPr>
          <w:rFonts w:hint="eastAsia" w:ascii="宋体" w:hAnsi="宋体" w:cs="宋体"/>
          <w:color w:val="auto"/>
          <w:highlight w:val="none"/>
        </w:rPr>
        <w:fldChar w:fldCharType="end"/>
      </w:r>
      <w:r>
        <w:rPr>
          <w:rFonts w:hint="eastAsia" w:ascii="宋体" w:hAnsi="宋体" w:cs="宋体"/>
          <w:color w:val="auto"/>
          <w:highlight w:val="none"/>
          <w:lang w:val="en-US" w:eastAsia="zh-CN"/>
        </w:rPr>
        <w:t>4</w:t>
      </w:r>
    </w:p>
    <w:p w14:paraId="4534ADED">
      <w:pPr>
        <w:pStyle w:val="23"/>
        <w:tabs>
          <w:tab w:val="right" w:leader="dot" w:pos="8879"/>
          <w:tab w:val="clear" w:pos="8296"/>
        </w:tabs>
        <w:rPr>
          <w:rFonts w:hint="default" w:ascii="宋体" w:hAnsi="宋体" w:eastAsia="宋体" w:cs="宋体"/>
          <w:color w:val="auto"/>
          <w:highlight w:val="none"/>
          <w:lang w:val="en-US" w:eastAsia="zh-CN"/>
        </w:rPr>
      </w:pPr>
      <w:r>
        <w:rPr>
          <w:color w:val="auto"/>
          <w:highlight w:val="none"/>
        </w:rPr>
        <w:fldChar w:fldCharType="begin"/>
      </w:r>
      <w:r>
        <w:rPr>
          <w:color w:val="auto"/>
          <w:highlight w:val="none"/>
        </w:rPr>
        <w:instrText xml:space="preserve"> HYPERLINK \l "_Toc12702" </w:instrText>
      </w:r>
      <w:r>
        <w:rPr>
          <w:color w:val="auto"/>
          <w:highlight w:val="none"/>
        </w:rPr>
        <w:fldChar w:fldCharType="separate"/>
      </w:r>
      <w:r>
        <w:rPr>
          <w:rFonts w:hint="eastAsia" w:ascii="宋体" w:hAnsi="宋体" w:cs="宋体"/>
          <w:color w:val="auto"/>
          <w:szCs w:val="28"/>
          <w:highlight w:val="none"/>
        </w:rPr>
        <w:t>第二部分 专用合同条款</w:t>
      </w:r>
      <w:r>
        <w:rPr>
          <w:rFonts w:hint="eastAsia" w:ascii="宋体" w:hAnsi="宋体" w:cs="宋体"/>
          <w:color w:val="auto"/>
          <w:highlight w:val="none"/>
        </w:rPr>
        <w:tab/>
      </w:r>
      <w:r>
        <w:rPr>
          <w:rFonts w:hint="eastAsia" w:ascii="宋体" w:hAnsi="宋体" w:cs="宋体"/>
          <w:color w:val="auto"/>
          <w:highlight w:val="none"/>
          <w:lang w:val="en-US" w:eastAsia="zh-CN"/>
        </w:rPr>
        <w:t>1</w:t>
      </w:r>
      <w:r>
        <w:rPr>
          <w:rFonts w:hint="eastAsia" w:ascii="宋体" w:hAnsi="宋体" w:cs="宋体"/>
          <w:color w:val="auto"/>
          <w:highlight w:val="none"/>
        </w:rPr>
        <w:fldChar w:fldCharType="end"/>
      </w:r>
      <w:r>
        <w:rPr>
          <w:rFonts w:hint="eastAsia" w:ascii="宋体" w:hAnsi="宋体" w:cs="宋体"/>
          <w:color w:val="auto"/>
          <w:highlight w:val="none"/>
          <w:lang w:val="en-US" w:eastAsia="zh-CN"/>
        </w:rPr>
        <w:t>09</w:t>
      </w:r>
    </w:p>
    <w:p w14:paraId="479C21F2">
      <w:pPr>
        <w:pStyle w:val="23"/>
        <w:tabs>
          <w:tab w:val="right" w:leader="dot" w:pos="8879"/>
          <w:tab w:val="clear" w:pos="8296"/>
        </w:tabs>
        <w:rPr>
          <w:rFonts w:hint="default" w:ascii="宋体" w:hAnsi="宋体" w:eastAsia="宋体" w:cs="宋体"/>
          <w:color w:val="auto"/>
          <w:highlight w:val="none"/>
          <w:lang w:val="en-US" w:eastAsia="zh-CN"/>
        </w:rPr>
      </w:pPr>
      <w:r>
        <w:rPr>
          <w:color w:val="auto"/>
          <w:highlight w:val="none"/>
        </w:rPr>
        <w:fldChar w:fldCharType="begin"/>
      </w:r>
      <w:r>
        <w:rPr>
          <w:color w:val="auto"/>
          <w:highlight w:val="none"/>
        </w:rPr>
        <w:instrText xml:space="preserve"> HYPERLINK \l "_Toc6407" </w:instrText>
      </w:r>
      <w:r>
        <w:rPr>
          <w:color w:val="auto"/>
          <w:highlight w:val="none"/>
        </w:rPr>
        <w:fldChar w:fldCharType="separate"/>
      </w:r>
      <w:r>
        <w:rPr>
          <w:rFonts w:hint="eastAsia" w:ascii="宋体" w:hAnsi="宋体" w:cs="宋体"/>
          <w:color w:val="auto"/>
          <w:szCs w:val="28"/>
          <w:highlight w:val="none"/>
        </w:rPr>
        <w:t xml:space="preserve">第三部分 </w:t>
      </w:r>
      <w:r>
        <w:rPr>
          <w:rFonts w:hint="eastAsia" w:ascii="宋体" w:hAnsi="宋体" w:cs="宋体"/>
          <w:color w:val="auto"/>
          <w:szCs w:val="28"/>
          <w:highlight w:val="none"/>
          <w:lang w:val="en-US" w:eastAsia="zh-CN"/>
        </w:rPr>
        <w:t>合同附件格式</w:t>
      </w:r>
      <w:r>
        <w:rPr>
          <w:rFonts w:hint="eastAsia" w:ascii="宋体" w:hAnsi="宋体" w:cs="宋体"/>
          <w:color w:val="auto"/>
          <w:highlight w:val="none"/>
        </w:rPr>
        <w:tab/>
      </w:r>
      <w:r>
        <w:rPr>
          <w:rFonts w:hint="eastAsia" w:ascii="宋体" w:hAnsi="宋体" w:cs="宋体"/>
          <w:color w:val="auto"/>
          <w:highlight w:val="none"/>
          <w:lang w:val="en-US" w:eastAsia="zh-CN"/>
        </w:rPr>
        <w:t>1</w:t>
      </w:r>
      <w:r>
        <w:rPr>
          <w:rFonts w:hint="eastAsia" w:ascii="宋体" w:hAnsi="宋体" w:cs="宋体"/>
          <w:color w:val="auto"/>
          <w:highlight w:val="none"/>
        </w:rPr>
        <w:fldChar w:fldCharType="end"/>
      </w:r>
      <w:r>
        <w:rPr>
          <w:rFonts w:hint="eastAsia" w:ascii="宋体" w:hAnsi="宋体" w:cs="宋体"/>
          <w:color w:val="auto"/>
          <w:highlight w:val="none"/>
          <w:lang w:val="en-US" w:eastAsia="zh-CN"/>
        </w:rPr>
        <w:t>48</w:t>
      </w:r>
    </w:p>
    <w:p w14:paraId="419D5869">
      <w:pPr>
        <w:rPr>
          <w:rFonts w:hint="default" w:eastAsia="宋体"/>
          <w:color w:val="auto"/>
          <w:highlight w:val="none"/>
          <w:lang w:val="en-US" w:eastAsia="zh-CN"/>
        </w:rPr>
      </w:pPr>
      <w:r>
        <w:rPr>
          <w:color w:val="auto"/>
          <w:highlight w:val="none"/>
        </w:rPr>
        <w:fldChar w:fldCharType="begin"/>
      </w:r>
      <w:r>
        <w:rPr>
          <w:color w:val="auto"/>
          <w:highlight w:val="none"/>
        </w:rPr>
        <w:instrText xml:space="preserve"> HYPERLINK \l "_Toc22933" </w:instrText>
      </w:r>
      <w:r>
        <w:rPr>
          <w:color w:val="auto"/>
          <w:highlight w:val="none"/>
        </w:rPr>
        <w:fldChar w:fldCharType="separate"/>
      </w:r>
      <w:r>
        <w:rPr>
          <w:rFonts w:hint="eastAsia" w:ascii="宋体" w:hAnsi="宋体" w:cs="宋体"/>
          <w:color w:val="auto"/>
          <w:highlight w:val="none"/>
        </w:rPr>
        <w:t>第七章</w:t>
      </w:r>
      <w:r>
        <w:rPr>
          <w:rFonts w:hint="eastAsia" w:ascii="宋体" w:hAnsi="宋体" w:cs="宋体"/>
          <w:color w:val="auto"/>
          <w:highlight w:val="none"/>
          <w:lang w:val="en-US" w:eastAsia="zh-CN"/>
        </w:rPr>
        <w:t xml:space="preserve"> 工程量清单、图纸..........................................................1</w:t>
      </w:r>
      <w:r>
        <w:rPr>
          <w:rFonts w:hint="eastAsia" w:ascii="宋体" w:hAnsi="宋体" w:cs="宋体"/>
          <w:color w:val="auto"/>
          <w:highlight w:val="none"/>
        </w:rPr>
        <w:fldChar w:fldCharType="end"/>
      </w:r>
      <w:r>
        <w:rPr>
          <w:rFonts w:hint="eastAsia" w:ascii="宋体" w:hAnsi="宋体" w:cs="宋体"/>
          <w:color w:val="auto"/>
          <w:highlight w:val="none"/>
          <w:lang w:val="en-US" w:eastAsia="zh-CN"/>
        </w:rPr>
        <w:t>51</w:t>
      </w:r>
    </w:p>
    <w:p w14:paraId="307C2BC4">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"_Toc22933"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八</w:t>
      </w:r>
      <w:r>
        <w:rPr>
          <w:rFonts w:hint="eastAsia" w:ascii="宋体" w:hAnsi="宋体" w:cs="宋体"/>
          <w:color w:val="auto"/>
          <w:highlight w:val="none"/>
        </w:rPr>
        <w:t>章 质疑、投诉材料格式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_Toc22933 \h </w:instrText>
      </w:r>
      <w:r>
        <w:rPr>
          <w:rFonts w:hint="eastAsia" w:ascii="宋体" w:hAnsi="宋体" w:cs="宋体"/>
          <w:color w:val="auto"/>
          <w:highlight w:val="none"/>
        </w:rPr>
        <w:fldChar w:fldCharType="separate"/>
      </w:r>
      <w:r>
        <w:rPr>
          <w:rFonts w:hint="eastAsia" w:ascii="宋体" w:hAnsi="宋体" w:cs="宋体"/>
          <w:color w:val="auto"/>
          <w:highlight w:val="none"/>
        </w:rPr>
        <w:t>152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6D36B3F">
      <w:pPr>
        <w:pStyle w:val="23"/>
        <w:rPr>
          <w:rFonts w:ascii="宋体" w:hAnsi="宋体" w:cs="宋体"/>
          <w:color w:val="auto"/>
          <w:sz w:val="28"/>
          <w:szCs w:val="28"/>
          <w:highlight w:val="none"/>
        </w:rPr>
      </w:pPr>
      <w:r>
        <w:rPr>
          <w:rFonts w:hint="eastAsia" w:ascii="宋体" w:hAnsi="宋体" w:cs="宋体"/>
          <w:color w:val="auto"/>
          <w:szCs w:val="30"/>
          <w:highlight w:val="none"/>
        </w:rPr>
        <w:fldChar w:fldCharType="end"/>
      </w:r>
    </w:p>
    <w:p w14:paraId="57602A00">
      <w:pPr>
        <w:tabs>
          <w:tab w:val="left" w:pos="7470"/>
        </w:tabs>
        <w:spacing w:line="400" w:lineRule="exact"/>
        <w:jc w:val="left"/>
        <w:rPr>
          <w:rFonts w:ascii="宋体" w:hAnsi="宋体" w:cs="宋体"/>
          <w:b/>
          <w:color w:val="auto"/>
          <w:sz w:val="32"/>
          <w:szCs w:val="32"/>
          <w:highlight w:val="none"/>
        </w:rPr>
      </w:pPr>
      <w:r>
        <w:rPr>
          <w:rFonts w:hint="eastAsia" w:ascii="宋体" w:hAnsi="宋体" w:cs="宋体"/>
          <w:b/>
          <w:color w:val="auto"/>
          <w:sz w:val="32"/>
          <w:szCs w:val="32"/>
          <w:highlight w:val="none"/>
        </w:rPr>
        <w:tab/>
      </w:r>
    </w:p>
    <w:p w14:paraId="3675440D">
      <w:pPr>
        <w:spacing w:line="400" w:lineRule="exact"/>
        <w:jc w:val="center"/>
        <w:rPr>
          <w:rFonts w:ascii="宋体" w:hAnsi="宋体" w:cs="宋体"/>
          <w:b/>
          <w:color w:val="auto"/>
          <w:sz w:val="32"/>
          <w:szCs w:val="32"/>
          <w:highlight w:val="none"/>
        </w:rPr>
      </w:pPr>
    </w:p>
    <w:p w14:paraId="1CDB3B29">
      <w:pPr>
        <w:spacing w:line="400" w:lineRule="exact"/>
        <w:jc w:val="center"/>
        <w:rPr>
          <w:rFonts w:ascii="宋体" w:hAnsi="宋体" w:cs="宋体"/>
          <w:b/>
          <w:color w:val="auto"/>
          <w:sz w:val="32"/>
          <w:szCs w:val="32"/>
          <w:highlight w:val="none"/>
        </w:rPr>
      </w:pPr>
    </w:p>
    <w:p w14:paraId="31C3490F">
      <w:pPr>
        <w:spacing w:line="400" w:lineRule="exact"/>
        <w:jc w:val="center"/>
        <w:rPr>
          <w:rFonts w:ascii="宋体" w:hAnsi="宋体" w:cs="宋体"/>
          <w:b/>
          <w:color w:val="auto"/>
          <w:sz w:val="32"/>
          <w:szCs w:val="32"/>
          <w:highlight w:val="none"/>
        </w:rPr>
      </w:pPr>
    </w:p>
    <w:p w14:paraId="24190E06">
      <w:pPr>
        <w:spacing w:line="400" w:lineRule="exact"/>
        <w:jc w:val="center"/>
        <w:rPr>
          <w:rFonts w:ascii="宋体" w:hAnsi="宋体" w:cs="宋体"/>
          <w:b/>
          <w:color w:val="auto"/>
          <w:sz w:val="32"/>
          <w:szCs w:val="32"/>
          <w:highlight w:val="none"/>
        </w:rPr>
      </w:pPr>
    </w:p>
    <w:p w14:paraId="5CAF0477">
      <w:pPr>
        <w:widowControl/>
        <w:jc w:val="left"/>
        <w:rPr>
          <w:rFonts w:ascii="宋体" w:hAnsi="宋体" w:cs="宋体"/>
          <w:b/>
          <w:color w:val="auto"/>
          <w:sz w:val="32"/>
          <w:szCs w:val="32"/>
          <w:highlight w:val="none"/>
        </w:rPr>
        <w:sectPr>
          <w:footerReference r:id="rId5" w:type="default"/>
          <w:pgSz w:w="11906" w:h="16838"/>
          <w:pgMar w:top="1440" w:right="1440" w:bottom="1440" w:left="1587" w:header="851" w:footer="992" w:gutter="0"/>
          <w:pgNumType w:start="1"/>
          <w:cols w:space="720" w:num="1"/>
          <w:docGrid w:type="lines" w:linePitch="312" w:charSpace="0"/>
        </w:sectPr>
      </w:pPr>
    </w:p>
    <w:p w14:paraId="5769DC2C">
      <w:pPr>
        <w:pStyle w:val="2"/>
        <w:spacing w:before="0" w:after="0" w:line="360" w:lineRule="auto"/>
        <w:jc w:val="center"/>
        <w:rPr>
          <w:rFonts w:ascii="宋体" w:hAnsi="宋体" w:cs="宋体"/>
          <w:color w:val="auto"/>
          <w:highlight w:val="none"/>
        </w:rPr>
      </w:pPr>
      <w:bookmarkStart w:id="8" w:name="_Toc193"/>
      <w:r>
        <w:rPr>
          <w:rFonts w:hint="eastAsia" w:ascii="宋体" w:hAnsi="宋体" w:cs="宋体"/>
          <w:color w:val="auto"/>
          <w:highlight w:val="none"/>
        </w:rPr>
        <w:t>第一章 竞争性磋商公告</w:t>
      </w:r>
      <w:bookmarkEnd w:id="8"/>
      <w:bookmarkStart w:id="9" w:name="_Toc28359089"/>
      <w:bookmarkStart w:id="10" w:name="_Toc35393798"/>
      <w:bookmarkStart w:id="11" w:name="_Toc28359012"/>
      <w:bookmarkStart w:id="12" w:name="_Toc35393629"/>
      <w:bookmarkStart w:id="13" w:name="_Toc44229878"/>
      <w:bookmarkStart w:id="14" w:name="_Toc28359004"/>
      <w:bookmarkStart w:id="15" w:name="_Toc35393623"/>
      <w:bookmarkStart w:id="16" w:name="_Toc35393792"/>
      <w:bookmarkStart w:id="17" w:name="_Toc28359081"/>
    </w:p>
    <w:p w14:paraId="5ED37E36">
      <w:pPr>
        <w:rPr>
          <w:rFonts w:ascii="宋体" w:hAnsi="宋体" w:cs="宋体"/>
          <w:color w:val="auto"/>
          <w:highlight w:val="none"/>
        </w:rPr>
      </w:pPr>
    </w:p>
    <w:tbl>
      <w:tblPr>
        <w:tblStyle w:val="28"/>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068D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7" w:type="dxa"/>
          </w:tcPr>
          <w:p w14:paraId="279C25BC">
            <w:pPr>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项目概况</w:t>
            </w:r>
          </w:p>
          <w:p w14:paraId="36FE9589">
            <w:pPr>
              <w:spacing w:line="400" w:lineRule="exact"/>
              <w:ind w:firstLine="420" w:firstLineChars="200"/>
              <w:rPr>
                <w:rFonts w:ascii="宋体" w:hAnsi="宋体" w:cs="宋体"/>
                <w:b/>
                <w:bCs/>
                <w:color w:val="auto"/>
                <w:sz w:val="24"/>
                <w:highlight w:val="none"/>
              </w:rPr>
            </w:pPr>
            <w:r>
              <w:rPr>
                <w:rFonts w:hint="eastAsia" w:ascii="宋体" w:hAnsi="宋体" w:cs="宋体"/>
                <w:color w:val="auto"/>
                <w:szCs w:val="21"/>
                <w:highlight w:val="none"/>
                <w:u w:val="single"/>
                <w:lang w:eastAsia="zh-CN"/>
              </w:rPr>
              <w:t>2026年上思县昌墩、昌菱产业道路项目</w:t>
            </w:r>
            <w:r>
              <w:rPr>
                <w:rFonts w:hint="eastAsia" w:ascii="宋体" w:hAnsi="宋体" w:cs="宋体"/>
                <w:color w:val="auto"/>
                <w:szCs w:val="21"/>
                <w:highlight w:val="none"/>
              </w:rPr>
              <w:t>采购项目的潜在供应商应在广西政府采购云平台</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https://www.gcy.zfcg.gxzf.gov.cn）获取</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日09点30分</w:t>
            </w:r>
            <w:r>
              <w:rPr>
                <w:rFonts w:hint="eastAsia" w:ascii="宋体" w:hAnsi="宋体" w:cs="宋体"/>
                <w:color w:val="auto"/>
                <w:szCs w:val="21"/>
                <w:highlight w:val="none"/>
              </w:rPr>
              <w:t>（北京时间）</w:t>
            </w:r>
            <w:r>
              <w:rPr>
                <w:rFonts w:hint="eastAsia" w:ascii="宋体" w:hAnsi="宋体" w:cs="宋体"/>
                <w:bCs/>
                <w:color w:val="auto"/>
                <w:szCs w:val="21"/>
                <w:highlight w:val="none"/>
              </w:rPr>
              <w:t>前提交响应文件</w:t>
            </w:r>
            <w:r>
              <w:rPr>
                <w:rFonts w:hint="eastAsia" w:ascii="宋体" w:hAnsi="宋体" w:cs="宋体"/>
                <w:color w:val="auto"/>
                <w:szCs w:val="21"/>
                <w:highlight w:val="none"/>
              </w:rPr>
              <w:t>。</w:t>
            </w:r>
          </w:p>
        </w:tc>
      </w:tr>
    </w:tbl>
    <w:p w14:paraId="02C5F46E">
      <w:pPr>
        <w:spacing w:line="360" w:lineRule="auto"/>
        <w:ind w:firstLine="482" w:firstLineChars="200"/>
        <w:rPr>
          <w:rFonts w:ascii="宋体" w:hAnsi="宋体" w:cs="宋体"/>
          <w:b/>
          <w:color w:val="auto"/>
          <w:highlight w:val="none"/>
        </w:rPr>
      </w:pPr>
      <w:r>
        <w:rPr>
          <w:rFonts w:hint="eastAsia" w:ascii="宋体" w:hAnsi="宋体" w:cs="宋体"/>
          <w:b/>
          <w:color w:val="auto"/>
          <w:sz w:val="24"/>
          <w:highlight w:val="none"/>
        </w:rPr>
        <w:t>一、项目基本情况</w:t>
      </w:r>
      <w:bookmarkEnd w:id="9"/>
      <w:bookmarkEnd w:id="10"/>
      <w:bookmarkEnd w:id="11"/>
      <w:bookmarkEnd w:id="12"/>
      <w:bookmarkEnd w:id="13"/>
    </w:p>
    <w:p w14:paraId="7382CD93">
      <w:pPr>
        <w:spacing w:line="360" w:lineRule="auto"/>
        <w:ind w:firstLine="420" w:firstLineChars="200"/>
        <w:rPr>
          <w:rFonts w:hint="eastAsia" w:ascii="宋体" w:hAnsi="宋体" w:eastAsia="宋体" w:cs="宋体"/>
          <w:color w:val="auto"/>
          <w:szCs w:val="21"/>
          <w:highlight w:val="none"/>
          <w:lang w:eastAsia="zh-CN"/>
        </w:rPr>
      </w:pPr>
      <w:bookmarkStart w:id="18" w:name="_Toc28359090"/>
      <w:bookmarkStart w:id="19" w:name="_Toc35393630"/>
      <w:bookmarkStart w:id="20" w:name="_Toc28359013"/>
      <w:bookmarkStart w:id="21" w:name="_Toc35393799"/>
      <w:bookmarkStart w:id="22" w:name="_Toc44229879"/>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FCZC2026-C2-210055-GXZZ</w:t>
      </w:r>
    </w:p>
    <w:p w14:paraId="54CCB34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2026年上思县昌墩、昌菱产业道路项目</w:t>
      </w:r>
    </w:p>
    <w:p w14:paraId="192C51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6613068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预算总金额（元）：578119.00</w:t>
      </w:r>
    </w:p>
    <w:p w14:paraId="2F6965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43931A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标项名称:2026年上思县昌墩、昌菱产业道路项目</w:t>
      </w:r>
    </w:p>
    <w:p w14:paraId="3A0374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113DAE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预算金额（元）:578119</w:t>
      </w:r>
    </w:p>
    <w:p w14:paraId="5E9BF1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简要规格描述或项目基本概况介绍、用途：2026年上思县昌墩、昌菱产业道路项目，产业道路硬化总长度1435米、喇叭口4个，总面积44平方米、竣工标志牌1座等。具体内容见本项目工程量清单及图纸。</w:t>
      </w:r>
    </w:p>
    <w:p w14:paraId="1C144D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最高限价（元）：578119  </w:t>
      </w:r>
    </w:p>
    <w:p w14:paraId="7D670D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合同履约期限：详见采购文件“第二章采购需求”商务条款。</w:t>
      </w:r>
    </w:p>
    <w:p w14:paraId="722535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087B490A">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备注：</w:t>
      </w:r>
      <w:r>
        <w:rPr>
          <w:rFonts w:hint="eastAsia" w:ascii="宋体" w:hAnsi="宋体" w:cs="宋体"/>
          <w:color w:val="auto"/>
          <w:szCs w:val="21"/>
          <w:highlight w:val="none"/>
          <w:lang w:val="en-US" w:eastAsia="zh-CN"/>
        </w:rPr>
        <w:t>/</w:t>
      </w:r>
    </w:p>
    <w:p w14:paraId="0DE9AD2E">
      <w:pPr>
        <w:spacing w:line="360" w:lineRule="auto"/>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二、</w:t>
      </w:r>
      <w:bookmarkEnd w:id="18"/>
      <w:bookmarkEnd w:id="19"/>
      <w:bookmarkEnd w:id="20"/>
      <w:bookmarkEnd w:id="21"/>
      <w:bookmarkEnd w:id="22"/>
      <w:r>
        <w:rPr>
          <w:rFonts w:hint="eastAsia" w:ascii="宋体" w:hAnsi="宋体" w:cs="宋体"/>
          <w:b/>
          <w:color w:val="auto"/>
          <w:kern w:val="44"/>
          <w:sz w:val="24"/>
          <w:highlight w:val="none"/>
        </w:rPr>
        <w:t>申请人的资格要求：</w:t>
      </w:r>
    </w:p>
    <w:p w14:paraId="3D2E71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14AFB2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2.落实政府采购政策需满足的资格要求：专门面向中小企业采购的项目（供应商应为中小微企业或监狱企业或残疾人福利性单位)；</w:t>
      </w:r>
    </w:p>
    <w:p w14:paraId="747F82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供应商须具备公路工程施工总承包叁级(含)以上资质，</w:t>
      </w:r>
      <w:r>
        <w:rPr>
          <w:rFonts w:hint="eastAsia" w:ascii="宋体" w:hAnsi="宋体" w:cs="宋体"/>
          <w:color w:val="auto"/>
          <w:szCs w:val="21"/>
          <w:highlight w:val="none"/>
          <w:lang w:val="en-US" w:eastAsia="zh-CN"/>
        </w:rPr>
        <w:t>同时</w:t>
      </w:r>
      <w:r>
        <w:rPr>
          <w:rFonts w:hint="eastAsia" w:ascii="宋体" w:hAnsi="宋体" w:cs="宋体"/>
          <w:color w:val="auto"/>
          <w:szCs w:val="21"/>
          <w:highlight w:val="none"/>
        </w:rPr>
        <w:t>持有省级及以上建设行政主管部门颁发的安全生产许可证；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供应商拟投入的</w:t>
      </w:r>
      <w:r>
        <w:rPr>
          <w:rFonts w:hint="eastAsia" w:ascii="宋体" w:hAnsi="宋体" w:cs="宋体"/>
          <w:color w:val="auto"/>
          <w:szCs w:val="21"/>
          <w:highlight w:val="none"/>
        </w:rPr>
        <w:t>项目经理须</w:t>
      </w:r>
      <w:r>
        <w:rPr>
          <w:rFonts w:hint="eastAsia" w:ascii="宋体" w:hAnsi="宋体" w:cs="宋体"/>
          <w:color w:val="auto"/>
          <w:szCs w:val="21"/>
          <w:highlight w:val="none"/>
          <w:lang w:val="en-US" w:eastAsia="zh-CN"/>
        </w:rPr>
        <w:t>具备</w:t>
      </w:r>
      <w:r>
        <w:rPr>
          <w:rFonts w:hint="eastAsia" w:ascii="宋体" w:hAnsi="宋体" w:cs="宋体"/>
          <w:color w:val="auto"/>
          <w:szCs w:val="21"/>
          <w:highlight w:val="none"/>
        </w:rPr>
        <w:t>公路工程专业</w:t>
      </w:r>
      <w:r>
        <w:rPr>
          <w:rFonts w:hint="eastAsia" w:ascii="宋体" w:hAnsi="宋体" w:cs="宋体"/>
          <w:color w:val="auto"/>
          <w:szCs w:val="21"/>
          <w:highlight w:val="none"/>
          <w:lang w:val="en-US" w:eastAsia="zh-CN"/>
        </w:rPr>
        <w:t>贰</w:t>
      </w:r>
      <w:r>
        <w:rPr>
          <w:rFonts w:hint="eastAsia" w:ascii="宋体" w:hAnsi="宋体" w:cs="宋体"/>
          <w:color w:val="auto"/>
          <w:szCs w:val="21"/>
          <w:highlight w:val="none"/>
        </w:rPr>
        <w:t>级以上(含</w:t>
      </w:r>
      <w:r>
        <w:rPr>
          <w:rFonts w:hint="eastAsia" w:ascii="宋体" w:hAnsi="宋体" w:cs="宋体"/>
          <w:color w:val="auto"/>
          <w:szCs w:val="21"/>
          <w:highlight w:val="none"/>
          <w:lang w:val="en-US" w:eastAsia="zh-CN"/>
        </w:rPr>
        <w:t>贰级</w:t>
      </w:r>
      <w:r>
        <w:rPr>
          <w:rFonts w:hint="eastAsia" w:ascii="宋体" w:hAnsi="宋体" w:cs="宋体"/>
          <w:color w:val="auto"/>
          <w:szCs w:val="21"/>
          <w:highlight w:val="none"/>
        </w:rPr>
        <w:t>)注册建造师资格，并持有省级或以上交通运输行政主管部门颁发的安全生产考核合格证(“三类人员”B 类证书)</w:t>
      </w:r>
      <w:r>
        <w:rPr>
          <w:rFonts w:hint="eastAsia" w:ascii="宋体" w:hAnsi="宋体" w:cs="宋体"/>
          <w:color w:val="auto"/>
          <w:szCs w:val="21"/>
          <w:highlight w:val="none"/>
          <w:lang w:val="en-US" w:eastAsia="zh-CN"/>
        </w:rPr>
        <w:t>。</w:t>
      </w:r>
    </w:p>
    <w:p w14:paraId="090FB96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w:t>
      </w:r>
      <w:bookmarkEnd w:id="14"/>
      <w:bookmarkEnd w:id="15"/>
      <w:bookmarkEnd w:id="16"/>
      <w:bookmarkEnd w:id="17"/>
      <w:r>
        <w:rPr>
          <w:rFonts w:hint="eastAsia" w:ascii="宋体" w:hAnsi="宋体" w:cs="宋体"/>
          <w:b/>
          <w:bCs/>
          <w:color w:val="auto"/>
          <w:sz w:val="24"/>
          <w:highlight w:val="none"/>
        </w:rPr>
        <w:t>获取采购文件</w:t>
      </w:r>
    </w:p>
    <w:p w14:paraId="1B87806A">
      <w:pPr>
        <w:spacing w:line="360" w:lineRule="auto"/>
        <w:ind w:firstLine="420" w:firstLineChars="200"/>
        <w:rPr>
          <w:rFonts w:ascii="宋体" w:hAnsi="宋体" w:cs="宋体"/>
          <w:color w:val="auto"/>
          <w:szCs w:val="21"/>
          <w:highlight w:val="none"/>
        </w:rPr>
      </w:pPr>
      <w:bookmarkStart w:id="23" w:name="_Toc35393624"/>
      <w:bookmarkStart w:id="24" w:name="_Toc28359005"/>
      <w:bookmarkStart w:id="25" w:name="_Toc28359082"/>
      <w:bookmarkStart w:id="26" w:name="_Toc35393793"/>
      <w:r>
        <w:rPr>
          <w:rFonts w:hint="eastAsia" w:ascii="宋体" w:hAnsi="宋体" w:cs="宋体"/>
          <w:color w:val="auto"/>
          <w:szCs w:val="21"/>
          <w:highlight w:val="none"/>
        </w:rPr>
        <w:t>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r>
        <w:rPr>
          <w:rFonts w:hint="eastAsia" w:ascii="宋体" w:hAnsi="宋体" w:cs="宋体"/>
          <w:color w:val="auto"/>
          <w:highlight w:val="none"/>
          <w:u w:val="none"/>
        </w:rPr>
        <w:t>至</w:t>
      </w: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日</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none"/>
        </w:rPr>
        <w:t>每天上午00:00至11:59，下午12:00至23:59（北京时间，法定节假日除外）</w:t>
      </w:r>
      <w:r>
        <w:rPr>
          <w:rFonts w:hint="eastAsia" w:ascii="宋体" w:hAnsi="宋体" w:cs="宋体"/>
          <w:color w:val="auto"/>
          <w:szCs w:val="21"/>
          <w:highlight w:val="none"/>
        </w:rPr>
        <w:t>。</w:t>
      </w:r>
    </w:p>
    <w:p w14:paraId="41FAD0C2">
      <w:pPr>
        <w:spacing w:line="360" w:lineRule="auto"/>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u w:val="none"/>
        </w:rPr>
        <w:t>地点（网址）：广西政府采购云平台（https://www.gcy.zfcg.gxzf.gov.cn/）</w:t>
      </w:r>
    </w:p>
    <w:p w14:paraId="3D3DFBD4">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获取方式: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0F3B0A9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售价：0元。</w:t>
      </w:r>
    </w:p>
    <w:p w14:paraId="796C1FA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四、</w:t>
      </w:r>
      <w:bookmarkEnd w:id="23"/>
      <w:bookmarkEnd w:id="24"/>
      <w:bookmarkEnd w:id="25"/>
      <w:bookmarkEnd w:id="26"/>
      <w:r>
        <w:rPr>
          <w:rFonts w:hint="eastAsia" w:ascii="宋体" w:hAnsi="宋体" w:cs="宋体"/>
          <w:b/>
          <w:bCs/>
          <w:color w:val="auto"/>
          <w:sz w:val="24"/>
          <w:highlight w:val="none"/>
        </w:rPr>
        <w:t>响应文件提交</w:t>
      </w:r>
    </w:p>
    <w:p w14:paraId="776F1A43">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1、截止时间</w:t>
      </w:r>
      <w:r>
        <w:rPr>
          <w:rFonts w:hint="eastAsia" w:ascii="宋体" w:hAnsi="宋体" w:cs="宋体"/>
          <w:bCs/>
          <w:color w:val="auto"/>
          <w:szCs w:val="21"/>
          <w:highlight w:val="none"/>
        </w:rPr>
        <w:t>（北京时间）：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日09点30分</w:t>
      </w:r>
    </w:p>
    <w:p w14:paraId="434EC14F">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2、地点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网址</w:t>
      </w:r>
      <w:r>
        <w:rPr>
          <w:rFonts w:hint="eastAsia" w:ascii="宋体" w:hAnsi="宋体" w:cs="宋体"/>
          <w:color w:val="auto"/>
          <w:szCs w:val="21"/>
          <w:highlight w:val="none"/>
          <w:lang w:eastAsia="zh-CN"/>
        </w:rPr>
        <w:t>）</w:t>
      </w:r>
      <w:r>
        <w:rPr>
          <w:rFonts w:hint="eastAsia" w:ascii="宋体" w:hAnsi="宋体" w:cs="宋体"/>
          <w:color w:val="auto"/>
          <w:szCs w:val="21"/>
          <w:highlight w:val="none"/>
        </w:rPr>
        <w:t>：通过</w:t>
      </w:r>
      <w:r>
        <w:rPr>
          <w:rFonts w:hint="eastAsia" w:ascii="宋体" w:hAnsi="宋体" w:cs="宋体"/>
          <w:color w:val="auto"/>
          <w:szCs w:val="21"/>
          <w:highlight w:val="none"/>
          <w:lang w:eastAsia="zh-CN"/>
        </w:rPr>
        <w:t>广西政府采购</w:t>
      </w:r>
      <w:r>
        <w:rPr>
          <w:rFonts w:hint="eastAsia" w:ascii="宋体" w:hAnsi="宋体" w:cs="宋体"/>
          <w:color w:val="auto"/>
          <w:szCs w:val="21"/>
          <w:highlight w:val="none"/>
        </w:rPr>
        <w:t>云平台实行在线投标响应</w:t>
      </w:r>
      <w:r>
        <w:rPr>
          <w:rFonts w:hint="eastAsia" w:ascii="宋体" w:hAnsi="宋体" w:cs="宋体"/>
          <w:color w:val="auto"/>
          <w:szCs w:val="21"/>
          <w:highlight w:val="none"/>
          <w:lang w:eastAsia="zh-CN"/>
        </w:rPr>
        <w:t>。</w:t>
      </w:r>
    </w:p>
    <w:p w14:paraId="6CABC45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五、响应文件开启</w:t>
      </w:r>
    </w:p>
    <w:p w14:paraId="621B5604">
      <w:pPr>
        <w:spacing w:line="360" w:lineRule="auto"/>
        <w:ind w:firstLine="420" w:firstLineChars="200"/>
        <w:rPr>
          <w:rFonts w:ascii="宋体" w:hAnsi="宋体" w:cs="宋体"/>
          <w:bCs/>
          <w:color w:val="auto"/>
          <w:szCs w:val="21"/>
          <w:highlight w:val="none"/>
          <w:u w:val="single"/>
        </w:rPr>
      </w:pPr>
      <w:bookmarkStart w:id="27" w:name="_Toc28359007"/>
      <w:bookmarkStart w:id="28" w:name="_Toc35393794"/>
      <w:bookmarkStart w:id="29" w:name="_Toc28359084"/>
      <w:bookmarkStart w:id="30" w:name="_Toc35393625"/>
      <w:r>
        <w:rPr>
          <w:rFonts w:hint="eastAsia" w:ascii="宋体" w:hAnsi="宋体" w:cs="宋体"/>
          <w:color w:val="auto"/>
          <w:szCs w:val="21"/>
          <w:highlight w:val="none"/>
        </w:rPr>
        <w:t>1.时间</w:t>
      </w:r>
      <w:r>
        <w:rPr>
          <w:rFonts w:hint="eastAsia" w:ascii="宋体" w:hAnsi="宋体" w:cs="宋体"/>
          <w:bCs/>
          <w:color w:val="auto"/>
          <w:szCs w:val="21"/>
          <w:highlight w:val="none"/>
        </w:rPr>
        <w:t>（北京时间）</w:t>
      </w:r>
      <w:r>
        <w:rPr>
          <w:rFonts w:hint="eastAsia" w:ascii="宋体" w:hAnsi="宋体" w:cs="宋体"/>
          <w:color w:val="auto"/>
          <w:szCs w:val="21"/>
          <w:highlight w:val="none"/>
        </w:rPr>
        <w:t>：</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日09点30分后</w:t>
      </w:r>
    </w:p>
    <w:p w14:paraId="40CBBDEF">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2.地点：港口区中心区红树林大厦东塔7楼政府采购开评标室</w:t>
      </w:r>
      <w:r>
        <w:rPr>
          <w:rFonts w:hint="eastAsia" w:ascii="宋体" w:hAnsi="宋体" w:cs="宋体"/>
          <w:color w:val="auto"/>
          <w:szCs w:val="21"/>
          <w:highlight w:val="none"/>
          <w:lang w:val="en-US" w:eastAsia="zh-CN"/>
        </w:rPr>
        <w:t xml:space="preserve">3 </w:t>
      </w:r>
    </w:p>
    <w:p w14:paraId="505A10D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六、公告期限</w:t>
      </w:r>
      <w:bookmarkEnd w:id="27"/>
      <w:bookmarkEnd w:id="28"/>
      <w:bookmarkEnd w:id="29"/>
      <w:bookmarkEnd w:id="30"/>
    </w:p>
    <w:p w14:paraId="23B3BA2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14F9362F">
      <w:pPr>
        <w:spacing w:line="360" w:lineRule="auto"/>
        <w:ind w:firstLine="482" w:firstLineChars="200"/>
        <w:rPr>
          <w:rFonts w:ascii="宋体" w:hAnsi="宋体" w:cs="宋体"/>
          <w:b/>
          <w:bCs/>
          <w:color w:val="auto"/>
          <w:sz w:val="24"/>
          <w:highlight w:val="none"/>
        </w:rPr>
      </w:pPr>
      <w:bookmarkStart w:id="31" w:name="_Toc35393795"/>
      <w:bookmarkStart w:id="32" w:name="_Toc35393626"/>
      <w:r>
        <w:rPr>
          <w:rFonts w:hint="eastAsia" w:ascii="宋体" w:hAnsi="宋体" w:cs="宋体"/>
          <w:b/>
          <w:bCs/>
          <w:color w:val="auto"/>
          <w:sz w:val="24"/>
          <w:highlight w:val="none"/>
        </w:rPr>
        <w:t>七、其他补充事宜</w:t>
      </w:r>
      <w:bookmarkEnd w:id="31"/>
      <w:bookmarkEnd w:id="32"/>
    </w:p>
    <w:p w14:paraId="15A765A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1.磋商保证金：本项目不收取磋商保证金</w:t>
      </w:r>
    </w:p>
    <w:p w14:paraId="1455AAB2">
      <w:pPr>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2.采购意向公开链接：</w:t>
      </w:r>
    </w:p>
    <w:p w14:paraId="06153F96">
      <w:pPr>
        <w:spacing w:line="360" w:lineRule="auto"/>
        <w:ind w:firstLine="420" w:firstLineChars="200"/>
        <w:rPr>
          <w:rFonts w:hint="eastAsia" w:ascii="宋体" w:hAnsi="宋体" w:cs="宋体"/>
          <w:color w:val="auto"/>
          <w:kern w:val="0"/>
          <w:szCs w:val="21"/>
          <w:highlight w:val="none"/>
        </w:rPr>
      </w:pPr>
      <w:bookmarkStart w:id="33" w:name="_Hlk37429585"/>
      <w:r>
        <w:rPr>
          <w:rFonts w:hint="eastAsia" w:ascii="宋体" w:hAnsi="宋体" w:cs="宋体"/>
          <w:color w:val="auto"/>
          <w:kern w:val="0"/>
          <w:szCs w:val="21"/>
          <w:highlight w:val="none"/>
        </w:rPr>
        <w:t>http://www.ccgp-guangxi.gov.cn/site/detail?categoryCode=ZcyAnnouncement&amp;parentId=66485&amp;articleId=MCKhd6617D4eS+agbDh3TA==</w:t>
      </w:r>
    </w:p>
    <w:p w14:paraId="3538194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bookmarkStart w:id="34" w:name="_Hlk37429595"/>
      <w:r>
        <w:rPr>
          <w:rFonts w:hint="eastAsia" w:ascii="宋体" w:hAnsi="宋体" w:cs="宋体"/>
          <w:color w:val="auto"/>
          <w:kern w:val="0"/>
          <w:szCs w:val="21"/>
          <w:highlight w:val="none"/>
        </w:rPr>
        <w:t>网上查询地址</w:t>
      </w:r>
    </w:p>
    <w:bookmarkEnd w:id="33"/>
    <w:bookmarkEnd w:id="34"/>
    <w:p w14:paraId="1BCF1F1A">
      <w:pPr>
        <w:spacing w:line="360" w:lineRule="auto"/>
        <w:ind w:firstLine="420" w:firstLineChars="200"/>
        <w:rPr>
          <w:rFonts w:hint="eastAsia" w:ascii="宋体" w:hAnsi="宋体" w:cs="宋体"/>
          <w:color w:val="auto"/>
          <w:kern w:val="0"/>
          <w:szCs w:val="21"/>
          <w:highlight w:val="none"/>
        </w:rPr>
      </w:pPr>
      <w:bookmarkStart w:id="35" w:name="_Hlk37429674"/>
      <w:r>
        <w:rPr>
          <w:rFonts w:hint="eastAsia" w:ascii="宋体" w:hAnsi="宋体" w:cs="宋体"/>
          <w:color w:val="auto"/>
          <w:kern w:val="0"/>
          <w:szCs w:val="21"/>
          <w:highlight w:val="none"/>
        </w:rPr>
        <w:t>中国政府采购网（www.ccgp.gov.cn）、广西壮族自治区政府采购网（http://zfcg.gxzf.gov.cn/）、全国公共资源交易平台(广西·防城港)（http://ggzy.jgswj.gxzf.gov.cn/fcgggzy/）</w:t>
      </w:r>
    </w:p>
    <w:p w14:paraId="37DC6B13">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4.申请人的资格要求补充内容</w:t>
      </w:r>
    </w:p>
    <w:p w14:paraId="3C71DA1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8853A8D">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对在“信用中国”网站(www.creditchina.gov.cn) 、中国政府采购网(www.ccgp.gov.cn)被列入失信被执行人、</w:t>
      </w:r>
      <w:r>
        <w:rPr>
          <w:rFonts w:hint="eastAsia" w:ascii="宋体" w:hAnsi="宋体" w:cs="宋体"/>
          <w:color w:val="auto"/>
          <w:kern w:val="0"/>
          <w:szCs w:val="21"/>
          <w:highlight w:val="none"/>
          <w:lang w:eastAsia="zh-CN"/>
        </w:rPr>
        <w:t>重大税收违法失信主体</w:t>
      </w:r>
      <w:r>
        <w:rPr>
          <w:rFonts w:hint="eastAsia" w:ascii="宋体" w:hAnsi="宋体" w:cs="宋体"/>
          <w:color w:val="auto"/>
          <w:kern w:val="0"/>
          <w:szCs w:val="21"/>
          <w:highlight w:val="none"/>
        </w:rPr>
        <w:t>、政府采购严重违法失信行为记录名单及其他不符合《中华人民共和国政府采购法》第二十二条规定条件的供应商，不得参与政府采购活动。</w:t>
      </w:r>
    </w:p>
    <w:p w14:paraId="3869C1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kern w:val="0"/>
          <w:szCs w:val="21"/>
          <w:highlight w:val="none"/>
        </w:rPr>
        <w:t>本项目需要落实的政府采购政策</w:t>
      </w:r>
    </w:p>
    <w:bookmarkEnd w:id="35"/>
    <w:p w14:paraId="3F4A7600">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7EB5A861">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102592EE">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（3）政府采购促进残疾人就业政策。</w:t>
      </w:r>
    </w:p>
    <w:p w14:paraId="7BDB4541">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（4）政府采购支持监狱企业发展。</w:t>
      </w:r>
    </w:p>
    <w:p w14:paraId="4EFB97CD">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.在线竞标响应（电子竞标）说明及注意事项</w:t>
      </w:r>
    </w:p>
    <w:p w14:paraId="026D036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通过广西政府采购云平台实行在线电子响应，供应商应先安装“广西政府采购云平台电子交易客户端”（请自行前往广西政府采购云平台进行下载），并按照本项目采购文件和广西政府采购云平台的要求编制、加密后在响应文件递交截止时间前通过网络上传至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投标具体操作流程；在使用广西政府采购云平台投标客户端时，建议使用WIN7及以上操作系统。</w:t>
      </w:r>
    </w:p>
    <w:p w14:paraId="031CE71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使用“广西政府采购云平台电子交易客户端”需要提前申领CA数字证书，供应商应当在响应文件递交截止时间前，完成电子交易平台上的CA数字证书办理（完成CA数字证书办理预计要一周左右，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平台客服热线：95763）。</w:t>
      </w:r>
    </w:p>
    <w:p w14:paraId="31902B6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供应商应当在响应截止时间前，将生成的“电子响应文件”上传递交至广西政府采购云平台。响应文件递交截止时间前可以撤回电子响应文件。补充或者修改电子响应文件的，应当先行撤回原文件，补充、修改后重新上传递交，响应文件递交截止时间前未完成上传的，视为撤回响应文件；响应文件递交截止时间以后上传递交的响应文件，广西政府采购云平台将予以拒收。</w:t>
      </w:r>
    </w:p>
    <w:p w14:paraId="02D34A0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（4）CA证书在线解密：供应商竞标响应时，需用有效数字证书（CA认证）登录广西政府采购云平台电子开标大厅现场，在截标时间后30分钟内对加密的响应文件进行解密，否则后果自负。</w:t>
      </w:r>
    </w:p>
    <w:p w14:paraId="6BCD2CAA">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（5）本项目需要供应商代表在截标后，按磋商小组要求及时登陆广西政府采购云平台等候在线磋商及提交最后报价。</w:t>
      </w:r>
    </w:p>
    <w:p w14:paraId="093ABF8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（6）为确保网上操作合法、有效和安全，请供应商确保在电子响应过程中能够对相关数据电文进行加密和使用电子签章，妥善保管CA数字证书并使用有效的CA数字证书参与整个竞标活动。</w:t>
      </w:r>
    </w:p>
    <w:p w14:paraId="2939DD8A">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若对项目采购电子交易系统操作有疑问，可登录“广西政府采购云平台”https://www.gcy.zfcg.gxzf.gov.cn），点击右侧咨询小采，获取采小蜜智能服务管家帮助，或拨打广西政府采购云平台服务热线95763获取热线服务帮助。  </w:t>
      </w:r>
    </w:p>
    <w:p w14:paraId="46F0DC3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监督部门：上思县政府采购中心，电话：0770-8521708。</w:t>
      </w:r>
    </w:p>
    <w:p w14:paraId="1D7E78D3">
      <w:pPr>
        <w:spacing w:line="360" w:lineRule="auto"/>
        <w:ind w:firstLine="420" w:firstLineChars="200"/>
        <w:rPr>
          <w:rFonts w:hint="eastAsia" w:ascii="宋体" w:hAnsi="宋体" w:cs="宋体"/>
          <w:b w:val="0"/>
          <w:bCs w:val="0"/>
          <w:color w:val="auto"/>
          <w:kern w:val="0"/>
          <w:szCs w:val="21"/>
          <w:highlight w:val="none"/>
        </w:rPr>
      </w:pPr>
      <w:r>
        <w:rPr>
          <w:rFonts w:hint="eastAsia" w:ascii="宋体" w:hAnsi="宋体" w:cs="宋体"/>
          <w:b w:val="0"/>
          <w:bCs w:val="0"/>
          <w:color w:val="auto"/>
          <w:kern w:val="0"/>
          <w:szCs w:val="21"/>
          <w:highlight w:val="none"/>
          <w:lang w:val="en-US" w:eastAsia="zh-CN"/>
        </w:rPr>
        <w:t>9</w:t>
      </w:r>
      <w:r>
        <w:rPr>
          <w:rFonts w:hint="eastAsia" w:ascii="宋体" w:hAnsi="宋体" w:cs="宋体"/>
          <w:b w:val="0"/>
          <w:bCs w:val="0"/>
          <w:color w:val="auto"/>
          <w:kern w:val="0"/>
          <w:szCs w:val="21"/>
          <w:highlight w:val="none"/>
        </w:rPr>
        <w:t>.评标说明：本项目为远程异地全流程电子评标。</w:t>
      </w:r>
    </w:p>
    <w:p w14:paraId="0CE841C9">
      <w:pPr>
        <w:spacing w:line="360" w:lineRule="auto"/>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0070EB82">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w:t>
      </w:r>
      <w:bookmarkStart w:id="36" w:name="_Toc10702"/>
      <w:r>
        <w:rPr>
          <w:rFonts w:hint="eastAsia" w:ascii="宋体" w:hAnsi="宋体" w:cs="宋体"/>
          <w:color w:val="auto"/>
          <w:szCs w:val="21"/>
          <w:highlight w:val="none"/>
        </w:rPr>
        <w:t>1.采购人信息</w:t>
      </w:r>
    </w:p>
    <w:p w14:paraId="59D8DF19">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上思县农业农村局</w:t>
      </w:r>
    </w:p>
    <w:p w14:paraId="2D66BF68">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上思县思阳镇仁甫西路农业农村局</w:t>
      </w:r>
    </w:p>
    <w:p w14:paraId="63213EF6">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陆俊吉</w:t>
      </w:r>
    </w:p>
    <w:p w14:paraId="0E34F655">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0770-8509177</w:t>
      </w:r>
    </w:p>
    <w:p w14:paraId="78C8163E">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14:paraId="30554A24">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广西中泽诚信工程项目管理有限公司</w:t>
      </w:r>
    </w:p>
    <w:p w14:paraId="6A4932D2">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bCs/>
          <w:color w:val="auto"/>
          <w:kern w:val="0"/>
          <w:szCs w:val="21"/>
          <w:highlight w:val="none"/>
        </w:rPr>
        <w:t>南宁市青秀区中柬路8号龙光世纪B座4228</w:t>
      </w:r>
      <w:r>
        <w:rPr>
          <w:rFonts w:hint="eastAsia" w:ascii="宋体" w:hAnsi="宋体" w:cs="宋体"/>
          <w:bCs/>
          <w:color w:val="auto"/>
          <w:kern w:val="0"/>
          <w:szCs w:val="21"/>
          <w:highlight w:val="none"/>
          <w:lang w:val="en-US" w:eastAsia="zh-CN"/>
        </w:rPr>
        <w:t>号</w:t>
      </w:r>
    </w:p>
    <w:p w14:paraId="0CAC1FBB">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bCs/>
          <w:color w:val="auto"/>
          <w:kern w:val="0"/>
          <w:szCs w:val="21"/>
          <w:highlight w:val="none"/>
          <w:lang w:val="en-US" w:eastAsia="zh-CN"/>
        </w:rPr>
        <w:t>雷芳莉、冯馨尹</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联系电话：</w:t>
      </w:r>
      <w:r>
        <w:rPr>
          <w:rFonts w:hint="eastAsia" w:ascii="宋体" w:hAnsi="宋体" w:cs="宋体"/>
          <w:bCs/>
          <w:color w:val="auto"/>
          <w:kern w:val="0"/>
          <w:szCs w:val="21"/>
          <w:highlight w:val="none"/>
          <w:lang w:val="en-US" w:eastAsia="zh-CN"/>
        </w:rPr>
        <w:t>0771-8096968</w:t>
      </w:r>
    </w:p>
    <w:p w14:paraId="6FAC8848">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3.项目联系方式</w:t>
      </w:r>
    </w:p>
    <w:p w14:paraId="14103BE6">
      <w:pPr>
        <w:spacing w:line="360" w:lineRule="auto"/>
        <w:ind w:firstLine="735" w:firstLineChars="350"/>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bCs/>
          <w:color w:val="auto"/>
          <w:kern w:val="0"/>
          <w:szCs w:val="21"/>
          <w:highlight w:val="none"/>
          <w:lang w:val="en-US" w:eastAsia="zh-CN"/>
        </w:rPr>
        <w:t>雷芳莉、冯馨尹</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电话：</w:t>
      </w:r>
      <w:r>
        <w:rPr>
          <w:rFonts w:hint="eastAsia" w:ascii="宋体" w:hAnsi="宋体" w:cs="宋体"/>
          <w:bCs/>
          <w:color w:val="auto"/>
          <w:kern w:val="0"/>
          <w:szCs w:val="21"/>
          <w:highlight w:val="none"/>
          <w:lang w:val="en-US" w:eastAsia="zh-CN"/>
        </w:rPr>
        <w:t>0771-8096968</w:t>
      </w:r>
    </w:p>
    <w:p w14:paraId="13B11FD1">
      <w:pPr>
        <w:spacing w:line="360" w:lineRule="auto"/>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广西中泽诚信工程项目管理有限公司</w:t>
      </w:r>
    </w:p>
    <w:p w14:paraId="5C56F9C2">
      <w:pPr>
        <w:spacing w:line="360" w:lineRule="auto"/>
        <w:ind w:firstLine="210" w:firstLineChars="100"/>
        <w:jc w:val="right"/>
        <w:rPr>
          <w:rFonts w:ascii="宋体" w:hAnsi="宋体" w:cs="宋体"/>
          <w:color w:val="auto"/>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p>
    <w:p w14:paraId="14960183">
      <w:pPr>
        <w:spacing w:line="360" w:lineRule="auto"/>
        <w:ind w:firstLine="210" w:firstLineChars="100"/>
        <w:jc w:val="right"/>
        <w:rPr>
          <w:rFonts w:ascii="宋体" w:hAnsi="宋体" w:cs="宋体"/>
          <w:color w:val="auto"/>
          <w:highlight w:val="none"/>
        </w:rPr>
      </w:pPr>
    </w:p>
    <w:p w14:paraId="5FDC8921">
      <w:pPr>
        <w:widowControl/>
        <w:spacing w:line="360" w:lineRule="auto"/>
        <w:jc w:val="left"/>
        <w:rPr>
          <w:rFonts w:ascii="宋体" w:hAnsi="宋体" w:cs="宋体"/>
          <w:color w:val="auto"/>
          <w:sz w:val="24"/>
          <w:highlight w:val="none"/>
          <w:lang w:val="zh-CN"/>
        </w:rPr>
        <w:sectPr>
          <w:footerReference r:id="rId6" w:type="default"/>
          <w:pgSz w:w="11906" w:h="16838"/>
          <w:pgMar w:top="1134" w:right="1134" w:bottom="1134" w:left="1134" w:header="720" w:footer="720" w:gutter="0"/>
          <w:cols w:space="720" w:num="1"/>
          <w:docGrid w:type="lines" w:linePitch="331" w:charSpace="0"/>
        </w:sectPr>
      </w:pPr>
    </w:p>
    <w:p w14:paraId="5F3FC33F">
      <w:pPr>
        <w:pStyle w:val="2"/>
        <w:jc w:val="center"/>
        <w:rPr>
          <w:rFonts w:ascii="宋体" w:hAnsi="宋体" w:cs="宋体"/>
          <w:color w:val="auto"/>
          <w:highlight w:val="none"/>
        </w:rPr>
      </w:pPr>
      <w:r>
        <w:rPr>
          <w:rFonts w:hint="eastAsia" w:ascii="宋体" w:hAnsi="宋体" w:cs="宋体"/>
          <w:bCs w:val="0"/>
          <w:color w:val="auto"/>
          <w:sz w:val="32"/>
          <w:szCs w:val="32"/>
          <w:highlight w:val="none"/>
        </w:rPr>
        <w:t>第二章 采购需求</w:t>
      </w:r>
      <w:bookmarkEnd w:id="36"/>
    </w:p>
    <w:p w14:paraId="7F1980E2">
      <w:pPr>
        <w:pStyle w:val="9"/>
        <w:spacing w:line="420" w:lineRule="exact"/>
        <w:rPr>
          <w:rFonts w:hint="eastAsia" w:ascii="宋体" w:hAnsi="宋体" w:cs="宋体"/>
          <w:color w:val="auto"/>
          <w:szCs w:val="21"/>
          <w:highlight w:val="none"/>
        </w:rPr>
      </w:pPr>
      <w:r>
        <w:rPr>
          <w:rFonts w:hint="eastAsia" w:ascii="宋体" w:hAnsi="宋体" w:cs="宋体"/>
          <w:color w:val="auto"/>
          <w:szCs w:val="21"/>
          <w:highlight w:val="none"/>
        </w:rPr>
        <w:t>说明：</w:t>
      </w:r>
    </w:p>
    <w:p w14:paraId="791B24F5">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为落实政府采购政策需满足的要求（根据项目实际情况填写内容）</w:t>
      </w:r>
    </w:p>
    <w:p w14:paraId="22E07AB8">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02688DFA">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3893622C">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2.“实质性要求”是指采购需求中带“▲”的条款或者不能负偏离的条款或者已经指明不满足按响应文件作无效处理的条款。</w:t>
      </w:r>
    </w:p>
    <w:p w14:paraId="3A135887">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不需要供应商对采购需求响应为具体数值的，此采购需求的数值后将以◆号标注。</w:t>
      </w:r>
    </w:p>
    <w:p w14:paraId="3F65E53F">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如竞标人竞标产品存在侵犯他人的知识产权或者专利成果行为的，应承担相应法律责任。</w:t>
      </w:r>
    </w:p>
    <w:p w14:paraId="6751923E">
      <w:pPr>
        <w:pStyle w:val="9"/>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.本采购标的所属行业：</w:t>
      </w:r>
      <w:r>
        <w:rPr>
          <w:rFonts w:hint="eastAsia" w:ascii="宋体" w:hAnsi="宋体" w:cs="宋体"/>
          <w:color w:val="auto"/>
          <w:szCs w:val="21"/>
          <w:highlight w:val="none"/>
          <w:lang w:val="en-US" w:eastAsia="zh-CN"/>
        </w:rPr>
        <w:t>建筑业</w:t>
      </w:r>
      <w:r>
        <w:rPr>
          <w:rFonts w:hint="eastAsia" w:ascii="宋体" w:hAnsi="宋体" w:cs="宋体"/>
          <w:color w:val="auto"/>
          <w:szCs w:val="21"/>
          <w:highlight w:val="none"/>
        </w:rPr>
        <w:t>（详见附件 1 ）。</w:t>
      </w:r>
    </w:p>
    <w:tbl>
      <w:tblPr>
        <w:tblStyle w:val="27"/>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20"/>
        <w:gridCol w:w="1348"/>
        <w:gridCol w:w="464"/>
        <w:gridCol w:w="642"/>
        <w:gridCol w:w="4787"/>
        <w:gridCol w:w="727"/>
        <w:gridCol w:w="1188"/>
      </w:tblGrid>
      <w:tr w14:paraId="3EAF10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right w:val="single" w:color="auto" w:sz="4" w:space="0"/>
            </w:tcBorders>
            <w:vAlign w:val="center"/>
          </w:tcPr>
          <w:p w14:paraId="1A8DF974">
            <w:pPr>
              <w:spacing w:line="360" w:lineRule="exact"/>
              <w:jc w:val="center"/>
              <w:rPr>
                <w:rFonts w:ascii="宋体" w:hAnsi="宋体" w:cs="宋体"/>
                <w:b/>
                <w:color w:val="auto"/>
                <w:sz w:val="24"/>
                <w:highlight w:val="none"/>
              </w:rPr>
            </w:pPr>
            <w:r>
              <w:rPr>
                <w:rFonts w:hint="eastAsia" w:ascii="宋体" w:hAnsi="宋体" w:cs="宋体"/>
                <w:b/>
                <w:color w:val="auto"/>
                <w:sz w:val="32"/>
                <w:szCs w:val="32"/>
                <w:highlight w:val="none"/>
              </w:rPr>
              <w:t>服务需求一览表</w:t>
            </w:r>
          </w:p>
        </w:tc>
      </w:tr>
      <w:tr w14:paraId="112E94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tcBorders>
              <w:top w:val="single" w:color="auto" w:sz="4" w:space="0"/>
              <w:left w:val="single" w:color="auto" w:sz="4" w:space="0"/>
              <w:right w:val="single" w:color="auto" w:sz="4" w:space="0"/>
            </w:tcBorders>
          </w:tcPr>
          <w:p w14:paraId="3949514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BB7A55">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标项</w:t>
            </w:r>
          </w:p>
        </w:tc>
        <w:tc>
          <w:tcPr>
            <w:tcW w:w="1348" w:type="dxa"/>
            <w:tcBorders>
              <w:top w:val="single" w:color="auto" w:sz="4" w:space="0"/>
              <w:left w:val="single" w:color="auto" w:sz="4" w:space="0"/>
              <w:bottom w:val="single" w:color="auto" w:sz="4" w:space="0"/>
              <w:right w:val="single" w:color="auto" w:sz="4" w:space="0"/>
            </w:tcBorders>
            <w:vAlign w:val="center"/>
          </w:tcPr>
          <w:p w14:paraId="1F8DA05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采购服务名称</w:t>
            </w:r>
          </w:p>
        </w:tc>
        <w:tc>
          <w:tcPr>
            <w:tcW w:w="464" w:type="dxa"/>
            <w:tcBorders>
              <w:top w:val="single" w:color="auto" w:sz="4" w:space="0"/>
              <w:left w:val="single" w:color="auto" w:sz="4" w:space="0"/>
              <w:bottom w:val="single" w:color="auto" w:sz="4" w:space="0"/>
              <w:right w:val="single" w:color="auto" w:sz="4" w:space="0"/>
            </w:tcBorders>
            <w:vAlign w:val="center"/>
          </w:tcPr>
          <w:p w14:paraId="34B7ED8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642" w:type="dxa"/>
            <w:tcBorders>
              <w:top w:val="single" w:color="auto" w:sz="4" w:space="0"/>
              <w:left w:val="single" w:color="auto" w:sz="4" w:space="0"/>
              <w:bottom w:val="single" w:color="auto" w:sz="4" w:space="0"/>
              <w:right w:val="single" w:color="auto" w:sz="4" w:space="0"/>
            </w:tcBorders>
            <w:vAlign w:val="center"/>
          </w:tcPr>
          <w:p w14:paraId="313C054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787" w:type="dxa"/>
            <w:tcBorders>
              <w:top w:val="single" w:color="auto" w:sz="4" w:space="0"/>
              <w:left w:val="single" w:color="auto" w:sz="4" w:space="0"/>
              <w:bottom w:val="single" w:color="auto" w:sz="4" w:space="0"/>
              <w:right w:val="single" w:color="auto" w:sz="4" w:space="0"/>
            </w:tcBorders>
            <w:vAlign w:val="center"/>
          </w:tcPr>
          <w:p w14:paraId="1807A89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727" w:type="dxa"/>
            <w:tcBorders>
              <w:top w:val="single" w:color="auto" w:sz="4" w:space="0"/>
              <w:left w:val="single" w:color="auto" w:sz="4" w:space="0"/>
              <w:bottom w:val="single" w:color="auto" w:sz="4" w:space="0"/>
              <w:right w:val="single" w:color="auto" w:sz="4" w:space="0"/>
            </w:tcBorders>
            <w:vAlign w:val="center"/>
          </w:tcPr>
          <w:p w14:paraId="2C257701">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分项预算合计（元）</w:t>
            </w:r>
          </w:p>
        </w:tc>
        <w:tc>
          <w:tcPr>
            <w:tcW w:w="1188" w:type="dxa"/>
            <w:tcBorders>
              <w:top w:val="single" w:color="auto" w:sz="4" w:space="0"/>
              <w:left w:val="single" w:color="auto" w:sz="4" w:space="0"/>
              <w:bottom w:val="single" w:color="auto" w:sz="4" w:space="0"/>
              <w:right w:val="single" w:color="auto" w:sz="4" w:space="0"/>
            </w:tcBorders>
            <w:vAlign w:val="center"/>
          </w:tcPr>
          <w:p w14:paraId="2938F64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中小企业划分标准所属行业名称（行业名称及划分见本章附件1）</w:t>
            </w:r>
          </w:p>
        </w:tc>
      </w:tr>
      <w:tr w14:paraId="75289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545" w:type="dxa"/>
            <w:tcBorders>
              <w:left w:val="single" w:color="auto" w:sz="4" w:space="0"/>
              <w:right w:val="single" w:color="auto" w:sz="4" w:space="0"/>
            </w:tcBorders>
          </w:tcPr>
          <w:p w14:paraId="7966CB7F">
            <w:pPr>
              <w:spacing w:line="360" w:lineRule="exact"/>
              <w:jc w:val="center"/>
              <w:rPr>
                <w:rFonts w:ascii="宋体" w:hAnsi="宋体" w:cs="宋体"/>
                <w:b/>
                <w:bCs/>
                <w:color w:val="auto"/>
                <w:highlight w:val="none"/>
              </w:rPr>
            </w:pPr>
          </w:p>
        </w:tc>
        <w:tc>
          <w:tcPr>
            <w:tcW w:w="420" w:type="dxa"/>
            <w:tcBorders>
              <w:top w:val="single" w:color="auto" w:sz="4" w:space="0"/>
              <w:left w:val="single" w:color="auto" w:sz="4" w:space="0"/>
              <w:right w:val="single" w:color="auto" w:sz="4" w:space="0"/>
            </w:tcBorders>
            <w:vAlign w:val="center"/>
          </w:tcPr>
          <w:p w14:paraId="13C962C8">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348" w:type="dxa"/>
            <w:tcBorders>
              <w:top w:val="single" w:color="auto" w:sz="4" w:space="0"/>
              <w:left w:val="single" w:color="auto" w:sz="4" w:space="0"/>
              <w:right w:val="single" w:color="auto" w:sz="4" w:space="0"/>
            </w:tcBorders>
            <w:vAlign w:val="center"/>
          </w:tcPr>
          <w:p w14:paraId="6E97B2BF">
            <w:pPr>
              <w:snapToGrid w:val="0"/>
              <w:spacing w:line="360" w:lineRule="exact"/>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2026年上思县昌墩、昌菱产业道路项目</w:t>
            </w:r>
          </w:p>
        </w:tc>
        <w:tc>
          <w:tcPr>
            <w:tcW w:w="464" w:type="dxa"/>
            <w:tcBorders>
              <w:top w:val="single" w:color="auto" w:sz="4" w:space="0"/>
              <w:left w:val="single" w:color="auto" w:sz="4" w:space="0"/>
              <w:right w:val="single" w:color="auto" w:sz="4" w:space="0"/>
            </w:tcBorders>
            <w:vAlign w:val="center"/>
          </w:tcPr>
          <w:p w14:paraId="5CB6FC67">
            <w:pPr>
              <w:snapToGrid w:val="0"/>
              <w:spacing w:line="36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642" w:type="dxa"/>
            <w:tcBorders>
              <w:top w:val="single" w:color="auto" w:sz="4" w:space="0"/>
              <w:left w:val="single" w:color="auto" w:sz="4" w:space="0"/>
              <w:right w:val="single" w:color="auto" w:sz="4" w:space="0"/>
            </w:tcBorders>
            <w:vAlign w:val="center"/>
          </w:tcPr>
          <w:p w14:paraId="4BCF504C">
            <w:pPr>
              <w:snapToGrid w:val="0"/>
              <w:spacing w:line="36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4787" w:type="dxa"/>
            <w:tcBorders>
              <w:top w:val="single" w:color="auto" w:sz="4" w:space="0"/>
              <w:left w:val="single" w:color="auto" w:sz="4" w:space="0"/>
              <w:right w:val="single" w:color="auto" w:sz="4" w:space="0"/>
            </w:tcBorders>
            <w:vAlign w:val="center"/>
          </w:tcPr>
          <w:p w14:paraId="418979C9">
            <w:pPr>
              <w:pStyle w:val="36"/>
              <w:jc w:val="left"/>
              <w:rPr>
                <w:rFonts w:hint="default"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一、建设地点：上思县国有昌菱农场</w:t>
            </w:r>
          </w:p>
          <w:p w14:paraId="2486168E">
            <w:pPr>
              <w:pStyle w:val="36"/>
              <w:jc w:val="left"/>
              <w:rPr>
                <w:rFonts w:hint="eastAsia" w:ascii="宋体" w:hAnsi="宋体" w:eastAsia="宋体" w:cs="宋体"/>
                <w:b w:val="0"/>
                <w:bCs/>
                <w:color w:val="auto"/>
                <w:highlight w:val="none"/>
                <w:lang w:val="en-US" w:eastAsia="zh-CN"/>
              </w:rPr>
            </w:pPr>
            <w:r>
              <w:rPr>
                <w:rFonts w:hint="eastAsia" w:ascii="宋体" w:hAnsi="宋体" w:eastAsia="宋体" w:cs="宋体"/>
                <w:color w:val="auto"/>
                <w:highlight w:val="none"/>
                <w:lang w:val="en-US" w:eastAsia="zh-CN"/>
              </w:rPr>
              <w:t>二、</w:t>
            </w:r>
            <w:r>
              <w:rPr>
                <w:rFonts w:hint="eastAsia" w:ascii="宋体" w:hAnsi="宋体" w:eastAsia="宋体" w:cs="宋体"/>
                <w:b w:val="0"/>
                <w:bCs/>
                <w:color w:val="auto"/>
                <w:highlight w:val="none"/>
                <w:lang w:val="en-US" w:eastAsia="zh-CN"/>
              </w:rPr>
              <w:t>工程规模及内容：2026年上思县昌墩、昌菱产业道路项目，产业道路硬化总长度1435米、喇叭口4个，总面积44平方米、竣工标志牌1座等。具体内容见本项目工程量清单及图纸。</w:t>
            </w:r>
          </w:p>
          <w:p w14:paraId="29CA4340">
            <w:pPr>
              <w:rPr>
                <w:rFonts w:hint="eastAsia" w:ascii="宋体" w:hAnsi="宋体" w:eastAsia="宋体" w:cs="宋体"/>
                <w:color w:val="auto"/>
                <w:highlight w:val="none"/>
              </w:rPr>
            </w:pPr>
            <w:r>
              <w:rPr>
                <w:rFonts w:hint="eastAsia" w:ascii="宋体" w:hAnsi="宋体" w:cs="宋体"/>
                <w:color w:val="auto"/>
                <w:highlight w:val="none"/>
                <w:lang w:val="en-US" w:eastAsia="zh-CN"/>
              </w:rPr>
              <w:t>三</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技术标准：</w:t>
            </w:r>
            <w:r>
              <w:rPr>
                <w:rFonts w:hint="eastAsia" w:ascii="宋体" w:hAnsi="宋体" w:eastAsia="宋体" w:cs="宋体"/>
                <w:color w:val="auto"/>
                <w:highlight w:val="none"/>
                <w:lang w:val="en-US" w:eastAsia="zh-CN"/>
              </w:rPr>
              <w:t>按交通部颁发的《公路工程技术标准》（JTG B01-2014）规定四级公路标准，并参照《小交通量农村公路工程技术标准》（JTG 2111—2019）</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符合现行国家相关标准、行业标准、地方标准或者其他标准、规范。</w:t>
            </w:r>
            <w:r>
              <w:rPr>
                <w:rFonts w:hint="eastAsia" w:ascii="宋体" w:hAnsi="宋体" w:eastAsia="宋体" w:cs="宋体"/>
                <w:color w:val="auto"/>
                <w:highlight w:val="none"/>
                <w:lang w:val="en-US" w:eastAsia="zh-CN"/>
              </w:rPr>
              <w:t>如</w:t>
            </w:r>
            <w:r>
              <w:rPr>
                <w:rFonts w:hint="eastAsia" w:ascii="宋体" w:hAnsi="宋体" w:eastAsia="宋体" w:cs="宋体"/>
                <w:color w:val="auto"/>
                <w:highlight w:val="none"/>
                <w:lang w:eastAsia="zh-CN"/>
              </w:rPr>
              <w:t>国家、行业和地方有新的规范、标准、规程出台的，应执行新的规范、标准、规程。</w:t>
            </w:r>
          </w:p>
        </w:tc>
        <w:tc>
          <w:tcPr>
            <w:tcW w:w="727" w:type="dxa"/>
            <w:tcBorders>
              <w:top w:val="single" w:color="auto" w:sz="4" w:space="0"/>
              <w:left w:val="single" w:color="auto" w:sz="4" w:space="0"/>
              <w:right w:val="single" w:color="auto" w:sz="4" w:space="0"/>
            </w:tcBorders>
            <w:vAlign w:val="center"/>
          </w:tcPr>
          <w:p w14:paraId="22B0358F">
            <w:pPr>
              <w:spacing w:line="360" w:lineRule="exact"/>
              <w:jc w:val="center"/>
              <w:rPr>
                <w:rFonts w:hint="default" w:ascii="宋体" w:hAnsi="宋体" w:cs="宋体"/>
                <w:color w:val="auto"/>
                <w:szCs w:val="21"/>
                <w:highlight w:val="none"/>
                <w:lang w:val="en-US"/>
              </w:rPr>
            </w:pPr>
            <w:r>
              <w:rPr>
                <w:rFonts w:hint="default" w:ascii="宋体" w:hAnsi="宋体" w:cs="宋体"/>
                <w:color w:val="auto"/>
                <w:szCs w:val="21"/>
                <w:highlight w:val="none"/>
                <w:lang w:val="en-US"/>
              </w:rPr>
              <w:t>578119.00</w:t>
            </w:r>
          </w:p>
        </w:tc>
        <w:tc>
          <w:tcPr>
            <w:tcW w:w="1188" w:type="dxa"/>
            <w:tcBorders>
              <w:top w:val="single" w:color="auto" w:sz="4" w:space="0"/>
              <w:left w:val="single" w:color="auto" w:sz="4" w:space="0"/>
              <w:right w:val="single" w:color="auto" w:sz="4" w:space="0"/>
            </w:tcBorders>
            <w:vAlign w:val="center"/>
          </w:tcPr>
          <w:p w14:paraId="145335C1">
            <w:pPr>
              <w:spacing w:line="36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建筑业</w:t>
            </w:r>
          </w:p>
        </w:tc>
      </w:tr>
      <w:tr w14:paraId="72DDA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2313" w:type="dxa"/>
            <w:gridSpan w:val="3"/>
            <w:tcBorders>
              <w:top w:val="single" w:color="auto" w:sz="4" w:space="0"/>
              <w:left w:val="single" w:color="auto" w:sz="4" w:space="0"/>
              <w:bottom w:val="single" w:color="auto" w:sz="4" w:space="0"/>
              <w:right w:val="single" w:color="auto" w:sz="4" w:space="0"/>
            </w:tcBorders>
          </w:tcPr>
          <w:p w14:paraId="4AC23C5D">
            <w:pPr>
              <w:spacing w:line="360" w:lineRule="exact"/>
              <w:jc w:val="center"/>
              <w:rPr>
                <w:rFonts w:ascii="宋体" w:hAnsi="宋体" w:cs="宋体"/>
                <w:color w:val="auto"/>
                <w:highlight w:val="none"/>
              </w:rPr>
            </w:pPr>
          </w:p>
          <w:p w14:paraId="521000FB">
            <w:pPr>
              <w:spacing w:line="360" w:lineRule="exact"/>
              <w:jc w:val="center"/>
              <w:rPr>
                <w:rFonts w:ascii="宋体" w:hAnsi="宋体" w:cs="宋体"/>
                <w:color w:val="auto"/>
                <w:highlight w:val="none"/>
              </w:rPr>
            </w:pPr>
          </w:p>
          <w:p w14:paraId="3F973325">
            <w:pPr>
              <w:spacing w:line="360" w:lineRule="exact"/>
              <w:jc w:val="center"/>
              <w:rPr>
                <w:rFonts w:hint="eastAsia" w:ascii="宋体" w:hAnsi="宋体" w:eastAsia="宋体" w:cs="宋体"/>
                <w:color w:val="auto"/>
                <w:highlight w:val="none"/>
                <w:lang w:eastAsia="zh-CN"/>
              </w:rPr>
            </w:pPr>
            <w:r>
              <w:rPr>
                <w:rFonts w:hint="eastAsia" w:ascii="宋体" w:hAnsi="宋体" w:cs="宋体"/>
                <w:color w:val="auto"/>
                <w:highlight w:val="none"/>
              </w:rPr>
              <w:t>商务条款</w:t>
            </w:r>
          </w:p>
        </w:tc>
        <w:tc>
          <w:tcPr>
            <w:tcW w:w="7808" w:type="dxa"/>
            <w:gridSpan w:val="5"/>
            <w:tcBorders>
              <w:top w:val="single" w:color="auto" w:sz="4" w:space="0"/>
              <w:left w:val="single" w:color="auto" w:sz="4" w:space="0"/>
              <w:bottom w:val="single" w:color="auto" w:sz="4" w:space="0"/>
              <w:right w:val="single" w:color="auto" w:sz="4" w:space="0"/>
            </w:tcBorders>
          </w:tcPr>
          <w:p w14:paraId="1B89892A">
            <w:pPr>
              <w:widowControl/>
              <w:shd w:val="clear" w:color="auto" w:fill="FFFFFF"/>
              <w:spacing w:line="360" w:lineRule="exact"/>
              <w:rPr>
                <w:rFonts w:ascii="宋体" w:hAnsi="宋体" w:cs="宋体"/>
                <w:color w:val="auto"/>
                <w:highlight w:val="none"/>
              </w:rPr>
            </w:pPr>
            <w:r>
              <w:rPr>
                <w:rFonts w:hint="eastAsia" w:ascii="宋体" w:hAnsi="宋体" w:cs="宋体"/>
                <w:color w:val="auto"/>
                <w:highlight w:val="none"/>
              </w:rPr>
              <w:t>一、合同签订期：自</w:t>
            </w:r>
            <w:r>
              <w:rPr>
                <w:rFonts w:hint="eastAsia" w:ascii="宋体" w:hAnsi="宋体" w:cs="宋体"/>
                <w:bCs/>
                <w:color w:val="auto"/>
                <w:highlight w:val="none"/>
              </w:rPr>
              <w:t>成交</w:t>
            </w:r>
            <w:r>
              <w:rPr>
                <w:rFonts w:hint="eastAsia" w:ascii="宋体" w:hAnsi="宋体" w:cs="宋体"/>
                <w:color w:val="auto"/>
                <w:highlight w:val="none"/>
              </w:rPr>
              <w:t>通知书发出之日起25日内（注：</w:t>
            </w:r>
            <w:r>
              <w:rPr>
                <w:rFonts w:hint="eastAsia" w:ascii="宋体" w:hAnsi="宋体" w:cs="宋体"/>
                <w:bCs/>
                <w:color w:val="auto"/>
                <w:highlight w:val="none"/>
              </w:rPr>
              <w:t>成交</w:t>
            </w:r>
            <w:r>
              <w:rPr>
                <w:rFonts w:hint="eastAsia" w:ascii="宋体" w:hAnsi="宋体" w:cs="宋体"/>
                <w:color w:val="auto"/>
                <w:highlight w:val="none"/>
              </w:rPr>
              <w:t>通知书发出之日起25日内必须签订合同。）</w:t>
            </w:r>
          </w:p>
          <w:p w14:paraId="606C5AC7">
            <w:pPr>
              <w:widowControl/>
              <w:shd w:val="clear" w:color="auto" w:fill="FFFFFF"/>
              <w:spacing w:line="360" w:lineRule="exact"/>
              <w:rPr>
                <w:rFonts w:hint="eastAsia"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二、</w:t>
            </w:r>
            <w:r>
              <w:rPr>
                <w:rFonts w:hint="eastAsia" w:ascii="宋体" w:hAnsi="宋体" w:cs="宋体"/>
                <w:color w:val="auto"/>
                <w:szCs w:val="21"/>
                <w:highlight w:val="none"/>
                <w:lang w:val="en-US" w:eastAsia="zh-CN"/>
              </w:rPr>
              <w:t>工期</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60日历天</w:t>
            </w:r>
            <w:r>
              <w:rPr>
                <w:rFonts w:hint="eastAsia" w:ascii="宋体" w:hAnsi="宋体" w:cs="宋体"/>
                <w:color w:val="auto"/>
                <w:szCs w:val="21"/>
                <w:highlight w:val="none"/>
              </w:rPr>
              <w:t>。</w:t>
            </w:r>
          </w:p>
          <w:p w14:paraId="7B04BB8A">
            <w:pPr>
              <w:widowControl/>
              <w:shd w:val="clear" w:color="auto" w:fill="FFFFFF"/>
              <w:spacing w:line="360" w:lineRule="exact"/>
              <w:ind w:firstLine="630" w:firstLineChars="3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合同履行期限</w:t>
            </w:r>
            <w:r>
              <w:rPr>
                <w:rFonts w:hint="eastAsia" w:ascii="宋体" w:hAnsi="宋体" w:cs="宋体"/>
                <w:color w:val="auto"/>
                <w:szCs w:val="21"/>
                <w:highlight w:val="none"/>
                <w:lang w:eastAsia="zh-CN"/>
              </w:rPr>
              <w:t>：自合同签订之日起至项目验收完成。</w:t>
            </w:r>
          </w:p>
          <w:p w14:paraId="7FE44AD8">
            <w:pPr>
              <w:widowControl/>
              <w:shd w:val="clear" w:color="auto" w:fill="FFFFFF"/>
              <w:spacing w:line="360" w:lineRule="exact"/>
              <w:rPr>
                <w:rFonts w:ascii="宋体" w:hAnsi="宋体" w:cs="宋体"/>
                <w:color w:val="auto"/>
                <w:highlight w:val="none"/>
              </w:rPr>
            </w:pPr>
            <w:r>
              <w:rPr>
                <w:rFonts w:hint="eastAsia" w:ascii="宋体" w:hAnsi="宋体" w:cs="宋体"/>
                <w:color w:val="auto"/>
                <w:highlight w:val="none"/>
                <w:lang w:val="en-US" w:eastAsia="zh-CN"/>
              </w:rPr>
              <w:t>三</w:t>
            </w:r>
            <w:r>
              <w:rPr>
                <w:rFonts w:hint="eastAsia" w:ascii="宋体" w:hAnsi="宋体" w:cs="宋体"/>
                <w:color w:val="auto"/>
                <w:highlight w:val="none"/>
              </w:rPr>
              <w:t>、提交服务成果地点：采购人指定地点。</w:t>
            </w:r>
          </w:p>
          <w:p w14:paraId="6307AC8F">
            <w:pPr>
              <w:widowControl/>
              <w:shd w:val="clear" w:color="auto" w:fill="FFFFFF"/>
              <w:spacing w:line="360" w:lineRule="exact"/>
              <w:rPr>
                <w:rFonts w:hint="eastAsia" w:ascii="宋体" w:hAnsi="宋体" w:cs="宋体"/>
                <w:color w:val="auto"/>
                <w:highlight w:val="none"/>
                <w:lang w:eastAsia="zh-CN"/>
              </w:rPr>
            </w:pPr>
            <w:r>
              <w:rPr>
                <w:rFonts w:hint="eastAsia" w:ascii="宋体" w:hAnsi="宋体" w:cs="宋体"/>
                <w:color w:val="auto"/>
                <w:highlight w:val="none"/>
              </w:rPr>
              <w:t>▲</w:t>
            </w:r>
            <w:r>
              <w:rPr>
                <w:rFonts w:hint="eastAsia" w:ascii="宋体" w:hAnsi="宋体" w:cs="宋体"/>
                <w:color w:val="auto"/>
                <w:highlight w:val="none"/>
                <w:lang w:val="en-US" w:eastAsia="zh-CN"/>
              </w:rPr>
              <w:t>四</w:t>
            </w:r>
            <w:r>
              <w:rPr>
                <w:rFonts w:hint="eastAsia" w:ascii="宋体" w:hAnsi="宋体" w:cs="宋体"/>
                <w:color w:val="auto"/>
                <w:highlight w:val="none"/>
              </w:rPr>
              <w:t>、</w:t>
            </w:r>
            <w:r>
              <w:rPr>
                <w:rFonts w:hint="eastAsia" w:ascii="宋体" w:hAnsi="宋体" w:cs="宋体"/>
                <w:color w:val="auto"/>
                <w:highlight w:val="none"/>
                <w:lang w:val="en-US" w:eastAsia="zh-CN"/>
              </w:rPr>
              <w:t>工程质量要求</w:t>
            </w:r>
            <w:r>
              <w:rPr>
                <w:rFonts w:hint="eastAsia" w:ascii="宋体" w:hAnsi="宋体" w:cs="宋体"/>
                <w:color w:val="auto"/>
                <w:highlight w:val="none"/>
              </w:rPr>
              <w:t>：达到</w:t>
            </w:r>
            <w:bookmarkStart w:id="37" w:name="EB4d4b13a461124532a79c71ae440db6f7"/>
            <w:r>
              <w:rPr>
                <w:rFonts w:hint="eastAsia" w:ascii="宋体" w:hAnsi="宋体" w:cs="宋体"/>
                <w:color w:val="auto"/>
                <w:highlight w:val="none"/>
              </w:rPr>
              <w:t>国家施工验收规范合格</w:t>
            </w:r>
            <w:bookmarkEnd w:id="37"/>
            <w:r>
              <w:rPr>
                <w:rFonts w:hint="eastAsia" w:ascii="宋体" w:hAnsi="宋体" w:cs="宋体"/>
                <w:color w:val="auto"/>
                <w:highlight w:val="none"/>
              </w:rPr>
              <w:t>标准</w:t>
            </w:r>
            <w:r>
              <w:rPr>
                <w:rFonts w:hint="eastAsia" w:ascii="宋体" w:hAnsi="宋体" w:cs="宋体"/>
                <w:color w:val="auto"/>
                <w:highlight w:val="none"/>
                <w:lang w:eastAsia="zh-CN"/>
              </w:rPr>
              <w:t>。</w:t>
            </w:r>
          </w:p>
          <w:p w14:paraId="42A2E793">
            <w:pPr>
              <w:widowControl/>
              <w:shd w:val="clear" w:color="auto" w:fill="FFFFFF"/>
              <w:spacing w:line="360" w:lineRule="exact"/>
              <w:ind w:firstLine="630" w:firstLineChars="300"/>
              <w:rPr>
                <w:rFonts w:hint="eastAsia" w:ascii="宋体" w:hAnsi="宋体" w:cs="宋体"/>
                <w:color w:val="auto"/>
                <w:highlight w:val="none"/>
                <w:lang w:eastAsia="zh-CN"/>
              </w:rPr>
            </w:pPr>
            <w:r>
              <w:rPr>
                <w:rStyle w:val="49"/>
                <w:rFonts w:hint="eastAsia" w:ascii="宋体" w:hAnsi="宋体" w:eastAsia="宋体" w:cs="宋体"/>
                <w:color w:val="auto"/>
                <w:sz w:val="21"/>
                <w:szCs w:val="21"/>
                <w:highlight w:val="none"/>
              </w:rPr>
              <w:t>工程安全目标</w:t>
            </w:r>
            <w:r>
              <w:rPr>
                <w:rStyle w:val="49"/>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none"/>
                <w:lang w:eastAsia="zh-CN"/>
              </w:rPr>
              <w:t>不允许发生安全事故，即使发生，</w:t>
            </w:r>
            <w:r>
              <w:rPr>
                <w:rFonts w:hint="eastAsia" w:ascii="宋体" w:hAnsi="宋体" w:cs="宋体"/>
                <w:color w:val="auto"/>
                <w:sz w:val="21"/>
                <w:szCs w:val="21"/>
                <w:highlight w:val="none"/>
                <w:u w:val="none"/>
                <w:lang w:val="en-US" w:eastAsia="zh-CN"/>
              </w:rPr>
              <w:t>供应商</w:t>
            </w:r>
            <w:r>
              <w:rPr>
                <w:rFonts w:hint="eastAsia" w:ascii="宋体" w:hAnsi="宋体" w:eastAsia="宋体" w:cs="宋体"/>
                <w:color w:val="auto"/>
                <w:sz w:val="21"/>
                <w:szCs w:val="21"/>
                <w:highlight w:val="none"/>
                <w:u w:val="none"/>
                <w:lang w:eastAsia="zh-CN"/>
              </w:rPr>
              <w:t>须对事故负责。</w:t>
            </w:r>
          </w:p>
          <w:p w14:paraId="2F2081DB">
            <w:pPr>
              <w:widowControl/>
              <w:shd w:val="clear" w:color="auto" w:fill="FFFFFF"/>
              <w:spacing w:line="360" w:lineRule="exact"/>
              <w:rPr>
                <w:rFonts w:ascii="宋体" w:hAnsi="宋体" w:cs="宋体"/>
                <w:color w:val="auto"/>
                <w:highlight w:val="none"/>
              </w:rPr>
            </w:pPr>
            <w:r>
              <w:rPr>
                <w:rFonts w:hint="eastAsia" w:ascii="宋体" w:hAnsi="宋体" w:cs="宋体"/>
                <w:color w:val="auto"/>
                <w:highlight w:val="none"/>
                <w:lang w:val="en-US" w:eastAsia="zh-CN"/>
              </w:rPr>
              <w:t>五</w:t>
            </w:r>
            <w:r>
              <w:rPr>
                <w:rFonts w:hint="eastAsia" w:ascii="宋体" w:hAnsi="宋体" w:cs="宋体"/>
                <w:color w:val="auto"/>
                <w:highlight w:val="none"/>
              </w:rPr>
              <w:t>、其他要求：</w:t>
            </w:r>
          </w:p>
          <w:p w14:paraId="4EB83627">
            <w:pPr>
              <w:widowControl/>
              <w:shd w:val="clear" w:color="auto" w:fill="FFFFFF"/>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rPr>
              <w:t>▲1、本项目采用工程量清单报价。供应商应结合自身因素进行工程量清单报价，但不得超出</w:t>
            </w:r>
            <w:r>
              <w:rPr>
                <w:rFonts w:hint="eastAsia" w:ascii="宋体" w:hAnsi="宋体" w:cs="宋体"/>
                <w:color w:val="auto"/>
                <w:highlight w:val="none"/>
                <w:lang w:val="en-US" w:eastAsia="zh-CN"/>
              </w:rPr>
              <w:t>采购预算价或最高限价</w:t>
            </w:r>
            <w:r>
              <w:rPr>
                <w:rFonts w:hint="eastAsia" w:ascii="宋体" w:hAnsi="宋体" w:cs="宋体"/>
                <w:color w:val="auto"/>
                <w:highlight w:val="none"/>
              </w:rPr>
              <w:t>，否则</w:t>
            </w:r>
            <w:r>
              <w:rPr>
                <w:rFonts w:hint="eastAsia" w:ascii="宋体" w:hAnsi="宋体" w:cs="宋体"/>
                <w:color w:val="auto"/>
                <w:highlight w:val="none"/>
                <w:lang w:val="en-US" w:eastAsia="zh-CN"/>
              </w:rPr>
              <w:t>磋商</w:t>
            </w:r>
            <w:r>
              <w:rPr>
                <w:rFonts w:hint="eastAsia" w:ascii="宋体" w:hAnsi="宋体" w:cs="宋体"/>
                <w:color w:val="auto"/>
                <w:highlight w:val="none"/>
              </w:rPr>
              <w:t>无效。供应商必须就所投工程的全部内容作完整唯一报价，有选择的或有条件的报价，其磋商无效</w:t>
            </w:r>
            <w:r>
              <w:rPr>
                <w:rFonts w:hint="eastAsia" w:ascii="宋体" w:hAnsi="宋体" w:cs="宋体"/>
                <w:color w:val="auto"/>
                <w:highlight w:val="none"/>
                <w:lang w:eastAsia="zh-CN"/>
              </w:rPr>
              <w:t>。</w:t>
            </w:r>
          </w:p>
          <w:p w14:paraId="4C0338F2">
            <w:pPr>
              <w:widowControl/>
              <w:shd w:val="clear" w:color="auto" w:fill="FFFFFF"/>
              <w:spacing w:line="360" w:lineRule="exact"/>
              <w:ind w:firstLine="422" w:firstLineChars="200"/>
              <w:rPr>
                <w:rFonts w:hint="eastAsia" w:ascii="宋体" w:hAnsi="宋体" w:cs="宋体"/>
                <w:color w:val="auto"/>
                <w:highlight w:val="none"/>
                <w:lang w:eastAsia="zh-CN"/>
              </w:rPr>
            </w:pPr>
            <w:r>
              <w:rPr>
                <w:rFonts w:hint="eastAsia" w:ascii="宋体" w:hAnsi="宋体" w:cs="宋体"/>
                <w:b/>
                <w:bCs/>
                <w:color w:val="auto"/>
                <w:highlight w:val="none"/>
                <w:lang w:eastAsia="zh-CN"/>
              </w:rPr>
              <w:t>首次报价与最后报价一致的，最后报价不需上传工程量清单；首次报价与最后报价不一致的，最后报价必须上传工程量清单。</w:t>
            </w:r>
          </w:p>
          <w:p w14:paraId="29C882DD">
            <w:pPr>
              <w:widowControl/>
              <w:shd w:val="clear" w:color="auto" w:fill="FFFFFF"/>
              <w:spacing w:line="360" w:lineRule="exact"/>
              <w:ind w:firstLine="210" w:firstLineChars="100"/>
              <w:rPr>
                <w:rFonts w:ascii="宋体" w:hAnsi="宋体" w:cs="宋体"/>
                <w:color w:val="auto"/>
                <w:highlight w:val="none"/>
              </w:rPr>
            </w:pPr>
            <w:r>
              <w:rPr>
                <w:rFonts w:hint="eastAsia" w:ascii="宋体" w:hAnsi="宋体" w:cs="宋体"/>
                <w:color w:val="auto"/>
                <w:highlight w:val="none"/>
              </w:rPr>
              <w:t>▲2、报价必须含以下部分，包括：</w:t>
            </w:r>
          </w:p>
          <w:p w14:paraId="380C6BC2">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2.1工程量清单中的每一子目须填入单价或价格，且只允许有一个报价。</w:t>
            </w:r>
          </w:p>
          <w:p w14:paraId="0D48212B">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2.2 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59D4C3C">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2.3工程量清单中供应商没有填入单价或价格的子目，其费用视为己分摊在工程量清单中其他相关子目的单价或价格之中。承包人必须按监理人指令完成工程量清单中未填入单价或价格的子目，但不能得到结算与支付。</w:t>
            </w:r>
          </w:p>
          <w:p w14:paraId="08678B15">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4A805F5E">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2.5承包人用于本合同工程的各类装备的提供、运输、维护、拆卸、拼装等支付的费用，已包括在工程量清单的单价与总额价之中。</w:t>
            </w:r>
          </w:p>
          <w:p w14:paraId="2C45B602">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2.6工程量清单中各项金额均以人民币（元）结算。</w:t>
            </w:r>
          </w:p>
          <w:p w14:paraId="766B86BC">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 xml:space="preserve"> 暂列金额（不含计日工总额）的数量及拟用子目的说明：详见工程量清单。</w:t>
            </w:r>
          </w:p>
          <w:p w14:paraId="3400882B">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8</w:t>
            </w:r>
            <w:r>
              <w:rPr>
                <w:rFonts w:hint="eastAsia" w:ascii="宋体" w:hAnsi="宋体" w:cs="宋体"/>
                <w:color w:val="auto"/>
                <w:highlight w:val="none"/>
              </w:rPr>
              <w:t xml:space="preserve"> 暂估价的数量及拟用子目的说明：详见工程量清单。</w:t>
            </w:r>
          </w:p>
          <w:p w14:paraId="605CF958">
            <w:pPr>
              <w:widowControl/>
              <w:shd w:val="clear" w:color="auto" w:fill="FFFFFF"/>
              <w:spacing w:line="36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2.9供应商必须按照采购人提供的工程量清单格式填写，不可擅自修改工程量清单，磋商报价清单（已标价工程量清单）与采购人提供的工程量清单有任何不一致的，将做无效磋商处理。如供应商对采购人提供的工程量清单有疑问或异议，应在磋商文件规定的时间前发出询疑，要求采购人（或采购代理机构）对采购文件予以澄清，当采购文件、采购文件的修改、补充在同一内容表述不一致时，以最后经的更正、补遗、澄清为准。</w:t>
            </w:r>
          </w:p>
          <w:p w14:paraId="00397FC8">
            <w:pPr>
              <w:widowControl/>
              <w:shd w:val="clear" w:color="auto" w:fill="FFFFFF"/>
              <w:spacing w:line="36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2.10控制价清单编制依据：</w:t>
            </w:r>
          </w:p>
          <w:p w14:paraId="09219FB0">
            <w:pPr>
              <w:widowControl/>
              <w:numPr>
                <w:ilvl w:val="0"/>
                <w:numId w:val="0"/>
              </w:numPr>
              <w:shd w:val="clear" w:color="auto" w:fill="FFFFFF"/>
              <w:spacing w:line="360" w:lineRule="exact"/>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2.10.1</w:t>
            </w:r>
            <w:r>
              <w:rPr>
                <w:rFonts w:hint="eastAsia" w:ascii="宋体" w:hAnsi="宋体" w:eastAsia="宋体" w:cs="宋体"/>
                <w:color w:val="auto"/>
                <w:kern w:val="2"/>
                <w:sz w:val="21"/>
                <w:szCs w:val="24"/>
                <w:highlight w:val="none"/>
                <w:lang w:val="en-US" w:eastAsia="zh-CN" w:bidi="ar-SA"/>
              </w:rPr>
              <w:t>施工设计图纸等资料。</w:t>
            </w:r>
          </w:p>
          <w:p w14:paraId="20BA931C">
            <w:pPr>
              <w:widowControl/>
              <w:numPr>
                <w:ilvl w:val="0"/>
                <w:numId w:val="0"/>
              </w:numPr>
              <w:shd w:val="clear" w:color="auto" w:fill="FFFFFF"/>
              <w:spacing w:line="360" w:lineRule="exact"/>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 xml:space="preserve">2.10.2 </w:t>
            </w:r>
            <w:r>
              <w:rPr>
                <w:rFonts w:hint="eastAsia" w:ascii="宋体" w:hAnsi="宋体" w:eastAsia="宋体" w:cs="宋体"/>
                <w:color w:val="auto"/>
                <w:kern w:val="2"/>
                <w:sz w:val="21"/>
                <w:szCs w:val="24"/>
                <w:highlight w:val="none"/>
                <w:lang w:val="en-US" w:eastAsia="zh-CN" w:bidi="ar-SA"/>
              </w:rPr>
              <w:t>2018公路工程清单计价依据。</w:t>
            </w:r>
          </w:p>
          <w:p w14:paraId="77C5F8AC">
            <w:pPr>
              <w:widowControl/>
              <w:numPr>
                <w:ilvl w:val="0"/>
                <w:numId w:val="0"/>
              </w:numPr>
              <w:shd w:val="clear" w:color="auto" w:fill="FFFFFF"/>
              <w:spacing w:line="360" w:lineRule="exact"/>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 xml:space="preserve">2.10.3 </w:t>
            </w:r>
            <w:r>
              <w:rPr>
                <w:rFonts w:hint="eastAsia" w:ascii="宋体" w:hAnsi="宋体" w:eastAsia="宋体" w:cs="宋体"/>
                <w:color w:val="auto"/>
                <w:kern w:val="2"/>
                <w:sz w:val="21"/>
                <w:szCs w:val="24"/>
                <w:highlight w:val="none"/>
                <w:lang w:val="en-US" w:eastAsia="zh-CN" w:bidi="ar-SA"/>
              </w:rPr>
              <w:t>公路工程2018预算定额。</w:t>
            </w:r>
          </w:p>
          <w:p w14:paraId="7DFBBB39">
            <w:pPr>
              <w:widowControl/>
              <w:numPr>
                <w:ilvl w:val="0"/>
                <w:numId w:val="0"/>
              </w:numPr>
              <w:shd w:val="clear" w:color="auto" w:fill="FFFFFF"/>
              <w:spacing w:line="360" w:lineRule="exact"/>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 xml:space="preserve">2.10.4 </w:t>
            </w:r>
            <w:r>
              <w:rPr>
                <w:rFonts w:hint="eastAsia" w:ascii="宋体" w:hAnsi="宋体" w:eastAsia="宋体" w:cs="宋体"/>
                <w:color w:val="auto"/>
                <w:kern w:val="2"/>
                <w:sz w:val="21"/>
                <w:szCs w:val="24"/>
                <w:highlight w:val="none"/>
                <w:lang w:val="en-US" w:eastAsia="zh-CN" w:bidi="ar-SA"/>
              </w:rPr>
              <w:t>人工单价、费率标准  按文本区交通厅桂交建管发（2019）39号《关于印发公路基本建设工程概预算编制办法广西补充规定的通知》的规定，本工程的人工费单价统一为101.25元/工日。</w:t>
            </w:r>
          </w:p>
          <w:p w14:paraId="1221840F">
            <w:pPr>
              <w:widowControl/>
              <w:numPr>
                <w:ilvl w:val="0"/>
                <w:numId w:val="0"/>
              </w:numPr>
              <w:shd w:val="clear" w:color="auto" w:fill="FFFFFF"/>
              <w:spacing w:line="360" w:lineRule="exact"/>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 xml:space="preserve">2.10.5 </w:t>
            </w:r>
            <w:r>
              <w:rPr>
                <w:rFonts w:hint="eastAsia" w:ascii="宋体" w:hAnsi="宋体" w:eastAsia="宋体" w:cs="宋体"/>
                <w:color w:val="auto"/>
                <w:kern w:val="2"/>
                <w:sz w:val="21"/>
                <w:szCs w:val="24"/>
                <w:highlight w:val="none"/>
                <w:lang w:val="en-US" w:eastAsia="zh-CN" w:bidi="ar-SA"/>
              </w:rPr>
              <w:t>材料价格按2026年第1月《公路工程材料指导价格》，相应考虑运距费用。</w:t>
            </w:r>
          </w:p>
          <w:p w14:paraId="190EB5EB">
            <w:pPr>
              <w:widowControl/>
              <w:numPr>
                <w:ilvl w:val="0"/>
                <w:numId w:val="0"/>
              </w:numPr>
              <w:shd w:val="clear" w:color="auto" w:fill="FFFFFF"/>
              <w:spacing w:line="360" w:lineRule="exact"/>
              <w:ind w:firstLine="420" w:firstLineChars="200"/>
              <w:rPr>
                <w:rFonts w:hint="eastAsia" w:ascii="宋体" w:hAnsi="宋体" w:cs="宋体"/>
                <w:color w:val="auto"/>
                <w:highlight w:val="none"/>
              </w:rPr>
            </w:pPr>
            <w:r>
              <w:rPr>
                <w:rFonts w:hint="eastAsia" w:ascii="宋体" w:hAnsi="宋体" w:eastAsia="宋体" w:cs="宋体"/>
                <w:color w:val="auto"/>
                <w:kern w:val="2"/>
                <w:sz w:val="21"/>
                <w:szCs w:val="24"/>
                <w:highlight w:val="none"/>
                <w:lang w:val="en-US" w:eastAsia="zh-CN" w:bidi="ar-SA"/>
              </w:rPr>
              <w:t>3</w:t>
            </w:r>
            <w:r>
              <w:rPr>
                <w:rFonts w:hint="eastAsia" w:ascii="宋体" w:hAnsi="宋体" w:cs="宋体"/>
                <w:color w:val="auto"/>
                <w:kern w:val="2"/>
                <w:sz w:val="21"/>
                <w:szCs w:val="24"/>
                <w:highlight w:val="none"/>
                <w:lang w:val="en-US" w:eastAsia="zh-CN" w:bidi="ar-SA"/>
              </w:rPr>
              <w:t>、</w:t>
            </w:r>
            <w:r>
              <w:rPr>
                <w:rFonts w:hint="eastAsia" w:ascii="宋体" w:hAnsi="宋体" w:cs="宋体"/>
                <w:color w:val="auto"/>
                <w:highlight w:val="none"/>
              </w:rPr>
              <w:t>付款方式：</w:t>
            </w:r>
            <w:r>
              <w:rPr>
                <w:rFonts w:hint="eastAsia" w:ascii="宋体" w:hAnsi="宋体" w:cs="宋体"/>
                <w:color w:val="auto"/>
                <w:highlight w:val="none"/>
                <w:lang w:val="en-US" w:eastAsia="zh-CN"/>
              </w:rPr>
              <w:t>详见专用合同</w:t>
            </w:r>
            <w:r>
              <w:rPr>
                <w:rFonts w:hint="eastAsia" w:ascii="宋体" w:hAnsi="宋体" w:cs="宋体"/>
                <w:color w:val="auto"/>
                <w:highlight w:val="none"/>
              </w:rPr>
              <w:t>。</w:t>
            </w:r>
          </w:p>
        </w:tc>
      </w:tr>
    </w:tbl>
    <w:p w14:paraId="43753FDA">
      <w:pPr>
        <w:pStyle w:val="15"/>
        <w:jc w:val="left"/>
        <w:rPr>
          <w:rFonts w:hint="eastAsia" w:hAnsi="宋体" w:cs="宋体"/>
          <w:color w:val="auto"/>
          <w:sz w:val="32"/>
          <w:szCs w:val="32"/>
          <w:highlight w:val="none"/>
        </w:rPr>
      </w:pPr>
    </w:p>
    <w:p w14:paraId="72399CE7">
      <w:pPr>
        <w:pStyle w:val="15"/>
        <w:jc w:val="left"/>
        <w:rPr>
          <w:rFonts w:hint="eastAsia" w:hAnsi="宋体" w:cs="宋体"/>
          <w:color w:val="auto"/>
          <w:sz w:val="32"/>
          <w:szCs w:val="32"/>
          <w:highlight w:val="none"/>
        </w:rPr>
      </w:pPr>
    </w:p>
    <w:p w14:paraId="24971E0C">
      <w:pPr>
        <w:pStyle w:val="15"/>
        <w:jc w:val="left"/>
        <w:rPr>
          <w:rFonts w:hint="eastAsia" w:hAnsi="宋体" w:cs="宋体"/>
          <w:color w:val="auto"/>
          <w:sz w:val="32"/>
          <w:szCs w:val="32"/>
          <w:highlight w:val="none"/>
        </w:rPr>
      </w:pPr>
    </w:p>
    <w:p w14:paraId="2DA29C08">
      <w:pPr>
        <w:pStyle w:val="15"/>
        <w:jc w:val="left"/>
        <w:rPr>
          <w:rFonts w:hint="eastAsia" w:hAnsi="宋体" w:cs="宋体"/>
          <w:color w:val="auto"/>
          <w:sz w:val="32"/>
          <w:szCs w:val="32"/>
          <w:highlight w:val="none"/>
        </w:rPr>
      </w:pPr>
    </w:p>
    <w:p w14:paraId="1490E324">
      <w:pPr>
        <w:pStyle w:val="15"/>
        <w:jc w:val="left"/>
        <w:rPr>
          <w:rFonts w:hint="eastAsia" w:hAnsi="宋体" w:cs="宋体"/>
          <w:color w:val="auto"/>
          <w:sz w:val="32"/>
          <w:szCs w:val="32"/>
          <w:highlight w:val="none"/>
        </w:rPr>
      </w:pPr>
    </w:p>
    <w:p w14:paraId="24905768">
      <w:pPr>
        <w:pStyle w:val="15"/>
        <w:jc w:val="left"/>
        <w:rPr>
          <w:rFonts w:hint="eastAsia" w:hAnsi="宋体" w:cs="宋体"/>
          <w:color w:val="auto"/>
          <w:sz w:val="32"/>
          <w:szCs w:val="32"/>
          <w:highlight w:val="none"/>
        </w:rPr>
      </w:pPr>
    </w:p>
    <w:p w14:paraId="6792F3F9">
      <w:pPr>
        <w:rPr>
          <w:rFonts w:hint="eastAsia" w:hAnsi="宋体" w:cs="宋体"/>
          <w:color w:val="auto"/>
          <w:sz w:val="32"/>
          <w:szCs w:val="32"/>
          <w:highlight w:val="none"/>
        </w:rPr>
      </w:pPr>
    </w:p>
    <w:p w14:paraId="61BE0436">
      <w:pPr>
        <w:rPr>
          <w:rFonts w:hint="eastAsia" w:hAnsi="宋体" w:cs="宋体"/>
          <w:color w:val="auto"/>
          <w:sz w:val="32"/>
          <w:szCs w:val="32"/>
          <w:highlight w:val="none"/>
        </w:rPr>
      </w:pPr>
    </w:p>
    <w:p w14:paraId="644F0FE1">
      <w:pPr>
        <w:rPr>
          <w:rFonts w:hint="eastAsia" w:hAnsi="宋体" w:cs="宋体"/>
          <w:color w:val="auto"/>
          <w:sz w:val="32"/>
          <w:szCs w:val="32"/>
          <w:highlight w:val="none"/>
        </w:rPr>
      </w:pPr>
    </w:p>
    <w:p w14:paraId="0740135A">
      <w:pPr>
        <w:rPr>
          <w:rFonts w:hint="eastAsia" w:hAnsi="宋体" w:cs="宋体"/>
          <w:color w:val="auto"/>
          <w:sz w:val="32"/>
          <w:szCs w:val="32"/>
          <w:highlight w:val="none"/>
        </w:rPr>
      </w:pPr>
    </w:p>
    <w:p w14:paraId="3C542731">
      <w:pPr>
        <w:rPr>
          <w:rFonts w:hint="eastAsia" w:hAnsi="宋体" w:cs="宋体"/>
          <w:color w:val="auto"/>
          <w:sz w:val="32"/>
          <w:szCs w:val="32"/>
          <w:highlight w:val="none"/>
        </w:rPr>
      </w:pPr>
    </w:p>
    <w:p w14:paraId="256A9EAE">
      <w:pPr>
        <w:rPr>
          <w:rFonts w:hint="eastAsia" w:hAnsi="宋体" w:cs="宋体"/>
          <w:color w:val="auto"/>
          <w:sz w:val="32"/>
          <w:szCs w:val="32"/>
          <w:highlight w:val="none"/>
        </w:rPr>
      </w:pPr>
    </w:p>
    <w:p w14:paraId="1DF55E10">
      <w:pPr>
        <w:rPr>
          <w:rFonts w:hint="eastAsia" w:hAnsi="宋体" w:cs="宋体"/>
          <w:color w:val="auto"/>
          <w:sz w:val="32"/>
          <w:szCs w:val="32"/>
          <w:highlight w:val="none"/>
        </w:rPr>
      </w:pPr>
    </w:p>
    <w:p w14:paraId="370FA6DC">
      <w:pPr>
        <w:rPr>
          <w:rFonts w:hint="eastAsia" w:hAnsi="宋体" w:cs="宋体"/>
          <w:color w:val="auto"/>
          <w:sz w:val="32"/>
          <w:szCs w:val="32"/>
          <w:highlight w:val="none"/>
        </w:rPr>
      </w:pPr>
    </w:p>
    <w:p w14:paraId="2B792C8A">
      <w:pPr>
        <w:rPr>
          <w:rFonts w:hint="eastAsia" w:hAnsi="宋体" w:cs="宋体"/>
          <w:color w:val="auto"/>
          <w:sz w:val="32"/>
          <w:szCs w:val="32"/>
          <w:highlight w:val="none"/>
        </w:rPr>
      </w:pPr>
    </w:p>
    <w:p w14:paraId="1FBF2A0D">
      <w:pPr>
        <w:rPr>
          <w:rFonts w:hint="eastAsia" w:hAnsi="宋体" w:cs="宋体"/>
          <w:color w:val="auto"/>
          <w:sz w:val="32"/>
          <w:szCs w:val="32"/>
          <w:highlight w:val="none"/>
        </w:rPr>
      </w:pPr>
    </w:p>
    <w:p w14:paraId="075E044E">
      <w:pPr>
        <w:rPr>
          <w:rFonts w:hint="eastAsia" w:hAnsi="宋体" w:cs="宋体"/>
          <w:color w:val="auto"/>
          <w:sz w:val="32"/>
          <w:szCs w:val="32"/>
          <w:highlight w:val="none"/>
        </w:rPr>
      </w:pPr>
    </w:p>
    <w:p w14:paraId="5DDA53EE">
      <w:pPr>
        <w:pStyle w:val="15"/>
        <w:jc w:val="left"/>
        <w:rPr>
          <w:rFonts w:hAnsi="宋体" w:cs="宋体"/>
          <w:color w:val="auto"/>
          <w:sz w:val="32"/>
          <w:szCs w:val="32"/>
          <w:highlight w:val="none"/>
        </w:rPr>
      </w:pPr>
      <w:r>
        <w:rPr>
          <w:rFonts w:hint="eastAsia" w:hAnsi="宋体" w:cs="宋体"/>
          <w:color w:val="auto"/>
          <w:sz w:val="32"/>
          <w:szCs w:val="32"/>
          <w:highlight w:val="none"/>
        </w:rPr>
        <w:t>附件1：</w:t>
      </w:r>
    </w:p>
    <w:p w14:paraId="5A8603A7">
      <w:pPr>
        <w:spacing w:line="528" w:lineRule="exact"/>
        <w:jc w:val="center"/>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7"/>
        <w:tblW w:w="9500" w:type="dxa"/>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08E0ACF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0E5D2F4D">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vAlign w:val="center"/>
          </w:tcPr>
          <w:p w14:paraId="10489C04">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105F00EF">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3" w:type="dxa"/>
            <w:tcBorders>
              <w:top w:val="single" w:color="auto" w:sz="4" w:space="0"/>
              <w:left w:val="nil"/>
              <w:bottom w:val="single" w:color="auto" w:sz="4" w:space="0"/>
              <w:right w:val="single" w:color="auto" w:sz="4" w:space="0"/>
            </w:tcBorders>
            <w:vAlign w:val="center"/>
          </w:tcPr>
          <w:p w14:paraId="44E64F35">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2" w:type="dxa"/>
            <w:tcBorders>
              <w:top w:val="single" w:color="auto" w:sz="4" w:space="0"/>
              <w:left w:val="nil"/>
              <w:bottom w:val="single" w:color="auto" w:sz="4" w:space="0"/>
              <w:right w:val="single" w:color="auto" w:sz="4" w:space="0"/>
            </w:tcBorders>
            <w:vAlign w:val="center"/>
          </w:tcPr>
          <w:p w14:paraId="258CF61A">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4625F917">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8B5C5A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0ED765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vAlign w:val="center"/>
          </w:tcPr>
          <w:p w14:paraId="00428F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AF27CF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EF4DAF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2" w:type="dxa"/>
            <w:tcBorders>
              <w:top w:val="nil"/>
              <w:left w:val="nil"/>
              <w:bottom w:val="single" w:color="auto" w:sz="4" w:space="0"/>
              <w:right w:val="single" w:color="auto" w:sz="4" w:space="0"/>
            </w:tcBorders>
            <w:vAlign w:val="center"/>
          </w:tcPr>
          <w:p w14:paraId="28EA1E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vAlign w:val="center"/>
          </w:tcPr>
          <w:p w14:paraId="2CCF04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69040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B66C34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vAlign w:val="center"/>
          </w:tcPr>
          <w:p w14:paraId="73720A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5A6FC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5DE63A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51F8773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7311EF1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73225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9E996DF">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F2F94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30ACFC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552E29E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02" w:type="dxa"/>
            <w:tcBorders>
              <w:top w:val="nil"/>
              <w:left w:val="nil"/>
              <w:bottom w:val="single" w:color="auto" w:sz="4" w:space="0"/>
              <w:right w:val="single" w:color="auto" w:sz="4" w:space="0"/>
            </w:tcBorders>
            <w:vAlign w:val="center"/>
          </w:tcPr>
          <w:p w14:paraId="01ACC8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vAlign w:val="center"/>
          </w:tcPr>
          <w:p w14:paraId="79DF94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8F7F07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675BAE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vAlign w:val="center"/>
          </w:tcPr>
          <w:p w14:paraId="0F2203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511F386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342FAE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02" w:type="dxa"/>
            <w:tcBorders>
              <w:top w:val="nil"/>
              <w:left w:val="nil"/>
              <w:bottom w:val="single" w:color="auto" w:sz="4" w:space="0"/>
              <w:right w:val="single" w:color="auto" w:sz="4" w:space="0"/>
            </w:tcBorders>
            <w:vAlign w:val="center"/>
          </w:tcPr>
          <w:p w14:paraId="5DCC00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vAlign w:val="center"/>
          </w:tcPr>
          <w:p w14:paraId="00D35D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1F2D12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167D204">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32444B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6EC316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5157A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02" w:type="dxa"/>
            <w:tcBorders>
              <w:top w:val="nil"/>
              <w:left w:val="nil"/>
              <w:bottom w:val="single" w:color="auto" w:sz="4" w:space="0"/>
              <w:right w:val="single" w:color="auto" w:sz="4" w:space="0"/>
            </w:tcBorders>
            <w:vAlign w:val="center"/>
          </w:tcPr>
          <w:p w14:paraId="48A853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vAlign w:val="center"/>
          </w:tcPr>
          <w:p w14:paraId="17E0A16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E62CDF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8D1D52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vAlign w:val="center"/>
          </w:tcPr>
          <w:p w14:paraId="0ADF15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B72160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674923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02" w:type="dxa"/>
            <w:tcBorders>
              <w:top w:val="nil"/>
              <w:left w:val="nil"/>
              <w:bottom w:val="single" w:color="auto" w:sz="4" w:space="0"/>
              <w:right w:val="single" w:color="auto" w:sz="4" w:space="0"/>
            </w:tcBorders>
            <w:vAlign w:val="center"/>
          </w:tcPr>
          <w:p w14:paraId="28EDAE5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34" w:type="dxa"/>
            <w:tcBorders>
              <w:top w:val="nil"/>
              <w:left w:val="nil"/>
              <w:bottom w:val="single" w:color="auto" w:sz="4" w:space="0"/>
              <w:right w:val="single" w:color="auto" w:sz="4" w:space="0"/>
            </w:tcBorders>
            <w:vAlign w:val="center"/>
          </w:tcPr>
          <w:p w14:paraId="73F1F3B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582AFEC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7905D0E">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AF8FFE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B8942B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0B1ED2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02" w:type="dxa"/>
            <w:tcBorders>
              <w:top w:val="nil"/>
              <w:left w:val="nil"/>
              <w:bottom w:val="single" w:color="auto" w:sz="4" w:space="0"/>
              <w:right w:val="single" w:color="auto" w:sz="4" w:space="0"/>
            </w:tcBorders>
            <w:vAlign w:val="center"/>
          </w:tcPr>
          <w:p w14:paraId="447287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vAlign w:val="center"/>
          </w:tcPr>
          <w:p w14:paraId="001C1A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3EE10C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41A7A5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vAlign w:val="center"/>
          </w:tcPr>
          <w:p w14:paraId="448A3C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1CDA3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7786A2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02" w:type="dxa"/>
            <w:tcBorders>
              <w:top w:val="nil"/>
              <w:left w:val="nil"/>
              <w:bottom w:val="single" w:color="auto" w:sz="4" w:space="0"/>
              <w:right w:val="single" w:color="auto" w:sz="4" w:space="0"/>
            </w:tcBorders>
            <w:vAlign w:val="center"/>
          </w:tcPr>
          <w:p w14:paraId="118D47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vAlign w:val="center"/>
          </w:tcPr>
          <w:p w14:paraId="01A6B9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B4F9D8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5C8E196">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B4915F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39D2D0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353DDB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2" w:type="dxa"/>
            <w:tcBorders>
              <w:top w:val="nil"/>
              <w:left w:val="nil"/>
              <w:bottom w:val="single" w:color="auto" w:sz="4" w:space="0"/>
              <w:right w:val="single" w:color="auto" w:sz="4" w:space="0"/>
            </w:tcBorders>
            <w:vAlign w:val="center"/>
          </w:tcPr>
          <w:p w14:paraId="283209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vAlign w:val="center"/>
          </w:tcPr>
          <w:p w14:paraId="4C1A15B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676A99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B8A4B4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vAlign w:val="center"/>
          </w:tcPr>
          <w:p w14:paraId="288963C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2BD6D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20DAF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2F4EDD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0C3707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F4A42A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9E308C2">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F9A56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3E784A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3AD6E50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02" w:type="dxa"/>
            <w:tcBorders>
              <w:top w:val="nil"/>
              <w:left w:val="nil"/>
              <w:bottom w:val="single" w:color="auto" w:sz="4" w:space="0"/>
              <w:right w:val="single" w:color="auto" w:sz="4" w:space="0"/>
            </w:tcBorders>
            <w:vAlign w:val="center"/>
          </w:tcPr>
          <w:p w14:paraId="45C37D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vAlign w:val="center"/>
          </w:tcPr>
          <w:p w14:paraId="507FD0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6622FC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DB623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vAlign w:val="center"/>
          </w:tcPr>
          <w:p w14:paraId="4BDB83F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4C57F73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4CD4AB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02" w:type="dxa"/>
            <w:tcBorders>
              <w:top w:val="nil"/>
              <w:left w:val="nil"/>
              <w:bottom w:val="single" w:color="auto" w:sz="4" w:space="0"/>
              <w:right w:val="single" w:color="auto" w:sz="4" w:space="0"/>
            </w:tcBorders>
            <w:vAlign w:val="center"/>
          </w:tcPr>
          <w:p w14:paraId="3CF621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vAlign w:val="center"/>
          </w:tcPr>
          <w:p w14:paraId="6B83706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805404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7920551">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6B8972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EE3B3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C194C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02" w:type="dxa"/>
            <w:tcBorders>
              <w:top w:val="nil"/>
              <w:left w:val="nil"/>
              <w:bottom w:val="single" w:color="auto" w:sz="4" w:space="0"/>
              <w:right w:val="single" w:color="auto" w:sz="4" w:space="0"/>
            </w:tcBorders>
            <w:vAlign w:val="center"/>
          </w:tcPr>
          <w:p w14:paraId="0A59D72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50836E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305822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8D7D07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vAlign w:val="center"/>
          </w:tcPr>
          <w:p w14:paraId="10C961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C4762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0882E0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536784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18F853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36882A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8DADE13">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18AF1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28A195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A0511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02" w:type="dxa"/>
            <w:tcBorders>
              <w:top w:val="nil"/>
              <w:left w:val="nil"/>
              <w:bottom w:val="single" w:color="auto" w:sz="4" w:space="0"/>
              <w:right w:val="single" w:color="auto" w:sz="4" w:space="0"/>
            </w:tcBorders>
            <w:vAlign w:val="center"/>
          </w:tcPr>
          <w:p w14:paraId="1958A6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41292F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7B418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AED056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vAlign w:val="center"/>
          </w:tcPr>
          <w:p w14:paraId="55399D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402C97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79DE66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6353406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1C9AA4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149D30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E632844">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FABE2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E5AF68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0AE707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2" w:type="dxa"/>
            <w:tcBorders>
              <w:top w:val="nil"/>
              <w:left w:val="nil"/>
              <w:bottom w:val="single" w:color="auto" w:sz="4" w:space="0"/>
              <w:right w:val="single" w:color="auto" w:sz="4" w:space="0"/>
            </w:tcBorders>
            <w:vAlign w:val="center"/>
          </w:tcPr>
          <w:p w14:paraId="18F46A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4CEFDD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F47D32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64EA97A">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vAlign w:val="center"/>
          </w:tcPr>
          <w:p w14:paraId="39EEBA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419999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56A06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422397B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24BDD42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4B83F7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B704308">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10540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212C2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F1D83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2" w:type="dxa"/>
            <w:tcBorders>
              <w:top w:val="nil"/>
              <w:left w:val="nil"/>
              <w:bottom w:val="single" w:color="auto" w:sz="4" w:space="0"/>
              <w:right w:val="single" w:color="auto" w:sz="4" w:space="0"/>
            </w:tcBorders>
            <w:vAlign w:val="center"/>
          </w:tcPr>
          <w:p w14:paraId="04B60C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39C6F3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C0703F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C3B860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vAlign w:val="center"/>
          </w:tcPr>
          <w:p w14:paraId="22C601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29DB22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5B9FDC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02" w:type="dxa"/>
            <w:tcBorders>
              <w:top w:val="nil"/>
              <w:left w:val="nil"/>
              <w:bottom w:val="single" w:color="auto" w:sz="4" w:space="0"/>
              <w:right w:val="single" w:color="auto" w:sz="4" w:space="0"/>
            </w:tcBorders>
            <w:vAlign w:val="center"/>
          </w:tcPr>
          <w:p w14:paraId="46B973B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54F6388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56184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BEA9D9E">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579139E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3D283D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F7DF3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02" w:type="dxa"/>
            <w:tcBorders>
              <w:top w:val="nil"/>
              <w:left w:val="nil"/>
              <w:bottom w:val="single" w:color="auto" w:sz="4" w:space="0"/>
              <w:right w:val="single" w:color="auto" w:sz="4" w:space="0"/>
            </w:tcBorders>
            <w:vAlign w:val="center"/>
          </w:tcPr>
          <w:p w14:paraId="36ECDBE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6E8647B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DCE445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94F01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vAlign w:val="center"/>
          </w:tcPr>
          <w:p w14:paraId="759D75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EF60D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4090A5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246625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2AB4B5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FC5F16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AC6B9B0">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09682E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0AA6F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0CCA1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02" w:type="dxa"/>
            <w:tcBorders>
              <w:top w:val="nil"/>
              <w:left w:val="nil"/>
              <w:bottom w:val="single" w:color="auto" w:sz="4" w:space="0"/>
              <w:right w:val="single" w:color="auto" w:sz="4" w:space="0"/>
            </w:tcBorders>
            <w:vAlign w:val="center"/>
          </w:tcPr>
          <w:p w14:paraId="17C4FEB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vAlign w:val="center"/>
          </w:tcPr>
          <w:p w14:paraId="08698B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F6812D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D5A8C9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vAlign w:val="center"/>
          </w:tcPr>
          <w:p w14:paraId="2DDEF6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52B7A9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6748942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02" w:type="dxa"/>
            <w:tcBorders>
              <w:top w:val="nil"/>
              <w:left w:val="nil"/>
              <w:bottom w:val="single" w:color="auto" w:sz="4" w:space="0"/>
              <w:right w:val="single" w:color="auto" w:sz="4" w:space="0"/>
            </w:tcBorders>
            <w:vAlign w:val="center"/>
          </w:tcPr>
          <w:p w14:paraId="3E173E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vAlign w:val="center"/>
          </w:tcPr>
          <w:p w14:paraId="07EADA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E3D70E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D0763B8">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58DDA9A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386125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07EBAD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02" w:type="dxa"/>
            <w:tcBorders>
              <w:top w:val="nil"/>
              <w:left w:val="nil"/>
              <w:bottom w:val="single" w:color="auto" w:sz="4" w:space="0"/>
              <w:right w:val="single" w:color="auto" w:sz="4" w:space="0"/>
            </w:tcBorders>
            <w:vAlign w:val="center"/>
          </w:tcPr>
          <w:p w14:paraId="006A86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vAlign w:val="center"/>
          </w:tcPr>
          <w:p w14:paraId="15D0CE2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1CE218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D83A1A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vAlign w:val="center"/>
          </w:tcPr>
          <w:p w14:paraId="6EDA2AF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E2BC4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ABA9A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74A9956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vAlign w:val="center"/>
          </w:tcPr>
          <w:p w14:paraId="1BED29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068E46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5F5F460">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1E9ECA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CE650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D8680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02" w:type="dxa"/>
            <w:tcBorders>
              <w:top w:val="nil"/>
              <w:left w:val="nil"/>
              <w:bottom w:val="single" w:color="auto" w:sz="4" w:space="0"/>
              <w:right w:val="single" w:color="auto" w:sz="4" w:space="0"/>
            </w:tcBorders>
            <w:vAlign w:val="center"/>
          </w:tcPr>
          <w:p w14:paraId="145D012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vAlign w:val="center"/>
          </w:tcPr>
          <w:p w14:paraId="31C6F6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301043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36567E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vAlign w:val="center"/>
          </w:tcPr>
          <w:p w14:paraId="289FC56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F1A22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36FD6A0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485766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0F12D0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0271EE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74871EE">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798099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5914AC9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52D99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02" w:type="dxa"/>
            <w:tcBorders>
              <w:top w:val="nil"/>
              <w:left w:val="nil"/>
              <w:bottom w:val="single" w:color="auto" w:sz="4" w:space="0"/>
              <w:right w:val="single" w:color="auto" w:sz="4" w:space="0"/>
            </w:tcBorders>
            <w:vAlign w:val="center"/>
          </w:tcPr>
          <w:p w14:paraId="6E1E94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vAlign w:val="center"/>
          </w:tcPr>
          <w:p w14:paraId="75E1DBF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097E91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594E939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vAlign w:val="center"/>
          </w:tcPr>
          <w:p w14:paraId="3E3CC4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5F65B8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07BB77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4D8CCF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49C2BCD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087B2DEC">
      <w:pPr>
        <w:spacing w:line="560" w:lineRule="exact"/>
        <w:ind w:firstLine="525" w:firstLineChars="250"/>
        <w:rPr>
          <w:rFonts w:ascii="宋体" w:hAnsi="宋体" w:cs="宋体"/>
          <w:color w:val="auto"/>
          <w:kern w:val="0"/>
          <w:sz w:val="20"/>
          <w:szCs w:val="21"/>
          <w:highlight w:val="none"/>
        </w:rPr>
        <w:sectPr>
          <w:pgSz w:w="11906" w:h="16838"/>
          <w:pgMar w:top="1134" w:right="1134" w:bottom="1134" w:left="1134" w:header="720" w:footer="720" w:gutter="0"/>
          <w:cols w:space="720" w:num="1"/>
          <w:docGrid w:type="lines" w:linePitch="331" w:charSpace="0"/>
        </w:sect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711CC99">
      <w:pPr>
        <w:pStyle w:val="2"/>
        <w:jc w:val="center"/>
        <w:rPr>
          <w:rFonts w:ascii="宋体" w:hAnsi="宋体" w:cs="宋体"/>
          <w:color w:val="auto"/>
          <w:highlight w:val="none"/>
        </w:rPr>
      </w:pPr>
      <w:bookmarkStart w:id="38" w:name="_Toc32550"/>
      <w:r>
        <w:rPr>
          <w:rFonts w:hint="eastAsia" w:ascii="宋体" w:hAnsi="宋体" w:cs="宋体"/>
          <w:bCs w:val="0"/>
          <w:color w:val="auto"/>
          <w:sz w:val="32"/>
          <w:szCs w:val="32"/>
          <w:highlight w:val="none"/>
        </w:rPr>
        <w:t>第三章 供应商须知</w:t>
      </w:r>
      <w:bookmarkEnd w:id="38"/>
    </w:p>
    <w:p w14:paraId="20C46A9E">
      <w:pPr>
        <w:pStyle w:val="3"/>
        <w:jc w:val="center"/>
        <w:rPr>
          <w:rFonts w:ascii="宋体" w:hAnsi="宋体" w:cs="宋体"/>
          <w:b/>
          <w:color w:val="auto"/>
          <w:sz w:val="32"/>
          <w:szCs w:val="32"/>
          <w:highlight w:val="none"/>
        </w:rPr>
      </w:pPr>
      <w:bookmarkStart w:id="39" w:name="_Toc28882"/>
      <w:r>
        <w:rPr>
          <w:rFonts w:hint="eastAsia" w:ascii="宋体" w:hAnsi="宋体" w:cs="宋体"/>
          <w:b w:val="0"/>
          <w:color w:val="auto"/>
          <w:highlight w:val="none"/>
        </w:rPr>
        <w:t>第一节 供应商须知前附表</w:t>
      </w:r>
      <w:bookmarkEnd w:id="39"/>
    </w:p>
    <w:tbl>
      <w:tblPr>
        <w:tblStyle w:val="27"/>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2721"/>
        <w:gridCol w:w="6793"/>
      </w:tblGrid>
      <w:tr w14:paraId="5F779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387D34C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21" w:type="dxa"/>
            <w:tcBorders>
              <w:top w:val="single" w:color="000000" w:sz="4" w:space="0"/>
              <w:left w:val="single" w:color="000000" w:sz="4" w:space="0"/>
              <w:bottom w:val="single" w:color="000000" w:sz="4" w:space="0"/>
              <w:right w:val="single" w:color="000000" w:sz="4" w:space="0"/>
            </w:tcBorders>
            <w:vAlign w:val="center"/>
          </w:tcPr>
          <w:p w14:paraId="1732693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793" w:type="dxa"/>
            <w:tcBorders>
              <w:top w:val="single" w:color="000000" w:sz="4" w:space="0"/>
              <w:left w:val="single" w:color="000000" w:sz="4" w:space="0"/>
              <w:bottom w:val="single" w:color="000000" w:sz="4" w:space="0"/>
              <w:right w:val="single" w:color="000000" w:sz="4" w:space="0"/>
            </w:tcBorders>
          </w:tcPr>
          <w:p w14:paraId="4940AFC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52821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7129BE0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721" w:type="dxa"/>
            <w:tcBorders>
              <w:top w:val="single" w:color="000000" w:sz="4" w:space="0"/>
              <w:left w:val="single" w:color="000000" w:sz="4" w:space="0"/>
              <w:bottom w:val="single" w:color="000000" w:sz="4" w:space="0"/>
              <w:right w:val="single" w:color="000000" w:sz="4" w:space="0"/>
            </w:tcBorders>
            <w:vAlign w:val="center"/>
          </w:tcPr>
          <w:p w14:paraId="163CA4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793" w:type="dxa"/>
            <w:tcBorders>
              <w:top w:val="single" w:color="000000" w:sz="4" w:space="0"/>
              <w:left w:val="single" w:color="000000" w:sz="4" w:space="0"/>
              <w:bottom w:val="single" w:color="000000" w:sz="4" w:space="0"/>
              <w:right w:val="single" w:color="000000" w:sz="4" w:space="0"/>
            </w:tcBorders>
          </w:tcPr>
          <w:p w14:paraId="2A989D0F">
            <w:pPr>
              <w:spacing w:line="360" w:lineRule="auto"/>
              <w:rPr>
                <w:rFonts w:ascii="宋体" w:hAnsi="宋体" w:cs="宋体"/>
                <w:color w:val="auto"/>
                <w:szCs w:val="21"/>
                <w:highlight w:val="none"/>
              </w:rPr>
            </w:pPr>
            <w:r>
              <w:rPr>
                <w:rFonts w:hint="eastAsia" w:ascii="宋体" w:hAnsi="宋体" w:cs="宋体"/>
                <w:color w:val="auto"/>
                <w:szCs w:val="21"/>
                <w:highlight w:val="none"/>
              </w:rPr>
              <w:t>详见公告。</w:t>
            </w:r>
          </w:p>
        </w:tc>
      </w:tr>
      <w:tr w14:paraId="15319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31216A8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721" w:type="dxa"/>
            <w:tcBorders>
              <w:top w:val="single" w:color="000000" w:sz="4" w:space="0"/>
              <w:left w:val="single" w:color="000000" w:sz="4" w:space="0"/>
              <w:bottom w:val="single" w:color="000000" w:sz="4" w:space="0"/>
              <w:right w:val="single" w:color="000000" w:sz="4" w:space="0"/>
            </w:tcBorders>
            <w:vAlign w:val="center"/>
          </w:tcPr>
          <w:p w14:paraId="0905646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793" w:type="dxa"/>
            <w:tcBorders>
              <w:top w:val="single" w:color="000000" w:sz="4" w:space="0"/>
              <w:left w:val="single" w:color="000000" w:sz="4" w:space="0"/>
              <w:bottom w:val="single" w:color="000000" w:sz="4" w:space="0"/>
              <w:right w:val="single" w:color="000000" w:sz="4" w:space="0"/>
            </w:tcBorders>
            <w:vAlign w:val="center"/>
          </w:tcPr>
          <w:p w14:paraId="4B36B408">
            <w:pPr>
              <w:spacing w:line="360" w:lineRule="auto"/>
              <w:rPr>
                <w:rFonts w:ascii="宋体" w:hAnsi="宋体" w:cs="宋体"/>
                <w:color w:val="auto"/>
                <w:szCs w:val="21"/>
                <w:highlight w:val="none"/>
              </w:rPr>
            </w:pPr>
            <w:r>
              <w:rPr>
                <w:rFonts w:hint="eastAsia" w:ascii="宋体" w:hAnsi="宋体" w:cs="宋体"/>
                <w:color w:val="auto"/>
                <w:szCs w:val="21"/>
                <w:highlight w:val="none"/>
              </w:rPr>
              <w:t>详见公告。</w:t>
            </w:r>
          </w:p>
        </w:tc>
      </w:tr>
      <w:tr w14:paraId="5583D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6AC8430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721" w:type="dxa"/>
            <w:tcBorders>
              <w:top w:val="single" w:color="000000" w:sz="4" w:space="0"/>
              <w:left w:val="single" w:color="000000" w:sz="4" w:space="0"/>
              <w:bottom w:val="single" w:color="000000" w:sz="4" w:space="0"/>
              <w:right w:val="single" w:color="000000" w:sz="4" w:space="0"/>
            </w:tcBorders>
            <w:vAlign w:val="center"/>
          </w:tcPr>
          <w:p w14:paraId="20164B1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341BC17C">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3ACE8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38080C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721" w:type="dxa"/>
            <w:tcBorders>
              <w:top w:val="single" w:color="000000" w:sz="4" w:space="0"/>
              <w:left w:val="single" w:color="000000" w:sz="4" w:space="0"/>
              <w:bottom w:val="single" w:color="000000" w:sz="4" w:space="0"/>
              <w:right w:val="single" w:color="000000" w:sz="4" w:space="0"/>
            </w:tcBorders>
            <w:vAlign w:val="center"/>
          </w:tcPr>
          <w:p w14:paraId="0E81D10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793" w:type="dxa"/>
            <w:tcBorders>
              <w:top w:val="single" w:color="000000" w:sz="4" w:space="0"/>
              <w:left w:val="single" w:color="000000" w:sz="4" w:space="0"/>
              <w:bottom w:val="single" w:color="000000" w:sz="4" w:space="0"/>
              <w:right w:val="single" w:color="000000" w:sz="4" w:space="0"/>
            </w:tcBorders>
            <w:vAlign w:val="center"/>
          </w:tcPr>
          <w:p w14:paraId="1C20FED8">
            <w:pPr>
              <w:pStyle w:val="9"/>
              <w:spacing w:line="360" w:lineRule="exact"/>
              <w:rPr>
                <w:rFonts w:ascii="宋体" w:hAnsi="宋体" w:cs="宋体"/>
                <w:color w:val="auto"/>
                <w:szCs w:val="21"/>
                <w:highlight w:val="none"/>
              </w:rPr>
            </w:pPr>
            <w:r>
              <w:rPr>
                <w:rFonts w:hint="eastAsia" w:ascii="宋体" w:hAnsi="宋体" w:cs="宋体"/>
                <w:color w:val="auto"/>
                <w:szCs w:val="21"/>
                <w:highlight w:val="none"/>
              </w:rPr>
              <w:t>☑不允许转包/分包</w:t>
            </w:r>
          </w:p>
          <w:p w14:paraId="75D45972">
            <w:pPr>
              <w:pStyle w:val="9"/>
              <w:spacing w:line="360" w:lineRule="exact"/>
              <w:rPr>
                <w:rFonts w:ascii="宋体" w:hAnsi="宋体" w:cs="宋体"/>
                <w:color w:val="auto"/>
                <w:szCs w:val="21"/>
                <w:highlight w:val="none"/>
              </w:rPr>
            </w:pPr>
            <w:r>
              <w:rPr>
                <w:rFonts w:hint="eastAsia" w:ascii="宋体" w:hAnsi="宋体" w:cs="宋体"/>
                <w:color w:val="auto"/>
                <w:szCs w:val="21"/>
                <w:highlight w:val="none"/>
              </w:rPr>
              <w:t>□允许转包/分包</w:t>
            </w:r>
          </w:p>
          <w:p w14:paraId="691B2431">
            <w:pPr>
              <w:pStyle w:val="9"/>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7C0D929B">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4BE0C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44D809E8">
            <w:pPr>
              <w:spacing w:line="380" w:lineRule="exact"/>
              <w:rPr>
                <w:rFonts w:ascii="宋体" w:hAnsi="宋体" w:cs="宋体"/>
                <w:color w:val="auto"/>
                <w:szCs w:val="21"/>
                <w:highlight w:val="none"/>
              </w:rPr>
            </w:pPr>
            <w:r>
              <w:rPr>
                <w:rFonts w:hint="eastAsia" w:ascii="宋体" w:hAnsi="宋体" w:cs="宋体"/>
                <w:color w:val="auto"/>
                <w:szCs w:val="21"/>
                <w:highlight w:val="none"/>
              </w:rPr>
              <w:t>11.4</w:t>
            </w:r>
          </w:p>
        </w:tc>
        <w:tc>
          <w:tcPr>
            <w:tcW w:w="2721" w:type="dxa"/>
            <w:tcBorders>
              <w:top w:val="single" w:color="000000" w:sz="4" w:space="0"/>
              <w:left w:val="single" w:color="000000" w:sz="4" w:space="0"/>
              <w:bottom w:val="single" w:color="000000" w:sz="4" w:space="0"/>
              <w:right w:val="single" w:color="000000" w:sz="4" w:space="0"/>
            </w:tcBorders>
            <w:vAlign w:val="center"/>
          </w:tcPr>
          <w:p w14:paraId="49447BB8">
            <w:pPr>
              <w:spacing w:line="380" w:lineRule="exact"/>
              <w:rPr>
                <w:rFonts w:ascii="宋体" w:hAnsi="宋体" w:cs="宋体"/>
                <w:color w:val="auto"/>
                <w:szCs w:val="21"/>
                <w:highlight w:val="none"/>
              </w:rPr>
            </w:pPr>
            <w:r>
              <w:rPr>
                <w:rFonts w:hint="eastAsia" w:ascii="宋体" w:hAnsi="宋体" w:cs="宋体"/>
                <w:color w:val="auto"/>
                <w:szCs w:val="21"/>
                <w:highlight w:val="none"/>
              </w:rPr>
              <w:t>媒体发布渠道</w:t>
            </w:r>
          </w:p>
        </w:tc>
        <w:tc>
          <w:tcPr>
            <w:tcW w:w="6793" w:type="dxa"/>
            <w:tcBorders>
              <w:top w:val="single" w:color="000000" w:sz="4" w:space="0"/>
              <w:left w:val="single" w:color="000000" w:sz="4" w:space="0"/>
              <w:bottom w:val="single" w:color="000000" w:sz="4" w:space="0"/>
              <w:right w:val="single" w:color="000000" w:sz="4" w:space="0"/>
            </w:tcBorders>
            <w:vAlign w:val="center"/>
          </w:tcPr>
          <w:p w14:paraId="1308BAB9">
            <w:pPr>
              <w:rPr>
                <w:rFonts w:ascii="宋体" w:hAnsi="宋体" w:cs="宋体"/>
                <w:color w:val="auto"/>
                <w:szCs w:val="21"/>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1C2F4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0EA3FF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721" w:type="dxa"/>
            <w:tcBorders>
              <w:top w:val="single" w:color="000000" w:sz="4" w:space="0"/>
              <w:left w:val="single" w:color="000000" w:sz="4" w:space="0"/>
              <w:bottom w:val="single" w:color="000000" w:sz="4" w:space="0"/>
              <w:right w:val="single" w:color="000000" w:sz="4" w:space="0"/>
            </w:tcBorders>
            <w:vAlign w:val="center"/>
          </w:tcPr>
          <w:p w14:paraId="15196EC7">
            <w:pPr>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5BF362C0">
            <w:pPr>
              <w:spacing w:line="360" w:lineRule="auto"/>
              <w:jc w:val="center"/>
              <w:rPr>
                <w:rFonts w:ascii="宋体" w:hAnsi="宋体" w:cs="宋体"/>
                <w:color w:val="auto"/>
                <w:szCs w:val="21"/>
                <w:highlight w:val="none"/>
              </w:rPr>
            </w:pPr>
          </w:p>
        </w:tc>
        <w:tc>
          <w:tcPr>
            <w:tcW w:w="6793" w:type="dxa"/>
            <w:tcBorders>
              <w:top w:val="single" w:color="000000" w:sz="4" w:space="0"/>
              <w:left w:val="single" w:color="000000" w:sz="4" w:space="0"/>
              <w:bottom w:val="single" w:color="000000" w:sz="4" w:space="0"/>
              <w:right w:val="single" w:color="000000" w:sz="4" w:space="0"/>
            </w:tcBorders>
            <w:vAlign w:val="center"/>
          </w:tcPr>
          <w:p w14:paraId="38468DF2">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B90A3C">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2.竞标人根据防财监〔2023〕58 号文要求提供的《防城港市政府采购供应商信用承诺函》（格式附后）</w:t>
            </w:r>
            <w:r>
              <w:rPr>
                <w:rFonts w:hint="eastAsia" w:ascii="宋体" w:hAnsi="宋体" w:cs="宋体"/>
                <w:b/>
                <w:bCs/>
                <w:color w:val="auto"/>
                <w:szCs w:val="21"/>
                <w:highlight w:val="none"/>
              </w:rPr>
              <w:t>（必须提供，否则响应文件按无效响应处理）</w:t>
            </w:r>
          </w:p>
          <w:p w14:paraId="55A1171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5A8AAE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228C2E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.中小企业声明函或残疾人福利性单位声明函或属于监狱企业的证明文件；（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8F19CF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资格要求</w:t>
            </w:r>
            <w:r>
              <w:rPr>
                <w:rFonts w:hint="eastAsia" w:ascii="宋体" w:hAnsi="宋体" w:cs="宋体"/>
                <w:color w:val="auto"/>
                <w:szCs w:val="21"/>
                <w:highlight w:val="none"/>
                <w:lang w:eastAsia="zh-CN"/>
              </w:rPr>
              <w:t>：</w:t>
            </w:r>
            <w:r>
              <w:rPr>
                <w:rFonts w:hint="default" w:ascii="Calibri" w:hAnsi="Calibri" w:cs="Calibri"/>
                <w:color w:val="auto"/>
                <w:szCs w:val="21"/>
                <w:highlight w:val="none"/>
                <w:lang w:eastAsia="zh-CN"/>
              </w:rPr>
              <w:t>①</w:t>
            </w:r>
            <w:r>
              <w:rPr>
                <w:rFonts w:hint="eastAsia" w:ascii="宋体" w:hAnsi="宋体" w:cs="宋体"/>
                <w:color w:val="auto"/>
                <w:szCs w:val="21"/>
                <w:highlight w:val="none"/>
              </w:rPr>
              <w:t>供应商须具备公路工程施工总承包叁级(含)以上资质，</w:t>
            </w:r>
            <w:r>
              <w:rPr>
                <w:rFonts w:hint="eastAsia" w:ascii="宋体" w:hAnsi="宋体" w:cs="宋体"/>
                <w:color w:val="auto"/>
                <w:szCs w:val="21"/>
                <w:highlight w:val="none"/>
                <w:lang w:val="en-US" w:eastAsia="zh-CN"/>
              </w:rPr>
              <w:t>同时</w:t>
            </w:r>
            <w:r>
              <w:rPr>
                <w:rFonts w:hint="eastAsia" w:ascii="宋体" w:hAnsi="宋体" w:cs="宋体"/>
                <w:color w:val="auto"/>
                <w:szCs w:val="21"/>
                <w:highlight w:val="none"/>
              </w:rPr>
              <w:t>持有省级及以上建设行政主管部门颁发的安全生产许可证；</w:t>
            </w:r>
            <w:r>
              <w:rPr>
                <w:rFonts w:hint="default" w:ascii="Calibri" w:hAnsi="Calibri" w:cs="Calibri"/>
                <w:color w:val="auto"/>
                <w:szCs w:val="21"/>
                <w:highlight w:val="none"/>
              </w:rPr>
              <w:t>②</w:t>
            </w:r>
            <w:r>
              <w:rPr>
                <w:rFonts w:hint="eastAsia" w:ascii="宋体" w:hAnsi="宋体" w:cs="宋体"/>
                <w:color w:val="auto"/>
                <w:szCs w:val="21"/>
                <w:highlight w:val="none"/>
                <w:lang w:val="en-US" w:eastAsia="zh-CN"/>
              </w:rPr>
              <w:t>拟投入本项目的</w:t>
            </w:r>
            <w:r>
              <w:rPr>
                <w:rFonts w:hint="eastAsia" w:ascii="宋体" w:hAnsi="宋体" w:cs="宋体"/>
                <w:color w:val="auto"/>
                <w:szCs w:val="21"/>
                <w:highlight w:val="none"/>
              </w:rPr>
              <w:t>项目经理须</w:t>
            </w:r>
            <w:r>
              <w:rPr>
                <w:rFonts w:hint="eastAsia" w:ascii="宋体" w:hAnsi="宋体" w:cs="宋体"/>
                <w:color w:val="auto"/>
                <w:szCs w:val="21"/>
                <w:highlight w:val="none"/>
                <w:lang w:val="en-US" w:eastAsia="zh-CN"/>
              </w:rPr>
              <w:t>具备</w:t>
            </w:r>
            <w:r>
              <w:rPr>
                <w:rFonts w:hint="eastAsia" w:ascii="宋体" w:hAnsi="宋体" w:cs="宋体"/>
                <w:color w:val="auto"/>
                <w:szCs w:val="21"/>
                <w:highlight w:val="none"/>
              </w:rPr>
              <w:t>公路工程专业</w:t>
            </w:r>
            <w:r>
              <w:rPr>
                <w:rFonts w:hint="eastAsia" w:ascii="宋体" w:hAnsi="宋体" w:cs="宋体"/>
                <w:color w:val="auto"/>
                <w:szCs w:val="21"/>
                <w:highlight w:val="none"/>
                <w:lang w:val="en-US" w:eastAsia="zh-CN"/>
              </w:rPr>
              <w:t>贰</w:t>
            </w:r>
            <w:r>
              <w:rPr>
                <w:rFonts w:hint="eastAsia" w:ascii="宋体" w:hAnsi="宋体" w:cs="宋体"/>
                <w:color w:val="auto"/>
                <w:szCs w:val="21"/>
                <w:highlight w:val="none"/>
              </w:rPr>
              <w:t>级以上(含</w:t>
            </w:r>
            <w:r>
              <w:rPr>
                <w:rFonts w:hint="eastAsia" w:ascii="宋体" w:hAnsi="宋体" w:cs="宋体"/>
                <w:color w:val="auto"/>
                <w:szCs w:val="21"/>
                <w:highlight w:val="none"/>
                <w:lang w:val="en-US" w:eastAsia="zh-CN"/>
              </w:rPr>
              <w:t>贰级</w:t>
            </w:r>
            <w:r>
              <w:rPr>
                <w:rFonts w:hint="eastAsia" w:ascii="宋体" w:hAnsi="宋体" w:cs="宋体"/>
                <w:color w:val="auto"/>
                <w:szCs w:val="21"/>
                <w:highlight w:val="none"/>
              </w:rPr>
              <w:t>)注册建造师资格，并持有省级或以上交通</w:t>
            </w:r>
            <w:r>
              <w:rPr>
                <w:rFonts w:hint="eastAsia" w:ascii="宋体" w:hAnsi="宋体" w:eastAsia="宋体" w:cs="宋体"/>
                <w:color w:val="auto"/>
                <w:szCs w:val="21"/>
                <w:highlight w:val="none"/>
              </w:rPr>
              <w:t>运输行政主管部门颁发的安全生产考核合格证(“三类人员”B 类证书)</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051427">
            <w:pP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7.承诺函</w:t>
            </w:r>
            <w:r>
              <w:rPr>
                <w:rFonts w:hint="eastAsia" w:ascii="宋体" w:hAnsi="宋体" w:cs="宋体"/>
                <w:color w:val="auto"/>
                <w:szCs w:val="21"/>
                <w:highlight w:val="none"/>
              </w:rPr>
              <w:t>（格式后附）</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29C391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除磋商文件规定必须提供以外，供应商认为需要提供的其他证明材料；</w:t>
            </w:r>
          </w:p>
          <w:p w14:paraId="7960CEDE">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26F6A049">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2B235752">
            <w:pPr>
              <w:pStyle w:val="9"/>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2.分公司参加竞标的，应当取得总公司授权，无授权的则作无效竞标处理；</w:t>
            </w:r>
          </w:p>
        </w:tc>
      </w:tr>
      <w:tr w14:paraId="76E9A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F06D9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721" w:type="dxa"/>
            <w:tcBorders>
              <w:top w:val="single" w:color="000000" w:sz="4" w:space="0"/>
              <w:left w:val="single" w:color="000000" w:sz="4" w:space="0"/>
              <w:bottom w:val="single" w:color="000000" w:sz="4" w:space="0"/>
              <w:right w:val="single" w:color="000000" w:sz="4" w:space="0"/>
            </w:tcBorders>
            <w:vAlign w:val="center"/>
          </w:tcPr>
          <w:p w14:paraId="61C73F04">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w:t>
            </w:r>
            <w:r>
              <w:rPr>
                <w:rFonts w:hint="eastAsia" w:ascii="宋体" w:hAnsi="宋体" w:cs="宋体"/>
                <w:b/>
                <w:bCs/>
                <w:color w:val="auto"/>
                <w:szCs w:val="21"/>
                <w:highlight w:val="none"/>
                <w:lang w:val="en-US" w:eastAsia="zh-CN"/>
              </w:rPr>
              <w:t>技术</w:t>
            </w:r>
            <w:r>
              <w:rPr>
                <w:rFonts w:hint="eastAsia" w:ascii="宋体" w:hAnsi="宋体" w:cs="宋体"/>
                <w:b/>
                <w:bCs/>
                <w:color w:val="auto"/>
                <w:szCs w:val="21"/>
                <w:highlight w:val="none"/>
              </w:rPr>
              <w:t>文件组成</w:t>
            </w:r>
          </w:p>
        </w:tc>
        <w:tc>
          <w:tcPr>
            <w:tcW w:w="6793" w:type="dxa"/>
            <w:tcBorders>
              <w:top w:val="single" w:color="000000" w:sz="4" w:space="0"/>
              <w:left w:val="single" w:color="000000" w:sz="4" w:space="0"/>
              <w:bottom w:val="single" w:color="000000" w:sz="4" w:space="0"/>
              <w:right w:val="single" w:color="000000" w:sz="4" w:space="0"/>
            </w:tcBorders>
            <w:vAlign w:val="center"/>
          </w:tcPr>
          <w:p w14:paraId="22E0F7AE">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224FDD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94C47C">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C1E3F7A">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791A2CF">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5.施工组织设计；</w:t>
            </w:r>
            <w:r>
              <w:rPr>
                <w:rFonts w:hint="eastAsia" w:ascii="宋体" w:hAnsi="宋体" w:cs="宋体"/>
                <w:b/>
                <w:bCs/>
                <w:color w:val="auto"/>
                <w:szCs w:val="21"/>
                <w:highlight w:val="none"/>
              </w:rPr>
              <w:t>（必须提供，否则响应文件按无效响应处理）</w:t>
            </w:r>
          </w:p>
          <w:p w14:paraId="6340961C">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项目实施人员一览表</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（必须提供，否则响应文件按无效响应处理）</w:t>
            </w:r>
          </w:p>
          <w:p w14:paraId="7A418BBD">
            <w:pPr>
              <w:spacing w:line="360" w:lineRule="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r>
              <w:rPr>
                <w:rFonts w:hint="default" w:ascii="宋体" w:hAnsi="宋体" w:cs="宋体"/>
                <w:color w:val="auto"/>
                <w:szCs w:val="21"/>
                <w:highlight w:val="none"/>
                <w:lang w:val="en-US" w:eastAsia="zh-CN"/>
              </w:rPr>
              <w:t>.对应采购需求的服务需求、商务条款提供的其他文件资料；</w:t>
            </w:r>
          </w:p>
          <w:p w14:paraId="3CDBF3B3">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.供应商认为需要提供的其他有关资料。</w:t>
            </w:r>
          </w:p>
          <w:p w14:paraId="62B2BBC2">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73382812">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w:t>
            </w:r>
            <w:r>
              <w:rPr>
                <w:rFonts w:hint="eastAsia" w:ascii="宋体" w:hAnsi="宋体" w:cs="宋体"/>
                <w:b/>
                <w:color w:val="auto"/>
                <w:szCs w:val="21"/>
                <w:highlight w:val="none"/>
                <w:lang w:val="en-US" w:eastAsia="zh-CN"/>
              </w:rPr>
              <w:t>或签章</w:t>
            </w:r>
            <w:r>
              <w:rPr>
                <w:rFonts w:hint="eastAsia" w:ascii="宋体" w:hAnsi="宋体" w:cs="宋体"/>
                <w:b/>
                <w:color w:val="auto"/>
                <w:szCs w:val="21"/>
                <w:highlight w:val="none"/>
              </w:rPr>
              <w:t>，并加盖供应商公章，否则响应文件按无效响应处理。</w:t>
            </w:r>
          </w:p>
          <w:p w14:paraId="679D0E8A">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3DE11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9CEBA1B">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12.1.</w:t>
            </w:r>
            <w:r>
              <w:rPr>
                <w:rFonts w:hint="eastAsia" w:ascii="宋体" w:hAnsi="宋体" w:cs="宋体"/>
                <w:color w:val="auto"/>
                <w:szCs w:val="21"/>
                <w:highlight w:val="none"/>
                <w:lang w:val="en-US" w:eastAsia="zh-CN"/>
              </w:rPr>
              <w:t>3</w:t>
            </w:r>
          </w:p>
        </w:tc>
        <w:tc>
          <w:tcPr>
            <w:tcW w:w="2721" w:type="dxa"/>
            <w:tcBorders>
              <w:top w:val="single" w:color="000000" w:sz="4" w:space="0"/>
              <w:left w:val="single" w:color="000000" w:sz="4" w:space="0"/>
              <w:bottom w:val="single" w:color="000000" w:sz="4" w:space="0"/>
              <w:right w:val="single" w:color="000000" w:sz="4" w:space="0"/>
            </w:tcBorders>
            <w:vAlign w:val="center"/>
          </w:tcPr>
          <w:p w14:paraId="3B861F6A">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793" w:type="dxa"/>
            <w:tcBorders>
              <w:top w:val="single" w:color="000000" w:sz="4" w:space="0"/>
              <w:left w:val="single" w:color="000000" w:sz="4" w:space="0"/>
              <w:bottom w:val="single" w:color="000000" w:sz="4" w:space="0"/>
              <w:right w:val="single" w:color="000000" w:sz="4" w:space="0"/>
            </w:tcBorders>
            <w:vAlign w:val="center"/>
          </w:tcPr>
          <w:p w14:paraId="5EABBBE4">
            <w:pPr>
              <w:spacing w:line="360" w:lineRule="auto"/>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b/>
                <w:bCs/>
                <w:color w:val="auto"/>
                <w:szCs w:val="21"/>
                <w:highlight w:val="none"/>
              </w:rPr>
              <w:t>（必须提供，否则作无效响应处理）</w:t>
            </w:r>
          </w:p>
          <w:p w14:paraId="2C2EF8F0">
            <w:pP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2.响应报价表；</w:t>
            </w:r>
            <w:r>
              <w:rPr>
                <w:rFonts w:hint="eastAsia" w:ascii="宋体" w:hAnsi="宋体" w:cs="宋体"/>
                <w:b/>
                <w:bCs/>
                <w:color w:val="auto"/>
                <w:szCs w:val="21"/>
                <w:highlight w:val="none"/>
              </w:rPr>
              <w:t>（必须提供，否则响应文件按无效响应处理）</w:t>
            </w:r>
          </w:p>
          <w:p w14:paraId="070A8C36">
            <w:pPr>
              <w:spacing w:line="360" w:lineRule="auto"/>
              <w:rPr>
                <w:rFonts w:hint="default" w:ascii="宋体" w:hAnsi="宋体" w:eastAsia="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3.已标价工程量清单</w:t>
            </w:r>
            <w:r>
              <w:rPr>
                <w:rFonts w:hint="eastAsia" w:ascii="宋体" w:hAnsi="宋体" w:cs="宋体"/>
                <w:b w:val="0"/>
                <w:bCs w:val="0"/>
                <w:color w:val="auto"/>
                <w:szCs w:val="21"/>
                <w:highlight w:val="none"/>
              </w:rPr>
              <w:t>；</w:t>
            </w:r>
            <w:r>
              <w:rPr>
                <w:rFonts w:hint="eastAsia" w:ascii="宋体" w:hAnsi="宋体" w:cs="宋体"/>
                <w:b/>
                <w:bCs/>
                <w:color w:val="auto"/>
                <w:szCs w:val="21"/>
                <w:highlight w:val="none"/>
              </w:rPr>
              <w:t>（必须提供，否则响应文件按无效响应处理）</w:t>
            </w:r>
          </w:p>
        </w:tc>
      </w:tr>
      <w:tr w14:paraId="13E5A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C8BE80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721" w:type="dxa"/>
            <w:tcBorders>
              <w:top w:val="single" w:color="000000" w:sz="4" w:space="0"/>
              <w:left w:val="single" w:color="000000" w:sz="4" w:space="0"/>
              <w:bottom w:val="single" w:color="000000" w:sz="4" w:space="0"/>
              <w:right w:val="single" w:color="000000" w:sz="4" w:space="0"/>
            </w:tcBorders>
            <w:vAlign w:val="center"/>
          </w:tcPr>
          <w:p w14:paraId="7A532FB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7E1949C0">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F73F46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2.响应文件电子版密封方式：电子响应文件通过平台有效CA加密后在“广西政府采购云平台”投送。（操作方式见公告附件“电子响应文件制作与投送教程” ）</w:t>
            </w:r>
          </w:p>
        </w:tc>
      </w:tr>
      <w:tr w14:paraId="70F75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096E3C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721" w:type="dxa"/>
            <w:tcBorders>
              <w:top w:val="single" w:color="000000" w:sz="4" w:space="0"/>
              <w:left w:val="single" w:color="000000" w:sz="4" w:space="0"/>
              <w:bottom w:val="single" w:color="000000" w:sz="4" w:space="0"/>
              <w:right w:val="single" w:color="000000" w:sz="4" w:space="0"/>
            </w:tcBorders>
            <w:vAlign w:val="center"/>
          </w:tcPr>
          <w:p w14:paraId="00B59C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0BAF44C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color w:val="auto"/>
                <w:szCs w:val="21"/>
                <w:highlight w:val="none"/>
              </w:rPr>
              <w:t>（采购需求另有约定的，从其约定。）</w:t>
            </w:r>
          </w:p>
        </w:tc>
      </w:tr>
      <w:tr w14:paraId="23B29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7D0DB8E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721" w:type="dxa"/>
            <w:tcBorders>
              <w:top w:val="single" w:color="000000" w:sz="4" w:space="0"/>
              <w:left w:val="single" w:color="000000" w:sz="4" w:space="0"/>
              <w:bottom w:val="single" w:color="000000" w:sz="4" w:space="0"/>
              <w:right w:val="single" w:color="000000" w:sz="4" w:space="0"/>
            </w:tcBorders>
            <w:vAlign w:val="center"/>
          </w:tcPr>
          <w:p w14:paraId="0F82C3A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793" w:type="dxa"/>
            <w:tcBorders>
              <w:top w:val="single" w:color="000000" w:sz="4" w:space="0"/>
              <w:left w:val="single" w:color="000000" w:sz="4" w:space="0"/>
              <w:bottom w:val="single" w:color="000000" w:sz="4" w:space="0"/>
              <w:right w:val="single" w:color="000000" w:sz="4" w:space="0"/>
            </w:tcBorders>
            <w:vAlign w:val="center"/>
          </w:tcPr>
          <w:p w14:paraId="777029C5">
            <w:pPr>
              <w:pStyle w:val="7"/>
              <w:numPr>
                <w:ilvl w:val="0"/>
                <w:numId w:val="0"/>
              </w:numPr>
              <w:tabs>
                <w:tab w:val="left" w:pos="720"/>
                <w:tab w:val="left" w:pos="840"/>
              </w:tabs>
              <w:snapToGrid w:val="0"/>
              <w:spacing w:after="120"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1E18A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7B0F547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721" w:type="dxa"/>
            <w:tcBorders>
              <w:top w:val="single" w:color="000000" w:sz="4" w:space="0"/>
              <w:left w:val="single" w:color="000000" w:sz="4" w:space="0"/>
              <w:bottom w:val="single" w:color="000000" w:sz="4" w:space="0"/>
              <w:right w:val="single" w:color="000000" w:sz="4" w:space="0"/>
            </w:tcBorders>
            <w:vAlign w:val="center"/>
          </w:tcPr>
          <w:p w14:paraId="2E910E7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793" w:type="dxa"/>
            <w:tcBorders>
              <w:top w:val="single" w:color="000000" w:sz="4" w:space="0"/>
              <w:left w:val="single" w:color="000000" w:sz="4" w:space="0"/>
              <w:bottom w:val="single" w:color="000000" w:sz="4" w:space="0"/>
              <w:right w:val="single" w:color="000000" w:sz="4" w:space="0"/>
            </w:tcBorders>
            <w:vAlign w:val="center"/>
          </w:tcPr>
          <w:p w14:paraId="6B31FB11">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59E9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720789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721" w:type="dxa"/>
            <w:tcBorders>
              <w:top w:val="single" w:color="000000" w:sz="4" w:space="0"/>
              <w:left w:val="single" w:color="000000" w:sz="4" w:space="0"/>
              <w:bottom w:val="single" w:color="000000" w:sz="4" w:space="0"/>
              <w:right w:val="single" w:color="000000" w:sz="4" w:space="0"/>
            </w:tcBorders>
            <w:vAlign w:val="center"/>
          </w:tcPr>
          <w:p w14:paraId="7B0A24A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793" w:type="dxa"/>
            <w:tcBorders>
              <w:top w:val="single" w:color="000000" w:sz="4" w:space="0"/>
              <w:left w:val="single" w:color="000000" w:sz="4" w:space="0"/>
              <w:bottom w:val="single" w:color="000000" w:sz="4" w:space="0"/>
              <w:right w:val="single" w:color="000000" w:sz="4" w:space="0"/>
            </w:tcBorders>
            <w:vAlign w:val="center"/>
          </w:tcPr>
          <w:p w14:paraId="6CA5A315">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653A3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E512D0B">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0AED0BD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793" w:type="dxa"/>
            <w:tcBorders>
              <w:top w:val="single" w:color="000000" w:sz="4" w:space="0"/>
              <w:left w:val="single" w:color="000000" w:sz="4" w:space="0"/>
              <w:bottom w:val="single" w:color="000000" w:sz="4" w:space="0"/>
              <w:right w:val="single" w:color="000000" w:sz="4" w:space="0"/>
            </w:tcBorders>
            <w:vAlign w:val="center"/>
          </w:tcPr>
          <w:p w14:paraId="4EC18674">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2D184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4D981A5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721" w:type="dxa"/>
            <w:tcBorders>
              <w:top w:val="single" w:color="000000" w:sz="4" w:space="0"/>
              <w:left w:val="single" w:color="000000" w:sz="4" w:space="0"/>
              <w:bottom w:val="single" w:color="000000" w:sz="4" w:space="0"/>
              <w:right w:val="single" w:color="000000" w:sz="4" w:space="0"/>
            </w:tcBorders>
            <w:vAlign w:val="center"/>
          </w:tcPr>
          <w:p w14:paraId="097FB4B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793" w:type="dxa"/>
            <w:tcBorders>
              <w:top w:val="single" w:color="000000" w:sz="4" w:space="0"/>
              <w:left w:val="single" w:color="000000" w:sz="4" w:space="0"/>
              <w:bottom w:val="single" w:color="000000" w:sz="4" w:space="0"/>
              <w:right w:val="single" w:color="000000" w:sz="4" w:space="0"/>
            </w:tcBorders>
            <w:vAlign w:val="center"/>
          </w:tcPr>
          <w:p w14:paraId="42FC59C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393EC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4CF2195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721" w:type="dxa"/>
            <w:tcBorders>
              <w:top w:val="single" w:color="000000" w:sz="4" w:space="0"/>
              <w:left w:val="single" w:color="000000" w:sz="4" w:space="0"/>
              <w:bottom w:val="single" w:color="000000" w:sz="4" w:space="0"/>
              <w:right w:val="single" w:color="000000" w:sz="4" w:space="0"/>
            </w:tcBorders>
            <w:vAlign w:val="center"/>
          </w:tcPr>
          <w:p w14:paraId="02FB670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793" w:type="dxa"/>
            <w:tcBorders>
              <w:top w:val="single" w:color="000000" w:sz="4" w:space="0"/>
              <w:left w:val="single" w:color="000000" w:sz="4" w:space="0"/>
              <w:bottom w:val="single" w:color="000000" w:sz="4" w:space="0"/>
              <w:right w:val="single" w:color="000000" w:sz="4" w:space="0"/>
            </w:tcBorders>
            <w:vAlign w:val="center"/>
          </w:tcPr>
          <w:p w14:paraId="6E53BB6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5E4EC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C79520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721" w:type="dxa"/>
            <w:tcBorders>
              <w:top w:val="single" w:color="000000" w:sz="4" w:space="0"/>
              <w:left w:val="single" w:color="000000" w:sz="4" w:space="0"/>
              <w:bottom w:val="single" w:color="000000" w:sz="4" w:space="0"/>
              <w:right w:val="single" w:color="000000" w:sz="4" w:space="0"/>
            </w:tcBorders>
            <w:vAlign w:val="center"/>
          </w:tcPr>
          <w:p w14:paraId="686C981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125E495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3559CBE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5530E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E6E8570">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0B31640C">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p w14:paraId="7416689F">
            <w:pPr>
              <w:spacing w:line="360" w:lineRule="auto"/>
              <w:jc w:val="center"/>
              <w:rPr>
                <w:rFonts w:ascii="宋体" w:hAnsi="宋体" w:cs="宋体"/>
                <w:color w:val="auto"/>
                <w:szCs w:val="21"/>
                <w:highlight w:val="none"/>
              </w:rPr>
            </w:pPr>
          </w:p>
        </w:tc>
        <w:tc>
          <w:tcPr>
            <w:tcW w:w="6793" w:type="dxa"/>
            <w:tcBorders>
              <w:top w:val="single" w:color="000000" w:sz="4" w:space="0"/>
              <w:left w:val="single" w:color="000000" w:sz="4" w:space="0"/>
              <w:bottom w:val="single" w:color="000000" w:sz="4" w:space="0"/>
              <w:right w:val="single" w:color="000000" w:sz="4" w:space="0"/>
            </w:tcBorders>
            <w:vAlign w:val="center"/>
          </w:tcPr>
          <w:p w14:paraId="565C8094">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5D720206">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□随机排序。</w:t>
            </w:r>
          </w:p>
        </w:tc>
      </w:tr>
      <w:tr w14:paraId="73AF9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3A6EDB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721" w:type="dxa"/>
            <w:tcBorders>
              <w:top w:val="single" w:color="000000" w:sz="4" w:space="0"/>
              <w:left w:val="single" w:color="000000" w:sz="4" w:space="0"/>
              <w:bottom w:val="single" w:color="000000" w:sz="4" w:space="0"/>
              <w:right w:val="single" w:color="000000" w:sz="4" w:space="0"/>
            </w:tcBorders>
            <w:vAlign w:val="center"/>
          </w:tcPr>
          <w:p w14:paraId="36CA79B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793" w:type="dxa"/>
            <w:tcBorders>
              <w:top w:val="single" w:color="000000" w:sz="4" w:space="0"/>
              <w:left w:val="single" w:color="000000" w:sz="4" w:space="0"/>
              <w:bottom w:val="single" w:color="000000" w:sz="4" w:space="0"/>
              <w:right w:val="single" w:color="000000" w:sz="4" w:space="0"/>
            </w:tcBorders>
            <w:vAlign w:val="center"/>
          </w:tcPr>
          <w:p w14:paraId="6FDF09F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1F39C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3FFC63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721" w:type="dxa"/>
            <w:tcBorders>
              <w:top w:val="single" w:color="000000" w:sz="4" w:space="0"/>
              <w:left w:val="single" w:color="000000" w:sz="4" w:space="0"/>
              <w:bottom w:val="single" w:color="000000" w:sz="4" w:space="0"/>
              <w:right w:val="single" w:color="000000" w:sz="4" w:space="0"/>
            </w:tcBorders>
            <w:vAlign w:val="center"/>
          </w:tcPr>
          <w:p w14:paraId="5F19CF3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793" w:type="dxa"/>
            <w:tcBorders>
              <w:top w:val="single" w:color="000000" w:sz="4" w:space="0"/>
              <w:left w:val="single" w:color="000000" w:sz="4" w:space="0"/>
              <w:bottom w:val="single" w:color="000000" w:sz="4" w:space="0"/>
              <w:right w:val="single" w:color="000000" w:sz="4" w:space="0"/>
            </w:tcBorders>
            <w:vAlign w:val="center"/>
          </w:tcPr>
          <w:p w14:paraId="128307F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29BF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2062858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721" w:type="dxa"/>
            <w:tcBorders>
              <w:top w:val="single" w:color="000000" w:sz="4" w:space="0"/>
              <w:left w:val="single" w:color="000000" w:sz="4" w:space="0"/>
              <w:bottom w:val="single" w:color="000000" w:sz="4" w:space="0"/>
              <w:right w:val="single" w:color="000000" w:sz="4" w:space="0"/>
            </w:tcBorders>
            <w:vAlign w:val="center"/>
          </w:tcPr>
          <w:p w14:paraId="215E3ABB">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793" w:type="dxa"/>
            <w:tcBorders>
              <w:top w:val="single" w:color="000000" w:sz="4" w:space="0"/>
              <w:left w:val="single" w:color="000000" w:sz="4" w:space="0"/>
              <w:bottom w:val="single" w:color="000000" w:sz="4" w:space="0"/>
              <w:right w:val="single" w:color="000000" w:sz="4" w:space="0"/>
            </w:tcBorders>
            <w:vAlign w:val="center"/>
          </w:tcPr>
          <w:p w14:paraId="05BB3698">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以书面形式</w:t>
            </w:r>
          </w:p>
        </w:tc>
      </w:tr>
      <w:tr w14:paraId="31F90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F214460">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78B259A8">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793" w:type="dxa"/>
            <w:tcBorders>
              <w:top w:val="single" w:color="000000" w:sz="4" w:space="0"/>
              <w:left w:val="single" w:color="000000" w:sz="4" w:space="0"/>
              <w:bottom w:val="single" w:color="000000" w:sz="4" w:space="0"/>
              <w:right w:val="single" w:color="000000" w:sz="4" w:space="0"/>
            </w:tcBorders>
            <w:vAlign w:val="center"/>
          </w:tcPr>
          <w:p w14:paraId="094B8BB9">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lang w:eastAsia="zh-CN"/>
              </w:rPr>
              <w:t>广西中泽诚信工程项目管理有限公司</w:t>
            </w:r>
            <w:r>
              <w:rPr>
                <w:rFonts w:hint="eastAsia" w:ascii="宋体" w:hAnsi="宋体" w:cs="宋体"/>
                <w:color w:val="auto"/>
                <w:szCs w:val="21"/>
                <w:highlight w:val="none"/>
              </w:rPr>
              <w:t>部门；</w:t>
            </w:r>
          </w:p>
          <w:p w14:paraId="4A2B273E">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val="en-US" w:eastAsia="zh-CN"/>
              </w:rPr>
              <w:t>0771-8096968</w:t>
            </w:r>
          </w:p>
          <w:p w14:paraId="6BA88E09">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bCs/>
                <w:color w:val="auto"/>
                <w:kern w:val="0"/>
                <w:szCs w:val="21"/>
                <w:highlight w:val="none"/>
                <w:u w:val="single"/>
              </w:rPr>
              <w:t>南宁市青秀区中柬路8号龙光世纪B座4228</w:t>
            </w:r>
            <w:r>
              <w:rPr>
                <w:rFonts w:hint="eastAsia" w:ascii="宋体" w:hAnsi="宋体" w:cs="宋体"/>
                <w:bCs/>
                <w:color w:val="auto"/>
                <w:kern w:val="0"/>
                <w:szCs w:val="21"/>
                <w:highlight w:val="none"/>
                <w:u w:val="single"/>
                <w:lang w:val="en-US" w:eastAsia="zh-CN"/>
              </w:rPr>
              <w:t>号</w:t>
            </w:r>
            <w:r>
              <w:rPr>
                <w:rFonts w:hint="eastAsia" w:ascii="宋体" w:hAnsi="宋体" w:cs="宋体"/>
                <w:color w:val="auto"/>
                <w:szCs w:val="21"/>
                <w:highlight w:val="none"/>
              </w:rPr>
              <w:t xml:space="preserve">  </w:t>
            </w:r>
          </w:p>
          <w:p w14:paraId="7C9B2DF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lang w:eastAsia="zh-CN"/>
              </w:rPr>
              <w:t>上思县农业农村局</w:t>
            </w:r>
            <w:r>
              <w:rPr>
                <w:rFonts w:hint="eastAsia" w:ascii="宋体" w:hAnsi="宋体" w:cs="宋体"/>
                <w:color w:val="auto"/>
                <w:szCs w:val="21"/>
                <w:highlight w:val="none"/>
              </w:rPr>
              <w:t>部门；</w:t>
            </w:r>
          </w:p>
          <w:p w14:paraId="4F026B9D">
            <w:pPr>
              <w:snapToGrid w:val="0"/>
              <w:spacing w:line="380" w:lineRule="exact"/>
              <w:rPr>
                <w:rFonts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0770-8509177</w:t>
            </w:r>
          </w:p>
          <w:p w14:paraId="033D2AAB">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lang w:eastAsia="zh-CN"/>
              </w:rPr>
              <w:t>上思县思阳镇仁甫西路农业农村局</w:t>
            </w:r>
            <w:r>
              <w:rPr>
                <w:rFonts w:hint="eastAsia" w:ascii="宋体" w:hAnsi="宋体" w:cs="宋体"/>
                <w:color w:val="auto"/>
                <w:szCs w:val="21"/>
                <w:highlight w:val="none"/>
              </w:rPr>
              <w:t xml:space="preserve"> </w:t>
            </w:r>
          </w:p>
        </w:tc>
      </w:tr>
      <w:tr w14:paraId="58B89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DB54382">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265DE0CE">
            <w:pPr>
              <w:spacing w:line="380" w:lineRule="exact"/>
              <w:jc w:val="center"/>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6793" w:type="dxa"/>
            <w:tcBorders>
              <w:top w:val="single" w:color="000000" w:sz="4" w:space="0"/>
              <w:left w:val="single" w:color="000000" w:sz="4" w:space="0"/>
              <w:bottom w:val="single" w:color="000000" w:sz="4" w:space="0"/>
              <w:right w:val="single" w:color="000000" w:sz="4" w:space="0"/>
            </w:tcBorders>
            <w:vAlign w:val="center"/>
          </w:tcPr>
          <w:p w14:paraId="7775ECC6">
            <w:pPr>
              <w:snapToGrid w:val="0"/>
              <w:spacing w:line="380" w:lineRule="exact"/>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8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w:t>
            </w:r>
            <w:r>
              <w:rPr>
                <w:rFonts w:hint="eastAsia" w:ascii="宋体" w:hAnsi="宋体" w:cs="宋体"/>
                <w:color w:val="auto"/>
                <w:highlight w:val="none"/>
                <w:u w:val="single"/>
              </w:rPr>
              <w:t xml:space="preserve"> 15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w:t>
            </w:r>
          </w:p>
        </w:tc>
      </w:tr>
      <w:tr w14:paraId="10BC0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362B03F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721" w:type="dxa"/>
            <w:tcBorders>
              <w:top w:val="single" w:color="000000" w:sz="4" w:space="0"/>
              <w:left w:val="single" w:color="000000" w:sz="4" w:space="0"/>
              <w:bottom w:val="single" w:color="000000" w:sz="4" w:space="0"/>
              <w:right w:val="single" w:color="000000" w:sz="4" w:space="0"/>
            </w:tcBorders>
            <w:vAlign w:val="center"/>
          </w:tcPr>
          <w:p w14:paraId="0FF7A9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793" w:type="dxa"/>
            <w:tcBorders>
              <w:top w:val="single" w:color="000000" w:sz="4" w:space="0"/>
              <w:left w:val="single" w:color="000000" w:sz="4" w:space="0"/>
              <w:bottom w:val="single" w:color="000000" w:sz="4" w:space="0"/>
              <w:right w:val="single" w:color="000000" w:sz="4" w:space="0"/>
            </w:tcBorders>
            <w:vAlign w:val="center"/>
          </w:tcPr>
          <w:p w14:paraId="0A63EBBE">
            <w:pPr>
              <w:snapToGrid w:val="0"/>
              <w:spacing w:line="380" w:lineRule="exact"/>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21EB6EA0">
            <w:pPr>
              <w:snapToGrid w:val="0"/>
              <w:spacing w:line="380" w:lineRule="exact"/>
              <w:rPr>
                <w:rFonts w:ascii="宋体" w:hAnsi="宋体" w:cs="宋体"/>
                <w:color w:val="auto"/>
                <w:highlight w:val="none"/>
              </w:rPr>
            </w:pPr>
            <w:r>
              <w:rPr>
                <w:rFonts w:hint="eastAsia" w:ascii="宋体" w:hAnsi="宋体" w:cs="宋体"/>
                <w:color w:val="auto"/>
                <w:highlight w:val="none"/>
              </w:rPr>
              <w:t>2、邮寄地址：</w:t>
            </w:r>
          </w:p>
          <w:p w14:paraId="6DC8AD2B">
            <w:pPr>
              <w:snapToGrid w:val="0"/>
              <w:spacing w:line="380" w:lineRule="exact"/>
              <w:rPr>
                <w:rFonts w:ascii="宋体" w:hAnsi="宋体" w:cs="宋体"/>
                <w:color w:val="auto"/>
                <w:highlight w:val="none"/>
              </w:rPr>
            </w:pPr>
            <w:r>
              <w:rPr>
                <w:rFonts w:hint="eastAsia" w:ascii="宋体" w:hAnsi="宋体" w:cs="宋体"/>
                <w:color w:val="auto"/>
                <w:highlight w:val="none"/>
              </w:rPr>
              <w:t>名称：上思县政府采购中心</w:t>
            </w:r>
          </w:p>
          <w:p w14:paraId="249962BF">
            <w:pPr>
              <w:snapToGrid w:val="0"/>
              <w:spacing w:line="380" w:lineRule="exact"/>
              <w:rPr>
                <w:rFonts w:ascii="宋体" w:hAnsi="宋体" w:cs="宋体"/>
                <w:color w:val="auto"/>
                <w:highlight w:val="none"/>
              </w:rPr>
            </w:pPr>
            <w:r>
              <w:rPr>
                <w:rFonts w:hint="eastAsia" w:ascii="宋体" w:hAnsi="宋体" w:cs="宋体"/>
                <w:color w:val="auto"/>
                <w:highlight w:val="none"/>
              </w:rPr>
              <w:t>地址：上思县思阳镇更生路财政大厦</w:t>
            </w:r>
          </w:p>
          <w:p w14:paraId="6032D124">
            <w:pPr>
              <w:snapToGrid w:val="0"/>
              <w:spacing w:line="380" w:lineRule="exact"/>
              <w:rPr>
                <w:rFonts w:ascii="宋体" w:hAnsi="宋体" w:cs="宋体"/>
                <w:color w:val="auto"/>
                <w:highlight w:val="none"/>
              </w:rPr>
            </w:pPr>
            <w:r>
              <w:rPr>
                <w:rFonts w:hint="eastAsia" w:ascii="宋体" w:hAnsi="宋体" w:cs="宋体"/>
                <w:color w:val="auto"/>
                <w:highlight w:val="none"/>
              </w:rPr>
              <w:t>联系电话：0770-8521708</w:t>
            </w:r>
          </w:p>
        </w:tc>
      </w:tr>
      <w:tr w14:paraId="1E04D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6AB7F0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721" w:type="dxa"/>
            <w:tcBorders>
              <w:top w:val="single" w:color="000000" w:sz="4" w:space="0"/>
              <w:left w:val="single" w:color="000000" w:sz="4" w:space="0"/>
              <w:bottom w:val="single" w:color="000000" w:sz="4" w:space="0"/>
              <w:right w:val="single" w:color="000000" w:sz="4" w:space="0"/>
            </w:tcBorders>
            <w:vAlign w:val="center"/>
          </w:tcPr>
          <w:p w14:paraId="7BB0CE8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793" w:type="dxa"/>
            <w:tcBorders>
              <w:top w:val="single" w:color="000000" w:sz="4" w:space="0"/>
              <w:left w:val="single" w:color="000000" w:sz="4" w:space="0"/>
              <w:bottom w:val="single" w:color="000000" w:sz="4" w:space="0"/>
              <w:right w:val="single" w:color="000000" w:sz="4" w:space="0"/>
            </w:tcBorders>
            <w:vAlign w:val="center"/>
          </w:tcPr>
          <w:p w14:paraId="6E3F2185">
            <w:pPr>
              <w:pStyle w:val="15"/>
              <w:snapToGrid w:val="0"/>
              <w:spacing w:line="360" w:lineRule="auto"/>
              <w:rPr>
                <w:rFonts w:hAnsi="宋体" w:cs="宋体"/>
                <w:color w:val="auto"/>
                <w:sz w:val="21"/>
                <w:highlight w:val="none"/>
              </w:rPr>
            </w:pPr>
            <w:r>
              <w:rPr>
                <w:rFonts w:hint="eastAsia" w:hAnsi="宋体" w:cs="宋体"/>
                <w:color w:val="auto"/>
                <w:sz w:val="21"/>
                <w:highlight w:val="none"/>
              </w:rPr>
              <w:t>1. 是否收取采购代理费：</w:t>
            </w:r>
          </w:p>
          <w:p w14:paraId="378F9D44">
            <w:pPr>
              <w:pStyle w:val="15"/>
              <w:snapToGrid w:val="0"/>
              <w:spacing w:line="360" w:lineRule="auto"/>
              <w:rPr>
                <w:rFonts w:hAnsi="宋体" w:cs="宋体"/>
                <w:color w:val="auto"/>
                <w:sz w:val="21"/>
                <w:highlight w:val="none"/>
              </w:rPr>
            </w:pPr>
            <w:r>
              <w:rPr>
                <w:rFonts w:hint="eastAsia" w:hAnsi="宋体" w:cs="宋体"/>
                <w:color w:val="auto"/>
                <w:sz w:val="21"/>
                <w:highlight w:val="none"/>
              </w:rPr>
              <w:t>☑是    □ 否</w:t>
            </w:r>
          </w:p>
          <w:p w14:paraId="7941A5B1">
            <w:pPr>
              <w:pStyle w:val="15"/>
              <w:snapToGrid w:val="0"/>
              <w:spacing w:line="360" w:lineRule="auto"/>
              <w:rPr>
                <w:rFonts w:hAnsi="宋体" w:cs="宋体"/>
                <w:color w:val="auto"/>
                <w:sz w:val="21"/>
                <w:highlight w:val="none"/>
              </w:rPr>
            </w:pPr>
            <w:r>
              <w:rPr>
                <w:rFonts w:hint="eastAsia" w:hAnsi="宋体" w:cs="宋体"/>
                <w:color w:val="auto"/>
                <w:sz w:val="21"/>
                <w:highlight w:val="none"/>
              </w:rPr>
              <w:t>2.采购代理费支付方式：</w:t>
            </w:r>
          </w:p>
          <w:p w14:paraId="4387835E">
            <w:pPr>
              <w:pStyle w:val="15"/>
              <w:snapToGrid w:val="0"/>
              <w:spacing w:line="360" w:lineRule="auto"/>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56759587">
            <w:pPr>
              <w:pStyle w:val="15"/>
              <w:snapToGrid w:val="0"/>
              <w:spacing w:line="360" w:lineRule="auto"/>
              <w:rPr>
                <w:rFonts w:hAnsi="宋体" w:cs="宋体"/>
                <w:color w:val="auto"/>
                <w:sz w:val="21"/>
                <w:highlight w:val="none"/>
              </w:rPr>
            </w:pPr>
            <w:r>
              <w:rPr>
                <w:rFonts w:hint="eastAsia" w:hAnsi="宋体" w:cs="宋体"/>
                <w:color w:val="auto"/>
                <w:sz w:val="21"/>
                <w:highlight w:val="none"/>
              </w:rPr>
              <w:t>□采购人支付。</w:t>
            </w:r>
          </w:p>
          <w:p w14:paraId="7616EDE8">
            <w:pPr>
              <w:pStyle w:val="15"/>
              <w:snapToGrid w:val="0"/>
              <w:spacing w:line="380" w:lineRule="exact"/>
              <w:rPr>
                <w:rFonts w:hAnsi="宋体" w:cs="宋体"/>
                <w:color w:val="auto"/>
                <w:sz w:val="21"/>
                <w:highlight w:val="none"/>
              </w:rPr>
            </w:pPr>
            <w:r>
              <w:rPr>
                <w:rFonts w:hint="eastAsia" w:hAnsi="宋体" w:cs="宋体"/>
                <w:color w:val="auto"/>
                <w:sz w:val="21"/>
                <w:highlight w:val="none"/>
              </w:rPr>
              <w:t>3.采购代理费收取标准：</w:t>
            </w:r>
          </w:p>
          <w:p w14:paraId="230BF54B">
            <w:pPr>
              <w:pStyle w:val="15"/>
              <w:snapToGrid w:val="0"/>
              <w:spacing w:line="380" w:lineRule="exact"/>
              <w:rPr>
                <w:rFonts w:hint="eastAsia" w:hAnsi="宋体" w:cs="宋体"/>
                <w:color w:val="auto"/>
                <w:sz w:val="21"/>
                <w:highlight w:val="none"/>
              </w:rPr>
            </w:pPr>
            <w:r>
              <w:rPr>
                <w:rFonts w:hint="eastAsia" w:hAnsi="宋体" w:cs="宋体"/>
                <w:color w:val="auto"/>
                <w:sz w:val="21"/>
                <w:highlight w:val="none"/>
              </w:rPr>
              <w:t>本项目采购代理费按以下费率采用累进法计算，并以成交金额为基价计取采购代理费。采购代理费由采购代理机构向成交供应商收取。成交供应商在领取成交通知书前一次性向采购代理机构付清采购代理费。</w:t>
            </w:r>
          </w:p>
          <w:tbl>
            <w:tblPr>
              <w:tblStyle w:val="27"/>
              <w:tblW w:w="4999" w:type="pct"/>
              <w:jc w:val="center"/>
              <w:tblLayout w:type="autofit"/>
              <w:tblCellMar>
                <w:top w:w="0" w:type="dxa"/>
                <w:left w:w="108" w:type="dxa"/>
                <w:bottom w:w="0" w:type="dxa"/>
                <w:right w:w="108" w:type="dxa"/>
              </w:tblCellMar>
            </w:tblPr>
            <w:tblGrid>
              <w:gridCol w:w="3821"/>
              <w:gridCol w:w="2755"/>
            </w:tblGrid>
            <w:tr w14:paraId="51C43D58">
              <w:trPr>
                <w:trHeight w:val="602" w:hRule="atLeast"/>
                <w:jc w:val="center"/>
              </w:trPr>
              <w:tc>
                <w:tcPr>
                  <w:tcW w:w="2905" w:type="pct"/>
                  <w:tcBorders>
                    <w:top w:val="single" w:color="auto" w:sz="4" w:space="0"/>
                    <w:left w:val="single" w:color="auto" w:sz="4" w:space="0"/>
                    <w:bottom w:val="single" w:color="auto" w:sz="4" w:space="0"/>
                    <w:right w:val="single" w:color="auto" w:sz="4" w:space="0"/>
                  </w:tcBorders>
                  <w:noWrap w:val="0"/>
                  <w:vAlign w:val="center"/>
                </w:tcPr>
                <w:p w14:paraId="04AC8138">
                  <w:pPr>
                    <w:spacing w:line="360" w:lineRule="auto"/>
                    <w:ind w:firstLine="573"/>
                    <w:jc w:val="center"/>
                    <w:rPr>
                      <w:rFonts w:ascii="宋体" w:hAnsi="宋体" w:cs="宋体"/>
                      <w:color w:val="auto"/>
                      <w:sz w:val="21"/>
                      <w:szCs w:val="21"/>
                      <w:highlight w:val="none"/>
                    </w:rPr>
                  </w:pPr>
                  <w:r>
                    <w:rPr>
                      <w:rFonts w:hint="eastAsia" w:ascii="宋体" w:hAnsi="宋体" w:cs="宋体"/>
                      <w:color w:val="auto"/>
                      <w:sz w:val="21"/>
                      <w:szCs w:val="21"/>
                      <w:highlight w:val="none"/>
                    </w:rPr>
                    <w:t>中标（成交）金额（万元）范围</w:t>
                  </w:r>
                </w:p>
              </w:tc>
              <w:tc>
                <w:tcPr>
                  <w:tcW w:w="2094" w:type="pct"/>
                  <w:tcBorders>
                    <w:top w:val="single" w:color="auto" w:sz="4" w:space="0"/>
                    <w:left w:val="nil"/>
                    <w:bottom w:val="single" w:color="auto" w:sz="4" w:space="0"/>
                    <w:right w:val="single" w:color="auto" w:sz="4" w:space="0"/>
                  </w:tcBorders>
                  <w:noWrap w:val="0"/>
                  <w:vAlign w:val="center"/>
                </w:tcPr>
                <w:p w14:paraId="7024187D">
                  <w:pPr>
                    <w:spacing w:line="360" w:lineRule="auto"/>
                    <w:ind w:firstLine="573"/>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费率</w:t>
                  </w:r>
                </w:p>
              </w:tc>
            </w:tr>
            <w:tr w14:paraId="2959AD3B">
              <w:tblPrEx>
                <w:tblCellMar>
                  <w:top w:w="0" w:type="dxa"/>
                  <w:left w:w="108" w:type="dxa"/>
                  <w:bottom w:w="0" w:type="dxa"/>
                  <w:right w:w="108" w:type="dxa"/>
                </w:tblCellMar>
              </w:tblPrEx>
              <w:trPr>
                <w:trHeight w:val="375" w:hRule="atLeast"/>
                <w:jc w:val="center"/>
              </w:trPr>
              <w:tc>
                <w:tcPr>
                  <w:tcW w:w="2905" w:type="pct"/>
                  <w:tcBorders>
                    <w:top w:val="nil"/>
                    <w:left w:val="single" w:color="auto" w:sz="4" w:space="0"/>
                    <w:bottom w:val="single" w:color="auto" w:sz="4" w:space="0"/>
                    <w:right w:val="single" w:color="auto" w:sz="4" w:space="0"/>
                  </w:tcBorders>
                  <w:noWrap/>
                  <w:vAlign w:val="center"/>
                </w:tcPr>
                <w:p w14:paraId="66DA7C31">
                  <w:pPr>
                    <w:spacing w:line="360" w:lineRule="auto"/>
                    <w:ind w:firstLine="573"/>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100及以下</w:t>
                  </w:r>
                </w:p>
              </w:tc>
              <w:tc>
                <w:tcPr>
                  <w:tcW w:w="2094" w:type="pct"/>
                  <w:tcBorders>
                    <w:top w:val="nil"/>
                    <w:left w:val="nil"/>
                    <w:bottom w:val="single" w:color="auto" w:sz="4" w:space="0"/>
                    <w:right w:val="single" w:color="auto" w:sz="4" w:space="0"/>
                  </w:tcBorders>
                  <w:noWrap/>
                  <w:vAlign w:val="center"/>
                </w:tcPr>
                <w:p w14:paraId="14BE8AE5">
                  <w:pPr>
                    <w:spacing w:line="360" w:lineRule="auto"/>
                    <w:ind w:firstLine="573" w:firstLineChars="0"/>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0%</w:t>
                  </w:r>
                </w:p>
              </w:tc>
            </w:tr>
            <w:tr w14:paraId="4FA55859">
              <w:tblPrEx>
                <w:tblCellMar>
                  <w:top w:w="0" w:type="dxa"/>
                  <w:left w:w="108" w:type="dxa"/>
                  <w:bottom w:w="0" w:type="dxa"/>
                  <w:right w:w="108" w:type="dxa"/>
                </w:tblCellMar>
              </w:tblPrEx>
              <w:trPr>
                <w:trHeight w:val="375" w:hRule="atLeast"/>
                <w:jc w:val="center"/>
              </w:trPr>
              <w:tc>
                <w:tcPr>
                  <w:tcW w:w="2905" w:type="pct"/>
                  <w:tcBorders>
                    <w:top w:val="nil"/>
                    <w:left w:val="single" w:color="auto" w:sz="4" w:space="0"/>
                    <w:bottom w:val="single" w:color="auto" w:sz="4" w:space="0"/>
                    <w:right w:val="single" w:color="auto" w:sz="4" w:space="0"/>
                  </w:tcBorders>
                  <w:noWrap/>
                  <w:vAlign w:val="center"/>
                </w:tcPr>
                <w:p w14:paraId="2E62D56F">
                  <w:pPr>
                    <w:spacing w:line="360" w:lineRule="auto"/>
                    <w:ind w:firstLine="573"/>
                    <w:jc w:val="center"/>
                    <w:rPr>
                      <w:rFonts w:hint="eastAsia" w:ascii="宋体" w:hAnsi="宋体" w:cs="宋体"/>
                      <w:color w:val="auto"/>
                      <w:sz w:val="21"/>
                      <w:szCs w:val="21"/>
                      <w:highlight w:val="none"/>
                    </w:rPr>
                  </w:pPr>
                  <w:r>
                    <w:rPr>
                      <w:rFonts w:ascii="宋体" w:hAnsi="宋体" w:cs="宋体"/>
                      <w:color w:val="auto"/>
                      <w:sz w:val="21"/>
                      <w:szCs w:val="21"/>
                      <w:highlight w:val="none"/>
                    </w:rPr>
                    <w:t>100-500</w:t>
                  </w:r>
                </w:p>
              </w:tc>
              <w:tc>
                <w:tcPr>
                  <w:tcW w:w="2094" w:type="pct"/>
                  <w:tcBorders>
                    <w:top w:val="nil"/>
                    <w:left w:val="nil"/>
                    <w:bottom w:val="single" w:color="auto" w:sz="4" w:space="0"/>
                    <w:right w:val="single" w:color="auto" w:sz="4" w:space="0"/>
                  </w:tcBorders>
                  <w:noWrap/>
                  <w:vAlign w:val="center"/>
                </w:tcPr>
                <w:p w14:paraId="3C06EE95">
                  <w:pPr>
                    <w:spacing w:line="360" w:lineRule="auto"/>
                    <w:ind w:firstLine="573"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0.</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0%</w:t>
                  </w:r>
                </w:p>
              </w:tc>
            </w:tr>
          </w:tbl>
          <w:p w14:paraId="18E3B210">
            <w:pPr>
              <w:pStyle w:val="15"/>
              <w:snapToGrid w:val="0"/>
              <w:spacing w:line="380" w:lineRule="exact"/>
              <w:rPr>
                <w:rFonts w:hAnsi="宋体" w:cs="宋体"/>
                <w:color w:val="auto"/>
                <w:sz w:val="21"/>
                <w:highlight w:val="none"/>
              </w:rPr>
            </w:pPr>
          </w:p>
        </w:tc>
      </w:tr>
      <w:tr w14:paraId="6AE74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26626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721" w:type="dxa"/>
            <w:tcBorders>
              <w:top w:val="single" w:color="000000" w:sz="4" w:space="0"/>
              <w:left w:val="single" w:color="000000" w:sz="4" w:space="0"/>
              <w:bottom w:val="single" w:color="000000" w:sz="4" w:space="0"/>
              <w:right w:val="single" w:color="000000" w:sz="4" w:space="0"/>
            </w:tcBorders>
            <w:vAlign w:val="center"/>
          </w:tcPr>
          <w:p w14:paraId="5AE804A3">
            <w:pPr>
              <w:spacing w:line="360" w:lineRule="auto"/>
              <w:jc w:val="center"/>
              <w:rPr>
                <w:rFonts w:ascii="宋体" w:hAnsi="宋体" w:cs="宋体"/>
                <w:color w:val="auto"/>
                <w:szCs w:val="21"/>
                <w:highlight w:val="none"/>
              </w:rPr>
            </w:pPr>
            <w:r>
              <w:rPr>
                <w:rFonts w:hint="eastAsia" w:ascii="宋体" w:hAnsi="宋体" w:cs="宋体"/>
                <w:color w:val="auto"/>
                <w:highlight w:val="none"/>
              </w:rPr>
              <w:t>解释</w:t>
            </w:r>
          </w:p>
        </w:tc>
        <w:tc>
          <w:tcPr>
            <w:tcW w:w="6793" w:type="dxa"/>
            <w:tcBorders>
              <w:top w:val="single" w:color="000000" w:sz="4" w:space="0"/>
              <w:left w:val="single" w:color="000000" w:sz="4" w:space="0"/>
              <w:bottom w:val="single" w:color="000000" w:sz="4" w:space="0"/>
              <w:right w:val="single" w:color="000000" w:sz="4" w:space="0"/>
            </w:tcBorders>
            <w:vAlign w:val="center"/>
          </w:tcPr>
          <w:p w14:paraId="573F5A50">
            <w:pPr>
              <w:pStyle w:val="15"/>
              <w:snapToGrid w:val="0"/>
              <w:spacing w:line="360" w:lineRule="auto"/>
              <w:rPr>
                <w:rFonts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01589218">
            <w:pPr>
              <w:pStyle w:val="15"/>
              <w:snapToGrid w:val="0"/>
              <w:spacing w:line="360" w:lineRule="auto"/>
              <w:rPr>
                <w:rFonts w:hAnsi="宋体" w:cs="宋体"/>
                <w:b/>
                <w:color w:val="auto"/>
                <w:sz w:val="21"/>
                <w:highlight w:val="none"/>
              </w:rPr>
            </w:pPr>
            <w:r>
              <w:rPr>
                <w:rFonts w:hint="eastAsia" w:hAnsi="宋体" w:cs="宋体"/>
                <w:b/>
                <w:color w:val="auto"/>
                <w:sz w:val="21"/>
                <w:highlight w:val="none"/>
              </w:rPr>
              <w:t>法律责任：</w:t>
            </w:r>
          </w:p>
          <w:p w14:paraId="21E1ACB3">
            <w:pPr>
              <w:pStyle w:val="15"/>
              <w:snapToGrid w:val="0"/>
              <w:spacing w:line="360" w:lineRule="auto"/>
              <w:rPr>
                <w:rFonts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3E6A1BDD">
            <w:pPr>
              <w:spacing w:line="360" w:lineRule="auto"/>
              <w:rPr>
                <w:rFonts w:ascii="宋体" w:hAnsi="宋体" w:cs="宋体"/>
                <w:color w:val="auto"/>
                <w:highlight w:val="none"/>
              </w:rPr>
            </w:pPr>
            <w:r>
              <w:rPr>
                <w:rFonts w:hint="eastAsia" w:ascii="宋体" w:hAnsi="宋体" w:cs="宋体"/>
                <w:b/>
                <w:color w:val="auto"/>
                <w:highlight w:val="none"/>
              </w:rPr>
              <w:t>2.</w:t>
            </w:r>
            <w:r>
              <w:rPr>
                <w:rFonts w:hint="eastAsia" w:ascii="宋体" w:hAnsi="宋体" w:cs="宋体"/>
                <w:b/>
                <w:color w:val="auto"/>
                <w:szCs w:val="21"/>
                <w:highlight w:val="none"/>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6886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64A056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721" w:type="dxa"/>
            <w:tcBorders>
              <w:top w:val="single" w:color="000000" w:sz="4" w:space="0"/>
              <w:left w:val="single" w:color="000000" w:sz="4" w:space="0"/>
              <w:bottom w:val="single" w:color="000000" w:sz="4" w:space="0"/>
              <w:right w:val="single" w:color="000000" w:sz="4" w:space="0"/>
            </w:tcBorders>
            <w:vAlign w:val="center"/>
          </w:tcPr>
          <w:p w14:paraId="0C60E4C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793" w:type="dxa"/>
            <w:tcBorders>
              <w:top w:val="single" w:color="000000" w:sz="4" w:space="0"/>
              <w:left w:val="single" w:color="000000" w:sz="4" w:space="0"/>
              <w:bottom w:val="single" w:color="000000" w:sz="4" w:space="0"/>
              <w:right w:val="single" w:color="000000" w:sz="4" w:space="0"/>
            </w:tcBorders>
            <w:vAlign w:val="center"/>
          </w:tcPr>
          <w:p w14:paraId="6EBBC811">
            <w:pPr>
              <w:pStyle w:val="15"/>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F76FBF9">
            <w:pPr>
              <w:pStyle w:val="15"/>
              <w:snapToGrid w:val="0"/>
              <w:spacing w:line="360" w:lineRule="auto"/>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77A1C95">
            <w:pPr>
              <w:pStyle w:val="15"/>
              <w:snapToGrid w:val="0"/>
              <w:spacing w:line="360" w:lineRule="auto"/>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7B05D12">
            <w:pPr>
              <w:pStyle w:val="15"/>
              <w:snapToGrid w:val="0"/>
              <w:spacing w:line="360" w:lineRule="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6EC46F26">
            <w:pPr>
              <w:pStyle w:val="15"/>
              <w:snapToGrid w:val="0"/>
              <w:spacing w:line="360" w:lineRule="auto"/>
              <w:rPr>
                <w:rFonts w:hint="default" w:eastAsia="宋体"/>
                <w:color w:val="auto"/>
                <w:highlight w:val="none"/>
                <w:lang w:val="en-US" w:eastAsia="zh-CN"/>
              </w:rPr>
            </w:pPr>
            <w:r>
              <w:rPr>
                <w:rFonts w:hint="eastAsia" w:hAnsi="宋体" w:cs="宋体"/>
                <w:color w:val="auto"/>
                <w:sz w:val="21"/>
                <w:highlight w:val="none"/>
              </w:rPr>
              <w:t>5.本磋商文件所称的“以上”“以下”“以内”“届满”，包括本数；所称的“不满”“超过”“以外”，不包括本数。</w:t>
            </w:r>
          </w:p>
        </w:tc>
      </w:tr>
    </w:tbl>
    <w:p w14:paraId="4FA52B1E">
      <w:pPr>
        <w:pStyle w:val="3"/>
        <w:spacing w:line="420" w:lineRule="exact"/>
        <w:jc w:val="center"/>
        <w:rPr>
          <w:rFonts w:ascii="宋体" w:hAnsi="宋体" w:cs="宋体"/>
          <w:b w:val="0"/>
          <w:color w:val="auto"/>
          <w:highlight w:val="none"/>
        </w:rPr>
      </w:pPr>
      <w:r>
        <w:rPr>
          <w:rFonts w:hint="eastAsia" w:ascii="宋体" w:hAnsi="宋体" w:cs="宋体"/>
          <w:bCs w:val="0"/>
          <w:color w:val="auto"/>
          <w:highlight w:val="none"/>
        </w:rPr>
        <w:br w:type="page"/>
      </w:r>
      <w:bookmarkStart w:id="40" w:name="_Toc23846"/>
      <w:r>
        <w:rPr>
          <w:rFonts w:hint="eastAsia" w:ascii="宋体" w:hAnsi="宋体" w:cs="宋体"/>
          <w:b w:val="0"/>
          <w:color w:val="auto"/>
          <w:highlight w:val="none"/>
        </w:rPr>
        <w:t>第二节 供应商须知正文</w:t>
      </w:r>
      <w:bookmarkEnd w:id="40"/>
    </w:p>
    <w:p w14:paraId="73FD994D">
      <w:pPr>
        <w:pStyle w:val="4"/>
        <w:spacing w:before="0" w:after="0" w:line="360" w:lineRule="auto"/>
        <w:ind w:firstLine="640" w:firstLineChars="200"/>
        <w:rPr>
          <w:rFonts w:ascii="宋体" w:hAnsi="宋体" w:cs="宋体"/>
          <w:b w:val="0"/>
          <w:color w:val="auto"/>
          <w:highlight w:val="none"/>
        </w:rPr>
      </w:pPr>
      <w:bookmarkStart w:id="41" w:name="_Toc20691"/>
      <w:r>
        <w:rPr>
          <w:rFonts w:hint="eastAsia" w:ascii="宋体" w:hAnsi="宋体" w:cs="宋体"/>
          <w:b w:val="0"/>
          <w:color w:val="auto"/>
          <w:highlight w:val="none"/>
        </w:rPr>
        <w:t>一、总则</w:t>
      </w:r>
      <w:bookmarkEnd w:id="41"/>
    </w:p>
    <w:p w14:paraId="22C5B49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418689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56D5B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3A8C8B2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2DCCA5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A818ADD">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173EC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2DAEF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1E3B0F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F0C2A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78D23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148659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181BF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27C55A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3815F2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77D050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0ED252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17BB929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6FEF52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4DB6236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262BE0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710591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61364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168F8E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6E04DDC9">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C225B4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120E30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7B569D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599FABC8">
      <w:pPr>
        <w:spacing w:line="360" w:lineRule="auto"/>
        <w:ind w:firstLine="482" w:firstLineChars="200"/>
        <w:rPr>
          <w:rFonts w:ascii="宋体" w:hAnsi="宋体" w:cs="宋体"/>
          <w:b/>
          <w:bCs/>
          <w:color w:val="auto"/>
          <w:sz w:val="24"/>
          <w:highlight w:val="none"/>
        </w:rPr>
      </w:pPr>
      <w:bookmarkStart w:id="42" w:name="_Toc254970673"/>
      <w:bookmarkStart w:id="43" w:name="_Toc254970532"/>
      <w:r>
        <w:rPr>
          <w:rFonts w:hint="eastAsia" w:ascii="宋体" w:hAnsi="宋体" w:cs="宋体"/>
          <w:b/>
          <w:bCs/>
          <w:color w:val="auto"/>
          <w:sz w:val="24"/>
          <w:highlight w:val="none"/>
        </w:rPr>
        <w:t>7.特别说明</w:t>
      </w:r>
      <w:bookmarkEnd w:id="42"/>
      <w:bookmarkEnd w:id="43"/>
    </w:p>
    <w:p w14:paraId="2C89F6E8">
      <w:pPr>
        <w:spacing w:line="360" w:lineRule="auto"/>
        <w:ind w:firstLine="420" w:firstLineChars="200"/>
        <w:rPr>
          <w:rFonts w:ascii="宋体" w:hAnsi="宋体" w:cs="宋体"/>
          <w:color w:val="auto"/>
          <w:szCs w:val="21"/>
          <w:highlight w:val="none"/>
        </w:rPr>
      </w:pPr>
      <w:bookmarkStart w:id="44" w:name="_8.1提供相同品牌产品且通过资格审查、符合性审查的不同投标人参加同一合"/>
      <w:bookmarkEnd w:id="44"/>
      <w:r>
        <w:rPr>
          <w:rFonts w:hint="eastAsia" w:ascii="宋体" w:hAnsi="宋体" w:cs="宋体"/>
          <w:color w:val="auto"/>
          <w:szCs w:val="21"/>
          <w:highlight w:val="none"/>
        </w:rPr>
        <w:t>7.1</w:t>
      </w:r>
      <w:bookmarkStart w:id="45"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5"/>
    <w:p w14:paraId="19D0D0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30C17F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A29E4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199D7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EC247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B1074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CF522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0BA74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2C4BD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02567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777855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38E520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55EE8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5F3F7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021D17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1E22EEC">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3F58A0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4BC08B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DEB92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C716B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5D14F0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A51E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7A4A1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D7D55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7A71507">
      <w:pPr>
        <w:pStyle w:val="4"/>
        <w:spacing w:before="0" w:after="0" w:line="360" w:lineRule="auto"/>
        <w:ind w:firstLine="640" w:firstLineChars="200"/>
        <w:rPr>
          <w:rFonts w:ascii="宋体" w:hAnsi="宋体" w:cs="宋体"/>
          <w:b w:val="0"/>
          <w:bCs w:val="0"/>
          <w:color w:val="auto"/>
          <w:highlight w:val="none"/>
        </w:rPr>
      </w:pPr>
      <w:bookmarkStart w:id="46" w:name="_Toc5567"/>
      <w:bookmarkStart w:id="47" w:name="_Toc254970534"/>
      <w:bookmarkStart w:id="48" w:name="_Toc254970675"/>
      <w:r>
        <w:rPr>
          <w:rFonts w:hint="eastAsia" w:ascii="宋体" w:hAnsi="宋体" w:cs="宋体"/>
          <w:b w:val="0"/>
          <w:bCs w:val="0"/>
          <w:color w:val="auto"/>
          <w:highlight w:val="none"/>
        </w:rPr>
        <w:t>二、磋商文件</w:t>
      </w:r>
      <w:bookmarkEnd w:id="46"/>
      <w:bookmarkEnd w:id="47"/>
      <w:bookmarkEnd w:id="48"/>
    </w:p>
    <w:p w14:paraId="4D477C0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26DC197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333BE63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3FCB819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073E130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16EA417A">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0601F51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68C531F4">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第七章 </w:t>
      </w:r>
      <w:r>
        <w:rPr>
          <w:rFonts w:hint="eastAsia" w:ascii="宋体" w:hAnsi="宋体" w:eastAsia="宋体" w:cs="宋体"/>
          <w:b w:val="0"/>
          <w:bCs w:val="0"/>
          <w:color w:val="auto"/>
          <w:highlight w:val="none"/>
        </w:rPr>
        <w:t>工程量清单、图纸</w:t>
      </w:r>
    </w:p>
    <w:p w14:paraId="40069CA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 质疑、投诉材料格式。</w:t>
      </w:r>
    </w:p>
    <w:p w14:paraId="4FC4217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6122EA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17954BA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3C5FB2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EBBC33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EA695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642482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50CE5D4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5449D41">
      <w:pPr>
        <w:spacing w:line="360" w:lineRule="auto"/>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77A3A5A9">
      <w:pPr>
        <w:pStyle w:val="4"/>
        <w:spacing w:before="0" w:after="0" w:line="360" w:lineRule="auto"/>
        <w:ind w:firstLine="640" w:firstLineChars="200"/>
        <w:rPr>
          <w:rFonts w:ascii="宋体" w:hAnsi="宋体" w:cs="宋体"/>
          <w:b w:val="0"/>
          <w:bCs w:val="0"/>
          <w:color w:val="auto"/>
          <w:highlight w:val="none"/>
        </w:rPr>
      </w:pPr>
      <w:r>
        <w:rPr>
          <w:rFonts w:hint="eastAsia" w:ascii="宋体" w:hAnsi="宋体" w:cs="宋体"/>
          <w:b w:val="0"/>
          <w:bCs w:val="0"/>
          <w:color w:val="auto"/>
          <w:highlight w:val="none"/>
        </w:rPr>
        <w:t xml:space="preserve">  </w:t>
      </w:r>
      <w:bookmarkStart w:id="49" w:name="_Toc18770"/>
      <w:r>
        <w:rPr>
          <w:rFonts w:hint="eastAsia" w:ascii="宋体" w:hAnsi="宋体" w:cs="宋体"/>
          <w:b w:val="0"/>
          <w:bCs w:val="0"/>
          <w:color w:val="auto"/>
          <w:highlight w:val="none"/>
        </w:rPr>
        <w:t>三、响应文件的编制</w:t>
      </w:r>
      <w:bookmarkEnd w:id="49"/>
    </w:p>
    <w:p w14:paraId="06ACEB5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315D12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01BD782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26CA24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73BBB645">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399E448A">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7A3E52BE">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85D22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F72E72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5A5AA8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934021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0372EF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195FE4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2EF7E0A8">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7A43510">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313B51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7D3C1E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25C328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3155CA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0565EF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47957B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0"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0"/>
    <w:p w14:paraId="72313CF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4F1EB0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682F1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6DDF51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44A6AE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655753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115DC96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841CC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09B762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538681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1"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51"/>
      <w:r>
        <w:rPr>
          <w:rFonts w:hint="eastAsia" w:ascii="宋体" w:hAnsi="宋体" w:cs="宋体"/>
          <w:color w:val="auto"/>
          <w:szCs w:val="21"/>
          <w:highlight w:val="none"/>
        </w:rPr>
        <w:t>，否则其响应文件按无效响应处理。骑缝盖公章不视为在规定位置盖章。</w:t>
      </w:r>
    </w:p>
    <w:p w14:paraId="0573AF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555A1C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5E82233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62297F02">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FF5C19D">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19.2使用“广西政府采购云平台电子交易客户端”需要提前申领CA数字证书，申领流程见该项目采购公告附件。</w:t>
      </w:r>
    </w:p>
    <w:p w14:paraId="0B02057C">
      <w:pPr>
        <w:pStyle w:val="15"/>
        <w:spacing w:line="360" w:lineRule="auto"/>
        <w:ind w:firstLine="420" w:firstLineChars="200"/>
        <w:rPr>
          <w:rFonts w:hAnsi="宋体" w:cs="宋体"/>
          <w:color w:val="auto"/>
          <w:sz w:val="21"/>
          <w:highlight w:val="none"/>
        </w:rPr>
      </w:pPr>
      <w:r>
        <w:rPr>
          <w:rFonts w:hint="eastAsia" w:hAnsi="宋体" w:cs="宋体"/>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42E92C7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F19CA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5A9B97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705370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70B70F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009F3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75914D7F">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详见在“供应商须知前附表”。</w:t>
      </w:r>
    </w:p>
    <w:p w14:paraId="5CFAA3F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2E0C7D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74AC31F">
      <w:pPr>
        <w:spacing w:line="360" w:lineRule="auto"/>
        <w:ind w:firstLine="482" w:firstLineChars="200"/>
        <w:rPr>
          <w:rFonts w:ascii="宋体" w:hAnsi="宋体" w:cs="宋体"/>
          <w:b/>
          <w:bCs/>
          <w:color w:val="auto"/>
          <w:sz w:val="24"/>
          <w:highlight w:val="none"/>
        </w:rPr>
      </w:pPr>
      <w:bookmarkStart w:id="52" w:name="_Hlk45702405"/>
      <w:r>
        <w:rPr>
          <w:rFonts w:hint="eastAsia" w:ascii="宋体" w:hAnsi="宋体" w:cs="宋体"/>
          <w:b/>
          <w:bCs/>
          <w:color w:val="auto"/>
          <w:sz w:val="24"/>
          <w:highlight w:val="none"/>
        </w:rPr>
        <w:t>22. 首次响应文件的退回</w:t>
      </w:r>
    </w:p>
    <w:p w14:paraId="00572D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6E8352B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1575C1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2"/>
    </w:p>
    <w:p w14:paraId="35845131">
      <w:pPr>
        <w:pStyle w:val="4"/>
        <w:spacing w:before="0" w:after="0" w:line="360" w:lineRule="auto"/>
        <w:ind w:firstLine="640" w:firstLineChars="200"/>
        <w:rPr>
          <w:rFonts w:ascii="宋体" w:hAnsi="宋体" w:cs="宋体"/>
          <w:b w:val="0"/>
          <w:bCs w:val="0"/>
          <w:color w:val="auto"/>
          <w:highlight w:val="none"/>
        </w:rPr>
      </w:pPr>
      <w:r>
        <w:rPr>
          <w:rFonts w:hint="eastAsia" w:ascii="宋体" w:hAnsi="宋体" w:cs="宋体"/>
          <w:b w:val="0"/>
          <w:bCs w:val="0"/>
          <w:color w:val="auto"/>
          <w:highlight w:val="none"/>
        </w:rPr>
        <w:t xml:space="preserve">  </w:t>
      </w:r>
      <w:bookmarkStart w:id="53" w:name="_Toc16642"/>
      <w:r>
        <w:rPr>
          <w:rFonts w:hint="eastAsia" w:ascii="宋体" w:hAnsi="宋体" w:cs="宋体"/>
          <w:b w:val="0"/>
          <w:bCs w:val="0"/>
          <w:color w:val="auto"/>
          <w:highlight w:val="none"/>
        </w:rPr>
        <w:t>四、评审及磋商</w:t>
      </w:r>
      <w:bookmarkEnd w:id="53"/>
    </w:p>
    <w:p w14:paraId="5349E53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2424B2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14601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C095EE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46910B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539AD62E">
      <w:pPr>
        <w:pStyle w:val="15"/>
        <w:spacing w:line="360" w:lineRule="auto"/>
        <w:ind w:firstLine="420" w:firstLineChars="200"/>
        <w:rPr>
          <w:rFonts w:hAnsi="宋体" w:cs="宋体"/>
          <w:bCs/>
          <w:color w:val="auto"/>
          <w:sz w:val="21"/>
          <w:highlight w:val="none"/>
        </w:rPr>
      </w:pPr>
      <w:r>
        <w:rPr>
          <w:rFonts w:hint="eastAsia" w:hAnsi="宋体" w:cs="宋体"/>
          <w:color w:val="auto"/>
          <w:sz w:val="21"/>
          <w:highlight w:val="none"/>
        </w:rPr>
        <w:t xml:space="preserve">25.2 </w:t>
      </w:r>
      <w:r>
        <w:rPr>
          <w:rFonts w:hint="eastAsia" w:hAnsi="宋体" w:cs="宋体"/>
          <w:bCs/>
          <w:color w:val="auto"/>
          <w:sz w:val="21"/>
          <w:highlight w:val="none"/>
        </w:rPr>
        <w:t>响应文件解密</w:t>
      </w:r>
    </w:p>
    <w:p w14:paraId="11A1739D">
      <w:pPr>
        <w:pStyle w:val="15"/>
        <w:snapToGrid w:val="0"/>
        <w:spacing w:line="360" w:lineRule="auto"/>
        <w:ind w:firstLine="420" w:firstLineChars="200"/>
        <w:rPr>
          <w:rFonts w:hAnsi="宋体" w:cs="宋体"/>
          <w:color w:val="auto"/>
          <w:sz w:val="21"/>
          <w:highlight w:val="none"/>
        </w:rPr>
      </w:pPr>
      <w:r>
        <w:rPr>
          <w:rFonts w:hint="eastAsia" w:hAnsi="宋体" w:cs="宋体"/>
          <w:bCs/>
          <w:color w:val="auto"/>
          <w:sz w:val="21"/>
          <w:highlight w:val="none"/>
        </w:rPr>
        <w:t>采购代理机构将在“供应商须知前附表”规定的时</w:t>
      </w:r>
      <w:r>
        <w:rPr>
          <w:rFonts w:hint="eastAsia" w:hAnsi="宋体" w:cs="宋体"/>
          <w:color w:val="auto"/>
          <w:sz w:val="21"/>
          <w:highlight w:val="none"/>
        </w:rPr>
        <w:t>间通过电子交易平台组织响应文件开启，采购机构依托电子交易平台发起开始解密指令，供应商的法定代表人或其委托代理人</w:t>
      </w:r>
      <w:r>
        <w:rPr>
          <w:rFonts w:hint="eastAsia" w:hAnsi="宋体" w:cs="宋体"/>
          <w:b/>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s="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color w:val="auto"/>
          <w:sz w:val="21"/>
          <w:highlight w:val="none"/>
        </w:rPr>
        <w:t>视为响应文件无效。</w:t>
      </w:r>
      <w:r>
        <w:rPr>
          <w:rFonts w:hint="eastAsia" w:hAnsi="宋体" w:cs="宋体"/>
          <w:color w:val="auto"/>
          <w:sz w:val="21"/>
          <w:highlight w:val="none"/>
        </w:rPr>
        <w:t>（解密</w:t>
      </w:r>
      <w:r>
        <w:rPr>
          <w:rFonts w:hint="eastAsia" w:hAnsi="宋体" w:cs="宋体"/>
          <w:bCs/>
          <w:color w:val="auto"/>
          <w:sz w:val="21"/>
          <w:highlight w:val="none"/>
        </w:rPr>
        <w:t>异常情况处理：详见本章</w:t>
      </w:r>
      <w:r>
        <w:rPr>
          <w:rFonts w:hint="eastAsia" w:hAnsi="宋体" w:cs="宋体"/>
          <w:color w:val="auto"/>
          <w:sz w:val="21"/>
          <w:highlight w:val="none"/>
        </w:rPr>
        <w:t>26.3 电子交易活动的中止。）</w:t>
      </w:r>
    </w:p>
    <w:p w14:paraId="33C13DE2">
      <w:pPr>
        <w:pStyle w:val="15"/>
        <w:spacing w:line="360" w:lineRule="auto"/>
        <w:ind w:firstLine="420" w:firstLineChars="200"/>
        <w:rPr>
          <w:rFonts w:hAnsi="宋体" w:cs="宋体"/>
          <w:color w:val="auto"/>
          <w:sz w:val="21"/>
          <w:highlight w:val="none"/>
        </w:rPr>
      </w:pPr>
      <w:r>
        <w:rPr>
          <w:rFonts w:hint="eastAsia" w:hAnsi="宋体" w:cs="宋体"/>
          <w:color w:val="auto"/>
          <w:sz w:val="21"/>
          <w:highlight w:val="none"/>
        </w:rPr>
        <w:t>如</w:t>
      </w:r>
      <w:r>
        <w:rPr>
          <w:rFonts w:hint="eastAsia" w:hAnsi="宋体" w:cs="宋体"/>
          <w:bCs/>
          <w:color w:val="auto"/>
          <w:sz w:val="21"/>
          <w:highlight w:val="none"/>
        </w:rPr>
        <w:t>供应商成功解密响应文件，但未在“广西政府采购云平台”电子开标大厅参加谈判的，视同认可谈判过程和结果，</w:t>
      </w:r>
      <w:r>
        <w:rPr>
          <w:rFonts w:hint="eastAsia" w:hAnsi="宋体" w:cs="宋体"/>
          <w:color w:val="auto"/>
          <w:sz w:val="21"/>
          <w:highlight w:val="none"/>
        </w:rPr>
        <w:t>由此产生的后果由供应商自行负责。 参与谈判的供应商不足3家的，不得谈判。</w:t>
      </w:r>
    </w:p>
    <w:p w14:paraId="19EE410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3D685D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3F671F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磋商文件内容违反国家有关强制性规定的，磋商小组应当停止评审并向采购人或者采购代理机构说明情况，并在评审报告中书面体现。</w:t>
      </w:r>
    </w:p>
    <w:p w14:paraId="6C1003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26.3 采购需求负偏离要求及磋商顺序详见 “ 供应商须知前附表”。</w:t>
      </w:r>
    </w:p>
    <w:p w14:paraId="10E36C2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26.4电子交易活动的中止。采购过程中出现以下情形，导致电子交易平台无法正常运行，或者无法保证电子交易的公平、公正和安全时，采购机构可中止电子交易活动：</w:t>
      </w:r>
    </w:p>
    <w:p w14:paraId="178F669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730FAE7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4C5369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4F474B7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4344FE4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547FB81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F7B01A5">
      <w:pPr>
        <w:pStyle w:val="4"/>
        <w:spacing w:before="0" w:after="0" w:line="360" w:lineRule="auto"/>
        <w:ind w:firstLine="480" w:firstLineChars="150"/>
        <w:rPr>
          <w:rFonts w:ascii="宋体" w:hAnsi="宋体" w:cs="宋体"/>
          <w:b w:val="0"/>
          <w:bCs w:val="0"/>
          <w:color w:val="auto"/>
          <w:highlight w:val="none"/>
        </w:rPr>
      </w:pPr>
      <w:bookmarkStart w:id="54" w:name="_Toc5736"/>
      <w:r>
        <w:rPr>
          <w:rFonts w:hint="eastAsia" w:ascii="宋体" w:hAnsi="宋体" w:cs="宋体"/>
          <w:b w:val="0"/>
          <w:bCs w:val="0"/>
          <w:color w:val="auto"/>
          <w:highlight w:val="none"/>
        </w:rPr>
        <w:t>五、成交及合同</w:t>
      </w:r>
      <w:bookmarkEnd w:id="54"/>
    </w:p>
    <w:p w14:paraId="0FF55B7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1177E8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0E998A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3FB001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EA6E5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CDDE8B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C86004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22E8AF5F">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6503827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3E98E34A">
      <w:pPr>
        <w:pStyle w:val="40"/>
        <w:snapToGrid w:val="0"/>
        <w:spacing w:before="0"/>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13810C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D18E7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C7D46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39B9A2B3">
      <w:pPr>
        <w:pStyle w:val="40"/>
        <w:spacing w:before="0"/>
        <w:ind w:firstLine="420"/>
        <w:rPr>
          <w:rFonts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cs="宋体"/>
          <w:color w:val="auto"/>
          <w:highlight w:val="none"/>
        </w:rPr>
        <w:t xml:space="preserve"> </w:t>
      </w:r>
      <w:r>
        <w:rPr>
          <w:rFonts w:hint="eastAsia" w:ascii="宋体" w:hAnsi="宋体" w:cs="宋体"/>
          <w:color w:val="auto"/>
          <w:sz w:val="21"/>
          <w:szCs w:val="21"/>
          <w:highlight w:val="none"/>
        </w:rPr>
        <w:t>供应商须知前附表”。</w:t>
      </w:r>
    </w:p>
    <w:p w14:paraId="0219203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49887E4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64DB3A7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467BF72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7CA990CD">
      <w:pPr>
        <w:spacing w:line="360" w:lineRule="auto"/>
        <w:ind w:firstLine="420" w:firstLineChars="200"/>
        <w:rPr>
          <w:rFonts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209CFCF0">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E9FE70F">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CFE1424">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07549ED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22ED87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393605D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31215A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0E0CB1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608470E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53ECE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64D425C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3605722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32D57D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620D7A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11DC88C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563D2D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44D5C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5" w:name="_Toc80205930"/>
    </w:p>
    <w:p w14:paraId="5AF1CD76">
      <w:pPr>
        <w:pStyle w:val="4"/>
        <w:spacing w:before="0" w:after="0" w:line="360" w:lineRule="auto"/>
        <w:ind w:firstLine="315" w:firstLineChars="98"/>
        <w:rPr>
          <w:rFonts w:ascii="宋体" w:hAnsi="宋体" w:cs="宋体"/>
          <w:b w:val="0"/>
          <w:color w:val="auto"/>
          <w:highlight w:val="none"/>
        </w:rPr>
      </w:pPr>
      <w:bookmarkStart w:id="56" w:name="_Toc17863"/>
      <w:r>
        <w:rPr>
          <w:rFonts w:hint="eastAsia" w:ascii="宋体" w:hAnsi="宋体" w:cs="宋体"/>
          <w:color w:val="auto"/>
          <w:highlight w:val="none"/>
        </w:rPr>
        <w:t>六</w:t>
      </w:r>
      <w:r>
        <w:rPr>
          <w:rFonts w:hint="eastAsia" w:ascii="宋体" w:hAnsi="宋体" w:cs="宋体"/>
          <w:b w:val="0"/>
          <w:color w:val="auto"/>
          <w:highlight w:val="none"/>
        </w:rPr>
        <w:t>、验收</w:t>
      </w:r>
      <w:bookmarkEnd w:id="55"/>
      <w:bookmarkEnd w:id="56"/>
    </w:p>
    <w:p w14:paraId="6732F6CE">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0BB80729">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30644C6">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6D437C4A">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209CF28">
      <w:pPr>
        <w:tabs>
          <w:tab w:val="left" w:pos="0"/>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AF19990">
      <w:pPr>
        <w:pStyle w:val="4"/>
        <w:spacing w:before="0" w:after="0" w:line="360" w:lineRule="auto"/>
        <w:ind w:firstLine="320" w:firstLineChars="100"/>
        <w:rPr>
          <w:rFonts w:ascii="宋体" w:hAnsi="宋体" w:cs="宋体"/>
          <w:b w:val="0"/>
          <w:bCs w:val="0"/>
          <w:color w:val="auto"/>
          <w:highlight w:val="none"/>
        </w:rPr>
      </w:pPr>
      <w:bookmarkStart w:id="57" w:name="_Toc14884"/>
      <w:r>
        <w:rPr>
          <w:rFonts w:hint="eastAsia" w:ascii="宋体" w:hAnsi="宋体" w:cs="宋体"/>
          <w:b w:val="0"/>
          <w:bCs w:val="0"/>
          <w:color w:val="auto"/>
          <w:highlight w:val="none"/>
        </w:rPr>
        <w:t>七、其他事项</w:t>
      </w:r>
      <w:bookmarkEnd w:id="57"/>
    </w:p>
    <w:p w14:paraId="4B844F7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387E11B5">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674BAFA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461AA552">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483FE586">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34.2 其他事项详见“供应商须知前附表”。</w:t>
      </w:r>
    </w:p>
    <w:p w14:paraId="06810240">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5B2BFB76">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698DBBAB">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27A120D4">
      <w:pPr>
        <w:pStyle w:val="15"/>
        <w:numPr>
          <w:ilvl w:val="0"/>
          <w:numId w:val="2"/>
        </w:numPr>
        <w:spacing w:line="360" w:lineRule="auto"/>
        <w:ind w:firstLine="402" w:firstLineChars="200"/>
        <w:textAlignment w:val="center"/>
        <w:rPr>
          <w:rFonts w:hAnsi="宋体" w:cs="宋体"/>
          <w:color w:val="auto"/>
          <w:highlight w:val="none"/>
        </w:rPr>
      </w:pPr>
      <w:r>
        <w:rPr>
          <w:rFonts w:hint="eastAsia" w:hAnsi="宋体" w:cs="宋体"/>
          <w:b/>
          <w:color w:val="auto"/>
          <w:highlight w:val="none"/>
        </w:rPr>
        <w:br w:type="page"/>
      </w:r>
    </w:p>
    <w:p w14:paraId="6D9A18A4">
      <w:pPr>
        <w:pStyle w:val="2"/>
        <w:jc w:val="center"/>
        <w:rPr>
          <w:rFonts w:ascii="宋体" w:hAnsi="宋体" w:cs="宋体"/>
          <w:color w:val="auto"/>
          <w:highlight w:val="none"/>
        </w:rPr>
      </w:pPr>
      <w:bookmarkStart w:id="58" w:name="_Toc25106"/>
      <w:r>
        <w:rPr>
          <w:rFonts w:hint="eastAsia" w:ascii="宋体" w:hAnsi="宋体" w:cs="宋体"/>
          <w:color w:val="auto"/>
          <w:highlight w:val="none"/>
        </w:rPr>
        <w:t>第四章  评审程序、评审方法和评审标准</w:t>
      </w:r>
      <w:bookmarkEnd w:id="58"/>
    </w:p>
    <w:p w14:paraId="4E7FB631">
      <w:pPr>
        <w:pStyle w:val="3"/>
        <w:jc w:val="center"/>
        <w:rPr>
          <w:rFonts w:ascii="宋体" w:hAnsi="宋体" w:cs="宋体"/>
          <w:b w:val="0"/>
          <w:color w:val="auto"/>
          <w:highlight w:val="none"/>
        </w:rPr>
      </w:pPr>
      <w:bookmarkStart w:id="59" w:name="_Toc30181"/>
      <w:r>
        <w:rPr>
          <w:rFonts w:hint="eastAsia" w:ascii="宋体" w:hAnsi="宋体" w:cs="宋体"/>
          <w:b w:val="0"/>
          <w:color w:val="auto"/>
          <w:highlight w:val="none"/>
        </w:rPr>
        <w:t>第一节 评审程序和评审方法</w:t>
      </w:r>
      <w:bookmarkEnd w:id="59"/>
    </w:p>
    <w:p w14:paraId="1F531B8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49E8B6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3F5976C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152CB9E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1EB14B4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1997B056">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2"/>
          <w:rFonts w:hint="eastAsia" w:ascii="宋体" w:hAnsi="宋体" w:cs="宋体"/>
          <w:color w:val="auto"/>
          <w:highlight w:val="none"/>
        </w:rPr>
        <w:t>www.creditchina.gov.cn</w:t>
      </w:r>
      <w:r>
        <w:rPr>
          <w:rStyle w:val="32"/>
          <w:rFonts w:hint="eastAsia" w:ascii="宋体"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2"/>
          <w:rFonts w:hint="eastAsia" w:ascii="宋体" w:hAnsi="宋体" w:cs="宋体"/>
          <w:color w:val="auto"/>
          <w:highlight w:val="none"/>
        </w:rPr>
        <w:t>www.ccgp.gov.cn</w:t>
      </w:r>
      <w:r>
        <w:rPr>
          <w:rStyle w:val="32"/>
          <w:rFonts w:hint="eastAsia" w:ascii="宋体" w:hAnsi="宋体" w:cs="宋体"/>
          <w:color w:val="auto"/>
          <w:highlight w:val="none"/>
        </w:rPr>
        <w:fldChar w:fldCharType="end"/>
      </w:r>
      <w:r>
        <w:rPr>
          <w:rFonts w:hint="eastAsia" w:ascii="宋体" w:hAnsi="宋体" w:cs="宋体"/>
          <w:color w:val="auto"/>
          <w:szCs w:val="21"/>
          <w:highlight w:val="none"/>
        </w:rPr>
        <w:t>)链接入口。</w:t>
      </w:r>
    </w:p>
    <w:p w14:paraId="766E169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03F5D0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493CF2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7A8A9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D2AF4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6FE90AC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1E6BC6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61C007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158C7793">
      <w:pPr>
        <w:spacing w:line="360" w:lineRule="auto"/>
        <w:ind w:firstLine="420" w:firstLineChars="200"/>
        <w:rPr>
          <w:rFonts w:ascii="宋体" w:hAnsi="宋体" w:cs="宋体"/>
          <w:color w:val="auto"/>
          <w:szCs w:val="21"/>
          <w:highlight w:val="none"/>
        </w:rPr>
      </w:pPr>
      <w:bookmarkStart w:id="60"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0"/>
    </w:p>
    <w:p w14:paraId="00E21F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6DBD554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37A670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5A4CC7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89020CD">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2027207D">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29C10A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78BD39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0BAEEA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1461D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5DED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9B663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37086A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27BB7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41B106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76AB7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5AF79A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0CFA4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180D0E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378899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478002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4034F9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686112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77A4E6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44DB47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342B48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200496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4D8747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003667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775B38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76B8A5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0B009F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72F35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2AC50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5EFF24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D3515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1B9887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7C9F0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01C97440">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1A5942E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0B4CE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929A6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4DE142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943DA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56AE8BC6">
      <w:pPr>
        <w:widowControl/>
        <w:tabs>
          <w:tab w:val="left" w:pos="540"/>
        </w:tabs>
        <w:spacing w:line="360" w:lineRule="auto"/>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425392B5">
      <w:pPr>
        <w:pStyle w:val="40"/>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44D258DB">
      <w:pPr>
        <w:pStyle w:val="40"/>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4DC5A050">
      <w:pPr>
        <w:pStyle w:val="40"/>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7CA99CD9">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47590D3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652BA928">
      <w:pPr>
        <w:ind w:firstLine="200"/>
        <w:rPr>
          <w:rFonts w:ascii="宋体" w:hAnsi="宋体" w:cs="宋体"/>
          <w:color w:val="auto"/>
          <w:szCs w:val="21"/>
          <w:highlight w:val="none"/>
        </w:rPr>
      </w:pPr>
      <w:r>
        <w:rPr>
          <w:rFonts w:hint="eastAsia" w:ascii="宋体" w:hAnsi="宋体" w:cs="宋体"/>
          <w:b/>
          <w:bCs/>
          <w:color w:val="auto"/>
          <w:sz w:val="24"/>
          <w:highlight w:val="none"/>
        </w:rPr>
        <w:t>5. 最后报价</w:t>
      </w:r>
    </w:p>
    <w:p w14:paraId="585C8D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4ECBC9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BCA86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42E3C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0A5B70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49763F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2B5DAC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5243EE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636A4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5F9DC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0A5699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6A1B18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1CCCAF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32C84E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652DA845">
      <w:pPr>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6C614B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77E5A5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59D55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19B6B4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5BCD1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4F12F3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46DF31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D1CAB6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51B9541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9A68D40">
      <w:pPr>
        <w:spacing w:line="360" w:lineRule="auto"/>
        <w:ind w:firstLine="200"/>
        <w:rPr>
          <w:rFonts w:ascii="宋体" w:hAnsi="宋体" w:cs="宋体"/>
          <w:b/>
          <w:bCs/>
          <w:color w:val="auto"/>
          <w:sz w:val="24"/>
          <w:highlight w:val="none"/>
        </w:rPr>
      </w:pPr>
      <w:r>
        <w:rPr>
          <w:rFonts w:hint="eastAsia" w:ascii="宋体" w:hAnsi="宋体" w:cs="宋体"/>
          <w:b/>
          <w:bCs/>
          <w:color w:val="auto"/>
          <w:sz w:val="24"/>
          <w:highlight w:val="none"/>
        </w:rPr>
        <w:t>7.评审复核</w:t>
      </w:r>
    </w:p>
    <w:p w14:paraId="1E0611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7.1评审报告签署前，评审委员会要对评审结果进行复核，复核意见要体现在评审报告中。</w:t>
      </w:r>
    </w:p>
    <w:p w14:paraId="511E9620">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485E8F27">
      <w:pPr>
        <w:spacing w:line="360" w:lineRule="auto"/>
        <w:ind w:firstLine="200"/>
        <w:rPr>
          <w:rFonts w:ascii="宋体" w:hAnsi="宋体" w:cs="宋体"/>
          <w:b/>
          <w:bCs/>
          <w:color w:val="auto"/>
          <w:sz w:val="24"/>
          <w:highlight w:val="none"/>
        </w:rPr>
      </w:pPr>
      <w:r>
        <w:rPr>
          <w:rFonts w:hint="eastAsia" w:ascii="宋体" w:hAnsi="宋体" w:cs="宋体"/>
          <w:b/>
          <w:bCs/>
          <w:color w:val="auto"/>
          <w:sz w:val="24"/>
          <w:highlight w:val="none"/>
        </w:rPr>
        <w:t>8.评审标准</w:t>
      </w:r>
    </w:p>
    <w:p w14:paraId="3FB629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8.1评审依据：磋商小组将以磋商响应文件为评审依据，对供应商的报价、技术、商务等方面内容按百分制打分。（计分方法按四舍五入取至百分位）</w:t>
      </w:r>
    </w:p>
    <w:p w14:paraId="3026D53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总得分=1+2+3</w:t>
      </w:r>
    </w:p>
    <w:tbl>
      <w:tblPr>
        <w:tblStyle w:val="27"/>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086"/>
        <w:gridCol w:w="7110"/>
        <w:gridCol w:w="772"/>
      </w:tblGrid>
      <w:tr w14:paraId="64C5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vAlign w:val="center"/>
          </w:tcPr>
          <w:p w14:paraId="22A4C9D9">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086" w:type="dxa"/>
            <w:vAlign w:val="center"/>
          </w:tcPr>
          <w:p w14:paraId="6D5E0BCE">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7110" w:type="dxa"/>
            <w:vAlign w:val="center"/>
          </w:tcPr>
          <w:p w14:paraId="0AD7156D">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772" w:type="dxa"/>
            <w:vAlign w:val="center"/>
          </w:tcPr>
          <w:p w14:paraId="3590C172">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7DAD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52" w:type="dxa"/>
            <w:vAlign w:val="center"/>
          </w:tcPr>
          <w:p w14:paraId="575FFAFA">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086" w:type="dxa"/>
            <w:vAlign w:val="center"/>
          </w:tcPr>
          <w:p w14:paraId="32BFAFB3">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7110" w:type="dxa"/>
          </w:tcPr>
          <w:p w14:paraId="61A4C2D2">
            <w:pPr>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（1）本项目为专门面向中小企业采购项目，不执行价格扣除优惠政策，评审报价＝最后报价；</w:t>
            </w:r>
          </w:p>
          <w:p w14:paraId="0F06B566">
            <w:pPr>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竞标服务/产品提供企业按《关于政府采购支持监狱企业发展有关问题的通知》（财库[2014]68号）认定为监狱企业的，在政府采购活动中，监狱企业视同小型、微型企业，享受预留份额。监狱企业参加政府采购活动时，应当提供由省级以上监狱管理局、戒毒管理局（含新疆生产建设兵团）出具的属于监狱企业的证明文件；</w:t>
            </w:r>
          </w:p>
          <w:p w14:paraId="0773C5D1">
            <w:pPr>
              <w:snapToGrid w:val="0"/>
              <w:spacing w:line="36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竞标服务/产品提供企业按《关于促进残疾人就业政府采购政策的通知》（财库〔2017〕141号）认定为残疾人福利性单位的，在政府采购活动中，残疾人福利性单位视同小型、微型企业，享受预留份额。残疾人福利性单位参加政府采购活动时，应当提供该《残疾人福利性单位声明函》为证明文件（格式见第五章“响应文件格式”）。</w:t>
            </w:r>
          </w:p>
          <w:p w14:paraId="18AE0C38">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（4）根据《关于推动解决政府采购异常低价问题的通知》财库〔2026〕2号规定，供应商投标报价出现下列情形之一的，评审委员会应当启动异常低价投标（响应）审查程序：</w:t>
            </w:r>
          </w:p>
          <w:p w14:paraId="26F09A97">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①投标（响应）报价低于全部通过符合性审查供应商投标（响应）报价平均值</w:t>
            </w:r>
            <w:r>
              <w:rPr>
                <w:rFonts w:hint="eastAsia" w:ascii="宋体" w:hAnsi="宋体" w:eastAsia="宋体" w:cs="宋体"/>
                <w:bCs/>
                <w:color w:val="auto"/>
                <w:szCs w:val="21"/>
                <w:highlight w:val="none"/>
                <w:lang w:val="en-US" w:eastAsia="zh-CN"/>
              </w:rPr>
              <w:t>65</w:t>
            </w:r>
            <w:r>
              <w:rPr>
                <w:rFonts w:hint="eastAsia" w:ascii="宋体" w:hAnsi="宋体" w:eastAsia="宋体" w:cs="宋体"/>
                <w:bCs/>
                <w:color w:val="auto"/>
                <w:szCs w:val="21"/>
                <w:highlight w:val="none"/>
              </w:rPr>
              <w:t>%的，即投标（响应）报价&lt;全部通过符合性审查供应商投标（响应）报价平均值×</w:t>
            </w:r>
            <w:r>
              <w:rPr>
                <w:rFonts w:hint="eastAsia" w:ascii="宋体" w:hAnsi="宋体" w:eastAsia="宋体" w:cs="宋体"/>
                <w:bCs/>
                <w:color w:val="auto"/>
                <w:szCs w:val="21"/>
                <w:highlight w:val="none"/>
                <w:lang w:val="en-US" w:eastAsia="zh-CN"/>
              </w:rPr>
              <w:t>65</w:t>
            </w:r>
            <w:r>
              <w:rPr>
                <w:rFonts w:hint="eastAsia" w:ascii="宋体" w:hAnsi="宋体" w:eastAsia="宋体" w:cs="宋体"/>
                <w:bCs/>
                <w:color w:val="auto"/>
                <w:szCs w:val="21"/>
                <w:highlight w:val="none"/>
              </w:rPr>
              <w:t>%；</w:t>
            </w:r>
          </w:p>
          <w:p w14:paraId="7039E504">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②投标（响应）报价低于通过符合性审查的次低报价供应商投标（响应）报价</w:t>
            </w:r>
            <w:r>
              <w:rPr>
                <w:rFonts w:hint="eastAsia" w:ascii="宋体" w:hAnsi="宋体" w:eastAsia="宋体" w:cs="宋体"/>
                <w:bCs/>
                <w:color w:val="auto"/>
                <w:szCs w:val="21"/>
                <w:highlight w:val="none"/>
                <w:lang w:val="en-US" w:eastAsia="zh-CN"/>
              </w:rPr>
              <w:t>65</w:t>
            </w:r>
            <w:r>
              <w:rPr>
                <w:rFonts w:hint="eastAsia" w:ascii="宋体" w:hAnsi="宋体" w:eastAsia="宋体" w:cs="宋体"/>
                <w:bCs/>
                <w:color w:val="auto"/>
                <w:szCs w:val="21"/>
                <w:highlight w:val="none"/>
              </w:rPr>
              <w:t>%的，即投标（响应）报价&lt;通过符合性审查的次低报价供应商投标（响应）报价×</w:t>
            </w:r>
            <w:r>
              <w:rPr>
                <w:rFonts w:hint="eastAsia" w:ascii="宋体" w:hAnsi="宋体" w:eastAsia="宋体" w:cs="宋体"/>
                <w:bCs/>
                <w:color w:val="auto"/>
                <w:szCs w:val="21"/>
                <w:highlight w:val="none"/>
                <w:lang w:val="en-US" w:eastAsia="zh-CN"/>
              </w:rPr>
              <w:t>65</w:t>
            </w:r>
            <w:r>
              <w:rPr>
                <w:rFonts w:hint="eastAsia" w:ascii="宋体" w:hAnsi="宋体" w:eastAsia="宋体" w:cs="宋体"/>
                <w:bCs/>
                <w:color w:val="auto"/>
                <w:szCs w:val="21"/>
                <w:highlight w:val="none"/>
              </w:rPr>
              <w:t>%；</w:t>
            </w:r>
          </w:p>
          <w:p w14:paraId="6343F91C">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③投标（响应）报价低于采购项目最高限价</w:t>
            </w:r>
            <w:r>
              <w:rPr>
                <w:rFonts w:hint="eastAsia" w:ascii="宋体" w:hAnsi="宋体" w:eastAsia="宋体" w:cs="宋体"/>
                <w:bCs/>
                <w:color w:val="auto"/>
                <w:szCs w:val="21"/>
                <w:highlight w:val="none"/>
                <w:lang w:val="en-US" w:eastAsia="zh-CN"/>
              </w:rPr>
              <w:t>65</w:t>
            </w:r>
            <w:r>
              <w:rPr>
                <w:rFonts w:hint="eastAsia" w:ascii="宋体" w:hAnsi="宋体" w:eastAsia="宋体" w:cs="宋体"/>
                <w:bCs/>
                <w:color w:val="auto"/>
                <w:szCs w:val="21"/>
                <w:highlight w:val="none"/>
              </w:rPr>
              <w:t>%的，即投标（响应）报价&lt;采购项目最高限价×</w:t>
            </w:r>
            <w:r>
              <w:rPr>
                <w:rFonts w:hint="eastAsia" w:ascii="宋体" w:hAnsi="宋体" w:eastAsia="宋体" w:cs="宋体"/>
                <w:bCs/>
                <w:color w:val="auto"/>
                <w:szCs w:val="21"/>
                <w:highlight w:val="none"/>
                <w:lang w:val="en-US" w:eastAsia="zh-CN"/>
              </w:rPr>
              <w:t>65</w:t>
            </w:r>
            <w:r>
              <w:rPr>
                <w:rFonts w:hint="eastAsia" w:ascii="宋体" w:hAnsi="宋体" w:eastAsia="宋体" w:cs="宋体"/>
                <w:bCs/>
                <w:color w:val="auto"/>
                <w:szCs w:val="21"/>
                <w:highlight w:val="none"/>
              </w:rPr>
              <w:t>%；</w:t>
            </w:r>
          </w:p>
          <w:p w14:paraId="3645ED50">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④评审委员会基于专业判断，认为供应商报价过低，有可能影响产品质量或者不能诚信履约的其他情形。</w:t>
            </w:r>
          </w:p>
          <w:p w14:paraId="4AB46716">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6FEF694">
            <w:pPr>
              <w:snapToGrid w:val="0"/>
              <w:spacing w:line="360" w:lineRule="exact"/>
              <w:ind w:firstLine="420" w:firstLineChars="200"/>
              <w:jc w:val="left"/>
              <w:rPr>
                <w:rFonts w:hint="eastAsia" w:ascii="宋体" w:hAnsi="宋体" w:cs="宋体"/>
                <w:bCs/>
                <w:color w:val="auto"/>
                <w:szCs w:val="21"/>
                <w:highlight w:val="none"/>
              </w:rPr>
            </w:pPr>
            <w:r>
              <w:rPr>
                <w:rFonts w:hint="eastAsia" w:ascii="宋体" w:hAnsi="宋体" w:eastAsia="宋体" w:cs="宋体"/>
                <w:bCs/>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7E3B5EC">
            <w:pPr>
              <w:pStyle w:val="15"/>
              <w:spacing w:line="360" w:lineRule="exact"/>
              <w:ind w:firstLine="420" w:firstLineChars="200"/>
              <w:rPr>
                <w:rFonts w:hAnsi="宋体" w:cs="宋体"/>
                <w:bCs/>
                <w:color w:val="auto"/>
                <w:kern w:val="2"/>
                <w:sz w:val="21"/>
                <w:highlight w:val="none"/>
              </w:rPr>
            </w:pPr>
            <w:r>
              <w:rPr>
                <w:rFonts w:hint="eastAsia" w:hAnsi="宋体" w:cs="宋体"/>
                <w:bCs/>
                <w:color w:val="auto"/>
                <w:kern w:val="2"/>
                <w:sz w:val="21"/>
                <w:highlight w:val="none"/>
              </w:rPr>
              <w:t>（</w:t>
            </w:r>
            <w:r>
              <w:rPr>
                <w:rFonts w:hint="eastAsia" w:hAnsi="宋体" w:cs="宋体"/>
                <w:bCs/>
                <w:color w:val="auto"/>
                <w:kern w:val="2"/>
                <w:sz w:val="21"/>
                <w:highlight w:val="none"/>
                <w:lang w:val="en-US" w:eastAsia="zh-CN"/>
              </w:rPr>
              <w:t>5</w:t>
            </w:r>
            <w:r>
              <w:rPr>
                <w:rFonts w:hint="eastAsia" w:hAnsi="宋体" w:cs="宋体"/>
                <w:bCs/>
                <w:color w:val="auto"/>
                <w:kern w:val="2"/>
                <w:sz w:val="21"/>
                <w:highlight w:val="none"/>
              </w:rPr>
              <w:t>）以进入比较与评价环节的评审报价</w:t>
            </w:r>
            <w:r>
              <w:rPr>
                <w:rFonts w:hint="eastAsia" w:hAnsi="宋体" w:cs="宋体"/>
                <w:bCs/>
                <w:color w:val="auto"/>
                <w:kern w:val="2"/>
                <w:sz w:val="21"/>
                <w:highlight w:val="none"/>
                <w:lang w:val="en-US" w:eastAsia="zh-CN"/>
              </w:rPr>
              <w:t>最低的</w:t>
            </w:r>
            <w:r>
              <w:rPr>
                <w:rFonts w:hint="eastAsia" w:hAnsi="宋体" w:cs="宋体"/>
                <w:bCs/>
                <w:color w:val="auto"/>
                <w:kern w:val="2"/>
                <w:sz w:val="21"/>
                <w:highlight w:val="none"/>
              </w:rPr>
              <w:t>为基准价，基准价得分为</w:t>
            </w:r>
            <w:r>
              <w:rPr>
                <w:rFonts w:hint="eastAsia" w:hAnsi="宋体" w:cs="宋体"/>
                <w:bCs/>
                <w:color w:val="auto"/>
                <w:kern w:val="2"/>
                <w:sz w:val="21"/>
                <w:highlight w:val="none"/>
                <w:u w:val="single"/>
              </w:rPr>
              <w:t xml:space="preserve"> </w:t>
            </w:r>
            <w:r>
              <w:rPr>
                <w:rFonts w:hint="eastAsia" w:hAnsi="宋体" w:cs="宋体"/>
                <w:bCs/>
                <w:color w:val="auto"/>
                <w:kern w:val="2"/>
                <w:sz w:val="21"/>
                <w:highlight w:val="none"/>
                <w:u w:val="single"/>
                <w:lang w:val="en-US" w:eastAsia="zh-CN"/>
              </w:rPr>
              <w:t>15</w:t>
            </w:r>
            <w:r>
              <w:rPr>
                <w:rFonts w:hint="eastAsia" w:hAnsi="宋体" w:cs="宋体"/>
                <w:bCs/>
                <w:color w:val="auto"/>
                <w:kern w:val="2"/>
                <w:sz w:val="21"/>
                <w:highlight w:val="none"/>
                <w:u w:val="single"/>
              </w:rPr>
              <w:t xml:space="preserve"> </w:t>
            </w:r>
            <w:r>
              <w:rPr>
                <w:rFonts w:hint="eastAsia" w:hAnsi="宋体" w:cs="宋体"/>
                <w:bCs/>
                <w:color w:val="auto"/>
                <w:kern w:val="2"/>
                <w:sz w:val="21"/>
                <w:highlight w:val="none"/>
              </w:rPr>
              <w:t>分。</w:t>
            </w:r>
          </w:p>
          <w:p w14:paraId="374F3415">
            <w:pPr>
              <w:pStyle w:val="15"/>
              <w:spacing w:line="360" w:lineRule="exact"/>
              <w:ind w:firstLine="420" w:firstLineChars="200"/>
              <w:rPr>
                <w:rFonts w:hAnsi="宋体" w:cs="宋体"/>
                <w:bCs/>
                <w:color w:val="auto"/>
                <w:kern w:val="2"/>
                <w:sz w:val="21"/>
                <w:highlight w:val="none"/>
              </w:rPr>
            </w:pPr>
            <w:r>
              <w:rPr>
                <w:rFonts w:hint="eastAsia" w:hAnsi="宋体" w:cs="宋体"/>
                <w:bCs/>
                <w:color w:val="auto"/>
                <w:kern w:val="2"/>
                <w:sz w:val="21"/>
                <w:highlight w:val="none"/>
              </w:rPr>
              <w:t>（</w:t>
            </w:r>
            <w:r>
              <w:rPr>
                <w:rFonts w:hint="eastAsia" w:hAnsi="宋体" w:cs="宋体"/>
                <w:bCs/>
                <w:color w:val="auto"/>
                <w:kern w:val="2"/>
                <w:sz w:val="21"/>
                <w:highlight w:val="none"/>
                <w:lang w:val="en-US" w:eastAsia="zh-CN"/>
              </w:rPr>
              <w:t>6</w:t>
            </w:r>
            <w:r>
              <w:rPr>
                <w:rFonts w:hint="eastAsia" w:hAnsi="宋体" w:cs="宋体"/>
                <w:bCs/>
                <w:color w:val="auto"/>
                <w:kern w:val="2"/>
                <w:sz w:val="21"/>
                <w:highlight w:val="none"/>
              </w:rPr>
              <w:t>）价格分计算公式：</w:t>
            </w:r>
          </w:p>
          <w:p w14:paraId="3370E224">
            <w:pPr>
              <w:pStyle w:val="15"/>
              <w:spacing w:line="360" w:lineRule="exact"/>
              <w:ind w:firstLine="420" w:firstLineChars="200"/>
              <w:rPr>
                <w:rFonts w:hAnsi="宋体" w:cs="宋体"/>
                <w:bCs/>
                <w:color w:val="auto"/>
                <w:sz w:val="21"/>
                <w:highlight w:val="none"/>
              </w:rPr>
            </w:pPr>
            <w:r>
              <w:rPr>
                <w:rFonts w:hint="eastAsia" w:hAnsi="宋体" w:cs="宋体"/>
                <w:bCs/>
                <w:color w:val="auto"/>
                <w:kern w:val="2"/>
                <w:sz w:val="21"/>
                <w:highlight w:val="none"/>
              </w:rPr>
              <w:t>报价得分=基准价/</w:t>
            </w:r>
            <w:r>
              <w:rPr>
                <w:rFonts w:hint="eastAsia" w:hAnsi="宋体" w:cs="宋体"/>
                <w:bCs/>
                <w:color w:val="auto"/>
                <w:kern w:val="2"/>
                <w:sz w:val="21"/>
                <w:highlight w:val="none"/>
                <w:lang w:val="en-US" w:eastAsia="zh-CN"/>
              </w:rPr>
              <w:t>评审报价</w:t>
            </w:r>
            <w:r>
              <w:rPr>
                <w:rFonts w:hint="eastAsia" w:hAnsi="宋体" w:cs="宋体"/>
                <w:bCs/>
                <w:color w:val="auto"/>
                <w:kern w:val="2"/>
                <w:sz w:val="21"/>
                <w:highlight w:val="none"/>
              </w:rPr>
              <w:t>×</w:t>
            </w:r>
            <w:r>
              <w:rPr>
                <w:rFonts w:hint="eastAsia" w:hAnsi="宋体" w:cs="宋体"/>
                <w:bCs/>
                <w:color w:val="auto"/>
                <w:kern w:val="2"/>
                <w:sz w:val="21"/>
                <w:highlight w:val="none"/>
                <w:u w:val="single"/>
              </w:rPr>
              <w:t xml:space="preserve"> </w:t>
            </w:r>
            <w:r>
              <w:rPr>
                <w:rFonts w:hint="eastAsia" w:hAnsi="宋体" w:cs="宋体"/>
                <w:bCs/>
                <w:color w:val="auto"/>
                <w:kern w:val="2"/>
                <w:sz w:val="21"/>
                <w:highlight w:val="none"/>
                <w:u w:val="single"/>
                <w:lang w:val="en-US" w:eastAsia="zh-CN"/>
              </w:rPr>
              <w:t>15</w:t>
            </w:r>
            <w:r>
              <w:rPr>
                <w:rFonts w:hint="eastAsia" w:hAnsi="宋体" w:cs="宋体"/>
                <w:bCs/>
                <w:color w:val="auto"/>
                <w:kern w:val="2"/>
                <w:sz w:val="21"/>
                <w:highlight w:val="none"/>
                <w:u w:val="single"/>
              </w:rPr>
              <w:t xml:space="preserve"> </w:t>
            </w:r>
            <w:r>
              <w:rPr>
                <w:rFonts w:hint="eastAsia" w:hAnsi="宋体" w:cs="宋体"/>
                <w:bCs/>
                <w:color w:val="auto"/>
                <w:kern w:val="2"/>
                <w:sz w:val="21"/>
                <w:highlight w:val="none"/>
              </w:rPr>
              <w:t>分</w:t>
            </w:r>
          </w:p>
        </w:tc>
        <w:tc>
          <w:tcPr>
            <w:tcW w:w="772" w:type="dxa"/>
            <w:vAlign w:val="center"/>
          </w:tcPr>
          <w:p w14:paraId="3E6B5D79">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分</w:t>
            </w:r>
          </w:p>
        </w:tc>
      </w:tr>
      <w:tr w14:paraId="7DB8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52" w:type="dxa"/>
            <w:vAlign w:val="center"/>
          </w:tcPr>
          <w:p w14:paraId="5A0AA32F">
            <w:pPr>
              <w:widowControl/>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086" w:type="dxa"/>
            <w:vAlign w:val="center"/>
          </w:tcPr>
          <w:p w14:paraId="3EA8AF42">
            <w:pPr>
              <w:widowControl/>
              <w:spacing w:line="360" w:lineRule="exact"/>
              <w:jc w:val="center"/>
              <w:rPr>
                <w:rFonts w:hint="default" w:ascii="宋体" w:hAnsi="宋体" w:eastAsia="宋体" w:cs="宋体"/>
                <w:b/>
                <w:color w:val="auto"/>
                <w:kern w:val="0"/>
                <w:szCs w:val="21"/>
                <w:highlight w:val="none"/>
                <w:lang w:val="en-US" w:eastAsia="zh-CN"/>
              </w:rPr>
            </w:pPr>
            <w:r>
              <w:rPr>
                <w:rFonts w:ascii="宋体" w:hAnsi="宋体" w:cs="宋体"/>
                <w:b/>
                <w:color w:val="auto"/>
                <w:kern w:val="0"/>
                <w:szCs w:val="21"/>
                <w:highlight w:val="none"/>
              </w:rPr>
              <w:t>施工组织设计评分标准</w:t>
            </w:r>
          </w:p>
        </w:tc>
        <w:tc>
          <w:tcPr>
            <w:tcW w:w="7110" w:type="dxa"/>
            <w:vAlign w:val="center"/>
          </w:tcPr>
          <w:p w14:paraId="67556DFC">
            <w:pPr>
              <w:widowControl/>
              <w:spacing w:line="360" w:lineRule="exact"/>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rPr>
              <w:t>评审因素</w:t>
            </w:r>
          </w:p>
        </w:tc>
        <w:tc>
          <w:tcPr>
            <w:tcW w:w="772" w:type="dxa"/>
            <w:vAlign w:val="center"/>
          </w:tcPr>
          <w:p w14:paraId="55B33448">
            <w:pPr>
              <w:widowControl/>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70</w:t>
            </w:r>
            <w:r>
              <w:rPr>
                <w:rFonts w:hint="eastAsia" w:ascii="宋体" w:hAnsi="宋体" w:cs="宋体"/>
                <w:b/>
                <w:color w:val="auto"/>
                <w:kern w:val="0"/>
                <w:szCs w:val="21"/>
                <w:highlight w:val="none"/>
              </w:rPr>
              <w:t>分</w:t>
            </w:r>
          </w:p>
        </w:tc>
      </w:tr>
      <w:tr w14:paraId="7EC9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52" w:type="dxa"/>
            <w:vAlign w:val="center"/>
          </w:tcPr>
          <w:p w14:paraId="05E4F57C">
            <w:pPr>
              <w:adjustRightInd w:val="0"/>
              <w:spacing w:line="36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2.1</w:t>
            </w:r>
          </w:p>
        </w:tc>
        <w:tc>
          <w:tcPr>
            <w:tcW w:w="1086" w:type="dxa"/>
            <w:vAlign w:val="center"/>
          </w:tcPr>
          <w:p w14:paraId="099A86BD">
            <w:pPr>
              <w:adjustRightInd w:val="0"/>
              <w:spacing w:line="360" w:lineRule="exact"/>
              <w:jc w:val="center"/>
              <w:textAlignment w:val="baseline"/>
              <w:rPr>
                <w:rFonts w:ascii="宋体" w:hAnsi="宋体" w:cs="宋体"/>
                <w:bCs/>
                <w:color w:val="auto"/>
                <w:kern w:val="0"/>
                <w:szCs w:val="21"/>
                <w:highlight w:val="none"/>
              </w:rPr>
            </w:pPr>
            <w:r>
              <w:rPr>
                <w:rFonts w:hint="eastAsia" w:ascii="宋体" w:hAnsi="宋体" w:cs="宋体"/>
                <w:b/>
                <w:bCs w:val="0"/>
                <w:color w:val="auto"/>
                <w:kern w:val="0"/>
                <w:szCs w:val="21"/>
                <w:highlight w:val="none"/>
                <w:lang w:val="zh-CN"/>
              </w:rPr>
              <w:t>总体施工组织布置及规划</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18E44691">
            <w:pPr>
              <w:pStyle w:val="15"/>
              <w:spacing w:line="360" w:lineRule="exact"/>
              <w:ind w:firstLine="420" w:firstLineChars="200"/>
              <w:rPr>
                <w:rFonts w:hint="eastAsia" w:hAnsi="宋体" w:cs="宋体"/>
                <w:bCs/>
                <w:color w:val="auto"/>
                <w:sz w:val="21"/>
                <w:highlight w:val="none"/>
                <w:lang w:val="zh-CN"/>
              </w:rPr>
            </w:pPr>
            <w:r>
              <w:rPr>
                <w:rFonts w:hint="eastAsia" w:hAnsi="宋体" w:cs="宋体"/>
                <w:bCs/>
                <w:color w:val="auto"/>
                <w:sz w:val="21"/>
                <w:highlight w:val="none"/>
                <w:lang w:val="zh-CN"/>
              </w:rPr>
              <w:t>一档（</w:t>
            </w:r>
            <w:r>
              <w:rPr>
                <w:rFonts w:hint="eastAsia" w:hAnsi="宋体" w:cs="宋体"/>
                <w:bCs/>
                <w:color w:val="auto"/>
                <w:sz w:val="21"/>
                <w:highlight w:val="none"/>
                <w:lang w:val="en-US" w:eastAsia="zh-CN"/>
              </w:rPr>
              <w:t>1</w:t>
            </w:r>
            <w:r>
              <w:rPr>
                <w:rFonts w:hint="eastAsia" w:hAnsi="宋体" w:cs="宋体"/>
                <w:bCs/>
                <w:color w:val="auto"/>
                <w:sz w:val="21"/>
                <w:highlight w:val="none"/>
                <w:lang w:val="zh-CN"/>
              </w:rPr>
              <w:t>分）：</w:t>
            </w:r>
            <w:r>
              <w:rPr>
                <w:rStyle w:val="29"/>
                <w:rFonts w:ascii="宋体" w:hAnsi="宋体" w:eastAsia="宋体" w:cs="宋体"/>
                <w:b w:val="0"/>
                <w:color w:val="auto"/>
                <w:sz w:val="21"/>
                <w:szCs w:val="24"/>
                <w:highlight w:val="none"/>
              </w:rPr>
              <w:t>无施工总平面布置图，安排不合理，不符合本项目施工实际要求。</w:t>
            </w:r>
          </w:p>
          <w:p w14:paraId="6F58B83C">
            <w:pPr>
              <w:pStyle w:val="15"/>
              <w:spacing w:line="360" w:lineRule="exact"/>
              <w:ind w:firstLine="420" w:firstLineChars="200"/>
              <w:rPr>
                <w:rFonts w:hint="eastAsia" w:hAnsi="宋体" w:cs="宋体"/>
                <w:bCs/>
                <w:color w:val="auto"/>
                <w:sz w:val="21"/>
                <w:highlight w:val="none"/>
                <w:lang w:val="zh-CN"/>
              </w:rPr>
            </w:pPr>
            <w:r>
              <w:rPr>
                <w:rFonts w:hint="eastAsia" w:hAnsi="宋体" w:cs="宋体"/>
                <w:bCs/>
                <w:color w:val="auto"/>
                <w:sz w:val="21"/>
                <w:highlight w:val="none"/>
                <w:lang w:val="zh-CN"/>
              </w:rPr>
              <w:t>二档（</w:t>
            </w:r>
            <w:r>
              <w:rPr>
                <w:rFonts w:hint="eastAsia" w:hAnsi="宋体" w:cs="宋体"/>
                <w:bCs/>
                <w:color w:val="auto"/>
                <w:sz w:val="21"/>
                <w:highlight w:val="none"/>
                <w:lang w:val="en-US" w:eastAsia="zh-CN"/>
              </w:rPr>
              <w:t>2</w:t>
            </w:r>
            <w:r>
              <w:rPr>
                <w:rFonts w:hint="eastAsia" w:hAnsi="宋体" w:cs="宋体"/>
                <w:bCs/>
                <w:color w:val="auto"/>
                <w:sz w:val="21"/>
                <w:highlight w:val="none"/>
                <w:lang w:val="zh-CN"/>
              </w:rPr>
              <w:t>分）：有施工总平面布置图，安排较差，勉强符合本项目施工要求。</w:t>
            </w:r>
          </w:p>
          <w:p w14:paraId="6C27C3A6">
            <w:pPr>
              <w:pStyle w:val="15"/>
              <w:spacing w:line="360" w:lineRule="exact"/>
              <w:ind w:firstLine="420" w:firstLineChars="200"/>
              <w:rPr>
                <w:rFonts w:hint="eastAsia" w:hAnsi="宋体" w:cs="宋体"/>
                <w:bCs/>
                <w:color w:val="auto"/>
                <w:sz w:val="21"/>
                <w:highlight w:val="none"/>
                <w:lang w:val="zh-CN"/>
              </w:rPr>
            </w:pPr>
            <w:r>
              <w:rPr>
                <w:rFonts w:hint="eastAsia" w:hAnsi="宋体" w:cs="宋体"/>
                <w:bCs/>
                <w:color w:val="auto"/>
                <w:sz w:val="21"/>
                <w:highlight w:val="none"/>
                <w:lang w:val="zh-CN"/>
              </w:rPr>
              <w:t>三档（</w:t>
            </w:r>
            <w:r>
              <w:rPr>
                <w:rFonts w:hint="eastAsia" w:hAnsi="宋体" w:cs="宋体"/>
                <w:bCs/>
                <w:color w:val="auto"/>
                <w:sz w:val="21"/>
                <w:highlight w:val="none"/>
                <w:lang w:val="en-US" w:eastAsia="zh-CN"/>
              </w:rPr>
              <w:t>3</w:t>
            </w:r>
            <w:r>
              <w:rPr>
                <w:rFonts w:hint="eastAsia" w:hAnsi="宋体" w:cs="宋体"/>
                <w:bCs/>
                <w:color w:val="auto"/>
                <w:sz w:val="21"/>
                <w:highlight w:val="none"/>
                <w:lang w:val="zh-CN"/>
              </w:rPr>
              <w:t>分）：有施工总平面布置图，安排一般，基本符合本项目施工实际要求。</w:t>
            </w:r>
          </w:p>
          <w:p w14:paraId="01F019E3">
            <w:pPr>
              <w:pStyle w:val="15"/>
              <w:spacing w:line="360" w:lineRule="exact"/>
              <w:ind w:firstLine="420" w:firstLineChars="200"/>
              <w:rPr>
                <w:rFonts w:hint="eastAsia" w:hAnsi="宋体" w:cs="宋体"/>
                <w:bCs/>
                <w:color w:val="auto"/>
                <w:sz w:val="21"/>
                <w:highlight w:val="none"/>
                <w:lang w:val="zh-CN"/>
              </w:rPr>
            </w:pPr>
            <w:r>
              <w:rPr>
                <w:rFonts w:hint="eastAsia" w:hAnsi="宋体" w:cs="宋体"/>
                <w:bCs/>
                <w:color w:val="auto"/>
                <w:sz w:val="21"/>
                <w:highlight w:val="none"/>
                <w:lang w:val="zh-CN"/>
              </w:rPr>
              <w:t>四档（</w:t>
            </w:r>
            <w:r>
              <w:rPr>
                <w:rFonts w:hint="eastAsia" w:hAnsi="宋体" w:cs="宋体"/>
                <w:bCs/>
                <w:color w:val="auto"/>
                <w:sz w:val="21"/>
                <w:highlight w:val="none"/>
                <w:lang w:val="en-US" w:eastAsia="zh-CN"/>
              </w:rPr>
              <w:t>4</w:t>
            </w:r>
            <w:r>
              <w:rPr>
                <w:rFonts w:hint="eastAsia" w:hAnsi="宋体" w:cs="宋体"/>
                <w:bCs/>
                <w:color w:val="auto"/>
                <w:sz w:val="21"/>
                <w:highlight w:val="none"/>
                <w:lang w:val="zh-CN"/>
              </w:rPr>
              <w:t>分）：有施工总平面布置图，安排较合理，符合本项目施工实际要求。</w:t>
            </w:r>
          </w:p>
          <w:p w14:paraId="593B469A">
            <w:pPr>
              <w:pStyle w:val="15"/>
              <w:spacing w:line="360" w:lineRule="exact"/>
              <w:ind w:firstLine="420" w:firstLineChars="200"/>
              <w:rPr>
                <w:rFonts w:hint="eastAsia" w:eastAsia="宋体"/>
                <w:color w:val="auto"/>
                <w:highlight w:val="none"/>
                <w:lang w:val="en-US" w:eastAsia="zh-CN"/>
              </w:rPr>
            </w:pPr>
            <w:r>
              <w:rPr>
                <w:rFonts w:hint="eastAsia" w:hAnsi="宋体" w:cs="宋体"/>
                <w:bCs/>
                <w:color w:val="auto"/>
                <w:sz w:val="21"/>
                <w:highlight w:val="none"/>
                <w:lang w:val="en-US" w:eastAsia="zh-CN"/>
              </w:rPr>
              <w:t>五档（5分）：有详细的施工总平面布置图，安排科学合理，符合本项目施工实际要求。</w:t>
            </w:r>
          </w:p>
        </w:tc>
        <w:tc>
          <w:tcPr>
            <w:tcW w:w="772" w:type="dxa"/>
            <w:vAlign w:val="center"/>
          </w:tcPr>
          <w:p w14:paraId="13328BBC">
            <w:pPr>
              <w:spacing w:line="360" w:lineRule="exact"/>
              <w:jc w:val="center"/>
              <w:rPr>
                <w:rFonts w:ascii="宋体" w:hAnsi="宋体" w:cs="宋体"/>
                <w:color w:val="auto"/>
                <w:kern w:val="0"/>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p>
        </w:tc>
      </w:tr>
      <w:tr w14:paraId="5190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112BFB07">
            <w:pPr>
              <w:adjustRightInd w:val="0"/>
              <w:spacing w:line="36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2.2</w:t>
            </w:r>
          </w:p>
        </w:tc>
        <w:tc>
          <w:tcPr>
            <w:tcW w:w="1086" w:type="dxa"/>
            <w:vAlign w:val="center"/>
          </w:tcPr>
          <w:p w14:paraId="5748136D">
            <w:pPr>
              <w:adjustRightInd w:val="0"/>
              <w:spacing w:line="320" w:lineRule="exact"/>
              <w:jc w:val="center"/>
              <w:textAlignment w:val="baseline"/>
              <w:rPr>
                <w:rFonts w:ascii="宋体" w:hAnsi="宋体" w:cs="宋体"/>
                <w:bCs/>
                <w:color w:val="auto"/>
                <w:kern w:val="0"/>
                <w:szCs w:val="21"/>
                <w:highlight w:val="none"/>
              </w:rPr>
            </w:pPr>
            <w:r>
              <w:rPr>
                <w:rFonts w:hint="eastAsia" w:ascii="宋体" w:hAnsi="宋体" w:cs="宋体"/>
                <w:b/>
                <w:bCs w:val="0"/>
                <w:color w:val="auto"/>
                <w:kern w:val="0"/>
                <w:szCs w:val="21"/>
                <w:highlight w:val="none"/>
              </w:rPr>
              <w:t>施工方案、方法与技术措施</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5434298F">
            <w:pPr>
              <w:spacing w:line="400" w:lineRule="exact"/>
              <w:ind w:firstLine="420"/>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一档（3分）：施工方案、方法与技术措施不完整，内容与本项目无关，不满足项目需求。</w:t>
            </w:r>
          </w:p>
          <w:p w14:paraId="656306DC">
            <w:pPr>
              <w:spacing w:line="400" w:lineRule="exact"/>
              <w:ind w:firstLine="420"/>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二档（6分）：施工方案、施工方法与技术措施不完整，勉强满足项目实施需求，基本能确保施工安全。</w:t>
            </w:r>
          </w:p>
          <w:p w14:paraId="00A8EC0F">
            <w:pPr>
              <w:spacing w:line="400" w:lineRule="exact"/>
              <w:ind w:firstLine="42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三</w:t>
            </w:r>
            <w:r>
              <w:rPr>
                <w:rFonts w:hint="eastAsia" w:ascii="宋体" w:hAnsi="宋体" w:cs="宋体"/>
                <w:bCs/>
                <w:color w:val="auto"/>
                <w:kern w:val="0"/>
                <w:szCs w:val="21"/>
                <w:highlight w:val="none"/>
              </w:rPr>
              <w:t>档（</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val="zh-CN"/>
              </w:rPr>
              <w:t>施工</w:t>
            </w:r>
            <w:r>
              <w:rPr>
                <w:rFonts w:hint="eastAsia" w:ascii="宋体" w:hAnsi="宋体" w:cs="宋体"/>
                <w:bCs/>
                <w:color w:val="auto"/>
                <w:kern w:val="0"/>
                <w:szCs w:val="21"/>
                <w:highlight w:val="none"/>
                <w:lang w:val="en-US" w:eastAsia="zh-CN"/>
              </w:rPr>
              <w:t>方案</w:t>
            </w:r>
            <w:r>
              <w:rPr>
                <w:rFonts w:hint="eastAsia" w:ascii="宋体" w:hAnsi="宋体" w:cs="宋体"/>
                <w:bCs/>
                <w:color w:val="auto"/>
                <w:kern w:val="0"/>
                <w:szCs w:val="21"/>
                <w:highlight w:val="none"/>
                <w:lang w:val="zh-CN"/>
              </w:rPr>
              <w:t>、施工</w:t>
            </w:r>
            <w:r>
              <w:rPr>
                <w:rFonts w:hint="eastAsia" w:ascii="宋体" w:hAnsi="宋体" w:cs="宋体"/>
                <w:bCs/>
                <w:color w:val="auto"/>
                <w:kern w:val="0"/>
                <w:szCs w:val="21"/>
                <w:highlight w:val="none"/>
                <w:lang w:val="en-US" w:eastAsia="zh-CN"/>
              </w:rPr>
              <w:t>方法与技术措施完整</w:t>
            </w:r>
            <w:r>
              <w:rPr>
                <w:rFonts w:hint="eastAsia" w:ascii="宋体" w:hAnsi="宋体" w:cs="宋体"/>
                <w:bCs/>
                <w:color w:val="auto"/>
                <w:kern w:val="0"/>
                <w:szCs w:val="21"/>
                <w:highlight w:val="none"/>
                <w:lang w:val="zh-CN"/>
              </w:rPr>
              <w:t>，</w:t>
            </w:r>
            <w:r>
              <w:rPr>
                <w:rFonts w:hint="eastAsia" w:ascii="宋体" w:hAnsi="宋体" w:cs="宋体"/>
                <w:bCs/>
                <w:color w:val="auto"/>
                <w:kern w:val="0"/>
                <w:szCs w:val="21"/>
                <w:highlight w:val="none"/>
                <w:lang w:val="en-US" w:eastAsia="zh-CN"/>
              </w:rPr>
              <w:t>基本满足项目实施需求，能确保施工安全</w:t>
            </w:r>
            <w:r>
              <w:rPr>
                <w:rFonts w:hint="eastAsia" w:ascii="宋体" w:hAnsi="宋体" w:cs="宋体"/>
                <w:bCs/>
                <w:color w:val="auto"/>
                <w:kern w:val="0"/>
                <w:szCs w:val="21"/>
                <w:highlight w:val="none"/>
              </w:rPr>
              <w:t xml:space="preserve">。 </w:t>
            </w:r>
          </w:p>
          <w:p w14:paraId="4D786C5D">
            <w:pPr>
              <w:spacing w:line="400" w:lineRule="exact"/>
              <w:ind w:firstLine="42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四</w:t>
            </w:r>
            <w:r>
              <w:rPr>
                <w:rFonts w:hint="eastAsia" w:ascii="宋体" w:hAnsi="宋体" w:cs="宋体"/>
                <w:bCs/>
                <w:color w:val="auto"/>
                <w:kern w:val="0"/>
                <w:szCs w:val="21"/>
                <w:highlight w:val="none"/>
              </w:rPr>
              <w:t>档（</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val="zh-CN"/>
              </w:rPr>
              <w:t>施工</w:t>
            </w:r>
            <w:r>
              <w:rPr>
                <w:rFonts w:hint="eastAsia" w:ascii="宋体" w:hAnsi="宋体" w:cs="宋体"/>
                <w:bCs/>
                <w:color w:val="auto"/>
                <w:kern w:val="0"/>
                <w:szCs w:val="21"/>
                <w:highlight w:val="none"/>
                <w:lang w:val="en-US" w:eastAsia="zh-CN"/>
              </w:rPr>
              <w:t>方案</w:t>
            </w:r>
            <w:r>
              <w:rPr>
                <w:rFonts w:hint="eastAsia" w:ascii="宋体" w:hAnsi="宋体" w:cs="宋体"/>
                <w:bCs/>
                <w:color w:val="auto"/>
                <w:kern w:val="0"/>
                <w:szCs w:val="21"/>
                <w:highlight w:val="none"/>
                <w:lang w:val="zh-CN"/>
              </w:rPr>
              <w:t>、施工</w:t>
            </w:r>
            <w:r>
              <w:rPr>
                <w:rFonts w:hint="eastAsia" w:ascii="宋体" w:hAnsi="宋体" w:cs="宋体"/>
                <w:bCs/>
                <w:color w:val="auto"/>
                <w:kern w:val="0"/>
                <w:szCs w:val="21"/>
                <w:highlight w:val="none"/>
                <w:lang w:val="en-US" w:eastAsia="zh-CN"/>
              </w:rPr>
              <w:t>方法与技术措施完整，</w:t>
            </w:r>
            <w:r>
              <w:rPr>
                <w:rFonts w:hint="eastAsia" w:ascii="宋体" w:hAnsi="宋体" w:cs="宋体"/>
                <w:bCs/>
                <w:color w:val="auto"/>
                <w:kern w:val="0"/>
                <w:szCs w:val="21"/>
                <w:highlight w:val="none"/>
              </w:rPr>
              <w:t xml:space="preserve">有详尽的施工技术方案，有主要分部工程施工步骤、施工要点，能指导具体施工并确保安全。 </w:t>
            </w:r>
          </w:p>
          <w:p w14:paraId="29C76F73">
            <w:pPr>
              <w:spacing w:line="400" w:lineRule="exact"/>
              <w:ind w:firstLine="420"/>
              <w:rPr>
                <w:rFonts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五</w:t>
            </w:r>
            <w:r>
              <w:rPr>
                <w:rFonts w:hint="eastAsia" w:ascii="宋体" w:hAnsi="宋体" w:cs="宋体"/>
                <w:bCs/>
                <w:color w:val="auto"/>
                <w:kern w:val="0"/>
                <w:szCs w:val="21"/>
                <w:highlight w:val="none"/>
              </w:rPr>
              <w:t>档（15分）：</w:t>
            </w:r>
            <w:r>
              <w:rPr>
                <w:rFonts w:hint="eastAsia" w:ascii="宋体" w:hAnsi="宋体" w:cs="宋体"/>
                <w:bCs/>
                <w:color w:val="auto"/>
                <w:kern w:val="0"/>
                <w:szCs w:val="21"/>
                <w:highlight w:val="none"/>
                <w:lang w:val="zh-CN"/>
              </w:rPr>
              <w:t>施工</w:t>
            </w:r>
            <w:r>
              <w:rPr>
                <w:rFonts w:hint="eastAsia" w:ascii="宋体" w:hAnsi="宋体" w:cs="宋体"/>
                <w:bCs/>
                <w:color w:val="auto"/>
                <w:kern w:val="0"/>
                <w:szCs w:val="21"/>
                <w:highlight w:val="none"/>
                <w:lang w:val="en-US" w:eastAsia="zh-CN"/>
              </w:rPr>
              <w:t>方案</w:t>
            </w:r>
            <w:r>
              <w:rPr>
                <w:rFonts w:hint="eastAsia" w:ascii="宋体" w:hAnsi="宋体" w:cs="宋体"/>
                <w:bCs/>
                <w:color w:val="auto"/>
                <w:kern w:val="0"/>
                <w:szCs w:val="21"/>
                <w:highlight w:val="none"/>
                <w:lang w:val="zh-CN"/>
              </w:rPr>
              <w:t>、施工</w:t>
            </w:r>
            <w:r>
              <w:rPr>
                <w:rFonts w:hint="eastAsia" w:ascii="宋体" w:hAnsi="宋体" w:cs="宋体"/>
                <w:bCs/>
                <w:color w:val="auto"/>
                <w:kern w:val="0"/>
                <w:szCs w:val="21"/>
                <w:highlight w:val="none"/>
                <w:lang w:val="en-US" w:eastAsia="zh-CN"/>
              </w:rPr>
              <w:t>方法与技术措施详尽完整，</w:t>
            </w:r>
            <w:r>
              <w:rPr>
                <w:rFonts w:hint="eastAsia" w:ascii="宋体" w:hAnsi="宋体" w:cs="宋体"/>
                <w:bCs/>
                <w:color w:val="auto"/>
                <w:kern w:val="0"/>
                <w:szCs w:val="21"/>
                <w:highlight w:val="none"/>
              </w:rPr>
              <w:t>各主要分部施工方法符合项目实际，有详尽的施工技术方案，主要分部工程施工工序、施工步骤、施工要点、施工工艺方案具有先进性，施工准备、技术准备或交底、各工种施工配合方案具有针对性，能高效指导具体施工并确保安全。</w:t>
            </w:r>
          </w:p>
        </w:tc>
        <w:tc>
          <w:tcPr>
            <w:tcW w:w="772" w:type="dxa"/>
            <w:vAlign w:val="center"/>
          </w:tcPr>
          <w:p w14:paraId="04CAFB12">
            <w:pPr>
              <w:spacing w:line="360" w:lineRule="exact"/>
              <w:jc w:val="center"/>
              <w:rPr>
                <w:rFonts w:ascii="宋体" w:hAnsi="宋体" w:cs="宋体"/>
                <w:color w:val="auto"/>
                <w:kern w:val="0"/>
                <w:szCs w:val="21"/>
                <w:highlight w:val="none"/>
              </w:rPr>
            </w:pPr>
            <w:r>
              <w:rPr>
                <w:rFonts w:ascii="宋体" w:hAnsi="宋体" w:cs="宋体"/>
                <w:bCs/>
                <w:color w:val="auto"/>
                <w:kern w:val="0"/>
                <w:szCs w:val="21"/>
                <w:highlight w:val="none"/>
              </w:rPr>
              <w:t>15</w:t>
            </w:r>
            <w:r>
              <w:rPr>
                <w:rFonts w:hint="eastAsia" w:ascii="宋体" w:hAnsi="宋体" w:cs="宋体"/>
                <w:bCs/>
                <w:color w:val="auto"/>
                <w:kern w:val="0"/>
                <w:szCs w:val="21"/>
                <w:highlight w:val="none"/>
              </w:rPr>
              <w:t>分</w:t>
            </w:r>
          </w:p>
        </w:tc>
      </w:tr>
      <w:tr w14:paraId="3EA8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49C7A906">
            <w:pPr>
              <w:adjustRightInd w:val="0"/>
              <w:spacing w:line="32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rPr>
              <w:t>2.3</w:t>
            </w:r>
          </w:p>
        </w:tc>
        <w:tc>
          <w:tcPr>
            <w:tcW w:w="1086" w:type="dxa"/>
            <w:vAlign w:val="center"/>
          </w:tcPr>
          <w:p w14:paraId="338029F9">
            <w:pPr>
              <w:adjustRightInd w:val="0"/>
              <w:spacing w:line="40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val="0"/>
                <w:color w:val="auto"/>
                <w:kern w:val="0"/>
                <w:szCs w:val="21"/>
                <w:highlight w:val="none"/>
              </w:rPr>
              <w:t>拟投入的主要物资计划、劳动力安排计划方案</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17B69B93">
            <w:pPr>
              <w:pStyle w:val="15"/>
              <w:spacing w:line="400" w:lineRule="exact"/>
              <w:ind w:firstLine="420" w:firstLineChars="20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一档（2分）：投入的主要物资计划、劳动力安排计划方案不合理，不满足施工需要。</w:t>
            </w:r>
          </w:p>
          <w:p w14:paraId="7A899191">
            <w:pPr>
              <w:pStyle w:val="15"/>
              <w:spacing w:line="400" w:lineRule="exact"/>
              <w:ind w:firstLine="420" w:firstLineChars="200"/>
              <w:rPr>
                <w:rFonts w:hint="default" w:hAnsi="宋体" w:cs="宋体"/>
                <w:bCs/>
                <w:color w:val="auto"/>
                <w:sz w:val="21"/>
                <w:highlight w:val="none"/>
                <w:lang w:val="en-US" w:eastAsia="zh-CN"/>
              </w:rPr>
            </w:pPr>
            <w:r>
              <w:rPr>
                <w:rFonts w:hint="eastAsia" w:hAnsi="宋体" w:cs="宋体"/>
                <w:bCs/>
                <w:color w:val="auto"/>
                <w:sz w:val="21"/>
                <w:highlight w:val="none"/>
                <w:lang w:val="en-US" w:eastAsia="zh-CN"/>
              </w:rPr>
              <w:t>二档（4分）：投入的主要物资计划、劳动力安排计划一般，物资数量、选型配置、进场时间安排基本合理，各主要施工工序的劳动力安排计划不合理，勉强满足施工需要。</w:t>
            </w:r>
          </w:p>
          <w:p w14:paraId="25290D39">
            <w:pPr>
              <w:pStyle w:val="15"/>
              <w:spacing w:line="400" w:lineRule="exact"/>
              <w:ind w:firstLine="420" w:firstLineChars="200"/>
              <w:rPr>
                <w:rFonts w:hint="eastAsia" w:hAnsi="宋体" w:cs="宋体"/>
                <w:bCs/>
                <w:color w:val="auto"/>
                <w:sz w:val="21"/>
                <w:highlight w:val="none"/>
              </w:rPr>
            </w:pPr>
            <w:r>
              <w:rPr>
                <w:rFonts w:hint="eastAsia" w:hAnsi="宋体" w:cs="宋体"/>
                <w:bCs/>
                <w:color w:val="auto"/>
                <w:sz w:val="21"/>
                <w:highlight w:val="none"/>
                <w:lang w:val="en-US" w:eastAsia="zh-CN"/>
              </w:rPr>
              <w:t>三</w:t>
            </w:r>
            <w:r>
              <w:rPr>
                <w:rFonts w:hint="eastAsia" w:hAnsi="宋体" w:cs="宋体"/>
                <w:bCs/>
                <w:color w:val="auto"/>
                <w:sz w:val="21"/>
                <w:highlight w:val="none"/>
              </w:rPr>
              <w:t>档（</w:t>
            </w:r>
            <w:r>
              <w:rPr>
                <w:rFonts w:hint="eastAsia" w:hAnsi="宋体" w:cs="宋体"/>
                <w:bCs/>
                <w:color w:val="auto"/>
                <w:sz w:val="21"/>
                <w:highlight w:val="none"/>
                <w:lang w:val="en-US" w:eastAsia="zh-CN"/>
              </w:rPr>
              <w:t>6</w:t>
            </w:r>
            <w:r>
              <w:rPr>
                <w:rFonts w:hint="eastAsia" w:hAnsi="宋体" w:cs="宋体"/>
                <w:bCs/>
                <w:color w:val="auto"/>
                <w:sz w:val="21"/>
                <w:highlight w:val="none"/>
              </w:rPr>
              <w:t>分）：投入的</w:t>
            </w:r>
            <w:r>
              <w:rPr>
                <w:rFonts w:hint="eastAsia" w:hAnsi="宋体" w:cs="宋体"/>
                <w:bCs/>
                <w:color w:val="auto"/>
                <w:sz w:val="21"/>
                <w:highlight w:val="none"/>
                <w:lang w:val="en-US" w:eastAsia="zh-CN"/>
              </w:rPr>
              <w:t>主要物资、劳动力</w:t>
            </w:r>
            <w:r>
              <w:rPr>
                <w:rFonts w:hint="eastAsia" w:hAnsi="宋体" w:cs="宋体"/>
                <w:bCs/>
                <w:color w:val="auto"/>
                <w:sz w:val="21"/>
                <w:highlight w:val="none"/>
              </w:rPr>
              <w:t>有组织计划，</w:t>
            </w:r>
            <w:r>
              <w:rPr>
                <w:rFonts w:hint="eastAsia" w:hAnsi="宋体" w:cs="宋体"/>
                <w:bCs/>
                <w:color w:val="auto"/>
                <w:sz w:val="21"/>
                <w:highlight w:val="none"/>
                <w:lang w:val="en-US" w:eastAsia="zh-CN"/>
              </w:rPr>
              <w:t>物资数量、选型配置、进场时间安排基本合理，</w:t>
            </w:r>
            <w:r>
              <w:rPr>
                <w:rFonts w:hint="eastAsia" w:hAnsi="宋体" w:cs="宋体"/>
                <w:bCs/>
                <w:color w:val="auto"/>
                <w:sz w:val="21"/>
                <w:highlight w:val="none"/>
              </w:rPr>
              <w:t>基本满足施工需要。各主要施工工序有劳动力安排计划，有各工种劳动力安排计划，基本能满足施工需要。</w:t>
            </w:r>
          </w:p>
          <w:p w14:paraId="0ADFD14E">
            <w:pPr>
              <w:pStyle w:val="15"/>
              <w:spacing w:line="400" w:lineRule="exact"/>
              <w:ind w:firstLine="420" w:firstLineChars="200"/>
              <w:rPr>
                <w:rFonts w:hint="eastAsia" w:hAnsi="宋体" w:cs="宋体"/>
                <w:bCs/>
                <w:color w:val="auto"/>
                <w:sz w:val="21"/>
                <w:highlight w:val="none"/>
              </w:rPr>
            </w:pPr>
            <w:r>
              <w:rPr>
                <w:rFonts w:hint="eastAsia" w:hAnsi="宋体" w:cs="宋体"/>
                <w:bCs/>
                <w:color w:val="auto"/>
                <w:sz w:val="21"/>
                <w:highlight w:val="none"/>
                <w:lang w:val="en-US" w:eastAsia="zh-CN"/>
              </w:rPr>
              <w:t>四</w:t>
            </w:r>
            <w:r>
              <w:rPr>
                <w:rFonts w:hint="eastAsia" w:hAnsi="宋体" w:cs="宋体"/>
                <w:bCs/>
                <w:color w:val="auto"/>
                <w:sz w:val="21"/>
                <w:highlight w:val="none"/>
              </w:rPr>
              <w:t>档（</w:t>
            </w:r>
            <w:r>
              <w:rPr>
                <w:rFonts w:hint="eastAsia" w:hAnsi="宋体" w:cs="宋体"/>
                <w:bCs/>
                <w:color w:val="auto"/>
                <w:sz w:val="21"/>
                <w:highlight w:val="none"/>
                <w:lang w:val="en-US" w:eastAsia="zh-CN"/>
              </w:rPr>
              <w:t>8</w:t>
            </w:r>
            <w:r>
              <w:rPr>
                <w:rFonts w:hint="eastAsia" w:hAnsi="宋体" w:cs="宋体"/>
                <w:bCs/>
                <w:color w:val="auto"/>
                <w:sz w:val="21"/>
                <w:highlight w:val="none"/>
              </w:rPr>
              <w:t>分）：投入的主要物资计划与进度计划呼应，</w:t>
            </w:r>
            <w:r>
              <w:rPr>
                <w:rFonts w:hint="eastAsia" w:hAnsi="宋体" w:cs="宋体"/>
                <w:bCs/>
                <w:color w:val="auto"/>
                <w:sz w:val="21"/>
                <w:highlight w:val="none"/>
                <w:lang w:val="en-US" w:eastAsia="zh-CN"/>
              </w:rPr>
              <w:t>物资数量、选型配置、进场时间安排合理，</w:t>
            </w:r>
            <w:r>
              <w:rPr>
                <w:rFonts w:hint="eastAsia" w:hAnsi="宋体" w:cs="宋体"/>
                <w:bCs/>
                <w:color w:val="auto"/>
                <w:sz w:val="21"/>
                <w:highlight w:val="none"/>
              </w:rPr>
              <w:t>满足施工需要，定量定点堆放物资。各主要施工工序有周密的劳动力安排计划，不窝工，有各工种劳动力安排计划，能满足施工需要。</w:t>
            </w:r>
          </w:p>
          <w:p w14:paraId="58050F66">
            <w:pPr>
              <w:pStyle w:val="15"/>
              <w:spacing w:line="400" w:lineRule="exact"/>
              <w:ind w:firstLine="420" w:firstLineChars="200"/>
              <w:rPr>
                <w:rFonts w:hint="eastAsia" w:ascii="宋体" w:hAnsi="宋体" w:eastAsia="宋体" w:cs="宋体"/>
                <w:bCs/>
                <w:color w:val="auto"/>
                <w:kern w:val="0"/>
                <w:sz w:val="21"/>
                <w:szCs w:val="21"/>
                <w:highlight w:val="none"/>
                <w:lang w:val="en-US" w:eastAsia="zh-CN" w:bidi="ar-SA"/>
              </w:rPr>
            </w:pPr>
            <w:r>
              <w:rPr>
                <w:rFonts w:hint="eastAsia" w:hAnsi="宋体" w:cs="宋体"/>
                <w:bCs/>
                <w:color w:val="auto"/>
                <w:sz w:val="21"/>
                <w:highlight w:val="none"/>
                <w:lang w:val="en-US" w:eastAsia="zh-CN"/>
              </w:rPr>
              <w:t>五</w:t>
            </w:r>
            <w:r>
              <w:rPr>
                <w:rFonts w:hint="eastAsia" w:hAnsi="宋体" w:cs="宋体"/>
                <w:bCs/>
                <w:color w:val="auto"/>
                <w:sz w:val="21"/>
                <w:highlight w:val="none"/>
              </w:rPr>
              <w:t>档（1</w:t>
            </w:r>
            <w:r>
              <w:rPr>
                <w:rFonts w:hint="eastAsia" w:hAnsi="宋体" w:cs="宋体"/>
                <w:bCs/>
                <w:color w:val="auto"/>
                <w:sz w:val="21"/>
                <w:highlight w:val="none"/>
                <w:lang w:val="en-US" w:eastAsia="zh-CN"/>
              </w:rPr>
              <w:t>0</w:t>
            </w:r>
            <w:r>
              <w:rPr>
                <w:rFonts w:hint="eastAsia" w:hAnsi="宋体" w:cs="宋体"/>
                <w:bCs/>
                <w:color w:val="auto"/>
                <w:sz w:val="21"/>
                <w:highlight w:val="none"/>
              </w:rPr>
              <w:t>分）：投入的主要物资计划与进度计划呼应，</w:t>
            </w:r>
            <w:r>
              <w:rPr>
                <w:rFonts w:hint="eastAsia" w:hAnsi="宋体" w:cs="宋体"/>
                <w:bCs/>
                <w:color w:val="auto"/>
                <w:sz w:val="21"/>
                <w:highlight w:val="none"/>
                <w:lang w:val="en-US" w:eastAsia="zh-CN"/>
              </w:rPr>
              <w:t>物资数量、选型配置、进场时间安排合理可行，</w:t>
            </w:r>
            <w:r>
              <w:rPr>
                <w:rFonts w:hint="eastAsia" w:hAnsi="宋体" w:cs="宋体"/>
                <w:bCs/>
                <w:color w:val="auto"/>
                <w:sz w:val="21"/>
                <w:highlight w:val="none"/>
              </w:rPr>
              <w:t>满足施工需要，材料物资采购及供应保证措施，定量定点堆放物资。各主要施工工序有周密的劳动力安排计划，不窝工，各工种劳动力安排计划切实高效，有切实有效的劳动力保障措施，能满足施工需要且衔接得当。</w:t>
            </w:r>
          </w:p>
        </w:tc>
        <w:tc>
          <w:tcPr>
            <w:tcW w:w="772" w:type="dxa"/>
            <w:vAlign w:val="center"/>
          </w:tcPr>
          <w:p w14:paraId="0A43CAE9">
            <w:pPr>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r>
      <w:tr w14:paraId="63A6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56DE93BF">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2.4</w:t>
            </w:r>
          </w:p>
        </w:tc>
        <w:tc>
          <w:tcPr>
            <w:tcW w:w="1086" w:type="dxa"/>
            <w:vAlign w:val="center"/>
          </w:tcPr>
          <w:p w14:paraId="31B1950D">
            <w:pPr>
              <w:adjustRightInd w:val="0"/>
              <w:spacing w:line="40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工程质量管理体系及保证措施（主观分）</w:t>
            </w:r>
          </w:p>
        </w:tc>
        <w:tc>
          <w:tcPr>
            <w:tcW w:w="7110" w:type="dxa"/>
            <w:vAlign w:val="center"/>
          </w:tcPr>
          <w:p w14:paraId="144CD6D2">
            <w:pPr>
              <w:pStyle w:val="15"/>
              <w:spacing w:line="400" w:lineRule="exac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一档（1分）：工程质量管理体系及保证措施不合理，或内容与本项目无关。</w:t>
            </w:r>
          </w:p>
          <w:p w14:paraId="2258340F">
            <w:pPr>
              <w:pStyle w:val="15"/>
              <w:spacing w:line="400" w:lineRule="exact"/>
              <w:ind w:firstLine="420" w:firstLineChars="200"/>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二档（2分）：主要工序无质量技术保证措施和手段，自控体系不完整，或不能有效保证技术质量，达不到承诺的质量标准。</w:t>
            </w:r>
          </w:p>
          <w:p w14:paraId="2C7A3F51">
            <w:pPr>
              <w:pStyle w:val="15"/>
              <w:spacing w:line="400" w:lineRule="exac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三档（3分）：主要工序有质量技术保证措施和手段，自控体系不</w:t>
            </w:r>
            <w:r>
              <w:rPr>
                <w:rFonts w:hint="eastAsia" w:hAnsi="宋体" w:cs="宋体"/>
                <w:bCs/>
                <w:color w:val="auto"/>
                <w:kern w:val="0"/>
                <w:sz w:val="21"/>
                <w:szCs w:val="21"/>
                <w:highlight w:val="none"/>
                <w:lang w:val="en-US" w:eastAsia="zh-CN" w:bidi="ar-SA"/>
              </w:rPr>
              <w:t>够</w:t>
            </w:r>
            <w:r>
              <w:rPr>
                <w:rFonts w:hint="eastAsia" w:ascii="宋体" w:hAnsi="宋体" w:eastAsia="宋体" w:cs="宋体"/>
                <w:bCs/>
                <w:color w:val="auto"/>
                <w:kern w:val="0"/>
                <w:sz w:val="21"/>
                <w:szCs w:val="21"/>
                <w:highlight w:val="none"/>
                <w:lang w:val="en-US" w:eastAsia="zh-CN" w:bidi="ar-SA"/>
              </w:rPr>
              <w:t>完整，</w:t>
            </w:r>
            <w:r>
              <w:rPr>
                <w:rFonts w:hint="eastAsia" w:hAnsi="宋体" w:cs="宋体"/>
                <w:bCs/>
                <w:color w:val="auto"/>
                <w:kern w:val="0"/>
                <w:sz w:val="21"/>
                <w:szCs w:val="21"/>
                <w:highlight w:val="none"/>
                <w:lang w:val="en-US" w:eastAsia="zh-CN" w:bidi="ar-SA"/>
              </w:rPr>
              <w:t>勉强能</w:t>
            </w:r>
            <w:r>
              <w:rPr>
                <w:rFonts w:hint="eastAsia" w:ascii="宋体" w:hAnsi="宋体" w:eastAsia="宋体" w:cs="宋体"/>
                <w:bCs/>
                <w:color w:val="auto"/>
                <w:kern w:val="0"/>
                <w:sz w:val="21"/>
                <w:szCs w:val="21"/>
                <w:highlight w:val="none"/>
                <w:lang w:val="en-US" w:eastAsia="zh-CN" w:bidi="ar-SA"/>
              </w:rPr>
              <w:t>保证技术质量，达到承诺的质量标准。</w:t>
            </w:r>
          </w:p>
          <w:p w14:paraId="2AB5CCB0">
            <w:pPr>
              <w:pStyle w:val="15"/>
              <w:spacing w:line="400" w:lineRule="exac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四档（4分）：主要工序有质量技术保证措施和手段，自控体系基本完整，能有效保证技术质量，达到承诺的质量标准。</w:t>
            </w:r>
          </w:p>
          <w:p w14:paraId="7315B3BA">
            <w:pPr>
              <w:pStyle w:val="15"/>
              <w:spacing w:line="400" w:lineRule="exact"/>
              <w:ind w:firstLine="420" w:firstLineChars="200"/>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五档（5分）：主要工序有详细的质量技术保证措施和手段，自控体系完整，能有效保证技术质量，达到承诺的质量标准。</w:t>
            </w:r>
          </w:p>
        </w:tc>
        <w:tc>
          <w:tcPr>
            <w:tcW w:w="772" w:type="dxa"/>
            <w:vAlign w:val="center"/>
          </w:tcPr>
          <w:p w14:paraId="3578E4A8">
            <w:pPr>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r>
      <w:tr w14:paraId="3E10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36569F84">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2.5</w:t>
            </w:r>
          </w:p>
        </w:tc>
        <w:tc>
          <w:tcPr>
            <w:tcW w:w="1086" w:type="dxa"/>
            <w:vAlign w:val="center"/>
          </w:tcPr>
          <w:p w14:paraId="1F2A3BAF">
            <w:pPr>
              <w:adjustRightInd w:val="0"/>
              <w:spacing w:line="400" w:lineRule="exact"/>
              <w:jc w:val="center"/>
              <w:textAlignment w:val="baseline"/>
              <w:rPr>
                <w:rFonts w:hint="eastAsia" w:ascii="宋体" w:hAnsi="宋体" w:cs="宋体"/>
                <w:bCs/>
                <w:color w:val="auto"/>
                <w:kern w:val="0"/>
                <w:szCs w:val="21"/>
                <w:highlight w:val="none"/>
              </w:rPr>
            </w:pPr>
            <w:r>
              <w:rPr>
                <w:rFonts w:hint="eastAsia" w:ascii="宋体" w:hAnsi="宋体" w:cs="宋体"/>
                <w:b/>
                <w:bCs w:val="0"/>
                <w:color w:val="auto"/>
                <w:kern w:val="0"/>
                <w:szCs w:val="21"/>
                <w:highlight w:val="none"/>
              </w:rPr>
              <w:t>安全生产管理体系及保证措施</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620F91BB">
            <w:pPr>
              <w:pStyle w:val="15"/>
              <w:spacing w:line="400" w:lineRule="exact"/>
              <w:ind w:firstLine="420" w:firstLineChars="200"/>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一档（</w:t>
            </w:r>
            <w:r>
              <w:rPr>
                <w:rFonts w:hint="eastAsia" w:hAnsi="宋体" w:cs="宋体"/>
                <w:bCs/>
                <w:color w:val="auto"/>
                <w:sz w:val="21"/>
                <w:highlight w:val="none"/>
                <w:lang w:val="en-US" w:eastAsia="zh-CN"/>
              </w:rPr>
              <w:t>1</w:t>
            </w:r>
            <w:r>
              <w:rPr>
                <w:rFonts w:hint="eastAsia" w:ascii="宋体" w:hAnsi="宋体" w:eastAsia="宋体" w:cs="宋体"/>
                <w:bCs/>
                <w:color w:val="auto"/>
                <w:sz w:val="21"/>
                <w:highlight w:val="none"/>
                <w:lang w:val="en-US" w:eastAsia="zh-CN"/>
              </w:rPr>
              <w:t>分）：无专门的安全管理人员和制度，且人员配备不合理，制度不健全，各道工序安全技术措施针对性差，不符合实际且不满足有关安全技术标准要求。现场防火、应急救援、社会治安安全措施不得力。</w:t>
            </w:r>
          </w:p>
          <w:p w14:paraId="7077DCED">
            <w:pPr>
              <w:pStyle w:val="15"/>
              <w:spacing w:line="400" w:lineRule="exact"/>
              <w:ind w:firstLine="420" w:firstLineChars="200"/>
              <w:rPr>
                <w:rFonts w:hint="default"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二档（2分）：有安全管理人员和制度，且人员配备基本合理，制度一般，各道工序安全技术措施针对性一般，基本符合实际且满足有关安全技术标准要求。现场防火、应急救援、社会治安安全措施一般。</w:t>
            </w:r>
          </w:p>
          <w:p w14:paraId="3123E724">
            <w:pPr>
              <w:pStyle w:val="15"/>
              <w:spacing w:line="400" w:lineRule="exact"/>
              <w:ind w:firstLine="420" w:firstLineChars="200"/>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三档（</w:t>
            </w:r>
            <w:r>
              <w:rPr>
                <w:rFonts w:hint="eastAsia" w:hAnsi="宋体" w:cs="宋体"/>
                <w:bCs/>
                <w:color w:val="auto"/>
                <w:sz w:val="21"/>
                <w:highlight w:val="none"/>
                <w:lang w:val="en-US" w:eastAsia="zh-CN"/>
              </w:rPr>
              <w:t>3</w:t>
            </w:r>
            <w:r>
              <w:rPr>
                <w:rFonts w:hint="eastAsia" w:ascii="宋体" w:hAnsi="宋体" w:eastAsia="宋体" w:cs="宋体"/>
                <w:bCs/>
                <w:color w:val="auto"/>
                <w:sz w:val="21"/>
                <w:highlight w:val="none"/>
                <w:lang w:val="en-US" w:eastAsia="zh-CN"/>
              </w:rPr>
              <w:t>分）：有专门的安全管理人员和制度，且人员配备</w:t>
            </w:r>
            <w:r>
              <w:rPr>
                <w:rFonts w:hint="eastAsia" w:hAnsi="宋体" w:cs="宋体"/>
                <w:bCs/>
                <w:color w:val="auto"/>
                <w:sz w:val="21"/>
                <w:highlight w:val="none"/>
                <w:lang w:val="en-US" w:eastAsia="zh-CN"/>
              </w:rPr>
              <w:t>基本</w:t>
            </w:r>
            <w:r>
              <w:rPr>
                <w:rFonts w:hint="eastAsia" w:ascii="宋体" w:hAnsi="宋体" w:eastAsia="宋体" w:cs="宋体"/>
                <w:bCs/>
                <w:color w:val="auto"/>
                <w:sz w:val="21"/>
                <w:highlight w:val="none"/>
                <w:lang w:val="en-US" w:eastAsia="zh-CN"/>
              </w:rPr>
              <w:t>合理，制度较健全，各道工序安全技术措施较有针对性，符合实际且满足有关安全技术标准要求。现场防火、应急救援、社会治安安全措施较好。</w:t>
            </w:r>
          </w:p>
          <w:p w14:paraId="1219E35C">
            <w:pPr>
              <w:pStyle w:val="15"/>
              <w:spacing w:line="400" w:lineRule="exact"/>
              <w:ind w:firstLine="420" w:firstLineChars="200"/>
              <w:rPr>
                <w:rFonts w:hint="eastAsia" w:ascii="宋体" w:hAnsi="宋体" w:eastAsia="宋体" w:cs="宋体"/>
                <w:bCs/>
                <w:color w:val="auto"/>
                <w:sz w:val="21"/>
                <w:highlight w:val="none"/>
                <w:lang w:val="en-US" w:eastAsia="zh-CN"/>
              </w:rPr>
            </w:pPr>
            <w:r>
              <w:rPr>
                <w:rFonts w:hint="eastAsia" w:hAnsi="宋体" w:cs="宋体"/>
                <w:bCs/>
                <w:color w:val="auto"/>
                <w:sz w:val="21"/>
                <w:highlight w:val="none"/>
                <w:lang w:val="en-US" w:eastAsia="zh-CN"/>
              </w:rPr>
              <w:t>四</w:t>
            </w:r>
            <w:r>
              <w:rPr>
                <w:rFonts w:hint="eastAsia" w:ascii="宋体" w:hAnsi="宋体" w:eastAsia="宋体" w:cs="宋体"/>
                <w:bCs/>
                <w:color w:val="auto"/>
                <w:sz w:val="21"/>
                <w:highlight w:val="none"/>
                <w:lang w:val="en-US" w:eastAsia="zh-CN"/>
              </w:rPr>
              <w:t>档（</w:t>
            </w:r>
            <w:r>
              <w:rPr>
                <w:rFonts w:hint="eastAsia" w:hAnsi="宋体" w:cs="宋体"/>
                <w:bCs/>
                <w:color w:val="auto"/>
                <w:sz w:val="21"/>
                <w:highlight w:val="none"/>
                <w:lang w:val="en-US" w:eastAsia="zh-CN"/>
              </w:rPr>
              <w:t>4</w:t>
            </w:r>
            <w:r>
              <w:rPr>
                <w:rFonts w:hint="eastAsia" w:ascii="宋体" w:hAnsi="宋体" w:eastAsia="宋体" w:cs="宋体"/>
                <w:bCs/>
                <w:color w:val="auto"/>
                <w:sz w:val="21"/>
                <w:highlight w:val="none"/>
                <w:lang w:val="en-US" w:eastAsia="zh-CN"/>
              </w:rPr>
              <w:t>分）：有专门的安全管理人员和制度，且人员配备合理，制度较健全，各道工序安全技术措施有针对性，符合实际且满足有关安全技术标准要求。现场防火、应急救援、社会治安安全措施得力。</w:t>
            </w:r>
          </w:p>
          <w:p w14:paraId="179DB0BF">
            <w:pPr>
              <w:pStyle w:val="15"/>
              <w:spacing w:line="400" w:lineRule="exact"/>
              <w:ind w:firstLine="420" w:firstLineChars="200"/>
              <w:rPr>
                <w:rFonts w:hint="eastAsia" w:hAnsi="宋体" w:cs="宋体"/>
                <w:bCs/>
                <w:color w:val="auto"/>
                <w:sz w:val="21"/>
                <w:highlight w:val="none"/>
              </w:rPr>
            </w:pPr>
            <w:r>
              <w:rPr>
                <w:rFonts w:hint="eastAsia" w:hAnsi="宋体" w:cs="宋体"/>
                <w:bCs/>
                <w:color w:val="auto"/>
                <w:sz w:val="21"/>
                <w:highlight w:val="none"/>
                <w:lang w:val="en-US" w:eastAsia="zh-CN"/>
              </w:rPr>
              <w:t>五</w:t>
            </w:r>
            <w:r>
              <w:rPr>
                <w:rFonts w:hint="eastAsia" w:ascii="宋体" w:hAnsi="宋体" w:eastAsia="宋体" w:cs="宋体"/>
                <w:bCs/>
                <w:color w:val="auto"/>
                <w:sz w:val="21"/>
                <w:highlight w:val="none"/>
                <w:lang w:val="en-US" w:eastAsia="zh-CN"/>
              </w:rPr>
              <w:t>档（5分）：有专门的安全管理人员和制度，且人员配备科学合理，制度详细健全，各道工序安全技术措施针对性强，完全符合实际且满足有关安全技术标准要求。现场防火、应急救援、社会治安安全措施得力。</w:t>
            </w:r>
          </w:p>
        </w:tc>
        <w:tc>
          <w:tcPr>
            <w:tcW w:w="772" w:type="dxa"/>
            <w:vAlign w:val="center"/>
          </w:tcPr>
          <w:p w14:paraId="5BE809EA">
            <w:pPr>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5分</w:t>
            </w:r>
          </w:p>
        </w:tc>
      </w:tr>
      <w:tr w14:paraId="1B83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136A6F5B">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2.6</w:t>
            </w:r>
          </w:p>
        </w:tc>
        <w:tc>
          <w:tcPr>
            <w:tcW w:w="1086" w:type="dxa"/>
            <w:vAlign w:val="center"/>
          </w:tcPr>
          <w:p w14:paraId="7B24EA84">
            <w:pPr>
              <w:adjustRightInd w:val="0"/>
              <w:spacing w:line="400" w:lineRule="exact"/>
              <w:jc w:val="center"/>
              <w:textAlignment w:val="baseline"/>
              <w:rPr>
                <w:rFonts w:ascii="宋体" w:hAnsi="宋体" w:cs="宋体"/>
                <w:bCs/>
                <w:color w:val="auto"/>
                <w:kern w:val="0"/>
                <w:szCs w:val="21"/>
                <w:highlight w:val="none"/>
              </w:rPr>
            </w:pPr>
            <w:r>
              <w:rPr>
                <w:rFonts w:ascii="宋体" w:hAnsi="宋体" w:cs="宋体"/>
                <w:b/>
                <w:bCs w:val="0"/>
                <w:color w:val="auto"/>
                <w:kern w:val="0"/>
                <w:szCs w:val="21"/>
                <w:highlight w:val="none"/>
              </w:rPr>
              <w:t>工期保证体系及保证措施</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26CAE670">
            <w:pPr>
              <w:pStyle w:val="15"/>
              <w:spacing w:line="400" w:lineRule="exact"/>
              <w:ind w:firstLine="420" w:firstLineChars="200"/>
              <w:rPr>
                <w:rFonts w:hint="eastAsia" w:ascii="宋体" w:hAnsi="宋体" w:eastAsia="宋体" w:cs="宋体"/>
                <w:bCs/>
                <w:color w:val="auto"/>
                <w:sz w:val="21"/>
                <w:highlight w:val="none"/>
                <w:lang w:val="zh-CN"/>
              </w:rPr>
            </w:pPr>
            <w:r>
              <w:rPr>
                <w:rFonts w:hint="eastAsia" w:ascii="宋体" w:hAnsi="宋体" w:eastAsia="宋体" w:cs="宋体"/>
                <w:bCs/>
                <w:color w:val="auto"/>
                <w:sz w:val="21"/>
                <w:highlight w:val="none"/>
                <w:lang w:val="zh-CN"/>
              </w:rPr>
              <w:t>一档（</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lang w:val="zh-CN"/>
              </w:rPr>
              <w:t>分）：在施工工艺、施工方法、材料选用、劳动力安排、技术等方面工期的具体措施差。无控制工期的施工进度计划。有施工总进度表或施工网络图，各项计划图表编制不完善，安排不合理，不符合本项目施工实际要求。</w:t>
            </w:r>
          </w:p>
          <w:p w14:paraId="20319BFE">
            <w:pPr>
              <w:pStyle w:val="15"/>
              <w:spacing w:line="400" w:lineRule="exact"/>
              <w:ind w:firstLine="420" w:firstLineChars="200"/>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二档（2分）：在施工工艺、施工方法、材料选用、劳动力安排、技术等方面有保证工期的措施但措施一般。有控制工期的施工进度计划。有施工总进度表或施工网络图，各项计划图表编制较差，安排勉强合理，基本符合本项目施工实际要求。</w:t>
            </w:r>
          </w:p>
          <w:p w14:paraId="5D9BFA77">
            <w:pPr>
              <w:pStyle w:val="15"/>
              <w:spacing w:line="400" w:lineRule="exact"/>
              <w:ind w:firstLine="420" w:firstLineChars="200"/>
              <w:rPr>
                <w:rFonts w:hint="eastAsia" w:ascii="宋体" w:hAnsi="宋体" w:eastAsia="宋体" w:cs="宋体"/>
                <w:bCs/>
                <w:color w:val="auto"/>
                <w:sz w:val="21"/>
                <w:highlight w:val="none"/>
                <w:lang w:val="zh-CN"/>
              </w:rPr>
            </w:pPr>
            <w:r>
              <w:rPr>
                <w:rFonts w:hint="eastAsia" w:ascii="宋体" w:hAnsi="宋体" w:eastAsia="宋体" w:cs="宋体"/>
                <w:bCs/>
                <w:color w:val="auto"/>
                <w:sz w:val="21"/>
                <w:highlight w:val="none"/>
                <w:lang w:val="en-US" w:eastAsia="zh-CN"/>
              </w:rPr>
              <w:t>三</w:t>
            </w:r>
            <w:r>
              <w:rPr>
                <w:rFonts w:hint="eastAsia" w:ascii="宋体" w:hAnsi="宋体" w:eastAsia="宋体" w:cs="宋体"/>
                <w:bCs/>
                <w:color w:val="auto"/>
                <w:sz w:val="21"/>
                <w:highlight w:val="none"/>
                <w:lang w:val="zh-CN"/>
              </w:rPr>
              <w:t>档（</w:t>
            </w:r>
            <w:r>
              <w:rPr>
                <w:rFonts w:hint="eastAsia" w:ascii="宋体" w:hAnsi="宋体" w:eastAsia="宋体" w:cs="宋体"/>
                <w:bCs/>
                <w:color w:val="auto"/>
                <w:sz w:val="21"/>
                <w:highlight w:val="none"/>
                <w:lang w:val="en-US" w:eastAsia="zh-CN"/>
              </w:rPr>
              <w:t>3</w:t>
            </w:r>
            <w:r>
              <w:rPr>
                <w:rFonts w:hint="eastAsia" w:ascii="宋体" w:hAnsi="宋体" w:eastAsia="宋体" w:cs="宋体"/>
                <w:bCs/>
                <w:color w:val="auto"/>
                <w:sz w:val="21"/>
                <w:highlight w:val="none"/>
                <w:lang w:val="zh-CN"/>
              </w:rPr>
              <w:t>分）：在施工工艺、施工方法、材料选用、劳动力安排、技术等方面有保证工期的措施且措施较得当。有控制工期的施工进度计划。有施工总进度表和施工网络图，各项计划图表编制一般，安排较合理，符合本项目施工实际要求。</w:t>
            </w:r>
          </w:p>
          <w:p w14:paraId="676F7CC5">
            <w:pPr>
              <w:pStyle w:val="15"/>
              <w:spacing w:line="400" w:lineRule="exact"/>
              <w:ind w:firstLine="420" w:firstLineChars="200"/>
              <w:rPr>
                <w:rFonts w:hint="eastAsia" w:ascii="宋体" w:hAnsi="宋体" w:eastAsia="宋体" w:cs="宋体"/>
                <w:bCs/>
                <w:color w:val="auto"/>
                <w:sz w:val="21"/>
                <w:highlight w:val="none"/>
                <w:lang w:val="zh-CN"/>
              </w:rPr>
            </w:pPr>
            <w:r>
              <w:rPr>
                <w:rFonts w:hint="eastAsia" w:ascii="宋体" w:hAnsi="宋体" w:eastAsia="宋体" w:cs="宋体"/>
                <w:bCs/>
                <w:color w:val="auto"/>
                <w:sz w:val="21"/>
                <w:highlight w:val="none"/>
                <w:lang w:val="en-US" w:eastAsia="zh-CN"/>
              </w:rPr>
              <w:t>四</w:t>
            </w:r>
            <w:r>
              <w:rPr>
                <w:rFonts w:hint="eastAsia" w:ascii="宋体" w:hAnsi="宋体" w:eastAsia="宋体" w:cs="宋体"/>
                <w:bCs/>
                <w:color w:val="auto"/>
                <w:sz w:val="21"/>
                <w:highlight w:val="none"/>
                <w:lang w:val="zh-CN"/>
              </w:rPr>
              <w:t>档（</w:t>
            </w:r>
            <w:r>
              <w:rPr>
                <w:rFonts w:hint="eastAsia" w:ascii="宋体" w:hAnsi="宋体" w:eastAsia="宋体" w:cs="宋体"/>
                <w:bCs/>
                <w:color w:val="auto"/>
                <w:sz w:val="21"/>
                <w:highlight w:val="none"/>
                <w:lang w:val="en-US" w:eastAsia="zh-CN"/>
              </w:rPr>
              <w:t>4</w:t>
            </w:r>
            <w:r>
              <w:rPr>
                <w:rFonts w:hint="eastAsia" w:ascii="宋体" w:hAnsi="宋体" w:eastAsia="宋体" w:cs="宋体"/>
                <w:bCs/>
                <w:color w:val="auto"/>
                <w:sz w:val="21"/>
                <w:highlight w:val="none"/>
                <w:lang w:val="zh-CN"/>
              </w:rPr>
              <w:t>分）：在施工工艺、施工方法、材料选用、劳动力安排、技术等方面有保证工期的措施且措施得当。有控制工期的施工进度计划。有施工总进度表和施工网络图，各项计划图表编制较完善，安排合理，符合本项目施工实际要求。</w:t>
            </w:r>
          </w:p>
          <w:p w14:paraId="4B6C96AC">
            <w:pPr>
              <w:pStyle w:val="15"/>
              <w:spacing w:line="400" w:lineRule="exact"/>
              <w:ind w:firstLine="420" w:firstLineChars="200"/>
              <w:rPr>
                <w:rFonts w:hAnsi="宋体" w:cs="宋体"/>
                <w:bCs/>
                <w:color w:val="auto"/>
                <w:sz w:val="21"/>
                <w:highlight w:val="none"/>
              </w:rPr>
            </w:pPr>
            <w:r>
              <w:rPr>
                <w:rFonts w:hint="eastAsia" w:ascii="宋体" w:hAnsi="宋体" w:eastAsia="宋体" w:cs="宋体"/>
                <w:bCs/>
                <w:color w:val="auto"/>
                <w:sz w:val="21"/>
                <w:highlight w:val="none"/>
                <w:lang w:val="en-US" w:eastAsia="zh-CN"/>
              </w:rPr>
              <w:t>五</w:t>
            </w:r>
            <w:r>
              <w:rPr>
                <w:rFonts w:hint="eastAsia" w:ascii="宋体" w:hAnsi="宋体" w:eastAsia="宋体" w:cs="宋体"/>
                <w:bCs/>
                <w:color w:val="auto"/>
                <w:sz w:val="21"/>
                <w:highlight w:val="none"/>
                <w:lang w:val="zh-CN"/>
              </w:rPr>
              <w:t>档（5分）：在施工工艺、施工方法、材料选用、劳动力安排、技术等方面有保证工期的具体措施且措施得当完整。有控制工期的详细施工进度计划。有施工总进度表和施工网络图，各项计划图表编制完善，安排科学切实合理，符合本项目施工实际要求。</w:t>
            </w:r>
          </w:p>
        </w:tc>
        <w:tc>
          <w:tcPr>
            <w:tcW w:w="772" w:type="dxa"/>
            <w:vAlign w:val="center"/>
          </w:tcPr>
          <w:p w14:paraId="51783974">
            <w:pPr>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r>
      <w:tr w14:paraId="3BF6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5B123728">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2.7</w:t>
            </w:r>
          </w:p>
        </w:tc>
        <w:tc>
          <w:tcPr>
            <w:tcW w:w="1086" w:type="dxa"/>
            <w:vAlign w:val="center"/>
          </w:tcPr>
          <w:p w14:paraId="265D00B0">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
                <w:bCs w:val="0"/>
                <w:color w:val="auto"/>
                <w:kern w:val="0"/>
                <w:szCs w:val="21"/>
                <w:highlight w:val="none"/>
              </w:rPr>
              <w:t>文明施工、文物保护保证体系及保证措施</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7556D67C">
            <w:pPr>
              <w:pStyle w:val="15"/>
              <w:spacing w:line="400" w:lineRule="exact"/>
              <w:ind w:firstLine="420" w:firstLineChars="200"/>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zh-CN"/>
              </w:rPr>
              <w:t>一档（</w:t>
            </w:r>
            <w:r>
              <w:rPr>
                <w:rFonts w:hint="eastAsia" w:ascii="宋体" w:hAnsi="宋体" w:eastAsia="宋体" w:cs="宋体"/>
                <w:bCs/>
                <w:color w:val="auto"/>
                <w:sz w:val="21"/>
                <w:highlight w:val="none"/>
                <w:lang w:val="en-US" w:eastAsia="zh-CN"/>
              </w:rPr>
              <w:t>1</w:t>
            </w:r>
            <w:r>
              <w:rPr>
                <w:rFonts w:hint="eastAsia" w:ascii="宋体" w:hAnsi="宋体" w:eastAsia="宋体" w:cs="宋体"/>
                <w:bCs/>
                <w:color w:val="auto"/>
                <w:sz w:val="21"/>
                <w:highlight w:val="none"/>
                <w:lang w:val="zh-CN"/>
              </w:rPr>
              <w:t>分）：</w:t>
            </w:r>
            <w:r>
              <w:rPr>
                <w:rFonts w:hint="eastAsia" w:ascii="宋体" w:hAnsi="宋体" w:eastAsia="宋体" w:cs="宋体"/>
                <w:bCs/>
                <w:color w:val="auto"/>
                <w:sz w:val="21"/>
                <w:highlight w:val="none"/>
                <w:lang w:val="en-US" w:eastAsia="zh-CN"/>
              </w:rPr>
              <w:t>无现场</w:t>
            </w:r>
            <w:r>
              <w:rPr>
                <w:rFonts w:hint="eastAsia" w:ascii="宋体" w:hAnsi="宋体" w:eastAsia="宋体" w:cs="宋体"/>
                <w:bCs/>
                <w:color w:val="auto"/>
                <w:sz w:val="21"/>
                <w:highlight w:val="none"/>
                <w:lang w:val="zh-CN"/>
              </w:rPr>
              <w:t>文明施工、文物保护保证体系及保证措施，</w:t>
            </w:r>
            <w:r>
              <w:rPr>
                <w:rFonts w:hint="eastAsia" w:ascii="宋体" w:hAnsi="宋体" w:eastAsia="宋体" w:cs="宋体"/>
                <w:bCs/>
                <w:color w:val="auto"/>
                <w:sz w:val="21"/>
                <w:highlight w:val="none"/>
                <w:lang w:val="en-US" w:eastAsia="zh-CN"/>
              </w:rPr>
              <w:t>或内容与本项目无关。</w:t>
            </w:r>
          </w:p>
          <w:p w14:paraId="6308D8DA">
            <w:pPr>
              <w:pStyle w:val="15"/>
              <w:spacing w:line="400" w:lineRule="exact"/>
              <w:ind w:firstLine="420" w:firstLineChars="200"/>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二档（2分）</w:t>
            </w:r>
            <w:r>
              <w:rPr>
                <w:rFonts w:hint="eastAsia" w:hAnsi="宋体" w:cs="宋体"/>
                <w:bCs/>
                <w:color w:val="auto"/>
                <w:sz w:val="21"/>
                <w:highlight w:val="none"/>
                <w:lang w:val="en-US" w:eastAsia="zh-CN"/>
              </w:rPr>
              <w:t>：</w:t>
            </w:r>
            <w:r>
              <w:rPr>
                <w:rFonts w:hint="eastAsia" w:ascii="宋体" w:hAnsi="宋体" w:eastAsia="宋体" w:cs="宋体"/>
                <w:bCs/>
                <w:color w:val="auto"/>
                <w:sz w:val="21"/>
                <w:highlight w:val="none"/>
                <w:lang w:val="zh-CN"/>
              </w:rPr>
              <w:t>现场文明施工、文物保护保证体系</w:t>
            </w:r>
            <w:r>
              <w:rPr>
                <w:rFonts w:hint="eastAsia" w:ascii="宋体" w:hAnsi="宋体" w:eastAsia="宋体" w:cs="宋体"/>
                <w:bCs/>
                <w:color w:val="auto"/>
                <w:sz w:val="21"/>
                <w:highlight w:val="none"/>
                <w:lang w:val="zh-CN" w:eastAsia="zh-CN"/>
              </w:rPr>
              <w:t>、</w:t>
            </w:r>
            <w:r>
              <w:rPr>
                <w:rFonts w:hint="eastAsia" w:ascii="宋体" w:hAnsi="宋体" w:eastAsia="宋体" w:cs="宋体"/>
                <w:bCs/>
                <w:color w:val="auto"/>
                <w:sz w:val="21"/>
                <w:highlight w:val="none"/>
                <w:lang w:val="zh-CN"/>
              </w:rPr>
              <w:t>环境保护措施内容达不到</w:t>
            </w:r>
            <w:r>
              <w:rPr>
                <w:rFonts w:hint="eastAsia" w:ascii="宋体" w:hAnsi="宋体" w:eastAsia="宋体" w:cs="宋体"/>
                <w:bCs/>
                <w:color w:val="auto"/>
                <w:sz w:val="21"/>
                <w:highlight w:val="none"/>
                <w:lang w:val="en-US" w:eastAsia="zh-CN"/>
              </w:rPr>
              <w:t>采购需求</w:t>
            </w:r>
            <w:r>
              <w:rPr>
                <w:rFonts w:hint="eastAsia" w:ascii="宋体" w:hAnsi="宋体" w:eastAsia="宋体" w:cs="宋体"/>
                <w:bCs/>
                <w:color w:val="auto"/>
                <w:sz w:val="21"/>
                <w:highlight w:val="none"/>
                <w:lang w:val="zh-CN"/>
              </w:rPr>
              <w:t>，各项措施不可行。</w:t>
            </w:r>
          </w:p>
          <w:p w14:paraId="1D1FDE8B">
            <w:pPr>
              <w:pStyle w:val="15"/>
              <w:spacing w:line="400" w:lineRule="exact"/>
              <w:ind w:firstLine="420" w:firstLineChars="200"/>
              <w:rPr>
                <w:rFonts w:hint="eastAsia" w:ascii="宋体" w:hAnsi="宋体" w:eastAsia="宋体" w:cs="宋体"/>
                <w:bCs/>
                <w:color w:val="auto"/>
                <w:sz w:val="21"/>
                <w:highlight w:val="none"/>
                <w:lang w:val="zh-CN"/>
              </w:rPr>
            </w:pPr>
            <w:r>
              <w:rPr>
                <w:rFonts w:hint="eastAsia" w:hAnsi="宋体" w:cs="宋体"/>
                <w:bCs/>
                <w:color w:val="auto"/>
                <w:sz w:val="21"/>
                <w:highlight w:val="none"/>
                <w:lang w:val="en-US" w:eastAsia="zh-CN"/>
              </w:rPr>
              <w:t>三</w:t>
            </w:r>
            <w:r>
              <w:rPr>
                <w:rFonts w:hint="eastAsia" w:ascii="宋体" w:hAnsi="宋体" w:eastAsia="宋体" w:cs="宋体"/>
                <w:bCs/>
                <w:color w:val="auto"/>
                <w:sz w:val="21"/>
                <w:highlight w:val="none"/>
                <w:lang w:val="zh-CN"/>
              </w:rPr>
              <w:t>档（</w:t>
            </w:r>
            <w:r>
              <w:rPr>
                <w:rFonts w:hint="eastAsia" w:ascii="宋体" w:hAnsi="宋体" w:eastAsia="宋体" w:cs="宋体"/>
                <w:bCs/>
                <w:color w:val="auto"/>
                <w:sz w:val="21"/>
                <w:highlight w:val="none"/>
                <w:lang w:val="en-US" w:eastAsia="zh-CN"/>
              </w:rPr>
              <w:t>3</w:t>
            </w:r>
            <w:r>
              <w:rPr>
                <w:rFonts w:hint="eastAsia" w:ascii="宋体" w:hAnsi="宋体" w:eastAsia="宋体" w:cs="宋体"/>
                <w:bCs/>
                <w:color w:val="auto"/>
                <w:sz w:val="21"/>
                <w:highlight w:val="none"/>
                <w:lang w:val="zh-CN"/>
              </w:rPr>
              <w:t>分）：现场文明施工、文物保护保证体系</w:t>
            </w:r>
            <w:r>
              <w:rPr>
                <w:rFonts w:hint="eastAsia" w:ascii="宋体" w:hAnsi="宋体" w:eastAsia="宋体" w:cs="宋体"/>
                <w:bCs/>
                <w:color w:val="auto"/>
                <w:sz w:val="21"/>
                <w:highlight w:val="none"/>
                <w:lang w:val="zh-CN" w:eastAsia="zh-CN"/>
              </w:rPr>
              <w:t>、</w:t>
            </w:r>
            <w:r>
              <w:rPr>
                <w:rFonts w:hint="eastAsia" w:ascii="宋体" w:hAnsi="宋体" w:eastAsia="宋体" w:cs="宋体"/>
                <w:bCs/>
                <w:color w:val="auto"/>
                <w:sz w:val="21"/>
                <w:highlight w:val="none"/>
                <w:lang w:val="zh-CN"/>
              </w:rPr>
              <w:t>环境保护措施内容</w:t>
            </w:r>
            <w:r>
              <w:rPr>
                <w:rFonts w:hint="eastAsia" w:hAnsi="宋体" w:cs="宋体"/>
                <w:bCs/>
                <w:color w:val="auto"/>
                <w:sz w:val="21"/>
                <w:highlight w:val="none"/>
                <w:lang w:val="en-US" w:eastAsia="zh-CN"/>
              </w:rPr>
              <w:t>基本满足</w:t>
            </w:r>
            <w:r>
              <w:rPr>
                <w:rFonts w:hint="eastAsia" w:ascii="宋体" w:hAnsi="宋体" w:eastAsia="宋体" w:cs="宋体"/>
                <w:bCs/>
                <w:color w:val="auto"/>
                <w:sz w:val="21"/>
                <w:highlight w:val="none"/>
                <w:lang w:val="en-US" w:eastAsia="zh-CN"/>
              </w:rPr>
              <w:t>采购需求</w:t>
            </w:r>
            <w:r>
              <w:rPr>
                <w:rFonts w:hint="eastAsia" w:ascii="宋体" w:hAnsi="宋体" w:eastAsia="宋体" w:cs="宋体"/>
                <w:bCs/>
                <w:color w:val="auto"/>
                <w:sz w:val="21"/>
                <w:highlight w:val="none"/>
                <w:lang w:val="zh-CN"/>
              </w:rPr>
              <w:t>，各项措施</w:t>
            </w:r>
            <w:r>
              <w:rPr>
                <w:rFonts w:hint="eastAsia" w:hAnsi="宋体" w:cs="宋体"/>
                <w:bCs/>
                <w:color w:val="auto"/>
                <w:sz w:val="21"/>
                <w:highlight w:val="none"/>
                <w:lang w:val="en-US" w:eastAsia="zh-CN"/>
              </w:rPr>
              <w:t>基本可行</w:t>
            </w:r>
            <w:r>
              <w:rPr>
                <w:rFonts w:hint="eastAsia" w:ascii="宋体" w:hAnsi="宋体" w:eastAsia="宋体" w:cs="宋体"/>
                <w:bCs/>
                <w:color w:val="auto"/>
                <w:sz w:val="21"/>
                <w:highlight w:val="none"/>
                <w:lang w:val="zh-CN"/>
              </w:rPr>
              <w:t>。</w:t>
            </w:r>
          </w:p>
          <w:p w14:paraId="23D3FFA5">
            <w:pPr>
              <w:pStyle w:val="15"/>
              <w:spacing w:line="400" w:lineRule="exact"/>
              <w:ind w:firstLine="420" w:firstLineChars="200"/>
              <w:rPr>
                <w:rFonts w:hint="eastAsia" w:hAnsi="宋体" w:cs="宋体"/>
                <w:bCs/>
                <w:color w:val="auto"/>
                <w:sz w:val="21"/>
                <w:highlight w:val="none"/>
              </w:rPr>
            </w:pPr>
            <w:r>
              <w:rPr>
                <w:rFonts w:hint="eastAsia" w:hAnsi="宋体" w:cs="宋体"/>
                <w:bCs/>
                <w:color w:val="auto"/>
                <w:sz w:val="21"/>
                <w:highlight w:val="none"/>
                <w:lang w:val="en-US" w:eastAsia="zh-CN"/>
              </w:rPr>
              <w:t>四</w:t>
            </w:r>
            <w:r>
              <w:rPr>
                <w:rFonts w:hint="eastAsia" w:hAnsi="宋体" w:cs="宋体"/>
                <w:bCs/>
                <w:color w:val="auto"/>
                <w:sz w:val="21"/>
                <w:highlight w:val="none"/>
              </w:rPr>
              <w:t>档（</w:t>
            </w:r>
            <w:r>
              <w:rPr>
                <w:rFonts w:hint="eastAsia" w:hAnsi="宋体" w:cs="宋体"/>
                <w:bCs/>
                <w:color w:val="auto"/>
                <w:sz w:val="21"/>
                <w:highlight w:val="none"/>
                <w:lang w:val="en-US" w:eastAsia="zh-CN"/>
              </w:rPr>
              <w:t>4</w:t>
            </w:r>
            <w:r>
              <w:rPr>
                <w:rFonts w:hint="eastAsia" w:hAnsi="宋体" w:cs="宋体"/>
                <w:bCs/>
                <w:color w:val="auto"/>
                <w:sz w:val="21"/>
                <w:highlight w:val="none"/>
              </w:rPr>
              <w:t>分）：</w:t>
            </w:r>
            <w:r>
              <w:rPr>
                <w:rFonts w:hint="eastAsia" w:hAnsi="宋体" w:cs="宋体"/>
                <w:bCs/>
                <w:color w:val="auto"/>
                <w:sz w:val="21"/>
                <w:highlight w:val="none"/>
                <w:lang w:val="zh-CN"/>
              </w:rPr>
              <w:t>现场文明施工、</w:t>
            </w:r>
            <w:r>
              <w:rPr>
                <w:rFonts w:hint="eastAsia" w:hAnsi="宋体" w:cs="宋体"/>
                <w:bCs/>
                <w:color w:val="auto"/>
                <w:sz w:val="21"/>
                <w:highlight w:val="none"/>
              </w:rPr>
              <w:t>文物保护保证体系</w:t>
            </w:r>
            <w:r>
              <w:rPr>
                <w:rFonts w:hint="eastAsia" w:hAnsi="宋体" w:cs="宋体"/>
                <w:bCs/>
                <w:color w:val="auto"/>
                <w:sz w:val="21"/>
                <w:highlight w:val="none"/>
                <w:lang w:eastAsia="zh-CN"/>
              </w:rPr>
              <w:t>、</w:t>
            </w:r>
            <w:r>
              <w:rPr>
                <w:rFonts w:hint="eastAsia" w:hAnsi="宋体" w:cs="宋体"/>
                <w:bCs/>
                <w:color w:val="auto"/>
                <w:sz w:val="21"/>
                <w:highlight w:val="none"/>
                <w:lang w:val="zh-CN"/>
              </w:rPr>
              <w:t>环境保护措施</w:t>
            </w:r>
            <w:r>
              <w:rPr>
                <w:rFonts w:hint="eastAsia" w:hAnsi="宋体" w:cs="宋体"/>
                <w:bCs/>
                <w:color w:val="auto"/>
                <w:sz w:val="21"/>
                <w:highlight w:val="none"/>
                <w:lang w:val="en-US" w:eastAsia="zh-CN"/>
              </w:rPr>
              <w:t>满足采购需求</w:t>
            </w:r>
            <w:r>
              <w:rPr>
                <w:rFonts w:hint="eastAsia" w:hAnsi="宋体" w:cs="宋体"/>
                <w:bCs/>
                <w:color w:val="auto"/>
                <w:sz w:val="21"/>
                <w:highlight w:val="none"/>
                <w:lang w:val="zh-CN"/>
              </w:rPr>
              <w:t>，且各项措施内容具体、可行</w:t>
            </w:r>
            <w:r>
              <w:rPr>
                <w:rFonts w:hint="eastAsia" w:hAnsi="宋体" w:cs="宋体"/>
                <w:bCs/>
                <w:color w:val="auto"/>
                <w:sz w:val="21"/>
                <w:highlight w:val="none"/>
              </w:rPr>
              <w:t>。</w:t>
            </w:r>
          </w:p>
          <w:p w14:paraId="328298F4">
            <w:pPr>
              <w:pStyle w:val="15"/>
              <w:spacing w:line="400" w:lineRule="exact"/>
              <w:ind w:firstLine="420" w:firstLineChars="200"/>
              <w:rPr>
                <w:rFonts w:hAnsi="宋体" w:cs="宋体"/>
                <w:bCs/>
                <w:color w:val="auto"/>
                <w:sz w:val="21"/>
                <w:highlight w:val="none"/>
              </w:rPr>
            </w:pPr>
            <w:r>
              <w:rPr>
                <w:rFonts w:hint="eastAsia" w:hAnsi="宋体" w:cs="宋体"/>
                <w:bCs/>
                <w:color w:val="auto"/>
                <w:sz w:val="21"/>
                <w:highlight w:val="none"/>
                <w:lang w:val="en-US" w:eastAsia="zh-CN"/>
              </w:rPr>
              <w:t>五</w:t>
            </w:r>
            <w:r>
              <w:rPr>
                <w:rFonts w:hint="eastAsia" w:hAnsi="宋体" w:cs="宋体"/>
                <w:bCs/>
                <w:color w:val="auto"/>
                <w:sz w:val="21"/>
                <w:highlight w:val="none"/>
                <w:lang w:val="zh-CN"/>
              </w:rPr>
              <w:t>档（5分）：现场文明施工、文物保护保证体系</w:t>
            </w:r>
            <w:r>
              <w:rPr>
                <w:rFonts w:hint="eastAsia" w:hAnsi="宋体" w:cs="宋体"/>
                <w:bCs/>
                <w:color w:val="auto"/>
                <w:sz w:val="21"/>
                <w:highlight w:val="none"/>
                <w:lang w:val="zh-CN" w:eastAsia="zh-CN"/>
              </w:rPr>
              <w:t>、</w:t>
            </w:r>
            <w:r>
              <w:rPr>
                <w:rFonts w:hint="eastAsia" w:hAnsi="宋体" w:cs="宋体"/>
                <w:bCs/>
                <w:color w:val="auto"/>
                <w:sz w:val="21"/>
                <w:highlight w:val="none"/>
                <w:lang w:val="zh-CN"/>
              </w:rPr>
              <w:t>环境保护措施</w:t>
            </w:r>
            <w:r>
              <w:rPr>
                <w:rFonts w:hint="eastAsia" w:hAnsi="宋体" w:cs="宋体"/>
                <w:bCs/>
                <w:color w:val="auto"/>
                <w:sz w:val="21"/>
                <w:highlight w:val="none"/>
                <w:lang w:val="en-US" w:eastAsia="zh-CN"/>
              </w:rPr>
              <w:t>符合项目实际</w:t>
            </w:r>
            <w:r>
              <w:rPr>
                <w:rFonts w:hint="eastAsia" w:hAnsi="宋体" w:cs="宋体"/>
                <w:bCs/>
                <w:color w:val="auto"/>
                <w:sz w:val="21"/>
                <w:highlight w:val="none"/>
                <w:lang w:val="zh-CN"/>
              </w:rPr>
              <w:t>，且</w:t>
            </w:r>
            <w:r>
              <w:rPr>
                <w:rFonts w:hint="eastAsia" w:hAnsi="宋体" w:cs="宋体"/>
                <w:bCs/>
                <w:color w:val="auto"/>
                <w:sz w:val="21"/>
                <w:highlight w:val="none"/>
                <w:lang w:val="en-US" w:eastAsia="zh-CN"/>
              </w:rPr>
              <w:t>满足采购需求，</w:t>
            </w:r>
            <w:r>
              <w:rPr>
                <w:rFonts w:hint="eastAsia" w:hAnsi="宋体" w:cs="宋体"/>
                <w:bCs/>
                <w:color w:val="auto"/>
                <w:sz w:val="21"/>
                <w:highlight w:val="none"/>
                <w:lang w:val="zh-CN"/>
              </w:rPr>
              <w:t>各项措施内容周全、具体、</w:t>
            </w:r>
            <w:r>
              <w:rPr>
                <w:rFonts w:hint="eastAsia" w:hAnsi="宋体" w:cs="宋体"/>
                <w:bCs/>
                <w:color w:val="auto"/>
                <w:sz w:val="21"/>
                <w:highlight w:val="none"/>
                <w:lang w:val="en-US" w:eastAsia="zh-CN"/>
              </w:rPr>
              <w:t>可行性高</w:t>
            </w:r>
            <w:r>
              <w:rPr>
                <w:rFonts w:hint="eastAsia" w:hAnsi="宋体" w:cs="宋体"/>
                <w:bCs/>
                <w:color w:val="auto"/>
                <w:sz w:val="21"/>
                <w:highlight w:val="none"/>
                <w:lang w:val="zh-CN"/>
              </w:rPr>
              <w:t>。</w:t>
            </w:r>
          </w:p>
        </w:tc>
        <w:tc>
          <w:tcPr>
            <w:tcW w:w="772" w:type="dxa"/>
            <w:vAlign w:val="center"/>
          </w:tcPr>
          <w:p w14:paraId="1A23E98F">
            <w:pPr>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r>
      <w:tr w14:paraId="46E2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1CF74F30">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2.8</w:t>
            </w:r>
          </w:p>
        </w:tc>
        <w:tc>
          <w:tcPr>
            <w:tcW w:w="1086" w:type="dxa"/>
            <w:vAlign w:val="center"/>
          </w:tcPr>
          <w:p w14:paraId="145EF377">
            <w:pPr>
              <w:adjustRightInd w:val="0"/>
              <w:spacing w:line="400" w:lineRule="exact"/>
              <w:jc w:val="center"/>
              <w:textAlignment w:val="baseline"/>
              <w:rPr>
                <w:rFonts w:ascii="宋体" w:hAnsi="宋体" w:cs="宋体"/>
                <w:bCs/>
                <w:color w:val="auto"/>
                <w:kern w:val="0"/>
                <w:szCs w:val="21"/>
                <w:highlight w:val="none"/>
              </w:rPr>
            </w:pPr>
            <w:r>
              <w:rPr>
                <w:rFonts w:hint="eastAsia" w:ascii="宋体" w:hAnsi="宋体" w:cs="宋体"/>
                <w:b/>
                <w:bCs w:val="0"/>
                <w:color w:val="auto"/>
                <w:kern w:val="0"/>
                <w:szCs w:val="21"/>
                <w:highlight w:val="none"/>
              </w:rPr>
              <w:t>项目风险预测与防范，事故应急预案</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主观分</w:t>
            </w:r>
            <w:r>
              <w:rPr>
                <w:rFonts w:hint="eastAsia" w:ascii="宋体" w:hAnsi="宋体" w:cs="宋体"/>
                <w:b/>
                <w:bCs w:val="0"/>
                <w:color w:val="auto"/>
                <w:kern w:val="0"/>
                <w:szCs w:val="21"/>
                <w:highlight w:val="none"/>
                <w:lang w:eastAsia="zh-CN"/>
              </w:rPr>
              <w:t>）</w:t>
            </w:r>
          </w:p>
        </w:tc>
        <w:tc>
          <w:tcPr>
            <w:tcW w:w="7110" w:type="dxa"/>
            <w:vAlign w:val="center"/>
          </w:tcPr>
          <w:p w14:paraId="3B331186">
            <w:pPr>
              <w:pStyle w:val="15"/>
              <w:spacing w:line="400" w:lineRule="exact"/>
              <w:ind w:firstLine="420" w:firstLineChars="200"/>
              <w:rPr>
                <w:rFonts w:hint="eastAsia" w:hAnsi="宋体" w:cs="宋体"/>
                <w:bCs/>
                <w:color w:val="auto"/>
                <w:sz w:val="21"/>
                <w:highlight w:val="none"/>
                <w:lang w:val="en-US" w:eastAsia="zh-CN"/>
              </w:rPr>
            </w:pPr>
            <w:r>
              <w:rPr>
                <w:rFonts w:hint="eastAsia" w:hAnsi="宋体" w:cs="宋体"/>
                <w:bCs/>
                <w:color w:val="auto"/>
                <w:sz w:val="21"/>
                <w:highlight w:val="none"/>
              </w:rPr>
              <w:t>一档（</w:t>
            </w:r>
            <w:r>
              <w:rPr>
                <w:rFonts w:hint="eastAsia" w:hAnsi="宋体" w:cs="宋体"/>
                <w:bCs/>
                <w:color w:val="auto"/>
                <w:sz w:val="21"/>
                <w:highlight w:val="none"/>
                <w:lang w:val="en-US" w:eastAsia="zh-CN"/>
              </w:rPr>
              <w:t>2</w:t>
            </w:r>
            <w:r>
              <w:rPr>
                <w:rFonts w:hint="eastAsia" w:hAnsi="宋体" w:cs="宋体"/>
                <w:bCs/>
                <w:color w:val="auto"/>
                <w:sz w:val="21"/>
                <w:highlight w:val="none"/>
              </w:rPr>
              <w:t>分）：</w:t>
            </w:r>
            <w:r>
              <w:rPr>
                <w:rFonts w:hint="eastAsia" w:hAnsi="宋体" w:cs="宋体"/>
                <w:bCs/>
                <w:color w:val="auto"/>
                <w:sz w:val="21"/>
                <w:highlight w:val="none"/>
                <w:lang w:val="en-US" w:eastAsia="zh-CN"/>
              </w:rPr>
              <w:t>无</w:t>
            </w:r>
            <w:r>
              <w:rPr>
                <w:rFonts w:hint="eastAsia" w:hAnsi="宋体" w:cs="宋体"/>
                <w:bCs/>
                <w:color w:val="auto"/>
                <w:sz w:val="21"/>
                <w:highlight w:val="none"/>
              </w:rPr>
              <w:t>项目风险预测与防范，事故应急预案</w:t>
            </w:r>
            <w:r>
              <w:rPr>
                <w:rFonts w:hint="eastAsia" w:hAnsi="宋体" w:cs="宋体"/>
                <w:bCs/>
                <w:color w:val="auto"/>
                <w:sz w:val="21"/>
                <w:highlight w:val="none"/>
                <w:lang w:eastAsia="zh-CN"/>
              </w:rPr>
              <w:t>，</w:t>
            </w:r>
            <w:r>
              <w:rPr>
                <w:rFonts w:hint="eastAsia" w:hAnsi="宋体" w:cs="宋体"/>
                <w:bCs/>
                <w:color w:val="auto"/>
                <w:sz w:val="21"/>
                <w:highlight w:val="none"/>
                <w:lang w:val="en-US" w:eastAsia="zh-CN"/>
              </w:rPr>
              <w:t>或内容与本项目无关。</w:t>
            </w:r>
          </w:p>
          <w:p w14:paraId="66A9BE45">
            <w:pPr>
              <w:pStyle w:val="15"/>
              <w:spacing w:line="400" w:lineRule="exact"/>
              <w:ind w:firstLine="420" w:firstLineChars="200"/>
              <w:rPr>
                <w:rFonts w:hint="default"/>
                <w:color w:val="auto"/>
                <w:highlight w:val="none"/>
                <w:lang w:val="en-US" w:eastAsia="zh-CN"/>
              </w:rPr>
            </w:pPr>
            <w:r>
              <w:rPr>
                <w:rFonts w:hint="eastAsia" w:hAnsi="宋体" w:cs="宋体"/>
                <w:bCs/>
                <w:color w:val="auto"/>
                <w:sz w:val="21"/>
                <w:highlight w:val="none"/>
                <w:lang w:val="en-US" w:eastAsia="zh-CN"/>
              </w:rPr>
              <w:t>二</w:t>
            </w:r>
            <w:r>
              <w:rPr>
                <w:rFonts w:hint="eastAsia" w:hAnsi="宋体" w:cs="宋体"/>
                <w:bCs/>
                <w:color w:val="auto"/>
                <w:sz w:val="21"/>
                <w:highlight w:val="none"/>
                <w:lang w:val="zh-CN"/>
              </w:rPr>
              <w:t>档（</w:t>
            </w:r>
            <w:r>
              <w:rPr>
                <w:rFonts w:hint="eastAsia" w:hAnsi="宋体" w:cs="宋体"/>
                <w:bCs/>
                <w:color w:val="auto"/>
                <w:sz w:val="21"/>
                <w:highlight w:val="none"/>
                <w:lang w:val="en-US" w:eastAsia="zh-CN"/>
              </w:rPr>
              <w:t>4</w:t>
            </w:r>
            <w:r>
              <w:rPr>
                <w:rFonts w:hint="eastAsia" w:hAnsi="宋体" w:cs="宋体"/>
                <w:bCs/>
                <w:color w:val="auto"/>
                <w:sz w:val="21"/>
                <w:highlight w:val="none"/>
                <w:lang w:val="zh-CN"/>
              </w:rPr>
              <w:t>分）：针对本工程项目特点，风险预测</w:t>
            </w:r>
            <w:r>
              <w:rPr>
                <w:rFonts w:hint="eastAsia" w:hAnsi="宋体" w:cs="宋体"/>
                <w:bCs/>
                <w:color w:val="auto"/>
                <w:sz w:val="21"/>
                <w:highlight w:val="none"/>
                <w:lang w:val="en-US" w:eastAsia="zh-CN"/>
              </w:rPr>
              <w:t>与防范措施、事故</w:t>
            </w:r>
            <w:r>
              <w:rPr>
                <w:rFonts w:hint="eastAsia" w:hAnsi="宋体" w:cs="宋体"/>
                <w:bCs/>
                <w:color w:val="auto"/>
                <w:sz w:val="21"/>
                <w:highlight w:val="none"/>
                <w:lang w:val="zh-CN"/>
              </w:rPr>
              <w:t>应急预案</w:t>
            </w:r>
            <w:r>
              <w:rPr>
                <w:rFonts w:hint="eastAsia" w:hAnsi="宋体" w:cs="宋体"/>
                <w:bCs/>
                <w:color w:val="auto"/>
                <w:sz w:val="21"/>
                <w:highlight w:val="none"/>
                <w:lang w:val="en-US" w:eastAsia="zh-CN"/>
              </w:rPr>
              <w:t>内容不完整</w:t>
            </w:r>
            <w:r>
              <w:rPr>
                <w:rFonts w:hint="eastAsia" w:hAnsi="宋体" w:cs="宋体"/>
                <w:bCs/>
                <w:color w:val="auto"/>
                <w:sz w:val="21"/>
                <w:highlight w:val="none"/>
                <w:lang w:val="zh-CN"/>
              </w:rPr>
              <w:t>，</w:t>
            </w:r>
            <w:r>
              <w:rPr>
                <w:rFonts w:hint="eastAsia" w:hAnsi="宋体" w:cs="宋体"/>
                <w:bCs/>
                <w:color w:val="auto"/>
                <w:sz w:val="21"/>
                <w:highlight w:val="none"/>
                <w:lang w:val="en-US" w:eastAsia="zh-CN"/>
              </w:rPr>
              <w:t>措施</w:t>
            </w:r>
            <w:r>
              <w:rPr>
                <w:rFonts w:hint="eastAsia" w:hAnsi="宋体" w:cs="宋体"/>
                <w:bCs/>
                <w:color w:val="auto"/>
                <w:sz w:val="21"/>
                <w:highlight w:val="none"/>
                <w:lang w:val="zh-CN"/>
              </w:rPr>
              <w:t>不</w:t>
            </w:r>
            <w:r>
              <w:rPr>
                <w:rFonts w:hint="eastAsia" w:hAnsi="宋体" w:cs="宋体"/>
                <w:bCs/>
                <w:color w:val="auto"/>
                <w:sz w:val="21"/>
                <w:highlight w:val="none"/>
                <w:lang w:val="en-US" w:eastAsia="zh-CN"/>
              </w:rPr>
              <w:t>可行</w:t>
            </w:r>
            <w:r>
              <w:rPr>
                <w:rFonts w:hint="eastAsia" w:hAnsi="宋体" w:cs="宋体"/>
                <w:bCs/>
                <w:color w:val="auto"/>
                <w:sz w:val="21"/>
                <w:highlight w:val="none"/>
                <w:lang w:val="zh-CN"/>
              </w:rPr>
              <w:t>。</w:t>
            </w:r>
          </w:p>
          <w:p w14:paraId="4052C58C">
            <w:pPr>
              <w:pStyle w:val="15"/>
              <w:spacing w:line="400" w:lineRule="exact"/>
              <w:ind w:firstLine="420" w:firstLineChars="200"/>
              <w:rPr>
                <w:rFonts w:hint="eastAsia" w:hAnsi="宋体" w:cs="宋体"/>
                <w:bCs/>
                <w:color w:val="auto"/>
                <w:sz w:val="21"/>
                <w:highlight w:val="none"/>
                <w:lang w:val="zh-CN"/>
              </w:rPr>
            </w:pPr>
            <w:r>
              <w:rPr>
                <w:rFonts w:hint="eastAsia" w:hAnsi="宋体" w:cs="宋体"/>
                <w:bCs/>
                <w:color w:val="auto"/>
                <w:sz w:val="21"/>
                <w:highlight w:val="none"/>
                <w:lang w:val="en-US" w:eastAsia="zh-CN"/>
              </w:rPr>
              <w:t>三</w:t>
            </w:r>
            <w:r>
              <w:rPr>
                <w:rFonts w:hint="eastAsia" w:hAnsi="宋体" w:cs="宋体"/>
                <w:bCs/>
                <w:color w:val="auto"/>
                <w:sz w:val="21"/>
                <w:highlight w:val="none"/>
                <w:lang w:val="zh-CN"/>
              </w:rPr>
              <w:t>档（</w:t>
            </w:r>
            <w:r>
              <w:rPr>
                <w:rFonts w:hint="eastAsia" w:hAnsi="宋体" w:cs="宋体"/>
                <w:bCs/>
                <w:color w:val="auto"/>
                <w:sz w:val="21"/>
                <w:highlight w:val="none"/>
                <w:lang w:val="en-US" w:eastAsia="zh-CN"/>
              </w:rPr>
              <w:t>6</w:t>
            </w:r>
            <w:r>
              <w:rPr>
                <w:rFonts w:hint="eastAsia" w:hAnsi="宋体" w:cs="宋体"/>
                <w:bCs/>
                <w:color w:val="auto"/>
                <w:sz w:val="21"/>
                <w:highlight w:val="none"/>
                <w:lang w:val="zh-CN"/>
              </w:rPr>
              <w:t>分）：针对本工程项目特点，风险预测</w:t>
            </w:r>
            <w:r>
              <w:rPr>
                <w:rFonts w:hint="eastAsia" w:hAnsi="宋体" w:cs="宋体"/>
                <w:bCs/>
                <w:color w:val="auto"/>
                <w:sz w:val="21"/>
                <w:highlight w:val="none"/>
                <w:lang w:val="en-US" w:eastAsia="zh-CN"/>
              </w:rPr>
              <w:t>与防范措施、事故</w:t>
            </w:r>
            <w:r>
              <w:rPr>
                <w:rFonts w:hint="eastAsia" w:hAnsi="宋体" w:cs="宋体"/>
                <w:bCs/>
                <w:color w:val="auto"/>
                <w:sz w:val="21"/>
                <w:highlight w:val="none"/>
                <w:lang w:val="zh-CN"/>
              </w:rPr>
              <w:t>应急预案</w:t>
            </w:r>
            <w:r>
              <w:rPr>
                <w:rFonts w:hint="eastAsia" w:hAnsi="宋体" w:cs="宋体"/>
                <w:bCs/>
                <w:color w:val="auto"/>
                <w:sz w:val="21"/>
                <w:highlight w:val="none"/>
                <w:lang w:val="en-US" w:eastAsia="zh-CN"/>
              </w:rPr>
              <w:t>内容基本完整</w:t>
            </w:r>
            <w:r>
              <w:rPr>
                <w:rFonts w:hint="eastAsia" w:hAnsi="宋体" w:cs="宋体"/>
                <w:bCs/>
                <w:color w:val="auto"/>
                <w:sz w:val="21"/>
                <w:highlight w:val="none"/>
                <w:lang w:val="zh-CN"/>
              </w:rPr>
              <w:t>，</w:t>
            </w:r>
            <w:r>
              <w:rPr>
                <w:rFonts w:hint="eastAsia" w:hAnsi="宋体" w:cs="宋体"/>
                <w:bCs/>
                <w:color w:val="auto"/>
                <w:sz w:val="21"/>
                <w:highlight w:val="none"/>
                <w:lang w:val="en-US" w:eastAsia="zh-CN"/>
              </w:rPr>
              <w:t>措施可行</w:t>
            </w:r>
            <w:r>
              <w:rPr>
                <w:rFonts w:hint="eastAsia" w:hAnsi="宋体" w:cs="宋体"/>
                <w:bCs/>
                <w:color w:val="auto"/>
                <w:sz w:val="21"/>
                <w:highlight w:val="none"/>
                <w:lang w:val="zh-CN"/>
              </w:rPr>
              <w:t>。</w:t>
            </w:r>
          </w:p>
          <w:p w14:paraId="327218A5">
            <w:pPr>
              <w:pStyle w:val="15"/>
              <w:spacing w:line="400" w:lineRule="exact"/>
              <w:ind w:firstLine="420" w:firstLineChars="200"/>
              <w:rPr>
                <w:rFonts w:hint="eastAsia" w:hAnsi="宋体" w:cs="宋体"/>
                <w:bCs/>
                <w:color w:val="auto"/>
                <w:sz w:val="21"/>
                <w:highlight w:val="none"/>
              </w:rPr>
            </w:pPr>
            <w:r>
              <w:rPr>
                <w:rFonts w:hint="eastAsia" w:hAnsi="宋体" w:cs="宋体"/>
                <w:bCs/>
                <w:color w:val="auto"/>
                <w:sz w:val="21"/>
                <w:highlight w:val="none"/>
                <w:lang w:val="en-US" w:eastAsia="zh-CN"/>
              </w:rPr>
              <w:t>四</w:t>
            </w:r>
            <w:r>
              <w:rPr>
                <w:rFonts w:hint="eastAsia" w:hAnsi="宋体" w:cs="宋体"/>
                <w:bCs/>
                <w:color w:val="auto"/>
                <w:sz w:val="21"/>
                <w:highlight w:val="none"/>
              </w:rPr>
              <w:t>档（</w:t>
            </w:r>
            <w:r>
              <w:rPr>
                <w:rFonts w:hint="eastAsia" w:hAnsi="宋体" w:cs="宋体"/>
                <w:bCs/>
                <w:color w:val="auto"/>
                <w:sz w:val="21"/>
                <w:highlight w:val="none"/>
                <w:lang w:val="en-US" w:eastAsia="zh-CN"/>
              </w:rPr>
              <w:t>8</w:t>
            </w:r>
            <w:r>
              <w:rPr>
                <w:rFonts w:hint="eastAsia" w:hAnsi="宋体" w:cs="宋体"/>
                <w:bCs/>
                <w:color w:val="auto"/>
                <w:sz w:val="21"/>
                <w:highlight w:val="none"/>
              </w:rPr>
              <w:t>分）：</w:t>
            </w:r>
            <w:r>
              <w:rPr>
                <w:rFonts w:hint="eastAsia" w:hAnsi="宋体" w:cs="宋体"/>
                <w:bCs/>
                <w:color w:val="auto"/>
                <w:sz w:val="21"/>
                <w:highlight w:val="none"/>
                <w:lang w:val="zh-CN"/>
              </w:rPr>
              <w:t>针对本工程项目特点，风险预测</w:t>
            </w:r>
            <w:r>
              <w:rPr>
                <w:rFonts w:hint="eastAsia" w:hAnsi="宋体" w:cs="宋体"/>
                <w:bCs/>
                <w:color w:val="auto"/>
                <w:sz w:val="21"/>
                <w:highlight w:val="none"/>
                <w:lang w:val="zh-CN" w:eastAsia="zh-CN"/>
              </w:rPr>
              <w:t>与防范</w:t>
            </w:r>
            <w:r>
              <w:rPr>
                <w:rFonts w:hint="eastAsia" w:hAnsi="宋体" w:cs="宋体"/>
                <w:bCs/>
                <w:color w:val="auto"/>
                <w:sz w:val="21"/>
                <w:highlight w:val="none"/>
                <w:lang w:val="en-US" w:eastAsia="zh-CN"/>
              </w:rPr>
              <w:t>措施</w:t>
            </w:r>
            <w:r>
              <w:rPr>
                <w:rFonts w:hint="eastAsia" w:hAnsi="宋体" w:cs="宋体"/>
                <w:bCs/>
                <w:color w:val="auto"/>
                <w:sz w:val="21"/>
                <w:highlight w:val="none"/>
                <w:lang w:val="zh-CN" w:eastAsia="zh-CN"/>
              </w:rPr>
              <w:t>、事故</w:t>
            </w:r>
            <w:r>
              <w:rPr>
                <w:rFonts w:hint="eastAsia" w:hAnsi="宋体" w:cs="宋体"/>
                <w:bCs/>
                <w:color w:val="auto"/>
                <w:sz w:val="21"/>
                <w:highlight w:val="none"/>
                <w:lang w:val="zh-CN"/>
              </w:rPr>
              <w:t>应急预案</w:t>
            </w:r>
            <w:r>
              <w:rPr>
                <w:rFonts w:hint="eastAsia" w:hAnsi="宋体" w:cs="宋体"/>
                <w:bCs/>
                <w:color w:val="auto"/>
                <w:sz w:val="21"/>
                <w:highlight w:val="none"/>
                <w:lang w:val="zh-CN" w:eastAsia="zh-CN"/>
              </w:rPr>
              <w:t>内容</w:t>
            </w:r>
            <w:r>
              <w:rPr>
                <w:rFonts w:hint="eastAsia" w:hAnsi="宋体" w:cs="宋体"/>
                <w:bCs/>
                <w:color w:val="auto"/>
                <w:sz w:val="21"/>
                <w:highlight w:val="none"/>
                <w:lang w:val="en-US" w:eastAsia="zh-CN"/>
              </w:rPr>
              <w:t>齐全</w:t>
            </w:r>
            <w:r>
              <w:rPr>
                <w:rFonts w:hint="eastAsia" w:hAnsi="宋体" w:cs="宋体"/>
                <w:bCs/>
                <w:color w:val="auto"/>
                <w:sz w:val="21"/>
                <w:highlight w:val="none"/>
                <w:lang w:val="zh-CN"/>
              </w:rPr>
              <w:t>，且各项措施具体、</w:t>
            </w:r>
            <w:r>
              <w:rPr>
                <w:rFonts w:hint="eastAsia" w:hAnsi="宋体" w:cs="宋体"/>
                <w:bCs/>
                <w:color w:val="auto"/>
                <w:sz w:val="21"/>
                <w:highlight w:val="none"/>
                <w:lang w:val="en-US" w:eastAsia="zh-CN"/>
              </w:rPr>
              <w:t>可行</w:t>
            </w:r>
            <w:r>
              <w:rPr>
                <w:rFonts w:hint="eastAsia" w:hAnsi="宋体" w:cs="宋体"/>
                <w:bCs/>
                <w:color w:val="auto"/>
                <w:sz w:val="21"/>
                <w:highlight w:val="none"/>
              </w:rPr>
              <w:t>。</w:t>
            </w:r>
          </w:p>
          <w:p w14:paraId="422E2C8A">
            <w:pPr>
              <w:pStyle w:val="15"/>
              <w:spacing w:line="400" w:lineRule="exact"/>
              <w:ind w:firstLine="420" w:firstLineChars="200"/>
              <w:rPr>
                <w:rFonts w:hAnsi="宋体" w:cs="宋体"/>
                <w:bCs/>
                <w:color w:val="auto"/>
                <w:sz w:val="21"/>
                <w:highlight w:val="none"/>
              </w:rPr>
            </w:pPr>
            <w:r>
              <w:rPr>
                <w:rFonts w:hint="eastAsia" w:hAnsi="宋体" w:cs="宋体"/>
                <w:bCs/>
                <w:color w:val="auto"/>
                <w:sz w:val="21"/>
                <w:highlight w:val="none"/>
                <w:lang w:val="en-US" w:eastAsia="zh-CN"/>
              </w:rPr>
              <w:t>五</w:t>
            </w:r>
            <w:r>
              <w:rPr>
                <w:rFonts w:hint="eastAsia" w:hAnsi="宋体" w:cs="宋体"/>
                <w:bCs/>
                <w:color w:val="auto"/>
                <w:sz w:val="21"/>
                <w:highlight w:val="none"/>
                <w:lang w:val="zh-CN"/>
              </w:rPr>
              <w:t>档（</w:t>
            </w:r>
            <w:r>
              <w:rPr>
                <w:rFonts w:hint="eastAsia" w:hAnsi="宋体" w:cs="宋体"/>
                <w:bCs/>
                <w:color w:val="auto"/>
                <w:sz w:val="21"/>
                <w:highlight w:val="none"/>
                <w:lang w:val="en-US" w:eastAsia="zh-CN"/>
              </w:rPr>
              <w:t>10</w:t>
            </w:r>
            <w:r>
              <w:rPr>
                <w:rFonts w:hint="eastAsia" w:hAnsi="宋体" w:cs="宋体"/>
                <w:bCs/>
                <w:color w:val="auto"/>
                <w:sz w:val="21"/>
                <w:highlight w:val="none"/>
                <w:lang w:val="zh-CN"/>
              </w:rPr>
              <w:t>分）：针对本工程项目特点，风险预测</w:t>
            </w:r>
            <w:r>
              <w:rPr>
                <w:rFonts w:hint="eastAsia" w:hAnsi="宋体" w:cs="宋体"/>
                <w:bCs/>
                <w:color w:val="auto"/>
                <w:sz w:val="21"/>
                <w:highlight w:val="none"/>
                <w:lang w:val="zh-CN" w:eastAsia="zh-CN"/>
              </w:rPr>
              <w:t>与防范措施、事故</w:t>
            </w:r>
            <w:r>
              <w:rPr>
                <w:rFonts w:hint="eastAsia" w:hAnsi="宋体" w:cs="宋体"/>
                <w:bCs/>
                <w:color w:val="auto"/>
                <w:sz w:val="21"/>
                <w:highlight w:val="none"/>
                <w:lang w:val="zh-CN"/>
              </w:rPr>
              <w:t>应急预案</w:t>
            </w:r>
            <w:r>
              <w:rPr>
                <w:rFonts w:hint="eastAsia" w:hAnsi="宋体" w:cs="宋体"/>
                <w:bCs/>
                <w:color w:val="auto"/>
                <w:sz w:val="21"/>
                <w:highlight w:val="none"/>
                <w:lang w:val="zh-CN" w:eastAsia="zh-CN"/>
              </w:rPr>
              <w:t>内容</w:t>
            </w:r>
            <w:r>
              <w:rPr>
                <w:rFonts w:hint="eastAsia" w:hAnsi="宋体" w:cs="宋体"/>
                <w:bCs/>
                <w:color w:val="auto"/>
                <w:sz w:val="21"/>
                <w:highlight w:val="none"/>
                <w:lang w:val="en-US" w:eastAsia="zh-CN"/>
              </w:rPr>
              <w:t>完整详细，且符合项目实际</w:t>
            </w:r>
            <w:r>
              <w:rPr>
                <w:rFonts w:hint="eastAsia" w:hAnsi="宋体" w:cs="宋体"/>
                <w:bCs/>
                <w:color w:val="auto"/>
                <w:sz w:val="21"/>
                <w:highlight w:val="none"/>
                <w:lang w:val="zh-CN"/>
              </w:rPr>
              <w:t>，各项措施周全、具体、有效。</w:t>
            </w:r>
          </w:p>
        </w:tc>
        <w:tc>
          <w:tcPr>
            <w:tcW w:w="772" w:type="dxa"/>
            <w:vAlign w:val="center"/>
          </w:tcPr>
          <w:p w14:paraId="7BA5140F">
            <w:pPr>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273C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2A544F54">
            <w:pPr>
              <w:widowControl/>
              <w:spacing w:line="360" w:lineRule="exact"/>
              <w:jc w:val="center"/>
              <w:rPr>
                <w:rFonts w:hint="default" w:ascii="宋体" w:hAnsi="宋体" w:eastAsia="宋体" w:cs="宋体"/>
                <w:b/>
                <w:bCs/>
                <w:color w:val="auto"/>
                <w:kern w:val="0"/>
                <w:szCs w:val="21"/>
                <w:highlight w:val="none"/>
                <w:lang w:val="en-US" w:eastAsia="zh-CN"/>
              </w:rPr>
            </w:pPr>
            <w:r>
              <w:rPr>
                <w:rFonts w:hint="eastAsia" w:ascii="宋体" w:hAnsi="宋体" w:cs="宋体"/>
                <w:b w:val="0"/>
                <w:bCs w:val="0"/>
                <w:color w:val="auto"/>
                <w:kern w:val="0"/>
                <w:szCs w:val="21"/>
                <w:highlight w:val="none"/>
                <w:lang w:val="en-US" w:eastAsia="zh-CN"/>
              </w:rPr>
              <w:t>2.9</w:t>
            </w:r>
          </w:p>
        </w:tc>
        <w:tc>
          <w:tcPr>
            <w:tcW w:w="1086" w:type="dxa"/>
            <w:vAlign w:val="center"/>
          </w:tcPr>
          <w:p w14:paraId="6960F4DB">
            <w:pPr>
              <w:widowControl/>
              <w:spacing w:line="360" w:lineRule="exact"/>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项目实施人员（客观分）</w:t>
            </w:r>
          </w:p>
        </w:tc>
        <w:tc>
          <w:tcPr>
            <w:tcW w:w="7110" w:type="dxa"/>
            <w:vAlign w:val="center"/>
          </w:tcPr>
          <w:p w14:paraId="083A6802">
            <w:pPr>
              <w:pStyle w:val="15"/>
              <w:spacing w:line="400" w:lineRule="exact"/>
              <w:ind w:firstLine="420" w:firstLineChars="200"/>
              <w:rPr>
                <w:rFonts w:hint="default" w:hAnsi="宋体" w:cs="宋体"/>
                <w:bCs/>
                <w:color w:val="auto"/>
                <w:sz w:val="21"/>
                <w:highlight w:val="none"/>
                <w:lang w:val="en-US" w:eastAsia="zh-CN"/>
              </w:rPr>
            </w:pPr>
            <w:r>
              <w:rPr>
                <w:rFonts w:hint="default" w:hAnsi="宋体" w:cs="宋体"/>
                <w:bCs/>
                <w:color w:val="auto"/>
                <w:sz w:val="21"/>
                <w:highlight w:val="none"/>
                <w:lang w:val="en-US" w:eastAsia="zh-CN"/>
              </w:rPr>
              <w:t>（1）项目经理：拟投入本项目的项目经理具有中级及以上技术职称得4分。</w:t>
            </w:r>
          </w:p>
          <w:p w14:paraId="59755FEE">
            <w:pPr>
              <w:pStyle w:val="15"/>
              <w:spacing w:line="400" w:lineRule="exact"/>
              <w:ind w:firstLine="420" w:firstLineChars="200"/>
              <w:rPr>
                <w:rFonts w:hint="default" w:hAnsi="宋体" w:cs="宋体"/>
                <w:bCs/>
                <w:color w:val="auto"/>
                <w:sz w:val="21"/>
                <w:highlight w:val="none"/>
                <w:lang w:val="en-US" w:eastAsia="zh-CN"/>
              </w:rPr>
            </w:pPr>
            <w:r>
              <w:rPr>
                <w:rFonts w:hint="default" w:hAnsi="宋体" w:cs="宋体"/>
                <w:bCs/>
                <w:color w:val="auto"/>
                <w:sz w:val="21"/>
                <w:highlight w:val="none"/>
                <w:lang w:val="en-US" w:eastAsia="zh-CN"/>
              </w:rPr>
              <w:t>（2）技术负责人：拟投入本项目的技术负责人具有工程类专业中级及以上技术职称得2分。</w:t>
            </w:r>
          </w:p>
          <w:p w14:paraId="621D1C33">
            <w:pPr>
              <w:pStyle w:val="15"/>
              <w:spacing w:line="400" w:lineRule="exact"/>
              <w:ind w:firstLine="420" w:firstLineChars="200"/>
              <w:rPr>
                <w:rFonts w:hint="default" w:hAnsi="宋体" w:cs="宋体"/>
                <w:bCs/>
                <w:color w:val="auto"/>
                <w:sz w:val="21"/>
                <w:highlight w:val="none"/>
                <w:lang w:val="en-US" w:eastAsia="zh-CN"/>
              </w:rPr>
            </w:pPr>
            <w:r>
              <w:rPr>
                <w:rFonts w:hint="default" w:hAnsi="宋体" w:cs="宋体"/>
                <w:bCs/>
                <w:color w:val="auto"/>
                <w:sz w:val="21"/>
                <w:highlight w:val="none"/>
                <w:lang w:val="en-US" w:eastAsia="zh-CN"/>
              </w:rPr>
              <w:t>（3）其他人员（不含项目经理及技术负责人）：拟投入本项目的其他人员至少包括安全员1名、施工员1名、质量员1名、材料员1名，且均具有相应的岗位证书，拟投入安全员应具有有效的省级（或以上）交通主管部门颁发的《安全生产考核合格证书》 C证，得基础分2分；拟投入其他人员中具有初级及以上技术职称证书的，每人加1分，最高加2分。此项满分4分。</w:t>
            </w:r>
          </w:p>
          <w:p w14:paraId="32760E9F">
            <w:pPr>
              <w:pStyle w:val="15"/>
              <w:spacing w:line="400" w:lineRule="exact"/>
              <w:ind w:firstLine="420" w:firstLineChars="200"/>
              <w:rPr>
                <w:rFonts w:hint="default"/>
                <w:color w:val="auto"/>
                <w:highlight w:val="none"/>
                <w:lang w:val="en-US" w:eastAsia="zh-CN"/>
              </w:rPr>
            </w:pPr>
            <w:r>
              <w:rPr>
                <w:rFonts w:hint="default" w:hAnsi="宋体" w:cs="宋体"/>
                <w:bCs/>
                <w:color w:val="auto"/>
                <w:sz w:val="21"/>
                <w:highlight w:val="none"/>
                <w:lang w:val="en-US" w:eastAsia="zh-CN"/>
              </w:rPr>
              <w:t>注：（1）响应文件中提供上述人员证书复印件并加盖竞标人单位公章，否则不计分。</w:t>
            </w:r>
          </w:p>
        </w:tc>
        <w:tc>
          <w:tcPr>
            <w:tcW w:w="772" w:type="dxa"/>
            <w:vAlign w:val="center"/>
          </w:tcPr>
          <w:p w14:paraId="4D6C011D">
            <w:pPr>
              <w:widowControl/>
              <w:spacing w:line="360" w:lineRule="exact"/>
              <w:jc w:val="center"/>
              <w:rPr>
                <w:rFonts w:hint="default" w:ascii="宋体" w:hAnsi="宋体" w:cs="宋体"/>
                <w:b/>
                <w:bCs/>
                <w:color w:val="auto"/>
                <w:kern w:val="0"/>
                <w:szCs w:val="21"/>
                <w:highlight w:val="none"/>
                <w:lang w:val="en-US" w:eastAsia="zh-CN"/>
              </w:rPr>
            </w:pPr>
            <w:r>
              <w:rPr>
                <w:rFonts w:hint="eastAsia" w:ascii="宋体" w:hAnsi="宋体" w:cs="宋体"/>
                <w:b w:val="0"/>
                <w:bCs w:val="0"/>
                <w:color w:val="auto"/>
                <w:kern w:val="0"/>
                <w:szCs w:val="21"/>
                <w:highlight w:val="none"/>
                <w:lang w:val="en-US" w:eastAsia="zh-CN"/>
              </w:rPr>
              <w:t>10分</w:t>
            </w:r>
          </w:p>
        </w:tc>
      </w:tr>
      <w:tr w14:paraId="151B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2A685E75">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086" w:type="dxa"/>
            <w:vAlign w:val="center"/>
          </w:tcPr>
          <w:p w14:paraId="7BA4AB58">
            <w:pPr>
              <w:widowControl/>
              <w:spacing w:line="360" w:lineRule="exact"/>
              <w:jc w:val="center"/>
              <w:rPr>
                <w:rFonts w:ascii="宋体" w:hAnsi="宋体" w:cs="宋体"/>
                <w:b/>
                <w:bCs/>
                <w:color w:val="auto"/>
                <w:kern w:val="0"/>
                <w:szCs w:val="21"/>
                <w:highlight w:val="none"/>
                <w:lang w:bidi="ar"/>
              </w:rPr>
            </w:pPr>
            <w:r>
              <w:rPr>
                <w:rFonts w:hint="eastAsia" w:ascii="宋体" w:hAnsi="宋体" w:cs="宋体"/>
                <w:b/>
                <w:bCs/>
                <w:color w:val="auto"/>
                <w:szCs w:val="21"/>
                <w:highlight w:val="none"/>
              </w:rPr>
              <w:t>商务分</w:t>
            </w:r>
          </w:p>
        </w:tc>
        <w:tc>
          <w:tcPr>
            <w:tcW w:w="7110" w:type="dxa"/>
            <w:vAlign w:val="center"/>
          </w:tcPr>
          <w:p w14:paraId="5D69147E">
            <w:pPr>
              <w:widowControl/>
              <w:spacing w:line="360" w:lineRule="exact"/>
              <w:jc w:val="center"/>
              <w:rPr>
                <w:rFonts w:ascii="宋体" w:hAnsi="宋体" w:cs="宋体"/>
                <w:b/>
                <w:bCs/>
                <w:color w:val="auto"/>
                <w:szCs w:val="21"/>
                <w:highlight w:val="none"/>
              </w:rPr>
            </w:pPr>
            <w:r>
              <w:rPr>
                <w:rFonts w:hint="eastAsia" w:ascii="宋体" w:hAnsi="宋体" w:cs="宋体"/>
                <w:b/>
                <w:bCs/>
                <w:color w:val="auto"/>
                <w:kern w:val="0"/>
                <w:szCs w:val="21"/>
                <w:highlight w:val="none"/>
              </w:rPr>
              <w:t>评审因素（客观分）</w:t>
            </w:r>
          </w:p>
        </w:tc>
        <w:tc>
          <w:tcPr>
            <w:tcW w:w="772" w:type="dxa"/>
            <w:vAlign w:val="center"/>
          </w:tcPr>
          <w:p w14:paraId="6F10E2E2">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15</w:t>
            </w:r>
            <w:r>
              <w:rPr>
                <w:rFonts w:hint="eastAsia" w:ascii="宋体" w:hAnsi="宋体" w:cs="宋体"/>
                <w:b/>
                <w:bCs/>
                <w:color w:val="auto"/>
                <w:kern w:val="0"/>
                <w:szCs w:val="21"/>
                <w:highlight w:val="none"/>
              </w:rPr>
              <w:t>分</w:t>
            </w:r>
          </w:p>
        </w:tc>
      </w:tr>
      <w:tr w14:paraId="0955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vAlign w:val="center"/>
          </w:tcPr>
          <w:p w14:paraId="75D91659">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1086" w:type="dxa"/>
            <w:vAlign w:val="center"/>
          </w:tcPr>
          <w:p w14:paraId="5B6D0B06">
            <w:pPr>
              <w:widowControl/>
              <w:spacing w:line="360" w:lineRule="exact"/>
              <w:jc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业绩</w:t>
            </w:r>
          </w:p>
        </w:tc>
        <w:tc>
          <w:tcPr>
            <w:tcW w:w="7110" w:type="dxa"/>
          </w:tcPr>
          <w:p w14:paraId="0F1E83C3">
            <w:pPr>
              <w:pStyle w:val="15"/>
              <w:spacing w:line="400" w:lineRule="exact"/>
              <w:ind w:firstLine="420" w:firstLineChars="20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竞标人2023年1月1日以来完成或承接过类似项目业绩的，每个得5分，此项满分15分。</w:t>
            </w:r>
          </w:p>
          <w:p w14:paraId="4219F1E7">
            <w:pPr>
              <w:pStyle w:val="15"/>
              <w:spacing w:line="400" w:lineRule="exact"/>
              <w:ind w:firstLine="420" w:firstLineChars="20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注：类似项目指建设内容包含道路（或公路）新建或改扩建或维修（维护或硬化）类等施工项目。响应文件中需提供以下对应材料，并加盖竞标人单位公章，不按照要求提供资料不得分。</w:t>
            </w:r>
          </w:p>
          <w:p w14:paraId="401A835D">
            <w:pPr>
              <w:pStyle w:val="15"/>
              <w:spacing w:line="400" w:lineRule="exact"/>
              <w:ind w:firstLine="420" w:firstLineChars="20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①提供业绩一览表；</w:t>
            </w:r>
          </w:p>
          <w:p w14:paraId="741FCF65">
            <w:pPr>
              <w:pStyle w:val="15"/>
              <w:spacing w:line="400" w:lineRule="exact"/>
              <w:ind w:firstLine="420" w:firstLineChars="200"/>
              <w:rPr>
                <w:rFonts w:hint="default" w:eastAsia="宋体"/>
                <w:color w:val="auto"/>
                <w:highlight w:val="none"/>
                <w:lang w:val="en-US" w:eastAsia="zh-CN"/>
              </w:rPr>
            </w:pPr>
            <w:r>
              <w:rPr>
                <w:rFonts w:hint="eastAsia" w:hAnsi="宋体" w:cs="宋体"/>
                <w:bCs/>
                <w:color w:val="auto"/>
                <w:sz w:val="21"/>
                <w:highlight w:val="none"/>
                <w:lang w:val="en-US" w:eastAsia="zh-CN"/>
              </w:rPr>
              <w:t>②提供合同或中标（成交）通知书复印件。</w:t>
            </w:r>
          </w:p>
        </w:tc>
        <w:tc>
          <w:tcPr>
            <w:tcW w:w="772" w:type="dxa"/>
            <w:vAlign w:val="center"/>
          </w:tcPr>
          <w:p w14:paraId="6EBDAFF6">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分</w:t>
            </w:r>
          </w:p>
        </w:tc>
      </w:tr>
      <w:tr w14:paraId="6DD2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48" w:type="dxa"/>
            <w:gridSpan w:val="3"/>
          </w:tcPr>
          <w:p w14:paraId="0A1D895C">
            <w:pPr>
              <w:pStyle w:val="15"/>
              <w:spacing w:line="360" w:lineRule="exact"/>
              <w:ind w:firstLine="420" w:firstLineChars="200"/>
              <w:rPr>
                <w:rFonts w:hAnsi="宋体" w:cs="宋体"/>
                <w:bCs/>
                <w:color w:val="auto"/>
                <w:sz w:val="21"/>
                <w:highlight w:val="none"/>
              </w:rPr>
            </w:pPr>
            <w:r>
              <w:rPr>
                <w:rFonts w:hint="eastAsia" w:hAnsi="宋体" w:cs="宋体"/>
                <w:bCs/>
                <w:color w:val="auto"/>
                <w:sz w:val="21"/>
                <w:highlight w:val="none"/>
              </w:rPr>
              <w:t>总得分＝1＋2＋3</w:t>
            </w:r>
          </w:p>
        </w:tc>
        <w:tc>
          <w:tcPr>
            <w:tcW w:w="772" w:type="dxa"/>
            <w:vAlign w:val="center"/>
          </w:tcPr>
          <w:p w14:paraId="7FEDF449">
            <w:pPr>
              <w:widowControl/>
              <w:spacing w:line="360" w:lineRule="exact"/>
              <w:jc w:val="center"/>
              <w:rPr>
                <w:rFonts w:ascii="宋体" w:hAnsi="宋体" w:cs="宋体"/>
                <w:color w:val="auto"/>
                <w:kern w:val="0"/>
                <w:szCs w:val="21"/>
                <w:highlight w:val="none"/>
              </w:rPr>
            </w:pPr>
          </w:p>
        </w:tc>
      </w:tr>
    </w:tbl>
    <w:p w14:paraId="0110E21B">
      <w:pPr>
        <w:pStyle w:val="15"/>
        <w:spacing w:line="360" w:lineRule="exact"/>
        <w:ind w:firstLine="420" w:firstLineChars="200"/>
        <w:rPr>
          <w:rFonts w:hAnsi="宋体" w:cs="宋体"/>
          <w:color w:val="auto"/>
          <w:kern w:val="2"/>
          <w:sz w:val="21"/>
          <w:szCs w:val="24"/>
          <w:highlight w:val="none"/>
        </w:rPr>
      </w:pPr>
      <w:r>
        <w:rPr>
          <w:rFonts w:hint="eastAsia" w:hAnsi="宋体" w:cs="宋体"/>
          <w:color w:val="auto"/>
          <w:kern w:val="2"/>
          <w:sz w:val="21"/>
          <w:szCs w:val="24"/>
          <w:highlight w:val="none"/>
        </w:rPr>
        <w:t>8.2商务技术评审因素为客观评分项的，应在评分项目或评分标准中予以标注为“客观分”。对供应商的客观评分项目，各评审专家评分应当一致。</w:t>
      </w:r>
    </w:p>
    <w:p w14:paraId="22D9AFC8">
      <w:pPr>
        <w:spacing w:line="360" w:lineRule="auto"/>
        <w:ind w:firstLine="420" w:firstLineChars="200"/>
        <w:rPr>
          <w:rFonts w:ascii="宋体" w:hAnsi="宋体" w:cs="宋体"/>
          <w:color w:val="auto"/>
          <w:highlight w:val="none"/>
        </w:rPr>
      </w:pPr>
      <w:bookmarkStart w:id="61" w:name="_Toc80205935"/>
      <w:r>
        <w:rPr>
          <w:rFonts w:hint="eastAsia" w:ascii="宋体" w:hAnsi="宋体" w:cs="宋体"/>
          <w:color w:val="auto"/>
          <w:highlight w:val="none"/>
        </w:rPr>
        <w:t>8.3.终止竞争性磋商采购活动</w:t>
      </w:r>
    </w:p>
    <w:p w14:paraId="2D2DFA20">
      <w:pPr>
        <w:spacing w:line="360" w:lineRule="auto"/>
        <w:ind w:firstLine="420" w:firstLineChars="200"/>
        <w:rPr>
          <w:rFonts w:ascii="宋体" w:hAnsi="宋体" w:cs="宋体"/>
          <w:b w:val="0"/>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4BCB96F5">
      <w:pPr>
        <w:pStyle w:val="3"/>
        <w:spacing w:before="0" w:after="0" w:line="360" w:lineRule="auto"/>
        <w:ind w:firstLine="640" w:firstLineChars="200"/>
        <w:jc w:val="center"/>
        <w:rPr>
          <w:rFonts w:ascii="宋体" w:hAnsi="宋体" w:cs="宋体"/>
          <w:b w:val="0"/>
          <w:color w:val="auto"/>
          <w:highlight w:val="none"/>
        </w:rPr>
      </w:pPr>
      <w:bookmarkStart w:id="62" w:name="_Toc1930"/>
      <w:r>
        <w:rPr>
          <w:rFonts w:hint="eastAsia" w:ascii="宋体" w:hAnsi="宋体" w:cs="宋体"/>
          <w:b w:val="0"/>
          <w:color w:val="auto"/>
          <w:highlight w:val="none"/>
        </w:rPr>
        <w:t>第二节 评标报告</w:t>
      </w:r>
      <w:bookmarkEnd w:id="61"/>
      <w:bookmarkEnd w:id="62"/>
    </w:p>
    <w:p w14:paraId="09946DEA">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3DFA46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35DDA074">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0A188442">
      <w:pPr>
        <w:pStyle w:val="40"/>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D4818A8">
      <w:pPr>
        <w:pStyle w:val="3"/>
        <w:spacing w:before="0" w:after="0" w:line="360" w:lineRule="auto"/>
        <w:ind w:firstLine="640" w:firstLineChars="200"/>
        <w:jc w:val="center"/>
        <w:rPr>
          <w:rFonts w:ascii="宋体" w:hAnsi="宋体" w:cs="宋体"/>
          <w:b w:val="0"/>
          <w:color w:val="auto"/>
          <w:highlight w:val="none"/>
        </w:rPr>
      </w:pPr>
      <w:bookmarkStart w:id="63" w:name="_Toc80205936"/>
      <w:bookmarkStart w:id="64" w:name="_Toc23409"/>
      <w:r>
        <w:rPr>
          <w:rFonts w:hint="eastAsia" w:ascii="宋体" w:hAnsi="宋体" w:cs="宋体"/>
          <w:b w:val="0"/>
          <w:color w:val="auto"/>
          <w:highlight w:val="none"/>
        </w:rPr>
        <w:t>第三节 评审过程的保密与录像</w:t>
      </w:r>
      <w:bookmarkEnd w:id="63"/>
      <w:bookmarkEnd w:id="64"/>
    </w:p>
    <w:p w14:paraId="17A89E81">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4E21B052">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7F64B01">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2CD4CE1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r>
        <w:rPr>
          <w:rFonts w:hint="eastAsia" w:ascii="宋体" w:hAnsi="宋体" w:cs="宋体"/>
          <w:b/>
          <w:bCs/>
          <w:color w:val="auto"/>
          <w:highlight w:val="none"/>
        </w:rPr>
        <w:br w:type="page"/>
      </w:r>
    </w:p>
    <w:p w14:paraId="134FD470">
      <w:pPr>
        <w:pStyle w:val="3"/>
        <w:jc w:val="center"/>
        <w:rPr>
          <w:rFonts w:ascii="宋体" w:hAnsi="宋体" w:cs="宋体"/>
          <w:color w:val="auto"/>
          <w:highlight w:val="none"/>
        </w:rPr>
      </w:pPr>
    </w:p>
    <w:p w14:paraId="6984856D">
      <w:pPr>
        <w:pStyle w:val="3"/>
        <w:jc w:val="center"/>
        <w:rPr>
          <w:rFonts w:ascii="宋体" w:hAnsi="宋体" w:cs="宋体"/>
          <w:color w:val="auto"/>
          <w:highlight w:val="none"/>
        </w:rPr>
      </w:pPr>
    </w:p>
    <w:p w14:paraId="63E2D7F1">
      <w:pPr>
        <w:pStyle w:val="3"/>
        <w:jc w:val="center"/>
        <w:rPr>
          <w:rFonts w:ascii="宋体" w:hAnsi="宋体" w:cs="宋体"/>
          <w:color w:val="auto"/>
          <w:highlight w:val="none"/>
        </w:rPr>
      </w:pPr>
    </w:p>
    <w:p w14:paraId="4E7873A1">
      <w:pPr>
        <w:pStyle w:val="3"/>
        <w:jc w:val="center"/>
        <w:rPr>
          <w:rFonts w:ascii="宋体" w:hAnsi="宋体" w:cs="宋体"/>
          <w:color w:val="auto"/>
          <w:highlight w:val="none"/>
        </w:rPr>
      </w:pPr>
    </w:p>
    <w:p w14:paraId="2B89985F">
      <w:pPr>
        <w:pStyle w:val="3"/>
        <w:rPr>
          <w:rFonts w:ascii="宋体" w:hAnsi="宋体" w:cs="宋体"/>
          <w:color w:val="auto"/>
          <w:highlight w:val="none"/>
        </w:rPr>
      </w:pPr>
    </w:p>
    <w:p w14:paraId="068E6DBE">
      <w:pPr>
        <w:pStyle w:val="2"/>
        <w:jc w:val="center"/>
        <w:rPr>
          <w:rFonts w:ascii="宋体" w:hAnsi="宋体" w:cs="宋体"/>
          <w:b/>
          <w:bCs/>
          <w:color w:val="auto"/>
          <w:kern w:val="44"/>
          <w:sz w:val="44"/>
          <w:szCs w:val="44"/>
          <w:highlight w:val="none"/>
        </w:rPr>
        <w:sectPr>
          <w:pgSz w:w="11910" w:h="16840"/>
          <w:pgMar w:top="1340" w:right="1500" w:bottom="280" w:left="1680" w:header="720" w:footer="720" w:gutter="0"/>
          <w:cols w:space="720" w:num="1"/>
        </w:sectPr>
      </w:pPr>
      <w:bookmarkStart w:id="65" w:name="_Toc13484"/>
      <w:r>
        <w:rPr>
          <w:rFonts w:hint="eastAsia" w:ascii="宋体" w:hAnsi="宋体" w:cs="宋体"/>
          <w:color w:val="auto"/>
          <w:highlight w:val="none"/>
        </w:rPr>
        <w:t>第五章 响应文件格</w:t>
      </w:r>
      <w:bookmarkEnd w:id="65"/>
    </w:p>
    <w:p w14:paraId="11A65364">
      <w:pPr>
        <w:snapToGrid w:val="0"/>
        <w:spacing w:before="120" w:beforeLines="50" w:after="50"/>
        <w:jc w:val="both"/>
        <w:rPr>
          <w:rFonts w:ascii="宋体" w:hAnsi="宋体" w:cs="宋体"/>
          <w:bCs/>
          <w:color w:val="auto"/>
          <w:sz w:val="24"/>
          <w:szCs w:val="20"/>
          <w:highlight w:val="none"/>
        </w:rPr>
      </w:pPr>
    </w:p>
    <w:p w14:paraId="5F356B04">
      <w:pPr>
        <w:pStyle w:val="3"/>
        <w:jc w:val="center"/>
        <w:rPr>
          <w:rFonts w:ascii="宋体" w:hAnsi="宋体" w:cs="宋体"/>
          <w:bCs w:val="0"/>
          <w:color w:val="auto"/>
          <w:highlight w:val="none"/>
        </w:rPr>
      </w:pPr>
      <w:bookmarkStart w:id="66" w:name="_Toc30886"/>
      <w:bookmarkStart w:id="67" w:name="_Toc80205939"/>
      <w:r>
        <w:rPr>
          <w:rFonts w:hint="eastAsia" w:ascii="宋体" w:hAnsi="宋体" w:cs="宋体"/>
          <w:bCs w:val="0"/>
          <w:color w:val="auto"/>
          <w:highlight w:val="none"/>
        </w:rPr>
        <w:t>第</w:t>
      </w:r>
      <w:r>
        <w:rPr>
          <w:rFonts w:hint="eastAsia" w:ascii="宋体" w:hAnsi="宋体" w:cs="宋体"/>
          <w:bCs w:val="0"/>
          <w:color w:val="auto"/>
          <w:highlight w:val="none"/>
          <w:lang w:val="en-US" w:eastAsia="zh-CN"/>
        </w:rPr>
        <w:t>一</w:t>
      </w:r>
      <w:r>
        <w:rPr>
          <w:rFonts w:hint="eastAsia" w:ascii="宋体" w:hAnsi="宋体" w:cs="宋体"/>
          <w:bCs w:val="0"/>
          <w:color w:val="auto"/>
          <w:highlight w:val="none"/>
        </w:rPr>
        <w:t>节 资格证明文件格式</w:t>
      </w:r>
      <w:bookmarkEnd w:id="66"/>
      <w:bookmarkEnd w:id="67"/>
    </w:p>
    <w:p w14:paraId="41EDA82A">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03494C02">
      <w:pPr>
        <w:snapToGrid w:val="0"/>
        <w:spacing w:before="120" w:beforeLines="50" w:after="50"/>
        <w:rPr>
          <w:rFonts w:ascii="宋体" w:hAnsi="宋体" w:cs="宋体"/>
          <w:color w:val="auto"/>
          <w:sz w:val="24"/>
          <w:szCs w:val="20"/>
          <w:highlight w:val="none"/>
        </w:rPr>
      </w:pPr>
    </w:p>
    <w:p w14:paraId="5E19545B">
      <w:pPr>
        <w:snapToGrid w:val="0"/>
        <w:spacing w:before="120" w:beforeLines="50" w:after="50"/>
        <w:rPr>
          <w:rFonts w:ascii="宋体" w:hAnsi="宋体" w:cs="宋体"/>
          <w:color w:val="auto"/>
          <w:sz w:val="24"/>
          <w:szCs w:val="20"/>
          <w:highlight w:val="none"/>
        </w:rPr>
      </w:pPr>
    </w:p>
    <w:p w14:paraId="32FBDDBF">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09F38A28">
      <w:pPr>
        <w:snapToGrid w:val="0"/>
        <w:spacing w:before="120" w:beforeLines="50" w:after="50"/>
        <w:rPr>
          <w:rFonts w:ascii="宋体" w:hAnsi="宋体" w:cs="宋体"/>
          <w:bCs/>
          <w:color w:val="auto"/>
          <w:sz w:val="24"/>
          <w:szCs w:val="20"/>
          <w:highlight w:val="none"/>
        </w:rPr>
      </w:pPr>
    </w:p>
    <w:p w14:paraId="4A6F497A">
      <w:pPr>
        <w:snapToGrid w:val="0"/>
        <w:spacing w:before="120" w:beforeLines="50" w:after="50"/>
        <w:rPr>
          <w:rFonts w:ascii="宋体" w:hAnsi="宋体" w:cs="宋体"/>
          <w:bCs/>
          <w:color w:val="auto"/>
          <w:sz w:val="24"/>
          <w:szCs w:val="20"/>
          <w:highlight w:val="none"/>
        </w:rPr>
      </w:pPr>
    </w:p>
    <w:p w14:paraId="442E0BDA">
      <w:pPr>
        <w:snapToGrid w:val="0"/>
        <w:spacing w:before="120" w:beforeLines="50" w:after="50"/>
        <w:rPr>
          <w:rFonts w:ascii="宋体" w:hAnsi="宋体" w:cs="宋体"/>
          <w:bCs/>
          <w:color w:val="auto"/>
          <w:sz w:val="24"/>
          <w:szCs w:val="20"/>
          <w:highlight w:val="none"/>
        </w:rPr>
      </w:pPr>
    </w:p>
    <w:p w14:paraId="7445E96E">
      <w:pPr>
        <w:snapToGrid w:val="0"/>
        <w:spacing w:before="120" w:beforeLines="50" w:after="50"/>
        <w:rPr>
          <w:rFonts w:ascii="宋体" w:hAnsi="宋体" w:cs="宋体"/>
          <w:bCs/>
          <w:color w:val="auto"/>
          <w:sz w:val="24"/>
          <w:szCs w:val="20"/>
          <w:highlight w:val="none"/>
        </w:rPr>
      </w:pPr>
    </w:p>
    <w:p w14:paraId="70828D4C">
      <w:pPr>
        <w:snapToGrid w:val="0"/>
        <w:spacing w:before="120" w:beforeLines="50" w:after="50"/>
        <w:rPr>
          <w:rFonts w:ascii="宋体" w:hAnsi="宋体" w:cs="宋体"/>
          <w:bCs/>
          <w:color w:val="auto"/>
          <w:sz w:val="24"/>
          <w:szCs w:val="20"/>
          <w:highlight w:val="none"/>
        </w:rPr>
      </w:pPr>
    </w:p>
    <w:p w14:paraId="71B50F83">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68" w:name="PO_3000001868_PM002_3"/>
      <w:r>
        <w:rPr>
          <w:rFonts w:hint="eastAsia" w:ascii="宋体" w:hAnsi="宋体" w:cs="宋体"/>
          <w:bCs/>
          <w:color w:val="auto"/>
          <w:sz w:val="32"/>
          <w:szCs w:val="32"/>
          <w:highlight w:val="none"/>
        </w:rPr>
        <w:t>[项目名称]</w:t>
      </w:r>
      <w:bookmarkEnd w:id="68"/>
    </w:p>
    <w:p w14:paraId="37E0D4E4">
      <w:pPr>
        <w:snapToGrid w:val="0"/>
        <w:spacing w:before="120" w:beforeLines="50" w:after="50"/>
        <w:ind w:firstLine="720" w:firstLineChars="225"/>
        <w:rPr>
          <w:rFonts w:ascii="宋体" w:hAnsi="宋体" w:cs="宋体"/>
          <w:bCs/>
          <w:color w:val="auto"/>
          <w:sz w:val="32"/>
          <w:szCs w:val="32"/>
          <w:highlight w:val="none"/>
        </w:rPr>
      </w:pPr>
    </w:p>
    <w:p w14:paraId="01CAB8FB">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69" w:name="PO_3000001868_PM001_5"/>
      <w:r>
        <w:rPr>
          <w:rFonts w:hint="eastAsia" w:ascii="宋体" w:hAnsi="宋体" w:cs="宋体"/>
          <w:bCs/>
          <w:color w:val="auto"/>
          <w:sz w:val="32"/>
          <w:szCs w:val="32"/>
          <w:highlight w:val="none"/>
        </w:rPr>
        <w:t>[项目编号]</w:t>
      </w:r>
      <w:bookmarkEnd w:id="69"/>
    </w:p>
    <w:p w14:paraId="24F54239">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146BB04">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3A2EF7FA">
      <w:pPr>
        <w:snapToGrid w:val="0"/>
        <w:spacing w:before="120" w:beforeLines="50" w:after="50"/>
        <w:ind w:firstLine="720" w:firstLineChars="225"/>
        <w:rPr>
          <w:rFonts w:ascii="宋体" w:hAnsi="宋体" w:cs="宋体"/>
          <w:bCs/>
          <w:color w:val="auto"/>
          <w:sz w:val="32"/>
          <w:szCs w:val="32"/>
          <w:highlight w:val="none"/>
        </w:rPr>
      </w:pPr>
    </w:p>
    <w:p w14:paraId="2050E877">
      <w:pPr>
        <w:pStyle w:val="8"/>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173C880">
      <w:pPr>
        <w:pStyle w:val="8"/>
        <w:snapToGrid w:val="0"/>
        <w:spacing w:before="50" w:after="50"/>
        <w:ind w:firstLine="720" w:firstLineChars="225"/>
        <w:rPr>
          <w:rFonts w:ascii="宋体" w:hAnsi="宋体" w:cs="宋体"/>
          <w:bCs/>
          <w:color w:val="auto"/>
          <w:sz w:val="32"/>
          <w:szCs w:val="32"/>
          <w:highlight w:val="none"/>
        </w:rPr>
      </w:pPr>
    </w:p>
    <w:p w14:paraId="3384A684">
      <w:pPr>
        <w:pStyle w:val="8"/>
        <w:snapToGrid w:val="0"/>
        <w:spacing w:before="50" w:after="50"/>
        <w:ind w:firstLine="720" w:firstLineChars="225"/>
        <w:rPr>
          <w:rFonts w:ascii="宋体" w:hAnsi="宋体" w:cs="宋体"/>
          <w:bCs/>
          <w:color w:val="auto"/>
          <w:sz w:val="32"/>
          <w:szCs w:val="32"/>
          <w:highlight w:val="none"/>
        </w:rPr>
      </w:pPr>
    </w:p>
    <w:p w14:paraId="573CB0D9">
      <w:pPr>
        <w:pStyle w:val="8"/>
        <w:snapToGrid w:val="0"/>
        <w:spacing w:before="50" w:after="50"/>
        <w:ind w:firstLine="720" w:firstLineChars="225"/>
        <w:rPr>
          <w:rFonts w:ascii="宋体" w:hAnsi="宋体" w:cs="宋体"/>
          <w:bCs/>
          <w:color w:val="auto"/>
          <w:sz w:val="32"/>
          <w:szCs w:val="32"/>
          <w:highlight w:val="none"/>
        </w:rPr>
      </w:pPr>
    </w:p>
    <w:p w14:paraId="770FC600">
      <w:pPr>
        <w:pStyle w:val="8"/>
        <w:snapToGrid w:val="0"/>
        <w:spacing w:before="50" w:after="50"/>
        <w:ind w:firstLine="1280" w:firstLineChars="400"/>
        <w:rPr>
          <w:rFonts w:ascii="宋体" w:hAnsi="宋体" w:cs="宋体"/>
          <w:bCs/>
          <w:color w:val="auto"/>
          <w:sz w:val="32"/>
          <w:szCs w:val="32"/>
          <w:highlight w:val="none"/>
        </w:rPr>
      </w:pPr>
    </w:p>
    <w:p w14:paraId="0D46C6DE">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BB82489">
      <w:pPr>
        <w:snapToGrid w:val="0"/>
        <w:spacing w:before="120" w:beforeLines="50" w:after="50"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 xml:space="preserve"> </w:t>
      </w:r>
    </w:p>
    <w:p w14:paraId="0DA4B4B3">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F230133">
      <w:pPr>
        <w:snapToGrid w:val="0"/>
        <w:spacing w:line="360" w:lineRule="auto"/>
        <w:rPr>
          <w:rFonts w:ascii="宋体" w:hAnsi="宋体" w:cs="宋体"/>
          <w:color w:val="auto"/>
          <w:kern w:val="0"/>
          <w:sz w:val="24"/>
          <w:highlight w:val="none"/>
        </w:rPr>
      </w:pPr>
    </w:p>
    <w:p w14:paraId="493E3E7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一、营业执照(或事业法人登记证或其他工商等登记证明材料)复印件（供应商为自然人的，须提供自然人的身份证明）…………………………………………（页码）</w:t>
      </w:r>
    </w:p>
    <w:p w14:paraId="7107250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二、竞标人根据防财监〔2023〕58 号文要求提供的《防城港市政府采购供应商信用承诺函》……………………………………………………………………（页码）</w:t>
      </w:r>
    </w:p>
    <w:p w14:paraId="6BAAB7E8">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、供应商直接控股股东信息…………………………………………………（页码）</w:t>
      </w:r>
    </w:p>
    <w:p w14:paraId="4A9AB892">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四</w:t>
      </w:r>
      <w:r>
        <w:rPr>
          <w:rFonts w:hint="eastAsia" w:ascii="宋体" w:hAnsi="宋体" w:cs="宋体"/>
          <w:color w:val="auto"/>
          <w:sz w:val="24"/>
          <w:highlight w:val="none"/>
        </w:rPr>
        <w:t>、供应商直接关联关系信息表………………………………………………（页码）</w:t>
      </w:r>
    </w:p>
    <w:p w14:paraId="2952EC3C">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、竞标声明…………………………………………………………………（页码）</w:t>
      </w:r>
    </w:p>
    <w:p w14:paraId="171B65C5">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六</w:t>
      </w:r>
      <w:r>
        <w:rPr>
          <w:rFonts w:hint="eastAsia" w:ascii="宋体" w:hAnsi="宋体" w:cs="宋体"/>
          <w:color w:val="auto"/>
          <w:sz w:val="24"/>
          <w:highlight w:val="none"/>
        </w:rPr>
        <w:t>、中小企业声明函或残疾人福利性单位声明函或属于监狱企业的证明文件…（页码）</w:t>
      </w:r>
    </w:p>
    <w:p w14:paraId="3AF8F5F7">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lang w:val="en-US" w:eastAsia="zh-CN"/>
        </w:rPr>
        <w:t>七</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资格条件正面材料：</w:t>
      </w:r>
      <w:r>
        <w:rPr>
          <w:rFonts w:hint="default" w:ascii="宋体" w:hAnsi="宋体" w:eastAsia="宋体" w:cs="宋体"/>
          <w:color w:val="auto"/>
          <w:sz w:val="24"/>
          <w:highlight w:val="none"/>
          <w:lang w:eastAsia="zh-CN"/>
        </w:rPr>
        <w:t>①</w:t>
      </w:r>
      <w:r>
        <w:rPr>
          <w:rFonts w:hint="eastAsia" w:ascii="宋体" w:hAnsi="宋体" w:eastAsia="宋体" w:cs="宋体"/>
          <w:color w:val="auto"/>
          <w:sz w:val="24"/>
          <w:highlight w:val="none"/>
        </w:rPr>
        <w:t>供应商须具备公路工程施工总承包叁级(含)以上资质，</w:t>
      </w:r>
      <w:r>
        <w:rPr>
          <w:rFonts w:hint="eastAsia" w:ascii="宋体" w:hAnsi="宋体" w:eastAsia="宋体" w:cs="宋体"/>
          <w:color w:val="auto"/>
          <w:sz w:val="24"/>
          <w:highlight w:val="none"/>
          <w:lang w:val="en-US" w:eastAsia="zh-CN"/>
        </w:rPr>
        <w:t>同时</w:t>
      </w:r>
      <w:r>
        <w:rPr>
          <w:rFonts w:hint="eastAsia" w:ascii="宋体" w:hAnsi="宋体" w:eastAsia="宋体" w:cs="宋体"/>
          <w:color w:val="auto"/>
          <w:sz w:val="24"/>
          <w:highlight w:val="none"/>
        </w:rPr>
        <w:t>持有省级及以上建设行政主管部门颁发的安全生产许可证；</w:t>
      </w:r>
      <w:r>
        <w:rPr>
          <w:rFonts w:hint="default" w:ascii="宋体" w:hAnsi="宋体" w:eastAsia="宋体" w:cs="宋体"/>
          <w:color w:val="auto"/>
          <w:sz w:val="24"/>
          <w:highlight w:val="none"/>
        </w:rPr>
        <w:t>②</w:t>
      </w:r>
      <w:r>
        <w:rPr>
          <w:rFonts w:hint="eastAsia" w:ascii="宋体" w:hAnsi="宋体" w:eastAsia="宋体" w:cs="宋体"/>
          <w:color w:val="auto"/>
          <w:sz w:val="24"/>
          <w:highlight w:val="none"/>
          <w:lang w:val="en-US" w:eastAsia="zh-CN"/>
        </w:rPr>
        <w:t>拟投入本项目的</w:t>
      </w:r>
      <w:r>
        <w:rPr>
          <w:rFonts w:hint="eastAsia" w:ascii="宋体" w:hAnsi="宋体" w:eastAsia="宋体" w:cs="宋体"/>
          <w:color w:val="auto"/>
          <w:sz w:val="24"/>
          <w:highlight w:val="none"/>
        </w:rPr>
        <w:t>项目经理须</w:t>
      </w:r>
      <w:r>
        <w:rPr>
          <w:rFonts w:hint="eastAsia" w:ascii="宋体" w:hAnsi="宋体" w:eastAsia="宋体" w:cs="宋体"/>
          <w:color w:val="auto"/>
          <w:sz w:val="24"/>
          <w:highlight w:val="none"/>
          <w:lang w:val="en-US" w:eastAsia="zh-CN"/>
        </w:rPr>
        <w:t>具备</w:t>
      </w:r>
      <w:r>
        <w:rPr>
          <w:rFonts w:hint="eastAsia" w:ascii="宋体" w:hAnsi="宋体" w:eastAsia="宋体" w:cs="宋体"/>
          <w:color w:val="auto"/>
          <w:sz w:val="24"/>
          <w:highlight w:val="none"/>
        </w:rPr>
        <w:t>公路工程专业</w:t>
      </w:r>
      <w:r>
        <w:rPr>
          <w:rFonts w:hint="eastAsia" w:ascii="宋体" w:hAnsi="宋体" w:eastAsia="宋体" w:cs="宋体"/>
          <w:color w:val="auto"/>
          <w:sz w:val="24"/>
          <w:highlight w:val="none"/>
          <w:lang w:val="en-US" w:eastAsia="zh-CN"/>
        </w:rPr>
        <w:t>贰</w:t>
      </w:r>
      <w:r>
        <w:rPr>
          <w:rFonts w:hint="eastAsia" w:ascii="宋体" w:hAnsi="宋体" w:eastAsia="宋体" w:cs="宋体"/>
          <w:color w:val="auto"/>
          <w:sz w:val="24"/>
          <w:highlight w:val="none"/>
        </w:rPr>
        <w:t>级以上(含</w:t>
      </w:r>
      <w:r>
        <w:rPr>
          <w:rFonts w:hint="eastAsia" w:ascii="宋体" w:hAnsi="宋体" w:eastAsia="宋体" w:cs="宋体"/>
          <w:color w:val="auto"/>
          <w:sz w:val="24"/>
          <w:highlight w:val="none"/>
          <w:lang w:val="en-US" w:eastAsia="zh-CN"/>
        </w:rPr>
        <w:t>贰级</w:t>
      </w:r>
      <w:r>
        <w:rPr>
          <w:rFonts w:hint="eastAsia" w:ascii="宋体" w:hAnsi="宋体" w:eastAsia="宋体" w:cs="宋体"/>
          <w:color w:val="auto"/>
          <w:sz w:val="24"/>
          <w:highlight w:val="none"/>
        </w:rPr>
        <w:t>)注册建造师资格，并持有省级或以上交通运输行政主管部门颁发的安全生产考核合格证(“三类人员”B 类证书)…</w:t>
      </w:r>
      <w:r>
        <w:rPr>
          <w:rFonts w:hint="eastAsia" w:ascii="宋体" w:hAnsi="宋体" w:cs="宋体"/>
          <w:color w:val="auto"/>
          <w:kern w:val="0"/>
          <w:sz w:val="24"/>
          <w:highlight w:val="none"/>
        </w:rPr>
        <w:t>……………（页码）</w:t>
      </w:r>
    </w:p>
    <w:p w14:paraId="53E1D3D4">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八、承诺函</w:t>
      </w:r>
      <w:r>
        <w:rPr>
          <w:rFonts w:hint="eastAsia" w:ascii="宋体" w:hAnsi="宋体" w:eastAsia="宋体" w:cs="宋体"/>
          <w:color w:val="auto"/>
          <w:sz w:val="24"/>
          <w:highlight w:val="none"/>
        </w:rPr>
        <w:t>…</w:t>
      </w:r>
      <w:r>
        <w:rPr>
          <w:rFonts w:hint="eastAsia" w:ascii="宋体" w:hAnsi="宋体" w:cs="宋体"/>
          <w:color w:val="auto"/>
          <w:kern w:val="0"/>
          <w:sz w:val="24"/>
          <w:highlight w:val="none"/>
        </w:rPr>
        <w:t>……………（页码）</w:t>
      </w:r>
    </w:p>
    <w:p w14:paraId="01AEA020">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p>
    <w:p w14:paraId="24CAF2CE">
      <w:pPr>
        <w:snapToGrid w:val="0"/>
        <w:spacing w:before="120" w:beforeLines="50" w:after="50" w:line="360" w:lineRule="auto"/>
        <w:ind w:left="142" w:firstLine="420" w:firstLineChars="200"/>
        <w:jc w:val="left"/>
        <w:rPr>
          <w:rFonts w:ascii="宋体" w:hAnsi="宋体" w:cs="宋体"/>
          <w:color w:val="auto"/>
          <w:szCs w:val="21"/>
          <w:highlight w:val="none"/>
        </w:rPr>
      </w:pPr>
    </w:p>
    <w:p w14:paraId="36E92DC7">
      <w:pPr>
        <w:spacing w:line="300" w:lineRule="auto"/>
        <w:rPr>
          <w:rFonts w:ascii="宋体" w:hAnsi="宋体" w:cs="宋体"/>
          <w:color w:val="auto"/>
          <w:szCs w:val="21"/>
          <w:highlight w:val="none"/>
        </w:rPr>
      </w:pPr>
    </w:p>
    <w:p w14:paraId="4993EEA5">
      <w:pPr>
        <w:spacing w:line="300" w:lineRule="auto"/>
        <w:rPr>
          <w:rFonts w:ascii="宋体" w:hAnsi="宋体" w:cs="宋体"/>
          <w:color w:val="auto"/>
          <w:szCs w:val="21"/>
          <w:highlight w:val="none"/>
        </w:rPr>
      </w:pPr>
    </w:p>
    <w:p w14:paraId="348DFE01">
      <w:pPr>
        <w:spacing w:line="300" w:lineRule="auto"/>
        <w:rPr>
          <w:rFonts w:ascii="宋体" w:hAnsi="宋体" w:cs="宋体"/>
          <w:color w:val="auto"/>
          <w:szCs w:val="21"/>
          <w:highlight w:val="none"/>
        </w:rPr>
      </w:pPr>
    </w:p>
    <w:p w14:paraId="4DDBA271">
      <w:pPr>
        <w:spacing w:line="300" w:lineRule="auto"/>
        <w:rPr>
          <w:rFonts w:ascii="宋体" w:hAnsi="宋体" w:cs="宋体"/>
          <w:color w:val="auto"/>
          <w:szCs w:val="21"/>
          <w:highlight w:val="none"/>
        </w:rPr>
      </w:pPr>
    </w:p>
    <w:p w14:paraId="29F171EF">
      <w:pPr>
        <w:spacing w:line="300" w:lineRule="auto"/>
        <w:rPr>
          <w:rFonts w:ascii="宋体" w:hAnsi="宋体" w:cs="宋体"/>
          <w:color w:val="auto"/>
          <w:szCs w:val="21"/>
          <w:highlight w:val="none"/>
        </w:rPr>
      </w:pPr>
    </w:p>
    <w:p w14:paraId="3136E13D">
      <w:pPr>
        <w:spacing w:line="300" w:lineRule="auto"/>
        <w:rPr>
          <w:rFonts w:ascii="宋体" w:hAnsi="宋体" w:cs="宋体"/>
          <w:color w:val="auto"/>
          <w:szCs w:val="21"/>
          <w:highlight w:val="none"/>
        </w:rPr>
      </w:pPr>
    </w:p>
    <w:p w14:paraId="0EC44371">
      <w:pPr>
        <w:spacing w:line="300" w:lineRule="auto"/>
        <w:rPr>
          <w:rFonts w:ascii="宋体" w:hAnsi="宋体" w:cs="宋体"/>
          <w:color w:val="auto"/>
          <w:szCs w:val="21"/>
          <w:highlight w:val="none"/>
        </w:rPr>
      </w:pPr>
    </w:p>
    <w:p w14:paraId="067D8614">
      <w:pPr>
        <w:spacing w:line="300" w:lineRule="auto"/>
        <w:rPr>
          <w:rFonts w:ascii="宋体" w:hAnsi="宋体" w:cs="宋体"/>
          <w:color w:val="auto"/>
          <w:szCs w:val="21"/>
          <w:highlight w:val="none"/>
        </w:rPr>
      </w:pPr>
    </w:p>
    <w:p w14:paraId="13003AB2">
      <w:pPr>
        <w:spacing w:line="300" w:lineRule="auto"/>
        <w:rPr>
          <w:rFonts w:ascii="宋体" w:hAnsi="宋体" w:cs="宋体"/>
          <w:color w:val="auto"/>
          <w:szCs w:val="21"/>
          <w:highlight w:val="none"/>
        </w:rPr>
      </w:pPr>
    </w:p>
    <w:p w14:paraId="12BFA9DB">
      <w:pPr>
        <w:spacing w:line="300" w:lineRule="auto"/>
        <w:rPr>
          <w:rFonts w:ascii="宋体" w:hAnsi="宋体" w:cs="宋体"/>
          <w:color w:val="auto"/>
          <w:szCs w:val="21"/>
          <w:highlight w:val="none"/>
        </w:rPr>
      </w:pPr>
    </w:p>
    <w:p w14:paraId="085C8D3C">
      <w:pPr>
        <w:spacing w:line="300" w:lineRule="auto"/>
        <w:rPr>
          <w:rFonts w:ascii="宋体" w:hAnsi="宋体" w:cs="宋体"/>
          <w:color w:val="auto"/>
          <w:szCs w:val="21"/>
          <w:highlight w:val="none"/>
        </w:rPr>
      </w:pPr>
    </w:p>
    <w:p w14:paraId="39931D17">
      <w:pPr>
        <w:spacing w:line="300" w:lineRule="auto"/>
        <w:rPr>
          <w:rFonts w:ascii="宋体" w:hAnsi="宋体" w:cs="宋体"/>
          <w:color w:val="auto"/>
          <w:szCs w:val="21"/>
          <w:highlight w:val="none"/>
        </w:rPr>
      </w:pPr>
    </w:p>
    <w:p w14:paraId="340A071B">
      <w:pPr>
        <w:pStyle w:val="15"/>
        <w:spacing w:line="360" w:lineRule="auto"/>
        <w:ind w:firstLine="400" w:firstLineChars="200"/>
        <w:rPr>
          <w:rFonts w:hAnsi="宋体" w:cs="宋体"/>
          <w:b/>
          <w:color w:val="auto"/>
          <w:sz w:val="30"/>
          <w:szCs w:val="30"/>
          <w:highlight w:val="none"/>
        </w:rPr>
      </w:pPr>
      <w:r>
        <w:rPr>
          <w:rFonts w:hint="eastAsia" w:hAnsi="宋体" w:cs="宋体"/>
          <w:color w:val="auto"/>
          <w:highlight w:val="none"/>
        </w:rPr>
        <w:t xml:space="preserve">   </w:t>
      </w:r>
      <w:r>
        <w:rPr>
          <w:rFonts w:hint="eastAsia" w:hAnsi="宋体" w:cs="宋体"/>
          <w:b/>
          <w:color w:val="auto"/>
          <w:sz w:val="30"/>
          <w:szCs w:val="30"/>
          <w:highlight w:val="none"/>
        </w:rPr>
        <w:t>一、营业执照(或事业法人登记证或其他工商等登记证明材料)复印件（供应商为自然人的，提供自然人的身份证明）（电子签章）</w:t>
      </w:r>
    </w:p>
    <w:p w14:paraId="3716611B">
      <w:pPr>
        <w:pStyle w:val="15"/>
        <w:spacing w:line="360" w:lineRule="auto"/>
        <w:ind w:firstLine="602" w:firstLineChars="200"/>
        <w:rPr>
          <w:rFonts w:hAnsi="宋体" w:cs="宋体"/>
          <w:b/>
          <w:color w:val="auto"/>
          <w:sz w:val="30"/>
          <w:szCs w:val="30"/>
          <w:highlight w:val="none"/>
        </w:rPr>
      </w:pPr>
    </w:p>
    <w:p w14:paraId="655E0FAC">
      <w:pPr>
        <w:snapToGrid w:val="0"/>
        <w:spacing w:before="120" w:beforeLines="50" w:after="50"/>
        <w:rPr>
          <w:rFonts w:ascii="宋体" w:hAnsi="宋体" w:cs="宋体"/>
          <w:color w:val="auto"/>
          <w:sz w:val="24"/>
          <w:szCs w:val="20"/>
          <w:highlight w:val="none"/>
        </w:rPr>
      </w:pPr>
    </w:p>
    <w:p w14:paraId="73768C22">
      <w:pPr>
        <w:pStyle w:val="15"/>
        <w:spacing w:line="360" w:lineRule="auto"/>
        <w:ind w:firstLine="602" w:firstLineChars="200"/>
        <w:rPr>
          <w:rFonts w:ascii="宋体" w:hAnsi="宋体"/>
          <w:b/>
          <w:color w:val="auto"/>
          <w:sz w:val="32"/>
          <w:szCs w:val="32"/>
          <w:highlight w:val="none"/>
        </w:rPr>
      </w:pPr>
      <w:r>
        <w:rPr>
          <w:rFonts w:hint="eastAsia" w:hAnsi="宋体" w:cs="宋体"/>
          <w:b/>
          <w:color w:val="auto"/>
          <w:sz w:val="30"/>
          <w:szCs w:val="30"/>
          <w:highlight w:val="none"/>
        </w:rPr>
        <w:t>二、</w:t>
      </w:r>
      <w:r>
        <w:rPr>
          <w:rFonts w:hint="eastAsia" w:ascii="宋体" w:hAnsi="宋体"/>
          <w:b/>
          <w:color w:val="auto"/>
          <w:sz w:val="32"/>
          <w:szCs w:val="32"/>
          <w:highlight w:val="none"/>
        </w:rPr>
        <w:t>防城港市政府采购供应商信用承诺函（格式）</w:t>
      </w:r>
    </w:p>
    <w:p w14:paraId="30AF43E6">
      <w:pPr>
        <w:spacing w:line="320" w:lineRule="exact"/>
        <w:jc w:val="left"/>
        <w:rPr>
          <w:rFonts w:hint="eastAsia" w:ascii="宋体" w:hAnsi="宋体"/>
          <w:color w:val="auto"/>
          <w:szCs w:val="21"/>
          <w:highlight w:val="none"/>
        </w:rPr>
      </w:pPr>
    </w:p>
    <w:p w14:paraId="64F9D388">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1FF7945E">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41D67E3C">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1.我方具有符合采购文件资格要求的财务状况报告。 </w:t>
      </w:r>
    </w:p>
    <w:p w14:paraId="0C5FD3E3">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2.我方具有符合采购文件资格要求的依法缴纳税收和社会保障资金的良好记录。 </w:t>
      </w:r>
    </w:p>
    <w:p w14:paraId="1F37994E">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0C8E8488">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382A2526">
      <w:pPr>
        <w:spacing w:line="360" w:lineRule="auto"/>
        <w:jc w:val="left"/>
        <w:rPr>
          <w:rFonts w:hint="eastAsia" w:ascii="宋体" w:hAnsi="宋体"/>
          <w:color w:val="auto"/>
          <w:sz w:val="24"/>
          <w:highlight w:val="none"/>
        </w:rPr>
      </w:pPr>
    </w:p>
    <w:p w14:paraId="1BFBC2B1">
      <w:pPr>
        <w:spacing w:line="360" w:lineRule="auto"/>
        <w:jc w:val="left"/>
        <w:rPr>
          <w:rFonts w:hint="eastAsia" w:ascii="宋体" w:hAnsi="宋体"/>
          <w:color w:val="auto"/>
          <w:sz w:val="24"/>
          <w:highlight w:val="none"/>
        </w:rPr>
      </w:pPr>
    </w:p>
    <w:p w14:paraId="4F22FB9C">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30FE837B">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2CCD54F8">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6E217232">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7C1DD595">
      <w:pPr>
        <w:spacing w:line="360" w:lineRule="auto"/>
        <w:jc w:val="left"/>
        <w:rPr>
          <w:rFonts w:hint="eastAsia" w:ascii="宋体" w:hAnsi="宋体"/>
          <w:color w:val="auto"/>
          <w:sz w:val="24"/>
          <w:highlight w:val="none"/>
        </w:rPr>
      </w:pPr>
    </w:p>
    <w:p w14:paraId="21CD3949">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注：1.供应商须在响应文件中按此模板提供承诺函，未提供视为未实质性响应采购文件要求，按无效响应处理。</w:t>
      </w:r>
    </w:p>
    <w:p w14:paraId="09C7706C">
      <w:pPr>
        <w:autoSpaceDE w:val="0"/>
        <w:autoSpaceDN w:val="0"/>
        <w:spacing w:line="360" w:lineRule="auto"/>
        <w:jc w:val="left"/>
        <w:rPr>
          <w:rFonts w:ascii="宋体" w:hAnsi="宋体" w:cs="宋体"/>
          <w:b/>
          <w:bCs/>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3C1E3FC4">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5B948841">
      <w:pPr>
        <w:snapToGrid w:val="0"/>
        <w:spacing w:before="120" w:beforeLines="50" w:after="50" w:line="360" w:lineRule="auto"/>
        <w:jc w:val="center"/>
        <w:rPr>
          <w:rFonts w:ascii="宋体" w:hAnsi="宋体" w:cs="宋体"/>
          <w:b/>
          <w:color w:val="auto"/>
          <w:sz w:val="24"/>
          <w:highlight w:val="none"/>
        </w:rPr>
      </w:pPr>
    </w:p>
    <w:p w14:paraId="5E59C8FC">
      <w:pPr>
        <w:spacing w:line="360" w:lineRule="auto"/>
        <w:ind w:firstLine="596" w:firstLineChars="198"/>
        <w:rPr>
          <w:rFonts w:hint="eastAsia" w:ascii="宋体" w:hAnsi="宋体" w:cs="宋体"/>
          <w:b/>
          <w:color w:val="auto"/>
          <w:kern w:val="0"/>
          <w:sz w:val="30"/>
          <w:szCs w:val="30"/>
          <w:highlight w:val="none"/>
          <w:lang w:val="en-US" w:eastAsia="zh-CN"/>
        </w:rPr>
      </w:pPr>
    </w:p>
    <w:p w14:paraId="32CC1C59">
      <w:pPr>
        <w:spacing w:line="360" w:lineRule="auto"/>
        <w:ind w:firstLine="596" w:firstLineChars="198"/>
        <w:rPr>
          <w:rFonts w:hint="eastAsia" w:ascii="宋体" w:hAnsi="宋体" w:cs="宋体"/>
          <w:b/>
          <w:color w:val="auto"/>
          <w:kern w:val="0"/>
          <w:sz w:val="30"/>
          <w:szCs w:val="30"/>
          <w:highlight w:val="none"/>
          <w:lang w:val="en-US" w:eastAsia="zh-CN"/>
        </w:rPr>
      </w:pPr>
    </w:p>
    <w:p w14:paraId="123EEB9F">
      <w:pPr>
        <w:spacing w:line="360" w:lineRule="auto"/>
        <w:ind w:firstLine="596" w:firstLineChars="198"/>
        <w:rPr>
          <w:rFonts w:hint="eastAsia" w:ascii="宋体" w:hAnsi="宋体" w:cs="宋体"/>
          <w:b/>
          <w:color w:val="auto"/>
          <w:kern w:val="0"/>
          <w:sz w:val="30"/>
          <w:szCs w:val="30"/>
          <w:highlight w:val="none"/>
          <w:lang w:val="en-US" w:eastAsia="zh-CN"/>
        </w:rPr>
      </w:pPr>
    </w:p>
    <w:p w14:paraId="2749F171">
      <w:pPr>
        <w:spacing w:line="36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三</w:t>
      </w:r>
      <w:r>
        <w:rPr>
          <w:rFonts w:hint="eastAsia" w:ascii="宋体" w:hAnsi="宋体" w:cs="宋体"/>
          <w:b/>
          <w:color w:val="auto"/>
          <w:kern w:val="0"/>
          <w:sz w:val="30"/>
          <w:szCs w:val="30"/>
          <w:highlight w:val="none"/>
        </w:rPr>
        <w:t>、供应商直接控股股东信息</w:t>
      </w:r>
    </w:p>
    <w:p w14:paraId="3521153E">
      <w:pPr>
        <w:spacing w:line="360" w:lineRule="auto"/>
        <w:jc w:val="center"/>
        <w:rPr>
          <w:rFonts w:ascii="宋体" w:hAnsi="宋体" w:cs="宋体"/>
          <w:b/>
          <w:color w:val="auto"/>
          <w:sz w:val="24"/>
          <w:highlight w:val="none"/>
        </w:rPr>
      </w:pPr>
    </w:p>
    <w:tbl>
      <w:tblPr>
        <w:tblStyle w:val="27"/>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CB45555">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EDDAE8">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8FE9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C3DE82">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E8480">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DE0634">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ED2309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8F8AE">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53EAC1">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D5A1AD">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5199E3">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2BA085">
            <w:pPr>
              <w:widowControl/>
              <w:spacing w:line="360" w:lineRule="auto"/>
              <w:jc w:val="center"/>
              <w:rPr>
                <w:rFonts w:ascii="宋体" w:hAnsi="宋体" w:cs="宋体"/>
                <w:color w:val="auto"/>
                <w:kern w:val="0"/>
                <w:sz w:val="24"/>
                <w:highlight w:val="none"/>
              </w:rPr>
            </w:pPr>
          </w:p>
        </w:tc>
      </w:tr>
      <w:tr w14:paraId="1B681D8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06F48B">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EFC0DC">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2C6783">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6CD5F9">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392909">
            <w:pPr>
              <w:widowControl/>
              <w:spacing w:line="360" w:lineRule="auto"/>
              <w:jc w:val="center"/>
              <w:rPr>
                <w:rFonts w:ascii="宋体" w:hAnsi="宋体" w:cs="宋体"/>
                <w:color w:val="auto"/>
                <w:kern w:val="0"/>
                <w:sz w:val="24"/>
                <w:highlight w:val="none"/>
              </w:rPr>
            </w:pPr>
          </w:p>
        </w:tc>
      </w:tr>
      <w:tr w14:paraId="382EE6A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E88EF0">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57A882">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014F23">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F5847C">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2A9DF5">
            <w:pPr>
              <w:widowControl/>
              <w:spacing w:line="360" w:lineRule="auto"/>
              <w:jc w:val="center"/>
              <w:rPr>
                <w:rFonts w:ascii="宋体" w:hAnsi="宋体" w:cs="宋体"/>
                <w:color w:val="auto"/>
                <w:kern w:val="0"/>
                <w:sz w:val="24"/>
                <w:highlight w:val="none"/>
              </w:rPr>
            </w:pPr>
          </w:p>
        </w:tc>
      </w:tr>
      <w:tr w14:paraId="61D05C9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B9D83D">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E709A">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000D19">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285FF3">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AFA7DA">
            <w:pPr>
              <w:widowControl/>
              <w:spacing w:line="360" w:lineRule="auto"/>
              <w:jc w:val="center"/>
              <w:rPr>
                <w:rFonts w:ascii="宋体" w:hAnsi="宋体" w:cs="宋体"/>
                <w:color w:val="auto"/>
                <w:kern w:val="0"/>
                <w:sz w:val="24"/>
                <w:highlight w:val="none"/>
              </w:rPr>
            </w:pPr>
          </w:p>
        </w:tc>
      </w:tr>
    </w:tbl>
    <w:p w14:paraId="7FA7BA60">
      <w:pPr>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2DBFA182">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D7308BF">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289037B5">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20541941">
      <w:pPr>
        <w:snapToGrid w:val="0"/>
        <w:spacing w:line="360" w:lineRule="auto"/>
        <w:jc w:val="left"/>
        <w:rPr>
          <w:rFonts w:ascii="宋体" w:hAnsi="宋体" w:cs="宋体"/>
          <w:color w:val="auto"/>
          <w:sz w:val="24"/>
          <w:highlight w:val="none"/>
        </w:rPr>
      </w:pPr>
    </w:p>
    <w:p w14:paraId="68F31C12">
      <w:pPr>
        <w:snapToGrid w:val="0"/>
        <w:spacing w:line="360" w:lineRule="auto"/>
        <w:jc w:val="left"/>
        <w:rPr>
          <w:rFonts w:ascii="宋体" w:hAnsi="宋体" w:cs="宋体"/>
          <w:color w:val="auto"/>
          <w:sz w:val="24"/>
          <w:highlight w:val="none"/>
        </w:rPr>
      </w:pPr>
    </w:p>
    <w:p w14:paraId="24F0C7AC">
      <w:pPr>
        <w:snapToGrid w:val="0"/>
        <w:spacing w:line="360" w:lineRule="auto"/>
        <w:jc w:val="left"/>
        <w:rPr>
          <w:rFonts w:ascii="宋体" w:hAnsi="宋体" w:cs="宋体"/>
          <w:color w:val="auto"/>
          <w:sz w:val="24"/>
          <w:highlight w:val="none"/>
        </w:rPr>
      </w:pPr>
    </w:p>
    <w:p w14:paraId="479A36EF">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80A0ECB">
      <w:pPr>
        <w:autoSpaceDE w:val="0"/>
        <w:autoSpaceDN w:val="0"/>
        <w:spacing w:line="360" w:lineRule="auto"/>
        <w:ind w:firstLine="6120" w:firstLineChars="25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E46BB0B">
      <w:pPr>
        <w:autoSpaceDE w:val="0"/>
        <w:autoSpaceDN w:val="0"/>
        <w:spacing w:line="360" w:lineRule="auto"/>
        <w:ind w:firstLine="6120" w:firstLineChars="2550"/>
        <w:rPr>
          <w:rFonts w:hint="eastAsia" w:ascii="宋体" w:hAnsi="宋体" w:cs="宋体"/>
          <w:color w:val="auto"/>
          <w:kern w:val="0"/>
          <w:sz w:val="24"/>
          <w:highlight w:val="none"/>
          <w:lang w:val="zh-CN"/>
        </w:rPr>
      </w:pPr>
    </w:p>
    <w:p w14:paraId="0C212B16">
      <w:pPr>
        <w:autoSpaceDE w:val="0"/>
        <w:autoSpaceDN w:val="0"/>
        <w:spacing w:line="360" w:lineRule="auto"/>
        <w:ind w:firstLine="6120" w:firstLineChars="2550"/>
        <w:rPr>
          <w:rFonts w:hint="eastAsia" w:ascii="宋体" w:hAnsi="宋体" w:cs="宋体"/>
          <w:color w:val="auto"/>
          <w:kern w:val="0"/>
          <w:sz w:val="24"/>
          <w:highlight w:val="none"/>
          <w:lang w:val="zh-CN"/>
        </w:rPr>
      </w:pPr>
    </w:p>
    <w:p w14:paraId="00019FCF">
      <w:pPr>
        <w:autoSpaceDE w:val="0"/>
        <w:autoSpaceDN w:val="0"/>
        <w:spacing w:line="360" w:lineRule="auto"/>
        <w:ind w:firstLine="6120" w:firstLineChars="2550"/>
        <w:rPr>
          <w:rFonts w:hint="eastAsia" w:ascii="宋体" w:hAnsi="宋体" w:cs="宋体"/>
          <w:color w:val="auto"/>
          <w:kern w:val="0"/>
          <w:sz w:val="24"/>
          <w:highlight w:val="none"/>
          <w:lang w:val="zh-CN"/>
        </w:rPr>
      </w:pPr>
    </w:p>
    <w:p w14:paraId="397C911A">
      <w:pPr>
        <w:autoSpaceDE w:val="0"/>
        <w:autoSpaceDN w:val="0"/>
        <w:spacing w:line="360" w:lineRule="auto"/>
        <w:ind w:firstLine="6120" w:firstLineChars="2550"/>
        <w:rPr>
          <w:rFonts w:hint="eastAsia" w:ascii="宋体" w:hAnsi="宋体" w:cs="宋体"/>
          <w:color w:val="auto"/>
          <w:kern w:val="0"/>
          <w:sz w:val="24"/>
          <w:highlight w:val="none"/>
          <w:lang w:val="zh-CN"/>
        </w:rPr>
      </w:pPr>
    </w:p>
    <w:p w14:paraId="6C3CF9D0">
      <w:pPr>
        <w:autoSpaceDE w:val="0"/>
        <w:autoSpaceDN w:val="0"/>
        <w:spacing w:line="360" w:lineRule="auto"/>
        <w:ind w:firstLine="6120" w:firstLineChars="2550"/>
        <w:rPr>
          <w:rFonts w:hint="eastAsia" w:ascii="宋体" w:hAnsi="宋体" w:cs="宋体"/>
          <w:color w:val="auto"/>
          <w:kern w:val="0"/>
          <w:sz w:val="24"/>
          <w:highlight w:val="none"/>
          <w:lang w:val="zh-CN"/>
        </w:rPr>
      </w:pPr>
    </w:p>
    <w:p w14:paraId="220FA833">
      <w:pPr>
        <w:autoSpaceDE w:val="0"/>
        <w:autoSpaceDN w:val="0"/>
        <w:spacing w:line="360" w:lineRule="auto"/>
        <w:ind w:firstLine="6120" w:firstLineChars="2550"/>
        <w:rPr>
          <w:rFonts w:hint="eastAsia" w:ascii="宋体" w:hAnsi="宋体" w:cs="宋体"/>
          <w:color w:val="auto"/>
          <w:kern w:val="0"/>
          <w:sz w:val="24"/>
          <w:highlight w:val="none"/>
          <w:lang w:val="zh-CN"/>
        </w:rPr>
      </w:pPr>
    </w:p>
    <w:p w14:paraId="47BCC198">
      <w:pPr>
        <w:autoSpaceDE w:val="0"/>
        <w:autoSpaceDN w:val="0"/>
        <w:spacing w:line="360" w:lineRule="auto"/>
        <w:ind w:firstLine="6120" w:firstLineChars="2550"/>
        <w:rPr>
          <w:rFonts w:hint="eastAsia" w:ascii="宋体" w:hAnsi="宋体" w:cs="宋体"/>
          <w:color w:val="auto"/>
          <w:kern w:val="0"/>
          <w:sz w:val="24"/>
          <w:highlight w:val="none"/>
          <w:lang w:val="zh-CN"/>
        </w:rPr>
      </w:pPr>
    </w:p>
    <w:p w14:paraId="2024A463">
      <w:pPr>
        <w:snapToGrid w:val="0"/>
        <w:rPr>
          <w:rFonts w:ascii="宋体" w:hAnsi="宋体" w:cs="宋体"/>
          <w:b/>
          <w:color w:val="auto"/>
          <w:kern w:val="0"/>
          <w:sz w:val="30"/>
          <w:szCs w:val="30"/>
          <w:highlight w:val="none"/>
        </w:rPr>
      </w:pPr>
    </w:p>
    <w:p w14:paraId="3E2D9103">
      <w:pPr>
        <w:snapToGrid w:val="0"/>
        <w:rPr>
          <w:rFonts w:ascii="宋体" w:hAnsi="宋体" w:cs="宋体"/>
          <w:b/>
          <w:color w:val="auto"/>
          <w:kern w:val="0"/>
          <w:sz w:val="30"/>
          <w:szCs w:val="30"/>
          <w:highlight w:val="none"/>
        </w:rPr>
      </w:pPr>
    </w:p>
    <w:p w14:paraId="08718C1F">
      <w:pPr>
        <w:snapToGrid w:val="0"/>
        <w:rPr>
          <w:rFonts w:ascii="宋体" w:hAnsi="宋体" w:cs="宋体"/>
          <w:b/>
          <w:color w:val="auto"/>
          <w:kern w:val="0"/>
          <w:sz w:val="30"/>
          <w:szCs w:val="30"/>
          <w:highlight w:val="none"/>
        </w:rPr>
      </w:pPr>
    </w:p>
    <w:p w14:paraId="7CADC32B">
      <w:pPr>
        <w:snapToGrid w:val="0"/>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四</w:t>
      </w:r>
      <w:r>
        <w:rPr>
          <w:rFonts w:hint="eastAsia" w:ascii="宋体" w:hAnsi="宋体" w:cs="宋体"/>
          <w:b/>
          <w:color w:val="auto"/>
          <w:kern w:val="0"/>
          <w:sz w:val="30"/>
          <w:szCs w:val="30"/>
          <w:highlight w:val="none"/>
        </w:rPr>
        <w:t>、供应商直接管理关系信息表</w:t>
      </w:r>
    </w:p>
    <w:p w14:paraId="606AC761">
      <w:pPr>
        <w:snapToGrid w:val="0"/>
        <w:spacing w:line="360" w:lineRule="auto"/>
        <w:jc w:val="center"/>
        <w:rPr>
          <w:rFonts w:ascii="宋体" w:hAnsi="宋体" w:cs="宋体"/>
          <w:b/>
          <w:color w:val="auto"/>
          <w:sz w:val="24"/>
          <w:highlight w:val="none"/>
        </w:rPr>
      </w:pPr>
    </w:p>
    <w:tbl>
      <w:tblPr>
        <w:tblStyle w:val="27"/>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5059719">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183FE">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A9796F">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143633">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4C2682">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E871A4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980C3E">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A22093">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E3CF18">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6DAC8B">
            <w:pPr>
              <w:widowControl/>
              <w:spacing w:line="360" w:lineRule="auto"/>
              <w:jc w:val="center"/>
              <w:rPr>
                <w:rFonts w:ascii="宋体" w:hAnsi="宋体" w:cs="宋体"/>
                <w:color w:val="auto"/>
                <w:kern w:val="0"/>
                <w:sz w:val="24"/>
                <w:highlight w:val="none"/>
              </w:rPr>
            </w:pPr>
          </w:p>
        </w:tc>
      </w:tr>
      <w:tr w14:paraId="3487CB2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254798">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4F2A14">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A155E7">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9F40CA">
            <w:pPr>
              <w:widowControl/>
              <w:spacing w:line="360" w:lineRule="auto"/>
              <w:jc w:val="center"/>
              <w:rPr>
                <w:rFonts w:ascii="宋体" w:hAnsi="宋体" w:cs="宋体"/>
                <w:color w:val="auto"/>
                <w:kern w:val="0"/>
                <w:sz w:val="24"/>
                <w:highlight w:val="none"/>
              </w:rPr>
            </w:pPr>
          </w:p>
        </w:tc>
      </w:tr>
      <w:tr w14:paraId="33B170F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3954E0">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9CB276">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F248">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56F579">
            <w:pPr>
              <w:widowControl/>
              <w:spacing w:line="360" w:lineRule="auto"/>
              <w:jc w:val="center"/>
              <w:rPr>
                <w:rFonts w:ascii="宋体" w:hAnsi="宋体" w:cs="宋体"/>
                <w:color w:val="auto"/>
                <w:kern w:val="0"/>
                <w:sz w:val="24"/>
                <w:highlight w:val="none"/>
              </w:rPr>
            </w:pPr>
          </w:p>
        </w:tc>
      </w:tr>
      <w:tr w14:paraId="5E92C99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DAECEC">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BD039A">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9CC0EA">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F36295">
            <w:pPr>
              <w:widowControl/>
              <w:spacing w:line="360" w:lineRule="auto"/>
              <w:jc w:val="center"/>
              <w:rPr>
                <w:rFonts w:ascii="宋体" w:hAnsi="宋体" w:cs="宋体"/>
                <w:color w:val="auto"/>
                <w:kern w:val="0"/>
                <w:sz w:val="24"/>
                <w:highlight w:val="none"/>
              </w:rPr>
            </w:pPr>
          </w:p>
        </w:tc>
      </w:tr>
    </w:tbl>
    <w:p w14:paraId="58B057F6">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575CA980">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728086FA">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1A457F38">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09ED5EB4">
      <w:pPr>
        <w:spacing w:line="360" w:lineRule="auto"/>
        <w:jc w:val="left"/>
        <w:rPr>
          <w:rFonts w:ascii="宋体" w:hAnsi="宋体" w:cs="宋体"/>
          <w:color w:val="auto"/>
          <w:sz w:val="24"/>
          <w:highlight w:val="none"/>
        </w:rPr>
      </w:pPr>
    </w:p>
    <w:p w14:paraId="4CEE7D7E">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26AA317">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94A2964">
      <w:pPr>
        <w:spacing w:line="360" w:lineRule="auto"/>
        <w:ind w:right="480" w:firstLine="240" w:firstLineChars="100"/>
        <w:contextualSpacing/>
        <w:jc w:val="center"/>
        <w:rPr>
          <w:rFonts w:hint="eastAsia" w:ascii="宋体" w:hAnsi="宋体" w:cs="宋体"/>
          <w:color w:val="auto"/>
          <w:sz w:val="24"/>
          <w:highlight w:val="none"/>
        </w:rPr>
      </w:pPr>
    </w:p>
    <w:p w14:paraId="59CA8F17">
      <w:pPr>
        <w:spacing w:line="360" w:lineRule="auto"/>
        <w:ind w:right="480" w:firstLine="240" w:firstLineChars="100"/>
        <w:contextualSpacing/>
        <w:jc w:val="center"/>
        <w:rPr>
          <w:rFonts w:hint="eastAsia" w:ascii="宋体" w:hAnsi="宋体" w:cs="宋体"/>
          <w:color w:val="auto"/>
          <w:sz w:val="24"/>
          <w:highlight w:val="none"/>
        </w:rPr>
      </w:pPr>
    </w:p>
    <w:p w14:paraId="25986098">
      <w:pPr>
        <w:spacing w:line="360" w:lineRule="auto"/>
        <w:ind w:right="480" w:firstLine="240" w:firstLineChars="100"/>
        <w:contextualSpacing/>
        <w:jc w:val="center"/>
        <w:rPr>
          <w:rFonts w:hint="eastAsia" w:ascii="宋体" w:hAnsi="宋体" w:cs="宋体"/>
          <w:color w:val="auto"/>
          <w:sz w:val="24"/>
          <w:highlight w:val="none"/>
        </w:rPr>
      </w:pPr>
    </w:p>
    <w:p w14:paraId="58D75740">
      <w:pPr>
        <w:spacing w:line="360" w:lineRule="auto"/>
        <w:ind w:right="480" w:firstLine="240" w:firstLineChars="100"/>
        <w:contextualSpacing/>
        <w:jc w:val="center"/>
        <w:rPr>
          <w:rFonts w:hint="eastAsia" w:ascii="宋体" w:hAnsi="宋体" w:cs="宋体"/>
          <w:color w:val="auto"/>
          <w:sz w:val="24"/>
          <w:highlight w:val="none"/>
        </w:rPr>
      </w:pPr>
    </w:p>
    <w:p w14:paraId="1A7C2EB3">
      <w:pPr>
        <w:spacing w:line="360" w:lineRule="auto"/>
        <w:ind w:right="480" w:firstLine="240" w:firstLineChars="100"/>
        <w:contextualSpacing/>
        <w:jc w:val="center"/>
        <w:rPr>
          <w:rFonts w:hint="eastAsia" w:ascii="宋体" w:hAnsi="宋体" w:cs="宋体"/>
          <w:color w:val="auto"/>
          <w:sz w:val="24"/>
          <w:highlight w:val="none"/>
        </w:rPr>
      </w:pPr>
    </w:p>
    <w:p w14:paraId="18019E04">
      <w:pPr>
        <w:spacing w:line="360" w:lineRule="auto"/>
        <w:ind w:right="480" w:firstLine="240" w:firstLineChars="100"/>
        <w:contextualSpacing/>
        <w:jc w:val="center"/>
        <w:rPr>
          <w:rFonts w:hint="eastAsia" w:ascii="宋体" w:hAnsi="宋体" w:cs="宋体"/>
          <w:color w:val="auto"/>
          <w:sz w:val="24"/>
          <w:highlight w:val="none"/>
        </w:rPr>
      </w:pPr>
    </w:p>
    <w:p w14:paraId="32E75FED">
      <w:pPr>
        <w:spacing w:line="360" w:lineRule="auto"/>
        <w:ind w:right="480" w:firstLine="240" w:firstLineChars="100"/>
        <w:contextualSpacing/>
        <w:jc w:val="center"/>
        <w:rPr>
          <w:rFonts w:hint="eastAsia" w:ascii="宋体" w:hAnsi="宋体" w:cs="宋体"/>
          <w:color w:val="auto"/>
          <w:sz w:val="24"/>
          <w:highlight w:val="none"/>
        </w:rPr>
      </w:pPr>
    </w:p>
    <w:p w14:paraId="3803614B">
      <w:pPr>
        <w:spacing w:line="360" w:lineRule="auto"/>
        <w:ind w:right="480" w:firstLine="240" w:firstLineChars="100"/>
        <w:contextualSpacing/>
        <w:jc w:val="center"/>
        <w:rPr>
          <w:rFonts w:hint="eastAsia" w:ascii="宋体" w:hAnsi="宋体" w:cs="宋体"/>
          <w:color w:val="auto"/>
          <w:sz w:val="24"/>
          <w:highlight w:val="none"/>
        </w:rPr>
      </w:pPr>
    </w:p>
    <w:p w14:paraId="0B1AFD75">
      <w:pPr>
        <w:spacing w:line="360" w:lineRule="auto"/>
        <w:ind w:right="480" w:firstLine="240" w:firstLineChars="100"/>
        <w:contextualSpacing/>
        <w:jc w:val="center"/>
        <w:rPr>
          <w:rFonts w:hint="eastAsia" w:ascii="宋体" w:hAnsi="宋体" w:cs="宋体"/>
          <w:color w:val="auto"/>
          <w:sz w:val="24"/>
          <w:highlight w:val="none"/>
        </w:rPr>
      </w:pPr>
    </w:p>
    <w:p w14:paraId="5974DDA5">
      <w:pPr>
        <w:spacing w:line="360" w:lineRule="auto"/>
        <w:ind w:right="480" w:firstLine="240" w:firstLineChars="100"/>
        <w:contextualSpacing/>
        <w:jc w:val="center"/>
        <w:rPr>
          <w:rFonts w:hint="eastAsia" w:ascii="宋体" w:hAnsi="宋体" w:cs="宋体"/>
          <w:color w:val="auto"/>
          <w:sz w:val="24"/>
          <w:highlight w:val="none"/>
        </w:rPr>
      </w:pPr>
    </w:p>
    <w:p w14:paraId="7B639FE7">
      <w:pPr>
        <w:spacing w:line="360" w:lineRule="auto"/>
        <w:ind w:right="480" w:firstLine="240" w:firstLineChars="100"/>
        <w:contextualSpacing/>
        <w:jc w:val="center"/>
        <w:rPr>
          <w:rFonts w:hint="eastAsia" w:ascii="宋体" w:hAnsi="宋体" w:cs="宋体"/>
          <w:color w:val="auto"/>
          <w:sz w:val="24"/>
          <w:highlight w:val="none"/>
        </w:rPr>
      </w:pPr>
    </w:p>
    <w:p w14:paraId="6FEAC6EA">
      <w:pPr>
        <w:spacing w:line="360" w:lineRule="auto"/>
        <w:ind w:right="480" w:firstLine="240" w:firstLineChars="100"/>
        <w:contextualSpacing/>
        <w:jc w:val="center"/>
        <w:rPr>
          <w:rFonts w:hint="eastAsia" w:ascii="宋体" w:hAnsi="宋体" w:cs="宋体"/>
          <w:color w:val="auto"/>
          <w:sz w:val="24"/>
          <w:highlight w:val="none"/>
        </w:rPr>
      </w:pPr>
    </w:p>
    <w:p w14:paraId="388BFB3B">
      <w:pPr>
        <w:spacing w:line="320" w:lineRule="exact"/>
        <w:ind w:firstLine="602" w:firstLineChars="200"/>
        <w:jc w:val="left"/>
        <w:rPr>
          <w:rFonts w:ascii="宋体" w:hAnsi="宋体" w:cs="宋体"/>
          <w:color w:val="auto"/>
          <w:sz w:val="28"/>
          <w:szCs w:val="28"/>
          <w:highlight w:val="none"/>
        </w:rPr>
      </w:pPr>
      <w:bookmarkStart w:id="509" w:name="_GoBack"/>
      <w:bookmarkEnd w:id="509"/>
      <w:r>
        <w:rPr>
          <w:rFonts w:hint="eastAsia" w:ascii="宋体" w:hAnsi="宋体" w:cs="宋体"/>
          <w:b/>
          <w:color w:val="auto"/>
          <w:kern w:val="0"/>
          <w:sz w:val="30"/>
          <w:szCs w:val="30"/>
          <w:highlight w:val="none"/>
          <w:lang w:val="en-US" w:eastAsia="zh-CN"/>
        </w:rPr>
        <w:t>五</w:t>
      </w:r>
      <w:r>
        <w:rPr>
          <w:rFonts w:hint="eastAsia" w:ascii="宋体" w:hAnsi="宋体" w:cs="宋体"/>
          <w:b/>
          <w:color w:val="auto"/>
          <w:kern w:val="0"/>
          <w:sz w:val="30"/>
          <w:szCs w:val="30"/>
          <w:highlight w:val="none"/>
        </w:rPr>
        <w:t>、</w:t>
      </w:r>
      <w:r>
        <w:rPr>
          <w:rFonts w:hint="eastAsia" w:ascii="宋体" w:hAnsi="宋体" w:cs="宋体"/>
          <w:b/>
          <w:color w:val="auto"/>
          <w:kern w:val="0"/>
          <w:sz w:val="30"/>
          <w:szCs w:val="30"/>
          <w:highlight w:val="none"/>
          <w:lang w:val="en-US" w:eastAsia="zh-CN"/>
        </w:rPr>
        <w:t>竞标</w:t>
      </w:r>
      <w:r>
        <w:rPr>
          <w:rFonts w:hint="eastAsia" w:ascii="宋体" w:hAnsi="宋体" w:cs="宋体"/>
          <w:b/>
          <w:color w:val="auto"/>
          <w:kern w:val="0"/>
          <w:sz w:val="30"/>
          <w:szCs w:val="30"/>
          <w:highlight w:val="none"/>
        </w:rPr>
        <w:t>声明函</w:t>
      </w:r>
    </w:p>
    <w:p w14:paraId="65D49B1B">
      <w:pPr>
        <w:spacing w:line="320" w:lineRule="exact"/>
        <w:jc w:val="both"/>
        <w:rPr>
          <w:rFonts w:ascii="宋体" w:hAnsi="宋体" w:cs="宋体"/>
          <w:b/>
          <w:color w:val="auto"/>
          <w:sz w:val="32"/>
          <w:szCs w:val="32"/>
          <w:highlight w:val="none"/>
        </w:rPr>
      </w:pPr>
    </w:p>
    <w:p w14:paraId="3E1742AD">
      <w:pPr>
        <w:spacing w:line="320" w:lineRule="exact"/>
        <w:jc w:val="center"/>
        <w:rPr>
          <w:rFonts w:ascii="宋体" w:hAnsi="宋体" w:cs="宋体"/>
          <w:b/>
          <w:color w:val="auto"/>
          <w:sz w:val="32"/>
          <w:szCs w:val="32"/>
          <w:highlight w:val="none"/>
        </w:rPr>
      </w:pPr>
      <w:r>
        <w:rPr>
          <w:rFonts w:hint="eastAsia" w:ascii="宋体" w:hAnsi="宋体" w:cs="宋体"/>
          <w:b/>
          <w:color w:val="auto"/>
          <w:kern w:val="0"/>
          <w:sz w:val="30"/>
          <w:szCs w:val="30"/>
          <w:highlight w:val="none"/>
          <w:lang w:val="en-US" w:eastAsia="zh-CN"/>
        </w:rPr>
        <w:t>竞标</w:t>
      </w:r>
      <w:r>
        <w:rPr>
          <w:rFonts w:hint="eastAsia" w:ascii="宋体" w:hAnsi="宋体" w:cs="宋体"/>
          <w:b/>
          <w:color w:val="auto"/>
          <w:sz w:val="32"/>
          <w:szCs w:val="32"/>
          <w:highlight w:val="none"/>
        </w:rPr>
        <w:t>声明函</w:t>
      </w:r>
    </w:p>
    <w:p w14:paraId="035F08CA">
      <w:pPr>
        <w:spacing w:line="320" w:lineRule="exact"/>
        <w:jc w:val="center"/>
        <w:rPr>
          <w:rFonts w:ascii="宋体" w:hAnsi="宋体" w:cs="宋体"/>
          <w:color w:val="auto"/>
          <w:sz w:val="24"/>
          <w:szCs w:val="20"/>
          <w:highlight w:val="none"/>
        </w:rPr>
      </w:pPr>
    </w:p>
    <w:p w14:paraId="3355E322">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64A7B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3A3D3C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EECA12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7CEE49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16DB7E9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6B80610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1E9E0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110E231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36AB4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0F3A0EE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7F1882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CA8231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232847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546DD2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AAEC55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30A6310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5412F6E">
      <w:pPr>
        <w:pStyle w:val="8"/>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5.我方承诺具有满足本项目的承保资格、经营能力、售后服务和偿付能力；承诺</w:t>
      </w:r>
      <w:r>
        <w:rPr>
          <w:rFonts w:ascii="宋体" w:hAnsi="宋体" w:cs="宋体"/>
          <w:color w:val="auto"/>
          <w:sz w:val="24"/>
          <w:szCs w:val="24"/>
          <w:highlight w:val="none"/>
        </w:rPr>
        <w:t>同一保险机构只</w:t>
      </w:r>
      <w:r>
        <w:rPr>
          <w:rFonts w:hint="eastAsia" w:ascii="宋体" w:hAnsi="宋体" w:cs="宋体"/>
          <w:color w:val="auto"/>
          <w:sz w:val="24"/>
          <w:szCs w:val="24"/>
          <w:highlight w:val="none"/>
        </w:rPr>
        <w:t>有</w:t>
      </w:r>
      <w:r>
        <w:rPr>
          <w:rFonts w:ascii="宋体" w:hAnsi="宋体" w:cs="宋体"/>
          <w:color w:val="auto"/>
          <w:sz w:val="24"/>
          <w:szCs w:val="24"/>
          <w:highlight w:val="none"/>
        </w:rPr>
        <w:t>一家公司</w:t>
      </w:r>
      <w:r>
        <w:rPr>
          <w:rFonts w:hint="eastAsia" w:ascii="宋体" w:hAnsi="宋体" w:cs="宋体"/>
          <w:color w:val="auto"/>
          <w:sz w:val="24"/>
          <w:szCs w:val="24"/>
          <w:highlight w:val="none"/>
        </w:rPr>
        <w:t>（包括其总公司、省级分公司的下属分公司、分支机构）</w:t>
      </w:r>
      <w:r>
        <w:rPr>
          <w:rFonts w:ascii="宋体" w:hAnsi="宋体" w:cs="宋体"/>
          <w:color w:val="auto"/>
          <w:sz w:val="24"/>
          <w:szCs w:val="24"/>
          <w:highlight w:val="none"/>
        </w:rPr>
        <w:t>参与本次</w:t>
      </w:r>
      <w:r>
        <w:rPr>
          <w:rFonts w:hint="eastAsia" w:ascii="宋体" w:hAnsi="宋体" w:cs="宋体"/>
          <w:color w:val="auto"/>
          <w:sz w:val="24"/>
          <w:szCs w:val="24"/>
          <w:highlight w:val="none"/>
        </w:rPr>
        <w:t>竞标，如有2家及以上属于本单位同系统的供应商（包括其总公司、省级分公司的下属分公司、分支机构）参与竞标的，则只认可最先获取竞争性磋商文件的供应商。</w:t>
      </w:r>
    </w:p>
    <w:p w14:paraId="68DFB59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DFFF2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根据《中华人民共和国政府采购法实施条例》第五十条要求对政府采购合同进行公告，但政府采购合同中涉及国家秘密、商业秘密的内容除外。我方就对本次响应文件进行注明如下：（两项内容中必须选择一项）</w:t>
      </w:r>
    </w:p>
    <w:p w14:paraId="793ACFE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81DE32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D1BA4A1">
      <w:pPr>
        <w:pStyle w:val="1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lang w:eastAsia="zh-CN"/>
        </w:rPr>
        <w:t>8</w:t>
      </w:r>
      <w:r>
        <w:rPr>
          <w:rFonts w:hint="eastAsia" w:hAnsi="宋体" w:cs="宋体"/>
          <w:color w:val="auto"/>
          <w:sz w:val="24"/>
          <w:szCs w:val="24"/>
          <w:highlight w:val="none"/>
        </w:rPr>
        <w:t>.与本磋商有关的一切正式往来信函请寄：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0E5BA56">
      <w:pPr>
        <w:pStyle w:val="1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09E1689">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492D6BFD">
      <w:pPr>
        <w:pStyle w:val="13"/>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9.以上事项如有虚假或者隐瞒，我方愿意承担一切后果，并不再寻求任何旨在减轻或者免除法律责任的辩解。</w:t>
      </w:r>
    </w:p>
    <w:p w14:paraId="5CE627F7">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45AAF223">
      <w:pPr>
        <w:spacing w:line="360" w:lineRule="auto"/>
        <w:contextualSpacing/>
        <w:jc w:val="left"/>
        <w:rPr>
          <w:rFonts w:hint="eastAsia" w:ascii="宋体" w:hAnsi="宋体" w:cs="宋体"/>
          <w:b/>
          <w:color w:val="auto"/>
          <w:sz w:val="24"/>
          <w:highlight w:val="none"/>
        </w:rPr>
      </w:pPr>
    </w:p>
    <w:p w14:paraId="7A82FC17">
      <w:pPr>
        <w:spacing w:line="360" w:lineRule="auto"/>
        <w:contextualSpacing/>
        <w:jc w:val="left"/>
        <w:rPr>
          <w:rFonts w:hint="eastAsia" w:ascii="宋体" w:hAnsi="宋体" w:cs="宋体"/>
          <w:color w:val="auto"/>
          <w:szCs w:val="21"/>
          <w:highlight w:val="none"/>
        </w:rPr>
      </w:pPr>
    </w:p>
    <w:p w14:paraId="21E00605">
      <w:pPr>
        <w:spacing w:line="360" w:lineRule="auto"/>
        <w:ind w:firstLine="1800" w:firstLineChars="750"/>
        <w:contextualSpacing/>
        <w:rPr>
          <w:rFonts w:hint="eastAsia"/>
          <w:color w:val="auto"/>
          <w:sz w:val="24"/>
          <w:szCs w:val="24"/>
          <w:highlight w:val="none"/>
        </w:rPr>
      </w:pPr>
      <w:r>
        <w:rPr>
          <w:rFonts w:hint="eastAsia"/>
          <w:color w:val="auto"/>
          <w:sz w:val="24"/>
          <w:szCs w:val="24"/>
          <w:highlight w:val="none"/>
        </w:rPr>
        <w:t>法定代表人（</w:t>
      </w:r>
      <w:r>
        <w:rPr>
          <w:rFonts w:hint="eastAsia" w:ascii="宋体" w:hAnsi="宋体"/>
          <w:color w:val="auto"/>
          <w:sz w:val="24"/>
          <w:szCs w:val="24"/>
          <w:highlight w:val="none"/>
        </w:rPr>
        <w:t>签字或者盖章或者电子签名</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rPr>
        <w:t xml:space="preserve">                                     </w:t>
      </w:r>
    </w:p>
    <w:p w14:paraId="47A7D065">
      <w:pPr>
        <w:spacing w:line="360" w:lineRule="auto"/>
        <w:ind w:firstLine="1920" w:firstLineChars="800"/>
        <w:contextualSpacing/>
        <w:rPr>
          <w:rFonts w:hint="eastAsia" w:ascii="宋体" w:hAnsi="宋体" w:cs="宋体"/>
          <w:color w:val="auto"/>
          <w:sz w:val="24"/>
          <w:szCs w:val="24"/>
          <w:highlight w:val="none"/>
          <w:u w:val="single"/>
        </w:rPr>
      </w:pPr>
      <w:r>
        <w:rPr>
          <w:rFonts w:hint="eastAsia"/>
          <w:color w:val="auto"/>
          <w:sz w:val="24"/>
          <w:szCs w:val="24"/>
          <w:highlight w:val="none"/>
        </w:rPr>
        <w:t>供应商（电子签章）：</w:t>
      </w:r>
      <w:r>
        <w:rPr>
          <w:rFonts w:hint="eastAsia"/>
          <w:color w:val="auto"/>
          <w:sz w:val="24"/>
          <w:szCs w:val="24"/>
          <w:highlight w:val="none"/>
          <w:u w:val="single"/>
        </w:rPr>
        <w:t xml:space="preserve">                               </w:t>
      </w:r>
      <w:r>
        <w:rPr>
          <w:rFonts w:hint="eastAsia"/>
          <w:color w:val="auto"/>
          <w:sz w:val="24"/>
          <w:szCs w:val="24"/>
          <w:highlight w:val="none"/>
        </w:rPr>
        <w:t xml:space="preserve">       </w:t>
      </w:r>
      <w:r>
        <w:rPr>
          <w:rFonts w:hint="eastAsia" w:ascii="宋体" w:hAnsi="宋体" w:cs="宋体"/>
          <w:color w:val="auto"/>
          <w:sz w:val="24"/>
          <w:szCs w:val="24"/>
          <w:highlight w:val="none"/>
        </w:rPr>
        <w:t xml:space="preserve">    </w:t>
      </w:r>
    </w:p>
    <w:p w14:paraId="464BB6EB">
      <w:pPr>
        <w:widowControl/>
        <w:spacing w:line="360" w:lineRule="auto"/>
        <w:jc w:val="left"/>
        <w:rPr>
          <w:rFonts w:hint="eastAsia"/>
          <w:color w:val="auto"/>
          <w:sz w:val="24"/>
          <w:szCs w:val="24"/>
          <w:highlight w:val="none"/>
          <w:lang w:val="zh-CN"/>
        </w:rPr>
        <w:sectPr>
          <w:pgSz w:w="11910" w:h="16840"/>
          <w:pgMar w:top="1340" w:right="1500" w:bottom="280" w:left="1680" w:header="720" w:footer="720" w:gutter="0"/>
          <w:cols w:space="720" w:num="1"/>
        </w:sectPr>
      </w:pPr>
      <w:r>
        <w:rPr>
          <w:rFonts w:hint="eastAsia" w:ascii="宋体" w:hAnsi="宋体" w:cs="宋体"/>
          <w:color w:val="auto"/>
          <w:sz w:val="24"/>
          <w:szCs w:val="24"/>
          <w:highlight w:val="none"/>
        </w:rPr>
        <w:t xml:space="preserve">                                               </w:t>
      </w:r>
      <w:r>
        <w:rPr>
          <w:rFonts w:hint="eastAsia"/>
          <w:color w:val="auto"/>
          <w:sz w:val="24"/>
          <w:szCs w:val="24"/>
          <w:highlight w:val="none"/>
        </w:rPr>
        <w:t xml:space="preserve"> 年    月    日</w:t>
      </w:r>
    </w:p>
    <w:p w14:paraId="17188202">
      <w:pPr>
        <w:pStyle w:val="36"/>
        <w:rPr>
          <w:color w:val="auto"/>
          <w:highlight w:val="none"/>
        </w:rPr>
      </w:pPr>
    </w:p>
    <w:p w14:paraId="0B3D6430">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、中小企业声明函或残疾人福利性单位声明函或属于监狱企业的证明文件</w:t>
      </w:r>
    </w:p>
    <w:p w14:paraId="6BEE0E85">
      <w:pPr>
        <w:spacing w:line="30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中小企业声明函（工程、服务）</w:t>
      </w:r>
    </w:p>
    <w:p w14:paraId="0BC5398D">
      <w:pPr>
        <w:spacing w:line="360" w:lineRule="auto"/>
        <w:ind w:firstLine="550"/>
        <w:rPr>
          <w:rFonts w:ascii="宋体" w:hAnsi="宋体" w:cs="宋体"/>
          <w:color w:val="auto"/>
          <w:kern w:val="0"/>
          <w:sz w:val="24"/>
          <w:highlight w:val="none"/>
        </w:rPr>
      </w:pPr>
    </w:p>
    <w:p w14:paraId="74E8D06C">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本公司（联合体）郑重声明，根据《政府采购促进中小企业发展管理办法》（财库﹝2020﹞46 号）的规定，本公司（联合体）参加</w:t>
      </w:r>
      <w:r>
        <w:rPr>
          <w:rFonts w:hint="eastAsia" w:ascii="宋体" w:hAnsi="宋体" w:cs="宋体"/>
          <w:color w:val="auto"/>
          <w:sz w:val="24"/>
          <w:highlight w:val="none"/>
          <w:u w:val="single"/>
        </w:rPr>
        <w:t>[采购人]</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D24F052">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 xml:space="preserve">1.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（采购文件中明确的所属行业：见服务需求一览表）</w:t>
      </w:r>
      <w:r>
        <w:rPr>
          <w:rFonts w:hint="eastAsia" w:ascii="宋体" w:hAnsi="宋体" w:cs="宋体"/>
          <w:color w:val="auto"/>
          <w:kern w:val="0"/>
          <w:sz w:val="24"/>
          <w:highlight w:val="none"/>
        </w:rPr>
        <w:t>行业；承建（承接）企业为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w:t>
      </w:r>
      <w:r>
        <w:rPr>
          <w:rFonts w:hint="eastAsia" w:ascii="宋体" w:hAnsi="宋体" w:cs="宋体"/>
          <w:color w:val="auto"/>
          <w:sz w:val="24"/>
          <w:highlight w:val="none"/>
          <w:vertAlign w:val="superscript"/>
        </w:rPr>
        <w:t>1</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1E2BE704">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 xml:space="preserve"> 2.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（采购文件中明确的所属行业：见服务需求一览表）</w:t>
      </w:r>
      <w:r>
        <w:rPr>
          <w:rFonts w:hint="eastAsia" w:ascii="宋体" w:hAnsi="宋体" w:cs="宋体"/>
          <w:color w:val="auto"/>
          <w:kern w:val="0"/>
          <w:sz w:val="24"/>
          <w:highlight w:val="none"/>
        </w:rPr>
        <w:t>行业；承建（承接）企业为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6302C709">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 xml:space="preserve"> …… </w:t>
      </w:r>
    </w:p>
    <w:p w14:paraId="6377D82F">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以上企业，不属于大企业的分支机构，不存在控股股东为大企业的情形，也不存在与大企业的负责人为同一人的情形。</w:t>
      </w:r>
    </w:p>
    <w:p w14:paraId="664CB90D">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本企业对上述声明内容的真实性负责。如有虚假，将依法承担相应责任。</w:t>
      </w:r>
    </w:p>
    <w:p w14:paraId="25DEF4D2">
      <w:pPr>
        <w:ind w:firstLine="552"/>
        <w:rPr>
          <w:rFonts w:ascii="宋体" w:hAnsi="宋体" w:cs="宋体"/>
          <w:color w:val="auto"/>
          <w:kern w:val="0"/>
          <w:szCs w:val="21"/>
          <w:highlight w:val="none"/>
        </w:rPr>
      </w:pPr>
    </w:p>
    <w:p w14:paraId="7CCCA98A">
      <w:pPr>
        <w:pStyle w:val="11"/>
        <w:spacing w:after="0" w:line="360" w:lineRule="auto"/>
        <w:contextualSpacing/>
        <w:rPr>
          <w:rFonts w:ascii="宋体" w:hAnsi="宋体" w:cs="宋体"/>
          <w:color w:val="auto"/>
          <w:kern w:val="0"/>
          <w:sz w:val="24"/>
          <w:szCs w:val="22"/>
          <w:highlight w:val="none"/>
        </w:rPr>
      </w:pPr>
      <w:r>
        <w:rPr>
          <w:rFonts w:hint="eastAsia" w:ascii="宋体" w:hAnsi="宋体" w:cs="宋体"/>
          <w:color w:val="auto"/>
          <w:kern w:val="0"/>
          <w:sz w:val="24"/>
          <w:szCs w:val="22"/>
          <w:highlight w:val="none"/>
        </w:rPr>
        <w:t>1从业人员、营业收入、资产总额填报上一年度数据，无上一年度数据的新成立企业可不填报。</w:t>
      </w:r>
    </w:p>
    <w:p w14:paraId="5DA9DD8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893F058">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F47E764">
      <w:pPr>
        <w:pStyle w:val="11"/>
        <w:spacing w:after="0" w:line="360" w:lineRule="auto"/>
        <w:ind w:left="3960" w:right="1808"/>
        <w:contextualSpacing/>
        <w:rPr>
          <w:rFonts w:ascii="宋体" w:hAnsi="宋体" w:cs="宋体"/>
          <w:color w:val="auto"/>
          <w:highlight w:val="none"/>
        </w:rPr>
      </w:pPr>
    </w:p>
    <w:p w14:paraId="66C17F9E">
      <w:pPr>
        <w:tabs>
          <w:tab w:val="left" w:pos="7980"/>
        </w:tabs>
        <w:spacing w:line="360" w:lineRule="auto"/>
        <w:contextualSpacing/>
        <w:jc w:val="left"/>
        <w:rPr>
          <w:rFonts w:ascii="宋体" w:hAnsi="宋体" w:cs="宋体"/>
          <w:color w:val="auto"/>
          <w:kern w:val="0"/>
          <w:sz w:val="24"/>
          <w:highlight w:val="none"/>
        </w:rPr>
      </w:pPr>
      <w:r>
        <w:rPr>
          <w:rFonts w:hint="eastAsia" w:ascii="宋体" w:hAnsi="宋体" w:cs="宋体"/>
          <w:color w:val="auto"/>
          <w:sz w:val="24"/>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27A3C5EF">
      <w:pPr>
        <w:snapToGrid w:val="0"/>
        <w:spacing w:before="120" w:beforeLines="50" w:after="50" w:line="360" w:lineRule="auto"/>
        <w:outlineLvl w:val="1"/>
        <w:rPr>
          <w:rFonts w:ascii="宋体" w:hAnsi="宋体" w:cs="宋体"/>
          <w:b/>
          <w:bCs/>
          <w:color w:val="auto"/>
          <w:sz w:val="32"/>
          <w:szCs w:val="32"/>
          <w:highlight w:val="none"/>
        </w:rPr>
        <w:sectPr>
          <w:pgSz w:w="11910" w:h="16840"/>
          <w:pgMar w:top="1440" w:right="1440" w:bottom="1440" w:left="1440" w:header="720" w:footer="720" w:gutter="0"/>
          <w:cols w:space="720" w:num="1"/>
        </w:sectPr>
      </w:pPr>
    </w:p>
    <w:p w14:paraId="20236B4E">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672D5B6B">
      <w:pPr>
        <w:spacing w:line="520" w:lineRule="exact"/>
        <w:rPr>
          <w:rFonts w:ascii="宋体" w:hAnsi="宋体" w:cs="宋体"/>
          <w:color w:val="auto"/>
          <w:sz w:val="32"/>
          <w:szCs w:val="32"/>
          <w:highlight w:val="none"/>
        </w:rPr>
      </w:pPr>
    </w:p>
    <w:p w14:paraId="6BFFB7F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328A17B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52E1EA08">
      <w:pPr>
        <w:spacing w:line="360" w:lineRule="auto"/>
        <w:contextualSpacing/>
        <w:rPr>
          <w:rFonts w:ascii="宋体" w:hAnsi="宋体" w:cs="宋体"/>
          <w:color w:val="auto"/>
          <w:sz w:val="24"/>
          <w:highlight w:val="none"/>
        </w:rPr>
      </w:pPr>
    </w:p>
    <w:p w14:paraId="1A8E35DD">
      <w:pPr>
        <w:spacing w:line="360" w:lineRule="auto"/>
        <w:contextualSpacing/>
        <w:rPr>
          <w:rFonts w:ascii="宋体" w:hAnsi="宋体" w:cs="宋体"/>
          <w:color w:val="auto"/>
          <w:sz w:val="24"/>
          <w:highlight w:val="none"/>
        </w:rPr>
      </w:pPr>
    </w:p>
    <w:p w14:paraId="308A18AA">
      <w:pPr>
        <w:spacing w:line="360" w:lineRule="auto"/>
        <w:contextualSpacing/>
        <w:rPr>
          <w:rFonts w:ascii="宋体" w:hAnsi="宋体" w:cs="宋体"/>
          <w:color w:val="auto"/>
          <w:sz w:val="24"/>
          <w:highlight w:val="none"/>
        </w:rPr>
      </w:pPr>
    </w:p>
    <w:p w14:paraId="238BB38B">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0B040AF5">
      <w:pP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日  期：     年   月   日</w:t>
      </w:r>
    </w:p>
    <w:p w14:paraId="6ADBBA82">
      <w:pPr>
        <w:spacing w:line="360" w:lineRule="auto"/>
        <w:contextualSpacing/>
        <w:rPr>
          <w:rFonts w:ascii="宋体" w:hAnsi="宋体" w:cs="宋体"/>
          <w:color w:val="auto"/>
          <w:sz w:val="24"/>
          <w:highlight w:val="none"/>
        </w:rPr>
      </w:pPr>
    </w:p>
    <w:p w14:paraId="364B8696">
      <w:pPr>
        <w:spacing w:line="360" w:lineRule="auto"/>
        <w:contextualSpacing/>
        <w:rPr>
          <w:rFonts w:ascii="宋体" w:hAnsi="宋体" w:cs="宋体"/>
          <w:color w:val="auto"/>
          <w:sz w:val="24"/>
          <w:highlight w:val="none"/>
        </w:rPr>
      </w:pPr>
    </w:p>
    <w:p w14:paraId="23CF306B">
      <w:pPr>
        <w:spacing w:line="360" w:lineRule="auto"/>
        <w:contextualSpacing/>
        <w:rPr>
          <w:rFonts w:ascii="宋体" w:hAnsi="宋体" w:cs="宋体"/>
          <w:color w:val="auto"/>
          <w:sz w:val="24"/>
          <w:highlight w:val="none"/>
        </w:rPr>
      </w:pPr>
    </w:p>
    <w:p w14:paraId="246AB46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注：请根据自己的真实情况出具《残疾人福利性单位声明函》。依法享受小微企业优惠政策的，采购人或者采购代理机构在公告中标结果时，同时公告其《残疾人福利性单位声明函》，接受社会监督。</w:t>
      </w:r>
    </w:p>
    <w:p w14:paraId="5D670FBC">
      <w:pPr>
        <w:snapToGrid w:val="0"/>
        <w:spacing w:line="360" w:lineRule="auto"/>
        <w:rPr>
          <w:rFonts w:ascii="宋体" w:hAnsi="宋体" w:cs="宋体"/>
          <w:bCs/>
          <w:color w:val="auto"/>
          <w:sz w:val="30"/>
          <w:szCs w:val="30"/>
          <w:highlight w:val="none"/>
        </w:rPr>
      </w:pPr>
    </w:p>
    <w:p w14:paraId="6263F00C">
      <w:pPr>
        <w:numPr>
          <w:ilvl w:val="0"/>
          <w:numId w:val="3"/>
        </w:numPr>
        <w:spacing w:line="360" w:lineRule="auto"/>
        <w:contextualSpacing/>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资格条件证明材料：</w:t>
      </w:r>
      <w:r>
        <w:rPr>
          <w:rFonts w:hint="eastAsia" w:ascii="宋体" w:hAnsi="宋体" w:cs="宋体"/>
          <w:b/>
          <w:bCs/>
          <w:color w:val="auto"/>
          <w:sz w:val="24"/>
          <w:highlight w:val="none"/>
          <w:lang w:eastAsia="zh-CN"/>
        </w:rPr>
        <w:t>①</w:t>
      </w:r>
      <w:r>
        <w:rPr>
          <w:rFonts w:hint="eastAsia" w:ascii="宋体" w:hAnsi="宋体" w:cs="宋体"/>
          <w:b/>
          <w:bCs/>
          <w:color w:val="auto"/>
          <w:sz w:val="24"/>
          <w:highlight w:val="none"/>
        </w:rPr>
        <w:t>供应商须具备公路工程施工总承包叁级(含)以上资质，</w:t>
      </w:r>
      <w:r>
        <w:rPr>
          <w:rFonts w:hint="eastAsia" w:ascii="宋体" w:hAnsi="宋体" w:cs="宋体"/>
          <w:b/>
          <w:bCs/>
          <w:color w:val="auto"/>
          <w:sz w:val="24"/>
          <w:highlight w:val="none"/>
          <w:lang w:val="en-US" w:eastAsia="zh-CN"/>
        </w:rPr>
        <w:t>同时</w:t>
      </w:r>
      <w:r>
        <w:rPr>
          <w:rFonts w:hint="eastAsia" w:ascii="宋体" w:hAnsi="宋体" w:cs="宋体"/>
          <w:b/>
          <w:bCs/>
          <w:color w:val="auto"/>
          <w:sz w:val="24"/>
          <w:highlight w:val="none"/>
        </w:rPr>
        <w:t>持有省级及以上建设行政主管部门颁发的安全生产许可证；②</w:t>
      </w:r>
      <w:r>
        <w:rPr>
          <w:rFonts w:hint="eastAsia" w:ascii="宋体" w:hAnsi="宋体" w:cs="宋体"/>
          <w:b/>
          <w:bCs/>
          <w:color w:val="auto"/>
          <w:sz w:val="24"/>
          <w:highlight w:val="none"/>
          <w:lang w:val="en-US" w:eastAsia="zh-CN"/>
        </w:rPr>
        <w:t>拟投入本项目的</w:t>
      </w:r>
      <w:r>
        <w:rPr>
          <w:rFonts w:hint="eastAsia" w:ascii="宋体" w:hAnsi="宋体" w:cs="宋体"/>
          <w:b/>
          <w:bCs/>
          <w:color w:val="auto"/>
          <w:sz w:val="24"/>
          <w:highlight w:val="none"/>
        </w:rPr>
        <w:t>项目经理须</w:t>
      </w:r>
      <w:r>
        <w:rPr>
          <w:rFonts w:hint="eastAsia" w:ascii="宋体" w:hAnsi="宋体" w:cs="宋体"/>
          <w:b/>
          <w:bCs/>
          <w:color w:val="auto"/>
          <w:sz w:val="24"/>
          <w:highlight w:val="none"/>
          <w:lang w:val="en-US" w:eastAsia="zh-CN"/>
        </w:rPr>
        <w:t>具备</w:t>
      </w:r>
      <w:r>
        <w:rPr>
          <w:rFonts w:hint="eastAsia" w:ascii="宋体" w:hAnsi="宋体" w:cs="宋体"/>
          <w:b/>
          <w:bCs/>
          <w:color w:val="auto"/>
          <w:sz w:val="24"/>
          <w:highlight w:val="none"/>
        </w:rPr>
        <w:t>公路工程专业</w:t>
      </w:r>
      <w:r>
        <w:rPr>
          <w:rFonts w:hint="eastAsia" w:ascii="宋体" w:hAnsi="宋体" w:cs="宋体"/>
          <w:b/>
          <w:bCs/>
          <w:color w:val="auto"/>
          <w:sz w:val="24"/>
          <w:highlight w:val="none"/>
          <w:lang w:val="en-US" w:eastAsia="zh-CN"/>
        </w:rPr>
        <w:t>贰</w:t>
      </w:r>
      <w:r>
        <w:rPr>
          <w:rFonts w:hint="eastAsia" w:ascii="宋体" w:hAnsi="宋体" w:cs="宋体"/>
          <w:b/>
          <w:bCs/>
          <w:color w:val="auto"/>
          <w:sz w:val="24"/>
          <w:highlight w:val="none"/>
        </w:rPr>
        <w:t>级以上(含</w:t>
      </w:r>
      <w:r>
        <w:rPr>
          <w:rFonts w:hint="eastAsia" w:ascii="宋体" w:hAnsi="宋体" w:cs="宋体"/>
          <w:b/>
          <w:bCs/>
          <w:color w:val="auto"/>
          <w:sz w:val="24"/>
          <w:highlight w:val="none"/>
          <w:lang w:val="en-US" w:eastAsia="zh-CN"/>
        </w:rPr>
        <w:t>贰级</w:t>
      </w:r>
      <w:r>
        <w:rPr>
          <w:rFonts w:hint="eastAsia" w:ascii="宋体" w:hAnsi="宋体" w:cs="宋体"/>
          <w:b/>
          <w:bCs/>
          <w:color w:val="auto"/>
          <w:sz w:val="24"/>
          <w:highlight w:val="none"/>
        </w:rPr>
        <w:t>)注册建造师资格，并持有省级或以上交通运输行政主管部门颁发的安全生产考核合格证(“三类人员”B 类证书)</w:t>
      </w:r>
    </w:p>
    <w:p w14:paraId="0812246F">
      <w:pPr>
        <w:widowControl w:val="0"/>
        <w:numPr>
          <w:ilvl w:val="0"/>
          <w:numId w:val="0"/>
        </w:numPr>
        <w:spacing w:line="360" w:lineRule="auto"/>
        <w:contextualSpacing/>
        <w:jc w:val="both"/>
        <w:rPr>
          <w:rFonts w:hint="eastAsia" w:ascii="宋体" w:hAnsi="宋体" w:cs="宋体"/>
          <w:b/>
          <w:bCs/>
          <w:color w:val="auto"/>
          <w:sz w:val="24"/>
          <w:highlight w:val="none"/>
        </w:rPr>
      </w:pPr>
    </w:p>
    <w:p w14:paraId="3F54C9D4">
      <w:pPr>
        <w:widowControl w:val="0"/>
        <w:numPr>
          <w:ilvl w:val="0"/>
          <w:numId w:val="0"/>
        </w:numPr>
        <w:spacing w:line="360" w:lineRule="auto"/>
        <w:contextualSpacing/>
        <w:jc w:val="both"/>
        <w:rPr>
          <w:rFonts w:hint="eastAsia" w:ascii="宋体" w:hAnsi="宋体" w:cs="宋体"/>
          <w:b/>
          <w:bCs/>
          <w:color w:val="auto"/>
          <w:sz w:val="24"/>
          <w:highlight w:val="none"/>
        </w:rPr>
      </w:pPr>
    </w:p>
    <w:p w14:paraId="06B57C75">
      <w:pPr>
        <w:snapToGrid w:val="0"/>
        <w:spacing w:line="360" w:lineRule="auto"/>
        <w:ind w:firstLine="602" w:firstLineChars="200"/>
        <w:rPr>
          <w:rFonts w:ascii="宋体" w:hAnsi="宋体" w:cs="宋体"/>
          <w:b/>
          <w:color w:val="auto"/>
          <w:sz w:val="30"/>
          <w:szCs w:val="30"/>
          <w:highlight w:val="none"/>
        </w:rPr>
      </w:pPr>
    </w:p>
    <w:p w14:paraId="7FC72565">
      <w:pPr>
        <w:spacing w:line="360" w:lineRule="auto"/>
        <w:contextualSpacing/>
        <w:rPr>
          <w:rFonts w:hint="eastAsia" w:ascii="宋体" w:hAnsi="宋体" w:cs="宋体"/>
          <w:color w:val="auto"/>
          <w:sz w:val="24"/>
          <w:highlight w:val="none"/>
          <w:lang w:val="zh-CN" w:eastAsia="zh-CN"/>
        </w:rPr>
      </w:pPr>
    </w:p>
    <w:p w14:paraId="1636AEB2">
      <w:pPr>
        <w:spacing w:line="360" w:lineRule="auto"/>
        <w:contextualSpacing/>
        <w:rPr>
          <w:rFonts w:hint="eastAsia" w:ascii="宋体" w:hAnsi="宋体" w:cs="宋体"/>
          <w:color w:val="auto"/>
          <w:sz w:val="24"/>
          <w:highlight w:val="none"/>
          <w:lang w:val="zh-CN" w:eastAsia="zh-CN"/>
        </w:rPr>
      </w:pPr>
    </w:p>
    <w:p w14:paraId="759FE6ED">
      <w:pPr>
        <w:spacing w:line="360" w:lineRule="auto"/>
        <w:contextualSpacing/>
        <w:rPr>
          <w:rFonts w:hint="eastAsia" w:ascii="宋体" w:hAnsi="宋体" w:cs="宋体"/>
          <w:color w:val="auto"/>
          <w:sz w:val="24"/>
          <w:highlight w:val="none"/>
          <w:lang w:val="zh-CN" w:eastAsia="zh-CN"/>
        </w:rPr>
      </w:pPr>
    </w:p>
    <w:p w14:paraId="116D9287">
      <w:pPr>
        <w:spacing w:line="360" w:lineRule="auto"/>
        <w:contextualSpacing/>
        <w:rPr>
          <w:rFonts w:hint="eastAsia" w:ascii="宋体" w:hAnsi="宋体" w:cs="宋体"/>
          <w:color w:val="auto"/>
          <w:sz w:val="24"/>
          <w:highlight w:val="none"/>
          <w:lang w:val="en-US" w:eastAsia="zh-CN"/>
        </w:rPr>
      </w:pPr>
    </w:p>
    <w:p w14:paraId="4EBB53D3">
      <w:pPr>
        <w:spacing w:line="360" w:lineRule="auto"/>
        <w:contextualSpacing/>
        <w:rPr>
          <w:rFonts w:hint="eastAsia" w:ascii="宋体" w:hAnsi="宋体" w:cs="宋体"/>
          <w:color w:val="auto"/>
          <w:sz w:val="24"/>
          <w:highlight w:val="none"/>
          <w:lang w:val="en-US" w:eastAsia="zh-CN"/>
        </w:rPr>
      </w:pPr>
      <w:r>
        <w:rPr>
          <w:rFonts w:hint="eastAsia" w:ascii="宋体" w:hAnsi="宋体" w:cs="宋体"/>
          <w:b/>
          <w:bCs/>
          <w:color w:val="auto"/>
          <w:sz w:val="24"/>
          <w:highlight w:val="none"/>
          <w:lang w:val="en-US" w:eastAsia="zh-CN"/>
        </w:rPr>
        <w:t>八、承诺函</w:t>
      </w:r>
    </w:p>
    <w:p w14:paraId="7BB63DEA">
      <w:pPr>
        <w:spacing w:before="240" w:after="240" w:line="500" w:lineRule="exact"/>
        <w:jc w:val="center"/>
        <w:rPr>
          <w:rFonts w:ascii="宋体" w:hAnsi="宋体" w:cs="宋体"/>
          <w:b/>
          <w:bCs/>
          <w:color w:val="auto"/>
          <w:sz w:val="24"/>
          <w:highlight w:val="none"/>
        </w:rPr>
      </w:pPr>
      <w:r>
        <w:rPr>
          <w:rFonts w:hint="eastAsia" w:ascii="宋体" w:hAnsi="宋体" w:cs="宋体"/>
          <w:b/>
          <w:bCs/>
          <w:color w:val="auto"/>
          <w:sz w:val="24"/>
          <w:highlight w:val="none"/>
        </w:rPr>
        <w:t>承诺函（一）</w:t>
      </w:r>
    </w:p>
    <w:p w14:paraId="6C5EEC3D">
      <w:pPr>
        <w:spacing w:before="240" w:after="240" w:line="500" w:lineRule="exact"/>
        <w:rPr>
          <w:rFonts w:ascii="宋体" w:hAnsi="宋体" w:cs="宋体"/>
          <w:color w:val="auto"/>
          <w:szCs w:val="21"/>
          <w:highlight w:val="none"/>
          <w:u w:val="single"/>
        </w:rPr>
      </w:pPr>
      <w:r>
        <w:rPr>
          <w:rFonts w:hint="eastAsia" w:ascii="宋体" w:hAnsi="宋体" w:cs="宋体"/>
          <w:color w:val="auto"/>
          <w:szCs w:val="21"/>
          <w:highlight w:val="none"/>
          <w:u w:val="single"/>
        </w:rPr>
        <w:t>致：（</w:t>
      </w:r>
      <w:r>
        <w:rPr>
          <w:rFonts w:hint="eastAsia" w:ascii="宋体" w:hAnsi="宋体" w:cs="宋体"/>
          <w:color w:val="auto"/>
          <w:szCs w:val="21"/>
          <w:highlight w:val="none"/>
          <w:u w:val="single"/>
          <w:lang w:val="en-US" w:eastAsia="zh-CN"/>
        </w:rPr>
        <w:t>采购人</w:t>
      </w:r>
      <w:r>
        <w:rPr>
          <w:rFonts w:hint="eastAsia" w:ascii="宋体" w:hAnsi="宋体" w:cs="宋体"/>
          <w:color w:val="auto"/>
          <w:szCs w:val="21"/>
          <w:highlight w:val="none"/>
          <w:u w:val="single"/>
        </w:rPr>
        <w:t>名称）：</w:t>
      </w:r>
    </w:p>
    <w:p w14:paraId="4548A362">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我公司决定参加</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采购活动</w:t>
      </w:r>
      <w:r>
        <w:rPr>
          <w:rFonts w:hint="eastAsia" w:ascii="宋体" w:hAnsi="宋体" w:cs="宋体"/>
          <w:color w:val="auto"/>
          <w:szCs w:val="21"/>
          <w:highlight w:val="none"/>
        </w:rPr>
        <w:t>并作出如下承诺：</w:t>
      </w:r>
    </w:p>
    <w:p w14:paraId="061355AD">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一、我公司保证在递交</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文件截止之日止，在已完或在建的项目中没有存在拖欠或克扣农民工工资的行为；</w:t>
      </w:r>
    </w:p>
    <w:p w14:paraId="38A0C36F">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二、如我公司</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后，同意按工程</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价的2%缴纳农民工工资保障金；</w:t>
      </w:r>
    </w:p>
    <w:p w14:paraId="52B30680">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三、如我公司</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，保证依法足额支付农民工工资，一旦本公司承建的项目出现拖欠农民工工资的，可由劳动保障、交通主管部门（或交通主管部门授权的机构）及建设单位根据相关规定从本公司的农民工工资保障金中先予支取。</w:t>
      </w:r>
    </w:p>
    <w:p w14:paraId="382C7D5B">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四、农民工工资保障金按现金支票或银行汇票的方式汇到发包人指定帐户。</w:t>
      </w:r>
    </w:p>
    <w:p w14:paraId="2458A83C">
      <w:pPr>
        <w:spacing w:line="500" w:lineRule="exact"/>
        <w:ind w:left="420" w:firstLine="480"/>
        <w:rPr>
          <w:rFonts w:ascii="宋体" w:hAnsi="宋体" w:cs="宋体"/>
          <w:color w:val="auto"/>
          <w:szCs w:val="21"/>
          <w:highlight w:val="none"/>
        </w:rPr>
      </w:pPr>
    </w:p>
    <w:p w14:paraId="06357AA1">
      <w:pPr>
        <w:ind w:left="420" w:firstLine="480"/>
        <w:rPr>
          <w:rFonts w:ascii="宋体" w:hAnsi="宋体" w:cs="宋体"/>
          <w:color w:val="auto"/>
          <w:szCs w:val="21"/>
          <w:highlight w:val="none"/>
        </w:rPr>
      </w:pPr>
    </w:p>
    <w:p w14:paraId="7198323A">
      <w:pPr>
        <w:spacing w:line="500" w:lineRule="exact"/>
        <w:ind w:left="420" w:firstLine="48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6B71D1EE">
      <w:pPr>
        <w:spacing w:line="500" w:lineRule="exact"/>
        <w:ind w:left="420" w:firstLine="480"/>
        <w:rPr>
          <w:rFonts w:ascii="宋体" w:hAnsi="宋体" w:cs="宋体"/>
          <w:color w:val="auto"/>
          <w:szCs w:val="21"/>
          <w:highlight w:val="none"/>
          <w:lang w:val="zh-CN"/>
        </w:rPr>
      </w:pPr>
      <w:r>
        <w:rPr>
          <w:rFonts w:hint="eastAsia" w:ascii="宋体" w:hAnsi="宋体" w:cs="宋体"/>
          <w:color w:val="auto"/>
          <w:szCs w:val="21"/>
          <w:highlight w:val="none"/>
          <w:lang w:val="zh-CN"/>
        </w:rPr>
        <w:t>日期：  年  月   日</w:t>
      </w:r>
    </w:p>
    <w:p w14:paraId="17B29707">
      <w:pPr>
        <w:spacing w:line="500" w:lineRule="exact"/>
        <w:rPr>
          <w:rFonts w:ascii="宋体" w:hAnsi="宋体" w:cs="宋体"/>
          <w:color w:val="auto"/>
          <w:szCs w:val="21"/>
          <w:highlight w:val="none"/>
        </w:rPr>
      </w:pPr>
    </w:p>
    <w:p w14:paraId="60056B36">
      <w:pPr>
        <w:spacing w:before="240" w:after="240" w:line="500" w:lineRule="exact"/>
        <w:jc w:val="center"/>
        <w:rPr>
          <w:rFonts w:ascii="宋体" w:hAnsi="宋体" w:cs="宋体"/>
          <w:color w:val="auto"/>
          <w:sz w:val="24"/>
          <w:highlight w:val="none"/>
        </w:rPr>
      </w:pPr>
    </w:p>
    <w:p w14:paraId="6F11D844">
      <w:pPr>
        <w:spacing w:before="240" w:after="240" w:line="500" w:lineRule="exact"/>
        <w:jc w:val="center"/>
        <w:rPr>
          <w:rFonts w:ascii="宋体" w:hAnsi="宋体" w:cs="宋体"/>
          <w:color w:val="auto"/>
          <w:sz w:val="24"/>
          <w:highlight w:val="none"/>
        </w:rPr>
      </w:pPr>
    </w:p>
    <w:p w14:paraId="4AB3E01A">
      <w:pPr>
        <w:spacing w:before="240" w:after="240" w:line="500" w:lineRule="exact"/>
        <w:jc w:val="center"/>
        <w:rPr>
          <w:rFonts w:ascii="宋体" w:hAnsi="宋体" w:cs="宋体"/>
          <w:color w:val="auto"/>
          <w:sz w:val="24"/>
          <w:highlight w:val="none"/>
        </w:rPr>
      </w:pPr>
    </w:p>
    <w:p w14:paraId="1C5A128E">
      <w:pPr>
        <w:spacing w:before="240" w:after="240" w:line="500" w:lineRule="exact"/>
        <w:jc w:val="center"/>
        <w:rPr>
          <w:rFonts w:ascii="宋体" w:hAnsi="宋体" w:cs="宋体"/>
          <w:color w:val="auto"/>
          <w:sz w:val="24"/>
          <w:highlight w:val="none"/>
        </w:rPr>
      </w:pPr>
    </w:p>
    <w:p w14:paraId="21E33121">
      <w:pPr>
        <w:spacing w:before="240" w:after="240" w:line="500" w:lineRule="exact"/>
        <w:jc w:val="center"/>
        <w:rPr>
          <w:rFonts w:ascii="宋体" w:hAnsi="宋体" w:cs="宋体"/>
          <w:color w:val="auto"/>
          <w:sz w:val="24"/>
          <w:highlight w:val="none"/>
        </w:rPr>
      </w:pPr>
    </w:p>
    <w:p w14:paraId="4B157C99">
      <w:pPr>
        <w:spacing w:before="240" w:after="240" w:line="500" w:lineRule="exact"/>
        <w:jc w:val="center"/>
        <w:rPr>
          <w:rFonts w:ascii="宋体" w:hAnsi="宋体" w:cs="宋体"/>
          <w:color w:val="auto"/>
          <w:sz w:val="24"/>
          <w:highlight w:val="none"/>
        </w:rPr>
      </w:pPr>
    </w:p>
    <w:p w14:paraId="2230DED1">
      <w:pPr>
        <w:spacing w:before="240" w:after="240" w:line="500" w:lineRule="exact"/>
        <w:jc w:val="center"/>
        <w:rPr>
          <w:rFonts w:ascii="宋体" w:hAnsi="宋体" w:cs="宋体"/>
          <w:color w:val="auto"/>
          <w:sz w:val="24"/>
          <w:highlight w:val="none"/>
        </w:rPr>
      </w:pPr>
    </w:p>
    <w:p w14:paraId="20FFDE64">
      <w:pPr>
        <w:spacing w:before="240" w:after="240" w:line="500" w:lineRule="exact"/>
        <w:jc w:val="center"/>
        <w:rPr>
          <w:rFonts w:ascii="宋体" w:hAnsi="宋体" w:cs="宋体"/>
          <w:color w:val="auto"/>
          <w:sz w:val="24"/>
          <w:highlight w:val="none"/>
        </w:rPr>
      </w:pPr>
    </w:p>
    <w:p w14:paraId="044F1C95">
      <w:pPr>
        <w:spacing w:before="240" w:after="240" w:line="500" w:lineRule="exact"/>
        <w:jc w:val="center"/>
        <w:rPr>
          <w:rFonts w:ascii="宋体" w:hAnsi="宋体" w:cs="宋体"/>
          <w:b/>
          <w:bCs/>
          <w:color w:val="auto"/>
          <w:sz w:val="24"/>
          <w:highlight w:val="none"/>
        </w:rPr>
      </w:pPr>
      <w:r>
        <w:rPr>
          <w:rFonts w:hint="eastAsia" w:ascii="宋体" w:hAnsi="宋体" w:cs="宋体"/>
          <w:b/>
          <w:bCs/>
          <w:color w:val="auto"/>
          <w:sz w:val="24"/>
          <w:highlight w:val="none"/>
        </w:rPr>
        <w:t>承诺函（二）</w:t>
      </w:r>
    </w:p>
    <w:p w14:paraId="21817D1E">
      <w:pPr>
        <w:spacing w:before="240" w:after="240" w:line="500" w:lineRule="exac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名称）：</w:t>
      </w:r>
    </w:p>
    <w:p w14:paraId="256D07CF">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我方参加了</w:t>
      </w:r>
      <w:r>
        <w:rPr>
          <w:rFonts w:hint="eastAsia" w:ascii="宋体" w:hAnsi="宋体" w:cs="宋体"/>
          <w:color w:val="auto"/>
          <w:szCs w:val="21"/>
          <w:highlight w:val="none"/>
          <w:u w:val="single"/>
        </w:rPr>
        <w:t>（项目名称）</w:t>
      </w:r>
      <w:r>
        <w:rPr>
          <w:rFonts w:hint="eastAsia" w:ascii="宋体" w:hAnsi="宋体" w:cs="宋体"/>
          <w:color w:val="auto"/>
          <w:szCs w:val="21"/>
          <w:highlight w:val="none"/>
          <w:lang w:val="en-US" w:eastAsia="zh-CN"/>
        </w:rPr>
        <w:t>的采购活动</w:t>
      </w:r>
      <w:r>
        <w:rPr>
          <w:rFonts w:hint="eastAsia" w:ascii="宋体" w:hAnsi="宋体" w:cs="宋体"/>
          <w:color w:val="auto"/>
          <w:szCs w:val="21"/>
          <w:highlight w:val="none"/>
        </w:rPr>
        <w:t>，若我方</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，我方在此承诺：</w:t>
      </w:r>
    </w:p>
    <w:p w14:paraId="13BFC8C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若本项目</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文件未要求我方在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文件中填报派驻本</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的其他主要管理人员和技术人员及主要机械设备和试验检测设备，在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人向我方发出</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通知书之前，我方将按照合同附件提出的最低要求填报派驻本</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的其他主要管理人员和技术人员及主要机械设备和试验检测设备，在经</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人审批后作为派驻本</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的项目管理机构主要人员和主要设备且不进行更换，如需更换须经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同意。</w:t>
      </w:r>
    </w:p>
    <w:p w14:paraId="1B5E8B9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若我方已按本项目</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文件要求在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文件中填报派驻本</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的其他主要管理人员和技术人员及主要机械设备和试验检测设备，我方将严格按照在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文件中填报的其他主要管理人员和技术人员及主要机械设备和试验检测设备组织进场施工，且不进行更换。</w:t>
      </w:r>
    </w:p>
    <w:p w14:paraId="321341F9">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如我方违背了上述承诺，本项目</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人有权取消我方的</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资格，并由</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人将我方的违约行为上报交通行政主管部门，作为不良记录纳入公路建设市场信息管理系统。</w:t>
      </w:r>
    </w:p>
    <w:p w14:paraId="747FAB11">
      <w:pPr>
        <w:spacing w:line="500" w:lineRule="exact"/>
        <w:rPr>
          <w:rFonts w:ascii="宋体" w:hAnsi="宋体" w:cs="宋体"/>
          <w:color w:val="auto"/>
          <w:szCs w:val="21"/>
          <w:highlight w:val="none"/>
        </w:rPr>
      </w:pPr>
    </w:p>
    <w:p w14:paraId="02088AF4">
      <w:pPr>
        <w:rPr>
          <w:rFonts w:ascii="宋体" w:hAnsi="宋体" w:cs="宋体"/>
          <w:color w:val="auto"/>
          <w:szCs w:val="21"/>
          <w:highlight w:val="none"/>
        </w:rPr>
      </w:pPr>
    </w:p>
    <w:p w14:paraId="21FBB139">
      <w:pPr>
        <w:spacing w:line="500" w:lineRule="exact"/>
        <w:ind w:left="420" w:firstLine="48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78EA6F23">
      <w:pPr>
        <w:spacing w:line="500" w:lineRule="exact"/>
        <w:ind w:left="420" w:firstLine="480"/>
        <w:rPr>
          <w:rFonts w:ascii="宋体" w:hAnsi="宋体" w:cs="宋体"/>
          <w:color w:val="auto"/>
          <w:szCs w:val="21"/>
          <w:highlight w:val="none"/>
          <w:lang w:val="zh-CN"/>
        </w:rPr>
      </w:pPr>
      <w:r>
        <w:rPr>
          <w:rFonts w:hint="eastAsia" w:ascii="宋体" w:hAnsi="宋体" w:cs="宋体"/>
          <w:color w:val="auto"/>
          <w:szCs w:val="21"/>
          <w:highlight w:val="none"/>
          <w:lang w:val="zh-CN"/>
        </w:rPr>
        <w:t>日期：  年  月   日</w:t>
      </w:r>
    </w:p>
    <w:p w14:paraId="2B57718B">
      <w:pPr>
        <w:numPr>
          <w:ilvl w:val="0"/>
          <w:numId w:val="0"/>
        </w:numPr>
        <w:snapToGrid w:val="0"/>
        <w:spacing w:line="360" w:lineRule="auto"/>
        <w:rPr>
          <w:rFonts w:hint="eastAsia" w:ascii="宋体" w:hAnsi="宋体" w:eastAsia="宋体" w:cs="宋体"/>
          <w:b/>
          <w:color w:val="auto"/>
          <w:sz w:val="30"/>
          <w:szCs w:val="30"/>
          <w:highlight w:val="none"/>
          <w:lang w:val="en-US" w:eastAsia="zh-CN"/>
        </w:rPr>
      </w:pPr>
    </w:p>
    <w:p w14:paraId="279F1344">
      <w:pPr>
        <w:pStyle w:val="3"/>
        <w:jc w:val="center"/>
        <w:rPr>
          <w:rFonts w:hint="eastAsia" w:ascii="宋体" w:hAnsi="宋体" w:cs="宋体"/>
          <w:b w:val="0"/>
          <w:bCs w:val="0"/>
          <w:color w:val="auto"/>
          <w:highlight w:val="none"/>
        </w:rPr>
      </w:pPr>
      <w:bookmarkStart w:id="70" w:name="_Toc80205940"/>
      <w:bookmarkStart w:id="71" w:name="_Toc10861"/>
    </w:p>
    <w:p w14:paraId="17A5EFEF">
      <w:pPr>
        <w:pStyle w:val="3"/>
        <w:jc w:val="both"/>
        <w:rPr>
          <w:rFonts w:hint="eastAsia" w:ascii="宋体" w:hAnsi="宋体" w:cs="宋体"/>
          <w:b w:val="0"/>
          <w:bCs w:val="0"/>
          <w:color w:val="auto"/>
          <w:highlight w:val="none"/>
        </w:rPr>
      </w:pPr>
    </w:p>
    <w:p w14:paraId="546F607B">
      <w:pPr>
        <w:rPr>
          <w:rFonts w:hint="eastAsia"/>
          <w:color w:val="auto"/>
          <w:highlight w:val="none"/>
        </w:rPr>
      </w:pPr>
    </w:p>
    <w:p w14:paraId="2139C090">
      <w:pPr>
        <w:pStyle w:val="3"/>
        <w:jc w:val="center"/>
        <w:rPr>
          <w:rFonts w:hint="eastAsia" w:ascii="宋体" w:hAnsi="宋体" w:cs="宋体"/>
          <w:b w:val="0"/>
          <w:bCs w:val="0"/>
          <w:color w:val="auto"/>
          <w:highlight w:val="none"/>
        </w:rPr>
      </w:pPr>
    </w:p>
    <w:p w14:paraId="1794892C">
      <w:pPr>
        <w:rPr>
          <w:rFonts w:hint="eastAsia" w:ascii="宋体" w:hAnsi="宋体" w:cs="宋体"/>
          <w:b w:val="0"/>
          <w:bCs w:val="0"/>
          <w:color w:val="auto"/>
          <w:highlight w:val="none"/>
        </w:rPr>
      </w:pPr>
    </w:p>
    <w:p w14:paraId="46E6DBD6">
      <w:pPr>
        <w:rPr>
          <w:rFonts w:hint="eastAsia" w:ascii="宋体" w:hAnsi="宋体" w:cs="宋体"/>
          <w:b w:val="0"/>
          <w:bCs w:val="0"/>
          <w:color w:val="auto"/>
          <w:highlight w:val="none"/>
        </w:rPr>
      </w:pPr>
    </w:p>
    <w:p w14:paraId="5DEACF4A">
      <w:pPr>
        <w:pStyle w:val="3"/>
        <w:jc w:val="center"/>
        <w:rPr>
          <w:rFonts w:ascii="宋体" w:hAnsi="宋体" w:cs="宋体"/>
          <w:b w:val="0"/>
          <w:color w:val="auto"/>
          <w:highlight w:val="none"/>
        </w:rPr>
      </w:pPr>
      <w:r>
        <w:rPr>
          <w:rFonts w:hint="eastAsia" w:ascii="宋体" w:hAnsi="宋体" w:cs="宋体"/>
          <w:b w:val="0"/>
          <w:bCs w:val="0"/>
          <w:color w:val="auto"/>
          <w:highlight w:val="none"/>
        </w:rPr>
        <w:t>第</w:t>
      </w:r>
      <w:r>
        <w:rPr>
          <w:rFonts w:hint="eastAsia" w:ascii="宋体" w:hAnsi="宋体" w:cs="宋体"/>
          <w:b w:val="0"/>
          <w:bCs w:val="0"/>
          <w:color w:val="auto"/>
          <w:highlight w:val="none"/>
          <w:lang w:val="en-US" w:eastAsia="zh-CN"/>
        </w:rPr>
        <w:t>二</w:t>
      </w:r>
      <w:r>
        <w:rPr>
          <w:rFonts w:hint="eastAsia" w:ascii="宋体" w:hAnsi="宋体" w:cs="宋体"/>
          <w:b w:val="0"/>
          <w:bCs w:val="0"/>
          <w:color w:val="auto"/>
          <w:highlight w:val="none"/>
        </w:rPr>
        <w:t xml:space="preserve">节 </w:t>
      </w:r>
      <w:r>
        <w:rPr>
          <w:rFonts w:hint="eastAsia" w:ascii="宋体" w:hAnsi="宋体" w:cs="宋体"/>
          <w:b w:val="0"/>
          <w:color w:val="auto"/>
          <w:highlight w:val="none"/>
        </w:rPr>
        <w:t>商务技术文件格式</w:t>
      </w:r>
      <w:bookmarkEnd w:id="70"/>
      <w:bookmarkEnd w:id="71"/>
    </w:p>
    <w:p w14:paraId="1093ED5F">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5F481CB">
      <w:pPr>
        <w:snapToGrid w:val="0"/>
        <w:spacing w:before="120" w:beforeLines="50" w:after="50"/>
        <w:rPr>
          <w:rFonts w:ascii="宋体" w:hAnsi="宋体" w:cs="宋体"/>
          <w:color w:val="auto"/>
          <w:sz w:val="24"/>
          <w:szCs w:val="20"/>
          <w:highlight w:val="none"/>
        </w:rPr>
      </w:pPr>
    </w:p>
    <w:p w14:paraId="1DF3BF8F">
      <w:pPr>
        <w:snapToGrid w:val="0"/>
        <w:spacing w:before="120" w:beforeLines="50" w:after="50"/>
        <w:rPr>
          <w:rFonts w:ascii="宋体" w:hAnsi="宋体" w:cs="宋体"/>
          <w:color w:val="auto"/>
          <w:sz w:val="24"/>
          <w:szCs w:val="20"/>
          <w:highlight w:val="none"/>
        </w:rPr>
      </w:pPr>
    </w:p>
    <w:p w14:paraId="450CEF16">
      <w:pPr>
        <w:snapToGrid w:val="0"/>
        <w:spacing w:before="120" w:beforeLines="50" w:after="50"/>
        <w:rPr>
          <w:rFonts w:ascii="宋体" w:hAnsi="宋体" w:cs="宋体"/>
          <w:color w:val="auto"/>
          <w:sz w:val="24"/>
          <w:szCs w:val="20"/>
          <w:highlight w:val="none"/>
        </w:rPr>
      </w:pPr>
    </w:p>
    <w:p w14:paraId="72DD07E8">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7D80F95D">
      <w:pPr>
        <w:snapToGrid w:val="0"/>
        <w:spacing w:before="120" w:beforeLines="50" w:after="50"/>
        <w:rPr>
          <w:rFonts w:ascii="宋体" w:hAnsi="宋体" w:cs="宋体"/>
          <w:bCs/>
          <w:color w:val="auto"/>
          <w:sz w:val="24"/>
          <w:szCs w:val="20"/>
          <w:highlight w:val="none"/>
        </w:rPr>
      </w:pPr>
    </w:p>
    <w:p w14:paraId="5116DDD0">
      <w:pPr>
        <w:snapToGrid w:val="0"/>
        <w:spacing w:before="120" w:beforeLines="50" w:after="50"/>
        <w:rPr>
          <w:rFonts w:ascii="宋体" w:hAnsi="宋体" w:cs="宋体"/>
          <w:bCs/>
          <w:color w:val="auto"/>
          <w:sz w:val="24"/>
          <w:szCs w:val="20"/>
          <w:highlight w:val="none"/>
        </w:rPr>
      </w:pPr>
    </w:p>
    <w:p w14:paraId="1E01574A">
      <w:pPr>
        <w:snapToGrid w:val="0"/>
        <w:spacing w:before="120" w:beforeLines="50" w:after="50"/>
        <w:rPr>
          <w:rFonts w:ascii="宋体" w:hAnsi="宋体" w:cs="宋体"/>
          <w:bCs/>
          <w:color w:val="auto"/>
          <w:sz w:val="24"/>
          <w:szCs w:val="20"/>
          <w:highlight w:val="none"/>
        </w:rPr>
      </w:pPr>
    </w:p>
    <w:p w14:paraId="7E00062C">
      <w:pPr>
        <w:snapToGrid w:val="0"/>
        <w:spacing w:before="120" w:beforeLines="50" w:after="50"/>
        <w:rPr>
          <w:rFonts w:ascii="宋体" w:hAnsi="宋体" w:cs="宋体"/>
          <w:bCs/>
          <w:color w:val="auto"/>
          <w:sz w:val="24"/>
          <w:szCs w:val="20"/>
          <w:highlight w:val="none"/>
        </w:rPr>
      </w:pPr>
    </w:p>
    <w:p w14:paraId="13E4982C">
      <w:pPr>
        <w:snapToGrid w:val="0"/>
        <w:spacing w:before="120" w:beforeLines="50" w:after="50"/>
        <w:rPr>
          <w:rFonts w:ascii="宋体" w:hAnsi="宋体" w:cs="宋体"/>
          <w:bCs/>
          <w:color w:val="auto"/>
          <w:sz w:val="24"/>
          <w:szCs w:val="20"/>
          <w:highlight w:val="none"/>
        </w:rPr>
      </w:pPr>
    </w:p>
    <w:p w14:paraId="305AAE0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72" w:name="PO_3000001868_PM002_6"/>
      <w:r>
        <w:rPr>
          <w:rFonts w:hint="eastAsia" w:ascii="宋体" w:hAnsi="宋体" w:cs="宋体"/>
          <w:bCs/>
          <w:color w:val="auto"/>
          <w:sz w:val="32"/>
          <w:szCs w:val="32"/>
          <w:highlight w:val="none"/>
        </w:rPr>
        <w:t>[项目名称]</w:t>
      </w:r>
      <w:bookmarkEnd w:id="72"/>
    </w:p>
    <w:p w14:paraId="0064B4AC">
      <w:pPr>
        <w:snapToGrid w:val="0"/>
        <w:spacing w:before="120" w:beforeLines="50" w:after="50"/>
        <w:ind w:firstLine="720" w:firstLineChars="225"/>
        <w:rPr>
          <w:rFonts w:ascii="宋体" w:hAnsi="宋体" w:cs="宋体"/>
          <w:bCs/>
          <w:color w:val="auto"/>
          <w:sz w:val="32"/>
          <w:szCs w:val="32"/>
          <w:highlight w:val="none"/>
        </w:rPr>
      </w:pPr>
    </w:p>
    <w:p w14:paraId="70123078">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73" w:name="PO_3000001868_PM001_7"/>
      <w:r>
        <w:rPr>
          <w:rFonts w:hint="eastAsia" w:ascii="宋体" w:hAnsi="宋体" w:cs="宋体"/>
          <w:bCs/>
          <w:color w:val="auto"/>
          <w:sz w:val="32"/>
          <w:szCs w:val="32"/>
          <w:highlight w:val="none"/>
        </w:rPr>
        <w:t>[项目编号]</w:t>
      </w:r>
      <w:bookmarkEnd w:id="73"/>
    </w:p>
    <w:p w14:paraId="51F3B995">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4EAEB65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B58CD69">
      <w:pPr>
        <w:snapToGrid w:val="0"/>
        <w:spacing w:before="120" w:beforeLines="50" w:after="50"/>
        <w:ind w:firstLine="720" w:firstLineChars="225"/>
        <w:rPr>
          <w:rFonts w:ascii="宋体" w:hAnsi="宋体" w:cs="宋体"/>
          <w:bCs/>
          <w:color w:val="auto"/>
          <w:sz w:val="32"/>
          <w:szCs w:val="32"/>
          <w:highlight w:val="none"/>
        </w:rPr>
      </w:pPr>
    </w:p>
    <w:p w14:paraId="02E825A1">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3F39D35">
      <w:pPr>
        <w:pStyle w:val="8"/>
        <w:snapToGrid w:val="0"/>
        <w:spacing w:before="50" w:after="50"/>
        <w:ind w:firstLine="720" w:firstLineChars="225"/>
        <w:rPr>
          <w:rFonts w:ascii="宋体" w:hAnsi="宋体" w:cs="宋体"/>
          <w:bCs/>
          <w:color w:val="auto"/>
          <w:sz w:val="32"/>
          <w:szCs w:val="32"/>
          <w:highlight w:val="none"/>
        </w:rPr>
      </w:pPr>
    </w:p>
    <w:p w14:paraId="575584AC">
      <w:pPr>
        <w:pStyle w:val="8"/>
        <w:snapToGrid w:val="0"/>
        <w:spacing w:before="50" w:after="50"/>
        <w:ind w:firstLine="720" w:firstLineChars="225"/>
        <w:rPr>
          <w:rFonts w:ascii="宋体" w:hAnsi="宋体" w:cs="宋体"/>
          <w:bCs/>
          <w:color w:val="auto"/>
          <w:sz w:val="32"/>
          <w:szCs w:val="32"/>
          <w:highlight w:val="none"/>
        </w:rPr>
      </w:pPr>
    </w:p>
    <w:p w14:paraId="59D7ED09">
      <w:pPr>
        <w:pStyle w:val="8"/>
        <w:snapToGrid w:val="0"/>
        <w:spacing w:before="50" w:after="50"/>
        <w:ind w:firstLine="1280" w:firstLineChars="400"/>
        <w:rPr>
          <w:rFonts w:ascii="宋体" w:hAnsi="宋体" w:cs="宋体"/>
          <w:bCs/>
          <w:color w:val="auto"/>
          <w:sz w:val="32"/>
          <w:szCs w:val="32"/>
          <w:highlight w:val="none"/>
        </w:rPr>
      </w:pPr>
    </w:p>
    <w:p w14:paraId="50139494">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2E08F26">
      <w:pPr>
        <w:widowControl/>
        <w:spacing w:line="360" w:lineRule="auto"/>
        <w:jc w:val="left"/>
        <w:rPr>
          <w:rFonts w:ascii="宋体" w:hAnsi="宋体" w:cs="宋体"/>
          <w:b/>
          <w:bCs/>
          <w:color w:val="auto"/>
          <w:sz w:val="32"/>
          <w:szCs w:val="32"/>
          <w:highlight w:val="none"/>
        </w:rPr>
        <w:sectPr>
          <w:pgSz w:w="11910" w:h="16840"/>
          <w:pgMar w:top="1340" w:right="1500" w:bottom="280" w:left="1680" w:header="720" w:footer="720" w:gutter="0"/>
          <w:cols w:space="720" w:num="1"/>
        </w:sectPr>
      </w:pPr>
    </w:p>
    <w:p w14:paraId="2A31B7F4">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6199F545">
      <w:pPr>
        <w:jc w:val="center"/>
        <w:rPr>
          <w:rFonts w:ascii="宋体" w:hAnsi="宋体" w:cs="宋体"/>
          <w:b/>
          <w:color w:val="auto"/>
          <w:kern w:val="0"/>
          <w:sz w:val="28"/>
          <w:szCs w:val="28"/>
          <w:highlight w:val="none"/>
        </w:rPr>
      </w:pPr>
    </w:p>
    <w:p w14:paraId="56308062">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384F6535">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26CE1CC3">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6CB65DD2">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512BB0A">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施工组织设计</w:t>
      </w:r>
      <w:r>
        <w:rPr>
          <w:rFonts w:hint="eastAsia" w:ascii="宋体" w:hAnsi="宋体" w:eastAsia="宋体" w:cs="宋体"/>
          <w:color w:val="auto"/>
          <w:highlight w:val="none"/>
        </w:rPr>
        <w:t>…………………………………………………………（页码）</w:t>
      </w:r>
    </w:p>
    <w:p w14:paraId="7245A7B2">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六</w:t>
      </w:r>
      <w:r>
        <w:rPr>
          <w:rFonts w:hint="eastAsia" w:ascii="宋体" w:hAnsi="宋体" w:eastAsia="宋体" w:cs="宋体"/>
          <w:color w:val="auto"/>
          <w:highlight w:val="none"/>
        </w:rPr>
        <w:t>、项目实施人员一览表……………………………………（页码）</w:t>
      </w:r>
    </w:p>
    <w:p w14:paraId="74290299">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、对应采购需求的服务需求、商务条款提供的其他文件资料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8E6C502">
      <w:pPr>
        <w:pStyle w:val="41"/>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、服务需求、商务条款要求提供的其他材料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C116AC7">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注：以上目录是基本格式要求，各供应商可根据自身情况进一步向下增加内容或细化。</w:t>
      </w:r>
    </w:p>
    <w:p w14:paraId="20345898">
      <w:pPr>
        <w:spacing w:line="400" w:lineRule="exact"/>
        <w:rPr>
          <w:rFonts w:ascii="宋体" w:hAnsi="宋体" w:cs="宋体"/>
          <w:color w:val="auto"/>
          <w:sz w:val="32"/>
          <w:szCs w:val="32"/>
          <w:highlight w:val="none"/>
        </w:rPr>
      </w:pPr>
    </w:p>
    <w:p w14:paraId="0B30B912">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7318E60A">
      <w:pPr>
        <w:spacing w:line="520" w:lineRule="exact"/>
        <w:jc w:val="center"/>
        <w:rPr>
          <w:rFonts w:ascii="宋体" w:hAnsi="宋体" w:cs="宋体"/>
          <w:color w:val="auto"/>
          <w:sz w:val="44"/>
          <w:szCs w:val="44"/>
          <w:highlight w:val="none"/>
        </w:rPr>
      </w:pPr>
    </w:p>
    <w:p w14:paraId="401FB7D0">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40D37E96">
      <w:pPr>
        <w:spacing w:line="520" w:lineRule="exact"/>
        <w:ind w:firstLine="640" w:firstLineChars="200"/>
        <w:rPr>
          <w:rFonts w:ascii="宋体" w:hAnsi="宋体" w:cs="宋体"/>
          <w:color w:val="auto"/>
          <w:sz w:val="32"/>
          <w:szCs w:val="32"/>
          <w:highlight w:val="none"/>
        </w:rPr>
      </w:pPr>
    </w:p>
    <w:p w14:paraId="55A60DE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4143FD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7B8A61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65BB201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57E233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2A39F2F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4491BD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A5E940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FEF77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3FC953A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2D6C92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48DFF5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5ABFBF0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4ACB4C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B7EC3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2A3B88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F746E73">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27C94CB">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665C2D0F">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50F971EF">
      <w:pPr>
        <w:spacing w:line="360" w:lineRule="auto"/>
        <w:ind w:left="540"/>
        <w:contextualSpacing/>
        <w:rPr>
          <w:rFonts w:ascii="宋体" w:hAnsi="宋体" w:cs="宋体"/>
          <w:color w:val="auto"/>
          <w:sz w:val="32"/>
          <w:szCs w:val="32"/>
          <w:highlight w:val="none"/>
        </w:rPr>
      </w:pPr>
    </w:p>
    <w:p w14:paraId="38493220">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BD07F53">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77A742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36BAAE0">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09247ED6">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BB241D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135B7162">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286415E9">
      <w:pPr>
        <w:spacing w:line="360" w:lineRule="auto"/>
        <w:ind w:left="540"/>
        <w:contextualSpacing/>
        <w:rPr>
          <w:rFonts w:ascii="宋体" w:hAnsi="宋体" w:cs="宋体"/>
          <w:color w:val="auto"/>
          <w:sz w:val="24"/>
          <w:highlight w:val="none"/>
        </w:rPr>
      </w:pPr>
    </w:p>
    <w:p w14:paraId="33121E13">
      <w:pPr>
        <w:spacing w:line="360" w:lineRule="auto"/>
        <w:ind w:left="540"/>
        <w:contextualSpacing/>
        <w:rPr>
          <w:rFonts w:ascii="宋体" w:hAnsi="宋体" w:cs="宋体"/>
          <w:color w:val="auto"/>
          <w:sz w:val="24"/>
          <w:highlight w:val="none"/>
        </w:rPr>
      </w:pPr>
    </w:p>
    <w:p w14:paraId="24C2F003">
      <w:pPr>
        <w:spacing w:line="360" w:lineRule="auto"/>
        <w:ind w:left="540"/>
        <w:contextualSpacing/>
        <w:rPr>
          <w:rFonts w:ascii="宋体" w:hAnsi="宋体" w:cs="宋体"/>
          <w:color w:val="auto"/>
          <w:sz w:val="24"/>
          <w:highlight w:val="none"/>
        </w:rPr>
      </w:pPr>
    </w:p>
    <w:p w14:paraId="58470A5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5B3125CA">
      <w:pPr>
        <w:spacing w:line="360" w:lineRule="auto"/>
        <w:ind w:left="540"/>
        <w:contextualSpacing/>
        <w:rPr>
          <w:rFonts w:ascii="宋体" w:hAnsi="宋体" w:cs="宋体"/>
          <w:color w:val="auto"/>
          <w:sz w:val="24"/>
          <w:highlight w:val="none"/>
        </w:rPr>
      </w:pPr>
    </w:p>
    <w:p w14:paraId="7563E9F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BA14790">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3E6521E">
      <w:pPr>
        <w:spacing w:line="360" w:lineRule="auto"/>
        <w:jc w:val="left"/>
        <w:rPr>
          <w:rFonts w:ascii="宋体" w:hAnsi="宋体" w:cs="宋体"/>
          <w:color w:val="auto"/>
          <w:sz w:val="24"/>
          <w:highlight w:val="none"/>
        </w:rPr>
      </w:pPr>
    </w:p>
    <w:p w14:paraId="2733C839">
      <w:pPr>
        <w:spacing w:line="360" w:lineRule="auto"/>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74FE471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FD39E92">
      <w:pPr>
        <w:widowControl/>
        <w:spacing w:line="360" w:lineRule="auto"/>
        <w:jc w:val="left"/>
        <w:rPr>
          <w:rFonts w:ascii="宋体" w:hAnsi="宋体" w:cs="宋体"/>
          <w:color w:val="auto"/>
          <w:sz w:val="24"/>
          <w:highlight w:val="none"/>
        </w:rPr>
        <w:sectPr>
          <w:pgSz w:w="11910" w:h="16840"/>
          <w:pgMar w:top="1340" w:right="1500" w:bottom="280" w:left="1680" w:header="720" w:footer="720" w:gutter="0"/>
          <w:cols w:space="720" w:num="1"/>
        </w:sectPr>
      </w:pPr>
    </w:p>
    <w:tbl>
      <w:tblPr>
        <w:tblStyle w:val="27"/>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3FD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5B59E29A">
            <w:pPr>
              <w:spacing w:line="360" w:lineRule="auto"/>
              <w:rPr>
                <w:rFonts w:ascii="宋体" w:hAnsi="宋体" w:cs="宋体"/>
                <w:b/>
                <w:color w:val="auto"/>
                <w:sz w:val="24"/>
                <w:highlight w:val="none"/>
              </w:rPr>
            </w:pPr>
          </w:p>
          <w:p w14:paraId="788CF6A6">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5DFCE5D1">
      <w:pPr>
        <w:spacing w:line="360" w:lineRule="auto"/>
        <w:ind w:firstLine="482" w:firstLineChars="200"/>
        <w:jc w:val="left"/>
        <w:rPr>
          <w:rFonts w:ascii="宋体" w:hAnsi="宋体" w:cs="宋体"/>
          <w:b/>
          <w:color w:val="auto"/>
          <w:sz w:val="32"/>
          <w:szCs w:val="32"/>
          <w:highlight w:val="none"/>
        </w:rPr>
      </w:pPr>
      <w:r>
        <w:rPr>
          <w:rFonts w:hint="eastAsia" w:ascii="宋体" w:hAnsi="宋体" w:cs="宋体"/>
          <w:b/>
          <w:color w:val="auto"/>
          <w:sz w:val="24"/>
          <w:highlight w:val="none"/>
        </w:rPr>
        <w:t>附件：</w:t>
      </w:r>
    </w:p>
    <w:p w14:paraId="4650C3F5">
      <w:pPr>
        <w:adjustRightInd w:val="0"/>
        <w:snapToGrid w:val="0"/>
        <w:spacing w:line="300" w:lineRule="auto"/>
        <w:jc w:val="left"/>
        <w:rPr>
          <w:rFonts w:ascii="宋体" w:hAnsi="宋体" w:cs="宋体"/>
          <w:b/>
          <w:color w:val="auto"/>
          <w:szCs w:val="21"/>
          <w:highlight w:val="none"/>
        </w:rPr>
      </w:pPr>
    </w:p>
    <w:p w14:paraId="04209ADF">
      <w:pPr>
        <w:spacing w:line="520" w:lineRule="exact"/>
        <w:ind w:firstLine="880"/>
        <w:jc w:val="left"/>
        <w:rPr>
          <w:rFonts w:ascii="宋体" w:hAnsi="宋体" w:cs="宋体"/>
          <w:bCs/>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2B33931D">
      <w:pPr>
        <w:spacing w:line="500" w:lineRule="exact"/>
        <w:jc w:val="center"/>
        <w:rPr>
          <w:rFonts w:ascii="宋体" w:hAnsi="宋体" w:cs="宋体"/>
          <w:color w:val="auto"/>
          <w:sz w:val="44"/>
          <w:szCs w:val="44"/>
          <w:highlight w:val="none"/>
        </w:rPr>
      </w:pPr>
    </w:p>
    <w:p w14:paraId="185822C6">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w:t>
      </w:r>
    </w:p>
    <w:p w14:paraId="2F76E2F3">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40313306">
      <w:pPr>
        <w:spacing w:line="520" w:lineRule="exact"/>
        <w:rPr>
          <w:rFonts w:ascii="宋体" w:hAnsi="宋体" w:cs="宋体"/>
          <w:color w:val="auto"/>
          <w:sz w:val="32"/>
          <w:szCs w:val="32"/>
          <w:highlight w:val="none"/>
        </w:rPr>
      </w:pPr>
    </w:p>
    <w:p w14:paraId="17A83CE2">
      <w:pPr>
        <w:spacing w:line="360" w:lineRule="auto"/>
        <w:rPr>
          <w:rFonts w:ascii="宋体" w:hAnsi="宋体" w:cs="宋体"/>
          <w:color w:val="auto"/>
          <w:sz w:val="24"/>
          <w:highlight w:val="none"/>
        </w:rPr>
      </w:pPr>
      <w:r>
        <w:rPr>
          <w:rFonts w:hint="eastAsia" w:ascii="宋体" w:hAnsi="宋体" w:cs="宋体"/>
          <w:color w:val="auto"/>
          <w:sz w:val="24"/>
          <w:highlight w:val="none"/>
        </w:rPr>
        <w:t>致：</w:t>
      </w:r>
      <w:bookmarkStart w:id="74" w:name="PO_3000001868_PM031_7"/>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采购人或采购代理机构名称</w:t>
      </w:r>
      <w:r>
        <w:rPr>
          <w:rFonts w:hint="eastAsia" w:ascii="宋体" w:hAnsi="宋体" w:cs="宋体"/>
          <w:color w:val="auto"/>
          <w:sz w:val="24"/>
          <w:highlight w:val="none"/>
          <w:u w:val="single"/>
        </w:rPr>
        <w:t>]</w:t>
      </w:r>
      <w:bookmarkEnd w:id="74"/>
      <w:r>
        <w:rPr>
          <w:rFonts w:hint="eastAsia" w:ascii="宋体" w:hAnsi="宋体" w:cs="宋体"/>
          <w:color w:val="auto"/>
          <w:sz w:val="24"/>
          <w:highlight w:val="none"/>
        </w:rPr>
        <w:t>：</w:t>
      </w:r>
    </w:p>
    <w:p w14:paraId="0B4F8E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bookmarkStart w:id="75" w:name="PO_3000001868_PM002_7"/>
      <w:r>
        <w:rPr>
          <w:rFonts w:hint="eastAsia" w:ascii="宋体" w:hAnsi="宋体" w:cs="宋体"/>
          <w:color w:val="auto"/>
          <w:sz w:val="24"/>
          <w:highlight w:val="none"/>
          <w:u w:val="single"/>
        </w:rPr>
        <w:t>[项目名称]</w:t>
      </w:r>
      <w:bookmarkEnd w:id="75"/>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7836102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65DB136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E0E120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6C554D6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58E1B58D">
      <w:pPr>
        <w:spacing w:line="360" w:lineRule="auto"/>
        <w:rPr>
          <w:rFonts w:ascii="宋体" w:hAnsi="宋体" w:cs="宋体"/>
          <w:color w:val="auto"/>
          <w:sz w:val="24"/>
          <w:highlight w:val="none"/>
        </w:rPr>
      </w:pPr>
    </w:p>
    <w:p w14:paraId="278E6410">
      <w:pPr>
        <w:spacing w:line="360" w:lineRule="auto"/>
        <w:rPr>
          <w:rFonts w:ascii="宋体" w:hAnsi="宋体" w:cs="宋体"/>
          <w:color w:val="auto"/>
          <w:sz w:val="24"/>
          <w:highlight w:val="none"/>
        </w:rPr>
      </w:pPr>
      <w:r>
        <w:rPr>
          <w:rFonts w:hint="eastAsia" w:ascii="宋体" w:hAnsi="宋体" w:cs="宋体"/>
          <w:color w:val="auto"/>
          <w:sz w:val="24"/>
          <w:highlight w:val="none"/>
        </w:rPr>
        <w:t>委托代理人（签字</w:t>
      </w:r>
      <w:r>
        <w:rPr>
          <w:rFonts w:hint="eastAsia" w:ascii="宋体" w:hAnsi="宋体" w:cs="宋体"/>
          <w:color w:val="auto"/>
          <w:sz w:val="24"/>
          <w:highlight w:val="none"/>
          <w:lang w:val="en-US" w:eastAsia="zh-CN"/>
        </w:rPr>
        <w:t>或签章</w:t>
      </w:r>
      <w:r>
        <w:rPr>
          <w:rFonts w:hint="eastAsia" w:ascii="宋体" w:hAnsi="宋体" w:cs="宋体"/>
          <w:color w:val="auto"/>
          <w:sz w:val="24"/>
          <w:highlight w:val="none"/>
        </w:rPr>
        <w:t>）：         法定代表人（签字或</w:t>
      </w:r>
      <w:r>
        <w:rPr>
          <w:rFonts w:hint="eastAsia" w:ascii="宋体" w:hAnsi="宋体" w:cs="宋体"/>
          <w:color w:val="auto"/>
          <w:sz w:val="24"/>
          <w:highlight w:val="none"/>
          <w:lang w:val="en-US" w:eastAsia="zh-CN"/>
        </w:rPr>
        <w:t>签章</w:t>
      </w:r>
      <w:r>
        <w:rPr>
          <w:rFonts w:hint="eastAsia" w:ascii="宋体" w:hAnsi="宋体" w:cs="宋体"/>
          <w:color w:val="auto"/>
          <w:sz w:val="24"/>
          <w:highlight w:val="none"/>
        </w:rPr>
        <w:t xml:space="preserve">）：                    </w:t>
      </w:r>
    </w:p>
    <w:p w14:paraId="4AAF9FF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181DF02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FDD550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0905B40D">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71D68B51">
      <w:pPr>
        <w:spacing w:line="360" w:lineRule="auto"/>
        <w:rPr>
          <w:rFonts w:ascii="宋体" w:hAnsi="宋体" w:cs="宋体"/>
          <w:color w:val="auto"/>
          <w:sz w:val="24"/>
          <w:highlight w:val="none"/>
        </w:rPr>
      </w:pPr>
    </w:p>
    <w:p w14:paraId="17A6EAB9">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color w:val="auto"/>
          <w:sz w:val="24"/>
          <w:highlight w:val="none"/>
          <w:lang w:val="en-US" w:eastAsia="zh-CN"/>
        </w:rPr>
        <w:t>或签章</w:t>
      </w:r>
      <w:r>
        <w:rPr>
          <w:rFonts w:hint="eastAsia" w:ascii="宋体" w:hAnsi="宋体" w:cs="宋体"/>
          <w:color w:val="auto"/>
          <w:sz w:val="24"/>
          <w:highlight w:val="none"/>
        </w:rPr>
        <w:t>，</w:t>
      </w:r>
      <w:r>
        <w:rPr>
          <w:rFonts w:hint="eastAsia" w:ascii="宋体" w:hAnsi="宋体" w:cs="宋体"/>
          <w:b/>
          <w:color w:val="auto"/>
          <w:sz w:val="24"/>
          <w:highlight w:val="none"/>
        </w:rPr>
        <w:t>否则其响应文件按无效响应处理。</w:t>
      </w:r>
    </w:p>
    <w:p w14:paraId="12B816F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B59A375">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3EEF0389">
      <w:pPr>
        <w:spacing w:line="520" w:lineRule="exact"/>
        <w:ind w:firstLine="420" w:firstLineChars="200"/>
        <w:jc w:val="left"/>
        <w:rPr>
          <w:rFonts w:ascii="宋体" w:hAnsi="宋体" w:cs="宋体"/>
          <w:b/>
          <w:color w:val="auto"/>
          <w:sz w:val="30"/>
          <w:szCs w:val="30"/>
          <w:highlight w:val="none"/>
        </w:rPr>
      </w:pPr>
      <w:r>
        <w:rPr>
          <w:rFonts w:hint="eastAsia" w:ascii="宋体" w:hAnsi="宋体" w:cs="宋体"/>
          <w:color w:val="auto"/>
          <w:szCs w:val="21"/>
          <w:highlight w:val="none"/>
        </w:rPr>
        <w:br w:type="page"/>
      </w:r>
      <w:r>
        <w:rPr>
          <w:rFonts w:hint="eastAsia" w:ascii="宋体" w:hAnsi="宋体" w:cs="宋体"/>
          <w:b/>
          <w:color w:val="auto"/>
          <w:sz w:val="30"/>
          <w:szCs w:val="30"/>
          <w:highlight w:val="none"/>
        </w:rPr>
        <w:t>四、商务条款偏离表</w:t>
      </w:r>
    </w:p>
    <w:p w14:paraId="53EF845F">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5C69886C">
      <w:pPr>
        <w:spacing w:line="520" w:lineRule="exact"/>
        <w:rPr>
          <w:rFonts w:ascii="宋体" w:hAnsi="宋体" w:cs="宋体"/>
          <w:color w:val="auto"/>
          <w:sz w:val="32"/>
          <w:szCs w:val="32"/>
          <w:highlight w:val="none"/>
        </w:rPr>
      </w:pPr>
    </w:p>
    <w:p w14:paraId="71850BF8">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bookmarkStart w:id="76" w:name="PO_3000001868_PM001_8"/>
      <w:r>
        <w:rPr>
          <w:rFonts w:hint="eastAsia" w:ascii="宋体" w:hAnsi="宋体" w:cs="宋体"/>
          <w:color w:val="auto"/>
          <w:sz w:val="24"/>
          <w:highlight w:val="none"/>
          <w:u w:val="single"/>
        </w:rPr>
        <w:t>[项目编号]</w:t>
      </w:r>
      <w:bookmarkEnd w:id="76"/>
      <w:r>
        <w:rPr>
          <w:rFonts w:hint="eastAsia" w:ascii="宋体" w:hAnsi="宋体" w:cs="宋体"/>
          <w:color w:val="auto"/>
          <w:sz w:val="24"/>
          <w:highlight w:val="none"/>
          <w:u w:val="single"/>
        </w:rPr>
        <w:t xml:space="preserve">  </w:t>
      </w:r>
    </w:p>
    <w:p w14:paraId="161B8E88">
      <w:pPr>
        <w:spacing w:line="360" w:lineRule="auto"/>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bookmarkStart w:id="77" w:name="PO_3000001868_PM002_8"/>
      <w:r>
        <w:rPr>
          <w:rFonts w:hint="eastAsia" w:ascii="宋体" w:hAnsi="宋体" w:cs="宋体"/>
          <w:color w:val="auto"/>
          <w:sz w:val="24"/>
          <w:highlight w:val="none"/>
          <w:u w:val="single"/>
        </w:rPr>
        <w:t>[项目名称]</w:t>
      </w:r>
      <w:bookmarkEnd w:id="77"/>
      <w:r>
        <w:rPr>
          <w:rFonts w:hint="eastAsia" w:ascii="宋体" w:hAnsi="宋体" w:cs="宋体"/>
          <w:color w:val="auto"/>
          <w:sz w:val="24"/>
          <w:highlight w:val="none"/>
          <w:u w:val="single"/>
        </w:rPr>
        <w:t xml:space="preserve"> </w:t>
      </w:r>
    </w:p>
    <w:p w14:paraId="43BB5E51">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Cs w:val="21"/>
          <w:highlight w:val="none"/>
        </w:rPr>
        <w:t>（此处有分标时填写具体分标号，无分标时填写“无”）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tbl>
      <w:tblPr>
        <w:tblStyle w:val="27"/>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49C6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9C5AF7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3E4471C">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E5BC8C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0C52AAF">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2086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15E5772">
            <w:pPr>
              <w:spacing w:line="340" w:lineRule="exact"/>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4E7D8A86">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34EB4B85">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52BD065">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47F64B2">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33526C3">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4DFD139">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38C3D283">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635F98C">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2B59C910">
            <w:pPr>
              <w:spacing w:line="300" w:lineRule="exact"/>
              <w:rPr>
                <w:rFonts w:ascii="宋体" w:hAnsi="宋体" w:cs="宋体"/>
                <w:color w:val="auto"/>
                <w:szCs w:val="21"/>
                <w:highlight w:val="none"/>
              </w:rPr>
            </w:pPr>
          </w:p>
        </w:tc>
      </w:tr>
      <w:tr w14:paraId="7A62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069842D4">
            <w:pPr>
              <w:spacing w:line="340" w:lineRule="exact"/>
              <w:rPr>
                <w:rFonts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B3F35ED">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D3A151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23EDCB8">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0D6DC913">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5CBA3D37">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08CC77C9">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62F2CD4D">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F5E4A5D">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B7CBA71">
            <w:pPr>
              <w:spacing w:line="300" w:lineRule="exact"/>
              <w:rPr>
                <w:rFonts w:ascii="宋体" w:hAnsi="宋体" w:cs="宋体"/>
                <w:color w:val="auto"/>
                <w:szCs w:val="21"/>
                <w:highlight w:val="none"/>
              </w:rPr>
            </w:pPr>
          </w:p>
        </w:tc>
      </w:tr>
      <w:tr w14:paraId="1BA2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3FB62BF4">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51999DA1">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7D6F6D9C">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52CF0135">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F7A84F7">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A780329">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769BFDE3">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28AF3B56">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BC1A79C">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905E396">
            <w:pPr>
              <w:spacing w:line="300" w:lineRule="exact"/>
              <w:rPr>
                <w:rFonts w:ascii="宋体" w:hAnsi="宋体" w:cs="宋体"/>
                <w:color w:val="auto"/>
                <w:szCs w:val="21"/>
                <w:highlight w:val="none"/>
              </w:rPr>
            </w:pPr>
          </w:p>
        </w:tc>
      </w:tr>
    </w:tbl>
    <w:p w14:paraId="54986750">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860DE75">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3F106B5E">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0AF1391D">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0F0BF9C6">
      <w:pPr>
        <w:pStyle w:val="15"/>
        <w:spacing w:line="400" w:lineRule="exact"/>
        <w:rPr>
          <w:rFonts w:hAnsi="宋体" w:cs="宋体"/>
          <w:color w:val="auto"/>
          <w:sz w:val="24"/>
          <w:highlight w:val="none"/>
        </w:rPr>
      </w:pPr>
      <w:r>
        <w:rPr>
          <w:rFonts w:hint="eastAsia" w:hAnsi="宋体" w:cs="宋体"/>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2FF9048">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5239E74A">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81FC9AF">
      <w:pPr>
        <w:snapToGrid w:val="0"/>
        <w:spacing w:line="360" w:lineRule="auto"/>
        <w:rPr>
          <w:rFonts w:ascii="宋体" w:hAnsi="宋体" w:cs="宋体"/>
          <w:b/>
          <w:color w:val="auto"/>
          <w:sz w:val="30"/>
          <w:szCs w:val="30"/>
          <w:highlight w:val="none"/>
        </w:rPr>
      </w:pPr>
    </w:p>
    <w:p w14:paraId="7F44BD83">
      <w:pPr>
        <w:snapToGrid w:val="0"/>
        <w:spacing w:line="360" w:lineRule="auto"/>
        <w:ind w:firstLine="602" w:firstLineChars="200"/>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lang w:val="en-US" w:eastAsia="zh-CN"/>
        </w:rPr>
        <w:t>五</w:t>
      </w:r>
      <w:r>
        <w:rPr>
          <w:rFonts w:hint="eastAsia" w:ascii="宋体" w:hAnsi="宋体" w:cs="宋体"/>
          <w:b/>
          <w:color w:val="auto"/>
          <w:sz w:val="30"/>
          <w:szCs w:val="30"/>
          <w:highlight w:val="none"/>
        </w:rPr>
        <w:t>、</w:t>
      </w:r>
      <w:r>
        <w:rPr>
          <w:rFonts w:hint="eastAsia" w:ascii="宋体" w:hAnsi="宋体" w:cs="宋体"/>
          <w:b/>
          <w:color w:val="auto"/>
          <w:sz w:val="30"/>
          <w:szCs w:val="30"/>
          <w:highlight w:val="none"/>
          <w:lang w:val="en-US" w:eastAsia="zh-CN"/>
        </w:rPr>
        <w:t>施工组织设计</w:t>
      </w:r>
    </w:p>
    <w:p w14:paraId="5B7251E1">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（由供应商根据</w:t>
      </w:r>
      <w:r>
        <w:rPr>
          <w:rFonts w:hint="eastAsia" w:ascii="宋体" w:hAnsi="宋体" w:cs="宋体"/>
          <w:color w:val="auto"/>
          <w:sz w:val="24"/>
          <w:highlight w:val="none"/>
          <w:lang w:val="en-US" w:eastAsia="zh-CN"/>
        </w:rPr>
        <w:t>评审办法内容编制</w:t>
      </w:r>
      <w:r>
        <w:rPr>
          <w:rFonts w:hint="eastAsia" w:ascii="宋体" w:hAnsi="宋体" w:cs="宋体"/>
          <w:color w:val="auto"/>
          <w:sz w:val="24"/>
          <w:highlight w:val="none"/>
        </w:rPr>
        <w:t>）</w:t>
      </w:r>
    </w:p>
    <w:p w14:paraId="0DE13E75">
      <w:pPr>
        <w:rPr>
          <w:rFonts w:ascii="宋体" w:hAnsi="宋体" w:cs="宋体"/>
          <w:b/>
          <w:bCs/>
          <w:color w:val="auto"/>
          <w:kern w:val="0"/>
          <w:sz w:val="24"/>
          <w:highlight w:val="none"/>
          <w:lang w:val="zh-CN"/>
        </w:rPr>
      </w:pPr>
      <w:bookmarkStart w:id="78"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78"/>
      <w:r>
        <w:rPr>
          <w:rFonts w:hint="eastAsia" w:ascii="宋体" w:hAnsi="宋体" w:cs="宋体"/>
          <w:b/>
          <w:color w:val="auto"/>
          <w:sz w:val="24"/>
          <w:highlight w:val="none"/>
        </w:rPr>
        <w:t xml:space="preserve"> </w:t>
      </w:r>
    </w:p>
    <w:tbl>
      <w:tblPr>
        <w:tblStyle w:val="27"/>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B60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765C483A">
            <w:pPr>
              <w:spacing w:line="360" w:lineRule="auto"/>
              <w:rPr>
                <w:rFonts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00BEA0E8">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10E15F7A">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4D61E025">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0BEA0E8">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0E15F7A">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D61E025">
                              <w:pPr>
                                <w:snapToGrid w:val="0"/>
                              </w:pPr>
                              <w:r>
                                <w:rPr>
                                  <w:rFonts w:hint="eastAsia"/>
                                </w:rPr>
                                <w:t>日</w:t>
                              </w:r>
                            </w:p>
                          </w:txbxContent>
                        </v:textbox>
                      </v:shape>
                    </v:group>
                  </w:pict>
                </mc:Fallback>
              </mc:AlternateContent>
            </w:r>
          </w:p>
          <w:p w14:paraId="1AAF8ADD">
            <w:pPr>
              <w:spacing w:line="360" w:lineRule="auto"/>
              <w:rPr>
                <w:rFonts w:ascii="宋体" w:hAnsi="宋体" w:cs="宋体"/>
                <w:color w:val="auto"/>
                <w:sz w:val="24"/>
                <w:highlight w:val="none"/>
              </w:rPr>
            </w:pPr>
          </w:p>
          <w:p w14:paraId="34B3BD3F">
            <w:pPr>
              <w:spacing w:line="360" w:lineRule="auto"/>
              <w:rPr>
                <w:rFonts w:ascii="宋体" w:hAnsi="宋体" w:cs="宋体"/>
                <w:color w:val="auto"/>
                <w:sz w:val="24"/>
                <w:highlight w:val="none"/>
              </w:rPr>
            </w:pPr>
          </w:p>
          <w:p w14:paraId="3940FA55">
            <w:pPr>
              <w:spacing w:line="360" w:lineRule="auto"/>
              <w:rPr>
                <w:rFonts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30B4CD7F">
            <w:pPr>
              <w:spacing w:line="360" w:lineRule="auto"/>
              <w:rPr>
                <w:rFonts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09B8F296">
            <w:pPr>
              <w:spacing w:line="360" w:lineRule="auto"/>
              <w:rPr>
                <w:rFonts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394329B6">
            <w:pPr>
              <w:spacing w:line="360" w:lineRule="auto"/>
              <w:rPr>
                <w:rFonts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4D07B19F">
            <w:pPr>
              <w:spacing w:line="360" w:lineRule="auto"/>
              <w:rPr>
                <w:rFonts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2A4025D6">
            <w:pPr>
              <w:spacing w:line="360" w:lineRule="auto"/>
              <w:rPr>
                <w:rFonts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793CC861">
            <w:pPr>
              <w:spacing w:line="360" w:lineRule="auto"/>
              <w:rPr>
                <w:rFonts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4C2FEFB3">
            <w:pPr>
              <w:spacing w:line="360" w:lineRule="auto"/>
              <w:rPr>
                <w:rFonts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404CDC6B">
            <w:pPr>
              <w:spacing w:line="360" w:lineRule="auto"/>
              <w:rPr>
                <w:rFonts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78C9B178">
            <w:pPr>
              <w:spacing w:line="360" w:lineRule="auto"/>
              <w:rPr>
                <w:rFonts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434861EA">
            <w:pPr>
              <w:spacing w:line="360" w:lineRule="auto"/>
              <w:rPr>
                <w:rFonts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44F47552">
            <w:pPr>
              <w:spacing w:line="360" w:lineRule="auto"/>
              <w:rPr>
                <w:rFonts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5C45B825">
            <w:pPr>
              <w:spacing w:line="360" w:lineRule="auto"/>
              <w:rPr>
                <w:rFonts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20AF52AE">
            <w:pPr>
              <w:spacing w:line="360" w:lineRule="auto"/>
              <w:rPr>
                <w:rFonts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7A3E93E7">
            <w:pPr>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2B38CE5A">
            <w:pPr>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76B9B0B5">
            <w:pPr>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2507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40EF65C">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531AAD">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CC10B4A">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97173E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ABB84F0">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53F7918">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1B49BC4">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8A2145E">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6FFAEF">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3B9AE1">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9A722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EE88E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8E909C">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6EDA9A">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E5D188D">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195FA7">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9FD692">
            <w:pPr>
              <w:spacing w:line="360" w:lineRule="auto"/>
              <w:rPr>
                <w:rFonts w:ascii="宋体" w:hAnsi="宋体" w:cs="宋体"/>
                <w:color w:val="auto"/>
                <w:sz w:val="24"/>
                <w:highlight w:val="none"/>
              </w:rPr>
            </w:pPr>
          </w:p>
        </w:tc>
      </w:tr>
      <w:tr w14:paraId="27CB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82D59C5">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E10E14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82C8B21">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F2E9DED">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81A1C4">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D0A9E1">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A0B0899">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5D30F3">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FC777C">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9394CD">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06E83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8BCAC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4A70D8">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7D0D5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3D067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788500E">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B172A1">
            <w:pPr>
              <w:spacing w:line="360" w:lineRule="auto"/>
              <w:rPr>
                <w:rFonts w:ascii="宋体" w:hAnsi="宋体" w:cs="宋体"/>
                <w:color w:val="auto"/>
                <w:sz w:val="24"/>
                <w:highlight w:val="none"/>
              </w:rPr>
            </w:pPr>
          </w:p>
        </w:tc>
      </w:tr>
      <w:tr w14:paraId="7EE2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64A2165">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5395F5B">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9D8711B">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1D5689">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ABC5BC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DC52369">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A3493F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B4BE78">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49383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2B291E">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ADC01D">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9A77FE">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6727867">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4163B7">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1533DA">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D51BC53">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350710F">
            <w:pPr>
              <w:spacing w:line="360" w:lineRule="auto"/>
              <w:rPr>
                <w:rFonts w:ascii="宋体" w:hAnsi="宋体" w:cs="宋体"/>
                <w:color w:val="auto"/>
                <w:sz w:val="24"/>
                <w:highlight w:val="none"/>
              </w:rPr>
            </w:pPr>
          </w:p>
        </w:tc>
      </w:tr>
      <w:tr w14:paraId="33E8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DA81E53">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82D24C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C3387EF">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88397C">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2933EB5">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0E38C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DA768D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CE6844">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E1C1FA">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352889">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6C2937">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675F59">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8C347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E0371D">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6FF5351">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12A75C">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3B8613">
            <w:pPr>
              <w:spacing w:line="360" w:lineRule="auto"/>
              <w:rPr>
                <w:rFonts w:ascii="宋体" w:hAnsi="宋体" w:cs="宋体"/>
                <w:color w:val="auto"/>
                <w:sz w:val="24"/>
                <w:highlight w:val="none"/>
              </w:rPr>
            </w:pPr>
          </w:p>
        </w:tc>
      </w:tr>
      <w:tr w14:paraId="387D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E80EC27">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4CEE4B">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DCC1380">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E52C924">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5DE07E8">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28F417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7D1558A">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DBD07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7D91E8">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47A0E4E">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6AAF2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E0E6E9">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7A6FDB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EFC578F">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8F2FF3">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53CACD">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DE6C868">
            <w:pPr>
              <w:spacing w:line="360" w:lineRule="auto"/>
              <w:rPr>
                <w:rFonts w:ascii="宋体" w:hAnsi="宋体" w:cs="宋体"/>
                <w:color w:val="auto"/>
                <w:sz w:val="24"/>
                <w:highlight w:val="none"/>
              </w:rPr>
            </w:pPr>
          </w:p>
        </w:tc>
      </w:tr>
      <w:tr w14:paraId="2524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808777">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1691E8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97F0B20">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4A93B48">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C9A34A">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5B1146">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03123C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E7276D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2AA11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A34E14">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2FDAC9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678860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0773B3">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E67F8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3E5B01">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BB222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4AB6DD">
            <w:pPr>
              <w:spacing w:line="360" w:lineRule="auto"/>
              <w:rPr>
                <w:rFonts w:ascii="宋体" w:hAnsi="宋体" w:cs="宋体"/>
                <w:color w:val="auto"/>
                <w:sz w:val="24"/>
                <w:highlight w:val="none"/>
              </w:rPr>
            </w:pPr>
          </w:p>
        </w:tc>
      </w:tr>
      <w:tr w14:paraId="021C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386E88D">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ACDFCAA">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94DCEA8">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1F05E2">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CCA1FD">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05F04BC">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420C02">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CC71283">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E45C24C">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4CA24F">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A3E68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DF2E0C1">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9FA432">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0811E42">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6B3CE71">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6CB347">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E094C0B">
            <w:pPr>
              <w:spacing w:line="360" w:lineRule="auto"/>
              <w:rPr>
                <w:rFonts w:ascii="宋体" w:hAnsi="宋体" w:cs="宋体"/>
                <w:color w:val="auto"/>
                <w:sz w:val="24"/>
                <w:highlight w:val="none"/>
              </w:rPr>
            </w:pPr>
          </w:p>
        </w:tc>
      </w:tr>
      <w:tr w14:paraId="7F85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F82B4E1">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EE83526">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DAB7FB5">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189362A">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05FFB21">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87F92B1">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C9710A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5D0B28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EF387C">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B8FD0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116379">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AF083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1ED24C1">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70D11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90E25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FCB1B4">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9CB446">
            <w:pPr>
              <w:spacing w:line="360" w:lineRule="auto"/>
              <w:rPr>
                <w:rFonts w:ascii="宋体" w:hAnsi="宋体" w:cs="宋体"/>
                <w:color w:val="auto"/>
                <w:sz w:val="24"/>
                <w:highlight w:val="none"/>
              </w:rPr>
            </w:pPr>
          </w:p>
        </w:tc>
      </w:tr>
      <w:tr w14:paraId="0A13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71DCB1E">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4BBCABC">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B94433">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A962E87">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9BC7091">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244726">
            <w:pPr>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A2A41DF">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B5352E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406779">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B3AEBB">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0DCD7A">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280795">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A4A36F">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3308B10">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945646">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B0FECE">
            <w:pPr>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C50480">
            <w:pPr>
              <w:spacing w:line="360" w:lineRule="auto"/>
              <w:rPr>
                <w:rFonts w:ascii="宋体" w:hAnsi="宋体" w:cs="宋体"/>
                <w:color w:val="auto"/>
                <w:sz w:val="24"/>
                <w:highlight w:val="none"/>
              </w:rPr>
            </w:pPr>
          </w:p>
        </w:tc>
      </w:tr>
    </w:tbl>
    <w:p w14:paraId="45496A85">
      <w:pPr>
        <w:autoSpaceDE w:val="0"/>
        <w:autoSpaceDN w:val="0"/>
        <w:spacing w:line="360" w:lineRule="auto"/>
        <w:rPr>
          <w:rFonts w:ascii="宋体" w:hAnsi="宋体" w:cs="宋体"/>
          <w:color w:val="auto"/>
          <w:kern w:val="0"/>
          <w:sz w:val="24"/>
          <w:highlight w:val="none"/>
        </w:rPr>
      </w:pPr>
      <w:r>
        <w:rPr>
          <w:rFonts w:hint="eastAsia" w:ascii="宋体" w:hAnsi="宋体" w:cs="宋体"/>
          <w:b/>
          <w:color w:val="auto"/>
          <w:sz w:val="24"/>
          <w:highlight w:val="none"/>
        </w:rPr>
        <w:t>注：供应商可按上述时间表的格式自行编制切合实际的具体时间表。</w:t>
      </w:r>
    </w:p>
    <w:p w14:paraId="13647611">
      <w:pPr>
        <w:spacing w:line="500" w:lineRule="exact"/>
        <w:rPr>
          <w:rFonts w:ascii="宋体" w:hAnsi="宋体" w:cs="宋体"/>
          <w:color w:val="auto"/>
          <w:sz w:val="32"/>
          <w:szCs w:val="32"/>
          <w:highlight w:val="none"/>
        </w:rPr>
      </w:pPr>
    </w:p>
    <w:p w14:paraId="7E23AA72">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541168F">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D1EBF35">
      <w:pPr>
        <w:spacing w:line="500" w:lineRule="exact"/>
        <w:rPr>
          <w:rFonts w:ascii="宋体" w:hAnsi="宋体" w:cs="宋体"/>
          <w:color w:val="auto"/>
          <w:sz w:val="32"/>
          <w:szCs w:val="32"/>
          <w:highlight w:val="none"/>
        </w:rPr>
      </w:pPr>
    </w:p>
    <w:p w14:paraId="39D65EB2">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、项目实施人员一览表</w:t>
      </w:r>
    </w:p>
    <w:p w14:paraId="2A337C2C">
      <w:pPr>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（由供应商根据采购需求及采购文件要求编制）</w:t>
      </w:r>
    </w:p>
    <w:p w14:paraId="6DDC7589">
      <w:pPr>
        <w:pStyle w:val="15"/>
        <w:rPr>
          <w:rFonts w:hAnsi="宋体" w:cs="宋体"/>
          <w:color w:val="auto"/>
          <w:sz w:val="24"/>
          <w:szCs w:val="24"/>
          <w:highlight w:val="none"/>
        </w:rPr>
      </w:pPr>
      <w:r>
        <w:rPr>
          <w:rFonts w:hint="eastAsia" w:hAnsi="宋体" w:cs="宋体"/>
          <w:color w:val="auto"/>
          <w:sz w:val="24"/>
          <w:szCs w:val="24"/>
          <w:highlight w:val="none"/>
        </w:rPr>
        <w:t>响应分标：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3E140D7F">
      <w:pPr>
        <w:keepNext/>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7"/>
        <w:tblW w:w="8755" w:type="dxa"/>
        <w:tblInd w:w="116" w:type="dxa"/>
        <w:tblLayout w:type="fixed"/>
        <w:tblCellMar>
          <w:top w:w="0" w:type="dxa"/>
          <w:left w:w="108" w:type="dxa"/>
          <w:bottom w:w="0" w:type="dxa"/>
          <w:right w:w="108" w:type="dxa"/>
        </w:tblCellMar>
      </w:tblPr>
      <w:tblGrid>
        <w:gridCol w:w="2061"/>
        <w:gridCol w:w="1287"/>
        <w:gridCol w:w="1260"/>
        <w:gridCol w:w="4147"/>
      </w:tblGrid>
      <w:tr w14:paraId="43814F0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52D7E1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021CB8CE">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EA544A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D29AC9E">
            <w:pPr>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响应截止时间前三年业绩及承担的主要工作情况，曾担任项目经理的项目应列明细</w:t>
            </w:r>
          </w:p>
        </w:tc>
      </w:tr>
      <w:tr w14:paraId="3E57B4C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2F1BBB1">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9372C7">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D895A7F">
            <w:pPr>
              <w:autoSpaceDE w:val="0"/>
              <w:autoSpaceDN w:val="0"/>
              <w:spacing w:line="360" w:lineRule="auto"/>
              <w:jc w:val="center"/>
              <w:rPr>
                <w:rFonts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1BC0664">
            <w:pPr>
              <w:autoSpaceDE w:val="0"/>
              <w:autoSpaceDN w:val="0"/>
              <w:spacing w:line="360" w:lineRule="auto"/>
              <w:jc w:val="center"/>
              <w:rPr>
                <w:rFonts w:ascii="宋体" w:hAnsi="宋体" w:cs="宋体"/>
                <w:color w:val="auto"/>
                <w:sz w:val="24"/>
                <w:highlight w:val="none"/>
              </w:rPr>
            </w:pPr>
          </w:p>
        </w:tc>
      </w:tr>
      <w:tr w14:paraId="40478A8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CDBA51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DF16582">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7AD5B76">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315AAC">
            <w:pPr>
              <w:widowControl/>
              <w:jc w:val="left"/>
              <w:rPr>
                <w:rFonts w:ascii="宋体" w:hAnsi="宋体" w:cs="宋体"/>
                <w:color w:val="auto"/>
                <w:sz w:val="24"/>
                <w:highlight w:val="none"/>
              </w:rPr>
            </w:pPr>
          </w:p>
        </w:tc>
      </w:tr>
      <w:tr w14:paraId="131CE80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923C758">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97FF0C">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045F5D5">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C8FBAF">
            <w:pPr>
              <w:widowControl/>
              <w:jc w:val="left"/>
              <w:rPr>
                <w:rFonts w:ascii="宋体" w:hAnsi="宋体" w:cs="宋体"/>
                <w:color w:val="auto"/>
                <w:sz w:val="24"/>
                <w:highlight w:val="none"/>
              </w:rPr>
            </w:pPr>
          </w:p>
        </w:tc>
      </w:tr>
      <w:tr w14:paraId="34DA77F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CE1C4B0">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B7D7707">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3CCB35A">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39F4501">
            <w:pPr>
              <w:widowControl/>
              <w:jc w:val="left"/>
              <w:rPr>
                <w:rFonts w:ascii="宋体" w:hAnsi="宋体" w:cs="宋体"/>
                <w:color w:val="auto"/>
                <w:sz w:val="24"/>
                <w:highlight w:val="none"/>
              </w:rPr>
            </w:pPr>
          </w:p>
        </w:tc>
      </w:tr>
      <w:tr w14:paraId="5841D43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0DC302B">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D4D355F">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CE482AC">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CBA224">
            <w:pPr>
              <w:widowControl/>
              <w:jc w:val="left"/>
              <w:rPr>
                <w:rFonts w:ascii="宋体" w:hAnsi="宋体" w:cs="宋体"/>
                <w:color w:val="auto"/>
                <w:sz w:val="24"/>
                <w:highlight w:val="none"/>
              </w:rPr>
            </w:pPr>
          </w:p>
        </w:tc>
      </w:tr>
      <w:tr w14:paraId="025939B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D50480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5F43EF6">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6012191">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1DAB449">
            <w:pPr>
              <w:widowControl/>
              <w:jc w:val="left"/>
              <w:rPr>
                <w:rFonts w:ascii="宋体" w:hAnsi="宋体" w:cs="宋体"/>
                <w:color w:val="auto"/>
                <w:sz w:val="24"/>
                <w:highlight w:val="none"/>
              </w:rPr>
            </w:pPr>
          </w:p>
        </w:tc>
      </w:tr>
      <w:tr w14:paraId="5AF58C0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2E66E5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7138188">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F492586">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F12AEDC">
            <w:pPr>
              <w:widowControl/>
              <w:jc w:val="left"/>
              <w:rPr>
                <w:rFonts w:ascii="宋体" w:hAnsi="宋体" w:cs="宋体"/>
                <w:color w:val="auto"/>
                <w:sz w:val="24"/>
                <w:highlight w:val="none"/>
              </w:rPr>
            </w:pPr>
          </w:p>
        </w:tc>
      </w:tr>
      <w:tr w14:paraId="5396E31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A1A136C">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6B3C449">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2C49FE">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9DD6F9D">
            <w:pPr>
              <w:widowControl/>
              <w:jc w:val="left"/>
              <w:rPr>
                <w:rFonts w:ascii="宋体" w:hAnsi="宋体" w:cs="宋体"/>
                <w:color w:val="auto"/>
                <w:sz w:val="24"/>
                <w:highlight w:val="none"/>
              </w:rPr>
            </w:pPr>
          </w:p>
        </w:tc>
      </w:tr>
      <w:tr w14:paraId="2B2C133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6EBF8B">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EA3D756">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91772F7">
            <w:pPr>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A89DFD">
            <w:pPr>
              <w:widowControl/>
              <w:jc w:val="left"/>
              <w:rPr>
                <w:rFonts w:ascii="宋体" w:hAnsi="宋体" w:cs="宋体"/>
                <w:color w:val="auto"/>
                <w:sz w:val="24"/>
                <w:highlight w:val="none"/>
              </w:rPr>
            </w:pPr>
          </w:p>
        </w:tc>
      </w:tr>
    </w:tbl>
    <w:p w14:paraId="37A3158A">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注：须随表提交相应的证书复印件并注明所在响应技术文件页码。</w:t>
      </w:r>
    </w:p>
    <w:p w14:paraId="6D203269">
      <w:pPr>
        <w:autoSpaceDE w:val="0"/>
        <w:autoSpaceDN w:val="0"/>
        <w:spacing w:line="360" w:lineRule="auto"/>
        <w:rPr>
          <w:rFonts w:ascii="宋体" w:hAnsi="宋体" w:cs="宋体"/>
          <w:b/>
          <w:color w:val="auto"/>
          <w:sz w:val="24"/>
          <w:highlight w:val="none"/>
        </w:rPr>
      </w:pPr>
    </w:p>
    <w:p w14:paraId="7550E534">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本项目的</w:t>
      </w:r>
      <w:r>
        <w:rPr>
          <w:rFonts w:hint="eastAsia" w:ascii="宋体" w:hAnsi="宋体" w:cs="宋体"/>
          <w:b/>
          <w:color w:val="auto"/>
          <w:sz w:val="24"/>
          <w:highlight w:val="none"/>
          <w:lang w:val="en-US" w:eastAsia="zh-CN"/>
        </w:rPr>
        <w:t>其他</w:t>
      </w:r>
      <w:r>
        <w:rPr>
          <w:rFonts w:hint="eastAsia" w:ascii="宋体" w:hAnsi="宋体" w:cs="宋体"/>
          <w:b/>
          <w:color w:val="auto"/>
          <w:sz w:val="24"/>
          <w:highlight w:val="none"/>
        </w:rPr>
        <w:t>人员情况表</w:t>
      </w:r>
      <w:r>
        <w:rPr>
          <w:rFonts w:hint="eastAsia" w:ascii="宋体" w:hAnsi="宋体" w:cs="宋体"/>
          <w:color w:val="auto"/>
          <w:sz w:val="24"/>
          <w:highlight w:val="none"/>
        </w:rPr>
        <w:t>（按此格式自制）</w:t>
      </w:r>
    </w:p>
    <w:tbl>
      <w:tblPr>
        <w:tblStyle w:val="27"/>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1116"/>
        <w:gridCol w:w="1254"/>
      </w:tblGrid>
      <w:tr w14:paraId="2275B41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A1CD745">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63DF1F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7CE48C4">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D1A6034">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7DBF4B4">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423EDA2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34E279B">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2EA9F44B">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0BFB761">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6357C88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BD96FB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1116" w:type="dxa"/>
            <w:tcBorders>
              <w:top w:val="single" w:color="auto" w:sz="6" w:space="0"/>
              <w:left w:val="single" w:color="auto" w:sz="6" w:space="0"/>
              <w:bottom w:val="single" w:color="auto" w:sz="6" w:space="0"/>
              <w:right w:val="single" w:color="auto" w:sz="6" w:space="0"/>
            </w:tcBorders>
            <w:vAlign w:val="center"/>
          </w:tcPr>
          <w:p w14:paraId="2F59D2D3">
            <w:pPr>
              <w:autoSpaceDE w:val="0"/>
              <w:autoSpaceDN w:val="0"/>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执业资格证书</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p>
        </w:tc>
        <w:tc>
          <w:tcPr>
            <w:tcW w:w="1254" w:type="dxa"/>
            <w:tcBorders>
              <w:top w:val="single" w:color="auto" w:sz="6" w:space="0"/>
              <w:left w:val="single" w:color="auto" w:sz="6" w:space="0"/>
              <w:bottom w:val="single" w:color="auto" w:sz="6" w:space="0"/>
              <w:right w:val="single" w:color="auto" w:sz="6" w:space="0"/>
            </w:tcBorders>
            <w:vAlign w:val="center"/>
          </w:tcPr>
          <w:p w14:paraId="6955443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4981742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9B0B308">
            <w:pPr>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DFD8A39">
            <w:pPr>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70D7F52">
            <w:pPr>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473CA0B">
            <w:pPr>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4C7E23D">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EBDFEF">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255898B">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3DB46B7">
            <w:pPr>
              <w:autoSpaceDE w:val="0"/>
              <w:autoSpaceDN w:val="0"/>
              <w:spacing w:line="360" w:lineRule="auto"/>
              <w:rPr>
                <w:rFonts w:ascii="宋体" w:hAnsi="宋体" w:cs="宋体"/>
                <w:color w:val="auto"/>
                <w:sz w:val="24"/>
                <w:highlight w:val="none"/>
              </w:rPr>
            </w:pPr>
          </w:p>
        </w:tc>
        <w:tc>
          <w:tcPr>
            <w:tcW w:w="1116" w:type="dxa"/>
            <w:tcBorders>
              <w:top w:val="single" w:color="auto" w:sz="6" w:space="0"/>
              <w:left w:val="single" w:color="auto" w:sz="6" w:space="0"/>
              <w:bottom w:val="single" w:color="auto" w:sz="6" w:space="0"/>
              <w:right w:val="single" w:color="auto" w:sz="6" w:space="0"/>
            </w:tcBorders>
          </w:tcPr>
          <w:p w14:paraId="1BC1B29D">
            <w:pPr>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single" w:color="auto" w:sz="6" w:space="0"/>
              <w:right w:val="single" w:color="auto" w:sz="6" w:space="0"/>
            </w:tcBorders>
          </w:tcPr>
          <w:p w14:paraId="1ACA4504">
            <w:pPr>
              <w:autoSpaceDE w:val="0"/>
              <w:autoSpaceDN w:val="0"/>
              <w:spacing w:line="360" w:lineRule="auto"/>
              <w:rPr>
                <w:rFonts w:ascii="宋体" w:hAnsi="宋体" w:cs="宋体"/>
                <w:color w:val="auto"/>
                <w:sz w:val="24"/>
                <w:highlight w:val="none"/>
              </w:rPr>
            </w:pPr>
          </w:p>
        </w:tc>
      </w:tr>
      <w:tr w14:paraId="4C2ACF90">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B3DC8A">
            <w:pPr>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EFA506">
            <w:pPr>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AD3595F">
            <w:pPr>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4977BA9">
            <w:pPr>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AAE11AE">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CCA9BC6">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EF0C373">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F6AC68C">
            <w:pPr>
              <w:autoSpaceDE w:val="0"/>
              <w:autoSpaceDN w:val="0"/>
              <w:spacing w:line="360" w:lineRule="auto"/>
              <w:rPr>
                <w:rFonts w:ascii="宋体" w:hAnsi="宋体" w:cs="宋体"/>
                <w:color w:val="auto"/>
                <w:sz w:val="24"/>
                <w:highlight w:val="none"/>
              </w:rPr>
            </w:pPr>
          </w:p>
        </w:tc>
        <w:tc>
          <w:tcPr>
            <w:tcW w:w="1116" w:type="dxa"/>
            <w:tcBorders>
              <w:top w:val="single" w:color="auto" w:sz="6" w:space="0"/>
              <w:left w:val="single" w:color="auto" w:sz="6" w:space="0"/>
              <w:bottom w:val="single" w:color="auto" w:sz="6" w:space="0"/>
              <w:right w:val="single" w:color="auto" w:sz="6" w:space="0"/>
            </w:tcBorders>
          </w:tcPr>
          <w:p w14:paraId="414BDA59">
            <w:pPr>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single" w:color="auto" w:sz="6" w:space="0"/>
              <w:right w:val="single" w:color="auto" w:sz="6" w:space="0"/>
            </w:tcBorders>
          </w:tcPr>
          <w:p w14:paraId="405F6D7D">
            <w:pPr>
              <w:autoSpaceDE w:val="0"/>
              <w:autoSpaceDN w:val="0"/>
              <w:spacing w:line="360" w:lineRule="auto"/>
              <w:rPr>
                <w:rFonts w:ascii="宋体" w:hAnsi="宋体" w:cs="宋体"/>
                <w:color w:val="auto"/>
                <w:sz w:val="24"/>
                <w:highlight w:val="none"/>
              </w:rPr>
            </w:pPr>
          </w:p>
        </w:tc>
      </w:tr>
    </w:tbl>
    <w:p w14:paraId="02539F9F">
      <w:pPr>
        <w:spacing w:line="360" w:lineRule="auto"/>
        <w:rPr>
          <w:rFonts w:ascii="宋体" w:hAnsi="宋体" w:cs="宋体"/>
          <w:b/>
          <w:bCs/>
          <w:color w:val="auto"/>
          <w:sz w:val="24"/>
          <w:highlight w:val="none"/>
        </w:rPr>
      </w:pPr>
      <w:r>
        <w:rPr>
          <w:rFonts w:hint="eastAsia" w:ascii="宋体" w:hAnsi="宋体" w:cs="宋体"/>
          <w:b/>
          <w:color w:val="auto"/>
          <w:sz w:val="24"/>
          <w:highlight w:val="none"/>
        </w:rPr>
        <w:t>注：供应商可按上述的格式自行编制，须随表提交相应的证书复印件并注明所在响应技术文件页码。</w:t>
      </w:r>
    </w:p>
    <w:p w14:paraId="5FA302FD">
      <w:pPr>
        <w:snapToGrid w:val="0"/>
        <w:spacing w:line="360" w:lineRule="auto"/>
        <w:ind w:firstLine="602" w:firstLineChars="200"/>
        <w:rPr>
          <w:rFonts w:ascii="宋体" w:hAnsi="宋体" w:cs="宋体"/>
          <w:b/>
          <w:color w:val="auto"/>
          <w:sz w:val="30"/>
          <w:szCs w:val="30"/>
          <w:highlight w:val="none"/>
        </w:rPr>
      </w:pPr>
    </w:p>
    <w:p w14:paraId="326DB12B">
      <w:pPr>
        <w:autoSpaceDE w:val="0"/>
        <w:autoSpaceDN w:val="0"/>
        <w:spacing w:line="360" w:lineRule="auto"/>
        <w:ind w:firstLine="6505" w:firstLineChars="2700"/>
        <w:rPr>
          <w:rFonts w:ascii="宋体" w:hAnsi="宋体" w:cs="宋体"/>
          <w:b/>
          <w:bCs/>
          <w:color w:val="auto"/>
          <w:sz w:val="24"/>
          <w:highlight w:val="none"/>
        </w:rPr>
      </w:pPr>
    </w:p>
    <w:p w14:paraId="61C81260">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26E5626">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1B65ACAC">
      <w:pPr>
        <w:autoSpaceDE w:val="0"/>
        <w:autoSpaceDN w:val="0"/>
        <w:spacing w:line="360" w:lineRule="auto"/>
        <w:ind w:firstLine="6480" w:firstLineChars="2700"/>
        <w:rPr>
          <w:rFonts w:ascii="宋体" w:hAnsi="宋体" w:cs="宋体"/>
          <w:color w:val="auto"/>
          <w:kern w:val="0"/>
          <w:sz w:val="24"/>
          <w:highlight w:val="none"/>
          <w:lang w:val="zh-CN"/>
        </w:rPr>
      </w:pPr>
    </w:p>
    <w:p w14:paraId="734FBB08">
      <w:pPr>
        <w:numPr>
          <w:ilvl w:val="0"/>
          <w:numId w:val="0"/>
        </w:num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.对应采购需求的服务需求、商务条款提供的其他文件资料；</w:t>
      </w:r>
    </w:p>
    <w:p w14:paraId="12414542">
      <w:pPr>
        <w:numPr>
          <w:ilvl w:val="0"/>
          <w:numId w:val="0"/>
        </w:num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.供应商认为需要提供的其他有关资料。</w:t>
      </w:r>
    </w:p>
    <w:p w14:paraId="1ECDE605">
      <w:pPr>
        <w:autoSpaceDE w:val="0"/>
        <w:autoSpaceDN w:val="0"/>
        <w:spacing w:line="360" w:lineRule="auto"/>
        <w:ind w:firstLine="6505" w:firstLineChars="2700"/>
        <w:rPr>
          <w:rFonts w:ascii="宋体" w:hAnsi="宋体" w:cs="宋体"/>
          <w:b/>
          <w:bCs/>
          <w:color w:val="auto"/>
          <w:sz w:val="24"/>
          <w:highlight w:val="none"/>
        </w:rPr>
      </w:pPr>
    </w:p>
    <w:p w14:paraId="2D5E10F2">
      <w:pPr>
        <w:pStyle w:val="3"/>
        <w:jc w:val="center"/>
        <w:rPr>
          <w:rFonts w:hint="eastAsia" w:ascii="宋体" w:hAnsi="宋体" w:cs="宋体"/>
          <w:color w:val="auto"/>
          <w:highlight w:val="none"/>
        </w:rPr>
      </w:pPr>
      <w:bookmarkStart w:id="79" w:name="_Toc80205941"/>
      <w:bookmarkStart w:id="80" w:name="_Toc32512"/>
    </w:p>
    <w:p w14:paraId="2C9FD35A">
      <w:pPr>
        <w:pStyle w:val="3"/>
        <w:jc w:val="center"/>
        <w:rPr>
          <w:rFonts w:ascii="宋体" w:hAnsi="宋体" w:cs="宋体"/>
          <w:color w:val="auto"/>
          <w:highlight w:val="none"/>
        </w:rPr>
      </w:pPr>
      <w:r>
        <w:rPr>
          <w:rFonts w:hint="eastAsia" w:ascii="宋体" w:hAnsi="宋体" w:cs="宋体"/>
          <w:color w:val="auto"/>
          <w:highlight w:val="none"/>
        </w:rPr>
        <w:t>第</w:t>
      </w:r>
      <w:r>
        <w:rPr>
          <w:rFonts w:hint="eastAsia" w:ascii="宋体" w:hAnsi="宋体" w:cs="宋体"/>
          <w:color w:val="auto"/>
          <w:highlight w:val="none"/>
          <w:lang w:val="en-US" w:eastAsia="zh-CN"/>
        </w:rPr>
        <w:t>三</w:t>
      </w:r>
      <w:r>
        <w:rPr>
          <w:rFonts w:hint="eastAsia" w:ascii="宋体" w:hAnsi="宋体" w:cs="宋体"/>
          <w:color w:val="auto"/>
          <w:highlight w:val="none"/>
        </w:rPr>
        <w:t>节 报价文件格式</w:t>
      </w:r>
      <w:bookmarkEnd w:id="79"/>
      <w:bookmarkEnd w:id="80"/>
    </w:p>
    <w:p w14:paraId="31806E02">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3B289FB1">
      <w:pPr>
        <w:snapToGrid w:val="0"/>
        <w:spacing w:before="120" w:beforeLines="50" w:after="50"/>
        <w:rPr>
          <w:rFonts w:ascii="宋体" w:hAnsi="宋体" w:cs="宋体"/>
          <w:color w:val="auto"/>
          <w:sz w:val="24"/>
          <w:szCs w:val="20"/>
          <w:highlight w:val="none"/>
        </w:rPr>
      </w:pPr>
    </w:p>
    <w:p w14:paraId="24420DF0">
      <w:pPr>
        <w:snapToGrid w:val="0"/>
        <w:spacing w:before="120" w:beforeLines="50" w:after="50"/>
        <w:rPr>
          <w:rFonts w:ascii="宋体" w:hAnsi="宋体" w:cs="宋体"/>
          <w:color w:val="auto"/>
          <w:sz w:val="24"/>
          <w:szCs w:val="20"/>
          <w:highlight w:val="none"/>
        </w:rPr>
      </w:pPr>
    </w:p>
    <w:p w14:paraId="7712D18C">
      <w:pPr>
        <w:snapToGrid w:val="0"/>
        <w:spacing w:before="120" w:beforeLines="50" w:after="50"/>
        <w:rPr>
          <w:rFonts w:ascii="宋体" w:hAnsi="宋体" w:cs="宋体"/>
          <w:color w:val="auto"/>
          <w:sz w:val="24"/>
          <w:szCs w:val="20"/>
          <w:highlight w:val="none"/>
        </w:rPr>
      </w:pPr>
    </w:p>
    <w:p w14:paraId="75FB0839">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5120630A">
      <w:pPr>
        <w:snapToGrid w:val="0"/>
        <w:spacing w:before="120" w:beforeLines="50" w:after="50"/>
        <w:rPr>
          <w:rFonts w:ascii="宋体" w:hAnsi="宋体" w:cs="宋体"/>
          <w:bCs/>
          <w:color w:val="auto"/>
          <w:sz w:val="24"/>
          <w:szCs w:val="20"/>
          <w:highlight w:val="none"/>
        </w:rPr>
      </w:pPr>
    </w:p>
    <w:p w14:paraId="1FE5DBEC">
      <w:pPr>
        <w:snapToGrid w:val="0"/>
        <w:spacing w:before="120" w:beforeLines="50" w:after="50"/>
        <w:rPr>
          <w:rFonts w:ascii="宋体" w:hAnsi="宋体" w:cs="宋体"/>
          <w:bCs/>
          <w:color w:val="auto"/>
          <w:sz w:val="24"/>
          <w:szCs w:val="20"/>
          <w:highlight w:val="none"/>
        </w:rPr>
      </w:pPr>
    </w:p>
    <w:p w14:paraId="737336FE">
      <w:pPr>
        <w:snapToGrid w:val="0"/>
        <w:spacing w:before="120" w:beforeLines="50" w:after="50"/>
        <w:rPr>
          <w:rFonts w:ascii="宋体" w:hAnsi="宋体" w:cs="宋体"/>
          <w:bCs/>
          <w:color w:val="auto"/>
          <w:sz w:val="24"/>
          <w:szCs w:val="20"/>
          <w:highlight w:val="none"/>
        </w:rPr>
      </w:pPr>
    </w:p>
    <w:p w14:paraId="0ED3DEA3">
      <w:pPr>
        <w:snapToGrid w:val="0"/>
        <w:spacing w:before="120" w:beforeLines="50" w:after="50"/>
        <w:rPr>
          <w:rFonts w:ascii="宋体" w:hAnsi="宋体" w:cs="宋体"/>
          <w:bCs/>
          <w:color w:val="auto"/>
          <w:sz w:val="24"/>
          <w:szCs w:val="20"/>
          <w:highlight w:val="none"/>
        </w:rPr>
      </w:pPr>
    </w:p>
    <w:p w14:paraId="2386CD1E">
      <w:pPr>
        <w:snapToGrid w:val="0"/>
        <w:spacing w:before="120" w:beforeLines="50" w:after="50"/>
        <w:rPr>
          <w:rFonts w:ascii="宋体" w:hAnsi="宋体" w:cs="宋体"/>
          <w:bCs/>
          <w:color w:val="auto"/>
          <w:sz w:val="24"/>
          <w:szCs w:val="20"/>
          <w:highlight w:val="none"/>
        </w:rPr>
      </w:pPr>
    </w:p>
    <w:p w14:paraId="5DD918CD">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81" w:name="PO_3000001868_PM002_9"/>
      <w:r>
        <w:rPr>
          <w:rFonts w:hint="eastAsia" w:ascii="宋体" w:hAnsi="宋体" w:cs="宋体"/>
          <w:bCs/>
          <w:color w:val="auto"/>
          <w:sz w:val="32"/>
          <w:szCs w:val="32"/>
          <w:highlight w:val="none"/>
        </w:rPr>
        <w:t>[项目名称]</w:t>
      </w:r>
      <w:bookmarkEnd w:id="81"/>
    </w:p>
    <w:p w14:paraId="34AC2F45">
      <w:pPr>
        <w:snapToGrid w:val="0"/>
        <w:spacing w:before="120" w:beforeLines="50" w:after="50"/>
        <w:ind w:firstLine="720" w:firstLineChars="225"/>
        <w:rPr>
          <w:rFonts w:ascii="宋体" w:hAnsi="宋体" w:cs="宋体"/>
          <w:bCs/>
          <w:color w:val="auto"/>
          <w:sz w:val="32"/>
          <w:szCs w:val="32"/>
          <w:highlight w:val="none"/>
        </w:rPr>
      </w:pPr>
    </w:p>
    <w:p w14:paraId="5A051E4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82" w:name="PO_3000001868_PM001_9"/>
      <w:r>
        <w:rPr>
          <w:rFonts w:hint="eastAsia" w:ascii="宋体" w:hAnsi="宋体" w:cs="宋体"/>
          <w:bCs/>
          <w:color w:val="auto"/>
          <w:sz w:val="32"/>
          <w:szCs w:val="32"/>
          <w:highlight w:val="none"/>
        </w:rPr>
        <w:t>[项目编号]</w:t>
      </w:r>
      <w:bookmarkEnd w:id="82"/>
    </w:p>
    <w:p w14:paraId="285348D9">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7D394EC5">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DA7F262">
      <w:pPr>
        <w:snapToGrid w:val="0"/>
        <w:spacing w:before="120" w:beforeLines="50" w:after="50"/>
        <w:ind w:firstLine="720" w:firstLineChars="225"/>
        <w:rPr>
          <w:rFonts w:ascii="宋体" w:hAnsi="宋体" w:cs="宋体"/>
          <w:bCs/>
          <w:color w:val="auto"/>
          <w:sz w:val="32"/>
          <w:szCs w:val="32"/>
          <w:highlight w:val="none"/>
        </w:rPr>
      </w:pPr>
    </w:p>
    <w:p w14:paraId="1A8022C0">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CF02938">
      <w:pPr>
        <w:pStyle w:val="8"/>
        <w:snapToGrid w:val="0"/>
        <w:spacing w:before="50" w:after="50"/>
        <w:ind w:firstLine="720" w:firstLineChars="225"/>
        <w:rPr>
          <w:rFonts w:ascii="宋体" w:hAnsi="宋体" w:cs="宋体"/>
          <w:bCs/>
          <w:color w:val="auto"/>
          <w:sz w:val="32"/>
          <w:szCs w:val="32"/>
          <w:highlight w:val="none"/>
        </w:rPr>
      </w:pPr>
    </w:p>
    <w:p w14:paraId="04E52320">
      <w:pPr>
        <w:pStyle w:val="8"/>
        <w:snapToGrid w:val="0"/>
        <w:spacing w:before="50" w:after="50"/>
        <w:ind w:firstLine="720" w:firstLineChars="225"/>
        <w:rPr>
          <w:rFonts w:ascii="宋体" w:hAnsi="宋体" w:cs="宋体"/>
          <w:bCs/>
          <w:color w:val="auto"/>
          <w:sz w:val="32"/>
          <w:szCs w:val="32"/>
          <w:highlight w:val="none"/>
        </w:rPr>
      </w:pPr>
    </w:p>
    <w:p w14:paraId="03DFF8AA">
      <w:pPr>
        <w:pStyle w:val="8"/>
        <w:snapToGrid w:val="0"/>
        <w:spacing w:before="50" w:after="50"/>
        <w:ind w:firstLine="1280" w:firstLineChars="400"/>
        <w:rPr>
          <w:rFonts w:ascii="宋体" w:hAnsi="宋体" w:cs="宋体"/>
          <w:bCs/>
          <w:color w:val="auto"/>
          <w:sz w:val="32"/>
          <w:szCs w:val="32"/>
          <w:highlight w:val="none"/>
        </w:rPr>
      </w:pPr>
    </w:p>
    <w:p w14:paraId="5C9E5771">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7A72703">
      <w:pPr>
        <w:snapToGrid w:val="0"/>
        <w:spacing w:before="120"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53FA7010">
      <w:pPr>
        <w:rPr>
          <w:rFonts w:ascii="宋体" w:hAnsi="宋体" w:cs="宋体"/>
          <w:color w:val="auto"/>
          <w:highlight w:val="none"/>
        </w:rPr>
      </w:pPr>
    </w:p>
    <w:p w14:paraId="61F38A42">
      <w:pPr>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1215EB38">
      <w:pPr>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69344531">
      <w:pP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三、已标价工程量清单</w:t>
      </w:r>
      <w:r>
        <w:rPr>
          <w:rFonts w:hint="eastAsia" w:ascii="宋体" w:hAnsi="宋体" w:eastAsia="宋体" w:cs="宋体"/>
          <w:color w:val="auto"/>
          <w:kern w:val="0"/>
          <w:sz w:val="24"/>
          <w:highlight w:val="none"/>
        </w:rPr>
        <w:t>………………………………………（页码）</w:t>
      </w:r>
    </w:p>
    <w:p w14:paraId="19914AD9">
      <w:pPr>
        <w:snapToGrid w:val="0"/>
        <w:spacing w:before="120"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275367E0">
      <w:pPr>
        <w:pStyle w:val="15"/>
        <w:spacing w:line="500" w:lineRule="exact"/>
        <w:jc w:val="center"/>
        <w:rPr>
          <w:rFonts w:hAnsi="宋体" w:cs="宋体"/>
          <w:b/>
          <w:bCs/>
          <w:color w:val="auto"/>
          <w:sz w:val="30"/>
          <w:szCs w:val="30"/>
          <w:highlight w:val="none"/>
        </w:rPr>
      </w:pPr>
      <w:r>
        <w:rPr>
          <w:rFonts w:hint="eastAsia" w:hAnsi="宋体" w:cs="宋体"/>
          <w:b/>
          <w:bCs/>
          <w:color w:val="auto"/>
          <w:sz w:val="30"/>
          <w:szCs w:val="30"/>
          <w:highlight w:val="none"/>
        </w:rPr>
        <w:t>响应函</w:t>
      </w:r>
    </w:p>
    <w:p w14:paraId="07B09E73">
      <w:pPr>
        <w:pStyle w:val="15"/>
        <w:spacing w:line="360" w:lineRule="auto"/>
        <w:rPr>
          <w:rFonts w:hAnsi="宋体" w:cs="宋体"/>
          <w:color w:val="auto"/>
          <w:sz w:val="21"/>
          <w:szCs w:val="21"/>
          <w:highlight w:val="none"/>
        </w:rPr>
      </w:pPr>
      <w:r>
        <w:rPr>
          <w:rFonts w:hint="eastAsia" w:hAnsi="宋体" w:cs="宋体"/>
          <w:color w:val="auto"/>
          <w:sz w:val="21"/>
          <w:szCs w:val="21"/>
          <w:highlight w:val="none"/>
        </w:rPr>
        <w:t>致：</w:t>
      </w:r>
      <w:r>
        <w:rPr>
          <w:rFonts w:hint="eastAsia" w:hAnsi="宋体" w:cs="宋体"/>
          <w:color w:val="auto"/>
          <w:sz w:val="21"/>
          <w:szCs w:val="21"/>
          <w:highlight w:val="none"/>
          <w:u w:val="single"/>
        </w:rPr>
        <w:t xml:space="preserve"> </w:t>
      </w:r>
      <w:bookmarkStart w:id="83" w:name="PO_3000001868_PM031_4"/>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采购人或采购代理机构</w:t>
      </w:r>
      <w:r>
        <w:rPr>
          <w:rFonts w:hint="eastAsia" w:hAnsi="宋体" w:cs="宋体"/>
          <w:color w:val="auto"/>
          <w:sz w:val="21"/>
          <w:szCs w:val="21"/>
          <w:highlight w:val="none"/>
          <w:u w:val="single"/>
        </w:rPr>
        <w:t>]</w:t>
      </w:r>
      <w:bookmarkEnd w:id="83"/>
      <w:r>
        <w:rPr>
          <w:rFonts w:hint="eastAsia" w:hAnsi="宋体" w:cs="宋体"/>
          <w:color w:val="auto"/>
          <w:sz w:val="21"/>
          <w:szCs w:val="21"/>
          <w:highlight w:val="none"/>
          <w:u w:val="single"/>
        </w:rPr>
        <w:t xml:space="preserve"> </w:t>
      </w:r>
    </w:p>
    <w:p w14:paraId="678089CB">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我方已仔细阅读了贵方组织的</w:t>
      </w:r>
      <w:r>
        <w:rPr>
          <w:rFonts w:hint="eastAsia" w:hAnsi="宋体" w:cs="宋体"/>
          <w:color w:val="auto"/>
          <w:sz w:val="21"/>
          <w:szCs w:val="21"/>
          <w:highlight w:val="none"/>
          <w:u w:val="single"/>
        </w:rPr>
        <w:t xml:space="preserve"> </w:t>
      </w:r>
      <w:bookmarkStart w:id="84" w:name="PO_3000001868_PM002_10"/>
      <w:r>
        <w:rPr>
          <w:rFonts w:hint="eastAsia" w:hAnsi="宋体" w:cs="宋体"/>
          <w:color w:val="auto"/>
          <w:sz w:val="21"/>
          <w:szCs w:val="21"/>
          <w:highlight w:val="none"/>
          <w:u w:val="single"/>
        </w:rPr>
        <w:t>[项目名称]</w:t>
      </w:r>
      <w:bookmarkEnd w:id="84"/>
      <w:r>
        <w:rPr>
          <w:rFonts w:hint="eastAsia" w:hAnsi="宋体" w:cs="宋体"/>
          <w:color w:val="auto"/>
          <w:sz w:val="21"/>
          <w:szCs w:val="21"/>
          <w:highlight w:val="none"/>
          <w:u w:val="single"/>
        </w:rPr>
        <w:t xml:space="preserve">  </w:t>
      </w:r>
      <w:r>
        <w:rPr>
          <w:rFonts w:hint="eastAsia" w:hAnsi="宋体" w:cs="宋体"/>
          <w:color w:val="auto"/>
          <w:sz w:val="21"/>
          <w:szCs w:val="21"/>
          <w:highlight w:val="none"/>
        </w:rPr>
        <w:t>项目（项目编号：</w:t>
      </w:r>
      <w:r>
        <w:rPr>
          <w:rFonts w:hint="eastAsia" w:hAnsi="宋体" w:cs="宋体"/>
          <w:color w:val="auto"/>
          <w:sz w:val="21"/>
          <w:szCs w:val="21"/>
          <w:highlight w:val="none"/>
          <w:u w:val="single"/>
        </w:rPr>
        <w:t xml:space="preserve">  </w:t>
      </w:r>
      <w:bookmarkStart w:id="85" w:name="PO_3000001868_PM001_10"/>
      <w:r>
        <w:rPr>
          <w:rFonts w:hint="eastAsia" w:hAnsi="宋体" w:cs="宋体"/>
          <w:color w:val="auto"/>
          <w:sz w:val="21"/>
          <w:szCs w:val="21"/>
          <w:highlight w:val="none"/>
          <w:u w:val="single"/>
        </w:rPr>
        <w:t>[项目编号]</w:t>
      </w:r>
      <w:bookmarkEnd w:id="85"/>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）的竞争性磋商采购文件的全部内容，现正式递交下述文件参加贵方组织的本次政府采购活动： </w:t>
      </w:r>
    </w:p>
    <w:p w14:paraId="5540207E">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一、首次报价文件电子版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份（包含按“第三章 供应商须知”提交的全部文件）；</w:t>
      </w:r>
    </w:p>
    <w:p w14:paraId="4D035C89">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二、技术文件电子版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份（包含按“第三章 供应商须知”提交的全部文件）；商务文件电子版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份（包含按“第三章 供应商须知”提交的全部文件）；（商务技术文件已合并装订成册）；</w:t>
      </w:r>
    </w:p>
    <w:p w14:paraId="2C0E7845">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三、资格证明文件电子版（包含按“第三章供应商须知”提交的全部文件）；</w:t>
      </w:r>
    </w:p>
    <w:p w14:paraId="26466CF0">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据此函，签字人兹宣布：</w:t>
      </w:r>
    </w:p>
    <w:p w14:paraId="51947E0E">
      <w:pPr>
        <w:pStyle w:val="15"/>
        <w:numPr>
          <w:ilvl w:val="0"/>
          <w:numId w:val="4"/>
        </w:numPr>
        <w:spacing w:line="360" w:lineRule="auto"/>
        <w:ind w:firstLine="482"/>
        <w:rPr>
          <w:rFonts w:hint="eastAsia" w:hAnsi="宋体" w:cs="宋体"/>
          <w:color w:val="auto"/>
          <w:sz w:val="21"/>
          <w:szCs w:val="21"/>
          <w:highlight w:val="none"/>
          <w:lang w:eastAsia="zh-CN"/>
        </w:rPr>
      </w:pPr>
      <w:r>
        <w:rPr>
          <w:rFonts w:hint="eastAsia" w:hAnsi="宋体" w:cs="宋体"/>
          <w:color w:val="auto"/>
          <w:sz w:val="21"/>
          <w:szCs w:val="21"/>
          <w:highlight w:val="none"/>
        </w:rPr>
        <w:t>我方愿意以</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人民币</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的</w:t>
      </w:r>
      <w:r>
        <w:rPr>
          <w:rFonts w:hint="eastAsia" w:hAnsi="宋体" w:cs="宋体"/>
          <w:color w:val="auto"/>
          <w:sz w:val="21"/>
          <w:szCs w:val="21"/>
          <w:highlight w:val="none"/>
          <w:lang w:val="en-US" w:eastAsia="zh-CN"/>
        </w:rPr>
        <w:t>磋商总</w:t>
      </w:r>
      <w:r>
        <w:rPr>
          <w:rFonts w:hint="eastAsia" w:hAnsi="宋体" w:cs="宋体"/>
          <w:color w:val="auto"/>
          <w:sz w:val="21"/>
          <w:szCs w:val="21"/>
          <w:highlight w:val="none"/>
        </w:rPr>
        <w:t>报价，</w:t>
      </w:r>
      <w:r>
        <w:rPr>
          <w:rFonts w:hint="eastAsia" w:hAnsi="宋体" w:cs="宋体"/>
          <w:color w:val="auto"/>
          <w:sz w:val="21"/>
          <w:szCs w:val="21"/>
          <w:highlight w:val="none"/>
          <w:lang w:val="en-US" w:eastAsia="zh-CN"/>
        </w:rPr>
        <w:t>工期</w:t>
      </w:r>
      <w:r>
        <w:rPr>
          <w:rFonts w:hint="eastAsia" w:hAnsi="宋体" w:cs="宋体"/>
          <w:color w:val="auto"/>
          <w:sz w:val="21"/>
          <w:szCs w:val="21"/>
          <w:highlight w:val="none"/>
        </w:rPr>
        <w:t>（无分标时填写）：</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w:t>
      </w:r>
      <w:r>
        <w:rPr>
          <w:rFonts w:hint="eastAsia" w:hAnsi="宋体" w:cs="宋体"/>
          <w:color w:val="auto"/>
          <w:sz w:val="21"/>
          <w:szCs w:val="21"/>
          <w:highlight w:val="none"/>
          <w:lang w:val="en-US" w:eastAsia="zh-CN"/>
        </w:rPr>
        <w:t>工程质量：</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none"/>
          <w:lang w:val="en-US" w:eastAsia="zh-CN"/>
        </w:rPr>
        <w:t>，安全目标：</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none"/>
          <w:lang w:val="en-US" w:eastAsia="zh-CN"/>
        </w:rPr>
        <w:t>，</w:t>
      </w:r>
      <w:r>
        <w:rPr>
          <w:rFonts w:hint="eastAsia" w:hAnsi="宋体" w:cs="宋体"/>
          <w:color w:val="auto"/>
          <w:sz w:val="21"/>
          <w:szCs w:val="21"/>
          <w:highlight w:val="none"/>
        </w:rPr>
        <w:t>提供本项目竞争性磋商采购文件第二章“服务需求一览表”中相应的采购内容</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并</w:t>
      </w:r>
      <w:r>
        <w:rPr>
          <w:rFonts w:hint="eastAsia" w:hAnsi="宋体" w:cs="宋体"/>
          <w:color w:val="auto"/>
          <w:sz w:val="21"/>
          <w:szCs w:val="21"/>
          <w:highlight w:val="none"/>
          <w:lang w:eastAsia="zh-CN"/>
        </w:rPr>
        <w:t>按合同约定实施和完成承包工程，修补工程中的任何缺陷。</w:t>
      </w:r>
    </w:p>
    <w:p w14:paraId="060BE9B5">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其中（有分标时填写）：</w:t>
      </w:r>
    </w:p>
    <w:p w14:paraId="592B084C">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分标报价为（大写）人民币</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元)，</w:t>
      </w:r>
      <w:r>
        <w:rPr>
          <w:rFonts w:hint="eastAsia" w:hAnsi="宋体" w:cs="宋体"/>
          <w:color w:val="auto"/>
          <w:sz w:val="21"/>
          <w:szCs w:val="21"/>
          <w:highlight w:val="none"/>
          <w:lang w:val="en-US" w:eastAsia="zh-CN"/>
        </w:rPr>
        <w:t>工期</w:t>
      </w:r>
      <w:r>
        <w:rPr>
          <w:rFonts w:hint="eastAsia" w:hAnsi="宋体" w:cs="宋体"/>
          <w:color w:val="auto"/>
          <w:sz w:val="21"/>
          <w:szCs w:val="21"/>
          <w:highlight w:val="none"/>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w:t>
      </w:r>
    </w:p>
    <w:p w14:paraId="159F1DB7">
      <w:pPr>
        <w:pStyle w:val="15"/>
        <w:spacing w:line="360" w:lineRule="auto"/>
        <w:ind w:firstLine="482"/>
        <w:rPr>
          <w:color w:val="auto"/>
          <w:highlight w:val="none"/>
        </w:rPr>
      </w:pP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分标报价为（大写）人民币</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元)，</w:t>
      </w:r>
      <w:r>
        <w:rPr>
          <w:rFonts w:hint="eastAsia" w:hAnsi="宋体" w:cs="宋体"/>
          <w:color w:val="auto"/>
          <w:sz w:val="21"/>
          <w:szCs w:val="21"/>
          <w:highlight w:val="none"/>
          <w:lang w:val="en-US" w:eastAsia="zh-CN"/>
        </w:rPr>
        <w:t>工期</w:t>
      </w:r>
      <w:r>
        <w:rPr>
          <w:rFonts w:hint="eastAsia" w:hAnsi="宋体" w:cs="宋体"/>
          <w:color w:val="auto"/>
          <w:sz w:val="21"/>
          <w:szCs w:val="21"/>
          <w:highlight w:val="none"/>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w:t>
      </w:r>
    </w:p>
    <w:p w14:paraId="14B8E16A">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2、我方同意自本项目竞争性磋商采购文件采购公告规定的递交响应文件截止时间起遵循本响应函，并承诺在“第三章 供应商须知”规定的响应有效期内不修改、撤销响应文件。</w:t>
      </w:r>
    </w:p>
    <w:p w14:paraId="5743F63C">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3、我方在此声明，所递交的响应文件及有关资料内容完整、真实和准确。</w:t>
      </w:r>
    </w:p>
    <w:p w14:paraId="2B6FFA51">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4、如本项目采购内容涉及须符合国家强制规定的，我方承诺我方本次竞标均符合国家有关强制规定。</w:t>
      </w:r>
    </w:p>
    <w:p w14:paraId="0FB592AF">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0AA515B7">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6、我方已详细审核竞争性磋商采购文件，我方知道必须放弃提出含糊不清或误解问题的权利。</w:t>
      </w:r>
    </w:p>
    <w:p w14:paraId="416F1997">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7、我方承诺满足竞争性磋商采购文件第六章“合同文本”的条款，承担完成合同的责任和义务。</w:t>
      </w:r>
    </w:p>
    <w:p w14:paraId="7474F08C">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8、我方同意应贵方要求提供与本竞标有关的任何数据或资料。若贵方需要，我方愿意提供我方作出的一切承诺的证明材料。</w:t>
      </w:r>
    </w:p>
    <w:p w14:paraId="54F6786A">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9、我方完全理解贵方不一定接受响应报价最低的竞标人为成交供应商的行为。</w:t>
      </w:r>
    </w:p>
    <w:p w14:paraId="4C6323F8">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91CA98D">
      <w:pPr>
        <w:pStyle w:val="15"/>
        <w:numPr>
          <w:ilvl w:val="0"/>
          <w:numId w:val="5"/>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提供虚假材料谋取中标、成交的；</w:t>
      </w:r>
    </w:p>
    <w:p w14:paraId="58B4DB06">
      <w:pPr>
        <w:pStyle w:val="15"/>
        <w:numPr>
          <w:ilvl w:val="0"/>
          <w:numId w:val="5"/>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采取不正当手段诋毁、排挤其他供应商的；</w:t>
      </w:r>
    </w:p>
    <w:p w14:paraId="4042A0D2">
      <w:pPr>
        <w:pStyle w:val="15"/>
        <w:numPr>
          <w:ilvl w:val="0"/>
          <w:numId w:val="5"/>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与采购人、其他供应商或者采购代理机构恶意串通的；</w:t>
      </w:r>
    </w:p>
    <w:p w14:paraId="10B95B00">
      <w:pPr>
        <w:pStyle w:val="15"/>
        <w:numPr>
          <w:ilvl w:val="0"/>
          <w:numId w:val="5"/>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向采购人、采购代理机构行贿或者提供其他不正当利益的；</w:t>
      </w:r>
    </w:p>
    <w:p w14:paraId="1C67007F">
      <w:pPr>
        <w:pStyle w:val="15"/>
        <w:numPr>
          <w:ilvl w:val="0"/>
          <w:numId w:val="5"/>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在采购过程中与采购人进行协商谈判的；</w:t>
      </w:r>
    </w:p>
    <w:p w14:paraId="1BA5889C">
      <w:pPr>
        <w:pStyle w:val="15"/>
        <w:numPr>
          <w:ilvl w:val="0"/>
          <w:numId w:val="5"/>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拒绝有关部门监督检查或提供虚假情况的。</w:t>
      </w:r>
    </w:p>
    <w:p w14:paraId="29957F1B">
      <w:pPr>
        <w:pStyle w:val="15"/>
        <w:spacing w:line="360" w:lineRule="auto"/>
        <w:ind w:firstLine="420"/>
        <w:rPr>
          <w:rFonts w:hAnsi="宋体" w:cs="宋体"/>
          <w:color w:val="auto"/>
          <w:sz w:val="21"/>
          <w:szCs w:val="21"/>
          <w:highlight w:val="none"/>
        </w:rPr>
      </w:pPr>
      <w:r>
        <w:rPr>
          <w:rFonts w:hint="eastAsia" w:hAnsi="宋体" w:cs="宋体"/>
          <w:color w:val="auto"/>
          <w:sz w:val="21"/>
          <w:szCs w:val="21"/>
          <w:highlight w:val="none"/>
        </w:rPr>
        <w:t>11.与本磋商有关的一切正式往来信函请寄：</w:t>
      </w:r>
    </w:p>
    <w:p w14:paraId="74A41332">
      <w:pPr>
        <w:pStyle w:val="15"/>
        <w:spacing w:line="360" w:lineRule="auto"/>
        <w:ind w:firstLine="420"/>
        <w:rPr>
          <w:rFonts w:hAnsi="宋体" w:cs="宋体"/>
          <w:color w:val="auto"/>
          <w:sz w:val="21"/>
          <w:szCs w:val="21"/>
          <w:highlight w:val="none"/>
        </w:rPr>
      </w:pPr>
      <w:r>
        <w:rPr>
          <w:rFonts w:hint="eastAsia" w:hAnsi="宋体" w:cs="宋体"/>
          <w:color w:val="auto"/>
          <w:sz w:val="21"/>
          <w:szCs w:val="21"/>
          <w:highlight w:val="none"/>
        </w:rPr>
        <w:t>地址：</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p>
    <w:p w14:paraId="1AFBF7C8">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电话：</w:t>
      </w:r>
      <w:r>
        <w:rPr>
          <w:rFonts w:hint="eastAsia" w:hAnsi="宋体" w:cs="宋体"/>
          <w:color w:val="auto"/>
          <w:sz w:val="21"/>
          <w:szCs w:val="21"/>
          <w:highlight w:val="none"/>
          <w:u w:val="single"/>
        </w:rPr>
        <w:t xml:space="preserve">                                      　　　　　　　　　</w:t>
      </w:r>
    </w:p>
    <w:p w14:paraId="63D70748">
      <w:pPr>
        <w:pStyle w:val="15"/>
        <w:spacing w:line="360" w:lineRule="auto"/>
        <w:ind w:firstLine="420"/>
        <w:rPr>
          <w:rFonts w:hAnsi="宋体" w:cs="宋体"/>
          <w:color w:val="auto"/>
          <w:sz w:val="21"/>
          <w:szCs w:val="21"/>
          <w:highlight w:val="none"/>
        </w:rPr>
      </w:pPr>
      <w:r>
        <w:rPr>
          <w:rFonts w:hint="eastAsia" w:hAnsi="宋体" w:cs="宋体"/>
          <w:color w:val="auto"/>
          <w:sz w:val="21"/>
          <w:szCs w:val="21"/>
          <w:highlight w:val="none"/>
        </w:rPr>
        <w:t>传真：</w:t>
      </w:r>
      <w:r>
        <w:rPr>
          <w:rFonts w:hint="eastAsia" w:hAnsi="宋体" w:cs="宋体"/>
          <w:color w:val="auto"/>
          <w:sz w:val="21"/>
          <w:szCs w:val="21"/>
          <w:highlight w:val="none"/>
          <w:u w:val="single"/>
        </w:rPr>
        <w:t>　　　　　　　　　　　　　　　　　　　　　　　　　　　　</w:t>
      </w:r>
    </w:p>
    <w:p w14:paraId="757FF7C3">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邮政编码：</w:t>
      </w:r>
      <w:r>
        <w:rPr>
          <w:rFonts w:hint="eastAsia" w:hAnsi="宋体" w:cs="宋体"/>
          <w:color w:val="auto"/>
          <w:sz w:val="21"/>
          <w:szCs w:val="21"/>
          <w:highlight w:val="none"/>
          <w:u w:val="single"/>
        </w:rPr>
        <w:t xml:space="preserve">                                                    </w:t>
      </w:r>
    </w:p>
    <w:p w14:paraId="3C617004">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开户名称：</w:t>
      </w:r>
      <w:r>
        <w:rPr>
          <w:rFonts w:hint="eastAsia" w:hAnsi="宋体" w:cs="宋体"/>
          <w:color w:val="auto"/>
          <w:sz w:val="21"/>
          <w:szCs w:val="21"/>
          <w:highlight w:val="none"/>
          <w:u w:val="single"/>
        </w:rPr>
        <w:t xml:space="preserve">                                                    </w:t>
      </w:r>
    </w:p>
    <w:p w14:paraId="2FD11976">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开户银行：</w:t>
      </w:r>
      <w:r>
        <w:rPr>
          <w:rFonts w:hint="eastAsia" w:hAnsi="宋体" w:cs="宋体"/>
          <w:color w:val="auto"/>
          <w:sz w:val="21"/>
          <w:szCs w:val="21"/>
          <w:highlight w:val="none"/>
          <w:u w:val="single"/>
        </w:rPr>
        <w:t xml:space="preserve">                                                    </w:t>
      </w:r>
    </w:p>
    <w:p w14:paraId="01A5E678">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银行账号：</w:t>
      </w:r>
      <w:r>
        <w:rPr>
          <w:rFonts w:hint="eastAsia" w:hAnsi="宋体" w:cs="宋体"/>
          <w:color w:val="auto"/>
          <w:sz w:val="21"/>
          <w:szCs w:val="21"/>
          <w:highlight w:val="none"/>
          <w:u w:val="single"/>
        </w:rPr>
        <w:t xml:space="preserve">                                                    </w:t>
      </w:r>
    </w:p>
    <w:p w14:paraId="57792856">
      <w:pPr>
        <w:pStyle w:val="13"/>
        <w:tabs>
          <w:tab w:val="left" w:pos="939"/>
        </w:tabs>
        <w:spacing w:line="360" w:lineRule="auto"/>
        <w:ind w:left="141" w:leftChars="67"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rPr>
        <w:t>特此承诺。</w:t>
      </w:r>
    </w:p>
    <w:p w14:paraId="72891655">
      <w:pPr>
        <w:spacing w:line="360" w:lineRule="auto"/>
        <w:jc w:val="left"/>
        <w:rPr>
          <w:rFonts w:ascii="宋体" w:hAnsi="宋体" w:cs="宋体"/>
          <w:color w:val="auto"/>
          <w:sz w:val="21"/>
          <w:szCs w:val="21"/>
          <w:highlight w:val="none"/>
        </w:rPr>
      </w:pPr>
    </w:p>
    <w:p w14:paraId="189F3616">
      <w:pPr>
        <w:autoSpaceDE w:val="0"/>
        <w:autoSpaceDN w:val="0"/>
        <w:spacing w:line="360" w:lineRule="auto"/>
        <w:ind w:left="4305" w:leftChars="1950" w:hanging="210" w:hangingChars="100"/>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供应商名称（电子签章）：</w:t>
      </w:r>
    </w:p>
    <w:p w14:paraId="17EB2622">
      <w:pPr>
        <w:autoSpaceDE w:val="0"/>
        <w:autoSpaceDN w:val="0"/>
        <w:spacing w:line="360" w:lineRule="auto"/>
        <w:ind w:firstLine="5670" w:firstLineChars="270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日期：  年  月   日</w:t>
      </w:r>
    </w:p>
    <w:p w14:paraId="32965081">
      <w:pPr>
        <w:widowControl/>
        <w:spacing w:line="360" w:lineRule="auto"/>
        <w:jc w:val="left"/>
        <w:rPr>
          <w:rFonts w:ascii="宋体" w:hAnsi="宋体" w:cs="宋体"/>
          <w:color w:val="auto"/>
          <w:kern w:val="0"/>
          <w:sz w:val="21"/>
          <w:szCs w:val="21"/>
          <w:highlight w:val="none"/>
          <w:lang w:val="zh-CN"/>
        </w:rPr>
        <w:sectPr>
          <w:pgSz w:w="11910" w:h="16840"/>
          <w:pgMar w:top="1340" w:right="1500" w:bottom="280" w:left="1680" w:header="720" w:footer="720" w:gutter="0"/>
          <w:cols w:space="720" w:num="1"/>
        </w:sectPr>
      </w:pPr>
    </w:p>
    <w:p w14:paraId="0103A7D6">
      <w:pPr>
        <w:autoSpaceDE w:val="0"/>
        <w:autoSpaceDN w:val="0"/>
        <w:spacing w:line="360" w:lineRule="auto"/>
        <w:ind w:firstLine="6480" w:firstLineChars="2700"/>
        <w:rPr>
          <w:rFonts w:ascii="宋体" w:hAnsi="宋体" w:cs="宋体"/>
          <w:color w:val="auto"/>
          <w:kern w:val="0"/>
          <w:sz w:val="24"/>
          <w:highlight w:val="none"/>
          <w:lang w:val="zh-CN"/>
        </w:rPr>
      </w:pPr>
    </w:p>
    <w:p w14:paraId="4AC7D38B">
      <w:pPr>
        <w:spacing w:line="520" w:lineRule="exact"/>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72FE5A16">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bookmarkStart w:id="86" w:name="PO_3000001868_PM002_11"/>
      <w:r>
        <w:rPr>
          <w:rFonts w:hint="eastAsia" w:ascii="宋体" w:hAnsi="宋体" w:cs="宋体"/>
          <w:color w:val="auto"/>
          <w:sz w:val="24"/>
          <w:highlight w:val="none"/>
          <w:u w:val="single"/>
        </w:rPr>
        <w:t>[项目名称]</w:t>
      </w:r>
      <w:bookmarkEnd w:id="86"/>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bookmarkStart w:id="87" w:name="PO_3000001868_PM001_11"/>
      <w:r>
        <w:rPr>
          <w:rFonts w:hint="eastAsia" w:ascii="宋体" w:hAnsi="宋体" w:cs="宋体"/>
          <w:color w:val="auto"/>
          <w:sz w:val="24"/>
          <w:highlight w:val="none"/>
          <w:u w:val="single"/>
        </w:rPr>
        <w:t>[项目编号]</w:t>
      </w:r>
      <w:bookmarkEnd w:id="87"/>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F17DFA7">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27"/>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59"/>
        <w:gridCol w:w="2063"/>
        <w:gridCol w:w="1080"/>
        <w:gridCol w:w="1289"/>
        <w:gridCol w:w="1290"/>
        <w:gridCol w:w="1154"/>
        <w:gridCol w:w="957"/>
      </w:tblGrid>
      <w:tr w14:paraId="4820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1E403B5D">
            <w:pPr>
              <w:rPr>
                <w:rFonts w:ascii="宋体" w:hAnsi="宋体" w:cs="宋体"/>
                <w:color w:val="auto"/>
                <w:szCs w:val="22"/>
                <w:highlight w:val="none"/>
              </w:rPr>
            </w:pPr>
            <w:r>
              <w:rPr>
                <w:rFonts w:hint="eastAsia" w:ascii="宋体" w:hAnsi="宋体" w:cs="宋体"/>
                <w:color w:val="auto"/>
                <w:szCs w:val="22"/>
                <w:highlight w:val="none"/>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1A730D58">
            <w:pPr>
              <w:rPr>
                <w:rFonts w:ascii="宋体" w:hAnsi="宋体" w:cs="宋体"/>
                <w:color w:val="auto"/>
                <w:szCs w:val="22"/>
                <w:highlight w:val="none"/>
              </w:rPr>
            </w:pPr>
            <w:r>
              <w:rPr>
                <w:rFonts w:hint="eastAsia" w:ascii="宋体" w:hAnsi="宋体" w:cs="宋体"/>
                <w:color w:val="auto"/>
                <w:szCs w:val="22"/>
                <w:highlight w:val="none"/>
                <w:lang w:val="en-US" w:eastAsia="zh-CN"/>
              </w:rPr>
              <w:t>工程</w:t>
            </w:r>
            <w:r>
              <w:rPr>
                <w:rFonts w:hint="eastAsia" w:ascii="宋体" w:hAnsi="宋体" w:cs="宋体"/>
                <w:color w:val="auto"/>
                <w:szCs w:val="22"/>
                <w:highlight w:val="none"/>
              </w:rPr>
              <w:t>名称</w:t>
            </w:r>
          </w:p>
        </w:tc>
        <w:tc>
          <w:tcPr>
            <w:tcW w:w="2063" w:type="dxa"/>
            <w:tcBorders>
              <w:top w:val="single" w:color="auto" w:sz="4" w:space="0"/>
              <w:left w:val="single" w:color="auto" w:sz="4" w:space="0"/>
              <w:bottom w:val="single" w:color="auto" w:sz="4" w:space="0"/>
              <w:right w:val="single" w:color="auto" w:sz="4" w:space="0"/>
            </w:tcBorders>
            <w:vAlign w:val="center"/>
          </w:tcPr>
          <w:p w14:paraId="3C0C6B38">
            <w:pPr>
              <w:jc w:val="center"/>
              <w:rPr>
                <w:rFonts w:ascii="宋体" w:hAnsi="宋体" w:cs="宋体"/>
                <w:color w:val="auto"/>
                <w:szCs w:val="22"/>
                <w:highlight w:val="none"/>
              </w:rPr>
            </w:pPr>
            <w:r>
              <w:rPr>
                <w:rFonts w:hint="eastAsia" w:ascii="宋体" w:hAnsi="宋体" w:cs="宋体"/>
                <w:color w:val="auto"/>
                <w:szCs w:val="22"/>
                <w:highlight w:val="none"/>
                <w:lang w:val="en-US" w:eastAsia="zh-CN"/>
              </w:rPr>
              <w:t>工程</w:t>
            </w:r>
            <w:r>
              <w:rPr>
                <w:rFonts w:hint="eastAsia" w:ascii="宋体" w:hAnsi="宋体" w:cs="宋体"/>
                <w:color w:val="auto"/>
                <w:szCs w:val="22"/>
                <w:highlight w:val="none"/>
              </w:rPr>
              <w:t>内容</w:t>
            </w:r>
          </w:p>
        </w:tc>
        <w:tc>
          <w:tcPr>
            <w:tcW w:w="1080" w:type="dxa"/>
            <w:tcBorders>
              <w:top w:val="single" w:color="auto" w:sz="4" w:space="0"/>
              <w:left w:val="single" w:color="auto" w:sz="4" w:space="0"/>
              <w:bottom w:val="single" w:color="auto" w:sz="4" w:space="0"/>
              <w:right w:val="single" w:color="auto" w:sz="4" w:space="0"/>
            </w:tcBorders>
            <w:vAlign w:val="center"/>
          </w:tcPr>
          <w:p w14:paraId="1EE108D0">
            <w:pPr>
              <w:jc w:val="center"/>
              <w:rPr>
                <w:rFonts w:ascii="宋体" w:hAnsi="宋体" w:cs="宋体"/>
                <w:color w:val="auto"/>
                <w:szCs w:val="22"/>
                <w:highlight w:val="none"/>
              </w:rPr>
            </w:pPr>
            <w:r>
              <w:rPr>
                <w:rFonts w:hint="eastAsia" w:ascii="宋体" w:hAnsi="宋体" w:cs="宋体"/>
                <w:color w:val="auto"/>
                <w:szCs w:val="22"/>
                <w:highlight w:val="none"/>
              </w:rPr>
              <w:t>数量</w:t>
            </w:r>
          </w:p>
        </w:tc>
        <w:tc>
          <w:tcPr>
            <w:tcW w:w="1289" w:type="dxa"/>
            <w:tcBorders>
              <w:top w:val="single" w:color="auto" w:sz="4" w:space="0"/>
              <w:left w:val="single" w:color="auto" w:sz="4" w:space="0"/>
              <w:bottom w:val="single" w:color="auto" w:sz="4" w:space="0"/>
              <w:right w:val="single" w:color="auto" w:sz="4" w:space="0"/>
            </w:tcBorders>
            <w:vAlign w:val="center"/>
          </w:tcPr>
          <w:p w14:paraId="46708BFE">
            <w:pPr>
              <w:jc w:val="cente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单价（元）</w:t>
            </w:r>
          </w:p>
        </w:tc>
        <w:tc>
          <w:tcPr>
            <w:tcW w:w="1290" w:type="dxa"/>
            <w:tcBorders>
              <w:top w:val="single" w:color="auto" w:sz="4" w:space="0"/>
              <w:left w:val="single" w:color="auto" w:sz="4" w:space="0"/>
              <w:bottom w:val="single" w:color="auto" w:sz="4" w:space="0"/>
              <w:right w:val="single" w:color="auto" w:sz="4" w:space="0"/>
            </w:tcBorders>
            <w:vAlign w:val="center"/>
          </w:tcPr>
          <w:p w14:paraId="2D262965">
            <w:pPr>
              <w:jc w:val="center"/>
              <w:rPr>
                <w:rFonts w:hint="eastAsia" w:ascii="宋体" w:hAnsi="宋体" w:cs="宋体"/>
                <w:color w:val="auto"/>
                <w:szCs w:val="22"/>
                <w:highlight w:val="none"/>
              </w:rPr>
            </w:pPr>
            <w:r>
              <w:rPr>
                <w:rFonts w:hint="eastAsia" w:ascii="宋体" w:hAnsi="宋体" w:cs="宋体"/>
                <w:color w:val="auto"/>
                <w:szCs w:val="22"/>
                <w:highlight w:val="none"/>
              </w:rPr>
              <w:t>磋商</w:t>
            </w:r>
            <w:r>
              <w:rPr>
                <w:rFonts w:hint="eastAsia" w:ascii="宋体" w:hAnsi="宋体" w:cs="宋体"/>
                <w:color w:val="auto"/>
                <w:szCs w:val="22"/>
                <w:highlight w:val="none"/>
                <w:lang w:val="en-US" w:eastAsia="zh-CN"/>
              </w:rPr>
              <w:t>总</w:t>
            </w:r>
            <w:r>
              <w:rPr>
                <w:rFonts w:hint="eastAsia" w:ascii="宋体" w:hAnsi="宋体" w:cs="宋体"/>
                <w:color w:val="auto"/>
                <w:szCs w:val="22"/>
                <w:highlight w:val="none"/>
              </w:rPr>
              <w:t>报价</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元）</w:t>
            </w:r>
          </w:p>
        </w:tc>
        <w:tc>
          <w:tcPr>
            <w:tcW w:w="1154" w:type="dxa"/>
            <w:tcBorders>
              <w:top w:val="single" w:color="auto" w:sz="4" w:space="0"/>
              <w:left w:val="single" w:color="auto" w:sz="4" w:space="0"/>
              <w:bottom w:val="single" w:color="auto" w:sz="4" w:space="0"/>
              <w:right w:val="single" w:color="auto" w:sz="4" w:space="0"/>
            </w:tcBorders>
            <w:vAlign w:val="center"/>
          </w:tcPr>
          <w:p w14:paraId="0A2E6291">
            <w:pPr>
              <w:spacing w:line="360" w:lineRule="auto"/>
              <w:jc w:val="center"/>
              <w:rPr>
                <w:rFonts w:hint="eastAsia" w:ascii="宋体" w:hAnsi="宋体" w:eastAsia="宋体" w:cs="宋体"/>
                <w:color w:val="auto"/>
                <w:szCs w:val="22"/>
                <w:highlight w:val="none"/>
                <w:lang w:eastAsia="zh-CN"/>
              </w:rPr>
            </w:pPr>
            <w:r>
              <w:rPr>
                <w:rFonts w:hint="eastAsia" w:ascii="宋体" w:hAnsi="宋体" w:cs="宋体"/>
                <w:color w:val="auto"/>
                <w:szCs w:val="21"/>
                <w:highlight w:val="none"/>
                <w:lang w:val="en-US" w:eastAsia="zh-CN"/>
              </w:rPr>
              <w:t>工期</w:t>
            </w:r>
          </w:p>
        </w:tc>
        <w:tc>
          <w:tcPr>
            <w:tcW w:w="957" w:type="dxa"/>
            <w:tcBorders>
              <w:top w:val="single" w:color="auto" w:sz="4" w:space="0"/>
              <w:left w:val="single" w:color="auto" w:sz="4" w:space="0"/>
              <w:bottom w:val="single" w:color="auto" w:sz="4" w:space="0"/>
              <w:right w:val="single" w:color="auto" w:sz="4" w:space="0"/>
            </w:tcBorders>
            <w:vAlign w:val="center"/>
          </w:tcPr>
          <w:p w14:paraId="5928093B">
            <w:pPr>
              <w:rPr>
                <w:rFonts w:ascii="宋体" w:hAnsi="宋体" w:cs="宋体"/>
                <w:color w:val="auto"/>
                <w:szCs w:val="22"/>
                <w:highlight w:val="none"/>
              </w:rPr>
            </w:pPr>
            <w:r>
              <w:rPr>
                <w:rFonts w:hint="eastAsia" w:ascii="宋体" w:hAnsi="宋体" w:cs="宋体"/>
                <w:color w:val="auto"/>
                <w:szCs w:val="22"/>
                <w:highlight w:val="none"/>
              </w:rPr>
              <w:t>备注</w:t>
            </w:r>
          </w:p>
        </w:tc>
      </w:tr>
      <w:tr w14:paraId="5536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74CCA2C9">
            <w:pPr>
              <w:rPr>
                <w:rFonts w:ascii="宋体" w:hAnsi="宋体" w:cs="宋体"/>
                <w:color w:val="auto"/>
                <w:szCs w:val="22"/>
                <w:highlight w:val="none"/>
              </w:rPr>
            </w:pPr>
            <w:r>
              <w:rPr>
                <w:rFonts w:hint="eastAsia" w:ascii="宋体" w:hAnsi="宋体" w:cs="宋体"/>
                <w:color w:val="auto"/>
                <w:szCs w:val="22"/>
                <w:highlight w:val="none"/>
              </w:rPr>
              <w:t>1</w:t>
            </w:r>
          </w:p>
        </w:tc>
        <w:tc>
          <w:tcPr>
            <w:tcW w:w="1259" w:type="dxa"/>
            <w:tcBorders>
              <w:top w:val="single" w:color="auto" w:sz="4" w:space="0"/>
              <w:left w:val="single" w:color="auto" w:sz="4" w:space="0"/>
              <w:bottom w:val="single" w:color="auto" w:sz="4" w:space="0"/>
              <w:right w:val="single" w:color="auto" w:sz="4" w:space="0"/>
            </w:tcBorders>
            <w:vAlign w:val="center"/>
          </w:tcPr>
          <w:p w14:paraId="709DC279">
            <w:pPr>
              <w:rPr>
                <w:rFonts w:ascii="宋体" w:hAnsi="宋体" w:cs="宋体"/>
                <w:color w:val="auto"/>
                <w:szCs w:val="22"/>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15D9B636">
            <w:pPr>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4B95A31">
            <w:pPr>
              <w:rPr>
                <w:rFonts w:ascii="宋体" w:hAnsi="宋体" w:cs="宋体"/>
                <w:color w:val="auto"/>
                <w:szCs w:val="22"/>
                <w:highlight w:val="none"/>
              </w:rPr>
            </w:pPr>
            <w:r>
              <w:rPr>
                <w:rFonts w:hint="eastAsia" w:ascii="宋体" w:hAnsi="宋体" w:cs="宋体"/>
                <w:color w:val="auto"/>
                <w:szCs w:val="22"/>
                <w:highlight w:val="none"/>
                <w:lang w:val="en-US" w:eastAsia="zh-CN"/>
              </w:rPr>
              <w:t>详见已标价工程量清单</w:t>
            </w:r>
            <w:r>
              <w:rPr>
                <w:rFonts w:ascii="宋体" w:hAnsi="宋体" w:cs="宋体"/>
                <w:color w:val="auto"/>
                <w:szCs w:val="22"/>
                <w:highlight w:val="none"/>
              </w:rPr>
              <w:t xml:space="preserve">  </w:t>
            </w:r>
          </w:p>
        </w:tc>
        <w:tc>
          <w:tcPr>
            <w:tcW w:w="1289" w:type="dxa"/>
            <w:tcBorders>
              <w:top w:val="single" w:color="auto" w:sz="4" w:space="0"/>
              <w:left w:val="single" w:color="auto" w:sz="4" w:space="0"/>
              <w:bottom w:val="single" w:color="auto" w:sz="4" w:space="0"/>
              <w:right w:val="single" w:color="auto" w:sz="4" w:space="0"/>
            </w:tcBorders>
            <w:vAlign w:val="center"/>
          </w:tcPr>
          <w:p w14:paraId="4CC43642">
            <w:pPr>
              <w:rPr>
                <w:rFonts w:ascii="宋体" w:hAnsi="宋体" w:cs="宋体"/>
                <w:color w:val="auto"/>
                <w:szCs w:val="22"/>
                <w:highlight w:val="none"/>
              </w:rPr>
            </w:pPr>
            <w:r>
              <w:rPr>
                <w:rFonts w:hint="eastAsia" w:ascii="宋体" w:hAnsi="宋体" w:cs="宋体"/>
                <w:color w:val="auto"/>
                <w:szCs w:val="22"/>
                <w:highlight w:val="none"/>
                <w:lang w:val="en-US" w:eastAsia="zh-CN"/>
              </w:rPr>
              <w:t>详见已标价工程量清单</w:t>
            </w:r>
            <w:r>
              <w:rPr>
                <w:rFonts w:ascii="宋体" w:hAnsi="宋体" w:cs="宋体"/>
                <w:color w:val="auto"/>
                <w:szCs w:val="22"/>
                <w:highlight w:val="none"/>
              </w:rPr>
              <w:t xml:space="preserve">  </w:t>
            </w:r>
          </w:p>
        </w:tc>
        <w:tc>
          <w:tcPr>
            <w:tcW w:w="1290" w:type="dxa"/>
            <w:tcBorders>
              <w:top w:val="single" w:color="auto" w:sz="4" w:space="0"/>
              <w:left w:val="single" w:color="auto" w:sz="4" w:space="0"/>
              <w:bottom w:val="single" w:color="auto" w:sz="4" w:space="0"/>
              <w:right w:val="single" w:color="auto" w:sz="4" w:space="0"/>
            </w:tcBorders>
            <w:vAlign w:val="center"/>
          </w:tcPr>
          <w:p w14:paraId="3EC85FF1">
            <w:pPr>
              <w:rPr>
                <w:rFonts w:hint="eastAsia" w:ascii="宋体" w:hAnsi="宋体" w:cs="宋体"/>
                <w:color w:val="auto"/>
                <w:szCs w:val="22"/>
                <w:highlight w:val="none"/>
              </w:rPr>
            </w:pPr>
          </w:p>
        </w:tc>
        <w:tc>
          <w:tcPr>
            <w:tcW w:w="1154" w:type="dxa"/>
            <w:tcBorders>
              <w:top w:val="single" w:color="auto" w:sz="4" w:space="0"/>
              <w:left w:val="single" w:color="auto" w:sz="4" w:space="0"/>
              <w:bottom w:val="single" w:color="auto" w:sz="4" w:space="0"/>
              <w:right w:val="single" w:color="auto" w:sz="4" w:space="0"/>
            </w:tcBorders>
            <w:vAlign w:val="center"/>
          </w:tcPr>
          <w:p w14:paraId="642C17B3">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0A82B515">
            <w:pPr>
              <w:rPr>
                <w:rFonts w:ascii="宋体" w:hAnsi="宋体" w:cs="宋体"/>
                <w:color w:val="auto"/>
                <w:szCs w:val="22"/>
                <w:highlight w:val="none"/>
              </w:rPr>
            </w:pPr>
          </w:p>
        </w:tc>
      </w:tr>
      <w:tr w14:paraId="2B4A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16655997">
            <w:pPr>
              <w:rPr>
                <w:rFonts w:ascii="宋体" w:hAnsi="宋体" w:cs="宋体"/>
                <w:color w:val="auto"/>
                <w:szCs w:val="22"/>
                <w:highlight w:val="none"/>
              </w:rPr>
            </w:pPr>
            <w:r>
              <w:rPr>
                <w:rFonts w:hint="eastAsia" w:ascii="宋体" w:hAnsi="宋体" w:cs="宋体"/>
                <w:color w:val="auto"/>
                <w:szCs w:val="22"/>
                <w:highlight w:val="none"/>
              </w:rPr>
              <w:t>报价合计（包含税费等所有费用）：</w:t>
            </w:r>
            <w:r>
              <w:rPr>
                <w:rFonts w:hint="eastAsia" w:ascii="宋体" w:hAnsi="宋体" w:cs="宋体"/>
                <w:color w:val="auto"/>
                <w:szCs w:val="22"/>
                <w:highlight w:val="none"/>
                <w:lang w:val="en-US" w:eastAsia="zh-CN"/>
              </w:rPr>
              <w:t>（大写）人民币         （￥       ）</w:t>
            </w:r>
            <w:r>
              <w:rPr>
                <w:rFonts w:hint="eastAsia" w:ascii="宋体" w:hAnsi="宋体" w:cs="宋体"/>
                <w:color w:val="auto"/>
                <w:szCs w:val="22"/>
                <w:highlight w:val="none"/>
              </w:rPr>
              <w:t xml:space="preserve">                               </w:t>
            </w:r>
          </w:p>
        </w:tc>
      </w:tr>
      <w:tr w14:paraId="5EB9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6E99CF6E">
            <w:pPr>
              <w:rPr>
                <w:rFonts w:ascii="宋体" w:hAnsi="宋体" w:cs="宋体"/>
                <w:color w:val="auto"/>
                <w:szCs w:val="22"/>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val="en-US" w:eastAsia="zh-CN"/>
              </w:rPr>
              <w:t>无</w:t>
            </w: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r w14:paraId="4D36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35B88E32">
            <w:pP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rPr>
              <w:t>验收标准：</w:t>
            </w:r>
          </w:p>
        </w:tc>
      </w:tr>
      <w:tr w14:paraId="09F7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4565B06F">
            <w:pPr>
              <w:rPr>
                <w:rFonts w:ascii="宋体" w:hAnsi="宋体" w:cs="宋体"/>
                <w:color w:val="auto"/>
                <w:szCs w:val="22"/>
                <w:highlight w:val="none"/>
              </w:rPr>
            </w:pPr>
            <w:r>
              <w:rPr>
                <w:rFonts w:hint="eastAsia" w:ascii="宋体" w:hAnsi="宋体" w:cs="宋体"/>
                <w:color w:val="auto"/>
                <w:szCs w:val="22"/>
                <w:highlight w:val="none"/>
              </w:rPr>
              <w:t>优惠及其它</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如有，没有写无）</w:t>
            </w:r>
            <w:r>
              <w:rPr>
                <w:rFonts w:hint="eastAsia" w:ascii="宋体" w:hAnsi="宋体" w:cs="宋体"/>
                <w:color w:val="auto"/>
                <w:szCs w:val="22"/>
                <w:highlight w:val="none"/>
              </w:rPr>
              <w:t>：</w:t>
            </w:r>
          </w:p>
        </w:tc>
      </w:tr>
    </w:tbl>
    <w:p w14:paraId="14E43166">
      <w:pPr>
        <w:snapToGrid w:val="0"/>
        <w:spacing w:before="50" w:after="50"/>
        <w:ind w:firstLine="480" w:firstLineChars="200"/>
        <w:jc w:val="left"/>
        <w:rPr>
          <w:rFonts w:hint="eastAsia" w:ascii="宋体" w:hAnsi="宋体" w:cs="宋体"/>
          <w:color w:val="auto"/>
          <w:kern w:val="0"/>
          <w:sz w:val="24"/>
          <w:highlight w:val="none"/>
          <w:lang w:val="zh-CN"/>
        </w:rPr>
      </w:pPr>
    </w:p>
    <w:p w14:paraId="126DE727">
      <w:pPr>
        <w:snapToGrid w:val="0"/>
        <w:spacing w:before="50" w:after="5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26FB6CA2">
      <w:pPr>
        <w:snapToGrid w:val="0"/>
        <w:spacing w:before="50" w:after="5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 供应商需按本表格式填写，不得自行更改，也不得留空, 如有多分标，按分标分别提供响应报价表</w:t>
      </w:r>
      <w:r>
        <w:rPr>
          <w:rFonts w:hint="eastAsia" w:ascii="宋体" w:hAnsi="宋体" w:cs="宋体"/>
          <w:b/>
          <w:color w:val="auto"/>
          <w:kern w:val="0"/>
          <w:sz w:val="24"/>
          <w:highlight w:val="none"/>
          <w:lang w:val="zh-CN"/>
        </w:rPr>
        <w:t>。</w:t>
      </w:r>
    </w:p>
    <w:p w14:paraId="085498FD">
      <w:pPr>
        <w:snapToGrid w:val="0"/>
        <w:spacing w:before="50" w:after="50"/>
        <w:ind w:firstLine="480" w:firstLineChars="200"/>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否则其响应作无效响应处理。</w:t>
      </w:r>
    </w:p>
    <w:p w14:paraId="12A72FC5">
      <w:pPr>
        <w:snapToGrid w:val="0"/>
        <w:spacing w:before="50" w:after="50"/>
        <w:ind w:firstLine="480" w:firstLineChars="200"/>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3、以上表格要求细分项目及报价，在“具体服务内容”一栏中，填写具体服务范围、服务标准。</w:t>
      </w:r>
    </w:p>
    <w:p w14:paraId="32C9DBF4">
      <w:pPr>
        <w:snapToGrid w:val="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4、特别提示：采购机构将对项目名称和项目编号，成交供应商名称、地址和成交金额，主要成交标的的名称、服务范围、服务要求、服务时间、服务标准等予以公示。</w:t>
      </w:r>
    </w:p>
    <w:p w14:paraId="0ABA5835">
      <w:pPr>
        <w:snapToGrid w:val="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ascii="宋体" w:hAnsi="宋体" w:cs="宋体"/>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2B27B87">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E8D94FA">
      <w:pPr>
        <w:pStyle w:val="15"/>
        <w:spacing w:line="500" w:lineRule="exact"/>
        <w:ind w:firstLine="6360" w:firstLineChars="2650"/>
        <w:rPr>
          <w:rFonts w:hAnsi="宋体" w:cs="宋体"/>
          <w:color w:val="auto"/>
          <w:sz w:val="24"/>
          <w:highlight w:val="none"/>
          <w:lang w:val="zh-CN"/>
        </w:rPr>
      </w:pPr>
      <w:r>
        <w:rPr>
          <w:rFonts w:hint="eastAsia" w:hAnsi="宋体" w:cs="宋体"/>
          <w:color w:val="auto"/>
          <w:sz w:val="24"/>
          <w:highlight w:val="none"/>
          <w:lang w:val="zh-CN"/>
        </w:rPr>
        <w:t>日期：  年  月   日</w:t>
      </w:r>
    </w:p>
    <w:p w14:paraId="2DE3E686">
      <w:pPr>
        <w:widowControl/>
        <w:jc w:val="left"/>
        <w:rPr>
          <w:rFonts w:ascii="宋体" w:hAnsi="宋体" w:cs="宋体"/>
          <w:color w:val="auto"/>
          <w:kern w:val="0"/>
          <w:sz w:val="24"/>
          <w:szCs w:val="21"/>
          <w:highlight w:val="none"/>
          <w:lang w:val="zh-CN"/>
        </w:rPr>
      </w:pPr>
    </w:p>
    <w:p w14:paraId="6CCC7493">
      <w:pPr>
        <w:numPr>
          <w:ilvl w:val="0"/>
          <w:numId w:val="6"/>
        </w:numPr>
        <w:spacing w:line="520" w:lineRule="exact"/>
        <w:ind w:firstLine="643" w:firstLineChars="200"/>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已标价工程量清单</w:t>
      </w:r>
    </w:p>
    <w:p w14:paraId="2452D375">
      <w:pPr>
        <w:bidi w:val="0"/>
        <w:rPr>
          <w:rFonts w:hint="eastAsia"/>
          <w:color w:val="auto"/>
          <w:highlight w:val="none"/>
        </w:rPr>
      </w:pPr>
      <w:bookmarkStart w:id="88" w:name="_Toc35611438"/>
      <w:bookmarkEnd w:id="88"/>
      <w:bookmarkStart w:id="89" w:name="_Toc44229899"/>
      <w:bookmarkEnd w:id="89"/>
      <w:bookmarkStart w:id="90" w:name="_Toc35611516"/>
      <w:bookmarkEnd w:id="90"/>
      <w:bookmarkStart w:id="91" w:name="_Toc31723070"/>
      <w:bookmarkEnd w:id="91"/>
      <w:bookmarkStart w:id="92" w:name="_Toc31728084"/>
      <w:bookmarkEnd w:id="92"/>
      <w:bookmarkStart w:id="93" w:name="_Toc15428"/>
      <w:bookmarkStart w:id="94" w:name="_Toc80205942"/>
      <w:r>
        <w:rPr>
          <w:rFonts w:hint="eastAsia"/>
          <w:color w:val="auto"/>
          <w:highlight w:val="none"/>
        </w:rPr>
        <w:t>供应商应按照第</w:t>
      </w:r>
      <w:r>
        <w:rPr>
          <w:rFonts w:hint="eastAsia"/>
          <w:color w:val="auto"/>
          <w:highlight w:val="none"/>
          <w:lang w:eastAsia="zh-CN"/>
        </w:rPr>
        <w:t>七</w:t>
      </w:r>
      <w:r>
        <w:rPr>
          <w:rFonts w:hint="eastAsia"/>
          <w:color w:val="auto"/>
          <w:highlight w:val="none"/>
        </w:rPr>
        <w:t>章“工程量清单、图纸”的要求逐项填报工程量清单，包括工程量清单说明、投标报价说明、计日工说明、其他说明及工程量清单各项表格。</w:t>
      </w:r>
    </w:p>
    <w:p w14:paraId="3C7E95B0">
      <w:pPr>
        <w:bidi w:val="0"/>
        <w:jc w:val="right"/>
        <w:rPr>
          <w:rFonts w:hint="eastAsia"/>
          <w:color w:val="auto"/>
          <w:highlight w:val="none"/>
        </w:rPr>
      </w:pPr>
      <w:r>
        <w:rPr>
          <w:rFonts w:hint="eastAsia" w:ascii="宋体" w:hAnsi="宋体" w:cs="宋体"/>
          <w:color w:val="auto"/>
          <w:kern w:val="0"/>
          <w:sz w:val="24"/>
          <w:highlight w:val="none"/>
        </w:rPr>
        <w:t>供应商名称（电子签章）：</w:t>
      </w:r>
    </w:p>
    <w:bookmarkEnd w:id="93"/>
    <w:bookmarkEnd w:id="94"/>
    <w:p w14:paraId="2AD71D77">
      <w:pPr>
        <w:spacing w:line="520" w:lineRule="exact"/>
        <w:jc w:val="center"/>
        <w:rPr>
          <w:rFonts w:ascii="宋体" w:hAnsi="宋体" w:cs="宋体"/>
          <w:color w:val="auto"/>
          <w:sz w:val="24"/>
          <w:highlight w:val="none"/>
        </w:rPr>
      </w:pPr>
    </w:p>
    <w:p w14:paraId="797F99CB">
      <w:pPr>
        <w:spacing w:line="520" w:lineRule="exact"/>
        <w:jc w:val="center"/>
        <w:rPr>
          <w:rFonts w:ascii="宋体" w:hAnsi="宋体" w:cs="宋体"/>
          <w:color w:val="auto"/>
          <w:sz w:val="24"/>
          <w:highlight w:val="none"/>
        </w:rPr>
      </w:pPr>
    </w:p>
    <w:p w14:paraId="44B9C141">
      <w:pPr>
        <w:spacing w:line="520" w:lineRule="exact"/>
        <w:jc w:val="center"/>
        <w:rPr>
          <w:rFonts w:ascii="宋体" w:hAnsi="宋体" w:cs="宋体"/>
          <w:color w:val="auto"/>
          <w:sz w:val="24"/>
          <w:highlight w:val="none"/>
        </w:rPr>
      </w:pPr>
    </w:p>
    <w:p w14:paraId="415E4111">
      <w:pPr>
        <w:spacing w:line="520" w:lineRule="exact"/>
        <w:jc w:val="center"/>
        <w:rPr>
          <w:rFonts w:ascii="宋体" w:hAnsi="宋体" w:cs="宋体"/>
          <w:color w:val="auto"/>
          <w:sz w:val="24"/>
          <w:highlight w:val="none"/>
        </w:rPr>
      </w:pPr>
    </w:p>
    <w:p w14:paraId="77A608C6">
      <w:pPr>
        <w:spacing w:line="520" w:lineRule="exact"/>
        <w:jc w:val="center"/>
        <w:rPr>
          <w:rFonts w:ascii="宋体" w:hAnsi="宋体" w:cs="宋体"/>
          <w:color w:val="auto"/>
          <w:sz w:val="24"/>
          <w:highlight w:val="none"/>
        </w:rPr>
      </w:pPr>
    </w:p>
    <w:p w14:paraId="79810BA5">
      <w:pPr>
        <w:pStyle w:val="2"/>
        <w:jc w:val="center"/>
        <w:rPr>
          <w:rFonts w:ascii="宋体" w:hAnsi="宋体" w:cs="宋体"/>
          <w:b w:val="0"/>
          <w:bCs w:val="0"/>
          <w:color w:val="auto"/>
          <w:highlight w:val="none"/>
        </w:rPr>
      </w:pPr>
      <w:bookmarkStart w:id="95" w:name="_Toc10609"/>
      <w:r>
        <w:rPr>
          <w:rFonts w:hint="eastAsia" w:ascii="宋体" w:hAnsi="宋体" w:cs="宋体"/>
          <w:b w:val="0"/>
          <w:bCs w:val="0"/>
          <w:color w:val="auto"/>
          <w:highlight w:val="none"/>
        </w:rPr>
        <w:t>第六章  合同文本</w:t>
      </w:r>
      <w:r>
        <w:rPr>
          <w:rFonts w:hint="eastAsia" w:ascii="宋体" w:hAnsi="宋体" w:cs="宋体"/>
          <w:b w:val="0"/>
          <w:bCs w:val="0"/>
          <w:color w:val="auto"/>
          <w:highlight w:val="none"/>
        </w:rPr>
        <w:br w:type="page"/>
      </w:r>
      <w:bookmarkEnd w:id="95"/>
    </w:p>
    <w:p w14:paraId="5BE3280A">
      <w:pPr>
        <w:rPr>
          <w:rFonts w:ascii="宋体" w:hAnsi="宋体" w:cs="宋体"/>
          <w:b/>
          <w:bCs/>
          <w:color w:val="auto"/>
          <w:highlight w:val="none"/>
        </w:rPr>
      </w:pPr>
      <w:r>
        <w:rPr>
          <w:rFonts w:hint="eastAsia" w:ascii="宋体" w:hAnsi="宋体" w:cs="宋体"/>
          <w:color w:val="auto"/>
          <w:sz w:val="24"/>
          <w:highlight w:val="none"/>
        </w:rPr>
        <w:t>“广西政府采购云平台”平台合同编号：</w:t>
      </w:r>
    </w:p>
    <w:p w14:paraId="5E395FAA">
      <w:pPr>
        <w:spacing w:line="360" w:lineRule="auto"/>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 </w:t>
      </w:r>
    </w:p>
    <w:p w14:paraId="2BC9BB51">
      <w:pPr>
        <w:spacing w:line="360" w:lineRule="auto"/>
        <w:ind w:firstLine="420" w:firstLineChars="200"/>
        <w:rPr>
          <w:rFonts w:hint="eastAsia" w:ascii="宋体" w:hAnsi="宋体" w:cs="宋体"/>
          <w:color w:val="auto"/>
          <w:highlight w:val="none"/>
          <w:lang w:val="en-US" w:eastAsia="zh-CN"/>
        </w:rPr>
      </w:pPr>
    </w:p>
    <w:p w14:paraId="7EF60780">
      <w:pPr>
        <w:spacing w:line="360" w:lineRule="auto"/>
        <w:ind w:firstLine="420" w:firstLineChars="200"/>
        <w:rPr>
          <w:rFonts w:hint="eastAsia" w:ascii="宋体" w:hAnsi="宋体" w:cs="宋体"/>
          <w:color w:val="auto"/>
          <w:highlight w:val="none"/>
          <w:lang w:val="en-US" w:eastAsia="zh-CN"/>
        </w:rPr>
      </w:pPr>
    </w:p>
    <w:p w14:paraId="536CA060">
      <w:pPr>
        <w:spacing w:line="360" w:lineRule="auto"/>
        <w:ind w:firstLine="420" w:firstLineChars="200"/>
        <w:rPr>
          <w:rFonts w:hint="eastAsia" w:ascii="宋体" w:hAnsi="宋体" w:cs="宋体"/>
          <w:color w:val="auto"/>
          <w:highlight w:val="none"/>
          <w:lang w:val="en-US" w:eastAsia="zh-CN"/>
        </w:rPr>
      </w:pPr>
    </w:p>
    <w:p w14:paraId="28BCD44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                                                 </w:t>
      </w:r>
    </w:p>
    <w:p w14:paraId="484670FE">
      <w:pPr>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u w:val="single"/>
        </w:rPr>
        <w:t xml:space="preserve"> </w:t>
      </w:r>
      <w:bookmarkStart w:id="96" w:name="PO_3000001868_PM002_15"/>
      <w:r>
        <w:rPr>
          <w:rFonts w:hint="eastAsia" w:ascii="宋体" w:hAnsi="宋体" w:cs="宋体"/>
          <w:b/>
          <w:bCs/>
          <w:color w:val="auto"/>
          <w:sz w:val="44"/>
          <w:highlight w:val="none"/>
          <w:u w:val="single"/>
        </w:rPr>
        <w:t>[项目名称]</w:t>
      </w:r>
      <w:bookmarkEnd w:id="96"/>
      <w:r>
        <w:rPr>
          <w:rFonts w:hint="eastAsia" w:ascii="宋体" w:hAnsi="宋体" w:cs="宋体"/>
          <w:b/>
          <w:bCs/>
          <w:color w:val="auto"/>
          <w:sz w:val="44"/>
          <w:highlight w:val="none"/>
        </w:rPr>
        <w:t>合同</w:t>
      </w:r>
    </w:p>
    <w:p w14:paraId="56D13E92">
      <w:pPr>
        <w:spacing w:line="360" w:lineRule="auto"/>
        <w:jc w:val="center"/>
        <w:rPr>
          <w:rFonts w:ascii="宋体" w:hAnsi="宋体" w:cs="宋体"/>
          <w:b/>
          <w:bCs/>
          <w:color w:val="auto"/>
          <w:sz w:val="44"/>
          <w:highlight w:val="none"/>
        </w:rPr>
      </w:pPr>
    </w:p>
    <w:p w14:paraId="1E638BC0">
      <w:pPr>
        <w:spacing w:line="360" w:lineRule="auto"/>
        <w:ind w:firstLine="3507" w:firstLineChars="794"/>
        <w:rPr>
          <w:rFonts w:ascii="宋体" w:hAnsi="宋体" w:cs="宋体"/>
          <w:b/>
          <w:bCs/>
          <w:color w:val="auto"/>
          <w:sz w:val="44"/>
          <w:highlight w:val="none"/>
        </w:rPr>
      </w:pPr>
    </w:p>
    <w:p w14:paraId="703E6C84">
      <w:pPr>
        <w:spacing w:line="360" w:lineRule="auto"/>
        <w:ind w:firstLine="3507" w:firstLineChars="794"/>
        <w:rPr>
          <w:rFonts w:ascii="宋体" w:hAnsi="宋体" w:cs="宋体"/>
          <w:b/>
          <w:bCs/>
          <w:color w:val="auto"/>
          <w:sz w:val="44"/>
          <w:highlight w:val="none"/>
        </w:rPr>
      </w:pPr>
    </w:p>
    <w:p w14:paraId="61F12F23">
      <w:pPr>
        <w:ind w:firstLine="1995" w:firstLineChars="552"/>
        <w:rPr>
          <w:rFonts w:ascii="宋体" w:hAnsi="宋体" w:cs="宋体"/>
          <w:b/>
          <w:color w:val="auto"/>
          <w:sz w:val="36"/>
          <w:szCs w:val="36"/>
          <w:highlight w:val="none"/>
        </w:rPr>
      </w:pPr>
      <w:r>
        <w:rPr>
          <w:rFonts w:hint="eastAsia" w:ascii="宋体" w:hAnsi="宋体" w:cs="宋体"/>
          <w:b/>
          <w:color w:val="auto"/>
          <w:sz w:val="36"/>
          <w:szCs w:val="36"/>
          <w:highlight w:val="none"/>
        </w:rPr>
        <w:t>采购项目编号：</w:t>
      </w:r>
      <w:r>
        <w:rPr>
          <w:rFonts w:hint="eastAsia" w:ascii="宋体" w:hAnsi="宋体" w:cs="宋体"/>
          <w:b/>
          <w:color w:val="auto"/>
          <w:sz w:val="36"/>
          <w:szCs w:val="36"/>
          <w:highlight w:val="none"/>
          <w:u w:val="single"/>
        </w:rPr>
        <w:t xml:space="preserve"> </w:t>
      </w:r>
    </w:p>
    <w:p w14:paraId="79FB0DCF">
      <w:pPr>
        <w:ind w:firstLine="1995" w:firstLineChars="552"/>
        <w:rPr>
          <w:rFonts w:ascii="宋体" w:hAnsi="宋体" w:cs="宋体"/>
          <w:b/>
          <w:color w:val="auto"/>
          <w:sz w:val="36"/>
          <w:szCs w:val="36"/>
          <w:highlight w:val="none"/>
        </w:rPr>
      </w:pPr>
      <w:r>
        <w:rPr>
          <w:rFonts w:hint="eastAsia" w:ascii="宋体" w:hAnsi="宋体" w:cs="宋体"/>
          <w:b/>
          <w:color w:val="auto"/>
          <w:sz w:val="36"/>
          <w:szCs w:val="36"/>
          <w:highlight w:val="none"/>
        </w:rPr>
        <w:t>采购计划编号：</w:t>
      </w:r>
      <w:r>
        <w:rPr>
          <w:rFonts w:hint="eastAsia" w:ascii="宋体" w:hAnsi="宋体" w:cs="宋体"/>
          <w:b/>
          <w:color w:val="auto"/>
          <w:sz w:val="36"/>
          <w:szCs w:val="36"/>
          <w:highlight w:val="none"/>
          <w:u w:val="single"/>
        </w:rPr>
        <w:t xml:space="preserve"> </w:t>
      </w:r>
    </w:p>
    <w:p w14:paraId="32D41C31">
      <w:pPr>
        <w:ind w:firstLine="1308" w:firstLineChars="545"/>
        <w:rPr>
          <w:rFonts w:ascii="宋体" w:hAnsi="宋体" w:cs="宋体"/>
          <w:color w:val="auto"/>
          <w:sz w:val="24"/>
          <w:highlight w:val="none"/>
        </w:rPr>
      </w:pPr>
    </w:p>
    <w:p w14:paraId="77344E32">
      <w:pPr>
        <w:ind w:firstLine="1995" w:firstLineChars="552"/>
        <w:rPr>
          <w:rFonts w:ascii="宋体" w:hAnsi="宋体" w:cs="宋体"/>
          <w:b/>
          <w:color w:val="auto"/>
          <w:sz w:val="36"/>
          <w:szCs w:val="36"/>
          <w:highlight w:val="none"/>
          <w:u w:val="single"/>
        </w:rPr>
      </w:pPr>
    </w:p>
    <w:p w14:paraId="3188D612">
      <w:pPr>
        <w:ind w:firstLine="1995" w:firstLineChars="552"/>
        <w:rPr>
          <w:rFonts w:ascii="宋体" w:hAnsi="宋体" w:cs="宋体"/>
          <w:b/>
          <w:color w:val="auto"/>
          <w:sz w:val="36"/>
          <w:szCs w:val="36"/>
          <w:highlight w:val="none"/>
          <w:u w:val="single"/>
        </w:rPr>
      </w:pPr>
    </w:p>
    <w:p w14:paraId="2434987F">
      <w:pPr>
        <w:tabs>
          <w:tab w:val="left" w:pos="7200"/>
        </w:tabs>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bookmarkStart w:id="97" w:name="PO_3000001868_PM026_4"/>
      <w:r>
        <w:rPr>
          <w:rFonts w:hint="eastAsia" w:ascii="宋体" w:hAnsi="宋体" w:cs="宋体"/>
          <w:b/>
          <w:color w:val="auto"/>
          <w:sz w:val="36"/>
          <w:szCs w:val="36"/>
          <w:highlight w:val="none"/>
          <w:u w:val="single"/>
        </w:rPr>
        <w:t>[采购人]</w:t>
      </w:r>
      <w:bookmarkEnd w:id="97"/>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 xml:space="preserve">             </w:t>
      </w:r>
      <w:r>
        <w:rPr>
          <w:rFonts w:hint="eastAsia" w:ascii="宋体" w:hAnsi="宋体" w:cs="宋体"/>
          <w:b/>
          <w:color w:val="auto"/>
          <w:sz w:val="36"/>
          <w:szCs w:val="36"/>
          <w:highlight w:val="none"/>
          <w:u w:val="single"/>
        </w:rPr>
        <w:t xml:space="preserve"> </w:t>
      </w:r>
    </w:p>
    <w:p w14:paraId="4317EFB7">
      <w:pPr>
        <w:tabs>
          <w:tab w:val="left" w:pos="7380"/>
        </w:tabs>
        <w:spacing w:line="360" w:lineRule="auto"/>
        <w:ind w:firstLine="1995" w:firstLineChars="552"/>
        <w:rPr>
          <w:rFonts w:ascii="宋体" w:hAnsi="宋体" w:cs="宋体"/>
          <w:b/>
          <w:bCs/>
          <w:color w:val="auto"/>
          <w:sz w:val="44"/>
          <w:highlight w:val="none"/>
        </w:rPr>
      </w:pPr>
      <w:r>
        <w:rPr>
          <w:rFonts w:hint="eastAsia" w:ascii="宋体" w:hAnsi="宋体" w:cs="宋体"/>
          <w:b/>
          <w:color w:val="auto"/>
          <w:sz w:val="36"/>
          <w:szCs w:val="36"/>
          <w:highlight w:val="none"/>
        </w:rPr>
        <w:t>中标</w:t>
      </w:r>
      <w:r>
        <w:rPr>
          <w:rFonts w:hint="eastAsia" w:ascii="宋体" w:hAnsi="宋体" w:cs="宋体"/>
          <w:b/>
          <w:color w:val="auto"/>
          <w:sz w:val="36"/>
          <w:szCs w:val="36"/>
          <w:highlight w:val="none"/>
          <w:lang w:eastAsia="zh-CN"/>
        </w:rPr>
        <w:t>（</w:t>
      </w:r>
      <w:r>
        <w:rPr>
          <w:rFonts w:hint="eastAsia" w:ascii="宋体" w:hAnsi="宋体" w:cs="宋体"/>
          <w:b/>
          <w:color w:val="auto"/>
          <w:sz w:val="36"/>
          <w:szCs w:val="36"/>
          <w:highlight w:val="none"/>
          <w:lang w:val="en-US" w:eastAsia="zh-CN"/>
        </w:rPr>
        <w:t>成交</w:t>
      </w:r>
      <w:r>
        <w:rPr>
          <w:rFonts w:hint="eastAsia" w:ascii="宋体" w:hAnsi="宋体" w:cs="宋体"/>
          <w:b/>
          <w:color w:val="auto"/>
          <w:sz w:val="36"/>
          <w:szCs w:val="36"/>
          <w:highlight w:val="none"/>
          <w:lang w:eastAsia="zh-CN"/>
        </w:rPr>
        <w:t>）</w:t>
      </w:r>
      <w:r>
        <w:rPr>
          <w:rFonts w:hint="eastAsia" w:ascii="宋体" w:hAnsi="宋体" w:cs="宋体"/>
          <w:b/>
          <w:color w:val="auto"/>
          <w:sz w:val="36"/>
          <w:szCs w:val="36"/>
          <w:highlight w:val="none"/>
        </w:rPr>
        <w:t>供应商：</w:t>
      </w:r>
      <w:r>
        <w:rPr>
          <w:rFonts w:hint="eastAsia" w:ascii="宋体" w:hAnsi="宋体" w:cs="宋体"/>
          <w:b/>
          <w:color w:val="auto"/>
          <w:sz w:val="36"/>
          <w:szCs w:val="36"/>
          <w:highlight w:val="none"/>
          <w:u w:val="single"/>
        </w:rPr>
        <w:t xml:space="preserve">                   </w:t>
      </w:r>
    </w:p>
    <w:p w14:paraId="5C55F5E9">
      <w:pPr>
        <w:tabs>
          <w:tab w:val="left" w:pos="7380"/>
        </w:tabs>
        <w:spacing w:line="360" w:lineRule="auto"/>
        <w:rPr>
          <w:rFonts w:ascii="宋体" w:hAnsi="宋体" w:cs="宋体"/>
          <w:b/>
          <w:bCs/>
          <w:color w:val="auto"/>
          <w:sz w:val="44"/>
          <w:highlight w:val="none"/>
        </w:rPr>
      </w:pPr>
    </w:p>
    <w:p w14:paraId="41DE94E3">
      <w:pPr>
        <w:tabs>
          <w:tab w:val="left" w:pos="7380"/>
        </w:tabs>
        <w:spacing w:line="360" w:lineRule="auto"/>
        <w:rPr>
          <w:rFonts w:ascii="宋体" w:hAnsi="宋体" w:cs="宋体"/>
          <w:b/>
          <w:bCs/>
          <w:color w:val="auto"/>
          <w:sz w:val="44"/>
          <w:highlight w:val="none"/>
        </w:rPr>
      </w:pPr>
    </w:p>
    <w:p w14:paraId="0AD53B48">
      <w:pPr>
        <w:tabs>
          <w:tab w:val="left" w:pos="7380"/>
        </w:tabs>
        <w:spacing w:line="360" w:lineRule="auto"/>
        <w:rPr>
          <w:rFonts w:ascii="宋体" w:hAnsi="宋体" w:cs="宋体"/>
          <w:b/>
          <w:bCs/>
          <w:color w:val="auto"/>
          <w:sz w:val="44"/>
          <w:highlight w:val="none"/>
        </w:rPr>
      </w:pPr>
    </w:p>
    <w:p w14:paraId="16037D27">
      <w:pPr>
        <w:tabs>
          <w:tab w:val="left" w:pos="7380"/>
        </w:tabs>
        <w:spacing w:line="360" w:lineRule="auto"/>
        <w:ind w:firstLine="3360" w:firstLineChars="1400"/>
        <w:rPr>
          <w:rFonts w:ascii="宋体" w:hAnsi="宋体" w:cs="宋体"/>
          <w:color w:val="auto"/>
          <w:sz w:val="24"/>
          <w:highlight w:val="none"/>
          <w:lang w:val="zh-CN"/>
        </w:rPr>
      </w:pPr>
      <w:r>
        <w:rPr>
          <w:rFonts w:hint="eastAsia" w:ascii="宋体" w:hAnsi="宋体" w:cs="宋体"/>
          <w:color w:val="auto"/>
          <w:sz w:val="24"/>
          <w:highlight w:val="none"/>
          <w:lang w:val="zh-CN"/>
        </w:rPr>
        <w:t>签订时间：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p>
    <w:p w14:paraId="32131B01">
      <w:pPr>
        <w:snapToGrid w:val="0"/>
        <w:spacing w:line="360" w:lineRule="auto"/>
        <w:rPr>
          <w:rFonts w:hint="eastAsia" w:ascii="宋体" w:hAnsi="宋体" w:cs="宋体"/>
          <w:b/>
          <w:bCs/>
          <w:color w:val="auto"/>
          <w:sz w:val="44"/>
          <w:highlight w:val="none"/>
        </w:rPr>
      </w:pPr>
      <w:r>
        <w:rPr>
          <w:rFonts w:hint="eastAsia" w:ascii="宋体" w:hAnsi="宋体" w:cs="宋体"/>
          <w:b/>
          <w:bCs/>
          <w:color w:val="auto"/>
          <w:sz w:val="44"/>
          <w:highlight w:val="none"/>
        </w:rPr>
        <w:br w:type="page"/>
      </w:r>
    </w:p>
    <w:p w14:paraId="004EF04A">
      <w:pPr>
        <w:snapToGrid w:val="0"/>
        <w:spacing w:line="360" w:lineRule="auto"/>
        <w:rPr>
          <w:rFonts w:hint="eastAsia" w:ascii="宋体" w:hAnsi="宋体" w:cs="宋体"/>
          <w:b/>
          <w:bCs/>
          <w:color w:val="auto"/>
          <w:sz w:val="44"/>
          <w:highlight w:val="none"/>
        </w:rPr>
      </w:pPr>
    </w:p>
    <w:p w14:paraId="002DC788">
      <w:pPr>
        <w:snapToGrid w:val="0"/>
        <w:spacing w:line="360" w:lineRule="auto"/>
        <w:rPr>
          <w:rFonts w:hint="eastAsia" w:ascii="宋体" w:hAnsi="宋体" w:cs="宋体"/>
          <w:b/>
          <w:bCs/>
          <w:color w:val="auto"/>
          <w:sz w:val="44"/>
          <w:highlight w:val="none"/>
        </w:rPr>
      </w:pPr>
    </w:p>
    <w:p w14:paraId="2D4D429B">
      <w:pPr>
        <w:snapToGrid w:val="0"/>
        <w:spacing w:line="360" w:lineRule="auto"/>
        <w:rPr>
          <w:rFonts w:hint="eastAsia" w:ascii="宋体" w:hAnsi="宋体" w:cs="宋体"/>
          <w:b/>
          <w:bCs/>
          <w:color w:val="auto"/>
          <w:sz w:val="44"/>
          <w:highlight w:val="none"/>
        </w:rPr>
      </w:pPr>
    </w:p>
    <w:p w14:paraId="53A546AC">
      <w:pPr>
        <w:snapToGrid w:val="0"/>
        <w:spacing w:line="360" w:lineRule="auto"/>
        <w:rPr>
          <w:rFonts w:hint="eastAsia" w:ascii="宋体" w:hAnsi="宋体" w:cs="宋体"/>
          <w:b/>
          <w:bCs/>
          <w:color w:val="auto"/>
          <w:sz w:val="44"/>
          <w:highlight w:val="none"/>
        </w:rPr>
      </w:pPr>
    </w:p>
    <w:p w14:paraId="6BF8CE95">
      <w:pPr>
        <w:snapToGrid w:val="0"/>
        <w:spacing w:line="360" w:lineRule="auto"/>
        <w:jc w:val="center"/>
        <w:rPr>
          <w:rFonts w:ascii="宋体" w:hAnsi="宋体" w:cs="宋体"/>
          <w:color w:val="auto"/>
          <w:kern w:val="0"/>
          <w:sz w:val="24"/>
          <w:highlight w:val="none"/>
        </w:rPr>
      </w:pPr>
      <w:r>
        <w:rPr>
          <w:rFonts w:hint="eastAsia" w:ascii="宋体" w:hAnsi="宋体" w:eastAsia="宋体" w:cs="宋体"/>
          <w:b/>
          <w:color w:val="auto"/>
          <w:sz w:val="56"/>
          <w:szCs w:val="56"/>
          <w:highlight w:val="none"/>
        </w:rPr>
        <w:t>公路工程施工合同</w:t>
      </w:r>
    </w:p>
    <w:p w14:paraId="6DBDE096">
      <w:pPr>
        <w:snapToGrid w:val="0"/>
        <w:spacing w:line="360" w:lineRule="auto"/>
        <w:rPr>
          <w:rFonts w:ascii="宋体" w:hAnsi="宋体" w:cs="宋体"/>
          <w:color w:val="auto"/>
          <w:kern w:val="0"/>
          <w:sz w:val="24"/>
          <w:highlight w:val="none"/>
        </w:rPr>
      </w:pPr>
    </w:p>
    <w:p w14:paraId="74FA5546">
      <w:pPr>
        <w:widowControl/>
        <w:jc w:val="left"/>
        <w:rPr>
          <w:rFonts w:ascii="宋体" w:hAnsi="宋体" w:cs="宋体"/>
          <w:color w:val="auto"/>
          <w:kern w:val="0"/>
          <w:sz w:val="32"/>
          <w:szCs w:val="20"/>
          <w:highlight w:val="none"/>
        </w:rPr>
        <w:sectPr>
          <w:pgSz w:w="11906" w:h="16838"/>
          <w:pgMar w:top="1134" w:right="1134" w:bottom="1134" w:left="1134" w:header="720" w:footer="720" w:gutter="0"/>
          <w:cols w:space="720" w:num="1"/>
          <w:docGrid w:type="lines" w:linePitch="331" w:charSpace="0"/>
        </w:sectPr>
      </w:pPr>
    </w:p>
    <w:p w14:paraId="368362E4">
      <w:pPr>
        <w:pageBreakBefore w:val="0"/>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bookmarkStart w:id="98" w:name="_Toc511595186"/>
      <w:bookmarkStart w:id="99" w:name="_Toc2532"/>
      <w:bookmarkStart w:id="100" w:name="_Toc394929411"/>
      <w:bookmarkStart w:id="101" w:name="_Toc514759025"/>
      <w:bookmarkStart w:id="102" w:name="_Toc517163145"/>
      <w:bookmarkStart w:id="103" w:name="_Toc367270683"/>
      <w:bookmarkStart w:id="104" w:name="_Toc508779702"/>
      <w:r>
        <w:rPr>
          <w:rFonts w:hint="eastAsia" w:ascii="宋体" w:hAnsi="宋体" w:eastAsia="宋体" w:cs="宋体"/>
          <w:b/>
          <w:bCs/>
          <w:color w:val="auto"/>
          <w:sz w:val="28"/>
          <w:szCs w:val="28"/>
          <w:highlight w:val="none"/>
        </w:rPr>
        <w:t>合 同 协 议 书</w:t>
      </w:r>
    </w:p>
    <w:p w14:paraId="1BC3CB24">
      <w:pPr>
        <w:pStyle w:val="48"/>
        <w:pageBreakBefore w:val="0"/>
        <w:shd w:val="clear" w:color="auto" w:fill="auto"/>
        <w:tabs>
          <w:tab w:val="left" w:leader="underscore" w:pos="1756"/>
          <w:tab w:val="left" w:leader="underscore" w:pos="8354"/>
        </w:tabs>
        <w:kinsoku/>
        <w:wordWrap w:val="0"/>
        <w:overflowPunct/>
        <w:topLinePunct w:val="0"/>
        <w:autoSpaceDE/>
        <w:autoSpaceDN/>
        <w:bidi w:val="0"/>
        <w:spacing w:before="0" w:line="360" w:lineRule="auto"/>
        <w:ind w:firstLine="750" w:firstLineChars="3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Style w:val="49"/>
          <w:rFonts w:hint="eastAsia" w:ascii="宋体" w:hAnsi="宋体" w:eastAsia="宋体" w:cs="宋体"/>
          <w:color w:val="auto"/>
          <w:sz w:val="21"/>
          <w:szCs w:val="21"/>
          <w:highlight w:val="none"/>
          <w:u w:val="single"/>
        </w:rPr>
        <w:t>(发包人名称，以下简称“发包人”）</w:t>
      </w:r>
      <w:r>
        <w:rPr>
          <w:rStyle w:val="49"/>
          <w:rFonts w:hint="eastAsia" w:ascii="宋体" w:hAnsi="宋体" w:eastAsia="宋体" w:cs="宋体"/>
          <w:color w:val="auto"/>
          <w:sz w:val="21"/>
          <w:szCs w:val="21"/>
          <w:highlight w:val="none"/>
        </w:rPr>
        <w:t>为实施</w:t>
      </w:r>
      <w:r>
        <w:rPr>
          <w:rStyle w:val="49"/>
          <w:rFonts w:hint="eastAsia" w:ascii="宋体" w:hAnsi="宋体" w:eastAsia="宋体" w:cs="宋体"/>
          <w:color w:val="auto"/>
          <w:sz w:val="21"/>
          <w:szCs w:val="21"/>
          <w:highlight w:val="none"/>
          <w:u w:val="single"/>
        </w:rPr>
        <w:t>(项目名称)</w:t>
      </w:r>
      <w:r>
        <w:rPr>
          <w:rStyle w:val="49"/>
          <w:rFonts w:hint="eastAsia" w:ascii="宋体" w:hAnsi="宋体" w:eastAsia="宋体" w:cs="宋体"/>
          <w:color w:val="auto"/>
          <w:sz w:val="21"/>
          <w:szCs w:val="21"/>
          <w:highlight w:val="none"/>
        </w:rPr>
        <w:t>，已接受</w:t>
      </w:r>
      <w:r>
        <w:rPr>
          <w:rStyle w:val="49"/>
          <w:rFonts w:hint="eastAsia" w:ascii="宋体" w:hAnsi="宋体" w:eastAsia="宋体" w:cs="宋体"/>
          <w:color w:val="auto"/>
          <w:sz w:val="21"/>
          <w:szCs w:val="21"/>
          <w:highlight w:val="none"/>
          <w:u w:val="single"/>
        </w:rPr>
        <w:t>(承包人名称，以下简称“承包人”）</w:t>
      </w:r>
      <w:r>
        <w:rPr>
          <w:rStyle w:val="49"/>
          <w:rFonts w:hint="eastAsia" w:ascii="宋体" w:hAnsi="宋体" w:eastAsia="宋体" w:cs="宋体"/>
          <w:color w:val="auto"/>
          <w:sz w:val="21"/>
          <w:szCs w:val="21"/>
          <w:highlight w:val="none"/>
        </w:rPr>
        <w:t>对该项目</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u w:val="single"/>
        </w:rPr>
        <w:t>标段</w:t>
      </w:r>
      <w:r>
        <w:rPr>
          <w:rStyle w:val="49"/>
          <w:rFonts w:hint="eastAsia" w:ascii="宋体" w:hAnsi="宋体" w:eastAsia="宋体" w:cs="宋体"/>
          <w:color w:val="auto"/>
          <w:sz w:val="21"/>
          <w:szCs w:val="21"/>
          <w:highlight w:val="none"/>
        </w:rPr>
        <w:t>施工的投标。发包人和承包人共同达成如下协议。</w:t>
      </w:r>
    </w:p>
    <w:p w14:paraId="457455A5">
      <w:pPr>
        <w:pStyle w:val="48"/>
        <w:pageBreakBefore w:val="0"/>
        <w:shd w:val="clear" w:color="auto" w:fill="auto"/>
        <w:tabs>
          <w:tab w:val="left" w:pos="1074"/>
        </w:tabs>
        <w:kinsoku/>
        <w:wordWrap w:val="0"/>
        <w:overflowPunct/>
        <w:topLinePunct w:val="0"/>
        <w:autoSpaceDE/>
        <w:autoSpaceDN/>
        <w:bidi w:val="0"/>
        <w:spacing w:before="0" w:line="360" w:lineRule="auto"/>
        <w:ind w:firstLine="420" w:firstLineChars="200"/>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1．建设内容：</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w:t>
      </w:r>
    </w:p>
    <w:p w14:paraId="41F2000B">
      <w:pPr>
        <w:pStyle w:val="48"/>
        <w:pageBreakBefore w:val="0"/>
        <w:shd w:val="clear" w:color="auto" w:fill="auto"/>
        <w:tabs>
          <w:tab w:val="left" w:pos="1098"/>
        </w:tabs>
        <w:kinsoku/>
        <w:overflowPunct/>
        <w:topLinePunct w:val="0"/>
        <w:autoSpaceDE/>
        <w:autoSpaceDN/>
        <w:bidi w:val="0"/>
        <w:spacing w:before="0" w:line="360" w:lineRule="auto"/>
        <w:ind w:firstLine="420" w:firstLineChars="200"/>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2．下列文件应视为构成合同文件的组成部分：</w:t>
      </w:r>
    </w:p>
    <w:p w14:paraId="4B5B98CA">
      <w:pPr>
        <w:pStyle w:val="48"/>
        <w:pageBreakBefore w:val="0"/>
        <w:shd w:val="clear" w:color="auto" w:fill="auto"/>
        <w:tabs>
          <w:tab w:val="left" w:pos="1373"/>
        </w:tabs>
        <w:kinsoku/>
        <w:overflowPunct/>
        <w:topLinePunct w:val="0"/>
        <w:autoSpaceDE/>
        <w:autoSpaceDN/>
        <w:bidi w:val="0"/>
        <w:spacing w:before="0" w:line="360" w:lineRule="auto"/>
        <w:jc w:val="left"/>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（1）本协议书及各种合同附件（含评标期间和合同谈判过程中的澄清文件和补充资料）；</w:t>
      </w:r>
    </w:p>
    <w:p w14:paraId="3708FA00">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（2）成交通知书；</w:t>
      </w:r>
    </w:p>
    <w:p w14:paraId="38DE822C">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（3）项目专用合同条款；</w:t>
      </w:r>
    </w:p>
    <w:p w14:paraId="1AF08D0F">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w:t>
      </w:r>
      <w:r>
        <w:rPr>
          <w:rStyle w:val="49"/>
          <w:rFonts w:hint="eastAsia" w:ascii="宋体" w:hAnsi="宋体" w:eastAsia="宋体" w:cs="宋体"/>
          <w:color w:val="auto"/>
          <w:sz w:val="21"/>
          <w:szCs w:val="21"/>
          <w:highlight w:val="none"/>
          <w:lang w:val="en-US"/>
        </w:rPr>
        <w:t>4</w:t>
      </w:r>
      <w:r>
        <w:rPr>
          <w:rStyle w:val="49"/>
          <w:rFonts w:hint="eastAsia" w:ascii="宋体" w:hAnsi="宋体" w:eastAsia="宋体" w:cs="宋体"/>
          <w:color w:val="auto"/>
          <w:sz w:val="21"/>
          <w:szCs w:val="21"/>
          <w:highlight w:val="none"/>
        </w:rPr>
        <w:t>）公路工程专用合同条款；</w:t>
      </w:r>
    </w:p>
    <w:p w14:paraId="6A2E1108">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w:t>
      </w:r>
      <w:r>
        <w:rPr>
          <w:rStyle w:val="49"/>
          <w:rFonts w:hint="eastAsia" w:ascii="宋体" w:hAnsi="宋体" w:eastAsia="宋体" w:cs="宋体"/>
          <w:color w:val="auto"/>
          <w:sz w:val="21"/>
          <w:szCs w:val="21"/>
          <w:highlight w:val="none"/>
          <w:lang w:val="en-US"/>
        </w:rPr>
        <w:t>5</w:t>
      </w:r>
      <w:r>
        <w:rPr>
          <w:rStyle w:val="49"/>
          <w:rFonts w:hint="eastAsia" w:ascii="宋体" w:hAnsi="宋体" w:eastAsia="宋体" w:cs="宋体"/>
          <w:color w:val="auto"/>
          <w:sz w:val="21"/>
          <w:szCs w:val="21"/>
          <w:highlight w:val="none"/>
        </w:rPr>
        <w:t>）通用合同条款；</w:t>
      </w:r>
    </w:p>
    <w:p w14:paraId="3E11377A">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w:t>
      </w:r>
      <w:r>
        <w:rPr>
          <w:rStyle w:val="49"/>
          <w:rFonts w:hint="eastAsia" w:ascii="宋体" w:hAnsi="宋体" w:eastAsia="宋体" w:cs="宋体"/>
          <w:color w:val="auto"/>
          <w:sz w:val="21"/>
          <w:szCs w:val="21"/>
          <w:highlight w:val="none"/>
          <w:lang w:val="en-US"/>
        </w:rPr>
        <w:t>8</w:t>
      </w:r>
      <w:r>
        <w:rPr>
          <w:rStyle w:val="49"/>
          <w:rFonts w:hint="eastAsia" w:ascii="宋体" w:hAnsi="宋体" w:eastAsia="宋体" w:cs="宋体"/>
          <w:color w:val="auto"/>
          <w:sz w:val="21"/>
          <w:szCs w:val="21"/>
          <w:highlight w:val="none"/>
        </w:rPr>
        <w:t>）工程量清单计量规则；</w:t>
      </w:r>
    </w:p>
    <w:p w14:paraId="33510746">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w:t>
      </w:r>
      <w:r>
        <w:rPr>
          <w:rStyle w:val="49"/>
          <w:rFonts w:hint="eastAsia" w:ascii="宋体" w:hAnsi="宋体" w:eastAsia="宋体" w:cs="宋体"/>
          <w:color w:val="auto"/>
          <w:sz w:val="21"/>
          <w:szCs w:val="21"/>
          <w:highlight w:val="none"/>
          <w:lang w:val="en-US"/>
        </w:rPr>
        <w:t>7</w:t>
      </w:r>
      <w:r>
        <w:rPr>
          <w:rStyle w:val="49"/>
          <w:rFonts w:hint="eastAsia" w:ascii="宋体" w:hAnsi="宋体" w:eastAsia="宋体" w:cs="宋体"/>
          <w:color w:val="auto"/>
          <w:sz w:val="21"/>
          <w:szCs w:val="21"/>
          <w:highlight w:val="none"/>
        </w:rPr>
        <w:t>）技术规范；</w:t>
      </w:r>
    </w:p>
    <w:p w14:paraId="78B5BA50">
      <w:pPr>
        <w:pStyle w:val="48"/>
        <w:pageBreakBefore w:val="0"/>
        <w:shd w:val="clear" w:color="auto" w:fill="auto"/>
        <w:tabs>
          <w:tab w:val="left" w:pos="138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w:t>
      </w:r>
      <w:r>
        <w:rPr>
          <w:rStyle w:val="49"/>
          <w:rFonts w:hint="eastAsia" w:ascii="宋体" w:hAnsi="宋体" w:eastAsia="宋体" w:cs="宋体"/>
          <w:color w:val="auto"/>
          <w:sz w:val="21"/>
          <w:szCs w:val="21"/>
          <w:highlight w:val="none"/>
          <w:lang w:val="en-US"/>
        </w:rPr>
        <w:t>8</w:t>
      </w:r>
      <w:r>
        <w:rPr>
          <w:rStyle w:val="49"/>
          <w:rFonts w:hint="eastAsia" w:ascii="宋体" w:hAnsi="宋体" w:eastAsia="宋体" w:cs="宋体"/>
          <w:color w:val="auto"/>
          <w:sz w:val="21"/>
          <w:szCs w:val="21"/>
          <w:highlight w:val="none"/>
        </w:rPr>
        <w:t>）图纸；</w:t>
      </w:r>
    </w:p>
    <w:p w14:paraId="7AE999BC">
      <w:pPr>
        <w:pStyle w:val="48"/>
        <w:pageBreakBefore w:val="0"/>
        <w:shd w:val="clear" w:color="auto" w:fill="auto"/>
        <w:tabs>
          <w:tab w:val="left" w:pos="1506"/>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w:t>
      </w:r>
      <w:r>
        <w:rPr>
          <w:rStyle w:val="49"/>
          <w:rFonts w:hint="eastAsia" w:ascii="宋体" w:hAnsi="宋体" w:eastAsia="宋体" w:cs="宋体"/>
          <w:color w:val="auto"/>
          <w:sz w:val="21"/>
          <w:szCs w:val="21"/>
          <w:highlight w:val="none"/>
          <w:lang w:val="en-US"/>
        </w:rPr>
        <w:t>9</w:t>
      </w:r>
      <w:r>
        <w:rPr>
          <w:rStyle w:val="49"/>
          <w:rFonts w:hint="eastAsia" w:ascii="宋体" w:hAnsi="宋体" w:eastAsia="宋体" w:cs="宋体"/>
          <w:color w:val="auto"/>
          <w:sz w:val="21"/>
          <w:szCs w:val="21"/>
          <w:highlight w:val="none"/>
        </w:rPr>
        <w:t>）已标价工程量清单；</w:t>
      </w:r>
    </w:p>
    <w:p w14:paraId="300E1B9C">
      <w:pPr>
        <w:pStyle w:val="48"/>
        <w:pageBreakBefore w:val="0"/>
        <w:shd w:val="clear" w:color="auto" w:fill="auto"/>
        <w:tabs>
          <w:tab w:val="left" w:pos="1506"/>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（1</w:t>
      </w:r>
      <w:r>
        <w:rPr>
          <w:rStyle w:val="49"/>
          <w:rFonts w:hint="eastAsia" w:ascii="宋体" w:hAnsi="宋体" w:eastAsia="宋体" w:cs="宋体"/>
          <w:color w:val="auto"/>
          <w:sz w:val="21"/>
          <w:szCs w:val="21"/>
          <w:highlight w:val="none"/>
          <w:lang w:val="en-US"/>
        </w:rPr>
        <w:t>0</w:t>
      </w:r>
      <w:r>
        <w:rPr>
          <w:rStyle w:val="49"/>
          <w:rFonts w:hint="eastAsia" w:ascii="宋体" w:hAnsi="宋体" w:eastAsia="宋体" w:cs="宋体"/>
          <w:color w:val="auto"/>
          <w:sz w:val="21"/>
          <w:szCs w:val="21"/>
          <w:highlight w:val="none"/>
        </w:rPr>
        <w:t>）承包人有关人员、设备投入的承诺及响应文件中的施工组织设计；</w:t>
      </w:r>
    </w:p>
    <w:p w14:paraId="43F889E3">
      <w:pPr>
        <w:pStyle w:val="48"/>
        <w:pageBreakBefore w:val="0"/>
        <w:shd w:val="clear" w:color="auto" w:fill="auto"/>
        <w:tabs>
          <w:tab w:val="left" w:pos="1506"/>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（1</w:t>
      </w:r>
      <w:r>
        <w:rPr>
          <w:rStyle w:val="49"/>
          <w:rFonts w:hint="eastAsia" w:ascii="宋体" w:hAnsi="宋体" w:eastAsia="宋体" w:cs="宋体"/>
          <w:color w:val="auto"/>
          <w:sz w:val="21"/>
          <w:szCs w:val="21"/>
          <w:highlight w:val="none"/>
          <w:lang w:val="en-US"/>
        </w:rPr>
        <w:t>1</w:t>
      </w:r>
      <w:r>
        <w:rPr>
          <w:rStyle w:val="49"/>
          <w:rFonts w:hint="eastAsia" w:ascii="宋体" w:hAnsi="宋体" w:eastAsia="宋体" w:cs="宋体"/>
          <w:color w:val="auto"/>
          <w:sz w:val="21"/>
          <w:szCs w:val="21"/>
          <w:highlight w:val="none"/>
        </w:rPr>
        <w:t>）其他合同文件。</w:t>
      </w:r>
    </w:p>
    <w:p w14:paraId="3525C771">
      <w:pPr>
        <w:pStyle w:val="48"/>
        <w:pageBreakBefore w:val="0"/>
        <w:shd w:val="clear" w:color="auto" w:fill="auto"/>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上述合同文件互相补充和解释。如果合同文件之间存在矛盾或不一致之处，</w:t>
      </w:r>
    </w:p>
    <w:p w14:paraId="1B9A2025">
      <w:pPr>
        <w:pStyle w:val="48"/>
        <w:pageBreakBefore w:val="0"/>
        <w:shd w:val="clear" w:color="auto" w:fill="auto"/>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以上述文件的排列顺序在先者为准。</w:t>
      </w:r>
    </w:p>
    <w:p w14:paraId="7620D5C8">
      <w:pPr>
        <w:pStyle w:val="48"/>
        <w:pageBreakBefore w:val="0"/>
        <w:shd w:val="clear" w:color="auto" w:fill="auto"/>
        <w:tabs>
          <w:tab w:val="left" w:pos="1101"/>
        </w:tabs>
        <w:kinsoku/>
        <w:overflowPunct/>
        <w:topLinePunct w:val="0"/>
        <w:autoSpaceDE/>
        <w:autoSpaceDN/>
        <w:bidi w:val="0"/>
        <w:spacing w:before="0" w:line="360" w:lineRule="auto"/>
        <w:jc w:val="both"/>
        <w:textAlignment w:val="auto"/>
        <w:rPr>
          <w:rStyle w:val="49"/>
          <w:rFonts w:hint="eastAsia" w:ascii="宋体" w:hAnsi="宋体" w:eastAsia="宋体" w:cs="宋体"/>
          <w:color w:val="auto"/>
          <w:sz w:val="21"/>
          <w:szCs w:val="21"/>
          <w:highlight w:val="none"/>
        </w:rPr>
      </w:pPr>
      <w:r>
        <w:rPr>
          <w:rStyle w:val="49"/>
          <w:rFonts w:hint="eastAsia" w:ascii="宋体" w:hAnsi="宋体" w:eastAsia="宋体" w:cs="宋体"/>
          <w:color w:val="auto"/>
          <w:sz w:val="21"/>
          <w:szCs w:val="21"/>
          <w:highlight w:val="none"/>
          <w:lang w:val="en-US"/>
        </w:rPr>
        <w:t>3.</w:t>
      </w:r>
      <w:r>
        <w:rPr>
          <w:rStyle w:val="49"/>
          <w:rFonts w:hint="eastAsia" w:ascii="宋体" w:hAnsi="宋体" w:eastAsia="宋体" w:cs="宋体"/>
          <w:color w:val="auto"/>
          <w:sz w:val="21"/>
          <w:szCs w:val="21"/>
          <w:highlight w:val="none"/>
        </w:rPr>
        <w:t>根据工程量清单所列的预计数量和单价或总额价计算的签约合同价：人民币（大写）</w:t>
      </w:r>
      <w:r>
        <w:rPr>
          <w:rStyle w:val="49"/>
          <w:rFonts w:hint="eastAsia" w:ascii="宋体" w:hAnsi="宋体" w:eastAsia="宋体" w:cs="宋体"/>
          <w:color w:val="auto"/>
          <w:sz w:val="21"/>
          <w:szCs w:val="21"/>
          <w:highlight w:val="none"/>
          <w:u w:val="single"/>
        </w:rPr>
        <w:t xml:space="preserve">  （¥     </w:t>
      </w:r>
      <w:r>
        <w:rPr>
          <w:rStyle w:val="49"/>
          <w:rFonts w:hint="eastAsia" w:ascii="宋体" w:hAnsi="宋体" w:eastAsia="宋体" w:cs="宋体"/>
          <w:color w:val="auto"/>
          <w:sz w:val="21"/>
          <w:szCs w:val="21"/>
          <w:highlight w:val="none"/>
          <w:u w:val="single"/>
        </w:rPr>
        <w:tab/>
      </w:r>
      <w:r>
        <w:rPr>
          <w:rStyle w:val="49"/>
          <w:rFonts w:hint="eastAsia" w:ascii="宋体" w:hAnsi="宋体" w:eastAsia="宋体" w:cs="宋体"/>
          <w:color w:val="auto"/>
          <w:sz w:val="21"/>
          <w:szCs w:val="21"/>
          <w:highlight w:val="none"/>
          <w:u w:val="single"/>
        </w:rPr>
        <w:t>）</w:t>
      </w:r>
      <w:r>
        <w:rPr>
          <w:rStyle w:val="49"/>
          <w:rFonts w:hint="eastAsia" w:ascii="宋体" w:hAnsi="宋体" w:eastAsia="宋体" w:cs="宋体"/>
          <w:color w:val="auto"/>
          <w:sz w:val="21"/>
          <w:szCs w:val="21"/>
          <w:highlight w:val="none"/>
        </w:rPr>
        <w:t>。</w:t>
      </w:r>
    </w:p>
    <w:p w14:paraId="40A8F581">
      <w:pPr>
        <w:pStyle w:val="48"/>
        <w:pageBreakBefore w:val="0"/>
        <w:shd w:val="clear" w:color="auto" w:fill="auto"/>
        <w:tabs>
          <w:tab w:val="left" w:pos="1101"/>
        </w:tabs>
        <w:kinsoku/>
        <w:overflowPunct/>
        <w:topLinePunct w:val="0"/>
        <w:autoSpaceDE/>
        <w:autoSpaceDN/>
        <w:bidi w:val="0"/>
        <w:spacing w:before="0" w:line="360" w:lineRule="auto"/>
        <w:jc w:val="both"/>
        <w:textAlignment w:val="auto"/>
        <w:rPr>
          <w:rStyle w:val="49"/>
          <w:rFonts w:hint="eastAsia" w:ascii="宋体" w:hAnsi="宋体" w:eastAsia="宋体" w:cs="宋体"/>
          <w:color w:val="auto"/>
          <w:sz w:val="21"/>
          <w:szCs w:val="21"/>
          <w:highlight w:val="none"/>
        </w:rPr>
      </w:pPr>
      <w:r>
        <w:rPr>
          <w:rStyle w:val="49"/>
          <w:rFonts w:hint="eastAsia" w:ascii="宋体" w:hAnsi="宋体" w:eastAsia="宋体" w:cs="宋体"/>
          <w:color w:val="auto"/>
          <w:sz w:val="21"/>
          <w:szCs w:val="21"/>
          <w:highlight w:val="none"/>
          <w:lang w:val="en-US"/>
        </w:rPr>
        <w:t>4.合同价格形式：综合单价合同。</w:t>
      </w:r>
    </w:p>
    <w:p w14:paraId="06766A04">
      <w:pPr>
        <w:pStyle w:val="48"/>
        <w:pageBreakBefore w:val="0"/>
        <w:shd w:val="clear" w:color="auto" w:fill="auto"/>
        <w:tabs>
          <w:tab w:val="left" w:pos="1101"/>
        </w:tabs>
        <w:kinsoku/>
        <w:overflowPunct/>
        <w:topLinePunct w:val="0"/>
        <w:autoSpaceDE/>
        <w:autoSpaceDN/>
        <w:bidi w:val="0"/>
        <w:spacing w:before="0" w:line="360" w:lineRule="auto"/>
        <w:jc w:val="both"/>
        <w:textAlignment w:val="auto"/>
        <w:rPr>
          <w:rStyle w:val="49"/>
          <w:rFonts w:hint="eastAsia" w:ascii="宋体" w:hAnsi="宋体" w:eastAsia="宋体" w:cs="宋体"/>
          <w:color w:val="auto"/>
          <w:sz w:val="21"/>
          <w:szCs w:val="21"/>
          <w:highlight w:val="none"/>
        </w:rPr>
      </w:pPr>
      <w:r>
        <w:rPr>
          <w:rStyle w:val="49"/>
          <w:rFonts w:hint="eastAsia" w:ascii="宋体" w:hAnsi="宋体" w:eastAsia="宋体" w:cs="宋体"/>
          <w:color w:val="auto"/>
          <w:sz w:val="21"/>
          <w:szCs w:val="21"/>
          <w:highlight w:val="none"/>
          <w:lang w:val="en-US"/>
        </w:rPr>
        <w:t>5</w:t>
      </w:r>
      <w:r>
        <w:rPr>
          <w:rStyle w:val="49"/>
          <w:rFonts w:hint="eastAsia" w:ascii="宋体" w:hAnsi="宋体" w:eastAsia="宋体" w:cs="宋体"/>
          <w:color w:val="auto"/>
          <w:sz w:val="21"/>
          <w:szCs w:val="21"/>
          <w:highlight w:val="none"/>
        </w:rPr>
        <w:t>．承包人项目经理：</w:t>
      </w:r>
      <w:r>
        <w:rPr>
          <w:rStyle w:val="49"/>
          <w:rFonts w:hint="eastAsia" w:ascii="宋体" w:hAnsi="宋体" w:eastAsia="宋体" w:cs="宋体"/>
          <w:color w:val="auto"/>
          <w:sz w:val="21"/>
          <w:szCs w:val="21"/>
          <w:highlight w:val="none"/>
          <w:u w:val="single"/>
        </w:rPr>
        <w:t xml:space="preserve">                 </w:t>
      </w:r>
      <w:r>
        <w:rPr>
          <w:rStyle w:val="49"/>
          <w:rFonts w:hint="eastAsia" w:ascii="宋体" w:hAnsi="宋体" w:eastAsia="宋体" w:cs="宋体"/>
          <w:color w:val="auto"/>
          <w:sz w:val="21"/>
          <w:szCs w:val="21"/>
          <w:highlight w:val="none"/>
        </w:rPr>
        <w:t xml:space="preserve"> 。承包人项目总工：</w:t>
      </w:r>
      <w:r>
        <w:rPr>
          <w:rStyle w:val="49"/>
          <w:rFonts w:hint="eastAsia" w:ascii="宋体" w:hAnsi="宋体" w:eastAsia="宋体" w:cs="宋体"/>
          <w:color w:val="auto"/>
          <w:sz w:val="21"/>
          <w:szCs w:val="21"/>
          <w:highlight w:val="none"/>
          <w:u w:val="single"/>
        </w:rPr>
        <w:tab/>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lang w:val="en-US"/>
        </w:rPr>
        <w:t xml:space="preserve"> </w:t>
      </w:r>
      <w:r>
        <w:rPr>
          <w:rStyle w:val="49"/>
          <w:rFonts w:hint="eastAsia" w:ascii="宋体" w:hAnsi="宋体" w:eastAsia="宋体" w:cs="宋体"/>
          <w:color w:val="auto"/>
          <w:sz w:val="21"/>
          <w:szCs w:val="21"/>
          <w:highlight w:val="none"/>
        </w:rPr>
        <w:t>。</w:t>
      </w:r>
    </w:p>
    <w:p w14:paraId="14031410">
      <w:pPr>
        <w:pStyle w:val="48"/>
        <w:pageBreakBefore w:val="0"/>
        <w:shd w:val="clear" w:color="auto" w:fill="auto"/>
        <w:tabs>
          <w:tab w:val="left" w:pos="1098"/>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lang w:val="en-US"/>
        </w:rPr>
        <w:t>6</w:t>
      </w:r>
      <w:r>
        <w:rPr>
          <w:rStyle w:val="49"/>
          <w:rFonts w:hint="eastAsia" w:ascii="宋体" w:hAnsi="宋体" w:eastAsia="宋体" w:cs="宋体"/>
          <w:color w:val="auto"/>
          <w:sz w:val="21"/>
          <w:szCs w:val="21"/>
          <w:highlight w:val="none"/>
        </w:rPr>
        <w:t>．工程质量符合</w:t>
      </w:r>
      <w:r>
        <w:rPr>
          <w:rStyle w:val="49"/>
          <w:rFonts w:hint="eastAsia" w:ascii="宋体" w:hAnsi="宋体" w:eastAsia="宋体" w:cs="宋体"/>
          <w:color w:val="auto"/>
          <w:sz w:val="21"/>
          <w:szCs w:val="21"/>
          <w:highlight w:val="none"/>
          <w:u w:val="single"/>
        </w:rPr>
        <w:tab/>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标准。工程安全目标</w:t>
      </w:r>
      <w:r>
        <w:rPr>
          <w:rStyle w:val="49"/>
          <w:rFonts w:hint="eastAsia" w:ascii="宋体" w:hAnsi="宋体" w:eastAsia="宋体" w:cs="宋体"/>
          <w:color w:val="auto"/>
          <w:sz w:val="21"/>
          <w:szCs w:val="21"/>
          <w:highlight w:val="none"/>
          <w:u w:val="none"/>
        </w:rPr>
        <w:t>：</w:t>
      </w:r>
      <w:r>
        <w:rPr>
          <w:rStyle w:val="49"/>
          <w:rFonts w:hint="eastAsia" w:ascii="宋体" w:hAnsi="宋体" w:eastAsia="宋体" w:cs="宋体"/>
          <w:color w:val="auto"/>
          <w:sz w:val="21"/>
          <w:szCs w:val="21"/>
          <w:highlight w:val="none"/>
          <w:u w:val="single"/>
        </w:rPr>
        <w:tab/>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w:t>
      </w:r>
    </w:p>
    <w:p w14:paraId="0A7FD8B8">
      <w:pPr>
        <w:pStyle w:val="48"/>
        <w:pageBreakBefore w:val="0"/>
        <w:shd w:val="clear" w:color="auto" w:fill="auto"/>
        <w:tabs>
          <w:tab w:val="left" w:pos="1101"/>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lang w:val="en-US"/>
        </w:rPr>
        <w:t>7</w:t>
      </w:r>
      <w:r>
        <w:rPr>
          <w:rStyle w:val="49"/>
          <w:rFonts w:hint="eastAsia" w:ascii="宋体" w:hAnsi="宋体" w:eastAsia="宋体" w:cs="宋体"/>
          <w:color w:val="auto"/>
          <w:sz w:val="21"/>
          <w:szCs w:val="21"/>
          <w:highlight w:val="none"/>
        </w:rPr>
        <w:t>．承包人承诺按合同约定承担工程的实施、完成及缺陷修复。</w:t>
      </w:r>
    </w:p>
    <w:p w14:paraId="569B736A">
      <w:pPr>
        <w:pStyle w:val="48"/>
        <w:pageBreakBefore w:val="0"/>
        <w:shd w:val="clear" w:color="auto" w:fill="auto"/>
        <w:tabs>
          <w:tab w:val="left" w:pos="1101"/>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lang w:val="en-US"/>
        </w:rPr>
        <w:t>8</w:t>
      </w:r>
      <w:r>
        <w:rPr>
          <w:rStyle w:val="49"/>
          <w:rFonts w:hint="eastAsia" w:ascii="宋体" w:hAnsi="宋体" w:eastAsia="宋体" w:cs="宋体"/>
          <w:color w:val="auto"/>
          <w:sz w:val="21"/>
          <w:szCs w:val="21"/>
          <w:highlight w:val="none"/>
        </w:rPr>
        <w:t>．发包人承诺按合同约定的条件、时间和方式向承包人支付合同价款。</w:t>
      </w:r>
    </w:p>
    <w:p w14:paraId="63AA3753">
      <w:pPr>
        <w:pStyle w:val="48"/>
        <w:pageBreakBefore w:val="0"/>
        <w:shd w:val="clear" w:color="auto" w:fill="auto"/>
        <w:tabs>
          <w:tab w:val="left" w:pos="1109"/>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lang w:val="en-US"/>
        </w:rPr>
        <w:t>9</w:t>
      </w:r>
      <w:r>
        <w:rPr>
          <w:rStyle w:val="49"/>
          <w:rFonts w:hint="eastAsia" w:ascii="宋体" w:hAnsi="宋体" w:eastAsia="宋体" w:cs="宋体"/>
          <w:color w:val="auto"/>
          <w:sz w:val="21"/>
          <w:szCs w:val="21"/>
          <w:highlight w:val="none"/>
        </w:rPr>
        <w:t>．承包人应按照发包人指示开工，工期为_</w:t>
      </w:r>
      <w:r>
        <w:rPr>
          <w:rStyle w:val="49"/>
          <w:rFonts w:hint="eastAsia" w:ascii="宋体" w:hAnsi="宋体" w:eastAsia="宋体" w:cs="宋体"/>
          <w:color w:val="auto"/>
          <w:sz w:val="21"/>
          <w:szCs w:val="21"/>
          <w:highlight w:val="none"/>
          <w:u w:val="single"/>
        </w:rPr>
        <w:t xml:space="preserve">   </w:t>
      </w:r>
      <w:r>
        <w:rPr>
          <w:rStyle w:val="49"/>
          <w:rFonts w:hint="eastAsia" w:ascii="宋体" w:hAnsi="宋体" w:eastAsia="宋体" w:cs="宋体"/>
          <w:color w:val="auto"/>
          <w:sz w:val="21"/>
          <w:szCs w:val="21"/>
          <w:highlight w:val="none"/>
        </w:rPr>
        <w:t>日历天。</w:t>
      </w:r>
    </w:p>
    <w:p w14:paraId="57B19DBB">
      <w:pPr>
        <w:pStyle w:val="48"/>
        <w:pageBreakBefore w:val="0"/>
        <w:shd w:val="clear" w:color="auto" w:fill="auto"/>
        <w:tabs>
          <w:tab w:val="left" w:pos="1043"/>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lang w:val="en-US"/>
        </w:rPr>
        <w:t>10</w:t>
      </w:r>
      <w:r>
        <w:rPr>
          <w:rStyle w:val="49"/>
          <w:rFonts w:hint="eastAsia" w:ascii="宋体" w:hAnsi="宋体" w:eastAsia="宋体" w:cs="宋体"/>
          <w:color w:val="auto"/>
          <w:sz w:val="21"/>
          <w:szCs w:val="21"/>
          <w:highlight w:val="none"/>
        </w:rPr>
        <w:t>．本协议书在承包人提供履约保证金后，由双方法定代表人或其委托代理人签署并加盖单位章后生效。全部工程完工后经交工验收合格、缺陷责任期满签发缺 陷责任终止证书后失效。</w:t>
      </w:r>
    </w:p>
    <w:p w14:paraId="03A8F031">
      <w:pPr>
        <w:pStyle w:val="48"/>
        <w:pageBreakBefore w:val="0"/>
        <w:shd w:val="clear" w:color="auto" w:fill="auto"/>
        <w:tabs>
          <w:tab w:val="left" w:leader="underscore" w:pos="4168"/>
          <w:tab w:val="left" w:leader="underscore" w:pos="8283"/>
        </w:tabs>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1</w:t>
      </w:r>
      <w:r>
        <w:rPr>
          <w:rStyle w:val="49"/>
          <w:rFonts w:hint="eastAsia" w:ascii="宋体" w:hAnsi="宋体" w:eastAsia="宋体" w:cs="宋体"/>
          <w:color w:val="auto"/>
          <w:sz w:val="21"/>
          <w:szCs w:val="21"/>
          <w:highlight w:val="none"/>
          <w:lang w:val="en-US"/>
        </w:rPr>
        <w:t>1</w:t>
      </w:r>
      <w:r>
        <w:rPr>
          <w:rStyle w:val="49"/>
          <w:rFonts w:hint="eastAsia" w:ascii="宋体" w:hAnsi="宋体" w:eastAsia="宋体" w:cs="宋体"/>
          <w:color w:val="auto"/>
          <w:sz w:val="21"/>
          <w:szCs w:val="21"/>
          <w:highlight w:val="none"/>
        </w:rPr>
        <w:t>．本协议书正本二份、副本</w:t>
      </w:r>
      <w:r>
        <w:rPr>
          <w:rStyle w:val="49"/>
          <w:rFonts w:hint="eastAsia" w:ascii="宋体" w:hAnsi="宋体" w:eastAsia="宋体" w:cs="宋体"/>
          <w:color w:val="auto"/>
          <w:sz w:val="21"/>
          <w:szCs w:val="21"/>
          <w:highlight w:val="none"/>
        </w:rPr>
        <w:tab/>
      </w:r>
      <w:r>
        <w:rPr>
          <w:rStyle w:val="49"/>
          <w:rFonts w:hint="eastAsia" w:ascii="宋体" w:hAnsi="宋体" w:eastAsia="宋体" w:cs="宋体"/>
          <w:color w:val="auto"/>
          <w:sz w:val="21"/>
          <w:szCs w:val="21"/>
          <w:highlight w:val="none"/>
        </w:rPr>
        <w:t>份，合同双方各执正本一份，副本</w:t>
      </w:r>
      <w:r>
        <w:rPr>
          <w:rStyle w:val="49"/>
          <w:rFonts w:hint="eastAsia" w:ascii="宋体" w:hAnsi="宋体" w:eastAsia="宋体" w:cs="宋体"/>
          <w:color w:val="auto"/>
          <w:sz w:val="21"/>
          <w:szCs w:val="21"/>
          <w:highlight w:val="none"/>
        </w:rPr>
        <w:tab/>
      </w:r>
      <w:r>
        <w:rPr>
          <w:rStyle w:val="49"/>
          <w:rFonts w:hint="eastAsia" w:ascii="宋体" w:hAnsi="宋体" w:eastAsia="宋体" w:cs="宋体"/>
          <w:color w:val="auto"/>
          <w:sz w:val="21"/>
          <w:szCs w:val="21"/>
          <w:highlight w:val="none"/>
        </w:rPr>
        <w:t>份，</w:t>
      </w:r>
    </w:p>
    <w:p w14:paraId="0933875B">
      <w:pPr>
        <w:pStyle w:val="48"/>
        <w:pageBreakBefore w:val="0"/>
        <w:shd w:val="clear" w:color="auto" w:fill="auto"/>
        <w:kinsoku/>
        <w:overflowPunct/>
        <w:topLinePunct w:val="0"/>
        <w:autoSpaceDE/>
        <w:autoSpaceDN/>
        <w:bidi w:val="0"/>
        <w:spacing w:before="0"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当正本与副本的内容不一致时，以正本为准。</w:t>
      </w:r>
    </w:p>
    <w:p w14:paraId="63A510B0">
      <w:pPr>
        <w:numPr>
          <w:ilvl w:val="0"/>
          <w:numId w:val="7"/>
        </w:numPr>
        <w:bidi w:val="0"/>
        <w:rPr>
          <w:rFonts w:hint="eastAsia"/>
          <w:color w:val="auto"/>
          <w:highlight w:val="none"/>
        </w:rPr>
      </w:pPr>
      <w:r>
        <w:rPr>
          <w:rFonts w:hint="eastAsia"/>
          <w:color w:val="auto"/>
          <w:highlight w:val="none"/>
        </w:rPr>
        <w:t>合同未尽事宜，双方另行签订补充协议。补充协议是合同的组成部分。</w:t>
      </w:r>
    </w:p>
    <w:p w14:paraId="54F5B713">
      <w:pPr>
        <w:bidi w:val="0"/>
        <w:rPr>
          <w:rFonts w:hint="eastAsia" w:ascii="宋体" w:hAnsi="宋体" w:eastAsia="宋体" w:cs="宋体"/>
          <w:color w:val="auto"/>
          <w:highlight w:val="none"/>
        </w:rPr>
      </w:pPr>
    </w:p>
    <w:p w14:paraId="70CE3035">
      <w:pPr>
        <w:bidi w:val="0"/>
        <w:rPr>
          <w:rFonts w:hint="eastAsia" w:ascii="宋体" w:hAnsi="宋体" w:eastAsia="宋体" w:cs="宋体"/>
          <w:color w:val="auto"/>
          <w:highlight w:val="none"/>
        </w:rPr>
      </w:pPr>
      <w:r>
        <w:rPr>
          <w:rFonts w:hint="eastAsia" w:ascii="宋体" w:hAnsi="宋体" w:eastAsia="宋体" w:cs="宋体"/>
          <w:color w:val="auto"/>
          <w:highlight w:val="none"/>
        </w:rPr>
        <w:t>发包人：</w:t>
      </w:r>
      <w:r>
        <w:rPr>
          <w:rFonts w:hint="eastAsia" w:ascii="宋体" w:hAnsi="宋体" w:eastAsia="宋体" w:cs="宋体"/>
          <w:color w:val="auto"/>
          <w:highlight w:val="none"/>
        </w:rPr>
        <w:tab/>
      </w:r>
      <w:r>
        <w:rPr>
          <w:rFonts w:hint="eastAsia" w:ascii="宋体" w:hAnsi="宋体" w:eastAsia="宋体" w:cs="宋体"/>
          <w:color w:val="auto"/>
          <w:highlight w:val="none"/>
        </w:rPr>
        <w:t>（盖单位章）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承包人：</w:t>
      </w:r>
      <w:r>
        <w:rPr>
          <w:rFonts w:hint="eastAsia" w:ascii="宋体" w:hAnsi="宋体" w:eastAsia="宋体" w:cs="宋体"/>
          <w:color w:val="auto"/>
          <w:highlight w:val="none"/>
        </w:rPr>
        <w:tab/>
      </w:r>
      <w:r>
        <w:rPr>
          <w:rFonts w:hint="eastAsia" w:ascii="宋体" w:hAnsi="宋体" w:eastAsia="宋体" w:cs="宋体"/>
          <w:color w:val="auto"/>
          <w:highlight w:val="none"/>
        </w:rPr>
        <w:t>（盖单位章）</w:t>
      </w:r>
    </w:p>
    <w:p w14:paraId="20349497">
      <w:pPr>
        <w:pageBreakBefore w:val="0"/>
        <w:kinsoku/>
        <w:overflowPunct/>
        <w:topLinePunct w:val="0"/>
        <w:autoSpaceDE/>
        <w:autoSpaceDN/>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法定代表人或其委托代理人（签字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p>
    <w:p w14:paraId="0542D5CA">
      <w:pPr>
        <w:pageBreakBefore w:val="0"/>
        <w:kinsoku/>
        <w:overflowPunct/>
        <w:topLinePunct w:val="0"/>
        <w:autoSpaceDE/>
        <w:autoSpaceDN/>
        <w:bidi w:val="0"/>
        <w:spacing w:line="360" w:lineRule="auto"/>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经办人（签字或盖章）：                               经办人（签字或盖章）：</w:t>
      </w:r>
    </w:p>
    <w:p w14:paraId="5C44D738">
      <w:pPr>
        <w:pageBreakBefore w:val="0"/>
        <w:kinsoku/>
        <w:overflowPunct/>
        <w:topLinePunct w:val="0"/>
        <w:autoSpaceDE/>
        <w:autoSpaceDN/>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年  月  日</w:t>
      </w:r>
      <w:r>
        <w:rPr>
          <w:rFonts w:hint="eastAsia" w:ascii="宋体" w:hAnsi="宋体" w:eastAsia="宋体" w:cs="宋体"/>
          <w:color w:val="auto"/>
          <w:highlight w:val="none"/>
        </w:rPr>
        <w:tab/>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年  月  日</w:t>
      </w:r>
    </w:p>
    <w:p w14:paraId="398F65DA">
      <w:pPr>
        <w:rPr>
          <w:rFonts w:hint="eastAsia" w:ascii="宋体" w:hAnsi="宋体" w:eastAsia="宋体" w:cs="宋体"/>
          <w:color w:val="auto"/>
          <w:highlight w:val="none"/>
        </w:rPr>
      </w:pPr>
    </w:p>
    <w:p w14:paraId="5C7DAD28">
      <w:pPr>
        <w:pStyle w:val="4"/>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highlight w:val="none"/>
        </w:rPr>
        <w:t>第一节  通用合同条款</w:t>
      </w:r>
      <w:bookmarkEnd w:id="98"/>
      <w:bookmarkEnd w:id="99"/>
      <w:bookmarkEnd w:id="100"/>
      <w:bookmarkEnd w:id="101"/>
      <w:bookmarkEnd w:id="102"/>
      <w:bookmarkEnd w:id="103"/>
      <w:bookmarkEnd w:id="104"/>
    </w:p>
    <w:p w14:paraId="1014B2E9">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05" w:name="_Toc27832"/>
      <w:bookmarkStart w:id="106" w:name="_Toc122424184"/>
      <w:bookmarkStart w:id="107" w:name="_Toc122424433"/>
      <w:r>
        <w:rPr>
          <w:rFonts w:hint="eastAsia" w:ascii="宋体" w:hAnsi="宋体" w:eastAsia="宋体" w:cs="宋体"/>
          <w:color w:val="auto"/>
          <w:highlight w:val="none"/>
        </w:rPr>
        <w:t>1. 一般约定</w:t>
      </w:r>
      <w:bookmarkEnd w:id="105"/>
      <w:bookmarkEnd w:id="106"/>
      <w:bookmarkEnd w:id="107"/>
    </w:p>
    <w:p w14:paraId="6F1A430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08" w:name="_Toc20252"/>
      <w:r>
        <w:rPr>
          <w:rFonts w:hint="eastAsia" w:ascii="宋体" w:hAnsi="宋体" w:eastAsia="宋体" w:cs="宋体"/>
          <w:color w:val="auto"/>
          <w:highlight w:val="none"/>
        </w:rPr>
        <w:t>1.1 词语定义</w:t>
      </w:r>
      <w:bookmarkEnd w:id="108"/>
    </w:p>
    <w:p w14:paraId="4A9475C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通用合同条款、专用合同条款中的下列词语应具有本款所赋予的含义。</w:t>
      </w:r>
    </w:p>
    <w:p w14:paraId="1B9B6FA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 合同</w:t>
      </w:r>
    </w:p>
    <w:p w14:paraId="3E55CEF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1.1.1.1 合同文件（或称合同）：指合同协议书、中标通知书、投标函及投标函附录、专用合同条款、通用合同条款、技术标准和要求、图纸、已标价工程量清单，以及其他合同文件。</w:t>
      </w:r>
    </w:p>
    <w:p w14:paraId="1090719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1.1.1.2 合同协议书：指第1.5款所指的合同协议书。</w:t>
      </w:r>
    </w:p>
    <w:p w14:paraId="565E486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1.1.1.3 中标通知书：指发包人通知承包人中标的函件。</w:t>
      </w:r>
    </w:p>
    <w:p w14:paraId="3FC38F9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1.1.1.4 投标函：指构成合同文件组成部分的由承包人填写并签署的投标函。</w:t>
      </w:r>
    </w:p>
    <w:p w14:paraId="7925A7B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1.1.1.5 投标函附录：指附在投标函后构成合同文件的投标函附录。</w:t>
      </w:r>
    </w:p>
    <w:p w14:paraId="4258232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1.1.1.6 技术标准和要求：指构成合同文件组成部分的名为技术标准和要求的文件，包括合同双方当事人约定对其所作的修改或补充。</w:t>
      </w:r>
    </w:p>
    <w:p w14:paraId="73ACA47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1.1.1.7图纸：指包含在合同中的工程图纸，以及由发包人按合同约定提供的任何补充和修改的图纸，包括配套的说明。</w:t>
      </w:r>
    </w:p>
    <w:p w14:paraId="6428722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1.1.1.8 已标价工程量清单：指构成合同文件组成部分的由承包人按照规定的格式和要求填写并标明价格的工程量清单。</w:t>
      </w:r>
    </w:p>
    <w:p w14:paraId="2666F69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1.1.1.9 其他合同文件：指经合同双方当事人确认构成合同文件的其他文件。</w:t>
      </w:r>
    </w:p>
    <w:p w14:paraId="2A4E1F8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 合同当事人和人员</w:t>
      </w:r>
    </w:p>
    <w:p w14:paraId="7FE6917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1.1.2.1 合同当事人:指发包人和（或）承包人。</w:t>
      </w:r>
    </w:p>
    <w:p w14:paraId="26B7AD0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1.1.2.2 发包人：指专用合同条款中指明并与承包人在合同协议书中签字的当事人。</w:t>
      </w:r>
    </w:p>
    <w:p w14:paraId="7ED6047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1.1.2.3 承包人：指与发包人签订合同协议书的当事人。</w:t>
      </w:r>
    </w:p>
    <w:p w14:paraId="5A82E0D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1.1.2.4 承包人项目经理：指承包人派驻施工场地的全权负责人。</w:t>
      </w:r>
    </w:p>
    <w:p w14:paraId="20BFE04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1.1.2.5 分包人：指从承包人处分包合同中某一部分工程，并与其签订分包合同的分包人。</w:t>
      </w:r>
    </w:p>
    <w:p w14:paraId="2AB94DA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1.1.2.6 监理人：指在专用合同条款中指明的，受发包人委托对合同履行实施管理的法人或其他组织。</w:t>
      </w:r>
    </w:p>
    <w:p w14:paraId="4F62A2D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1.1.2.7 总监理工程师（总监）：指由监理人委派常驻施工场地对合同履行实施管理的全权负责人。</w:t>
      </w:r>
    </w:p>
    <w:p w14:paraId="6CEB7D6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2DE7792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1.1.3.1 工程：指永久工程和（或）临时工程。</w:t>
      </w:r>
    </w:p>
    <w:p w14:paraId="3564AF6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1.1.3.2 永久工程：指按合同约定建造并移交给发包人的工程，包括工程设备。</w:t>
      </w:r>
    </w:p>
    <w:p w14:paraId="64BD142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1.1.3.3 临时工程：指为完成合同约定的永久工程所修建的各类临时性工程，不包括施工设备。</w:t>
      </w:r>
    </w:p>
    <w:p w14:paraId="4863B6B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1.1.3.4 单位工程：指专用合同条款中指明特定范围的永久工程。</w:t>
      </w:r>
    </w:p>
    <w:p w14:paraId="113AE1E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1.1.3.5 工程设备：指构成或计划构成永久工程一部分的机电设备、金属结构设备、仪器装置及其他类似的设备和装置。</w:t>
      </w:r>
    </w:p>
    <w:p w14:paraId="59697BD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1.1.3.6 施工设备：指为完成合同约定的各项工作所需的设备、器具和其他物品，不包括临时工程和材料。</w:t>
      </w:r>
    </w:p>
    <w:p w14:paraId="3698DF2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1.1.3.7 临时设施：指为完成合同约定的各项工作所服务的临时性生产和生活设施。</w:t>
      </w:r>
    </w:p>
    <w:p w14:paraId="0AF8D68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1.1.3.8 承包人设备：指承包人自带的施工设备。</w:t>
      </w:r>
    </w:p>
    <w:p w14:paraId="09EBE6E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1.1.3.9 施工场地（或称工地、现场）：指用于合同工程施工的场所，以及在合同中指定作为施工场地组成部分的其他场所，包括永久占地和临时占地。</w:t>
      </w:r>
    </w:p>
    <w:p w14:paraId="209B30B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1.1.3.10 永久占地：指专用合同条款中指明为实施合同工程需永久占用的土地。</w:t>
      </w:r>
    </w:p>
    <w:p w14:paraId="6D1057B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1.1.3.11 临时占地：指专用合同条款中指明为实施合同工程需临时占用的土地。</w:t>
      </w:r>
    </w:p>
    <w:p w14:paraId="5F4C61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 日期</w:t>
      </w:r>
    </w:p>
    <w:p w14:paraId="2D09894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1.1.4.1 开工通知：指监理人按第11.1款通知承包人开工的函件。</w:t>
      </w:r>
    </w:p>
    <w:p w14:paraId="22A18F0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1.1.4.2 开工日期：指监理人按第11.1款发出的开工通知中写明的开工日期。</w:t>
      </w:r>
    </w:p>
    <w:p w14:paraId="514702B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1.1.4.3工期：指承包人在投标函中承诺的完成合同工程所需的期限，包括按第11.3款、第11.4款和第11.6款约定所作的变更。</w:t>
      </w:r>
    </w:p>
    <w:p w14:paraId="4368A85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1.1.4.4 竣工日期：指第1.1.4.3目约定工期届满时的日期。实际竣工日期以工程接收证书中写明的日期为准。</w:t>
      </w:r>
    </w:p>
    <w:p w14:paraId="32F5479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1.1.4.5 缺陷责任期：指履行第19.2款约定的缺陷责任的期限，具体期限由专用合同条款约定，包括根据第19.3款约定所作的延长。</w:t>
      </w:r>
    </w:p>
    <w:p w14:paraId="6621CD8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1.1.4.6 基准日期：指投标截止时间前28天的日期。</w:t>
      </w:r>
    </w:p>
    <w:p w14:paraId="64E5E19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1.1.4.7 天：除特别指明外，指日历天。合同中按天计算时间的，开始当天不计入，从次日开始计算。期限最后一天的截止时间为当天24:00。</w:t>
      </w:r>
    </w:p>
    <w:p w14:paraId="37A66B5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 合同价格和费用</w:t>
      </w:r>
    </w:p>
    <w:p w14:paraId="693DA5C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1.1.5.1 签约合同价：指签定合同时合同协议书中写明的，包括了暂列金额、暂估价的合同总金额。</w:t>
      </w:r>
    </w:p>
    <w:p w14:paraId="78465F8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1.1.5.2 合同价格：指承包人按合同约定完成了包括缺陷责任期内的全部承包工作后，发包人应付给承包人的金额，包括在履行合同过程中按合同约定进行的变更和调整。</w:t>
      </w:r>
    </w:p>
    <w:p w14:paraId="0D82ECE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1.1.5.3 费用：指为履行合同所发生的或将要发生的所有合理开支，包括管理费和应分摊的其他费用，但不包括利润。</w:t>
      </w:r>
    </w:p>
    <w:p w14:paraId="23AC9FF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1.1.5.4 暂列金额：指已标价工程量清单中所列的暂列金额，用于在签订协议书时尚未确定或不可预见变更的施工及其所需材料、工程设备、服务等的金额，包括以计日工方式支付的金额。</w:t>
      </w:r>
    </w:p>
    <w:p w14:paraId="2FC0CB5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1.1.5.5暂估价：指发包人在工程量清单中给定的用于支付必然发生但暂时不能确定价格的材料、设备以及专业工程的金额。</w:t>
      </w:r>
    </w:p>
    <w:p w14:paraId="7FAF926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1.1.5.6 计日工：指对零星工作采取的一种计价方式，按合同中的计日工子目及其单价计价付款。</w:t>
      </w:r>
    </w:p>
    <w:p w14:paraId="6248934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1.1.5.7 质量保证金（或称保留金）：指按第17.4.1项约定用于保证在缺陷责任期内履行缺陷修复义务的金额。</w:t>
      </w:r>
    </w:p>
    <w:p w14:paraId="514617C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 其他</w:t>
      </w:r>
    </w:p>
    <w:p w14:paraId="17B5ACE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1.1.6.1 书面形式：指合同文件、信函、电报、传真等可以有形地表现所载内容的形式。</w:t>
      </w:r>
    </w:p>
    <w:p w14:paraId="6ED4168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09" w:name="_Toc15769"/>
      <w:r>
        <w:rPr>
          <w:rFonts w:hint="eastAsia" w:ascii="宋体" w:hAnsi="宋体" w:eastAsia="宋体" w:cs="宋体"/>
          <w:color w:val="auto"/>
          <w:highlight w:val="none"/>
        </w:rPr>
        <w:t>1.2 语言文字</w:t>
      </w:r>
      <w:bookmarkEnd w:id="109"/>
    </w:p>
    <w:p w14:paraId="5E120FB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除专用术语外，合同使用的语言文字为中文。必要时专用术语应附有中文注释。</w:t>
      </w:r>
    </w:p>
    <w:p w14:paraId="367F6BA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0" w:name="_Toc11417"/>
      <w:r>
        <w:rPr>
          <w:rFonts w:hint="eastAsia" w:ascii="宋体" w:hAnsi="宋体" w:eastAsia="宋体" w:cs="宋体"/>
          <w:color w:val="auto"/>
          <w:highlight w:val="none"/>
        </w:rPr>
        <w:t>1.3 法律</w:t>
      </w:r>
      <w:bookmarkEnd w:id="110"/>
    </w:p>
    <w:p w14:paraId="6E94DEA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适用于合同的法律包括中华人民共和国法律、行政法规、部门规章，以及工程所在地的地方法规、自治条例、单行条例和地方政府规章。</w:t>
      </w:r>
    </w:p>
    <w:p w14:paraId="2714FBD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1" w:name="_Toc32224"/>
      <w:r>
        <w:rPr>
          <w:rFonts w:hint="eastAsia" w:ascii="宋体" w:hAnsi="宋体" w:eastAsia="宋体" w:cs="宋体"/>
          <w:color w:val="auto"/>
          <w:highlight w:val="none"/>
        </w:rPr>
        <w:t>1.4 合同文件的优先顺序</w:t>
      </w:r>
      <w:bookmarkEnd w:id="111"/>
    </w:p>
    <w:p w14:paraId="31C65D3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组成合同的各项文件应互相解释，互为说明。除专用合同条款另有约定外，解释合同文件的优先顺序如下：</w:t>
      </w:r>
    </w:p>
    <w:p w14:paraId="07A0B63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（1）合同协议书；</w:t>
      </w:r>
    </w:p>
    <w:p w14:paraId="770FB3B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（2）中标通知书；</w:t>
      </w:r>
    </w:p>
    <w:p w14:paraId="6A13619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（3）投标函及投标函附录；</w:t>
      </w:r>
    </w:p>
    <w:p w14:paraId="05E8588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（4）专用合同条款；</w:t>
      </w:r>
    </w:p>
    <w:p w14:paraId="2FD31AA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（5）通用合同条款；</w:t>
      </w:r>
    </w:p>
    <w:p w14:paraId="38CADEB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（6）技术标准和要求；</w:t>
      </w:r>
    </w:p>
    <w:p w14:paraId="3C88F32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（7）图纸；</w:t>
      </w:r>
    </w:p>
    <w:p w14:paraId="17A7BB6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（8）已标价工程量清单；</w:t>
      </w:r>
    </w:p>
    <w:p w14:paraId="566D818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（9）其他合同文件。</w:t>
      </w:r>
    </w:p>
    <w:p w14:paraId="0F58534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2" w:name="_Toc1568"/>
      <w:r>
        <w:rPr>
          <w:rFonts w:hint="eastAsia" w:ascii="宋体" w:hAnsi="宋体" w:eastAsia="宋体" w:cs="宋体"/>
          <w:color w:val="auto"/>
          <w:highlight w:val="none"/>
        </w:rPr>
        <w:t>1.5 合同协议书</w:t>
      </w:r>
      <w:bookmarkEnd w:id="112"/>
    </w:p>
    <w:p w14:paraId="7C0E633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承包人按中标通知书规定的时间与发包人签订合同协议书。除法律另有规定或合同另有约定外，发包人和承包人的法定代表人或其委托代理人在合同协议书上签字并盖单位章后，合同生效。</w:t>
      </w:r>
    </w:p>
    <w:p w14:paraId="7FE3387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3" w:name="_Toc13393"/>
      <w:r>
        <w:rPr>
          <w:rFonts w:hint="eastAsia" w:ascii="宋体" w:hAnsi="宋体" w:eastAsia="宋体" w:cs="宋体"/>
          <w:color w:val="auto"/>
          <w:highlight w:val="none"/>
        </w:rPr>
        <w:t>1.6 图纸和承包人文件</w:t>
      </w:r>
      <w:bookmarkEnd w:id="113"/>
    </w:p>
    <w:p w14:paraId="1002F6F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1.6.1图纸的提供</w:t>
      </w:r>
    </w:p>
    <w:p w14:paraId="4DDB320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除专用合同条款另有约定外，图纸应在合理的期限内按照合同约定的数量提供给承包人。由于发包人未按时提供图纸造成工期延误的，按第11.3款的约定办理。</w:t>
      </w:r>
    </w:p>
    <w:p w14:paraId="4611A2A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1.6.2 承包人提供的文件</w:t>
      </w:r>
    </w:p>
    <w:p w14:paraId="422A196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按专用合同条款约定由承包人提供的文件，包括部分工程的大样图、加工图等，承包人应按约定的数量和期限报送监理人。监理人应在专用合同条款约定的期限内批复。</w:t>
      </w:r>
    </w:p>
    <w:p w14:paraId="29DFAD3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1.6.3 图纸的修改</w:t>
      </w:r>
    </w:p>
    <w:p w14:paraId="0A7E5A8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3756882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1.6.4 图纸的错误</w:t>
      </w:r>
    </w:p>
    <w:p w14:paraId="0BB6ED2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承包人发现发包人提供的图纸存在明显错误或疏忽，应及时通知监理人。</w:t>
      </w:r>
    </w:p>
    <w:p w14:paraId="04A06C6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1.6.5 图纸和承包人文件的保管</w:t>
      </w:r>
    </w:p>
    <w:p w14:paraId="6F7AF72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监理人和承包人均应在施工场地各保存一套完整的包含第1.6.1项、第1.6.2项、第1.6.3项约定内容的图纸和承包人文件。</w:t>
      </w:r>
    </w:p>
    <w:p w14:paraId="40D3DDC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4" w:name="_Toc25436"/>
      <w:r>
        <w:rPr>
          <w:rFonts w:hint="eastAsia" w:ascii="宋体" w:hAnsi="宋体" w:eastAsia="宋体" w:cs="宋体"/>
          <w:color w:val="auto"/>
          <w:highlight w:val="none"/>
        </w:rPr>
        <w:t>1.7 联络</w:t>
      </w:r>
      <w:bookmarkEnd w:id="114"/>
    </w:p>
    <w:p w14:paraId="5D04453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1.7.1 与合同有关的通知、批准、证明、证书、指示、要求、请求、同意、意见、确定和决定等，均应采用书面形式。</w:t>
      </w:r>
    </w:p>
    <w:p w14:paraId="401837E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1.7.2 第1.7.1项中的通知、批准、证明、证书、指示、要求、请求、同意、意见、确定和决定等来往函件，均应在合同约定的期限内送达指定地点和接收人，并办理签收手续。</w:t>
      </w:r>
    </w:p>
    <w:p w14:paraId="43E0023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5" w:name="_Toc15893"/>
      <w:r>
        <w:rPr>
          <w:rFonts w:hint="eastAsia" w:ascii="宋体" w:hAnsi="宋体" w:eastAsia="宋体" w:cs="宋体"/>
          <w:color w:val="auto"/>
          <w:highlight w:val="none"/>
        </w:rPr>
        <w:t>1.8 转让</w:t>
      </w:r>
      <w:bookmarkEnd w:id="115"/>
    </w:p>
    <w:p w14:paraId="162A09B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除合同另有约定外，未经对方当事人同意，一方当事人不得将合同权利全部或部分转让给第三人，也不得全部或部分转移合同义务。</w:t>
      </w:r>
    </w:p>
    <w:p w14:paraId="37CC35E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6" w:name="_Toc30802"/>
      <w:r>
        <w:rPr>
          <w:rFonts w:hint="eastAsia" w:ascii="宋体" w:hAnsi="宋体" w:eastAsia="宋体" w:cs="宋体"/>
          <w:color w:val="auto"/>
          <w:highlight w:val="none"/>
        </w:rPr>
        <w:t>1.9 严禁贿赂</w:t>
      </w:r>
      <w:bookmarkEnd w:id="116"/>
    </w:p>
    <w:p w14:paraId="7B35172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合同双方当事人不得以贿赂或变相贿赂的方式，谋取不当利益或损害对方权益。因贿赂造成对方损失的，行为人应赔偿损失，并承担相应的法律责任。</w:t>
      </w:r>
    </w:p>
    <w:p w14:paraId="1EECDF8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7" w:name="_Toc9359"/>
      <w:r>
        <w:rPr>
          <w:rFonts w:hint="eastAsia" w:ascii="宋体" w:hAnsi="宋体" w:eastAsia="宋体" w:cs="宋体"/>
          <w:color w:val="auto"/>
          <w:highlight w:val="none"/>
        </w:rPr>
        <w:t>1.10 化石、文物</w:t>
      </w:r>
      <w:bookmarkEnd w:id="117"/>
    </w:p>
    <w:p w14:paraId="00215DC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3E12CD2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1.10.2 承包人发现文物后不及时报告或隐瞒不报，致使文物丢失或损坏的，应赔偿损失，并承担相应的法律责任。</w:t>
      </w:r>
    </w:p>
    <w:p w14:paraId="06B34FD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 专利技术</w:t>
      </w:r>
    </w:p>
    <w:p w14:paraId="0AC527B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1.11.1 承包人在使用任何材料、承包人设备、工程设备或采用施工工艺时，因侵犯专利权或其他知识产权所引起的责任，由承包人承担，但由于遵照发包人提供的设计或技术标准和要求引起的除外。</w:t>
      </w:r>
    </w:p>
    <w:p w14:paraId="451E7EF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1.11.2 承包人在投标文件中采用专利技术的，专利技术的使用费包含在投标报价内。</w:t>
      </w:r>
    </w:p>
    <w:p w14:paraId="25B6561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1.11.3 承包人的技术秘密和声明需要保密的资料和信息，发包人和监理人不得为合同以外的目的泄露给他人。</w:t>
      </w:r>
    </w:p>
    <w:p w14:paraId="6FBDC4A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18" w:name="_Toc8296"/>
      <w:r>
        <w:rPr>
          <w:rFonts w:hint="eastAsia" w:ascii="宋体" w:hAnsi="宋体" w:eastAsia="宋体" w:cs="宋体"/>
          <w:color w:val="auto"/>
          <w:highlight w:val="none"/>
        </w:rPr>
        <w:t>1.12 图纸和文件的保密</w:t>
      </w:r>
      <w:bookmarkEnd w:id="118"/>
    </w:p>
    <w:p w14:paraId="61F1F90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1.12.1 发包人提供的图纸和文件，未经发包人同意，承包人不得为合同以外的目的泄露给他人或公开发表与引用。</w:t>
      </w:r>
    </w:p>
    <w:p w14:paraId="0AA6968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1.12.2 承包人提供的文件，未经承包人同意，发包人和监理人不得为合同以外的目的泄露给他人或公开发表与引用。</w:t>
      </w:r>
    </w:p>
    <w:p w14:paraId="11B60628">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19" w:name="_Toc122424185"/>
      <w:bookmarkStart w:id="120" w:name="_Toc14047"/>
      <w:bookmarkStart w:id="121" w:name="_Toc122424434"/>
      <w:r>
        <w:rPr>
          <w:rFonts w:hint="eastAsia" w:ascii="宋体" w:hAnsi="宋体" w:eastAsia="宋体" w:cs="宋体"/>
          <w:color w:val="auto"/>
          <w:highlight w:val="none"/>
        </w:rPr>
        <w:t>2. 发包人义务</w:t>
      </w:r>
      <w:bookmarkEnd w:id="119"/>
      <w:bookmarkEnd w:id="120"/>
      <w:bookmarkEnd w:id="121"/>
    </w:p>
    <w:p w14:paraId="1DD2F65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2" w:name="_Toc29283"/>
      <w:r>
        <w:rPr>
          <w:rFonts w:hint="eastAsia" w:ascii="宋体" w:hAnsi="宋体" w:eastAsia="宋体" w:cs="宋体"/>
          <w:color w:val="auto"/>
          <w:highlight w:val="none"/>
        </w:rPr>
        <w:t>2.1 遵守法律</w:t>
      </w:r>
      <w:bookmarkEnd w:id="122"/>
    </w:p>
    <w:p w14:paraId="6AE9F4A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发包人在履行合同过程中应遵守法律，并保证承包人免于承担因发包人违反法律而引起的任何责任。</w:t>
      </w:r>
    </w:p>
    <w:p w14:paraId="448B3DD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3" w:name="_Toc11340"/>
      <w:r>
        <w:rPr>
          <w:rFonts w:hint="eastAsia" w:ascii="宋体" w:hAnsi="宋体" w:eastAsia="宋体" w:cs="宋体"/>
          <w:color w:val="auto"/>
          <w:highlight w:val="none"/>
        </w:rPr>
        <w:t>2.2 发出开工通知</w:t>
      </w:r>
      <w:bookmarkEnd w:id="123"/>
    </w:p>
    <w:p w14:paraId="3EAF46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发包人应委托监理人按第11.1款的约定向承包人发出开工通知。</w:t>
      </w:r>
    </w:p>
    <w:p w14:paraId="0B8C9E6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4" w:name="_Toc15775"/>
      <w:r>
        <w:rPr>
          <w:rFonts w:hint="eastAsia" w:ascii="宋体" w:hAnsi="宋体" w:eastAsia="宋体" w:cs="宋体"/>
          <w:color w:val="auto"/>
          <w:highlight w:val="none"/>
        </w:rPr>
        <w:t>2.3 提供施工场地</w:t>
      </w:r>
      <w:bookmarkEnd w:id="124"/>
    </w:p>
    <w:p w14:paraId="1718A32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发包人应按专用合同条款约定向承包人提供施工场地，以及施工场地内地下管线和地下设施等有关资料，并保证资料的真实、准确、完整。</w:t>
      </w:r>
    </w:p>
    <w:p w14:paraId="7D6073A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5" w:name="_Toc32559"/>
      <w:r>
        <w:rPr>
          <w:rFonts w:hint="eastAsia" w:ascii="宋体" w:hAnsi="宋体" w:eastAsia="宋体" w:cs="宋体"/>
          <w:color w:val="auto"/>
          <w:highlight w:val="none"/>
        </w:rPr>
        <w:t>2.4 协助承包人办理证件和批件</w:t>
      </w:r>
      <w:bookmarkEnd w:id="125"/>
    </w:p>
    <w:p w14:paraId="164B433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发包人应协助承包人办理法律规定的有关施工证件和批件。</w:t>
      </w:r>
    </w:p>
    <w:p w14:paraId="408AE14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6" w:name="_Toc467"/>
      <w:r>
        <w:rPr>
          <w:rFonts w:hint="eastAsia" w:ascii="宋体" w:hAnsi="宋体" w:eastAsia="宋体" w:cs="宋体"/>
          <w:color w:val="auto"/>
          <w:highlight w:val="none"/>
        </w:rPr>
        <w:t>2.5 组织设计交底</w:t>
      </w:r>
      <w:bookmarkEnd w:id="126"/>
    </w:p>
    <w:p w14:paraId="60C7686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发包人应根据合同进度计划，组织设计单位向承包人进行设计交底。</w:t>
      </w:r>
    </w:p>
    <w:p w14:paraId="12A2AC2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7" w:name="_Toc27676"/>
      <w:r>
        <w:rPr>
          <w:rFonts w:hint="eastAsia" w:ascii="宋体" w:hAnsi="宋体" w:eastAsia="宋体" w:cs="宋体"/>
          <w:color w:val="auto"/>
          <w:highlight w:val="none"/>
        </w:rPr>
        <w:t>2.6 支付合同价款</w:t>
      </w:r>
      <w:bookmarkEnd w:id="127"/>
    </w:p>
    <w:p w14:paraId="15062B8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发包人应按合同约定向承包人及时支付合同价款。</w:t>
      </w:r>
    </w:p>
    <w:p w14:paraId="5284F756">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8" w:name="_Toc15895"/>
      <w:r>
        <w:rPr>
          <w:rFonts w:hint="eastAsia" w:ascii="宋体" w:hAnsi="宋体" w:eastAsia="宋体" w:cs="宋体"/>
          <w:color w:val="auto"/>
          <w:highlight w:val="none"/>
        </w:rPr>
        <w:t>2.7 组织竣工验收</w:t>
      </w:r>
      <w:bookmarkEnd w:id="128"/>
    </w:p>
    <w:p w14:paraId="107D9E4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发包人应按合同约定及时组织竣工验收。</w:t>
      </w:r>
    </w:p>
    <w:p w14:paraId="2F5EEF7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29" w:name="_Toc8017"/>
      <w:r>
        <w:rPr>
          <w:rFonts w:hint="eastAsia" w:ascii="宋体" w:hAnsi="宋体" w:eastAsia="宋体" w:cs="宋体"/>
          <w:color w:val="auto"/>
          <w:highlight w:val="none"/>
        </w:rPr>
        <w:t>2.8 其他义务</w:t>
      </w:r>
      <w:bookmarkEnd w:id="129"/>
    </w:p>
    <w:p w14:paraId="24C2142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发包人应履行合同约定的其他义务。</w:t>
      </w:r>
    </w:p>
    <w:p w14:paraId="114B9627">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30" w:name="_Toc122424186"/>
      <w:bookmarkStart w:id="131" w:name="_Toc6416"/>
      <w:bookmarkStart w:id="132" w:name="_Toc122424435"/>
      <w:r>
        <w:rPr>
          <w:rFonts w:hint="eastAsia" w:ascii="宋体" w:hAnsi="宋体" w:eastAsia="宋体" w:cs="宋体"/>
          <w:color w:val="auto"/>
          <w:highlight w:val="none"/>
        </w:rPr>
        <w:t>3. 监理人</w:t>
      </w:r>
      <w:bookmarkEnd w:id="130"/>
      <w:bookmarkEnd w:id="131"/>
      <w:bookmarkEnd w:id="132"/>
    </w:p>
    <w:p w14:paraId="0EB657A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33" w:name="_Toc10941"/>
      <w:r>
        <w:rPr>
          <w:rFonts w:hint="eastAsia" w:ascii="宋体" w:hAnsi="宋体" w:eastAsia="宋体" w:cs="宋体"/>
          <w:color w:val="auto"/>
          <w:highlight w:val="none"/>
        </w:rPr>
        <w:t>3.1 监理人的职责和权力</w:t>
      </w:r>
      <w:bookmarkEnd w:id="133"/>
    </w:p>
    <w:p w14:paraId="557CC1E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3.1.1 监理人受发包人委托，享有合同约定的权力。监理人在行使某项权力前需要经发包人事先批准而通用合同条款没有指明的，应在专用合同条款中指明。</w:t>
      </w:r>
    </w:p>
    <w:p w14:paraId="7948719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3.1.2 监理人发出的任何指示应视为已得到发包人的批准，但监理人无权免除或变更合同约定的发包人和承包人的权利、义务和责任。</w:t>
      </w:r>
    </w:p>
    <w:p w14:paraId="4B92902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3.1.3 合同约定应由承包人承担的义务和责任，不因监理人对承包人提交文件的审查或批准，对工程、材料和设备的检查和检验，以及为实施监理作出的指示等职务行为而减轻或解除。</w:t>
      </w:r>
    </w:p>
    <w:p w14:paraId="2020176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34" w:name="_Toc13155"/>
      <w:r>
        <w:rPr>
          <w:rFonts w:hint="eastAsia" w:ascii="宋体" w:hAnsi="宋体" w:eastAsia="宋体" w:cs="宋体"/>
          <w:color w:val="auto"/>
          <w:highlight w:val="none"/>
        </w:rPr>
        <w:t>3.2 总监理工程师</w:t>
      </w:r>
      <w:bookmarkEnd w:id="134"/>
    </w:p>
    <w:p w14:paraId="4347B27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发包人应在发出开工通知前将总监理工程师的任命通知承包人。总监理工程师更换时，应在调离14天前通知承包人。总监理工程师短期离开施工场地的，应委派代表代行其职责，并通知承包人。</w:t>
      </w:r>
    </w:p>
    <w:p w14:paraId="06034A1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3.3 监理人员</w:t>
      </w:r>
    </w:p>
    <w:p w14:paraId="02D374E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287FA85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3.3.2 监理人员对承包人的任何工作、工程或其采用的材料和工程设备未在约定的或合理的期限内提出否定意见的，视为已获批准，但不影响监理人在以后拒绝该项工作、工程、材料或工程设备的权利。</w:t>
      </w:r>
    </w:p>
    <w:p w14:paraId="3DC53F7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3.3.3 承包人对总监理工程师授权的监理人员发出的指示有疑问的，可向总监理工程师提出书面异议，总监理工程师应在48小时内对该指示予以确认、更改或撤销。</w:t>
      </w:r>
    </w:p>
    <w:p w14:paraId="48D5E50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3.3.4 除专用合同条款另有约定外，总监理工程师不应将第3.5款约定应由总监理工程师作出确定的权力授权或委托给其他监理人员。</w:t>
      </w:r>
    </w:p>
    <w:p w14:paraId="3B0AA55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35" w:name="_Toc16098"/>
      <w:r>
        <w:rPr>
          <w:rFonts w:hint="eastAsia" w:ascii="宋体" w:hAnsi="宋体" w:eastAsia="宋体" w:cs="宋体"/>
          <w:color w:val="auto"/>
          <w:highlight w:val="none"/>
        </w:rPr>
        <w:t>3.4 监理人的指示</w:t>
      </w:r>
      <w:bookmarkEnd w:id="135"/>
    </w:p>
    <w:p w14:paraId="623F361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3.4.1 监理人应按第3.1款的约定向承包人发出指示，监理人的指示应盖有监理人授权的施工场地机构章，并由总监理工程师或总监理工程师按第3.3.1项约定授权的监理人员签字。</w:t>
      </w:r>
    </w:p>
    <w:p w14:paraId="5DC20A8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3.4.2 承包人收到监理人按第3.4.1项作出的指示后应遵照执行。指示构成变更的，应按第15条处理。</w:t>
      </w:r>
    </w:p>
    <w:p w14:paraId="063BCEC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1595201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3.4.4 除合同另有约定外，承包人只从总监理工程师或按第3.3.1项被授权的监理人员处取得指示。</w:t>
      </w:r>
    </w:p>
    <w:p w14:paraId="2B3EA66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3.4.5 由于监理人未能按合同约定发出指示、指示延误或指示错误而导致承包人费用增加和（或）工期延误的，由发包人承担赔偿责任。 </w:t>
      </w:r>
    </w:p>
    <w:p w14:paraId="18F12F1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36" w:name="_Toc22256"/>
      <w:r>
        <w:rPr>
          <w:rFonts w:hint="eastAsia" w:ascii="宋体" w:hAnsi="宋体" w:eastAsia="宋体" w:cs="宋体"/>
          <w:color w:val="auto"/>
          <w:highlight w:val="none"/>
        </w:rPr>
        <w:t>3.5 商定或确定</w:t>
      </w:r>
      <w:bookmarkEnd w:id="136"/>
    </w:p>
    <w:p w14:paraId="0633685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3.5.1合同约定总监理工程师应按照本款对任何事项进行商定或确定时，总监理工程师应与合同当事人协商，尽量达成一致。不能达成一致的，总监理工程师应认真研究后审慎确定。</w:t>
      </w:r>
    </w:p>
    <w:p w14:paraId="0BA524B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6894A4E9">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37" w:name="_Toc122424436"/>
      <w:bookmarkStart w:id="138" w:name="_Toc2069"/>
      <w:bookmarkStart w:id="139" w:name="_Toc122424187"/>
      <w:r>
        <w:rPr>
          <w:rFonts w:hint="eastAsia" w:ascii="宋体" w:hAnsi="宋体" w:eastAsia="宋体" w:cs="宋体"/>
          <w:color w:val="auto"/>
          <w:highlight w:val="none"/>
        </w:rPr>
        <w:t>4. 承包人</w:t>
      </w:r>
      <w:bookmarkEnd w:id="137"/>
      <w:bookmarkEnd w:id="138"/>
      <w:bookmarkEnd w:id="139"/>
    </w:p>
    <w:p w14:paraId="5729F53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0" w:name="_Toc20588"/>
      <w:r>
        <w:rPr>
          <w:rFonts w:hint="eastAsia" w:ascii="宋体" w:hAnsi="宋体" w:eastAsia="宋体" w:cs="宋体"/>
          <w:color w:val="auto"/>
          <w:highlight w:val="none"/>
        </w:rPr>
        <w:t>4.1 承包人的一般义务</w:t>
      </w:r>
      <w:bookmarkEnd w:id="140"/>
    </w:p>
    <w:p w14:paraId="3CB9608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4.1.1 遵守法律</w:t>
      </w:r>
    </w:p>
    <w:p w14:paraId="017A8BB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承包人在履行合同过程中应遵守法律，并保证发包人免于承担因承包人违反法律而引起的任何责任。</w:t>
      </w:r>
    </w:p>
    <w:p w14:paraId="05B819B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4.1.2 依法纳税</w:t>
      </w:r>
    </w:p>
    <w:p w14:paraId="4963EBC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承包人应按有关法律规定纳税，应缴纳的税金包括在合同价格内。</w:t>
      </w:r>
    </w:p>
    <w:p w14:paraId="7293A1F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4.1.3 完成各项承包工作</w:t>
      </w:r>
    </w:p>
    <w:p w14:paraId="52255B3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3F95752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4.1.4 对施工作业和施工方法的完备性负责</w:t>
      </w:r>
    </w:p>
    <w:p w14:paraId="5EE94FD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承包人应按合同约定的工作内容和施工进度要求，编制施工组织设计和施工措施计划，并对所有施工作业和施工方法的完备性和安全可靠性负责。</w:t>
      </w:r>
    </w:p>
    <w:p w14:paraId="23AFFF7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4.1.5 保证工程施工和人员的安全</w:t>
      </w:r>
    </w:p>
    <w:p w14:paraId="39F8107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承包人应按第9.2款约定采取施工安全措施，确保工程及其人员、材料、设备和设施的安全，防止因工程施工造成的人身伤害和财产损失。</w:t>
      </w:r>
    </w:p>
    <w:p w14:paraId="6B7E4E4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4.1.6 负责施工场地及其周边环境与生态的保护工作</w:t>
      </w:r>
    </w:p>
    <w:p w14:paraId="49F0E06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承包人应按照第9.4款约定负责施工场地及其周边环境与生态的保护工作。</w:t>
      </w:r>
    </w:p>
    <w:p w14:paraId="48986E0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4.1.7 避免施工对公众与他人的利益造成损害</w:t>
      </w:r>
    </w:p>
    <w:p w14:paraId="0B46980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C2713C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4.1.8 为他人提供方便</w:t>
      </w:r>
    </w:p>
    <w:p w14:paraId="34DEA5B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承包人应按监理人的指示为他人在施工场地或附近实施与工程有关的其他各项工作提供可能的条件。除合同另有约定外，提供有关条件的内容和可能发生的费用，由监理人按第3.5款商定或确定。</w:t>
      </w:r>
    </w:p>
    <w:p w14:paraId="55D9C6F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4.1.9 工程的维护和照管</w:t>
      </w:r>
    </w:p>
    <w:p w14:paraId="654D7B4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工程接收证书颁发前，承包人应负责照管和维护工程。工程接收证书颁发时尚有部分未竣工工程的，承包人还应负责该未竣工工程的照管和维护工作，直至竣工后移交给发包人为止。</w:t>
      </w:r>
    </w:p>
    <w:p w14:paraId="6494334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4.1.10 其他义务</w:t>
      </w:r>
    </w:p>
    <w:p w14:paraId="10162DD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承包人应履行合同约定的其他义务。</w:t>
      </w:r>
    </w:p>
    <w:p w14:paraId="046E452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1" w:name="_Toc19718"/>
      <w:r>
        <w:rPr>
          <w:rFonts w:hint="eastAsia" w:ascii="宋体" w:hAnsi="宋体" w:eastAsia="宋体" w:cs="宋体"/>
          <w:color w:val="auto"/>
          <w:highlight w:val="none"/>
        </w:rPr>
        <w:t>4.2 履约担保</w:t>
      </w:r>
      <w:bookmarkEnd w:id="141"/>
    </w:p>
    <w:p w14:paraId="6410567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承包人应保证其履约担保在发包人颁发工程接收证书前一直有效。发包人应在工程接收证书颁发后28天内把履约担保退还给承包人。</w:t>
      </w:r>
    </w:p>
    <w:p w14:paraId="64034F0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2" w:name="_Toc23431"/>
      <w:r>
        <w:rPr>
          <w:rFonts w:hint="eastAsia" w:ascii="宋体" w:hAnsi="宋体" w:eastAsia="宋体" w:cs="宋体"/>
          <w:color w:val="auto"/>
          <w:highlight w:val="none"/>
        </w:rPr>
        <w:t>4.3 分包</w:t>
      </w:r>
      <w:bookmarkEnd w:id="142"/>
    </w:p>
    <w:p w14:paraId="7C62F34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4.3.1 承包人不得将其承包的全部工程转包给第三人，或将其承包的全部工程肢解后以分包的名义转包给第三人。</w:t>
      </w:r>
    </w:p>
    <w:p w14:paraId="413A172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4.3.2 承包人不得将工程主体、关键性工作分包给第三人。除专用合同条款另有约定外，未经发包人同意，承包人不得将工程的其他部分或工作分包给第三人。</w:t>
      </w:r>
    </w:p>
    <w:p w14:paraId="2D50DDB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4.3.3 分包人的资格能力应与其分包工程的标准和规模相适应。</w:t>
      </w:r>
    </w:p>
    <w:p w14:paraId="351AAAD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4.3.4 按投标函附录约定分包工程的，承包人应向发包人和监理人提交分包合同副本。</w:t>
      </w:r>
    </w:p>
    <w:p w14:paraId="0499BC3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4.3.5 承包人应与分包人就分包工程向发包人承担连带责任。</w:t>
      </w:r>
    </w:p>
    <w:p w14:paraId="1E02B9F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3" w:name="_Toc21376"/>
      <w:r>
        <w:rPr>
          <w:rFonts w:hint="eastAsia" w:ascii="宋体" w:hAnsi="宋体" w:eastAsia="宋体" w:cs="宋体"/>
          <w:color w:val="auto"/>
          <w:highlight w:val="none"/>
        </w:rPr>
        <w:t>4.4 联合体</w:t>
      </w:r>
      <w:bookmarkEnd w:id="143"/>
    </w:p>
    <w:p w14:paraId="20EDB60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4.4.1 联合体各方应共同与发包人签订合同协议书。联合体各方应为履行合同承担连带责任。</w:t>
      </w:r>
    </w:p>
    <w:p w14:paraId="6F1910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4.4.2 联合体协议经发包人确认后作为合同附件。在履行合同过程中，未经发包人同意，不得修改联合体协议。</w:t>
      </w:r>
    </w:p>
    <w:p w14:paraId="4E2EF31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4.4.3 联合体牵头人负责与发包人和监理人联系，并接受指示，负责组织联合体各成员全面履行合同。</w:t>
      </w:r>
    </w:p>
    <w:p w14:paraId="432F5BE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4.5 承包人项目经理</w:t>
      </w:r>
    </w:p>
    <w:p w14:paraId="165587B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7DC6616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23BE037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4.5.3承包人为履行合同发出的一切函件均应盖有承包人授权的施工场地管理机构章，并由承包人项目经理或其授权代表签字。</w:t>
      </w:r>
    </w:p>
    <w:p w14:paraId="17D057F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4.5.4 承包人项目经理可以授权其下属人员履行其某项职责，但事先应将这些人员的姓名和授权范围通知监理人。</w:t>
      </w:r>
    </w:p>
    <w:p w14:paraId="56622A0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4" w:name="_Toc538"/>
      <w:r>
        <w:rPr>
          <w:rFonts w:hint="eastAsia" w:ascii="宋体" w:hAnsi="宋体" w:eastAsia="宋体" w:cs="宋体"/>
          <w:color w:val="auto"/>
          <w:highlight w:val="none"/>
        </w:rPr>
        <w:t>4.6 承包人人员的管理</w:t>
      </w:r>
      <w:bookmarkEnd w:id="144"/>
    </w:p>
    <w:p w14:paraId="2DD9D60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3742074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4.6.2 为完成合同约定的各项工作，承包人应向施工场地派遣或雇佣足够数量的下列人员：</w:t>
      </w:r>
    </w:p>
    <w:p w14:paraId="1ED4933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（1）具有相应资格的专业技工和合格的普工；</w:t>
      </w:r>
    </w:p>
    <w:p w14:paraId="471EBC5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（2）具有相应施工经验的技术人员；</w:t>
      </w:r>
    </w:p>
    <w:p w14:paraId="603ED88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（3）具有相应岗位资格的各级管理人员。</w:t>
      </w:r>
    </w:p>
    <w:p w14:paraId="3034DA3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4.6.3 承包人安排在施工场地的主要管理人员和技术骨干应相对稳定。承包人更换主要管理人员和技术骨干时，应取得监理人的同意。</w:t>
      </w:r>
    </w:p>
    <w:p w14:paraId="2160AD9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4.6.4 特殊岗位的工作人员均应持有相应的资格证明，监理人有权随时检查。监理人认为有必要时，可进行现场考核。</w:t>
      </w:r>
    </w:p>
    <w:p w14:paraId="23D7AA92">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5" w:name="_Toc31168"/>
      <w:r>
        <w:rPr>
          <w:rFonts w:hint="eastAsia" w:ascii="宋体" w:hAnsi="宋体" w:eastAsia="宋体" w:cs="宋体"/>
          <w:color w:val="auto"/>
          <w:highlight w:val="none"/>
        </w:rPr>
        <w:t>4.7 撤换承包人项目经理和其他人员</w:t>
      </w:r>
      <w:bookmarkEnd w:id="145"/>
    </w:p>
    <w:p w14:paraId="035EEBA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承包人应对其项目经理和其他人员进行有效管理。监理人要求撤换不能胜任本职工作、行为不端或玩忽职守的承包人项目经理和其他人员的，承包人应予以撤换。</w:t>
      </w:r>
    </w:p>
    <w:p w14:paraId="6D4BE50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6" w:name="_Toc6851"/>
      <w:r>
        <w:rPr>
          <w:rFonts w:hint="eastAsia" w:ascii="宋体" w:hAnsi="宋体" w:eastAsia="宋体" w:cs="宋体"/>
          <w:color w:val="auto"/>
          <w:highlight w:val="none"/>
        </w:rPr>
        <w:t>4.8 保障承包人人员的合法权益</w:t>
      </w:r>
      <w:bookmarkEnd w:id="146"/>
    </w:p>
    <w:p w14:paraId="73F99CD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4.8.1 承包人应与其雇佣的人员签订劳动合同，并按时发放工资。</w:t>
      </w:r>
    </w:p>
    <w:p w14:paraId="2D30E32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4.8.2 承包人应按劳动法的规定安排工作时间，保证其雇佣人员享有休息和休假的权利。因工程施工的特殊需要占用休假日或延长工作时间的，应不超过法律规定的限度，并按法律规定给予补休或付酬。</w:t>
      </w:r>
    </w:p>
    <w:p w14:paraId="772E16C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4.8.3 承包人应为其雇佣人员提供必要的食宿条件，以及符合环境保护和卫生要求的生活环境，在远离城镇的施工场地，还应配备必要的伤病防治和急救的医务人员与医疗设施。</w:t>
      </w:r>
    </w:p>
    <w:p w14:paraId="710806B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04462A1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4.8.5 承包人应按有关法律规定和合同约定，为其雇佣人员办理保险。</w:t>
      </w:r>
    </w:p>
    <w:p w14:paraId="232C0A8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4.8.6 承包人应负责处理其雇佣人员因工伤亡事故的善后事宜。</w:t>
      </w:r>
    </w:p>
    <w:p w14:paraId="679945E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7" w:name="_Toc25993"/>
      <w:r>
        <w:rPr>
          <w:rFonts w:hint="eastAsia" w:ascii="宋体" w:hAnsi="宋体" w:eastAsia="宋体" w:cs="宋体"/>
          <w:color w:val="auto"/>
          <w:highlight w:val="none"/>
        </w:rPr>
        <w:t>4.9 工程价款应专款专用</w:t>
      </w:r>
      <w:bookmarkEnd w:id="147"/>
    </w:p>
    <w:p w14:paraId="127951D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发包人按合同约定支付给承包人的各项价款应专用于合同工程。</w:t>
      </w:r>
    </w:p>
    <w:p w14:paraId="76CE471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8" w:name="_Toc27321"/>
      <w:r>
        <w:rPr>
          <w:rFonts w:hint="eastAsia" w:ascii="宋体" w:hAnsi="宋体" w:eastAsia="宋体" w:cs="宋体"/>
          <w:color w:val="auto"/>
          <w:highlight w:val="none"/>
        </w:rPr>
        <w:t>4.10 承包人现场查勘</w:t>
      </w:r>
      <w:bookmarkEnd w:id="148"/>
    </w:p>
    <w:p w14:paraId="2C38BB4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4.10.1 发包人应将其持有的现场地质勘探资料、水文气象资料提供给承包人，并对其准确性负责。但承包人应对其阅读上述有关资料后所作出的解释和推断负责。</w:t>
      </w:r>
    </w:p>
    <w:p w14:paraId="34FDA64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4EFAB9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49" w:name="_Toc7633"/>
      <w:r>
        <w:rPr>
          <w:rFonts w:hint="eastAsia" w:ascii="宋体" w:hAnsi="宋体" w:eastAsia="宋体" w:cs="宋体"/>
          <w:color w:val="auto"/>
          <w:highlight w:val="none"/>
        </w:rPr>
        <w:t>4.11 不利物质条件</w:t>
      </w:r>
      <w:bookmarkEnd w:id="149"/>
    </w:p>
    <w:p w14:paraId="622708E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4.11.1 不利物质条件，除专用合同条款另有约定外，是指承包人在施工场地遇到的不可预见的自然物质条件、非自然的物质障碍和污染物，包括地下和水文条件，但不包括气候条件。</w:t>
      </w:r>
    </w:p>
    <w:p w14:paraId="520E789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5679EAAB">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50" w:name="_Toc122424437"/>
      <w:bookmarkStart w:id="151" w:name="_Toc122424188"/>
      <w:r>
        <w:rPr>
          <w:rFonts w:hint="eastAsia" w:ascii="宋体" w:hAnsi="宋体" w:eastAsia="宋体" w:cs="宋体"/>
          <w:color w:val="auto"/>
          <w:highlight w:val="none"/>
        </w:rPr>
        <w:t>5. 材料和工程设备</w:t>
      </w:r>
      <w:bookmarkEnd w:id="150"/>
      <w:bookmarkEnd w:id="151"/>
    </w:p>
    <w:p w14:paraId="2A11A0C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52" w:name="_Toc17580"/>
      <w:r>
        <w:rPr>
          <w:rFonts w:hint="eastAsia" w:ascii="宋体" w:hAnsi="宋体" w:eastAsia="宋体" w:cs="宋体"/>
          <w:color w:val="auto"/>
          <w:highlight w:val="none"/>
        </w:rPr>
        <w:t>5.1 承包人提供的材料和工程设备</w:t>
      </w:r>
      <w:bookmarkEnd w:id="152"/>
    </w:p>
    <w:p w14:paraId="789F775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5.1.1 除专用合同条款另有约定外，承包人提供的材料和工程设备均由承包人负责采购、运输和保管。承包人应对其采购的材料和工程设备负责。</w:t>
      </w:r>
    </w:p>
    <w:p w14:paraId="4454D26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4535C9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67D667C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53" w:name="_Toc26086"/>
      <w:r>
        <w:rPr>
          <w:rFonts w:hint="eastAsia" w:ascii="宋体" w:hAnsi="宋体" w:eastAsia="宋体" w:cs="宋体"/>
          <w:color w:val="auto"/>
          <w:highlight w:val="none"/>
        </w:rPr>
        <w:t>5.2 发包人提供的材料和工程设备</w:t>
      </w:r>
      <w:bookmarkEnd w:id="153"/>
    </w:p>
    <w:p w14:paraId="13E72BA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5.2.1 发包人提供的材料和工程设备，应在专用合同条款中写明材料和工程设备的名称、规格、数量、价格、交货方式、交货地点和计划交货日期等。</w:t>
      </w:r>
    </w:p>
    <w:p w14:paraId="155F991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5.2.2 承包人应根据合同进度计划的安排，向监理人报送要求发包人交货的日期计划。发包人应按照监理人与合同双方当事人商定的交货日期，向承包人提交材料和工程设备。</w:t>
      </w:r>
    </w:p>
    <w:p w14:paraId="05AC6F4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3F7669E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5.2.4 发包人要求向承包人提前交货的，承包人不得拒绝，但发包人应承担承包人由此增加的费用。 </w:t>
      </w:r>
    </w:p>
    <w:p w14:paraId="6F9C005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5.2.5 承包人要求更改交货日期或地点的，应事先报请监理人批准。由于承包人要求更改交货时间或地点所增加的费用和（或）工期延误由承包人承担。 </w:t>
      </w:r>
    </w:p>
    <w:p w14:paraId="2A5A041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769F7DD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54" w:name="_Toc25028"/>
      <w:r>
        <w:rPr>
          <w:rFonts w:hint="eastAsia" w:ascii="宋体" w:hAnsi="宋体" w:eastAsia="宋体" w:cs="宋体"/>
          <w:color w:val="auto"/>
          <w:highlight w:val="none"/>
        </w:rPr>
        <w:t>5.3 材料和工程设备专用于合同工程</w:t>
      </w:r>
      <w:bookmarkEnd w:id="154"/>
    </w:p>
    <w:p w14:paraId="05D38E7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5.3.1运入施工场地的材料、工程设备，包括备品备件、安装专用工器具与随机资料，必须专用于合同工程，未经监理人同意，承包人不得运出施工场地或挪作他用。</w:t>
      </w:r>
    </w:p>
    <w:p w14:paraId="514328B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7625D60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55" w:name="_Toc14583"/>
      <w:r>
        <w:rPr>
          <w:rFonts w:hint="eastAsia" w:ascii="宋体" w:hAnsi="宋体" w:eastAsia="宋体" w:cs="宋体"/>
          <w:color w:val="auto"/>
          <w:highlight w:val="none"/>
        </w:rPr>
        <w:t>5.4 禁止使用不合格的材料和工程设备</w:t>
      </w:r>
      <w:bookmarkEnd w:id="155"/>
    </w:p>
    <w:p w14:paraId="251AFFE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5.4.1 监理人有权拒绝承包人提供的不合格材料或工程设备，并要求承包人立即进行更换。监理人应在更换后再次进行检查和检验，由此增加的费用和（或）工期延误由承包人承担。</w:t>
      </w:r>
    </w:p>
    <w:p w14:paraId="507830A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5.4.2 监理人发现承包人使用了不合格的材料和工程设备，应即时发出指示要求承包人立即改正，并禁止在工程中继续使用不合格的材料和工程设备。</w:t>
      </w:r>
    </w:p>
    <w:p w14:paraId="020B977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5.4.3 发包人提供的材料或工程设备不符合合同要求的，承包人有权拒绝，并可要求发包人更换，由此增加的费用和（或）工期延误由发包人承担。</w:t>
      </w:r>
    </w:p>
    <w:p w14:paraId="5CD08D8D">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56" w:name="_Toc122424189"/>
      <w:bookmarkStart w:id="157" w:name="_Toc22183"/>
      <w:bookmarkStart w:id="158" w:name="_Toc122424438"/>
      <w:r>
        <w:rPr>
          <w:rFonts w:hint="eastAsia" w:ascii="宋体" w:hAnsi="宋体" w:eastAsia="宋体" w:cs="宋体"/>
          <w:color w:val="auto"/>
          <w:highlight w:val="none"/>
        </w:rPr>
        <w:t>6. 施工设备和临时设施</w:t>
      </w:r>
      <w:bookmarkEnd w:id="156"/>
      <w:bookmarkEnd w:id="157"/>
      <w:bookmarkEnd w:id="158"/>
    </w:p>
    <w:p w14:paraId="6ACCE8F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59" w:name="_Toc18606"/>
      <w:r>
        <w:rPr>
          <w:rFonts w:hint="eastAsia" w:ascii="宋体" w:hAnsi="宋体" w:eastAsia="宋体" w:cs="宋体"/>
          <w:color w:val="auto"/>
          <w:highlight w:val="none"/>
        </w:rPr>
        <w:t>6.1 承包人提供的施工设备和临时设施</w:t>
      </w:r>
      <w:bookmarkEnd w:id="159"/>
    </w:p>
    <w:p w14:paraId="612836E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6.1.1 承包人应按合同进度计划的要求，及时配置施工设备和修建临时设施。进入施工场地的承包人设备需经监理人核查后才能投入使用。承包人更换合同约定的承包人设备的，应报监理人批准。</w:t>
      </w:r>
    </w:p>
    <w:p w14:paraId="2F39270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6.1.2除专用合同条款另有约定外，承包人应自行承担修建临时设施的费用，需要临时占地的，应由发包人办理申请手续并承担相应费用。</w:t>
      </w:r>
    </w:p>
    <w:p w14:paraId="4C72682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0" w:name="_Toc12933"/>
      <w:r>
        <w:rPr>
          <w:rFonts w:hint="eastAsia" w:ascii="宋体" w:hAnsi="宋体" w:eastAsia="宋体" w:cs="宋体"/>
          <w:color w:val="auto"/>
          <w:highlight w:val="none"/>
        </w:rPr>
        <w:t>6.2 发包人提供的施工设备和临时设施</w:t>
      </w:r>
      <w:bookmarkEnd w:id="160"/>
    </w:p>
    <w:p w14:paraId="1D3F531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发包人提供的施工设备或临时设施在专用合同条款中约定。</w:t>
      </w:r>
    </w:p>
    <w:p w14:paraId="51BD06C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1" w:name="_Toc4522"/>
      <w:r>
        <w:rPr>
          <w:rFonts w:hint="eastAsia" w:ascii="宋体" w:hAnsi="宋体" w:eastAsia="宋体" w:cs="宋体"/>
          <w:color w:val="auto"/>
          <w:highlight w:val="none"/>
        </w:rPr>
        <w:t>6.3 要求承包人增加或更换施工设备</w:t>
      </w:r>
      <w:bookmarkEnd w:id="161"/>
    </w:p>
    <w:p w14:paraId="477E9E6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承包人使用的施工设备不能满足合同进度计划和（或）质量要求时，监理人有权要求承包人增加或更换施工设备，承包人应及时增加或更换，由此增加的费用和（或）工期延误由承包人承担。</w:t>
      </w:r>
    </w:p>
    <w:p w14:paraId="2522304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2" w:name="_Toc18668"/>
      <w:r>
        <w:rPr>
          <w:rFonts w:hint="eastAsia" w:ascii="宋体" w:hAnsi="宋体" w:eastAsia="宋体" w:cs="宋体"/>
          <w:color w:val="auto"/>
          <w:highlight w:val="none"/>
        </w:rPr>
        <w:t>6.4 施工设备和临时设施专用于合同工程</w:t>
      </w:r>
      <w:bookmarkEnd w:id="162"/>
    </w:p>
    <w:p w14:paraId="1D04F6F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3219CC6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6.4.2 经监理人同意，承包人可根据合同进度计划撤走闲置的施工设备。</w:t>
      </w:r>
    </w:p>
    <w:p w14:paraId="61F0E382">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63" w:name="_Toc122424439"/>
      <w:bookmarkStart w:id="164" w:name="_Toc122424190"/>
      <w:bookmarkStart w:id="165" w:name="_Toc25865"/>
      <w:r>
        <w:rPr>
          <w:rFonts w:hint="eastAsia" w:ascii="宋体" w:hAnsi="宋体" w:eastAsia="宋体" w:cs="宋体"/>
          <w:color w:val="auto"/>
          <w:highlight w:val="none"/>
        </w:rPr>
        <w:t>7. 交通运输</w:t>
      </w:r>
      <w:bookmarkEnd w:id="163"/>
      <w:bookmarkEnd w:id="164"/>
      <w:bookmarkEnd w:id="165"/>
    </w:p>
    <w:p w14:paraId="4F5346D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6" w:name="_Toc19258"/>
      <w:r>
        <w:rPr>
          <w:rFonts w:hint="eastAsia" w:ascii="宋体" w:hAnsi="宋体" w:eastAsia="宋体" w:cs="宋体"/>
          <w:color w:val="auto"/>
          <w:highlight w:val="none"/>
        </w:rPr>
        <w:t>7.1 道路通行权和场外设施</w:t>
      </w:r>
      <w:bookmarkEnd w:id="166"/>
    </w:p>
    <w:p w14:paraId="00C190B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13F7EBAD">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7" w:name="_Toc10364"/>
      <w:r>
        <w:rPr>
          <w:rFonts w:hint="eastAsia" w:ascii="宋体" w:hAnsi="宋体" w:eastAsia="宋体" w:cs="宋体"/>
          <w:color w:val="auto"/>
          <w:highlight w:val="none"/>
        </w:rPr>
        <w:t>7.2 场内施工道路</w:t>
      </w:r>
      <w:bookmarkEnd w:id="167"/>
    </w:p>
    <w:p w14:paraId="240F925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7.2.1 除专用合同条款另有约定外，承包人应负责修建、维修、养护和管理施工所需的临时道路和交通设施，包括维修、养护和管理发包人提供的道路和交通设施，并承担相应费用。</w:t>
      </w:r>
    </w:p>
    <w:p w14:paraId="0BB27F7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7.2.2 除专用合同条款另有约定外，承包人修建的临时道路和交通设施应免费提供发包人和监理人使用。</w:t>
      </w:r>
    </w:p>
    <w:p w14:paraId="4C08735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8" w:name="_Toc25319"/>
      <w:r>
        <w:rPr>
          <w:rFonts w:hint="eastAsia" w:ascii="宋体" w:hAnsi="宋体" w:eastAsia="宋体" w:cs="宋体"/>
          <w:color w:val="auto"/>
          <w:highlight w:val="none"/>
        </w:rPr>
        <w:t>7.3 场外交通</w:t>
      </w:r>
      <w:bookmarkEnd w:id="168"/>
    </w:p>
    <w:p w14:paraId="19ECE3C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7.3.1 承包人车辆外出行驶所需的场外公共道路的通行费、养路费和税款等由承包人承担。</w:t>
      </w:r>
    </w:p>
    <w:p w14:paraId="26762DD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7.3.2 承包人应遵守有关交通法规，严格按照道路和桥梁的限制荷重安全行驶，并服从交通管理部门的检查和监督。</w:t>
      </w:r>
    </w:p>
    <w:p w14:paraId="58E90486">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7.4 超大件和超重件的运输</w:t>
      </w:r>
    </w:p>
    <w:p w14:paraId="3F6187F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5B5D9F0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69" w:name="_Toc31442"/>
      <w:r>
        <w:rPr>
          <w:rFonts w:hint="eastAsia" w:ascii="宋体" w:hAnsi="宋体" w:eastAsia="宋体" w:cs="宋体"/>
          <w:color w:val="auto"/>
          <w:highlight w:val="none"/>
        </w:rPr>
        <w:t>7.5 道路和桥梁的损坏责任</w:t>
      </w:r>
      <w:bookmarkEnd w:id="169"/>
    </w:p>
    <w:p w14:paraId="6FF3066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因承包人运输造成施工场地内外公共道路和桥梁损坏的，由承包人承担修复损坏的全部费用和可能引起的赔偿。</w:t>
      </w:r>
    </w:p>
    <w:p w14:paraId="7955DFE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70" w:name="_Toc15978"/>
      <w:r>
        <w:rPr>
          <w:rFonts w:hint="eastAsia" w:ascii="宋体" w:hAnsi="宋体" w:eastAsia="宋体" w:cs="宋体"/>
          <w:color w:val="auto"/>
          <w:highlight w:val="none"/>
        </w:rPr>
        <w:t>7.6 水路和航空运输</w:t>
      </w:r>
      <w:bookmarkEnd w:id="170"/>
    </w:p>
    <w:p w14:paraId="6CF0CAA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本条上述各款的内容适用于水路运输和航空运输，其中“道路”一词的涵义包括河道、航线、船闸、机场、码头、堤防以及水路或航空运输中其他相似结构物；“车辆”一词的涵义包括船舶和飞机等。 </w:t>
      </w:r>
    </w:p>
    <w:p w14:paraId="14F39009">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71" w:name="_Toc6195"/>
      <w:bookmarkStart w:id="172" w:name="_Toc122424440"/>
      <w:bookmarkStart w:id="173" w:name="_Toc122424191"/>
      <w:r>
        <w:rPr>
          <w:rFonts w:hint="eastAsia" w:ascii="宋体" w:hAnsi="宋体" w:eastAsia="宋体" w:cs="宋体"/>
          <w:color w:val="auto"/>
          <w:highlight w:val="none"/>
        </w:rPr>
        <w:t>8. 测量放线</w:t>
      </w:r>
      <w:bookmarkEnd w:id="171"/>
      <w:bookmarkEnd w:id="172"/>
      <w:bookmarkEnd w:id="173"/>
    </w:p>
    <w:p w14:paraId="42854152">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74" w:name="_Toc17175"/>
      <w:r>
        <w:rPr>
          <w:rFonts w:hint="eastAsia" w:ascii="宋体" w:hAnsi="宋体" w:eastAsia="宋体" w:cs="宋体"/>
          <w:color w:val="auto"/>
          <w:highlight w:val="none"/>
        </w:rPr>
        <w:t>8.1 施工控制网</w:t>
      </w:r>
      <w:bookmarkEnd w:id="174"/>
    </w:p>
    <w:p w14:paraId="036D130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3487C70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8.1.2承包人应负责管理施工控制网点。施工控制网点丢失或损坏的，承包人应及时修复。承包人应承担施工控制网点的管理与修复费用，并在工程竣工后将施工控制网点移交发包人。</w:t>
      </w:r>
    </w:p>
    <w:p w14:paraId="102EE25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75" w:name="_Toc26593"/>
      <w:r>
        <w:rPr>
          <w:rFonts w:hint="eastAsia" w:ascii="宋体" w:hAnsi="宋体" w:eastAsia="宋体" w:cs="宋体"/>
          <w:color w:val="auto"/>
          <w:highlight w:val="none"/>
        </w:rPr>
        <w:t>8.2 施工测量</w:t>
      </w:r>
      <w:bookmarkEnd w:id="175"/>
    </w:p>
    <w:p w14:paraId="5400564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8.2.1承包人应负责施工过程中的全部施工测量放线工作，并配置合格的人员、仪器、设备和其他物品。</w:t>
      </w:r>
    </w:p>
    <w:p w14:paraId="70DB8E3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8.2.2监理人可以指示承包人进行抽样复测，当复测中发现错误或出现超过合同约定的误差时，承包人应按监理人指示进行修正或补测，并承担相应的复测费用。</w:t>
      </w:r>
    </w:p>
    <w:p w14:paraId="1A04ACF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76" w:name="_Toc24208"/>
      <w:r>
        <w:rPr>
          <w:rFonts w:hint="eastAsia" w:ascii="宋体" w:hAnsi="宋体" w:eastAsia="宋体" w:cs="宋体"/>
          <w:color w:val="auto"/>
          <w:highlight w:val="none"/>
        </w:rPr>
        <w:t>8.3 基准资料错误的责任</w:t>
      </w:r>
      <w:bookmarkEnd w:id="176"/>
    </w:p>
    <w:p w14:paraId="096364D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502800B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77" w:name="_Toc2830"/>
      <w:r>
        <w:rPr>
          <w:rFonts w:hint="eastAsia" w:ascii="宋体" w:hAnsi="宋体" w:eastAsia="宋体" w:cs="宋体"/>
          <w:color w:val="auto"/>
          <w:highlight w:val="none"/>
        </w:rPr>
        <w:t>8.4 监理人使用施工控制网</w:t>
      </w:r>
      <w:bookmarkEnd w:id="177"/>
    </w:p>
    <w:p w14:paraId="3C130A8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监理人需要使用施工控制网的，承包人应提供必要的协助，发包人不再为此支付费用。</w:t>
      </w:r>
    </w:p>
    <w:p w14:paraId="69C73C53">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78" w:name="_Toc21731"/>
      <w:bookmarkStart w:id="179" w:name="_Toc122424441"/>
      <w:bookmarkStart w:id="180" w:name="_Toc122424192"/>
      <w:r>
        <w:rPr>
          <w:rFonts w:hint="eastAsia" w:ascii="宋体" w:hAnsi="宋体" w:eastAsia="宋体" w:cs="宋体"/>
          <w:color w:val="auto"/>
          <w:highlight w:val="none"/>
        </w:rPr>
        <w:t>9. 施工安全、治安保卫和环境保护</w:t>
      </w:r>
      <w:bookmarkEnd w:id="178"/>
      <w:bookmarkEnd w:id="179"/>
      <w:bookmarkEnd w:id="180"/>
    </w:p>
    <w:p w14:paraId="3D3C032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81" w:name="_Toc18091"/>
      <w:r>
        <w:rPr>
          <w:rFonts w:hint="eastAsia" w:ascii="宋体" w:hAnsi="宋体" w:eastAsia="宋体" w:cs="宋体"/>
          <w:color w:val="auto"/>
          <w:highlight w:val="none"/>
        </w:rPr>
        <w:t>9.1 发包人的施工安全责任</w:t>
      </w:r>
      <w:bookmarkEnd w:id="181"/>
    </w:p>
    <w:p w14:paraId="5F54E2C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9.1.1 发包人应按合同约定履行安全职责，授权监理人按合同约定的安全工作内容监督、检查承包人安全工作的实施，组织承包人和有关单位进行安全检查。</w:t>
      </w:r>
    </w:p>
    <w:p w14:paraId="13DEB8C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9.1.2 发包人应对其现场机构雇佣的全部人员的工伤事故承担责任，但由于承包人原因造成发包人人员工伤的，应由承包人承担责任。</w:t>
      </w:r>
    </w:p>
    <w:p w14:paraId="2607B0B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9.1.3 发包人应负责赔偿以下各种情况造成的第三者人身伤亡和财产损失：</w:t>
      </w:r>
    </w:p>
    <w:p w14:paraId="30AF850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 工程或工程的任何部分对土地的占用所造成的第三者财产损失；</w:t>
      </w:r>
    </w:p>
    <w:p w14:paraId="7413AEB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 由于发包人原因在施工场地及其毗邻地带造成的第三者人身伤亡和财产损失。</w:t>
      </w:r>
    </w:p>
    <w:p w14:paraId="58F1747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82" w:name="_Toc3052"/>
      <w:r>
        <w:rPr>
          <w:rFonts w:hint="eastAsia" w:ascii="宋体" w:hAnsi="宋体" w:eastAsia="宋体" w:cs="宋体"/>
          <w:color w:val="auto"/>
          <w:highlight w:val="none"/>
        </w:rPr>
        <w:t>9.2 承包人的施工安全责任</w:t>
      </w:r>
      <w:bookmarkEnd w:id="182"/>
    </w:p>
    <w:p w14:paraId="3464281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9.2.1 承包人应按合同约定履行安全职责,执行监理人有关安全工作的指示,并在专用合同条款约定的期限内，按合同约定的安全工作内容，编制施工安全措施计划报送监理人审批。</w:t>
      </w:r>
    </w:p>
    <w:p w14:paraId="39F6B64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9.2.2 承包人应加强施工作业安全管理，特别应加强易燃、易爆材料、火工器材、有毒与腐蚀性材料和其他危险品的管理，以及对爆破作业和地下工程施工等危险作业的管理。</w:t>
      </w:r>
    </w:p>
    <w:p w14:paraId="3D103D2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9.2.3 承包人应严格按照国家安全标准制定施工安全操作规程，配备必要的安全生产和劳动保护设施，加强对承包人人员的安全教育，并发放安全工作手册和劳动保护用具。</w:t>
      </w:r>
    </w:p>
    <w:p w14:paraId="40D72B7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9.2.4 承包人应按监理人的指示制定应对灾害的紧急预案，报送监理人审批。承包人还应按预案做好安全检查，配置必要的救助物资和器材，切实保护好有关人员的人身和财产安全。</w:t>
      </w:r>
    </w:p>
    <w:p w14:paraId="354FC10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13E204A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9.2.6 承包人应对其履行合同所雇佣的全部人员，包括分包人人员的工伤事故承担责任，但由于发包人原因造成承包人人员工伤事故的，应由发包人承担责任。</w:t>
      </w:r>
    </w:p>
    <w:p w14:paraId="21D00BA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9.2.7 由于承包人原因在施工场地内及其毗邻地带造成的第三者人员伤亡和财产损失，由承包人负责赔偿。</w:t>
      </w:r>
    </w:p>
    <w:p w14:paraId="220E5D4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83" w:name="_Toc4874"/>
      <w:r>
        <w:rPr>
          <w:rFonts w:hint="eastAsia" w:ascii="宋体" w:hAnsi="宋体" w:eastAsia="宋体" w:cs="宋体"/>
          <w:color w:val="auto"/>
          <w:highlight w:val="none"/>
        </w:rPr>
        <w:t>9.3 治安保卫</w:t>
      </w:r>
      <w:bookmarkEnd w:id="183"/>
    </w:p>
    <w:p w14:paraId="4DEB640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9.3.1 除合同另有约定外，发包人应与当地公安部门协商，在现场建立治安管理机构或联防组织，统一管理施工场地的治安保卫事项，履行合同工程的治安保卫职责。</w:t>
      </w:r>
    </w:p>
    <w:p w14:paraId="2AB8CB9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9.3.2 发包人和承包人除应协助现场治安管理机构或联防组织维护施工场地的社会治安外，还应做好包括生活区在内的各自管辖区的治安保卫工作。</w:t>
      </w:r>
    </w:p>
    <w:p w14:paraId="0D853F6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09ABB8A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84" w:name="_Toc17658"/>
      <w:r>
        <w:rPr>
          <w:rFonts w:hint="eastAsia" w:ascii="宋体" w:hAnsi="宋体" w:eastAsia="宋体" w:cs="宋体"/>
          <w:color w:val="auto"/>
          <w:highlight w:val="none"/>
        </w:rPr>
        <w:t>9.4 环境保护</w:t>
      </w:r>
      <w:bookmarkEnd w:id="184"/>
    </w:p>
    <w:p w14:paraId="3C5E3E0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9.4.1 承包人在施工过程中，应遵守有关环境保护的法律，履行合同约定的环境保护义务，并对违反法律和合同约定义务所造成的环境破坏、人身伤害和财产损失负责。</w:t>
      </w:r>
    </w:p>
    <w:p w14:paraId="2E710AA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9.4.2 承包人应按合同约定的环保工作内容，编制施工环保措施计划，报送监理人审批。</w:t>
      </w:r>
    </w:p>
    <w:p w14:paraId="7C7BFC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4C4BE85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9.4.4 承包人应按合同约定采取有效措施，对施工开挖的边坡及时进行支护,维护排水设施，并进行水土保护，避免因施工造成的地质灾害。</w:t>
      </w:r>
    </w:p>
    <w:p w14:paraId="4B8446D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9.4.5 承包人应按国家饮用水管理标准定期对饮用水源进行监测，防止施工活动污染饮用水源。</w:t>
      </w:r>
    </w:p>
    <w:p w14:paraId="52468CA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9.4.6 承包人应按合同约定，加强对噪声、粉尘、废气、废水和废油的控制，努力降低噪声，控制粉尘和废气浓度，做好废水和废油的治理和排放。</w:t>
      </w:r>
    </w:p>
    <w:p w14:paraId="4B9A41E6">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85" w:name="_Toc13694"/>
      <w:r>
        <w:rPr>
          <w:rFonts w:hint="eastAsia" w:ascii="宋体" w:hAnsi="宋体" w:eastAsia="宋体" w:cs="宋体"/>
          <w:color w:val="auto"/>
          <w:highlight w:val="none"/>
        </w:rPr>
        <w:t>9.5 事故处理</w:t>
      </w:r>
      <w:bookmarkEnd w:id="185"/>
    </w:p>
    <w:p w14:paraId="35E6EEF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583DCDF">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86" w:name="_Toc122424442"/>
      <w:bookmarkStart w:id="187" w:name="_Toc31845"/>
      <w:bookmarkStart w:id="188" w:name="_Toc122424193"/>
      <w:r>
        <w:rPr>
          <w:rFonts w:hint="eastAsia" w:ascii="宋体" w:hAnsi="宋体" w:eastAsia="宋体" w:cs="宋体"/>
          <w:color w:val="auto"/>
          <w:highlight w:val="none"/>
        </w:rPr>
        <w:t>10. 进度计划</w:t>
      </w:r>
      <w:bookmarkEnd w:id="186"/>
      <w:bookmarkEnd w:id="187"/>
      <w:bookmarkEnd w:id="188"/>
    </w:p>
    <w:p w14:paraId="0809C87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89" w:name="_Toc7174"/>
      <w:r>
        <w:rPr>
          <w:rFonts w:hint="eastAsia" w:ascii="宋体" w:hAnsi="宋体" w:eastAsia="宋体" w:cs="宋体"/>
          <w:color w:val="auto"/>
          <w:highlight w:val="none"/>
        </w:rPr>
        <w:t>10.1 合同进度计划</w:t>
      </w:r>
      <w:bookmarkEnd w:id="189"/>
    </w:p>
    <w:p w14:paraId="737410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39A27D9D">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0" w:name="_Toc26389"/>
      <w:r>
        <w:rPr>
          <w:rFonts w:hint="eastAsia" w:ascii="宋体" w:hAnsi="宋体" w:eastAsia="宋体" w:cs="宋体"/>
          <w:color w:val="auto"/>
          <w:highlight w:val="none"/>
        </w:rPr>
        <w:t>10.2 合同进度计划的修订</w:t>
      </w:r>
      <w:bookmarkEnd w:id="190"/>
    </w:p>
    <w:p w14:paraId="57DE056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36C4098C">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191" w:name="_Toc122424194"/>
      <w:bookmarkStart w:id="192" w:name="_Toc122424443"/>
      <w:bookmarkStart w:id="193" w:name="_Toc13126"/>
      <w:r>
        <w:rPr>
          <w:rFonts w:hint="eastAsia" w:ascii="宋体" w:hAnsi="宋体" w:eastAsia="宋体" w:cs="宋体"/>
          <w:color w:val="auto"/>
          <w:highlight w:val="none"/>
        </w:rPr>
        <w:t>11. 开工和竣工</w:t>
      </w:r>
      <w:bookmarkEnd w:id="191"/>
      <w:bookmarkEnd w:id="192"/>
      <w:bookmarkEnd w:id="193"/>
    </w:p>
    <w:p w14:paraId="6522B83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4" w:name="_Toc1292"/>
      <w:r>
        <w:rPr>
          <w:rFonts w:hint="eastAsia" w:ascii="宋体" w:hAnsi="宋体" w:eastAsia="宋体" w:cs="宋体"/>
          <w:color w:val="auto"/>
          <w:highlight w:val="none"/>
        </w:rPr>
        <w:t>11.1 开工</w:t>
      </w:r>
      <w:bookmarkEnd w:id="194"/>
    </w:p>
    <w:p w14:paraId="70E3425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11.1.1 监理人应在开工日期7天前向承包人发出开工通知。监理人在发出开工通知前应获得发包人同意。工期自监理人发出的开工通知中载明的开工日期起计算。承包人应在开工日期后尽快施工。</w:t>
      </w:r>
    </w:p>
    <w:p w14:paraId="5C63299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55C99D8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5" w:name="_Toc29021"/>
      <w:r>
        <w:rPr>
          <w:rFonts w:hint="eastAsia" w:ascii="宋体" w:hAnsi="宋体" w:eastAsia="宋体" w:cs="宋体"/>
          <w:color w:val="auto"/>
          <w:highlight w:val="none"/>
        </w:rPr>
        <w:t>11.2 竣工</w:t>
      </w:r>
      <w:bookmarkEnd w:id="195"/>
    </w:p>
    <w:p w14:paraId="70B372E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承包人应在第1.1.4.3目约定的期限内完成合同工程。实际竣工日期在接收证书中写明。</w:t>
      </w:r>
    </w:p>
    <w:p w14:paraId="5E842B4D">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6" w:name="_Toc14703"/>
      <w:r>
        <w:rPr>
          <w:rFonts w:hint="eastAsia" w:ascii="宋体" w:hAnsi="宋体" w:eastAsia="宋体" w:cs="宋体"/>
          <w:color w:val="auto"/>
          <w:highlight w:val="none"/>
        </w:rPr>
        <w:t>11.3 发包人的工期延误</w:t>
      </w:r>
      <w:bookmarkEnd w:id="196"/>
    </w:p>
    <w:p w14:paraId="5CCA30E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在履行合同过程中，由于发包人的下列原因造成工期延误的，承包人有权要求发包人延长工期和（或）增加费用，并支付合理利润。需要修订合同进度计划的，按照第10.2款的约定办理。</w:t>
      </w:r>
    </w:p>
    <w:p w14:paraId="2E6581C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（1）增加合同工作内容；</w:t>
      </w:r>
    </w:p>
    <w:p w14:paraId="099E8B5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（2）改变合同中任何一项工作的质量要求或其他特性；</w:t>
      </w:r>
    </w:p>
    <w:p w14:paraId="08ED2B5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（3）发包人迟延提供材料、工程设备或变更交货地点的；</w:t>
      </w:r>
    </w:p>
    <w:p w14:paraId="676E062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（4）因发包人原因导致的暂停施工；</w:t>
      </w:r>
    </w:p>
    <w:p w14:paraId="080412E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（5）提供图纸延误；</w:t>
      </w:r>
    </w:p>
    <w:p w14:paraId="58FE38C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（6）未按合同约定及时支付预付款、进度款；</w:t>
      </w:r>
    </w:p>
    <w:p w14:paraId="79C2B02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（7）发包人造成工期延误的其他原因。</w:t>
      </w:r>
    </w:p>
    <w:p w14:paraId="1B50630F">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7" w:name="_Toc25691"/>
      <w:r>
        <w:rPr>
          <w:rFonts w:hint="eastAsia" w:ascii="宋体" w:hAnsi="宋体" w:eastAsia="宋体" w:cs="宋体"/>
          <w:color w:val="auto"/>
          <w:highlight w:val="none"/>
        </w:rPr>
        <w:t>11.4 异常恶劣的气候条件</w:t>
      </w:r>
      <w:bookmarkEnd w:id="197"/>
    </w:p>
    <w:p w14:paraId="78427B1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由于出现专用合同条款规定的异常恶劣气候的条件导致工期延误的，承包人有权要求发包人延长工期。</w:t>
      </w:r>
    </w:p>
    <w:p w14:paraId="1C0BE6D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8" w:name="_Toc7073"/>
      <w:r>
        <w:rPr>
          <w:rFonts w:hint="eastAsia" w:ascii="宋体" w:hAnsi="宋体" w:eastAsia="宋体" w:cs="宋体"/>
          <w:color w:val="auto"/>
          <w:highlight w:val="none"/>
        </w:rPr>
        <w:t>11.5 承包人的工期延误</w:t>
      </w:r>
      <w:bookmarkEnd w:id="198"/>
    </w:p>
    <w:p w14:paraId="57C121F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7E99784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199" w:name="_Toc18781"/>
      <w:r>
        <w:rPr>
          <w:rFonts w:hint="eastAsia" w:ascii="宋体" w:hAnsi="宋体" w:eastAsia="宋体" w:cs="宋体"/>
          <w:color w:val="auto"/>
          <w:highlight w:val="none"/>
        </w:rPr>
        <w:t>11.6 工期提前</w:t>
      </w:r>
      <w:bookmarkEnd w:id="199"/>
    </w:p>
    <w:p w14:paraId="7358DB6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46A3EB33">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00" w:name="_Toc122424444"/>
      <w:bookmarkStart w:id="201" w:name="_Toc4718"/>
      <w:bookmarkStart w:id="202" w:name="_Toc122424195"/>
      <w:r>
        <w:rPr>
          <w:rFonts w:hint="eastAsia" w:ascii="宋体" w:hAnsi="宋体" w:eastAsia="宋体" w:cs="宋体"/>
          <w:color w:val="auto"/>
          <w:highlight w:val="none"/>
        </w:rPr>
        <w:t>12. 暂停施工</w:t>
      </w:r>
      <w:bookmarkEnd w:id="200"/>
      <w:bookmarkEnd w:id="201"/>
      <w:bookmarkEnd w:id="202"/>
    </w:p>
    <w:p w14:paraId="3DC0A596">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03" w:name="_Toc6557"/>
      <w:r>
        <w:rPr>
          <w:rFonts w:hint="eastAsia" w:ascii="宋体" w:hAnsi="宋体" w:eastAsia="宋体" w:cs="宋体"/>
          <w:color w:val="auto"/>
          <w:highlight w:val="none"/>
        </w:rPr>
        <w:t>12.1 承包人暂停施工的责任</w:t>
      </w:r>
      <w:bookmarkEnd w:id="203"/>
    </w:p>
    <w:p w14:paraId="5E35B57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因下列暂停施工增加的费用和（或）工期延误由承包人承担：</w:t>
      </w:r>
    </w:p>
    <w:p w14:paraId="1EB9CDC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（1）承包人违约引起的暂停施工；</w:t>
      </w:r>
    </w:p>
    <w:p w14:paraId="35EA393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（2）由于承包人原因为工程合理施工和安全保障所必需的暂停施工；</w:t>
      </w:r>
    </w:p>
    <w:p w14:paraId="09C8F7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（3）承包人擅自暂停施工；</w:t>
      </w:r>
    </w:p>
    <w:p w14:paraId="4C5D33C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（4）承包人其他原因引起的暂停施工；</w:t>
      </w:r>
    </w:p>
    <w:p w14:paraId="5694565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（5）专用合同条款约定由承包人承担的其他暂停施工。</w:t>
      </w:r>
    </w:p>
    <w:p w14:paraId="1B776442">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04" w:name="_Toc4441"/>
      <w:r>
        <w:rPr>
          <w:rFonts w:hint="eastAsia" w:ascii="宋体" w:hAnsi="宋体" w:eastAsia="宋体" w:cs="宋体"/>
          <w:color w:val="auto"/>
          <w:highlight w:val="none"/>
        </w:rPr>
        <w:t>12.2 发包人暂停施工的责任</w:t>
      </w:r>
      <w:bookmarkEnd w:id="204"/>
    </w:p>
    <w:p w14:paraId="4425657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由于发包人原因引起的暂停施工造成工期延误的，承包人有权要求发包人延长工期和（或）增加费用，并支付合理利润。</w:t>
      </w:r>
    </w:p>
    <w:p w14:paraId="1B418B2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05" w:name="_Toc9467"/>
      <w:r>
        <w:rPr>
          <w:rFonts w:hint="eastAsia" w:ascii="宋体" w:hAnsi="宋体" w:eastAsia="宋体" w:cs="宋体"/>
          <w:color w:val="auto"/>
          <w:highlight w:val="none"/>
        </w:rPr>
        <w:t>12.3 监理人暂停施工指示</w:t>
      </w:r>
      <w:bookmarkEnd w:id="205"/>
    </w:p>
    <w:p w14:paraId="72F1B9B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12.3.1 监理人认为有必要时，可向承包人作出暂停施工的指示，承包人应按监理人指示暂停施工。不论由于何种原因引起的暂停施工，暂停施工期间承包人应负责妥善保护工程并提供安全保障。</w:t>
      </w:r>
    </w:p>
    <w:p w14:paraId="5488A90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4CAFCC3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06" w:name="_Toc20870"/>
      <w:r>
        <w:rPr>
          <w:rFonts w:hint="eastAsia" w:ascii="宋体" w:hAnsi="宋体" w:eastAsia="宋体" w:cs="宋体"/>
          <w:color w:val="auto"/>
          <w:highlight w:val="none"/>
        </w:rPr>
        <w:t>12.4 暂停施工后的复工</w:t>
      </w:r>
      <w:bookmarkEnd w:id="206"/>
    </w:p>
    <w:p w14:paraId="72DEE60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0C91C10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12.4.2 承包人无故拖延和拒绝复工的，由此增加的费用和工期延误由承包人承担；因发包人原因无法按时复工的，承包人有权要求发包人延长工期和（或）增加费用，并支付合理利润。</w:t>
      </w:r>
    </w:p>
    <w:p w14:paraId="64D7326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07" w:name="_Toc19907"/>
      <w:r>
        <w:rPr>
          <w:rFonts w:hint="eastAsia" w:ascii="宋体" w:hAnsi="宋体" w:eastAsia="宋体" w:cs="宋体"/>
          <w:color w:val="auto"/>
          <w:highlight w:val="none"/>
        </w:rPr>
        <w:t>12.5 暂停施工持续56天以上</w:t>
      </w:r>
      <w:bookmarkEnd w:id="207"/>
    </w:p>
    <w:p w14:paraId="7F6A093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4DCEE3C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12.5.2 由于承包人责任引起的暂停施工，如承包人在收到监理人暂停施工指示后56天内不认真采取有效的复工措施，造成工期延误，可视为承包人违约，应按第22.1款的规定办理。</w:t>
      </w:r>
    </w:p>
    <w:p w14:paraId="49DB6B8C">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08" w:name="_Toc27358"/>
      <w:bookmarkStart w:id="209" w:name="_Toc122424196"/>
      <w:bookmarkStart w:id="210" w:name="_Toc122424445"/>
      <w:r>
        <w:rPr>
          <w:rFonts w:hint="eastAsia" w:ascii="宋体" w:hAnsi="宋体" w:eastAsia="宋体" w:cs="宋体"/>
          <w:color w:val="auto"/>
          <w:highlight w:val="none"/>
        </w:rPr>
        <w:t>13. 工程质量</w:t>
      </w:r>
      <w:bookmarkEnd w:id="208"/>
      <w:bookmarkEnd w:id="209"/>
      <w:bookmarkEnd w:id="210"/>
    </w:p>
    <w:p w14:paraId="7AC6EAE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11" w:name="_Toc22468"/>
      <w:r>
        <w:rPr>
          <w:rFonts w:hint="eastAsia" w:ascii="宋体" w:hAnsi="宋体" w:eastAsia="宋体" w:cs="宋体"/>
          <w:color w:val="auto"/>
          <w:highlight w:val="none"/>
        </w:rPr>
        <w:t>13.1 工程质量要求</w:t>
      </w:r>
      <w:bookmarkEnd w:id="211"/>
    </w:p>
    <w:p w14:paraId="6C08905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13.1.1 工程质量验收按合同约定验收标准执行。</w:t>
      </w:r>
    </w:p>
    <w:p w14:paraId="6851D40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13.1.2 因承包人原因造成工程质量达不到合同约定验收标准的，监理人有权要求承包人返工直至符合合同要求为止，由此造成的费用增加和（或）工期延误由承包人承担。</w:t>
      </w:r>
    </w:p>
    <w:p w14:paraId="1F5F135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13.1.3 因发包人原因造成工程质量达不到合同约定验收标准的，发包人应承担由于承包人返工造成的费用增加和（或）工期延误，并支付承包人合理利润。</w:t>
      </w:r>
    </w:p>
    <w:p w14:paraId="6F76996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12" w:name="_Toc5979"/>
      <w:r>
        <w:rPr>
          <w:rFonts w:hint="eastAsia" w:ascii="宋体" w:hAnsi="宋体" w:eastAsia="宋体" w:cs="宋体"/>
          <w:color w:val="auto"/>
          <w:highlight w:val="none"/>
        </w:rPr>
        <w:t>13.2 承包人的质量管理</w:t>
      </w:r>
      <w:bookmarkEnd w:id="212"/>
    </w:p>
    <w:p w14:paraId="414745C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6E83E17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13.2.2 承包人应加强对施工人员的质量教育和技术培训，定期考核施工人员的劳动技能，严格执行规范和操作规程。</w:t>
      </w:r>
    </w:p>
    <w:p w14:paraId="51F1CF0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13" w:name="_Toc3312"/>
      <w:r>
        <w:rPr>
          <w:rFonts w:hint="eastAsia" w:ascii="宋体" w:hAnsi="宋体" w:eastAsia="宋体" w:cs="宋体"/>
          <w:color w:val="auto"/>
          <w:highlight w:val="none"/>
        </w:rPr>
        <w:t>13.3 承包人的质量检查</w:t>
      </w:r>
      <w:bookmarkEnd w:id="213"/>
    </w:p>
    <w:p w14:paraId="2AD4262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承包人应按合同约定对材料、工程设备以及工程的所有部位及其施工工艺进行全过程的质量检查和检验，并作详细记录，编制工程质量报表，报送监理人审查。</w:t>
      </w:r>
    </w:p>
    <w:p w14:paraId="50B567C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14" w:name="_Toc31128"/>
      <w:r>
        <w:rPr>
          <w:rFonts w:hint="eastAsia" w:ascii="宋体" w:hAnsi="宋体" w:eastAsia="宋体" w:cs="宋体"/>
          <w:color w:val="auto"/>
          <w:highlight w:val="none"/>
        </w:rPr>
        <w:t>13.4 监理人的质量检查</w:t>
      </w:r>
      <w:bookmarkEnd w:id="214"/>
    </w:p>
    <w:p w14:paraId="2FF61AC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6DE26CCF">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15" w:name="_Toc19479"/>
      <w:r>
        <w:rPr>
          <w:rFonts w:hint="eastAsia" w:ascii="宋体" w:hAnsi="宋体" w:eastAsia="宋体" w:cs="宋体"/>
          <w:color w:val="auto"/>
          <w:highlight w:val="none"/>
        </w:rPr>
        <w:t>13.5 工程隐蔽部位覆盖前的检查</w:t>
      </w:r>
      <w:bookmarkEnd w:id="215"/>
    </w:p>
    <w:p w14:paraId="6389F37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13.5.1 通知监理人检查</w:t>
      </w:r>
    </w:p>
    <w:p w14:paraId="144524A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058BCAE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13.5.2 监理人未到场检查</w:t>
      </w:r>
    </w:p>
    <w:p w14:paraId="2C451E6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76A70F1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13.5.3 监理人重新检查</w:t>
      </w:r>
    </w:p>
    <w:p w14:paraId="2BE8453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25DB8C0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13.5.4 承包人私自覆盖</w:t>
      </w:r>
    </w:p>
    <w:p w14:paraId="2CA9E44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承包人未通知监理人到场检查，私自将工程隐蔽部位覆盖的，监理人有权指示承包人钻孔探测或揭开检查，由此增加的费用和（或）工期延误由承包人承担。</w:t>
      </w:r>
    </w:p>
    <w:p w14:paraId="3989606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16" w:name="_Toc18725"/>
      <w:r>
        <w:rPr>
          <w:rFonts w:hint="eastAsia" w:ascii="宋体" w:hAnsi="宋体" w:eastAsia="宋体" w:cs="宋体"/>
          <w:color w:val="auto"/>
          <w:highlight w:val="none"/>
        </w:rPr>
        <w:t>13.6 清除不合格工程</w:t>
      </w:r>
      <w:bookmarkEnd w:id="216"/>
    </w:p>
    <w:p w14:paraId="78BFF96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79F8D22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13.6.2 由于发包人提供的材料或工程设备不合格造成的工程不合格，需要承包人采取措施补救的，发包人应承担由此增加的费用和（或）工期延误，并支付承包人合理利润。</w:t>
      </w:r>
    </w:p>
    <w:p w14:paraId="492C3DDA">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17" w:name="_Toc122424197"/>
      <w:bookmarkStart w:id="218" w:name="_Toc122424446"/>
      <w:bookmarkStart w:id="219" w:name="_Toc31367"/>
      <w:r>
        <w:rPr>
          <w:rFonts w:hint="eastAsia" w:ascii="宋体" w:hAnsi="宋体" w:eastAsia="宋体" w:cs="宋体"/>
          <w:color w:val="auto"/>
          <w:highlight w:val="none"/>
        </w:rPr>
        <w:t>14. 试验和检验</w:t>
      </w:r>
      <w:bookmarkEnd w:id="217"/>
      <w:bookmarkEnd w:id="218"/>
      <w:bookmarkEnd w:id="219"/>
    </w:p>
    <w:p w14:paraId="1C997DA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0" w:name="_Toc6699"/>
      <w:r>
        <w:rPr>
          <w:rFonts w:hint="eastAsia" w:ascii="宋体" w:hAnsi="宋体" w:eastAsia="宋体" w:cs="宋体"/>
          <w:color w:val="auto"/>
          <w:highlight w:val="none"/>
        </w:rPr>
        <w:t>14.1 材料、工程设备和工程的试验和检验</w:t>
      </w:r>
      <w:bookmarkEnd w:id="220"/>
    </w:p>
    <w:p w14:paraId="6926457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55518A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14.1.2 监理人未按合同约定派员参加试验和检验的，除监理人另有指示外，承包人可自行试验和检验，并应立即将试验和检验结果报送监理人，监理人应签字确认。</w:t>
      </w:r>
    </w:p>
    <w:p w14:paraId="3CE5293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1DE5806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1" w:name="_Toc22418"/>
      <w:r>
        <w:rPr>
          <w:rFonts w:hint="eastAsia" w:ascii="宋体" w:hAnsi="宋体" w:eastAsia="宋体" w:cs="宋体"/>
          <w:color w:val="auto"/>
          <w:highlight w:val="none"/>
        </w:rPr>
        <w:t>14.2 现场材料试验</w:t>
      </w:r>
      <w:bookmarkEnd w:id="221"/>
    </w:p>
    <w:p w14:paraId="16FA81D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14.2.1 承包人根据合同约定或监理人指示进行的现场材料试验，应由承包人提供试验场所、试验人员、试验设备器材以及其他必要的试验条件。</w:t>
      </w:r>
    </w:p>
    <w:p w14:paraId="60EC7C7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14.2.2 监理人在必要时可以使用承包人的试验场所、试验设备器材以及其他试验条件，进行以工程质量检查为目的的复核性材料试验，承包人应予以协助。</w:t>
      </w:r>
    </w:p>
    <w:p w14:paraId="3251CCA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2" w:name="_Toc25433"/>
      <w:r>
        <w:rPr>
          <w:rFonts w:hint="eastAsia" w:ascii="宋体" w:hAnsi="宋体" w:eastAsia="宋体" w:cs="宋体"/>
          <w:color w:val="auto"/>
          <w:highlight w:val="none"/>
        </w:rPr>
        <w:t>14.3 现场工艺试验</w:t>
      </w:r>
      <w:bookmarkEnd w:id="222"/>
    </w:p>
    <w:p w14:paraId="68A9893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52E2DBC0">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23" w:name="_Toc122424447"/>
      <w:bookmarkStart w:id="224" w:name="_Toc122424198"/>
      <w:bookmarkStart w:id="225" w:name="_Toc26945"/>
      <w:r>
        <w:rPr>
          <w:rFonts w:hint="eastAsia" w:ascii="宋体" w:hAnsi="宋体" w:eastAsia="宋体" w:cs="宋体"/>
          <w:color w:val="auto"/>
          <w:highlight w:val="none"/>
        </w:rPr>
        <w:t>15. 变更</w:t>
      </w:r>
      <w:bookmarkEnd w:id="223"/>
      <w:bookmarkEnd w:id="224"/>
      <w:bookmarkEnd w:id="225"/>
    </w:p>
    <w:p w14:paraId="2626B62F">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6" w:name="_Toc15425"/>
      <w:r>
        <w:rPr>
          <w:rFonts w:hint="eastAsia" w:ascii="宋体" w:hAnsi="宋体" w:eastAsia="宋体" w:cs="宋体"/>
          <w:color w:val="auto"/>
          <w:highlight w:val="none"/>
        </w:rPr>
        <w:t>15.1 变更的范围和内容</w:t>
      </w:r>
      <w:bookmarkEnd w:id="226"/>
    </w:p>
    <w:p w14:paraId="5CE7C8C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除专用合同条款另有约定外，在履行合同中发生以下情形之一，应按照本条规定进行变更。</w:t>
      </w:r>
    </w:p>
    <w:p w14:paraId="2ED7E8F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（1）取消合同中任何一项工作，但被取消的工作不能转由发包人或其他人实施；</w:t>
      </w:r>
    </w:p>
    <w:p w14:paraId="7205C5A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（2）改变合同中任何一项工作的质量或其他特性；</w:t>
      </w:r>
    </w:p>
    <w:p w14:paraId="28FD97D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（3）改变合同工程的基线、标高、位置或尺寸；</w:t>
      </w:r>
    </w:p>
    <w:p w14:paraId="7BF221A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（4）改变合同中任何一项工作的施工时间或改变已批准的施工工艺或顺序；</w:t>
      </w:r>
    </w:p>
    <w:p w14:paraId="68BF6A3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（5）为完成工程需要追加的额外工作。</w:t>
      </w:r>
    </w:p>
    <w:p w14:paraId="4CD3F26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7" w:name="_Toc13258"/>
      <w:r>
        <w:rPr>
          <w:rFonts w:hint="eastAsia" w:ascii="宋体" w:hAnsi="宋体" w:eastAsia="宋体" w:cs="宋体"/>
          <w:color w:val="auto"/>
          <w:highlight w:val="none"/>
        </w:rPr>
        <w:t>15.2 变更权</w:t>
      </w:r>
      <w:bookmarkEnd w:id="227"/>
    </w:p>
    <w:p w14:paraId="35F97E2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在履行合同过程中，经发包人同意，监理人可按第15.3款约定的变更程序向承包人作出变更指示，承包人应遵照执行。没有监理人的变更指示，承包人不得擅自变更。</w:t>
      </w:r>
    </w:p>
    <w:p w14:paraId="0964B45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8" w:name="_Toc24454"/>
      <w:r>
        <w:rPr>
          <w:rFonts w:hint="eastAsia" w:ascii="宋体" w:hAnsi="宋体" w:eastAsia="宋体" w:cs="宋体"/>
          <w:color w:val="auto"/>
          <w:highlight w:val="none"/>
        </w:rPr>
        <w:t>15.3 变更程序</w:t>
      </w:r>
      <w:bookmarkEnd w:id="228"/>
    </w:p>
    <w:p w14:paraId="4096C9C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15.3.1 变更的提出</w:t>
      </w:r>
    </w:p>
    <w:p w14:paraId="5199B9D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1B5EF13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（2）在合同履行过程中，发生第15.1款约定情形的，监理人应按照第15.3.3项约定向承包人发出变更指示。</w:t>
      </w:r>
    </w:p>
    <w:p w14:paraId="1C70534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551DF42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（4）若承包人收到监理人的变更意向书后认为难以实施此项变更，应立即通知监理人，说明原因并附详细依据。监理人与承包人和发包人协商后确定撤销、改变或不改变原变更意向书。</w:t>
      </w:r>
    </w:p>
    <w:p w14:paraId="328E7D4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15.3.2 变更估价</w:t>
      </w:r>
    </w:p>
    <w:p w14:paraId="0DCACB0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2749B84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（2）变更工作影响工期的，承包人应提出调整工期的具体细节。监理人认为有必要时，可要求承包人提交要求提前或延长工期的施工进度计划及相应施工措施等详细资料。</w:t>
      </w:r>
    </w:p>
    <w:p w14:paraId="5430497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（3）除专用合同条款对期限另有约定外，监理人收到承包人变更报价书后的14天内，根据第15.4款约定的估价原则，按照第3.5款商定或确定变更价格。</w:t>
      </w:r>
    </w:p>
    <w:p w14:paraId="6BF929C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15.3.3 变更指示</w:t>
      </w:r>
    </w:p>
    <w:p w14:paraId="0C116DD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（1）变更指示只能由监理人发出。</w:t>
      </w:r>
    </w:p>
    <w:p w14:paraId="267E490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（2）变更指示应说明变更的目的、范围、变更内容以及变更的工程量及其进度和技术要求，并附有关图纸和文件。承包人收到变更指示后，应按变更指示进行变更工作。</w:t>
      </w:r>
    </w:p>
    <w:p w14:paraId="1992BBB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29" w:name="_Toc14717"/>
      <w:r>
        <w:rPr>
          <w:rFonts w:hint="eastAsia" w:ascii="宋体" w:hAnsi="宋体" w:eastAsia="宋体" w:cs="宋体"/>
          <w:color w:val="auto"/>
          <w:highlight w:val="none"/>
        </w:rPr>
        <w:t>15.4 变更的估价原则</w:t>
      </w:r>
      <w:bookmarkEnd w:id="229"/>
    </w:p>
    <w:p w14:paraId="4CB9C08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除专用合同条款另有约定外，因变更引起的价格调整按照本款约定处理。</w:t>
      </w:r>
    </w:p>
    <w:p w14:paraId="0F75632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15.4.1 已标价工程量清单中有适用于变更工作的子目的，采用该子目的单价。</w:t>
      </w:r>
    </w:p>
    <w:p w14:paraId="3469DCB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15.4.2 已标价工程量清单中无适用于变更工作的子目，但有类似子目的，可在合理范围内参照类似子目的单价，由监理人按第3.5款商定或确定变更工作的单价。</w:t>
      </w:r>
    </w:p>
    <w:p w14:paraId="23F7EA3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15.4.3 已标价工程量清单中无适用或类似子目的单价，可按照成本加利润的原则，由监理人按第3.5款商定或确定变更工作的单价。</w:t>
      </w:r>
    </w:p>
    <w:p w14:paraId="269AB58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30" w:name="_Toc6025"/>
      <w:r>
        <w:rPr>
          <w:rFonts w:hint="eastAsia" w:ascii="宋体" w:hAnsi="宋体" w:eastAsia="宋体" w:cs="宋体"/>
          <w:color w:val="auto"/>
          <w:highlight w:val="none"/>
        </w:rPr>
        <w:t>15.5 承包人的合理化建议</w:t>
      </w:r>
      <w:bookmarkEnd w:id="230"/>
    </w:p>
    <w:p w14:paraId="3C70EAD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482EEC6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15.5.2 承包人提出的合理化建议降低了合同价格、缩短了工期或者提高了工程经济效益的，发包人可按国家有关规定在专用合同条款中约定给予奖励。</w:t>
      </w:r>
    </w:p>
    <w:p w14:paraId="4ECC13D2">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31" w:name="_Toc28479"/>
      <w:r>
        <w:rPr>
          <w:rFonts w:hint="eastAsia" w:ascii="宋体" w:hAnsi="宋体" w:eastAsia="宋体" w:cs="宋体"/>
          <w:color w:val="auto"/>
          <w:highlight w:val="none"/>
        </w:rPr>
        <w:t>15.6 暂列金额</w:t>
      </w:r>
      <w:bookmarkEnd w:id="231"/>
    </w:p>
    <w:p w14:paraId="6A1D73C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暂列金额只能按照监理人的指示使用，并对合同价格进行相应调整。</w:t>
      </w:r>
    </w:p>
    <w:p w14:paraId="2C500AF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32" w:name="_Toc12668"/>
      <w:r>
        <w:rPr>
          <w:rFonts w:hint="eastAsia" w:ascii="宋体" w:hAnsi="宋体" w:eastAsia="宋体" w:cs="宋体"/>
          <w:color w:val="auto"/>
          <w:highlight w:val="none"/>
        </w:rPr>
        <w:t>15.7 计日工</w:t>
      </w:r>
      <w:bookmarkEnd w:id="232"/>
    </w:p>
    <w:p w14:paraId="40E2D68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15.7.1 发包人认为有必要时，由监理人通知承包人以计日工方式实施变更的零星工作。其价款按列入已标价工程量清单中的计日工计价子目及其单价进行计算。</w:t>
      </w:r>
    </w:p>
    <w:p w14:paraId="7AB67A2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15.7.2 采用计日工计价的任何一项变更工作，应从暂列金额中支付，承包人应在该项变更的实施过程中，每天提交以下报表和有关凭证报送监理人审批：</w:t>
      </w:r>
    </w:p>
    <w:p w14:paraId="07F4393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（1）工作名称、内容和数量；</w:t>
      </w:r>
    </w:p>
    <w:p w14:paraId="75389B7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（2）投入该工作所有人员的姓名、工种、级别和耗用工时；</w:t>
      </w:r>
    </w:p>
    <w:p w14:paraId="6913CED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（3）投入该工作的材料类别和数量；</w:t>
      </w:r>
    </w:p>
    <w:p w14:paraId="1725D72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（4）投入该工作的施工设备型号、台数和耗用台时；</w:t>
      </w:r>
    </w:p>
    <w:p w14:paraId="1FF4144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（5）监理人要求提交的其他资料和凭证。</w:t>
      </w:r>
    </w:p>
    <w:p w14:paraId="0EABBB4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15.7.3 计日工由承包人汇总后，按第17.3.2项的约定列入进度付款申请单，由监理人复核并经发包人同意后列入进度付款。</w:t>
      </w:r>
    </w:p>
    <w:p w14:paraId="3F1AD62D">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33" w:name="_Toc29143"/>
      <w:r>
        <w:rPr>
          <w:rFonts w:hint="eastAsia" w:ascii="宋体" w:hAnsi="宋体" w:eastAsia="宋体" w:cs="宋体"/>
          <w:color w:val="auto"/>
          <w:highlight w:val="none"/>
        </w:rPr>
        <w:t>15.8 暂估价</w:t>
      </w:r>
      <w:bookmarkEnd w:id="233"/>
    </w:p>
    <w:p w14:paraId="624F210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793D9DC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3201662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6F652849">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34" w:name="_Toc12800"/>
      <w:bookmarkStart w:id="235" w:name="_Toc122424448"/>
      <w:bookmarkStart w:id="236" w:name="_Toc122424199"/>
      <w:r>
        <w:rPr>
          <w:rFonts w:hint="eastAsia" w:ascii="宋体" w:hAnsi="宋体" w:eastAsia="宋体" w:cs="宋体"/>
          <w:color w:val="auto"/>
          <w:highlight w:val="none"/>
        </w:rPr>
        <w:t>16. 价格调整</w:t>
      </w:r>
      <w:bookmarkEnd w:id="234"/>
      <w:bookmarkEnd w:id="235"/>
      <w:bookmarkEnd w:id="236"/>
    </w:p>
    <w:p w14:paraId="60D6F642">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37" w:name="_Toc27279"/>
      <w:r>
        <w:rPr>
          <w:rFonts w:hint="eastAsia" w:ascii="宋体" w:hAnsi="宋体" w:eastAsia="宋体" w:cs="宋体"/>
          <w:color w:val="auto"/>
          <w:highlight w:val="none"/>
        </w:rPr>
        <w:t>16.1 物价波动引起的价格调整</w:t>
      </w:r>
      <w:bookmarkEnd w:id="237"/>
    </w:p>
    <w:p w14:paraId="4F9423F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除专用合同条款另有约定外，因物价波动引起的价格调整按照本款约定处理。</w:t>
      </w:r>
    </w:p>
    <w:p w14:paraId="2C4D6D7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16.1.1 采用价格指数调整价格差额</w:t>
      </w:r>
    </w:p>
    <w:p w14:paraId="6D4FF93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16.1.1.1 价格调整公式</w:t>
      </w:r>
    </w:p>
    <w:p w14:paraId="4E6BD8B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因人工、材料和设备等价格波动影响合同价格时，根据投标函附录中的价格指数和权重表约定的数据，按以下公式计算差额并调整合同价格。</w:t>
      </w:r>
    </w:p>
    <w:p w14:paraId="492F5D59">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position w:val="-34"/>
          <w:sz w:val="24"/>
          <w:highlight w:val="none"/>
        </w:rPr>
        <w:object>
          <v:shape id="_x0000_i1025" o:spt="75" type="#_x0000_t75" style="height:40.5pt;width:306pt;" o:ole="t" filled="f" o:preferrelative="t" stroked="f" coordsize="21600,21600">
            <v:path/>
            <v:fill on="f" focussize="0,0"/>
            <v:stroke on="f"/>
            <v:imagedata r:id="rId15" o:title=""/>
            <o:lock v:ext="edit" aspectratio="t"/>
            <w10:wrap type="none"/>
            <w10:anchorlock/>
          </v:shape>
          <o:OLEObject Type="Embed" ProgID="Equation.3" ShapeID="_x0000_i1025" DrawAspect="Content" ObjectID="_1468075725" r:id="rId14">
            <o:LockedField>false</o:LockedField>
          </o:OLEObject>
        </w:object>
      </w:r>
    </w:p>
    <w:p w14:paraId="40F95E3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式中： △P -- 需调整的价格差额；</w:t>
      </w:r>
    </w:p>
    <w:p w14:paraId="22B8629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0E46635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A -- 定值权重（即不调部分的权重）；</w:t>
      </w:r>
    </w:p>
    <w:p w14:paraId="592077E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B1; B2 ;B3·····Bn -- 各可调因子的变值权重（即可调部分的权重）为各可调因子在投标函投标总报价中所占的比例；</w:t>
      </w:r>
    </w:p>
    <w:p w14:paraId="77682AE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Ft1 ;Ft2 ;Ft3·····Ftn -- 各可调因子的现行价格指数，指第17.3.3项、第17.5.2项和第17.6.2项约定的付款证书相关周期最后一天的前42天的各可调因子的价格指数；</w:t>
      </w:r>
    </w:p>
    <w:p w14:paraId="20EE381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Fo1; Fo2; Fo3·····Fon -- 各可调因子的基本价格指数，指基准日期的各可调因子的价格指数。</w:t>
      </w:r>
    </w:p>
    <w:p w14:paraId="53BE149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244291F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16.1.1.2 暂时确定调整差额</w:t>
      </w:r>
    </w:p>
    <w:p w14:paraId="6FC48CD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在计算调整差额时得不到现行价格指数的，可暂用上一次价格指数计算，并在以后的付款中再按实际价格指数进行调整。</w:t>
      </w:r>
    </w:p>
    <w:p w14:paraId="06C8978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16.1.1.3 权重的调整</w:t>
      </w:r>
    </w:p>
    <w:p w14:paraId="3F1C273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按第15.1款约定的变更导致原定合同中的权重不合理时，由监理人与承包人和发包人协商后进行调整。</w:t>
      </w:r>
    </w:p>
    <w:p w14:paraId="620B315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16.1.1.4 承包人工期延误后的价格调整</w:t>
      </w:r>
    </w:p>
    <w:p w14:paraId="768F6EB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5E0F901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16.1.2 采用造价信息调整价格差额</w:t>
      </w:r>
    </w:p>
    <w:p w14:paraId="4D8555F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60250F1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38" w:name="_Toc8116"/>
      <w:r>
        <w:rPr>
          <w:rFonts w:hint="eastAsia" w:ascii="宋体" w:hAnsi="宋体" w:eastAsia="宋体" w:cs="宋体"/>
          <w:color w:val="auto"/>
          <w:highlight w:val="none"/>
        </w:rPr>
        <w:t>16.2 法律变化引起的价格调整</w:t>
      </w:r>
      <w:bookmarkEnd w:id="238"/>
    </w:p>
    <w:p w14:paraId="51E7AA4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50D0CEFB">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39" w:name="_Toc17915"/>
      <w:bookmarkStart w:id="240" w:name="_Toc122424449"/>
      <w:bookmarkStart w:id="241" w:name="_Toc122424200"/>
      <w:r>
        <w:rPr>
          <w:rFonts w:hint="eastAsia" w:ascii="宋体" w:hAnsi="宋体" w:eastAsia="宋体" w:cs="宋体"/>
          <w:color w:val="auto"/>
          <w:highlight w:val="none"/>
        </w:rPr>
        <w:t>17. 计量与支付</w:t>
      </w:r>
      <w:bookmarkEnd w:id="239"/>
      <w:bookmarkEnd w:id="240"/>
      <w:bookmarkEnd w:id="241"/>
    </w:p>
    <w:p w14:paraId="3BA0006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42" w:name="_Toc7023"/>
      <w:r>
        <w:rPr>
          <w:rFonts w:hint="eastAsia" w:ascii="宋体" w:hAnsi="宋体" w:eastAsia="宋体" w:cs="宋体"/>
          <w:color w:val="auto"/>
          <w:highlight w:val="none"/>
        </w:rPr>
        <w:t>17.1 计量</w:t>
      </w:r>
      <w:bookmarkEnd w:id="242"/>
    </w:p>
    <w:p w14:paraId="07C1EDD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17.1.1 计量单位</w:t>
      </w:r>
    </w:p>
    <w:p w14:paraId="39F6094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计量采用国家法定的计量单位。</w:t>
      </w:r>
    </w:p>
    <w:p w14:paraId="31D0157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17.1.2 计量方法</w:t>
      </w:r>
    </w:p>
    <w:p w14:paraId="679C736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工程量清单中的工程量计算规则应按有关国家标准、行业标准的规定，并在合同中约定执行。</w:t>
      </w:r>
    </w:p>
    <w:p w14:paraId="2826D19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17.1.3 计量周期</w:t>
      </w:r>
    </w:p>
    <w:p w14:paraId="62832FA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除专用合同条款另有约定外，单价子目已完成工程量按月计量，总价子目的计量周期按批准的支付分解报告确定。</w:t>
      </w:r>
    </w:p>
    <w:p w14:paraId="4626A0A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17.1.4 单价子目的计量</w:t>
      </w:r>
    </w:p>
    <w:p w14:paraId="62081B8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（1）已标价工程量清单中的单价子目工程量为估算工程量。结算工程量是承包人实际完成的，并按合同约定的计量方法进行计量的工程量。</w:t>
      </w:r>
    </w:p>
    <w:p w14:paraId="2CB31D0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（2）承包人对已完成的工程进行计量，向监理人提交进度付款申请单、已完成工程量报表和有关计量资料。</w:t>
      </w:r>
    </w:p>
    <w:p w14:paraId="2508EC4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100C6E4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（4）监理人认为有必要时，可通知承包人共同进行联合测量、计量，承包人应遵照执行。</w:t>
      </w:r>
    </w:p>
    <w:p w14:paraId="252755E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4DD933A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（6）监理人应在收到承包人提交的工程量报表后的7天内进行复核，监理人未在约定时间内复核的，承包人提交的工程量报表中的工程量视为承包人实际完成的工程量，据此计算工程价款。</w:t>
      </w:r>
    </w:p>
    <w:p w14:paraId="1F86279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17.1.5 总价子目的计量</w:t>
      </w:r>
    </w:p>
    <w:p w14:paraId="7AED0F7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除专用合同条款另有约定外，总价子目的分解和计量按照下述约定进行。</w:t>
      </w:r>
    </w:p>
    <w:p w14:paraId="3AD34A2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（1）总价子目的计量和支付应以总价为基础，不因第16.1款中的因素而进行调整。承包人实际完成的工程量，是进行工程目标管理和控制进度支付的依据。</w:t>
      </w:r>
    </w:p>
    <w:p w14:paraId="2648997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778BBAA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（3）监理人对承包人提交的上述资料进行复核，以确定分阶段实际完成的工程量和工程形象目标。对其有异议的，可要求承包人按第8.2款约定进行共同复核和抽样复测。</w:t>
      </w:r>
    </w:p>
    <w:p w14:paraId="7253C90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（4）除按照第15条约定的变更外，总价子目的工程量是承包人用于结算的最终工程量。 </w:t>
      </w:r>
    </w:p>
    <w:p w14:paraId="0143B37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43" w:name="_Toc13801"/>
      <w:r>
        <w:rPr>
          <w:rFonts w:hint="eastAsia" w:ascii="宋体" w:hAnsi="宋体" w:eastAsia="宋体" w:cs="宋体"/>
          <w:color w:val="auto"/>
          <w:highlight w:val="none"/>
        </w:rPr>
        <w:t>17.2 预付款</w:t>
      </w:r>
      <w:bookmarkEnd w:id="243"/>
    </w:p>
    <w:p w14:paraId="0FA74DC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17.2.1 预付款</w:t>
      </w:r>
    </w:p>
    <w:p w14:paraId="545A550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预付款用于承包人为合同工程施工购置材料、工程设备、施工设备、修建临时设施以及组织施工队伍进场等。预付款的额度和预付办法在专用合同条款中约定。预付款必须专用于合同工程。</w:t>
      </w:r>
    </w:p>
    <w:p w14:paraId="232B246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17.2.2 预付款保函</w:t>
      </w:r>
    </w:p>
    <w:p w14:paraId="6EAADBD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除专用合同条款另有约定外，承包人应在收到预付款的同时向发包人提交预付款保函，预付款保函的担保金额应与预付款金额相同。保函的担保金额可根据预付款扣回的金额相应递减。</w:t>
      </w:r>
    </w:p>
    <w:p w14:paraId="7BB35C5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17.2.3 预付款的扣回与还清</w:t>
      </w:r>
    </w:p>
    <w:p w14:paraId="3B47630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预付款在进度付款中扣回，扣回办法在专用合同条款中约定。在颁发工程接收证书前，由于不可抗力或其他原因解除合同时，预付款尚未扣清的，尚未扣清的预付款余额应作为承包人的到期应付款。</w:t>
      </w:r>
    </w:p>
    <w:p w14:paraId="115EFF8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44" w:name="_Toc31468"/>
      <w:r>
        <w:rPr>
          <w:rFonts w:hint="eastAsia" w:ascii="宋体" w:hAnsi="宋体" w:eastAsia="宋体" w:cs="宋体"/>
          <w:color w:val="auto"/>
          <w:highlight w:val="none"/>
        </w:rPr>
        <w:t>17.3 工程进度付款</w:t>
      </w:r>
      <w:bookmarkEnd w:id="244"/>
    </w:p>
    <w:p w14:paraId="78EDC58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17.3.1 付款周期</w:t>
      </w:r>
    </w:p>
    <w:p w14:paraId="5B51696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付款周期同计量周期。</w:t>
      </w:r>
    </w:p>
    <w:p w14:paraId="6275F82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17.3.2 进度付款申请单</w:t>
      </w:r>
    </w:p>
    <w:p w14:paraId="089A740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01DEEC4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（1）截至本次付款周期末已实施工程的价款；</w:t>
      </w:r>
    </w:p>
    <w:p w14:paraId="762DD16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（2）根据第15条应增加和扣减的变更金额；</w:t>
      </w:r>
    </w:p>
    <w:p w14:paraId="59B0B68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（3）根据第23条应增加和扣减的索赔金额；</w:t>
      </w:r>
    </w:p>
    <w:p w14:paraId="5AC3CB4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（4）根据第17.2款约定应支付的预付款和扣减的返还预付款；</w:t>
      </w:r>
    </w:p>
    <w:p w14:paraId="3BF81F0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（5）根据第17.4.1项约定应扣减的质量保证金；</w:t>
      </w:r>
    </w:p>
    <w:p w14:paraId="062A547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（6）根据合同应增加和扣减的其他金额。</w:t>
      </w:r>
    </w:p>
    <w:p w14:paraId="59E1B0F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17.3.3 进度付款证书和支付时间</w:t>
      </w:r>
    </w:p>
    <w:p w14:paraId="035DC30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C97253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（2）发包人应在监理人收到进度付款申请单后的28天内，将进度应付款支付给承包人。发包人不按期支付的，按专用合同条款的约定支付逾期付款违约金。</w:t>
      </w:r>
    </w:p>
    <w:p w14:paraId="29CFD38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（3）监理人出具进度付款证书，不应视为监理人已同意、批准或接受了承包人完成的该部分工作。</w:t>
      </w:r>
    </w:p>
    <w:p w14:paraId="2E757F9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（4）进度付款涉及政府投资资金的，按照国库集中支付等国家相关规定和专用合同条款的约定办理。</w:t>
      </w:r>
    </w:p>
    <w:p w14:paraId="687EDB4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17.3.4 工程进度付款的修正</w:t>
      </w:r>
    </w:p>
    <w:p w14:paraId="2B6C3C4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7F42DF8D">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45" w:name="_Toc32700"/>
      <w:r>
        <w:rPr>
          <w:rFonts w:hint="eastAsia" w:ascii="宋体" w:hAnsi="宋体" w:eastAsia="宋体" w:cs="宋体"/>
          <w:color w:val="auto"/>
          <w:highlight w:val="none"/>
        </w:rPr>
        <w:t>17.4 质量保证金</w:t>
      </w:r>
      <w:bookmarkEnd w:id="245"/>
    </w:p>
    <w:p w14:paraId="5461FEB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3E279DF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29A4589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5ABFBAC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46" w:name="_Toc564"/>
      <w:r>
        <w:rPr>
          <w:rFonts w:hint="eastAsia" w:ascii="宋体" w:hAnsi="宋体" w:eastAsia="宋体" w:cs="宋体"/>
          <w:color w:val="auto"/>
          <w:highlight w:val="none"/>
        </w:rPr>
        <w:t>17.5 竣工结算</w:t>
      </w:r>
      <w:bookmarkEnd w:id="246"/>
    </w:p>
    <w:p w14:paraId="1895413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17.5.1 竣工付款申请单</w:t>
      </w:r>
    </w:p>
    <w:p w14:paraId="0C46B94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2B3FFBA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（2）监理人对竣工付款申请单有异议的，有权要求承包人进行修正和提供补充资料。经监理人和承包人协商后，由承包人向监理人提交修正后的竣工付款申请单。</w:t>
      </w:r>
    </w:p>
    <w:p w14:paraId="3A5FE7A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17.5.2 竣工付款证书及支付时间</w:t>
      </w:r>
    </w:p>
    <w:p w14:paraId="11C3E72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1699071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（2）发包人应在监理人出具竣工付款证书后的14天内，将应支付款支付给承包人。发包人不按期支付的，按第17.3.3（2）目的约定，将逾期付款违约金支付给承包人。</w:t>
      </w:r>
    </w:p>
    <w:p w14:paraId="2030D3A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（3）承包人对发包人签认的竣工付款证书有异议的，发包人可出具竣工付款申请单中承包人已同意部分的临时付款证书。存在争议的部分，按第24条的约定办理。</w:t>
      </w:r>
    </w:p>
    <w:p w14:paraId="30C16E0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（4）竣工付款涉及政府投资资金的，按第17.3.3（４）目的约定办理。</w:t>
      </w:r>
    </w:p>
    <w:p w14:paraId="23E659B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47" w:name="_Toc25285"/>
      <w:r>
        <w:rPr>
          <w:rFonts w:hint="eastAsia" w:ascii="宋体" w:hAnsi="宋体" w:eastAsia="宋体" w:cs="宋体"/>
          <w:color w:val="auto"/>
          <w:highlight w:val="none"/>
        </w:rPr>
        <w:t>17.6 最终结清</w:t>
      </w:r>
      <w:bookmarkEnd w:id="247"/>
    </w:p>
    <w:p w14:paraId="70C196C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17.6.1 最终结清申请单</w:t>
      </w:r>
    </w:p>
    <w:p w14:paraId="4658B27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（1）缺陷责任期终止证书签发后，承包人可按专用合同条款约定的份数和期限向监理人提交最终结清申请单，并提供相关证明材料。</w:t>
      </w:r>
    </w:p>
    <w:p w14:paraId="75C6DE7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（2）发包人对最终结清申请单内容有异议的，有权要求承包人进行修正和提供补充资料，由承包人向监理人提交修正后的最终结清申请单。</w:t>
      </w:r>
    </w:p>
    <w:p w14:paraId="4326487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17.6.2 最终结清证书和支付时间</w:t>
      </w:r>
    </w:p>
    <w:p w14:paraId="7020D63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79D6DB3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（2）发包人应在监理人出具最终结清证书后的14天内，将应支付款支付给承包人。发包人不按期支付的，按第17.3.3（2）目的约定，将逾期付款违约金支付给承包人。</w:t>
      </w:r>
    </w:p>
    <w:p w14:paraId="136DA75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（3）承包人对发包人签认的最终结清证书有异议的，按第24条的约定办理。</w:t>
      </w:r>
    </w:p>
    <w:p w14:paraId="02872C4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（4）最终结清付款涉及政府投资资金的，按第17.3.3（４）目的约定办理。</w:t>
      </w:r>
    </w:p>
    <w:p w14:paraId="4B41E211">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48" w:name="_Toc122424201"/>
      <w:bookmarkStart w:id="249" w:name="_Toc122424450"/>
      <w:bookmarkStart w:id="250" w:name="_Toc30994"/>
      <w:r>
        <w:rPr>
          <w:rFonts w:hint="eastAsia" w:ascii="宋体" w:hAnsi="宋体" w:eastAsia="宋体" w:cs="宋体"/>
          <w:color w:val="auto"/>
          <w:highlight w:val="none"/>
        </w:rPr>
        <w:t>18. 竣工验收</w:t>
      </w:r>
      <w:bookmarkEnd w:id="248"/>
      <w:bookmarkEnd w:id="249"/>
      <w:bookmarkEnd w:id="250"/>
    </w:p>
    <w:p w14:paraId="268440B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1" w:name="_Toc32352"/>
      <w:r>
        <w:rPr>
          <w:rFonts w:hint="eastAsia" w:ascii="宋体" w:hAnsi="宋体" w:eastAsia="宋体" w:cs="宋体"/>
          <w:color w:val="auto"/>
          <w:highlight w:val="none"/>
        </w:rPr>
        <w:t>18.1 竣工验收的含义</w:t>
      </w:r>
      <w:bookmarkEnd w:id="251"/>
    </w:p>
    <w:p w14:paraId="75A3F3C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18.1.1 竣工验收指承包人完成了全部合同工作后，发包人按合同要求进行的验收。</w:t>
      </w:r>
    </w:p>
    <w:p w14:paraId="1259CC3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18.1.2 国家验收是政府有关部门根据法律、规范、规程和政策要求，针对发包人全面组织实施的整个工程正式交付投运前的验收。</w:t>
      </w:r>
    </w:p>
    <w:p w14:paraId="40BCE69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7C981EA0">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2" w:name="_Toc1350"/>
      <w:r>
        <w:rPr>
          <w:rFonts w:hint="eastAsia" w:ascii="宋体" w:hAnsi="宋体" w:eastAsia="宋体" w:cs="宋体"/>
          <w:color w:val="auto"/>
          <w:highlight w:val="none"/>
        </w:rPr>
        <w:t>18.2 竣工验收申请报告</w:t>
      </w:r>
      <w:bookmarkEnd w:id="252"/>
    </w:p>
    <w:p w14:paraId="0F4E8F3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当工程具备以下条件时，承包人即可向监理人报送竣工验收申请报告：</w:t>
      </w:r>
    </w:p>
    <w:p w14:paraId="4319EE6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（1）除监理人同意列入缺陷责任期内完成的尾工（甩项）工程和缺陷修补工作外，合同范围内的全部单位工程以及有关工作，包括合同要求的试验、试运行以及检验和验收均已完成，并符合合同要求；</w:t>
      </w:r>
    </w:p>
    <w:p w14:paraId="10818D5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（2）已按合同约定的内容和份数备齐了符合要求的竣工资料； </w:t>
      </w:r>
    </w:p>
    <w:p w14:paraId="26DF888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（3）已按监理人的要求编制了在缺陷责任期内完成的尾工（甩项）工程和缺陷修补工作清单以及相应施工计划；</w:t>
      </w:r>
    </w:p>
    <w:p w14:paraId="0844D22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（4）监理人要求在竣工验收前应完成的其他工作；</w:t>
      </w:r>
    </w:p>
    <w:p w14:paraId="6F6C7D9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（5）监理人要求提交的竣工验收资料清单。</w:t>
      </w:r>
    </w:p>
    <w:p w14:paraId="682422D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3" w:name="_Toc7634"/>
      <w:r>
        <w:rPr>
          <w:rFonts w:hint="eastAsia" w:ascii="宋体" w:hAnsi="宋体" w:eastAsia="宋体" w:cs="宋体"/>
          <w:color w:val="auto"/>
          <w:highlight w:val="none"/>
        </w:rPr>
        <w:t>18.3 验收</w:t>
      </w:r>
      <w:bookmarkEnd w:id="253"/>
    </w:p>
    <w:p w14:paraId="6E545B8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监理人收到承包人按第18.2款约定提交的竣工验收申请报告后，应审查申请报告的各项内容，并按以下不同情况进行处理。</w:t>
      </w:r>
    </w:p>
    <w:p w14:paraId="0830F6C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7EC1B88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18.3.2 监理人审查后认为已具备竣工验收条件的，应在收到竣工验收申请报告后的28天内提请发包人进行工程验收。</w:t>
      </w:r>
    </w:p>
    <w:p w14:paraId="2416399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6310395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1B423E6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18.3.5 除专用合同条款另有约定外，经验收合格工程的实际竣工日期，以提交竣工验收申请报告的日期为准，并在工程接收证书中写明。</w:t>
      </w:r>
    </w:p>
    <w:p w14:paraId="54F8971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18.3.6 发包人在收到承包人竣工验收申请报告56天后未进行验收的，视为验收合格，实际竣工日期以提交竣工验收申请报告的日期为准，但发包人由于不可抗力不能进行验收的除外。</w:t>
      </w:r>
    </w:p>
    <w:p w14:paraId="4536A4F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4" w:name="_Toc14179"/>
      <w:r>
        <w:rPr>
          <w:rFonts w:hint="eastAsia" w:ascii="宋体" w:hAnsi="宋体" w:eastAsia="宋体" w:cs="宋体"/>
          <w:color w:val="auto"/>
          <w:highlight w:val="none"/>
        </w:rPr>
        <w:t>18.4 单位工程验收</w:t>
      </w:r>
      <w:bookmarkEnd w:id="254"/>
    </w:p>
    <w:p w14:paraId="1F85B1B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5DAAA40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18.4.2 发包人在全部工程竣工前，使用已接收的单位工程导致承包人费用增加的，发包人应承担由此增加的费用和（或）工期延误，并支付承包人合理利润。</w:t>
      </w:r>
    </w:p>
    <w:p w14:paraId="7E4A366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5" w:name="_Toc16446"/>
      <w:r>
        <w:rPr>
          <w:rFonts w:hint="eastAsia" w:ascii="宋体" w:hAnsi="宋体" w:eastAsia="宋体" w:cs="宋体"/>
          <w:color w:val="auto"/>
          <w:highlight w:val="none"/>
        </w:rPr>
        <w:t>18.5 施工期运行</w:t>
      </w:r>
      <w:bookmarkEnd w:id="255"/>
    </w:p>
    <w:p w14:paraId="6BF4D83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623197C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18.5.2 在施工期运行中发现工程或工程设备损坏或存在缺陷的，由承包人按第19.2款约定进行修复。</w:t>
      </w:r>
    </w:p>
    <w:p w14:paraId="54A435A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6" w:name="_Toc26484"/>
      <w:r>
        <w:rPr>
          <w:rFonts w:hint="eastAsia" w:ascii="宋体" w:hAnsi="宋体" w:eastAsia="宋体" w:cs="宋体"/>
          <w:color w:val="auto"/>
          <w:highlight w:val="none"/>
        </w:rPr>
        <w:t>18.6 试运行</w:t>
      </w:r>
      <w:bookmarkEnd w:id="256"/>
    </w:p>
    <w:p w14:paraId="0D409DA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18.6.1 除专用合同条款另有约定外，承包人应按专用合同条款约定进行工程及工程设备试运行，负责提供试运行所需的人员、器材和必要的条件，并承担全部试运行费用。</w:t>
      </w:r>
    </w:p>
    <w:p w14:paraId="6E15E41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2306CC8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7" w:name="_Toc9520"/>
      <w:r>
        <w:rPr>
          <w:rFonts w:hint="eastAsia" w:ascii="宋体" w:hAnsi="宋体" w:eastAsia="宋体" w:cs="宋体"/>
          <w:color w:val="auto"/>
          <w:highlight w:val="none"/>
        </w:rPr>
        <w:t>18.7 竣工清场</w:t>
      </w:r>
      <w:bookmarkEnd w:id="257"/>
    </w:p>
    <w:p w14:paraId="3354AAF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18.7.1 除合同另有约定外，工程接收证书颁发后，承包人应按以下要求对施工场地进行清理，直至监理人检验合格为止。竣工清场费用由承包人承担。</w:t>
      </w:r>
    </w:p>
    <w:p w14:paraId="1EF6DD6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（1）施工场地内残留的垃圾已全部清除出场；</w:t>
      </w:r>
    </w:p>
    <w:p w14:paraId="7E5DE42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（2）临时工程已拆除，场地已按合同要求进行清理、平整或复原；</w:t>
      </w:r>
    </w:p>
    <w:p w14:paraId="6B9C2DD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（3）按合同约定应撤离的承包人设备和剩余的材料，包括废弃的施工设备和材料，已按计划撤离施工场地；</w:t>
      </w:r>
    </w:p>
    <w:p w14:paraId="1B9EB99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（4）工程建筑物周边及其附近道路、河道的施工堆积物，已按监理人指示全部清理；</w:t>
      </w:r>
    </w:p>
    <w:p w14:paraId="349DC5C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（5）监理人指示的其他场地清理工作已全部完成。</w:t>
      </w:r>
    </w:p>
    <w:p w14:paraId="2FD9253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18.7.2 承包人未按监理人的要求恢复临时占地，或者场地清理未达到合同约定的，发包人有权委托其他人恢复或清理，所发生的金额从拟支付给承包人的款项中扣除。</w:t>
      </w:r>
    </w:p>
    <w:p w14:paraId="73131C5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58" w:name="_Toc10196"/>
      <w:r>
        <w:rPr>
          <w:rFonts w:hint="eastAsia" w:ascii="宋体" w:hAnsi="宋体" w:eastAsia="宋体" w:cs="宋体"/>
          <w:color w:val="auto"/>
          <w:highlight w:val="none"/>
        </w:rPr>
        <w:t>18.8 施工队伍的撤离</w:t>
      </w:r>
      <w:bookmarkEnd w:id="258"/>
    </w:p>
    <w:p w14:paraId="411D32E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74717207">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59" w:name="_Toc10892"/>
      <w:bookmarkStart w:id="260" w:name="_Toc122424451"/>
      <w:bookmarkStart w:id="261" w:name="_Toc122424202"/>
      <w:r>
        <w:rPr>
          <w:rFonts w:hint="eastAsia" w:ascii="宋体" w:hAnsi="宋体" w:eastAsia="宋体" w:cs="宋体"/>
          <w:color w:val="auto"/>
          <w:highlight w:val="none"/>
        </w:rPr>
        <w:t>19. 缺陷责任与保修责任</w:t>
      </w:r>
      <w:bookmarkEnd w:id="259"/>
      <w:bookmarkEnd w:id="260"/>
      <w:bookmarkEnd w:id="261"/>
    </w:p>
    <w:p w14:paraId="045D8965">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2" w:name="_Toc2029"/>
      <w:r>
        <w:rPr>
          <w:rFonts w:hint="eastAsia" w:ascii="宋体" w:hAnsi="宋体" w:eastAsia="宋体" w:cs="宋体"/>
          <w:color w:val="auto"/>
          <w:highlight w:val="none"/>
        </w:rPr>
        <w:t>19.1 缺陷责任期的起算时间</w:t>
      </w:r>
      <w:bookmarkEnd w:id="262"/>
    </w:p>
    <w:p w14:paraId="3135EA0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缺陷责任期自实际竣工日期起计算。在全部工程竣工验收前，已经发包人提前验收的单位工程，其缺陷责任期的起算日期相应提前。</w:t>
      </w:r>
    </w:p>
    <w:p w14:paraId="79F708E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3" w:name="_Toc28384"/>
      <w:r>
        <w:rPr>
          <w:rFonts w:hint="eastAsia" w:ascii="宋体" w:hAnsi="宋体" w:eastAsia="宋体" w:cs="宋体"/>
          <w:color w:val="auto"/>
          <w:highlight w:val="none"/>
        </w:rPr>
        <w:t>19.2 缺陷责任</w:t>
      </w:r>
      <w:bookmarkEnd w:id="263"/>
    </w:p>
    <w:p w14:paraId="4C47305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19.2.1 承包人应在缺陷责任期内对已交付使用的工程承担缺陷责任。</w:t>
      </w:r>
    </w:p>
    <w:p w14:paraId="10402C6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5F9540A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3C4BB1C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19.2.4 承包人不能在合理时间内修复缺陷的，发包人可自行修复或委托其他人修复，所需费用和利润的承担，按第19.2.3项约定办理。</w:t>
      </w:r>
    </w:p>
    <w:p w14:paraId="133F5C9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4" w:name="_Toc28081"/>
      <w:r>
        <w:rPr>
          <w:rFonts w:hint="eastAsia" w:ascii="宋体" w:hAnsi="宋体" w:eastAsia="宋体" w:cs="宋体"/>
          <w:color w:val="auto"/>
          <w:highlight w:val="none"/>
        </w:rPr>
        <w:t>19.3 缺陷责任期的延长</w:t>
      </w:r>
      <w:bookmarkEnd w:id="264"/>
    </w:p>
    <w:p w14:paraId="6AEC63E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112B856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5" w:name="_Toc882"/>
      <w:r>
        <w:rPr>
          <w:rFonts w:hint="eastAsia" w:ascii="宋体" w:hAnsi="宋体" w:eastAsia="宋体" w:cs="宋体"/>
          <w:color w:val="auto"/>
          <w:highlight w:val="none"/>
        </w:rPr>
        <w:t>19.4 进一步试验和试运行</w:t>
      </w:r>
      <w:bookmarkEnd w:id="265"/>
    </w:p>
    <w:p w14:paraId="71DC025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任何一项缺陷或损坏修复后，经检查证明其影响了工程或工程设备的使用性能，承包人应重新进行合同约定的试验和试运行，试验和试运行的全部费用应由责任方承担。</w:t>
      </w:r>
    </w:p>
    <w:p w14:paraId="6BD5FFE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6" w:name="_Toc17413"/>
      <w:r>
        <w:rPr>
          <w:rFonts w:hint="eastAsia" w:ascii="宋体" w:hAnsi="宋体" w:eastAsia="宋体" w:cs="宋体"/>
          <w:color w:val="auto"/>
          <w:highlight w:val="none"/>
        </w:rPr>
        <w:t>19.5 承包人的进入权</w:t>
      </w:r>
      <w:bookmarkEnd w:id="266"/>
    </w:p>
    <w:p w14:paraId="4E0DCB8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缺陷责任期内承包人为缺陷修复工作需要，有权进入工程现场，但应遵守发包人的保安和保密规定。</w:t>
      </w:r>
    </w:p>
    <w:p w14:paraId="3D425E5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7" w:name="_Toc4985"/>
      <w:r>
        <w:rPr>
          <w:rFonts w:hint="eastAsia" w:ascii="宋体" w:hAnsi="宋体" w:eastAsia="宋体" w:cs="宋体"/>
          <w:color w:val="auto"/>
          <w:highlight w:val="none"/>
        </w:rPr>
        <w:t>19.6 缺陷责任期终止证书</w:t>
      </w:r>
      <w:bookmarkEnd w:id="267"/>
    </w:p>
    <w:p w14:paraId="45DF839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在第1.1.4.5目约定的缺陷责任期，包括根据第19.3款延长的期限终止后14天内，由监理人向承包人出具经发包人签认的缺陷责任期终止证书，并退还剩余的质量保证金。</w:t>
      </w:r>
    </w:p>
    <w:p w14:paraId="335073B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68" w:name="_Toc28036"/>
      <w:r>
        <w:rPr>
          <w:rFonts w:hint="eastAsia" w:ascii="宋体" w:hAnsi="宋体" w:eastAsia="宋体" w:cs="宋体"/>
          <w:color w:val="auto"/>
          <w:highlight w:val="none"/>
        </w:rPr>
        <w:t>19.7 保修责任</w:t>
      </w:r>
      <w:bookmarkEnd w:id="268"/>
    </w:p>
    <w:p w14:paraId="32E946E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48F832EA">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69" w:name="_Toc21090"/>
      <w:bookmarkStart w:id="270" w:name="_Toc122424452"/>
      <w:bookmarkStart w:id="271" w:name="_Toc122424203"/>
      <w:r>
        <w:rPr>
          <w:rFonts w:hint="eastAsia" w:ascii="宋体" w:hAnsi="宋体" w:eastAsia="宋体" w:cs="宋体"/>
          <w:color w:val="auto"/>
          <w:highlight w:val="none"/>
        </w:rPr>
        <w:t>20. 保险</w:t>
      </w:r>
      <w:bookmarkEnd w:id="269"/>
      <w:bookmarkEnd w:id="270"/>
      <w:bookmarkEnd w:id="271"/>
    </w:p>
    <w:p w14:paraId="622F66B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72" w:name="_Toc9782"/>
      <w:r>
        <w:rPr>
          <w:rFonts w:hint="eastAsia" w:ascii="宋体" w:hAnsi="宋体" w:eastAsia="宋体" w:cs="宋体"/>
          <w:color w:val="auto"/>
          <w:highlight w:val="none"/>
        </w:rPr>
        <w:t>20.1 工程保险</w:t>
      </w:r>
      <w:bookmarkEnd w:id="272"/>
    </w:p>
    <w:p w14:paraId="14280F2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07D57F38">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73" w:name="_Toc20764"/>
      <w:r>
        <w:rPr>
          <w:rFonts w:hint="eastAsia" w:ascii="宋体" w:hAnsi="宋体" w:eastAsia="宋体" w:cs="宋体"/>
          <w:color w:val="auto"/>
          <w:highlight w:val="none"/>
        </w:rPr>
        <w:t>20.2 人员工伤事故的保险</w:t>
      </w:r>
      <w:bookmarkEnd w:id="273"/>
    </w:p>
    <w:p w14:paraId="1E34B90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20.2.1 承包人员工伤事故的保险</w:t>
      </w:r>
    </w:p>
    <w:p w14:paraId="5227113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承包人应依照有关法律规定参加工伤保险，为其履行合同所雇佣的全部人员，缴纳工伤保险费，并要求其分包人也进行此项保险。</w:t>
      </w:r>
    </w:p>
    <w:p w14:paraId="3074CF8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20.2.2 发包人员工伤事故的保险</w:t>
      </w:r>
    </w:p>
    <w:p w14:paraId="4702A77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发包人应依照有关法律规定参加工伤保险，为其现场机构雇佣的全部人员，缴纳工伤保险费，并要求其监理人也进行此项保险。</w:t>
      </w:r>
    </w:p>
    <w:p w14:paraId="7EA3F9DA">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74" w:name="_Toc5176"/>
      <w:r>
        <w:rPr>
          <w:rFonts w:hint="eastAsia" w:ascii="宋体" w:hAnsi="宋体" w:eastAsia="宋体" w:cs="宋体"/>
          <w:color w:val="auto"/>
          <w:highlight w:val="none"/>
        </w:rPr>
        <w:t>20.3 人身意外伤害险</w:t>
      </w:r>
      <w:bookmarkEnd w:id="274"/>
    </w:p>
    <w:p w14:paraId="4F05DB7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20.3.1 发包人应在整个施工期间为其现场机构雇用的全部人员，投保人身意外伤害险，缴纳保险费，并要求其监理人也进行此项保险。</w:t>
      </w:r>
    </w:p>
    <w:p w14:paraId="54843D1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20.3.2 承包人应在整个施工期间为其现场机构雇用的全部人员，投保人身意外伤害险，缴纳保险费，并要求其分包人也进行此项保险。</w:t>
      </w:r>
    </w:p>
    <w:p w14:paraId="4BAD1A3F">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75" w:name="_Toc6828"/>
      <w:r>
        <w:rPr>
          <w:rFonts w:hint="eastAsia" w:ascii="宋体" w:hAnsi="宋体" w:eastAsia="宋体" w:cs="宋体"/>
          <w:color w:val="auto"/>
          <w:highlight w:val="none"/>
        </w:rPr>
        <w:t>20.4 第三者责任险</w:t>
      </w:r>
      <w:bookmarkEnd w:id="275"/>
    </w:p>
    <w:p w14:paraId="3826835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33DEDF5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20.4.2 在缺陷责任期终止证书颁发前，承包人应以承包人和发包人的共同名义，投保第20.4.1项约定的第三者责任险，其保险费率、保险金额等有关内容在专用合同条款中约定。</w:t>
      </w:r>
    </w:p>
    <w:p w14:paraId="2F4355ED">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76" w:name="_Toc1637"/>
      <w:r>
        <w:rPr>
          <w:rFonts w:hint="eastAsia" w:ascii="宋体" w:hAnsi="宋体" w:eastAsia="宋体" w:cs="宋体"/>
          <w:color w:val="auto"/>
          <w:highlight w:val="none"/>
        </w:rPr>
        <w:t>20.5 其他保险</w:t>
      </w:r>
      <w:bookmarkEnd w:id="276"/>
    </w:p>
    <w:p w14:paraId="5CF1C22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除专用合同条款另有约定外，承包人应为其施工设备、进场的材料和工程设备等办理保险。</w:t>
      </w:r>
    </w:p>
    <w:p w14:paraId="3571B3C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77" w:name="_Toc15017"/>
      <w:r>
        <w:rPr>
          <w:rFonts w:hint="eastAsia" w:ascii="宋体" w:hAnsi="宋体" w:eastAsia="宋体" w:cs="宋体"/>
          <w:color w:val="auto"/>
          <w:highlight w:val="none"/>
        </w:rPr>
        <w:t>20.6 对各项保险的一般要求</w:t>
      </w:r>
      <w:bookmarkEnd w:id="277"/>
    </w:p>
    <w:p w14:paraId="708D78C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20.6.1 保险凭证</w:t>
      </w:r>
    </w:p>
    <w:p w14:paraId="0FFD9AD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承包人应在专用合同条款约定的期限内向发包人提交各项保险生效的证据和保险单副本，保险单必须与专用合同条款约定的条件保持一致。</w:t>
      </w:r>
    </w:p>
    <w:p w14:paraId="6F0E9D4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20.6.2 保险合同条款的变动</w:t>
      </w:r>
    </w:p>
    <w:p w14:paraId="65F1CAD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承包人需要变动保险合同条款时，应事先征得发包人同意，并通知监理人。保险人作出变动的，承包人应在收到保险人通知后立即通知发包人和监理人。</w:t>
      </w:r>
    </w:p>
    <w:p w14:paraId="2348790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20.6.3 持续保险</w:t>
      </w:r>
    </w:p>
    <w:p w14:paraId="41FA507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承包人应与保险人保持联系，使保险人能够随时了解工程实施中的变动，并确保按保险合同条款要求持续保险。</w:t>
      </w:r>
    </w:p>
    <w:p w14:paraId="260DCF3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20.6.4 保险金不足的补偿</w:t>
      </w:r>
    </w:p>
    <w:p w14:paraId="01F5DDA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保险金不足以补偿损失的，应由承包人和（或）发包人按合同约定负责补偿。</w:t>
      </w:r>
    </w:p>
    <w:p w14:paraId="280CA0B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20.6.5 未按约定投保的补救</w:t>
      </w:r>
    </w:p>
    <w:p w14:paraId="5E5375A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（1）由于负有投保义务的一方当事人未按合同约定办理保险，或未能使保险持续有效的，另一方当事人可代为办理，所需费用由对方当事人承担。</w:t>
      </w:r>
    </w:p>
    <w:p w14:paraId="57E563E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（2）由于负有投保义务的一方当事人未按合同约定办理某项保险，导致受益人未能得到保险人的赔偿，原应从该项保险得到的保险金应由负有投保义务的一方当事人支付。</w:t>
      </w:r>
    </w:p>
    <w:p w14:paraId="3AC94C5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20.6.6 报告义务</w:t>
      </w:r>
    </w:p>
    <w:p w14:paraId="3DB1570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当保险事故发生时，投保人应按照保险单规定的条件和期限及时向保险人报告。</w:t>
      </w:r>
    </w:p>
    <w:p w14:paraId="4417B72E">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78" w:name="_Toc122424204"/>
      <w:bookmarkStart w:id="279" w:name="_Toc122424453"/>
      <w:bookmarkStart w:id="280" w:name="_Toc6526"/>
      <w:r>
        <w:rPr>
          <w:rFonts w:hint="eastAsia" w:ascii="宋体" w:hAnsi="宋体" w:eastAsia="宋体" w:cs="宋体"/>
          <w:color w:val="auto"/>
          <w:highlight w:val="none"/>
        </w:rPr>
        <w:t>21. 不可抗力</w:t>
      </w:r>
      <w:bookmarkEnd w:id="278"/>
      <w:bookmarkEnd w:id="279"/>
      <w:bookmarkEnd w:id="280"/>
    </w:p>
    <w:p w14:paraId="26BFEDE4">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81" w:name="_Toc9293"/>
      <w:r>
        <w:rPr>
          <w:rFonts w:hint="eastAsia" w:ascii="宋体" w:hAnsi="宋体" w:eastAsia="宋体" w:cs="宋体"/>
          <w:color w:val="auto"/>
          <w:highlight w:val="none"/>
        </w:rPr>
        <w:t>21.1 不可抗力的确认</w:t>
      </w:r>
      <w:bookmarkEnd w:id="281"/>
    </w:p>
    <w:p w14:paraId="7FDDBAF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0C2AE85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79973012">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82" w:name="_Toc32615"/>
      <w:r>
        <w:rPr>
          <w:rFonts w:hint="eastAsia" w:ascii="宋体" w:hAnsi="宋体" w:eastAsia="宋体" w:cs="宋体"/>
          <w:color w:val="auto"/>
          <w:highlight w:val="none"/>
        </w:rPr>
        <w:t>21.2 不可抗力的通知</w:t>
      </w:r>
      <w:bookmarkEnd w:id="282"/>
    </w:p>
    <w:p w14:paraId="31DFAC5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21.2.1 合同一方当事人遇到不可抗力事件，使其履行合同义务受到阻碍时，应立即通知合同另一方当事人和监理人，书面说明不可抗力和受阻碍的详细情况，并提供必要的证明。</w:t>
      </w:r>
    </w:p>
    <w:p w14:paraId="0C4D5CF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21.2.2 如不可抗力持续发生，合同一方当事人应及时向合同另一方当事人和监理人提交中间报告，说明不可抗力和履行合同受阻的情况，并于不可抗力事件结束后28天内提交最终报告及有关资料。</w:t>
      </w:r>
    </w:p>
    <w:p w14:paraId="2BA91043">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83" w:name="_Toc26419"/>
      <w:r>
        <w:rPr>
          <w:rFonts w:hint="eastAsia" w:ascii="宋体" w:hAnsi="宋体" w:eastAsia="宋体" w:cs="宋体"/>
          <w:color w:val="auto"/>
          <w:highlight w:val="none"/>
        </w:rPr>
        <w:t>21.3 不可抗力后果及其处理</w:t>
      </w:r>
      <w:bookmarkEnd w:id="283"/>
    </w:p>
    <w:p w14:paraId="637907F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21.3.1 不可抗力造成损害的责任</w:t>
      </w:r>
    </w:p>
    <w:p w14:paraId="2C8CFB0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除专用合同条款另有约定外，不可抗力导致的人员伤亡、财产损失、费用增加和（或）工期延误等后果，由合同双方按以下原则承担：</w:t>
      </w:r>
    </w:p>
    <w:p w14:paraId="5C9E0CE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（1）永久工程，包括已运至施工场地的材料和工程设备的损害，以及因工程损害造成的第三者人员伤亡和财产损失由发包人承担；</w:t>
      </w:r>
    </w:p>
    <w:p w14:paraId="20A7ECF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（2）承包人设备的损坏由承包人承担；</w:t>
      </w:r>
    </w:p>
    <w:p w14:paraId="162F631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（3）发包人和承包人各自承担其人员伤亡和其他财产损失及其相关费用；</w:t>
      </w:r>
    </w:p>
    <w:p w14:paraId="5EDA2BE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（4）承包人的停工损失由承包人承担，但停工期间应监理人要求照管工程和清理、修复工程的金额由发包人承担；</w:t>
      </w:r>
    </w:p>
    <w:p w14:paraId="5F86E23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（5）不能按期竣工的，应合理延长工期，承包人不需支付逾期竣工违约金。发包人要求赶工的，承包人应采取赶工措施，赶工费用由发包人承担。</w:t>
      </w:r>
    </w:p>
    <w:p w14:paraId="7EEBF7B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21.3.2 延迟履行期间发生的不可抗力</w:t>
      </w:r>
    </w:p>
    <w:p w14:paraId="487AAA8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合同一方当事人延迟履行，在延迟履行期间发生不可抗力的，不免除其责任。</w:t>
      </w:r>
    </w:p>
    <w:p w14:paraId="77CA310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21.3.3 避免和减少不可抗力损失</w:t>
      </w:r>
    </w:p>
    <w:p w14:paraId="086A20B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不可抗力发生后，发包人和承包人均应采取措施尽量避免和减少损失的扩大，任何一方没有采取有效措施导致损失扩大的，应对扩大的损失承担责任。</w:t>
      </w:r>
    </w:p>
    <w:p w14:paraId="241F2E2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21.3.4 因不可抗力解除合同</w:t>
      </w:r>
    </w:p>
    <w:p w14:paraId="0B7A30A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04FC300B">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84" w:name="_Toc122424454"/>
      <w:bookmarkStart w:id="285" w:name="_Toc16752"/>
      <w:bookmarkStart w:id="286" w:name="_Toc122424205"/>
      <w:r>
        <w:rPr>
          <w:rFonts w:hint="eastAsia" w:ascii="宋体" w:hAnsi="宋体" w:eastAsia="宋体" w:cs="宋体"/>
          <w:color w:val="auto"/>
          <w:highlight w:val="none"/>
        </w:rPr>
        <w:t>22. 违约</w:t>
      </w:r>
      <w:bookmarkEnd w:id="284"/>
      <w:bookmarkEnd w:id="285"/>
      <w:bookmarkEnd w:id="286"/>
    </w:p>
    <w:p w14:paraId="7062D57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87" w:name="_Toc18184"/>
      <w:r>
        <w:rPr>
          <w:rFonts w:hint="eastAsia" w:ascii="宋体" w:hAnsi="宋体" w:eastAsia="宋体" w:cs="宋体"/>
          <w:color w:val="auto"/>
          <w:highlight w:val="none"/>
        </w:rPr>
        <w:t>22.1 承包人违约</w:t>
      </w:r>
      <w:bookmarkEnd w:id="287"/>
    </w:p>
    <w:p w14:paraId="4AB708D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22.1.1 承包人违约的情形</w:t>
      </w:r>
    </w:p>
    <w:p w14:paraId="4BC0657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在履行合同过程中发生的下列情况属承包人违约：</w:t>
      </w:r>
    </w:p>
    <w:p w14:paraId="73CA36A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（1）承包人违反第1.8款或第4.3款的约定，私自将合同的全部或部分权利转让给其他人，或私自将合同的全部或部分义务转移给其他人；</w:t>
      </w:r>
    </w:p>
    <w:p w14:paraId="32C657E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（2）承包人违反第5.3款或第6.4款的约定，未经监理人批准，私自将已按合同约定进入施工场地的施工设备、临时设施或材料撤离施工场地；</w:t>
      </w:r>
    </w:p>
    <w:p w14:paraId="785430B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（3）承包人违反第5.4款的约定使用了不合格材料或工程设备，工程质量达不到标准要求，又拒绝清除不合格工程；</w:t>
      </w:r>
    </w:p>
    <w:p w14:paraId="09B467D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（4）承包人未能按合同进度计划及时完成合同约定的工作，已造成或预期造成工期延误；</w:t>
      </w:r>
    </w:p>
    <w:p w14:paraId="1BDC0B4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（5）承包人在缺陷责任期内，未能对工程接收证书所列的缺陷清单的内容或缺陷责任期内发生的缺陷进行修复，而又拒绝按监理人指示再进行修补；</w:t>
      </w:r>
    </w:p>
    <w:p w14:paraId="1AF1BC3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（6）承包人无法继续履行或明确表示不履行或实质上已停止履行合同；</w:t>
      </w:r>
    </w:p>
    <w:p w14:paraId="45785D2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（7）承包人不按合同约定履行义务的其他情况。</w:t>
      </w:r>
    </w:p>
    <w:p w14:paraId="41FF8C6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22.1.2 对承包人违约的处理</w:t>
      </w:r>
    </w:p>
    <w:p w14:paraId="3E873A5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（1）承包人发生第22.1.1（6）目约定的违约情况时，发包人可通知承包人立即解除合同，并按有关法律处理。</w:t>
      </w:r>
    </w:p>
    <w:p w14:paraId="377FB13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（2）承包人发生除第22.1.1（6）目约定以外的其他违约情况时，监理人可向承包人发出整改通知，要求其在指定的期限内改正。承包人应承担其违约所引起的费用增加和（或）工期延误。</w:t>
      </w:r>
    </w:p>
    <w:p w14:paraId="2BC3D59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（3）经检查证明承包人已采取了有效措施纠正违约行为，具备复工条件的，可由监理人签发复工通知复工。</w:t>
      </w:r>
    </w:p>
    <w:p w14:paraId="29E58CD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22.1.3 承包人违约解除合同</w:t>
      </w:r>
    </w:p>
    <w:p w14:paraId="21F635A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234B6DA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22.1.4 合同解除后的估价、付款和结清</w:t>
      </w:r>
    </w:p>
    <w:p w14:paraId="13F47E4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（1）合同解除后，监理人按第3.5款商定或确定承包人实际完成工作的价值，以及承包人已提供的材料、施工设备、工程设备和临时工程等的价值。 </w:t>
      </w:r>
    </w:p>
    <w:p w14:paraId="7F1AD21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（2）合同解除后，发包人应暂停对承包人的一切付款，查清各项付款和已扣款金额，包括承包人应支付的违约金。 </w:t>
      </w:r>
    </w:p>
    <w:p w14:paraId="29DAD40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（3）合同解除后，发包人应按第23.4款的约定向承包人索赔由于解除合同给发包人造成的损失。</w:t>
      </w:r>
    </w:p>
    <w:p w14:paraId="2CCB079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（4）合同双方确认上述往来款项后，出具最终结清付款证书，结清全部合同款项。</w:t>
      </w:r>
    </w:p>
    <w:p w14:paraId="60A8036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（5）发包人和承包人未能就解除合同后的结清达成一致而形成争议的，按第24条的约定办理。</w:t>
      </w:r>
    </w:p>
    <w:p w14:paraId="716A297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22.1.5 协议利益的转让</w:t>
      </w:r>
    </w:p>
    <w:p w14:paraId="697D72A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因承包人违约解除合同的，发包人有权要求承包人将其为实施合同而签订的材料和设备的订货协议或任何服务协议利益转让给发包人，并在解除合同后的14天内，依法办理转让手续。 </w:t>
      </w:r>
    </w:p>
    <w:p w14:paraId="469CC77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22.1.6 紧急情况下无能力或不愿进行抢救</w:t>
      </w:r>
    </w:p>
    <w:p w14:paraId="021A69C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3DB807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88" w:name="_Toc24004"/>
      <w:r>
        <w:rPr>
          <w:rFonts w:hint="eastAsia" w:ascii="宋体" w:hAnsi="宋体" w:eastAsia="宋体" w:cs="宋体"/>
          <w:color w:val="auto"/>
          <w:highlight w:val="none"/>
        </w:rPr>
        <w:t>22.2 发包人违约</w:t>
      </w:r>
      <w:bookmarkEnd w:id="288"/>
    </w:p>
    <w:p w14:paraId="2DB79D7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22.2.1 发包人违约的情形</w:t>
      </w:r>
    </w:p>
    <w:p w14:paraId="0EB1FD8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在履行合同过程中发生的下列情形，属发包人违约：</w:t>
      </w:r>
    </w:p>
    <w:p w14:paraId="530B544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（1）发包人未能按合同约定支付预付款或合同价款，或拖延、拒绝批准付款申请和支付凭证，导致付款延误的；</w:t>
      </w:r>
    </w:p>
    <w:p w14:paraId="6289823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（2）发包人原因造成停工的；</w:t>
      </w:r>
    </w:p>
    <w:p w14:paraId="4CAD895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（3）监理人无正当理由没有在约定期限内发出复工指示，导致承包人无法复工的；</w:t>
      </w:r>
    </w:p>
    <w:p w14:paraId="2D262C7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（4）发包人无法继续履行或明确表示不履行或实质上已停止履行合同的；</w:t>
      </w:r>
    </w:p>
    <w:p w14:paraId="42B712AB">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（5）发包人不履行合同约定其他义务的。</w:t>
      </w:r>
    </w:p>
    <w:p w14:paraId="60F6ED6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22.2.2 承包人有权暂停施工</w:t>
      </w:r>
    </w:p>
    <w:p w14:paraId="45A05DA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5F0F10C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22.2.3 发包人违约解除合同 </w:t>
      </w:r>
    </w:p>
    <w:p w14:paraId="61AAFC6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（1）发生第22.2.1（4）目的违约情况时，承包人可书面通知发包人解除合同。   </w:t>
      </w:r>
    </w:p>
    <w:p w14:paraId="1A8EE7F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（2）承包人按22.2.2项暂停施工28天后，发包人仍不纠正违约行为的，承包人可向发包人发出解除合同通知。但承包人的这一行动不免除发包人承担的违约责任，也不影响承包人根据合同约定享有的索赔权利。</w:t>
      </w:r>
    </w:p>
    <w:p w14:paraId="7E9E7D4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22.2.4 解除合同后的付款</w:t>
      </w:r>
    </w:p>
    <w:p w14:paraId="66069909">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因发包人违约解除合同的，发包人应在解除合同后28天内向承包人支付下列金额，承包人应在此期限内及时向发包人提交要求支付下列金额的有关资料和凭证：</w:t>
      </w:r>
    </w:p>
    <w:p w14:paraId="1F7C576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（1）合同解除日以前所完成工作的价款；</w:t>
      </w:r>
    </w:p>
    <w:p w14:paraId="26EEEB5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（2）承包人为该工程施工订购并已付款的材料、工程设备和其他物品的金额。发包人付还后，该材料、工程设备和其他物品归发包人所有；</w:t>
      </w:r>
    </w:p>
    <w:p w14:paraId="7CA8C36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（3）承包人为完成工程所发生的，而发包人未支付的金额；</w:t>
      </w:r>
    </w:p>
    <w:p w14:paraId="53862ACA">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（4）承包人撤离施工场地以及遣散承包人人员的金额；</w:t>
      </w:r>
    </w:p>
    <w:p w14:paraId="193C3D5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（5）由于解除合同应赔偿的承包人损失；</w:t>
      </w:r>
    </w:p>
    <w:p w14:paraId="1D29092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（6）按合同约定在合同解除日前应支付给承包人的其他金额。</w:t>
      </w:r>
    </w:p>
    <w:p w14:paraId="37D6F2B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发包人应按本项约定支付上述金额并退还质量保证金和履约担保，但有权要求承包人支付应偿还给发包人的各项金额。</w:t>
      </w:r>
    </w:p>
    <w:p w14:paraId="0FF8F2FC">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22.2.5 解除合同后的承包人撤离</w:t>
      </w:r>
    </w:p>
    <w:p w14:paraId="3BFE38E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0F42F761">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89" w:name="_Toc13746"/>
      <w:r>
        <w:rPr>
          <w:rFonts w:hint="eastAsia" w:ascii="宋体" w:hAnsi="宋体" w:eastAsia="宋体" w:cs="宋体"/>
          <w:color w:val="auto"/>
          <w:highlight w:val="none"/>
        </w:rPr>
        <w:t>22.3 第三人造成的违约</w:t>
      </w:r>
      <w:bookmarkEnd w:id="289"/>
    </w:p>
    <w:p w14:paraId="418803A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在履行合同过程中，一方当事人因第三人的原因造成违约的，应当向对方当事人承担违约责任。一方当事人和第三人之间的纠纷，依照法律规定或者按照约定解决。</w:t>
      </w:r>
    </w:p>
    <w:p w14:paraId="1BCF29B5">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90" w:name="_Toc122424455"/>
      <w:bookmarkStart w:id="291" w:name="_Toc122424206"/>
      <w:bookmarkStart w:id="292" w:name="_Toc24948"/>
      <w:r>
        <w:rPr>
          <w:rFonts w:hint="eastAsia" w:ascii="宋体" w:hAnsi="宋体" w:eastAsia="宋体" w:cs="宋体"/>
          <w:color w:val="auto"/>
          <w:highlight w:val="none"/>
        </w:rPr>
        <w:t>23. 索赔</w:t>
      </w:r>
      <w:bookmarkEnd w:id="290"/>
      <w:bookmarkEnd w:id="291"/>
      <w:bookmarkEnd w:id="292"/>
    </w:p>
    <w:p w14:paraId="729F9019">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93" w:name="_Toc27577"/>
      <w:r>
        <w:rPr>
          <w:rFonts w:hint="eastAsia" w:ascii="宋体" w:hAnsi="宋体" w:eastAsia="宋体" w:cs="宋体"/>
          <w:color w:val="auto"/>
          <w:highlight w:val="none"/>
        </w:rPr>
        <w:t>23.1 承包人索赔的提出</w:t>
      </w:r>
      <w:bookmarkEnd w:id="293"/>
    </w:p>
    <w:p w14:paraId="5B4D9C1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根据合同约定，承包人认为有权得到追加付款和（或）延长工期的，应按以下程序向发包人提出索赔：</w:t>
      </w:r>
    </w:p>
    <w:p w14:paraId="2093CEA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0611D2D">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（2）承包人应在发出索赔意向通知书后28天内，向监理人正式递交索赔通知书。索赔通知书应详细说明索赔理由以及要求追加的付款金额和（或）延长的工期，并附必要的记录和证明材料；</w:t>
      </w:r>
    </w:p>
    <w:p w14:paraId="045635D4">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（3）索赔事件具有连续影响的，承包人应按合理时间间隔继续递交延续索赔通知，说明连续影响的实际情况和记录，列出累计的追加付款金额和（或）工期延长天数；</w:t>
      </w:r>
    </w:p>
    <w:p w14:paraId="243EB60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（4）在索赔事件影响结束后的28天内，承包人应向监理人递交最终索赔通知书，说明最终要求索赔的追加付款金额和延长的工期，并附必要的记录和证明材料。</w:t>
      </w:r>
    </w:p>
    <w:p w14:paraId="2D77D9AB">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94" w:name="_Toc27579"/>
      <w:r>
        <w:rPr>
          <w:rFonts w:hint="eastAsia" w:ascii="宋体" w:hAnsi="宋体" w:eastAsia="宋体" w:cs="宋体"/>
          <w:color w:val="auto"/>
          <w:highlight w:val="none"/>
        </w:rPr>
        <w:t>23.2 承包人索赔处理程序</w:t>
      </w:r>
      <w:bookmarkEnd w:id="294"/>
    </w:p>
    <w:p w14:paraId="4189A34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（1）监理人收到承包人提交的索赔通知书后，应及时审查索赔通知书的内容、查验承包人的记录和证明材料，必要时监理人可要求承包人提交全部原始记录副本。</w:t>
      </w:r>
    </w:p>
    <w:p w14:paraId="7CCE1FFF">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（2）监理人应按第3.5款商定或确定追加的付款和（或）延长的工期，并在收到上述索赔通知书或有关索赔的进一步证明材料后的42天内，将索赔处理结果答复承包人。</w:t>
      </w:r>
    </w:p>
    <w:p w14:paraId="055D42A5">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（3）承包人接受索赔处理结果的，发包人应在作出索赔处理结果答复后28天内完成赔付。承包人不接受索赔处理结果的，按第24条的约定办理。</w:t>
      </w:r>
    </w:p>
    <w:p w14:paraId="37906B1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95" w:name="_Toc30968"/>
      <w:r>
        <w:rPr>
          <w:rFonts w:hint="eastAsia" w:ascii="宋体" w:hAnsi="宋体" w:eastAsia="宋体" w:cs="宋体"/>
          <w:color w:val="auto"/>
          <w:highlight w:val="none"/>
        </w:rPr>
        <w:t>23.3 承包人提出索赔的期限</w:t>
      </w:r>
      <w:bookmarkEnd w:id="295"/>
    </w:p>
    <w:p w14:paraId="1918ECD2">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23.3.1 承包人按第17.5款的约定接受了竣工付款证书后，应被认为已无权再提出在合同工程接收证书颁发前所发生的任何索赔。</w:t>
      </w:r>
    </w:p>
    <w:p w14:paraId="175E6193">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23.3.2 承包人按第17.6款的约定提交的最终结清申请单中，只限于提出工程接收证书颁发后发生的索赔。提出索赔的期限自接受最终结清证书时终止。 </w:t>
      </w:r>
    </w:p>
    <w:p w14:paraId="1D6334D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296" w:name="_Toc11364"/>
      <w:r>
        <w:rPr>
          <w:rFonts w:hint="eastAsia" w:ascii="宋体" w:hAnsi="宋体" w:eastAsia="宋体" w:cs="宋体"/>
          <w:color w:val="auto"/>
          <w:highlight w:val="none"/>
        </w:rPr>
        <w:t>23.4 发包人的索赔</w:t>
      </w:r>
      <w:bookmarkEnd w:id="296"/>
    </w:p>
    <w:p w14:paraId="413EBF2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4D763EB8">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3F1A43D4">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highlight w:val="none"/>
        </w:rPr>
      </w:pPr>
      <w:bookmarkStart w:id="297" w:name="_Toc122424207"/>
      <w:bookmarkStart w:id="298" w:name="_Toc14309"/>
      <w:bookmarkStart w:id="299" w:name="_Toc122424456"/>
      <w:r>
        <w:rPr>
          <w:rFonts w:hint="eastAsia" w:ascii="宋体" w:hAnsi="宋体" w:eastAsia="宋体" w:cs="宋体"/>
          <w:color w:val="auto"/>
          <w:highlight w:val="none"/>
        </w:rPr>
        <w:t>24. 争议的解决</w:t>
      </w:r>
      <w:bookmarkEnd w:id="297"/>
      <w:bookmarkEnd w:id="298"/>
      <w:bookmarkEnd w:id="299"/>
    </w:p>
    <w:p w14:paraId="297E667C">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300" w:name="_Toc16006"/>
      <w:r>
        <w:rPr>
          <w:rFonts w:hint="eastAsia" w:ascii="宋体" w:hAnsi="宋体" w:eastAsia="宋体" w:cs="宋体"/>
          <w:color w:val="auto"/>
          <w:highlight w:val="none"/>
        </w:rPr>
        <w:t>24.1 争议的解决方式</w:t>
      </w:r>
      <w:bookmarkEnd w:id="300"/>
    </w:p>
    <w:p w14:paraId="762ACCC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7FB359D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（1）向约定的仲裁委员会申请仲裁；</w:t>
      </w:r>
    </w:p>
    <w:p w14:paraId="2CA1370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（2）向有管辖权的人民法院提起诉讼。</w:t>
      </w:r>
    </w:p>
    <w:p w14:paraId="29747A87">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301" w:name="_Toc8167"/>
      <w:r>
        <w:rPr>
          <w:rFonts w:hint="eastAsia" w:ascii="宋体" w:hAnsi="宋体" w:eastAsia="宋体" w:cs="宋体"/>
          <w:color w:val="auto"/>
          <w:highlight w:val="none"/>
        </w:rPr>
        <w:t>24.2 友好解决</w:t>
      </w:r>
      <w:bookmarkEnd w:id="301"/>
    </w:p>
    <w:p w14:paraId="415790E7">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在提请争议评审、仲裁或者诉讼前，以及在争议评审、仲裁或诉讼过程中，发包人和承包人均可共同努力友好协商解决争议。</w:t>
      </w:r>
    </w:p>
    <w:p w14:paraId="5E11902E">
      <w:pPr>
        <w:pStyle w:val="5"/>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highlight w:val="none"/>
        </w:rPr>
      </w:pPr>
      <w:bookmarkStart w:id="302" w:name="_Toc2540"/>
      <w:r>
        <w:rPr>
          <w:rFonts w:hint="eastAsia" w:ascii="宋体" w:hAnsi="宋体" w:eastAsia="宋体" w:cs="宋体"/>
          <w:color w:val="auto"/>
          <w:highlight w:val="none"/>
        </w:rPr>
        <w:t>24.3 争议评审</w:t>
      </w:r>
      <w:bookmarkEnd w:id="302"/>
    </w:p>
    <w:p w14:paraId="469038D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24.3.1 采用争议评审的，发包人和承包人应在开工日后的28天内或在争议发生后，协商成立争议评审组。争议评审组由有合同管理和工程实践经验的专家组成。</w:t>
      </w:r>
    </w:p>
    <w:p w14:paraId="3153644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24.3.2 合同双方的争议，应首先由申请人向争议评审组提交一份详细的评审申请报告，并附必要的文件、图纸和证明材料，申请人还应将上述报告的副本同时提交给被申请人和监理人。</w:t>
      </w:r>
    </w:p>
    <w:p w14:paraId="3BB31381">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24.3.3 被申请人在收到申请人评审申请报告副本后的28天内，向争议评审组提交一份答辩报告，并附证明材料。被申请人应将答辩报告的副本同时提交给申请人和监理人。</w:t>
      </w:r>
    </w:p>
    <w:p w14:paraId="15F83F4E">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24.3.4 除专用合同条款另有约定外，争议评审组在收到合同双方报告后的14天内，邀请双方代表和有关人员举行调查会，向双方调查争议细节；必要时争议评审组可要求双方进一步提供补充材料。</w:t>
      </w:r>
    </w:p>
    <w:p w14:paraId="0D74EA06">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3D916300">
      <w:pPr>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24.3.6 发包人和承包人接受评审意见的，由监理人根据评审意见拟定执行协议，经争议双方签字后作为合同的补充文件，并遵照执行。</w:t>
      </w:r>
    </w:p>
    <w:p w14:paraId="35150D3A">
      <w:pPr>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24.3.7 发包人或承包人不接受评审意见，并要求提交仲裁或提起诉讼的，应在收到评审意见后的14天内将仲裁或起诉意向书面通知另一方，并抄送监理人，但在仲裁或诉讼结束前应暂按总监理工程师的确定执行。</w:t>
      </w:r>
      <w:bookmarkStart w:id="303" w:name="_Toc15755"/>
      <w:bookmarkStart w:id="304" w:name="_Toc394929412"/>
      <w:bookmarkStart w:id="305" w:name="_Toc508779703"/>
      <w:bookmarkStart w:id="306" w:name="_Toc517163146"/>
      <w:bookmarkStart w:id="307" w:name="_Toc514759026"/>
      <w:bookmarkStart w:id="308" w:name="_Toc511595187"/>
    </w:p>
    <w:p w14:paraId="66E1D254">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74D577B7">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5FB72A50">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3E710C02">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6EDC2CD9">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407A2A4A">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79D0DDD5">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72BBC6D8">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5959549A">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2F733E72">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66A2C794">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1FE437CB">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3074CF19">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7DF583D2">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13A3B728">
      <w:pPr>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2F253853">
      <w:pPr>
        <w:pStyle w:val="4"/>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第二节  专用合同条款</w:t>
      </w:r>
      <w:bookmarkEnd w:id="303"/>
      <w:bookmarkEnd w:id="304"/>
      <w:bookmarkEnd w:id="305"/>
      <w:bookmarkEnd w:id="306"/>
      <w:bookmarkEnd w:id="307"/>
      <w:bookmarkEnd w:id="308"/>
    </w:p>
    <w:p w14:paraId="72C7ECB5">
      <w:pPr>
        <w:keepNext/>
        <w:keepLines/>
        <w:pageBreakBefore w:val="0"/>
        <w:kinsoku/>
        <w:wordWrap/>
        <w:overflowPunct/>
        <w:topLinePunct w:val="0"/>
        <w:autoSpaceDE/>
        <w:autoSpaceDN/>
        <w:bidi w:val="0"/>
        <w:spacing w:line="360" w:lineRule="auto"/>
        <w:jc w:val="center"/>
        <w:textAlignment w:val="auto"/>
        <w:outlineLvl w:val="1"/>
        <w:rPr>
          <w:rFonts w:hint="eastAsia" w:ascii="宋体" w:hAnsi="宋体" w:eastAsia="宋体" w:cs="宋体"/>
          <w:b/>
          <w:bCs/>
          <w:color w:val="auto"/>
          <w:sz w:val="32"/>
          <w:szCs w:val="32"/>
          <w:highlight w:val="none"/>
        </w:rPr>
      </w:pPr>
      <w:bookmarkStart w:id="309" w:name="_Toc26847"/>
      <w:bookmarkStart w:id="310" w:name="_Toc25648"/>
      <w:bookmarkStart w:id="311" w:name="_Toc122424209"/>
      <w:bookmarkStart w:id="312" w:name="_Toc122424458"/>
      <w:r>
        <w:rPr>
          <w:rFonts w:hint="eastAsia" w:ascii="宋体" w:hAnsi="宋体" w:eastAsia="宋体" w:cs="宋体"/>
          <w:b/>
          <w:bCs/>
          <w:color w:val="auto"/>
          <w:sz w:val="32"/>
          <w:szCs w:val="32"/>
          <w:highlight w:val="none"/>
        </w:rPr>
        <w:t>A.公路工程专用合同条款</w:t>
      </w:r>
      <w:bookmarkEnd w:id="309"/>
      <w:bookmarkEnd w:id="310"/>
      <w:bookmarkEnd w:id="311"/>
      <w:bookmarkEnd w:id="312"/>
    </w:p>
    <w:p w14:paraId="7C851885">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13" w:name="_Toc122424210"/>
      <w:bookmarkStart w:id="314" w:name="_Toc122424459"/>
      <w:bookmarkStart w:id="315" w:name="_Toc11744"/>
      <w:r>
        <w:rPr>
          <w:rFonts w:hint="eastAsia" w:ascii="宋体" w:hAnsi="宋体" w:eastAsia="宋体" w:cs="宋体"/>
          <w:b/>
          <w:bCs/>
          <w:color w:val="auto"/>
          <w:sz w:val="32"/>
          <w:szCs w:val="32"/>
          <w:highlight w:val="none"/>
        </w:rPr>
        <w:t>1.一般约定</w:t>
      </w:r>
      <w:bookmarkEnd w:id="313"/>
      <w:bookmarkEnd w:id="314"/>
      <w:bookmarkEnd w:id="315"/>
    </w:p>
    <w:p w14:paraId="2780B9F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16" w:name="_Toc32051"/>
      <w:r>
        <w:rPr>
          <w:rFonts w:hint="eastAsia" w:ascii="宋体" w:hAnsi="宋体" w:eastAsia="宋体" w:cs="宋体"/>
          <w:b/>
          <w:bCs/>
          <w:color w:val="auto"/>
          <w:sz w:val="28"/>
          <w:szCs w:val="28"/>
          <w:highlight w:val="none"/>
        </w:rPr>
        <w:t>1.1词语定义</w:t>
      </w:r>
      <w:bookmarkEnd w:id="316"/>
    </w:p>
    <w:p w14:paraId="010BA672">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1.1.1 合同</w:t>
      </w:r>
    </w:p>
    <w:p w14:paraId="6E9CB7B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第 1.1.1.6 目细化为：</w:t>
      </w:r>
    </w:p>
    <w:p w14:paraId="38D5B62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技术规范：指本合同所约定的技术标准和要求，是合同文件的组成部分。通用合同条款中“技术标准和要求”一词具有相同含义。</w:t>
      </w:r>
    </w:p>
    <w:p w14:paraId="768BE5B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第 1.1.1.8 目细化为：</w:t>
      </w:r>
    </w:p>
    <w:p w14:paraId="7D216CD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单表 5.1～表 5.5）。</w:t>
      </w:r>
    </w:p>
    <w:p w14:paraId="44BB1FF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本项补充第 1.1.1.10 目：</w:t>
      </w:r>
    </w:p>
    <w:p w14:paraId="550FCC7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1.1.1.10 补遗书：指发出招标文件之后由招标人向已取得招标文件的投标人发出的、编号的对招标文件所作的澄清、修改书。</w:t>
      </w:r>
    </w:p>
    <w:p w14:paraId="3FAC6F1D">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1.1.2合同当事人和人员</w:t>
      </w:r>
    </w:p>
    <w:p w14:paraId="52A5D27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本项补充第 1.1.2.8 目：</w:t>
      </w:r>
    </w:p>
    <w:p w14:paraId="429A47B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1.1.2.8 承包人项目总工：指由承包人书面委派常驻现场负责管理本合同工程的总工程师或技术总负责人。</w:t>
      </w:r>
    </w:p>
    <w:p w14:paraId="4308C053">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1.1.3工程和设备</w:t>
      </w:r>
    </w:p>
    <w:p w14:paraId="22C935D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第 1.1.3.4 目细化为：</w:t>
      </w:r>
    </w:p>
    <w:p w14:paraId="7E2C4D6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单位工程：指在建设项目中，根据签订的合同，具有独立施工条件的工程。第 1.1.3.10 目细化为：</w:t>
      </w:r>
    </w:p>
    <w:p w14:paraId="4016DE2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永久占地：指为实施本合同工程而需要的一切永久占用的土地，包括公路两侧路权范围内的用地。</w:t>
      </w:r>
    </w:p>
    <w:p w14:paraId="00B57B9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第 1.1.3.11 目细化为：</w:t>
      </w:r>
    </w:p>
    <w:p w14:paraId="730C7D5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临时占地：指为实施本合同工程而需要的一切临时占用的土地，包括施工所用的临时支线、便道、便桥和现场的临时出入通道，以及生产（办公）、生活等临时设施用地等。</w:t>
      </w:r>
    </w:p>
    <w:p w14:paraId="30E8DBB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本项补充第 1.1.3.12 目、第 1.1.3.13 目：</w:t>
      </w:r>
    </w:p>
    <w:p w14:paraId="26EB85C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1.1.3.12分部工程：指在单位工程中，按结构部位、路段长度及施工特点或施工任务划分的若干个工程。</w:t>
      </w:r>
    </w:p>
    <w:p w14:paraId="7320A2F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1.1.3.13分项工程：指在分部工程中，按不同的施工方法、材料、工序及路段长度等划分的若干个工程。</w:t>
      </w:r>
    </w:p>
    <w:p w14:paraId="16270F7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1.1.6 其他</w:t>
      </w:r>
    </w:p>
    <w:p w14:paraId="3FA50FF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本项补充第 1.1.6.2 目～第 1.1.6.9 目：</w:t>
      </w:r>
    </w:p>
    <w:p w14:paraId="513AFD5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1.1.6.2竣工验收：指《公路工程竣（交）工验收办法》中的竣工验收。通用合同条款中“国家验收”一词具有相同含义。</w:t>
      </w:r>
    </w:p>
    <w:p w14:paraId="1AED295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1.1.6.3交工：指《公路工程竣（交）工验收办法》中的交工。通用合同条款中“竣工”一词具有相同含义。</w:t>
      </w:r>
    </w:p>
    <w:p w14:paraId="068C0CB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1.1.6.4交工验收：指《公路工程竣（交）工验收办法》中的交工验收。通用合同条款中“竣工验收”一词具有相同含义。</w:t>
      </w:r>
    </w:p>
    <w:p w14:paraId="7329553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1.1.6.5交工验收证书：指《公路工程竣（交）工验收办法》中的交工验收证书。通用合同条款中“工程接收证书”一词具有相同含义。</w:t>
      </w:r>
    </w:p>
    <w:p w14:paraId="3172305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1.1.6.6转包：指承包人违反法律和不履行合同规定的责任和义务，将中标工程全部委托或以专业分包的名义将中标工程肢解后全部委托给其他施工企业施工的行为。</w:t>
      </w:r>
    </w:p>
    <w:p w14:paraId="0AD8150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1.1.6.7专业分包：指承包人与具有相应资格的施工企业签订专业分包合同， 由分包人承担承包人委托的分部工程、分项工程或适合专业化队伍施工的其他工程， 整体结算，并能独立控制工程质量、施工进度、材料采购、生产安全的施工行为。</w:t>
      </w:r>
    </w:p>
    <w:p w14:paraId="3024974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1.1.6.8劳务分包：指承包人与具有施工劳务资质的劳务企业签订劳务分包合同，由劳务企业提供劳务人员及机具，由承包人统一组织施工、统一控制工程质量、施工进度、材料采购、生产安全的施工行为。</w:t>
      </w:r>
    </w:p>
    <w:p w14:paraId="75196BB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1.1.6.9雇用民工：指承包人与具有相应劳动能力的自然人签订劳动合同，由承包人统一组织管理，从事分项工程施工或配套工程施工的行为。</w:t>
      </w:r>
    </w:p>
    <w:p w14:paraId="5A576B98">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17" w:name="_Toc6501"/>
      <w:r>
        <w:rPr>
          <w:rFonts w:hint="eastAsia" w:ascii="宋体" w:hAnsi="宋体" w:eastAsia="宋体" w:cs="宋体"/>
          <w:b/>
          <w:bCs/>
          <w:color w:val="auto"/>
          <w:sz w:val="28"/>
          <w:szCs w:val="28"/>
          <w:highlight w:val="none"/>
        </w:rPr>
        <w:t>1.4合同文件的优先顺序</w:t>
      </w:r>
      <w:bookmarkEnd w:id="317"/>
    </w:p>
    <w:p w14:paraId="6D9597C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本款约定为：</w:t>
      </w:r>
    </w:p>
    <w:p w14:paraId="2CD665F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组成合同的各项文件应互相解释，互为说明。除项目专用合同条款另有约定外，解释合同文件的优先顺序如下：</w:t>
      </w:r>
    </w:p>
    <w:p w14:paraId="6DBF058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（1）合同协议书及各种合同附件（含评标期间和合同谈判过程中的澄清文件和补充资料）；</w:t>
      </w:r>
    </w:p>
    <w:p w14:paraId="4CEBA6F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（2）中标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通知书；</w:t>
      </w:r>
    </w:p>
    <w:p w14:paraId="657731E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投标函</w:t>
      </w:r>
      <w:r>
        <w:rPr>
          <w:rFonts w:hint="eastAsia" w:ascii="宋体" w:hAnsi="宋体" w:eastAsia="宋体" w:cs="宋体"/>
          <w:color w:val="auto"/>
          <w:highlight w:val="none"/>
        </w:rPr>
        <w:t>及投标函附录</w:t>
      </w:r>
      <w:r>
        <w:rPr>
          <w:rFonts w:hint="eastAsia" w:ascii="宋体" w:hAnsi="宋体" w:cs="宋体"/>
          <w:color w:val="auto"/>
          <w:highlight w:val="none"/>
          <w:lang w:val="en-US" w:eastAsia="zh-CN"/>
        </w:rPr>
        <w:t>(响应函）</w:t>
      </w:r>
      <w:r>
        <w:rPr>
          <w:rFonts w:hint="eastAsia" w:ascii="宋体" w:hAnsi="宋体" w:eastAsia="宋体" w:cs="宋体"/>
          <w:color w:val="auto"/>
          <w:highlight w:val="none"/>
        </w:rPr>
        <w:t>；</w:t>
      </w:r>
    </w:p>
    <w:p w14:paraId="2DA9C62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（4）项目专用合同条款；</w:t>
      </w:r>
    </w:p>
    <w:p w14:paraId="586F1C7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（5）公路工程专用合同条款；</w:t>
      </w:r>
    </w:p>
    <w:p w14:paraId="72B154E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（6）通用合同条款；</w:t>
      </w:r>
    </w:p>
    <w:p w14:paraId="7661CCE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（7）工程量清单计量规则；</w:t>
      </w:r>
    </w:p>
    <w:p w14:paraId="2AF2F95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（8）技术规范；</w:t>
      </w:r>
    </w:p>
    <w:p w14:paraId="3101489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（9）图纸；</w:t>
      </w:r>
    </w:p>
    <w:p w14:paraId="04ACB43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（10）已标价工程量清单；</w:t>
      </w:r>
    </w:p>
    <w:p w14:paraId="1B82F24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（11）承包人有关人员、设备投入的承诺及投标（响应）文件中的施工组织设计；</w:t>
      </w:r>
    </w:p>
    <w:p w14:paraId="5CB5A96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（12）其他合同文件。</w:t>
      </w:r>
    </w:p>
    <w:p w14:paraId="5DFF3DAB">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18" w:name="_Toc14018"/>
      <w:r>
        <w:rPr>
          <w:rFonts w:hint="eastAsia" w:ascii="宋体" w:hAnsi="宋体" w:eastAsia="宋体" w:cs="宋体"/>
          <w:b/>
          <w:bCs/>
          <w:color w:val="auto"/>
          <w:sz w:val="28"/>
          <w:szCs w:val="28"/>
          <w:highlight w:val="none"/>
        </w:rPr>
        <w:t>1.5合同协议书</w:t>
      </w:r>
      <w:bookmarkEnd w:id="318"/>
    </w:p>
    <w:p w14:paraId="0766A66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5C7D38E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制备本合同文件的费用由发包人承担。在合同协议书签订并生效之前，投标函和中标通知书将对双方具有约束力。</w:t>
      </w:r>
    </w:p>
    <w:p w14:paraId="239C663F">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19" w:name="_Toc6014"/>
      <w:r>
        <w:rPr>
          <w:rFonts w:hint="eastAsia" w:ascii="宋体" w:hAnsi="宋体" w:eastAsia="宋体" w:cs="宋体"/>
          <w:b/>
          <w:bCs/>
          <w:color w:val="auto"/>
          <w:sz w:val="28"/>
          <w:szCs w:val="28"/>
          <w:highlight w:val="none"/>
        </w:rPr>
        <w:t>1.6图纸和承包人文件</w:t>
      </w:r>
      <w:bookmarkEnd w:id="319"/>
    </w:p>
    <w:p w14:paraId="54FBF74F">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1.6.1图纸的提供</w:t>
      </w:r>
    </w:p>
    <w:p w14:paraId="284585D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0522185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监理人应在发出中标通知书之后 42 天内，向承包人免费提供由发包人或其委托的设计单位设计的施工图纸、技术规范和其他技术资料 2 份，并向承包人进行技术交底。承包人需要更多份数时，应自费复制。由于发包人未按时提供图纸造成工期延误的，按第 11.3 款的约定办理。</w:t>
      </w:r>
    </w:p>
    <w:p w14:paraId="4A19CEF2">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1.6.2承包人提供的文件</w:t>
      </w:r>
    </w:p>
    <w:p w14:paraId="2721532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70086D5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有下列情形之一的，承包人应免费向监理人提交相关部分工程的施工图纸 3 份， 并附必要的计算书、技术资料，或施工工艺图、设备安装图及安装设备的使用和维护手册各 2 份供监理人批准。</w:t>
      </w:r>
    </w:p>
    <w:p w14:paraId="6812956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（1）为使第 1.6.1 项所述的施工图纸适合于经施工测量后的纵、横断面；</w:t>
      </w:r>
    </w:p>
    <w:p w14:paraId="1454621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（2）为使第 1.6.1 项所述的施工图纸适合于现场具体地形；</w:t>
      </w:r>
    </w:p>
    <w:p w14:paraId="4E360FE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（3）为使第 1.6.1 项所述的施工图纸适合于因尺寸与位置变化而引起局部变更；</w:t>
      </w:r>
    </w:p>
    <w:p w14:paraId="08CB432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（4）由于合同要求与施工需要。</w:t>
      </w:r>
    </w:p>
    <w:p w14:paraId="3F972F2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此类图纸应按监理人规定的格式和图幅绘制。监理人在收到由承包人绘制的上述工程、工艺图纸、计算书和有关技术资料后 14 天内应予批准或提出修改要求，承包人应按监理人提出的要求作出修改，重新向监理人提交，监理人应在 7 天内批准或提出进一步的修改意见。</w:t>
      </w:r>
    </w:p>
    <w:p w14:paraId="47BFC859">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1.6.4 图纸的错误</w:t>
      </w:r>
    </w:p>
    <w:p w14:paraId="15A3CB3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5195E69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2F1A79FA">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20" w:name="_Toc24253"/>
      <w:r>
        <w:rPr>
          <w:rFonts w:hint="eastAsia" w:ascii="宋体" w:hAnsi="宋体" w:eastAsia="宋体" w:cs="宋体"/>
          <w:b/>
          <w:bCs/>
          <w:color w:val="auto"/>
          <w:sz w:val="28"/>
          <w:szCs w:val="28"/>
          <w:highlight w:val="none"/>
        </w:rPr>
        <w:t>1.9 严禁贿赂</w:t>
      </w:r>
      <w:bookmarkEnd w:id="320"/>
    </w:p>
    <w:p w14:paraId="7AB6378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6AD5A16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4DE76516">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21" w:name="_Toc20696"/>
      <w:bookmarkStart w:id="322" w:name="_Toc122424460"/>
      <w:bookmarkStart w:id="323" w:name="_Toc122424211"/>
      <w:r>
        <w:rPr>
          <w:rFonts w:hint="eastAsia" w:ascii="宋体" w:hAnsi="宋体" w:eastAsia="宋体" w:cs="宋体"/>
          <w:b/>
          <w:bCs/>
          <w:color w:val="auto"/>
          <w:sz w:val="32"/>
          <w:szCs w:val="32"/>
          <w:highlight w:val="none"/>
        </w:rPr>
        <w:t>2.发包人义务</w:t>
      </w:r>
      <w:bookmarkEnd w:id="321"/>
      <w:bookmarkEnd w:id="322"/>
      <w:bookmarkEnd w:id="323"/>
    </w:p>
    <w:p w14:paraId="0F22D06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24" w:name="_Toc22133"/>
      <w:r>
        <w:rPr>
          <w:rFonts w:hint="eastAsia" w:ascii="宋体" w:hAnsi="宋体" w:eastAsia="宋体" w:cs="宋体"/>
          <w:b/>
          <w:bCs/>
          <w:color w:val="auto"/>
          <w:sz w:val="28"/>
          <w:szCs w:val="28"/>
          <w:highlight w:val="none"/>
        </w:rPr>
        <w:t>2.3 提供施工场地</w:t>
      </w:r>
      <w:bookmarkEnd w:id="324"/>
    </w:p>
    <w:p w14:paraId="0F884FE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0753D55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发包人负责办理永久占地的征用及与之有关的拆迁赔偿手续并承担相关费用。承包人在按第 10 条规定提交施工进度计划的同时，应向监理人提交一份按施工先后次</w:t>
      </w:r>
    </w:p>
    <w:p w14:paraId="57B7E49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序所需的永久占地计划。监理人应在收到此计划后的 14 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43105D9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599EC19A">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25" w:name="_Toc122424461"/>
      <w:bookmarkStart w:id="326" w:name="_Toc22405"/>
      <w:bookmarkStart w:id="327" w:name="_Toc122424212"/>
      <w:r>
        <w:rPr>
          <w:rFonts w:hint="eastAsia" w:ascii="宋体" w:hAnsi="宋体" w:eastAsia="宋体" w:cs="宋体"/>
          <w:b/>
          <w:bCs/>
          <w:color w:val="auto"/>
          <w:sz w:val="32"/>
          <w:szCs w:val="32"/>
          <w:highlight w:val="none"/>
        </w:rPr>
        <w:t>3.监理人</w:t>
      </w:r>
      <w:bookmarkEnd w:id="325"/>
      <w:bookmarkEnd w:id="326"/>
      <w:bookmarkEnd w:id="327"/>
    </w:p>
    <w:p w14:paraId="7EF3F1F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28" w:name="_Toc28048"/>
      <w:r>
        <w:rPr>
          <w:rFonts w:hint="eastAsia" w:ascii="宋体" w:hAnsi="宋体" w:eastAsia="宋体" w:cs="宋体"/>
          <w:b/>
          <w:bCs/>
          <w:color w:val="auto"/>
          <w:sz w:val="28"/>
          <w:szCs w:val="28"/>
          <w:highlight w:val="none"/>
        </w:rPr>
        <w:t>3.1监理人的职责和权力</w:t>
      </w:r>
      <w:bookmarkEnd w:id="328"/>
    </w:p>
    <w:p w14:paraId="1CD88514">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3.1.1 项补充：</w:t>
      </w:r>
    </w:p>
    <w:p w14:paraId="3BF82D0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监理人在行使下列权力前需要经发包人事先批准：</w:t>
      </w:r>
    </w:p>
    <w:p w14:paraId="78CEEC1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（1）根据第 4.3 款，同意分包本工程的某些非关键性工作或者适合专业化队伍施工的专项工程；</w:t>
      </w:r>
    </w:p>
    <w:p w14:paraId="14CF26B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（2）确定第 4.11 款下产生的费用增加额；</w:t>
      </w:r>
    </w:p>
    <w:p w14:paraId="22F42DA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（3）根据第 11.1 款、第 12.3 款、第 12.4 款发布开工通知、暂停施工指示或复工通知；</w:t>
      </w:r>
    </w:p>
    <w:p w14:paraId="38FE91B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（4）决定第 11.3 款、第 11.4 款下的工期延长；</w:t>
      </w:r>
    </w:p>
    <w:p w14:paraId="2C2D271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（5）审查批准技术方案或设计的变更；</w:t>
      </w:r>
    </w:p>
    <w:p w14:paraId="07CFDDF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（6）根据第 15.3 款发出的变更指示，其单项工程变更或累计变更涉及的金额超过了项目专用合同条款数据表中规定的金额；</w:t>
      </w:r>
    </w:p>
    <w:p w14:paraId="00F0A1F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（7）确定第 15.4 款下变更工作的单价；</w:t>
      </w:r>
    </w:p>
    <w:p w14:paraId="76F7C22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（8）按照第 15.6 款决定有关暂列金额的使用；</w:t>
      </w:r>
    </w:p>
    <w:p w14:paraId="5666A86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（9）确定第 15.8 款下的暂估价金额；</w:t>
      </w:r>
    </w:p>
    <w:p w14:paraId="10C865B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（10）确定第 23.1 款下的索赔额。</w:t>
      </w:r>
    </w:p>
    <w:p w14:paraId="71990D8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3.5 款商定或确定。</w:t>
      </w:r>
    </w:p>
    <w:p w14:paraId="39ABE4C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29" w:name="_Toc13038"/>
      <w:r>
        <w:rPr>
          <w:rFonts w:hint="eastAsia" w:ascii="宋体" w:hAnsi="宋体" w:eastAsia="宋体" w:cs="宋体"/>
          <w:b/>
          <w:bCs/>
          <w:color w:val="auto"/>
          <w:sz w:val="28"/>
          <w:szCs w:val="28"/>
          <w:highlight w:val="none"/>
        </w:rPr>
        <w:t>3.5 商定或确定</w:t>
      </w:r>
      <w:bookmarkEnd w:id="329"/>
    </w:p>
    <w:p w14:paraId="0B97880F">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3.5.1 项补充：</w:t>
      </w:r>
    </w:p>
    <w:p w14:paraId="31D9815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如果这项商定或确定导致费用增加和（或）工期延长，或者涉及确定变更工程的价格，则总监理工程师在发出通知前，应征得发包人的同意。</w:t>
      </w:r>
    </w:p>
    <w:p w14:paraId="10BE506E">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30" w:name="_Toc4806"/>
      <w:bookmarkStart w:id="331" w:name="_Toc122424213"/>
      <w:bookmarkStart w:id="332" w:name="_Toc122424462"/>
      <w:r>
        <w:rPr>
          <w:rFonts w:hint="eastAsia" w:ascii="宋体" w:hAnsi="宋体" w:eastAsia="宋体" w:cs="宋体"/>
          <w:b/>
          <w:bCs/>
          <w:color w:val="auto"/>
          <w:sz w:val="32"/>
          <w:szCs w:val="32"/>
          <w:highlight w:val="none"/>
        </w:rPr>
        <w:t>4.承包人</w:t>
      </w:r>
      <w:bookmarkEnd w:id="330"/>
      <w:bookmarkEnd w:id="331"/>
      <w:bookmarkEnd w:id="332"/>
    </w:p>
    <w:p w14:paraId="4AED7C17">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3" w:name="_Toc20501"/>
      <w:r>
        <w:rPr>
          <w:rFonts w:hint="eastAsia" w:ascii="宋体" w:hAnsi="宋体" w:eastAsia="宋体" w:cs="宋体"/>
          <w:b/>
          <w:bCs/>
          <w:color w:val="auto"/>
          <w:sz w:val="28"/>
          <w:szCs w:val="28"/>
          <w:highlight w:val="none"/>
        </w:rPr>
        <w:t>4.1承包人的一般义务</w:t>
      </w:r>
      <w:bookmarkEnd w:id="333"/>
    </w:p>
    <w:p w14:paraId="1D5F6453">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4.1.9工程的维护和照管</w:t>
      </w:r>
    </w:p>
    <w:p w14:paraId="5B1F883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3CA1574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18ECCA1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（2）在承包人负责照管与维护期间，如果本工程或材料、设备等发生损失或损害，除不可抗力原因之外，承包人均应自费弥补，并达到合同要求。承包人还应对按第 19 条规定而实施作业过程中由承包人造成的对工程的任何损失或损害负责。</w:t>
      </w:r>
    </w:p>
    <w:p w14:paraId="6392AC2C">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4.1.10其他义务</w:t>
      </w:r>
    </w:p>
    <w:p w14:paraId="5AFBA38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6139BA2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（1）临时占地由承包人向当地政府土地管理部门申请，并办理租用手续，承包人按有关规定直接支付其费用，发包人对此将予以协调。</w:t>
      </w:r>
    </w:p>
    <w:p w14:paraId="3D78576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 100 章中由承包人按总额报价。</w:t>
      </w:r>
    </w:p>
    <w:p w14:paraId="551905A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05D7FE1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13E4336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w:t>
      </w:r>
      <w:r>
        <w:rPr>
          <w:rFonts w:hint="eastAsia" w:ascii="宋体" w:hAnsi="宋体" w:eastAsia="宋体" w:cs="宋体"/>
          <w:color w:val="auto"/>
          <w:highlight w:val="none"/>
          <w:lang w:val="en-US" w:eastAsia="zh-CN"/>
        </w:rPr>
        <w:t xml:space="preserve">  </w:t>
      </w:r>
    </w:p>
    <w:p w14:paraId="1169A2D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5963FC0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工资支付表应如实记录支付单位、支付时间、支付对象、支付数额、支付对象的身份证号和签字等信息。民工花名册和工资支付表应报监理人备查。</w:t>
      </w:r>
    </w:p>
    <w:p w14:paraId="5ECFA7D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1D84FEB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（5）承包人应严格执行招标文件技术规范对施工标准化提出的具体要求，结合本单位施工能力和技术优势，积极采取有利于标准化施工的组织方式和工艺流程， 加强工地建设、工艺控制、人员管理和内业资料管理，强化对施工一线操作人员的培训，改善职工生产生活条件，与此相关的费用承包人应列入工程量清单第 100 章中。</w:t>
      </w:r>
    </w:p>
    <w:p w14:paraId="1B34DCF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（6）承包人应履行项目专用合同条款约定的其他义务。</w:t>
      </w:r>
    </w:p>
    <w:p w14:paraId="2037D2B5">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4" w:name="_Toc31637"/>
      <w:r>
        <w:rPr>
          <w:rFonts w:hint="eastAsia" w:ascii="宋体" w:hAnsi="宋体" w:eastAsia="宋体" w:cs="宋体"/>
          <w:b/>
          <w:bCs/>
          <w:color w:val="auto"/>
          <w:sz w:val="28"/>
          <w:szCs w:val="28"/>
          <w:highlight w:val="none"/>
        </w:rPr>
        <w:t>4.2履约保证金</w:t>
      </w:r>
      <w:bookmarkEnd w:id="334"/>
    </w:p>
    <w:p w14:paraId="160532B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1845929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承包人应保证其履约保证金在发包人签发交工验收证书且承包人按照合同约定缴纳质量保证金前一直有效。发包人应在收到承包人缴纳的质量保证金后 28 天内将履约保证金退还给承包人。</w:t>
      </w:r>
    </w:p>
    <w:p w14:paraId="557ADAE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承包人拒绝按照本合同约定缴纳质量保证金的，发包人有权从交工付款证书中扣留相应金额作为质量保证金，或者直接将履约保证金金额用于保证承包人在缺陷责任期内履行缺陷修复义务。</w:t>
      </w:r>
    </w:p>
    <w:p w14:paraId="56F17348">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5" w:name="_Toc8441"/>
      <w:r>
        <w:rPr>
          <w:rFonts w:hint="eastAsia" w:ascii="宋体" w:hAnsi="宋体" w:eastAsia="宋体" w:cs="宋体"/>
          <w:b/>
          <w:bCs/>
          <w:color w:val="auto"/>
          <w:sz w:val="28"/>
          <w:szCs w:val="28"/>
          <w:highlight w:val="none"/>
        </w:rPr>
        <w:t>4.3分包</w:t>
      </w:r>
      <w:bookmarkEnd w:id="335"/>
    </w:p>
    <w:p w14:paraId="377551A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第 4.3.2 项～第 4.3.4 项细化为：</w:t>
      </w:r>
    </w:p>
    <w:p w14:paraId="6C224D4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4.3.2承包人不得将工程关键性工作分包给第三人。经发包人同意，承包人可将工程的其他部分或工作分包给第三人。分包包括专业分包和劳务分包。</w:t>
      </w:r>
    </w:p>
    <w:p w14:paraId="3BEB8E8B">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4.3.3专业分包</w:t>
      </w:r>
    </w:p>
    <w:p w14:paraId="0E17DDE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在工程施工过程中，承包人进行专业分包必须遵守以下规定：</w:t>
      </w:r>
    </w:p>
    <w:p w14:paraId="3AD24AD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14105EA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（2）专业分包人的资格能力（含安全生产能力）应与其分包工程的标准和规模相适应，且应当具备如下条件：</w:t>
      </w:r>
    </w:p>
    <w:p w14:paraId="25DB190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a.具有经工商登记的法人资格；</w:t>
      </w:r>
    </w:p>
    <w:p w14:paraId="27B7992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b.具有从事类似工程经验的管理与技术人员；</w:t>
      </w:r>
    </w:p>
    <w:p w14:paraId="7E2407A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c.具有（自有或租赁）分包工程所需的施工设备。</w:t>
      </w:r>
    </w:p>
    <w:p w14:paraId="53D604E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承包人应向监理人提交专业分包人的资格能力证明材料，经监理人审查并报发包人批准后，可以将相应专业工程分包给该专业分包人。</w:t>
      </w:r>
    </w:p>
    <w:p w14:paraId="4BC2AF1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（3）专业分包工程不得再次分包。</w:t>
      </w:r>
    </w:p>
    <w:p w14:paraId="4205033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7BBC980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662EB0D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6D2CA76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（7）专业分包人应当依据专业分包合同的约定，组织分包工程的施工，并对分包工程的质量、安全和进度等实施有效控制。专业分包人对其分包的工程向承包人负责，并就所分包的工程向发包人承担连带责任。</w:t>
      </w:r>
    </w:p>
    <w:p w14:paraId="440A46D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1CA43D6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违反上述规定之一者属违规分包。</w:t>
      </w:r>
    </w:p>
    <w:p w14:paraId="17B2D5E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4.3.4劳务分包</w:t>
      </w:r>
    </w:p>
    <w:p w14:paraId="2759CA2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在工程施工过程中，承包人进行劳务分包必须遵守以下规定：</w:t>
      </w:r>
    </w:p>
    <w:p w14:paraId="4A1EAC0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（1）劳务分包人应具有施工劳务资质。</w:t>
      </w:r>
    </w:p>
    <w:p w14:paraId="608C2CC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2A197DE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雇用的劳务作业应加入到承包人的施工班组统一管理。有关施工质量、施工安全、施工进度、环境保护、技术方案、试验检测、材料保管与供应、机械设备等都必须由承包人管理与调配，不得以包代管。</w:t>
      </w:r>
    </w:p>
    <w:p w14:paraId="08F254B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（4）承包人应当对劳务分包人员进行安全培训和管理，劳务分包人不得将其分包的劳务作业再次分包。</w:t>
      </w:r>
    </w:p>
    <w:p w14:paraId="1372FFD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违反上述规定之一者属违规分包。</w:t>
      </w:r>
    </w:p>
    <w:p w14:paraId="78B5CFD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本款补充第 4.3.6 项、第 4.3.7 项：</w:t>
      </w:r>
    </w:p>
    <w:p w14:paraId="42D8EF1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4.3.6发包人对承包人与分包人之间的法律与经济纠纷不承担任何责任和义务。</w:t>
      </w:r>
    </w:p>
    <w:p w14:paraId="25ED041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4.3.7本项目的各项分包工作均应遵守《公路工程施工分包管理办法》的有关规定。</w:t>
      </w:r>
    </w:p>
    <w:p w14:paraId="222BF946">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6" w:name="_Toc660"/>
      <w:r>
        <w:rPr>
          <w:rFonts w:hint="eastAsia" w:ascii="宋体" w:hAnsi="宋体" w:eastAsia="宋体" w:cs="宋体"/>
          <w:b/>
          <w:bCs/>
          <w:color w:val="auto"/>
          <w:sz w:val="28"/>
          <w:szCs w:val="28"/>
          <w:highlight w:val="none"/>
        </w:rPr>
        <w:t>4.4联合体</w:t>
      </w:r>
      <w:bookmarkEnd w:id="336"/>
    </w:p>
    <w:p w14:paraId="32B0FF8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本款补充第 4.4.4 项：</w:t>
      </w:r>
    </w:p>
    <w:p w14:paraId="56A7E34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4.4.4 未经发包人事先同意，联合体的组成与结构不得变动。</w:t>
      </w:r>
    </w:p>
    <w:p w14:paraId="6AEFD607">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7" w:name="_Toc19492"/>
      <w:r>
        <w:rPr>
          <w:rFonts w:hint="eastAsia" w:ascii="宋体" w:hAnsi="宋体" w:eastAsia="宋体" w:cs="宋体"/>
          <w:b/>
          <w:bCs/>
          <w:color w:val="auto"/>
          <w:sz w:val="28"/>
          <w:szCs w:val="28"/>
          <w:highlight w:val="none"/>
        </w:rPr>
        <w:t>4.6承包人人员的管理</w:t>
      </w:r>
      <w:bookmarkEnd w:id="337"/>
    </w:p>
    <w:p w14:paraId="7DF1E0D8">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4.6.3 项细化为：</w:t>
      </w:r>
    </w:p>
    <w:p w14:paraId="575B26D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12F65211">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本款补充第 4.6.5 项：</w:t>
      </w:r>
    </w:p>
    <w:p w14:paraId="29DBD9F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4.6.5 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7EE506E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8" w:name="_Toc14658"/>
      <w:r>
        <w:rPr>
          <w:rFonts w:hint="eastAsia" w:ascii="宋体" w:hAnsi="宋体" w:eastAsia="宋体" w:cs="宋体"/>
          <w:b/>
          <w:bCs/>
          <w:color w:val="auto"/>
          <w:sz w:val="28"/>
          <w:szCs w:val="28"/>
          <w:highlight w:val="none"/>
        </w:rPr>
        <w:t>4.7撤换承包人项目经理和其他人员</w:t>
      </w:r>
      <w:bookmarkEnd w:id="338"/>
    </w:p>
    <w:p w14:paraId="58EBAC3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r>
        <w:rPr>
          <w:rFonts w:hint="eastAsia" w:ascii="宋体" w:hAnsi="宋体" w:eastAsia="宋体" w:cs="宋体"/>
          <w:color w:val="auto"/>
          <w:highlight w:val="none"/>
          <w:u w:val="single"/>
        </w:rPr>
        <w:t>承包人应对其项目经理和其他人员进行有效管理。监理人要求撤换不能胜任本职工作、行为不端或玩忽职守的承包人项目经理和其他人员的，承包人应予以撤换， 同时委派经发包人与监理人同意的新的项目经理和其他人员。</w:t>
      </w:r>
    </w:p>
    <w:p w14:paraId="1C1B18C7">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4.7.1关于项目经理每月在施工现场的时间要求：</w:t>
      </w:r>
      <w:r>
        <w:rPr>
          <w:rFonts w:hint="eastAsia" w:ascii="宋体" w:hAnsi="宋体" w:cs="宋体"/>
          <w:color w:val="auto"/>
          <w:szCs w:val="21"/>
          <w:highlight w:val="none"/>
          <w:u w:val="single"/>
        </w:rPr>
        <w:t>每月</w:t>
      </w:r>
      <w:r>
        <w:rPr>
          <w:rFonts w:hint="eastAsia" w:ascii="宋体" w:hAnsi="宋体" w:cs="宋体"/>
          <w:color w:val="auto"/>
          <w:szCs w:val="21"/>
          <w:highlight w:val="none"/>
          <w:u w:val="single"/>
          <w:lang w:val="en-US" w:eastAsia="zh-CN"/>
        </w:rPr>
        <w:t>不少于</w:t>
      </w:r>
      <w:r>
        <w:rPr>
          <w:rFonts w:hint="eastAsia" w:ascii="宋体" w:hAnsi="宋体" w:cs="宋体"/>
          <w:color w:val="auto"/>
          <w:szCs w:val="21"/>
          <w:highlight w:val="none"/>
          <w:u w:val="single"/>
        </w:rPr>
        <w:t>22天</w:t>
      </w:r>
      <w:r>
        <w:rPr>
          <w:rFonts w:hint="eastAsia" w:ascii="宋体" w:hAnsi="宋体" w:cs="宋体"/>
          <w:color w:val="auto"/>
          <w:szCs w:val="21"/>
          <w:highlight w:val="none"/>
        </w:rPr>
        <w:t>____。</w:t>
      </w:r>
    </w:p>
    <w:p w14:paraId="1BD4AB58">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4.7.2承包人未提交劳动合同，以及没有为项目经理缴纳社会保险证明的违约责任：</w:t>
      </w:r>
      <w:r>
        <w:rPr>
          <w:rFonts w:hint="eastAsia" w:ascii="宋体" w:hAnsi="宋体" w:cs="宋体"/>
          <w:color w:val="auto"/>
          <w:szCs w:val="21"/>
          <w:highlight w:val="none"/>
          <w:u w:val="single"/>
        </w:rPr>
        <w:t>必须提交，否则不能担任本工程项目经理。</w:t>
      </w:r>
    </w:p>
    <w:p w14:paraId="54DEF175">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4.7.3项目经理未经批准，擅自离开施工现场的违约责任：未经发包人同意或正当理由，项目经理擅自离岗的，视为承包人违约，发包人有权处违约金</w:t>
      </w: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00</w:t>
      </w:r>
      <w:r>
        <w:rPr>
          <w:rFonts w:hint="eastAsia" w:ascii="宋体" w:hAnsi="宋体" w:cs="宋体"/>
          <w:color w:val="auto"/>
          <w:szCs w:val="21"/>
          <w:highlight w:val="none"/>
        </w:rPr>
        <w:t>元/人•次(人民币)。</w:t>
      </w:r>
    </w:p>
    <w:p w14:paraId="73BFC683">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4.7.4承包人擅自更换项目经理的违约责任：承包人项目经理必须与承包人投标时所承诺的人员一致，并在</w:t>
      </w:r>
      <w:r>
        <w:rPr>
          <w:rFonts w:hint="eastAsia" w:ascii="宋体" w:hAnsi="宋体" w:cs="宋体"/>
          <w:color w:val="auto"/>
          <w:szCs w:val="21"/>
          <w:highlight w:val="none"/>
          <w:u w:val="single"/>
        </w:rPr>
        <w:t>（开工日期）</w:t>
      </w:r>
      <w:r>
        <w:rPr>
          <w:rFonts w:hint="eastAsia" w:ascii="宋体" w:hAnsi="宋体" w:cs="宋体"/>
          <w:color w:val="auto"/>
          <w:szCs w:val="21"/>
          <w:highlight w:val="none"/>
        </w:rPr>
        <w:t>前到任。在监理人向承包人颁发</w:t>
      </w:r>
      <w:r>
        <w:rPr>
          <w:rFonts w:hint="eastAsia" w:ascii="宋体" w:hAnsi="宋体" w:cs="宋体"/>
          <w:color w:val="auto"/>
          <w:szCs w:val="21"/>
          <w:highlight w:val="none"/>
          <w:u w:val="single"/>
        </w:rPr>
        <w:t>（竣工证明材料名称）</w:t>
      </w:r>
      <w:r>
        <w:rPr>
          <w:rFonts w:hint="eastAsia" w:ascii="宋体" w:hAnsi="宋体" w:cs="宋体"/>
          <w:color w:val="auto"/>
          <w:szCs w:val="21"/>
          <w:highlight w:val="none"/>
        </w:rPr>
        <w:t>前，项目经理不得同时兼任其他任何项目的项目经理。未经发包人书面同意，承包人擅自更换项目经理的视为违约、违约金处</w:t>
      </w:r>
      <w:r>
        <w:rPr>
          <w:rFonts w:hint="eastAsia" w:ascii="宋体" w:hAnsi="宋体" w:cs="宋体"/>
          <w:color w:val="auto"/>
          <w:szCs w:val="21"/>
          <w:highlight w:val="none"/>
          <w:u w:val="single"/>
        </w:rPr>
        <w:t>合同价款的1%</w:t>
      </w:r>
      <w:r>
        <w:rPr>
          <w:rFonts w:hint="eastAsia" w:ascii="宋体" w:hAnsi="宋体" w:cs="宋体"/>
          <w:color w:val="auto"/>
          <w:szCs w:val="21"/>
          <w:highlight w:val="none"/>
        </w:rPr>
        <w:t>。</w:t>
      </w:r>
    </w:p>
    <w:p w14:paraId="7A3912E1">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4.7.5承包人无正当理由拒绝更换项目经理的违约责任：承包人项目经理因不称职，发包人要求调换而未及时调换的，视为承包人违约，必须向发包人交纳处罚金</w:t>
      </w:r>
      <w:r>
        <w:rPr>
          <w:rFonts w:hint="eastAsia" w:ascii="宋体" w:hAnsi="宋体" w:cs="宋体"/>
          <w:color w:val="auto"/>
          <w:szCs w:val="21"/>
          <w:highlight w:val="none"/>
          <w:u w:val="single"/>
        </w:rPr>
        <w:t>10000</w:t>
      </w:r>
      <w:r>
        <w:rPr>
          <w:rFonts w:hint="eastAsia" w:ascii="宋体" w:hAnsi="宋体" w:cs="宋体"/>
          <w:color w:val="auto"/>
          <w:szCs w:val="21"/>
          <w:highlight w:val="none"/>
        </w:rPr>
        <w:t>元/人•次(人民币)。</w:t>
      </w:r>
    </w:p>
    <w:p w14:paraId="4467F916">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4.7.6承包人人员</w:t>
      </w:r>
    </w:p>
    <w:p w14:paraId="62ABADEC">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4.7.6.1 承包人提交项目管理机构及施工现场管理人员安排报告的期限：</w:t>
      </w:r>
      <w:r>
        <w:rPr>
          <w:rFonts w:hint="eastAsia" w:ascii="宋体" w:hAnsi="宋体" w:cs="宋体"/>
          <w:color w:val="auto"/>
          <w:szCs w:val="21"/>
          <w:highlight w:val="none"/>
          <w:u w:val="single"/>
        </w:rPr>
        <w:t>开工前7天</w:t>
      </w:r>
      <w:r>
        <w:rPr>
          <w:rFonts w:hint="eastAsia" w:ascii="宋体" w:hAnsi="宋体" w:cs="宋体"/>
          <w:color w:val="auto"/>
          <w:szCs w:val="21"/>
          <w:highlight w:val="none"/>
        </w:rPr>
        <w:t>。</w:t>
      </w:r>
    </w:p>
    <w:p w14:paraId="58E1EA89">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4.7.6.2 承包人无正当理由拒绝撤换主要施工管理人员的违约责任：承包人主要施工管理人员因不称职，发包人要求调换而无正当理由拒绝撤换或未及时调换的，视为承包人违约，必须向发包人交纳处罚金，处罚标准：总工</w:t>
      </w:r>
      <w:r>
        <w:rPr>
          <w:rFonts w:hint="eastAsia" w:ascii="宋体" w:hAnsi="宋体" w:cs="宋体"/>
          <w:color w:val="auto"/>
          <w:szCs w:val="21"/>
          <w:highlight w:val="none"/>
          <w:u w:val="single"/>
        </w:rPr>
        <w:t>5000</w:t>
      </w:r>
      <w:r>
        <w:rPr>
          <w:rFonts w:hint="eastAsia" w:ascii="宋体" w:hAnsi="宋体" w:cs="宋体"/>
          <w:color w:val="auto"/>
          <w:szCs w:val="21"/>
          <w:highlight w:val="none"/>
        </w:rPr>
        <w:t>元/人•次(人民币)；专业工程师</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000</w:t>
      </w:r>
      <w:r>
        <w:rPr>
          <w:rFonts w:hint="eastAsia" w:ascii="宋体" w:hAnsi="宋体" w:cs="宋体"/>
          <w:color w:val="auto"/>
          <w:szCs w:val="21"/>
          <w:highlight w:val="none"/>
        </w:rPr>
        <w:t>元/人•次(人民币)。</w:t>
      </w:r>
    </w:p>
    <w:p w14:paraId="216BA890">
      <w:pPr>
        <w:wordWrap w:val="0"/>
        <w:topLinePunct/>
        <w:adjustRightInd w:val="0"/>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4.7.6.3 承包人主要施工管理人员离开施工现场的批准要求：</w:t>
      </w:r>
      <w:r>
        <w:rPr>
          <w:rFonts w:hint="eastAsia" w:ascii="宋体" w:hAnsi="宋体" w:cs="宋体"/>
          <w:color w:val="auto"/>
          <w:szCs w:val="21"/>
          <w:highlight w:val="none"/>
          <w:u w:val="single"/>
        </w:rPr>
        <w:t>报总监办同意后再报业主代表批准</w:t>
      </w:r>
      <w:r>
        <w:rPr>
          <w:rFonts w:hint="eastAsia" w:ascii="宋体" w:hAnsi="宋体" w:cs="宋体"/>
          <w:color w:val="auto"/>
          <w:szCs w:val="21"/>
          <w:highlight w:val="none"/>
        </w:rPr>
        <w:t>。</w:t>
      </w:r>
    </w:p>
    <w:p w14:paraId="02138770">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4.7.6.4承包人擅自更换主要施工管理人员的违约责任：总工、专业工程师未经发包人书面同意不准擅自更换，擅自更换总工处</w:t>
      </w:r>
      <w:r>
        <w:rPr>
          <w:rFonts w:hint="eastAsia" w:ascii="宋体" w:hAnsi="宋体" w:cs="宋体"/>
          <w:color w:val="auto"/>
          <w:szCs w:val="21"/>
          <w:highlight w:val="none"/>
          <w:u w:val="single"/>
        </w:rPr>
        <w:t>合同价款0.5%</w:t>
      </w:r>
      <w:r>
        <w:rPr>
          <w:rFonts w:hint="eastAsia" w:ascii="宋体" w:hAnsi="宋体" w:cs="宋体"/>
          <w:color w:val="auto"/>
          <w:szCs w:val="21"/>
          <w:highlight w:val="none"/>
        </w:rPr>
        <w:t>违约金；擅自更换专业工程师处</w:t>
      </w:r>
      <w:r>
        <w:rPr>
          <w:rFonts w:hint="eastAsia" w:ascii="宋体" w:hAnsi="宋体" w:cs="宋体"/>
          <w:color w:val="auto"/>
          <w:szCs w:val="21"/>
          <w:highlight w:val="none"/>
          <w:u w:val="single"/>
        </w:rPr>
        <w:t>合同价款1‰</w:t>
      </w:r>
      <w:r>
        <w:rPr>
          <w:rFonts w:hint="eastAsia" w:ascii="宋体" w:hAnsi="宋体" w:cs="宋体"/>
          <w:color w:val="auto"/>
          <w:szCs w:val="21"/>
          <w:highlight w:val="none"/>
        </w:rPr>
        <w:t>违约金。</w:t>
      </w:r>
    </w:p>
    <w:p w14:paraId="5606F3F1">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4.7.6.5承包人主要施工管理人员擅自离开施工现场的违约责任：未经发包人同意，总工擅自离岗的，视为承包人违约，发包人有权处违约金</w:t>
      </w:r>
      <w:r>
        <w:rPr>
          <w:rFonts w:hint="eastAsia" w:ascii="宋体" w:hAnsi="宋体" w:cs="宋体"/>
          <w:color w:val="auto"/>
          <w:szCs w:val="21"/>
          <w:highlight w:val="none"/>
          <w:u w:val="single"/>
        </w:rPr>
        <w:t>1000</w:t>
      </w:r>
      <w:r>
        <w:rPr>
          <w:rFonts w:hint="eastAsia" w:ascii="宋体" w:hAnsi="宋体" w:cs="宋体"/>
          <w:color w:val="auto"/>
          <w:szCs w:val="21"/>
          <w:highlight w:val="none"/>
        </w:rPr>
        <w:t>元/人•次(人民币)；未经发包人同意，专业工程师擅自离岗的，视为承包人违约，发包人有权处违约金</w:t>
      </w:r>
      <w:r>
        <w:rPr>
          <w:rFonts w:hint="eastAsia" w:ascii="宋体" w:hAnsi="宋体" w:cs="宋体"/>
          <w:color w:val="auto"/>
          <w:szCs w:val="21"/>
          <w:highlight w:val="none"/>
          <w:u w:val="single"/>
        </w:rPr>
        <w:t>500</w:t>
      </w:r>
      <w:r>
        <w:rPr>
          <w:rFonts w:hint="eastAsia" w:ascii="宋体" w:hAnsi="宋体" w:cs="宋体"/>
          <w:color w:val="auto"/>
          <w:szCs w:val="21"/>
          <w:highlight w:val="none"/>
        </w:rPr>
        <w:t>元/人•次(人民币)。</w:t>
      </w:r>
    </w:p>
    <w:p w14:paraId="37C7D3C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p>
    <w:p w14:paraId="49DFC133">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39" w:name="_Toc5548"/>
      <w:r>
        <w:rPr>
          <w:rFonts w:hint="eastAsia" w:ascii="宋体" w:hAnsi="宋体" w:eastAsia="宋体" w:cs="宋体"/>
          <w:b/>
          <w:bCs/>
          <w:color w:val="auto"/>
          <w:sz w:val="28"/>
          <w:szCs w:val="28"/>
          <w:highlight w:val="none"/>
        </w:rPr>
        <w:t>4.9工程价款应专款专用</w:t>
      </w:r>
      <w:bookmarkEnd w:id="339"/>
    </w:p>
    <w:p w14:paraId="3BE1ED5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0B32598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50099462">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40" w:name="_Toc20880"/>
      <w:r>
        <w:rPr>
          <w:rFonts w:hint="eastAsia" w:ascii="宋体" w:hAnsi="宋体" w:eastAsia="宋体" w:cs="宋体"/>
          <w:b/>
          <w:bCs/>
          <w:color w:val="auto"/>
          <w:sz w:val="28"/>
          <w:szCs w:val="28"/>
          <w:highlight w:val="none"/>
        </w:rPr>
        <w:t>4.10承包人现场查勘</w:t>
      </w:r>
      <w:bookmarkEnd w:id="340"/>
    </w:p>
    <w:p w14:paraId="7EB300B9">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4.10.1 项细化为：</w:t>
      </w:r>
      <w:r>
        <w:rPr>
          <w:rFonts w:hint="eastAsia" w:ascii="宋体" w:hAnsi="宋体" w:eastAsia="宋体" w:cs="宋体"/>
          <w:b/>
          <w:bCs/>
          <w:color w:val="auto"/>
          <w:sz w:val="28"/>
          <w:szCs w:val="28"/>
          <w:highlight w:val="none"/>
          <w:vertAlign w:val="superscript"/>
        </w:rPr>
        <w:footnoteReference w:id="0"/>
      </w:r>
    </w:p>
    <w:p w14:paraId="1D38485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37941328">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41" w:name="_Toc13611"/>
      <w:r>
        <w:rPr>
          <w:rFonts w:hint="eastAsia" w:ascii="宋体" w:hAnsi="宋体" w:eastAsia="宋体" w:cs="宋体"/>
          <w:b/>
          <w:bCs/>
          <w:color w:val="auto"/>
          <w:sz w:val="28"/>
          <w:szCs w:val="28"/>
          <w:highlight w:val="none"/>
        </w:rPr>
        <w:t>4.11不利物质条件</w:t>
      </w:r>
      <w:bookmarkEnd w:id="341"/>
    </w:p>
    <w:p w14:paraId="746BBE1E">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4.11.2 项细化为：</w:t>
      </w:r>
    </w:p>
    <w:p w14:paraId="23F23A2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4.11.2承包人遇到不可预见的不利物质条件时，应采取适应不利物质条件的合理措施继续施工，并及时通知监理人。监理人应当及时发出指示，指示构成变更的， 按第 15 条约定办理。监理人没有发出指示的，承包人因采取合理措施而增加的费用和（或）工期延误，由发包人承担。</w:t>
      </w:r>
    </w:p>
    <w:p w14:paraId="75BEA80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本款补充第 4.11.3 项：</w:t>
      </w:r>
    </w:p>
    <w:p w14:paraId="0DD58A4B">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4.11.3可预见的不利物质条件</w:t>
      </w:r>
    </w:p>
    <w:p w14:paraId="41B90E7A">
      <w:pPr>
        <w:pageBreakBefore w:val="0"/>
        <w:numPr>
          <w:ilvl w:val="0"/>
          <w:numId w:val="8"/>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对于项目专用合同条款中已经明确指出的不利物质条件无论承包人是否有其经历和经验均视为承包人在接受合同时已预见其影响，并已在签约合同价中计入因其影响而可能发生的一切费用。</w:t>
      </w:r>
    </w:p>
    <w:p w14:paraId="227FF35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（2）对于项目专用合同条款未明确指出，但是在不利物质条件发生之前，监理人已经指示承包人有可能发生，但承包人未能及时采取有效措施，而导致的损失和后果均由承包人承担。</w:t>
      </w:r>
    </w:p>
    <w:p w14:paraId="0B1CB38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补充第 4.12 款、第 4.13 款：</w:t>
      </w:r>
    </w:p>
    <w:p w14:paraId="12C1FBA2">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42" w:name="_Toc25718"/>
      <w:r>
        <w:rPr>
          <w:rFonts w:hint="eastAsia" w:ascii="宋体" w:hAnsi="宋体" w:eastAsia="宋体" w:cs="宋体"/>
          <w:b/>
          <w:bCs/>
          <w:color w:val="auto"/>
          <w:sz w:val="28"/>
          <w:szCs w:val="28"/>
          <w:highlight w:val="none"/>
        </w:rPr>
        <w:t>4.12投标文件的完备性</w:t>
      </w:r>
      <w:bookmarkEnd w:id="342"/>
    </w:p>
    <w:p w14:paraId="7D5FA5B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7B763D9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43" w:name="_Toc10357"/>
      <w:r>
        <w:rPr>
          <w:rFonts w:hint="eastAsia" w:ascii="宋体" w:hAnsi="宋体" w:eastAsia="宋体" w:cs="宋体"/>
          <w:b/>
          <w:bCs/>
          <w:color w:val="auto"/>
          <w:sz w:val="28"/>
          <w:szCs w:val="28"/>
          <w:highlight w:val="none"/>
        </w:rPr>
        <w:t>4.13开展党建工作要求</w:t>
      </w:r>
      <w:bookmarkEnd w:id="343"/>
    </w:p>
    <w:p w14:paraId="6D63308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644EE20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6DB964A">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44" w:name="_Toc1605"/>
      <w:bookmarkStart w:id="345" w:name="_Toc122424463"/>
      <w:bookmarkStart w:id="346" w:name="_Toc122424214"/>
      <w:r>
        <w:rPr>
          <w:rFonts w:hint="eastAsia" w:ascii="宋体" w:hAnsi="宋体" w:eastAsia="宋体" w:cs="宋体"/>
          <w:b/>
          <w:bCs/>
          <w:color w:val="auto"/>
          <w:sz w:val="32"/>
          <w:szCs w:val="32"/>
          <w:highlight w:val="none"/>
        </w:rPr>
        <w:t>5.材料和工程设备</w:t>
      </w:r>
      <w:bookmarkEnd w:id="344"/>
      <w:bookmarkEnd w:id="345"/>
      <w:bookmarkEnd w:id="346"/>
    </w:p>
    <w:p w14:paraId="6261CD3D">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47" w:name="_Toc20766"/>
      <w:r>
        <w:rPr>
          <w:rFonts w:hint="eastAsia" w:ascii="宋体" w:hAnsi="宋体" w:eastAsia="宋体" w:cs="宋体"/>
          <w:b/>
          <w:bCs/>
          <w:color w:val="auto"/>
          <w:sz w:val="28"/>
          <w:szCs w:val="28"/>
          <w:highlight w:val="none"/>
        </w:rPr>
        <w:t>5.2 发包人提供的材料和工程设备</w:t>
      </w:r>
      <w:bookmarkEnd w:id="347"/>
    </w:p>
    <w:p w14:paraId="6BF94CEA">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5.2.3 项补充：</w:t>
      </w:r>
    </w:p>
    <w:p w14:paraId="2F919D5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4611B5F6">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48" w:name="_Toc24228"/>
      <w:bookmarkStart w:id="349" w:name="_Toc122424464"/>
      <w:bookmarkStart w:id="350" w:name="_Toc122424215"/>
      <w:r>
        <w:rPr>
          <w:rFonts w:hint="eastAsia" w:ascii="宋体" w:hAnsi="宋体" w:eastAsia="宋体" w:cs="宋体"/>
          <w:b/>
          <w:bCs/>
          <w:color w:val="auto"/>
          <w:sz w:val="32"/>
          <w:szCs w:val="32"/>
          <w:highlight w:val="none"/>
        </w:rPr>
        <w:t>6.施工设备和临时设施</w:t>
      </w:r>
      <w:bookmarkEnd w:id="348"/>
      <w:bookmarkEnd w:id="349"/>
      <w:bookmarkEnd w:id="350"/>
    </w:p>
    <w:p w14:paraId="11BF4659">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51" w:name="_Toc23309"/>
      <w:r>
        <w:rPr>
          <w:rFonts w:hint="eastAsia" w:ascii="宋体" w:hAnsi="宋体" w:eastAsia="宋体" w:cs="宋体"/>
          <w:b/>
          <w:bCs/>
          <w:color w:val="auto"/>
          <w:sz w:val="28"/>
          <w:szCs w:val="28"/>
          <w:highlight w:val="none"/>
        </w:rPr>
        <w:t>6.1承包人提供的施工设备和临时设施</w:t>
      </w:r>
      <w:bookmarkEnd w:id="351"/>
    </w:p>
    <w:p w14:paraId="46FE50E4">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6.1.2 项约定为：</w:t>
      </w:r>
    </w:p>
    <w:p w14:paraId="04A0F73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承包人应自行承担修建临时设施的费用，需要临时占地的，应由承包人按第4.1.10 项（1）目的规定办理。</w:t>
      </w:r>
    </w:p>
    <w:p w14:paraId="1A49AEA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52" w:name="_Toc26966"/>
      <w:r>
        <w:rPr>
          <w:rFonts w:hint="eastAsia" w:ascii="宋体" w:hAnsi="宋体" w:eastAsia="宋体" w:cs="宋体"/>
          <w:b/>
          <w:bCs/>
          <w:color w:val="auto"/>
          <w:sz w:val="28"/>
          <w:szCs w:val="28"/>
          <w:highlight w:val="none"/>
        </w:rPr>
        <w:t>6.3 要求承包人增加或更换施工设备</w:t>
      </w:r>
      <w:bookmarkEnd w:id="352"/>
    </w:p>
    <w:p w14:paraId="25FA204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1D95DD6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4FEA101A">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53" w:name="_Toc7330"/>
      <w:bookmarkStart w:id="354" w:name="_Toc122424465"/>
      <w:bookmarkStart w:id="355" w:name="_Toc122424216"/>
      <w:r>
        <w:rPr>
          <w:rFonts w:hint="eastAsia" w:ascii="宋体" w:hAnsi="宋体" w:eastAsia="宋体" w:cs="宋体"/>
          <w:b/>
          <w:bCs/>
          <w:color w:val="auto"/>
          <w:sz w:val="32"/>
          <w:szCs w:val="32"/>
          <w:highlight w:val="none"/>
        </w:rPr>
        <w:t>7.交通运输</w:t>
      </w:r>
      <w:bookmarkEnd w:id="353"/>
      <w:bookmarkEnd w:id="354"/>
      <w:bookmarkEnd w:id="355"/>
    </w:p>
    <w:p w14:paraId="3A477BE9">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56" w:name="_Toc28212"/>
      <w:r>
        <w:rPr>
          <w:rFonts w:hint="eastAsia" w:ascii="宋体" w:hAnsi="宋体" w:eastAsia="宋体" w:cs="宋体"/>
          <w:b/>
          <w:bCs/>
          <w:color w:val="auto"/>
          <w:sz w:val="28"/>
          <w:szCs w:val="28"/>
          <w:highlight w:val="none"/>
        </w:rPr>
        <w:t>7.1道路通行权和场外设施</w:t>
      </w:r>
      <w:bookmarkEnd w:id="356"/>
    </w:p>
    <w:p w14:paraId="5412499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本款约定为：</w:t>
      </w:r>
    </w:p>
    <w:p w14:paraId="16115A9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785CD515">
      <w:pPr>
        <w:wordWrap w:val="0"/>
        <w:topLinePunct/>
        <w:adjustRightInd w:val="0"/>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本款补充</w:t>
      </w:r>
      <w:r>
        <w:rPr>
          <w:rFonts w:hint="eastAsia" w:ascii="宋体" w:hAnsi="宋体" w:eastAsia="宋体" w:cs="宋体"/>
          <w:color w:val="auto"/>
          <w:szCs w:val="21"/>
          <w:highlight w:val="none"/>
        </w:rPr>
        <w:t>：</w:t>
      </w:r>
    </w:p>
    <w:p w14:paraId="34923639">
      <w:pPr>
        <w:wordWrap w:val="0"/>
        <w:topLinePunct/>
        <w:adjustRightInd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旧路改建工程项目</w:t>
      </w:r>
    </w:p>
    <w:p w14:paraId="01D53964">
      <w:pPr>
        <w:wordWrap w:val="0"/>
        <w:topLinePunct/>
        <w:adjustRightInd w:val="0"/>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(I)</w:t>
      </w:r>
      <w:r>
        <w:rPr>
          <w:rFonts w:hint="eastAsia" w:ascii="宋体" w:hAnsi="宋体" w:eastAsia="宋体" w:cs="宋体"/>
          <w:color w:val="auto"/>
          <w:szCs w:val="21"/>
          <w:highlight w:val="none"/>
        </w:rPr>
        <w:t>破坏旧路必须作出交通维持与恢复路面通行条件方案并必须取得监理工程师与业主的批准，未经批准进行旧路开挖与填筑的，业主和监理工程师 有权责令停工，并由承包人恢复原良好的通车条件，并需承担一切费用。</w:t>
      </w:r>
    </w:p>
    <w:p w14:paraId="2047B5EC">
      <w:pPr>
        <w:numPr>
          <w:ilvl w:val="0"/>
          <w:numId w:val="0"/>
        </w:numPr>
        <w:wordWrap w:val="0"/>
        <w:topLinePunct/>
        <w:adjustRightIn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II</w:t>
      </w:r>
      <w:r>
        <w:rPr>
          <w:rFonts w:hint="eastAsia" w:ascii="宋体" w:hAnsi="宋体" w:eastAsia="宋体" w:cs="宋体"/>
          <w:color w:val="auto"/>
          <w:szCs w:val="21"/>
          <w:highlight w:val="none"/>
        </w:rPr>
        <w:t>)不得在道路上堆放材料或占道施工影响交通。</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路基、路面施工应避免出现晴天扬尘，雨天打滑影响安全与交通和影响群众生活、生产的现象。</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维持交通的路基施工应保证表面平整，保证通畅。</w:t>
      </w:r>
    </w:p>
    <w:p w14:paraId="1B19CB11">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57" w:name="_Toc122424466"/>
      <w:bookmarkStart w:id="358" w:name="_Toc122424217"/>
      <w:bookmarkStart w:id="359" w:name="_Toc25933"/>
      <w:r>
        <w:rPr>
          <w:rFonts w:hint="eastAsia" w:ascii="宋体" w:hAnsi="宋体" w:eastAsia="宋体" w:cs="宋体"/>
          <w:b/>
          <w:bCs/>
          <w:color w:val="auto"/>
          <w:sz w:val="32"/>
          <w:szCs w:val="32"/>
          <w:highlight w:val="none"/>
        </w:rPr>
        <w:t>8.测量放线</w:t>
      </w:r>
      <w:bookmarkEnd w:id="357"/>
      <w:bookmarkEnd w:id="358"/>
      <w:bookmarkEnd w:id="359"/>
    </w:p>
    <w:p w14:paraId="7FB6B2DD">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60" w:name="_Toc29191"/>
      <w:r>
        <w:rPr>
          <w:rFonts w:hint="eastAsia" w:ascii="宋体" w:hAnsi="宋体" w:eastAsia="宋体" w:cs="宋体"/>
          <w:b/>
          <w:bCs/>
          <w:color w:val="auto"/>
          <w:sz w:val="28"/>
          <w:szCs w:val="28"/>
          <w:highlight w:val="none"/>
        </w:rPr>
        <w:t>8.4 监理人使用施工控制网</w:t>
      </w:r>
      <w:bookmarkEnd w:id="360"/>
    </w:p>
    <w:p w14:paraId="54E3364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4D69CC3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经监理人批准，其他相关承包人也可免费使用施工控制网。</w:t>
      </w:r>
    </w:p>
    <w:p w14:paraId="0AC814FF">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61" w:name="_Toc5499"/>
      <w:bookmarkStart w:id="362" w:name="_Toc122424467"/>
      <w:bookmarkStart w:id="363" w:name="_Toc122424218"/>
      <w:r>
        <w:rPr>
          <w:rFonts w:hint="eastAsia" w:ascii="宋体" w:hAnsi="宋体" w:eastAsia="宋体" w:cs="宋体"/>
          <w:b/>
          <w:bCs/>
          <w:color w:val="auto"/>
          <w:sz w:val="32"/>
          <w:szCs w:val="32"/>
          <w:highlight w:val="none"/>
        </w:rPr>
        <w:t>9.施工安全、治安保卫和环境保护</w:t>
      </w:r>
      <w:bookmarkEnd w:id="361"/>
      <w:bookmarkEnd w:id="362"/>
      <w:bookmarkEnd w:id="363"/>
    </w:p>
    <w:p w14:paraId="489EBAB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64" w:name="_Toc12070"/>
      <w:r>
        <w:rPr>
          <w:rFonts w:hint="eastAsia" w:ascii="宋体" w:hAnsi="宋体" w:eastAsia="宋体" w:cs="宋体"/>
          <w:b/>
          <w:bCs/>
          <w:color w:val="auto"/>
          <w:sz w:val="28"/>
          <w:szCs w:val="28"/>
          <w:highlight w:val="none"/>
        </w:rPr>
        <w:t>9.2承包人的施工安全责任</w:t>
      </w:r>
      <w:bookmarkEnd w:id="364"/>
    </w:p>
    <w:p w14:paraId="23B947F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9.2.1 项细化为：</w:t>
      </w:r>
    </w:p>
    <w:p w14:paraId="1D9610C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3EB632A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承包人应根据本工程的实际安全施工要求，编制施工安全技术措施，并在签订合同协议书后 28 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35682BB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本项目需要编制专项施工方案的工程包括但不限于以下内容：</w:t>
      </w:r>
    </w:p>
    <w:p w14:paraId="5399BAB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（1）不良地质条件下有潜在危险性的土方、石方开挖；</w:t>
      </w:r>
    </w:p>
    <w:p w14:paraId="2E83832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（2）滑坡和高边坡处理；</w:t>
      </w:r>
    </w:p>
    <w:p w14:paraId="127F110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（3）桩基础、挡墙基础、深水基础及围堰工程；</w:t>
      </w:r>
    </w:p>
    <w:p w14:paraId="6AAE989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（4）桥梁工程中的梁、拱、柱等构件施工等；</w:t>
      </w:r>
    </w:p>
    <w:p w14:paraId="4938DAE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（5）隧道工程中的不良地质隧道、高瓦斯隧道等；</w:t>
      </w:r>
    </w:p>
    <w:p w14:paraId="4638236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（6）水上工程中的打桩船作业、施工船作业、外海孤岛作业、边通航边施工 作业等；</w:t>
      </w:r>
    </w:p>
    <w:p w14:paraId="0215C44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（7）水下工程中的水下焊接、混凝土浇筑、爆破工程等；</w:t>
      </w:r>
    </w:p>
    <w:p w14:paraId="1306FFA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（8）爆破工程；</w:t>
      </w:r>
    </w:p>
    <w:p w14:paraId="6F12119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（9）大型临时工程中的大型支架、模板、便桥的架设与拆除；桥梁、码头的加固与拆除；</w:t>
      </w:r>
    </w:p>
    <w:p w14:paraId="04ED509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（10）其他危险性较大的工程。</w:t>
      </w:r>
    </w:p>
    <w:p w14:paraId="0E89944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监理人和发包人在检查中发现有安全问题或有违反安全管理规章制度的情况时，可视为承包人违约，应按第 22.1 款的规定办理。</w:t>
      </w:r>
    </w:p>
    <w:p w14:paraId="1EECBA35">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9.2.5 项细化为：</w:t>
      </w:r>
    </w:p>
    <w:p w14:paraId="5796AE7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 3.5 款商定或确定。</w:t>
      </w:r>
    </w:p>
    <w:p w14:paraId="7AB49242">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本款补充第 9.2.8 项~第 9.2.11 项：</w:t>
      </w:r>
    </w:p>
    <w:p w14:paraId="2043BCC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9.2.8承包人应充分关注和保障所有在现场工作的人员的安全，采取以下有效措施，使现场和本合同工程的实施保持有条不紊，以免使上述人员的安全受到威胁。</w:t>
      </w:r>
    </w:p>
    <w:p w14:paraId="521AE1A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（1）按《公路水运工程安全生产监督管理办法》规定的最低数量和资质条件配备专职安全生产管理人员；</w:t>
      </w:r>
    </w:p>
    <w:p w14:paraId="6DB3295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（2）承包人的垂直运输机械作业人员、施工船舶作业人员、爆破作业人员、 安装拆卸工、起重信号工、电工、焊工等国家规定的特种作业人员，必须按照国家规定经过专门的安全作业培训，并取得特种作业操作资格证书后，方可上岗作业；</w:t>
      </w:r>
    </w:p>
    <w:p w14:paraId="39BFDEF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（3）所有施工机具设备和高空作业设备均应定期检查，并有安全员的签字记录；</w:t>
      </w:r>
    </w:p>
    <w:p w14:paraId="7E842DC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（4）根据本合同各单位工程的施工特点，严格执行《公路水运工程安全生产监督管理办法》《公路工程施工安全技术规范》等有关规定。</w:t>
      </w:r>
    </w:p>
    <w:p w14:paraId="378318E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9.2.9为了保护本合同工程免遭损坏，或为了现场附近和过往群众的安全与方便，在确有必要的时候和地方，或当监理人或有关主管部门要求时，承包人应自费提供照明、警卫、护栅、警告标志等安全防护设施。</w:t>
      </w:r>
    </w:p>
    <w:p w14:paraId="76632DD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9.2.10在通航水域施工时，承包人应与当地主管部门取得联系，设置必要的导航标志，及时发布航行通告，确保施工水域安全。</w:t>
      </w:r>
    </w:p>
    <w:p w14:paraId="4464EB3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F2E1FEA">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65" w:name="_Toc29507"/>
      <w:r>
        <w:rPr>
          <w:rFonts w:hint="eastAsia" w:ascii="宋体" w:hAnsi="宋体" w:eastAsia="宋体" w:cs="宋体"/>
          <w:b/>
          <w:bCs/>
          <w:color w:val="auto"/>
          <w:sz w:val="28"/>
          <w:szCs w:val="28"/>
          <w:highlight w:val="none"/>
        </w:rPr>
        <w:t>9.4 环境保护</w:t>
      </w:r>
      <w:bookmarkEnd w:id="365"/>
    </w:p>
    <w:p w14:paraId="61D7131F">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本款补充第 9.4.7 项~第 9.4.11 项：</w:t>
      </w:r>
    </w:p>
    <w:p w14:paraId="4EA0941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9.4.7承包人应切实执行技术规范中有关环境保护方面的条款和规定。</w:t>
      </w:r>
    </w:p>
    <w:p w14:paraId="3FCE0DB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 150m 以内的施工现场， 施工时间应加以控制。</w:t>
      </w:r>
    </w:p>
    <w:p w14:paraId="3898B49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（2）对于公路施工中粉尘污染的主要污染源――灰土拌和、施工车辆和筑路机械运行及运输产生的扬尘，应采取有效措施减轻其对施工现场的大气污染，保护人民健康，如：</w:t>
      </w:r>
    </w:p>
    <w:p w14:paraId="7435353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a.拌和设备应有较好的密封，或有防尘设备。</w:t>
      </w:r>
    </w:p>
    <w:p w14:paraId="1A12EB1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b.施工通道、沥青混凝土拌和站及灰土拌和站应经常进行洒水降尘。</w:t>
      </w:r>
    </w:p>
    <w:p w14:paraId="5C50DDF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c.路面施工应注意保持水分，以免扬尘。</w:t>
      </w:r>
    </w:p>
    <w:p w14:paraId="52CB96B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d.隧道出渣和桥梁钻孔灌注桩施工时排出的泥浆要进行妥善处理，严禁向河流或农田排放。</w:t>
      </w:r>
    </w:p>
    <w:p w14:paraId="6C1985A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（3）采取可靠措施保证原有交通的正常通行，维持沿线村镇的居民饮水、农田灌溉、生产生活用电及通信等管线的正常使用。</w:t>
      </w:r>
    </w:p>
    <w:p w14:paraId="590743C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7D1F55F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9.4.9在施工期间，承包人应随时保持现场整洁，施工设备和材料、工程设备应整齐妥善存放和储存，废料与垃圾及不再需要的临时设施应及时从现场清除、拆除并运走。</w:t>
      </w:r>
    </w:p>
    <w:p w14:paraId="41CA346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9.4.10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2E0B844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9.4.11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要完善施工中的临时排水系统，加强施工便道的管理。取（弃）土场必须先挡后弃， 严禁在指定的取（弃）土场以外的地方乱挖乱弃。</w:t>
      </w:r>
    </w:p>
    <w:p w14:paraId="240DA8AA">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66" w:name="_Toc23551"/>
      <w:bookmarkStart w:id="367" w:name="_Toc122424219"/>
      <w:bookmarkStart w:id="368" w:name="_Toc122424468"/>
      <w:r>
        <w:rPr>
          <w:rFonts w:hint="eastAsia" w:ascii="宋体" w:hAnsi="宋体" w:eastAsia="宋体" w:cs="宋体"/>
          <w:b/>
          <w:bCs/>
          <w:color w:val="auto"/>
          <w:sz w:val="32"/>
          <w:szCs w:val="32"/>
          <w:highlight w:val="none"/>
        </w:rPr>
        <w:t>10.进度计划</w:t>
      </w:r>
      <w:bookmarkEnd w:id="366"/>
      <w:bookmarkEnd w:id="367"/>
      <w:bookmarkEnd w:id="368"/>
    </w:p>
    <w:p w14:paraId="7CD2EEE3">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69" w:name="_Toc2371"/>
      <w:r>
        <w:rPr>
          <w:rFonts w:hint="eastAsia" w:ascii="宋体" w:hAnsi="宋体" w:eastAsia="宋体" w:cs="宋体"/>
          <w:b/>
          <w:bCs/>
          <w:color w:val="auto"/>
          <w:sz w:val="28"/>
          <w:szCs w:val="28"/>
          <w:highlight w:val="none"/>
        </w:rPr>
        <w:t>10.1合同进度计划</w:t>
      </w:r>
      <w:bookmarkEnd w:id="369"/>
    </w:p>
    <w:p w14:paraId="56EDC4E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4DE8AF6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承包人编制施工方案说明的内容见项目专用合同条款。</w:t>
      </w:r>
    </w:p>
    <w:p w14:paraId="1192883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承包人向监理人报送施工进度计划和施工方案说明的期限：签订合同协议书后28 天之内。</w:t>
      </w:r>
    </w:p>
    <w:p w14:paraId="40FCC8C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监理人应在 14 天内对承包人施工进度计划和施工方案说明予以批复或提出修改意见。</w:t>
      </w:r>
    </w:p>
    <w:p w14:paraId="1CF39DB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合同进度计划应按照关键线路网络图和主要工作横道图两种形式分别编绘，并应包括每月预计完成的工作量和形象进度。</w:t>
      </w:r>
    </w:p>
    <w:p w14:paraId="468B3128">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0" w:name="_Toc30457"/>
      <w:r>
        <w:rPr>
          <w:rFonts w:hint="eastAsia" w:ascii="宋体" w:hAnsi="宋体" w:eastAsia="宋体" w:cs="宋体"/>
          <w:b/>
          <w:bCs/>
          <w:color w:val="auto"/>
          <w:sz w:val="28"/>
          <w:szCs w:val="28"/>
          <w:highlight w:val="none"/>
        </w:rPr>
        <w:t>10.2合同进度计划的修订</w:t>
      </w:r>
      <w:bookmarkEnd w:id="370"/>
    </w:p>
    <w:p w14:paraId="786CA4C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1A00B74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承包人提交合同进度计划修订申请报告，并附有关措施和相关资料的期限：实际进度发生滞后的当月 25 日前。</w:t>
      </w:r>
    </w:p>
    <w:p w14:paraId="59E54BB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监理人批复修订合同进度计划的期限：收到修订合同进度计划后 14 天内。</w:t>
      </w:r>
    </w:p>
    <w:p w14:paraId="694F571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本条补充第 10.3 款、第 10.4 款：</w:t>
      </w:r>
    </w:p>
    <w:p w14:paraId="03A3550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1" w:name="_Toc2437"/>
      <w:r>
        <w:rPr>
          <w:rFonts w:hint="eastAsia" w:ascii="宋体" w:hAnsi="宋体" w:eastAsia="宋体" w:cs="宋体"/>
          <w:b/>
          <w:bCs/>
          <w:color w:val="auto"/>
          <w:sz w:val="28"/>
          <w:szCs w:val="28"/>
          <w:highlight w:val="none"/>
        </w:rPr>
        <w:t>10.3年度施工计划</w:t>
      </w:r>
      <w:bookmarkEnd w:id="371"/>
    </w:p>
    <w:p w14:paraId="760FE86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承包人应在每年</w:t>
      </w:r>
      <w:r>
        <w:rPr>
          <w:rFonts w:hint="eastAsia" w:ascii="宋体" w:hAnsi="宋体" w:cs="宋体"/>
          <w:color w:val="auto"/>
          <w:highlight w:val="none"/>
          <w:lang w:val="en-US" w:eastAsia="zh-CN"/>
        </w:rPr>
        <w:t>11</w:t>
      </w:r>
      <w:r>
        <w:rPr>
          <w:rFonts w:hint="eastAsia" w:ascii="宋体" w:hAnsi="宋体" w:eastAsia="宋体" w:cs="宋体"/>
          <w:color w:val="auto"/>
          <w:highlight w:val="none"/>
        </w:rPr>
        <w:t>月底前，根据已同意的合同进度计划或其修订的计划，向监理人提交</w:t>
      </w:r>
      <w:r>
        <w:rPr>
          <w:rFonts w:hint="eastAsia" w:ascii="宋体" w:hAnsi="宋体" w:cs="宋体"/>
          <w:color w:val="auto"/>
          <w:highlight w:val="none"/>
          <w:lang w:val="en-US" w:eastAsia="zh-CN"/>
        </w:rPr>
        <w:t>2</w:t>
      </w:r>
      <w:r>
        <w:rPr>
          <w:rFonts w:hint="eastAsia" w:ascii="宋体" w:hAnsi="宋体" w:eastAsia="宋体" w:cs="宋体"/>
          <w:color w:val="auto"/>
          <w:highlight w:val="none"/>
        </w:rPr>
        <w:t>份格式和内容符合监理人合理规定的下一年度的施工计划，以供审查。该计划应包括本年度估计完成的和下一年度预计完成的分项工程数量和工作量，以及为实施此计划将采取的措施。</w:t>
      </w:r>
    </w:p>
    <w:p w14:paraId="5520676D">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2" w:name="_Toc19021"/>
      <w:r>
        <w:rPr>
          <w:rFonts w:hint="eastAsia" w:ascii="宋体" w:hAnsi="宋体" w:eastAsia="宋体" w:cs="宋体"/>
          <w:b/>
          <w:bCs/>
          <w:color w:val="auto"/>
          <w:sz w:val="28"/>
          <w:szCs w:val="28"/>
          <w:highlight w:val="none"/>
        </w:rPr>
        <w:t>10.4合同用款计划</w:t>
      </w:r>
      <w:bookmarkEnd w:id="372"/>
    </w:p>
    <w:p w14:paraId="1C022EE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承包人应在签订本合同协议书后 28 天之内，按磋商文件中规定的格式，向监理人提交 2 份按合同规定承包人有权得到支付的详细的季度合同用款计划，以备监理人查阅。如果监理人提出要求，承包人还应按季度提交修订的合同用款计划。</w:t>
      </w:r>
    </w:p>
    <w:p w14:paraId="41B684C3">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73" w:name="_Toc15458"/>
      <w:bookmarkStart w:id="374" w:name="_Toc122424469"/>
      <w:bookmarkStart w:id="375" w:name="_Toc122424220"/>
      <w:r>
        <w:rPr>
          <w:rFonts w:hint="eastAsia" w:ascii="宋体" w:hAnsi="宋体" w:eastAsia="宋体" w:cs="宋体"/>
          <w:b/>
          <w:bCs/>
          <w:color w:val="auto"/>
          <w:sz w:val="32"/>
          <w:szCs w:val="32"/>
          <w:highlight w:val="none"/>
        </w:rPr>
        <w:t>11.开工和交工</w:t>
      </w:r>
      <w:bookmarkEnd w:id="373"/>
      <w:bookmarkEnd w:id="374"/>
      <w:bookmarkEnd w:id="375"/>
    </w:p>
    <w:p w14:paraId="178BA604">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6" w:name="_Toc12235"/>
      <w:r>
        <w:rPr>
          <w:rFonts w:hint="eastAsia" w:ascii="宋体" w:hAnsi="宋体" w:eastAsia="宋体" w:cs="宋体"/>
          <w:b/>
          <w:bCs/>
          <w:color w:val="auto"/>
          <w:sz w:val="28"/>
          <w:szCs w:val="28"/>
          <w:highlight w:val="none"/>
        </w:rPr>
        <w:t>11.1开工</w:t>
      </w:r>
      <w:bookmarkEnd w:id="376"/>
    </w:p>
    <w:p w14:paraId="52073B34">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11.1.2 项补充：</w:t>
      </w:r>
    </w:p>
    <w:p w14:paraId="7B3D622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承包人应在分部工程开工前 14 天向监理人提交分部工程开工报审表，若承包人的开工准备、工作计划和质量控制方法是可接受的且已获得批准，则经监理人书面同意，分部工程才能开工。</w:t>
      </w:r>
    </w:p>
    <w:p w14:paraId="1548CD96">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7" w:name="_Toc965"/>
      <w:r>
        <w:rPr>
          <w:rFonts w:hint="eastAsia" w:ascii="宋体" w:hAnsi="宋体" w:eastAsia="宋体" w:cs="宋体"/>
          <w:b/>
          <w:bCs/>
          <w:color w:val="auto"/>
          <w:sz w:val="28"/>
          <w:szCs w:val="28"/>
          <w:highlight w:val="none"/>
        </w:rPr>
        <w:t>11.3发包人的工期延误</w:t>
      </w:r>
      <w:bookmarkEnd w:id="377"/>
    </w:p>
    <w:p w14:paraId="5717EFA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607C5D4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即使由于上述原因造成工期延误，如果受影响的工程并非处在工程施工进度网络计划的关键线路上，则承包人无权要求延长总工期。</w:t>
      </w:r>
    </w:p>
    <w:p w14:paraId="6C77A0C5">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8" w:name="_Toc7080"/>
      <w:r>
        <w:rPr>
          <w:rFonts w:hint="eastAsia" w:ascii="宋体" w:hAnsi="宋体" w:eastAsia="宋体" w:cs="宋体"/>
          <w:b/>
          <w:bCs/>
          <w:color w:val="auto"/>
          <w:sz w:val="28"/>
          <w:szCs w:val="28"/>
          <w:highlight w:val="none"/>
        </w:rPr>
        <w:t>11.4异常恶劣的气候条件</w:t>
      </w:r>
      <w:bookmarkEnd w:id="378"/>
    </w:p>
    <w:p w14:paraId="0A8D9A9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697481A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异常气候是指项目所在地 30 年以上一遇的罕见气候现象（包括温度、降水、降雪、风等）。异常恶劣的气候条件在项目专用合同条款中作具体约定。</w:t>
      </w:r>
    </w:p>
    <w:p w14:paraId="10BC03A3">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79" w:name="_Toc32058"/>
      <w:r>
        <w:rPr>
          <w:rFonts w:hint="eastAsia" w:ascii="宋体" w:hAnsi="宋体" w:eastAsia="宋体" w:cs="宋体"/>
          <w:b/>
          <w:bCs/>
          <w:color w:val="auto"/>
          <w:sz w:val="28"/>
          <w:szCs w:val="28"/>
          <w:highlight w:val="none"/>
        </w:rPr>
        <w:t>11.5承包人的工期延误</w:t>
      </w:r>
      <w:bookmarkEnd w:id="379"/>
    </w:p>
    <w:p w14:paraId="466E260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3E871DF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（1）承包人应严格执行监理人批准的合同进度计划，对工作量计划和形象进度计划分别控制。除第 11.3 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1DFD34F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（2）如果承包人在接到监理人通知后的 14 天内，未能采取加快工程进度的措施，致使实际工程进度进一步滞后，或承包人虽采取了一些措施，仍无法按预计工期交工时，监理人应立即通知发包人。发包人在向承包人发出书面警告通知 14 天后，发包人可按第 22.1 款终止对承包人的雇用，也可将本合同工程中的一部分工作交由其他承包人或其他分包人完成。在不解除本合同规定的承包人责任和义务的同时， 承包人应承担因此所增加的一切费用。</w:t>
      </w:r>
    </w:p>
    <w:p w14:paraId="79DC64D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由于承包人原因造成工期延误，承包人应支付逾期交工违约金。逾期交工违约金的计算方法在项目专用合同条款数据表中约定，时间自预定的交工日期起到交工验收证书为：每逾期一天支付1000元人民币（在项目专用合同条款中约定），时间自预定的竣工日期起到工程接收证书中写明的实际竣工日期止（扣除已批准的延长工期），按天计算。逾期竣工违约金累计金额最高不超过签约合同价的</w:t>
      </w:r>
      <w:r>
        <w:rPr>
          <w:rFonts w:hint="eastAsia" w:ascii="宋体" w:hAnsi="宋体" w:cs="宋体"/>
          <w:color w:val="auto"/>
          <w:highlight w:val="none"/>
          <w:lang w:val="en-US" w:eastAsia="zh-CN"/>
        </w:rPr>
        <w:t>10</w:t>
      </w:r>
      <w:r>
        <w:rPr>
          <w:rFonts w:hint="eastAsia" w:ascii="宋体" w:hAnsi="宋体" w:eastAsia="宋体" w:cs="宋体"/>
          <w:color w:val="auto"/>
          <w:highlight w:val="none"/>
        </w:rPr>
        <w:t>%。发包人可以从应付或到期应付给承包人的任何款项中或采用其他方法扣除此违约金。</w:t>
      </w:r>
    </w:p>
    <w:p w14:paraId="5EFDD0D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（4）承包人支付逾期交工违约金，不免除承包人完成工程及修补缺陷的义务。</w:t>
      </w:r>
    </w:p>
    <w:p w14:paraId="2026789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592BD09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80" w:name="_Toc28353"/>
      <w:r>
        <w:rPr>
          <w:rFonts w:hint="eastAsia" w:ascii="宋体" w:hAnsi="宋体" w:eastAsia="宋体" w:cs="宋体"/>
          <w:b/>
          <w:bCs/>
          <w:color w:val="auto"/>
          <w:sz w:val="28"/>
          <w:szCs w:val="28"/>
          <w:highlight w:val="none"/>
        </w:rPr>
        <w:t>11.6工期提前</w:t>
      </w:r>
      <w:bookmarkEnd w:id="380"/>
    </w:p>
    <w:p w14:paraId="4B2A906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5C0E24E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发包人不得随意要求承包人提前交工，承包人也不得随意提出提前交工的建议。如遇特殊情况，确需将工期提前的，发包人和承包人必须采取有效措施，确保工程质量。</w:t>
      </w:r>
    </w:p>
    <w:p w14:paraId="17E2248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510AC5E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本条补充第 11.7 款：</w:t>
      </w:r>
    </w:p>
    <w:p w14:paraId="5FF20754">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81" w:name="_Toc24998"/>
      <w:r>
        <w:rPr>
          <w:rFonts w:hint="eastAsia" w:ascii="宋体" w:hAnsi="宋体" w:eastAsia="宋体" w:cs="宋体"/>
          <w:b/>
          <w:bCs/>
          <w:color w:val="auto"/>
          <w:sz w:val="28"/>
          <w:szCs w:val="28"/>
          <w:highlight w:val="none"/>
        </w:rPr>
        <w:t>11.7工作时间的限制</w:t>
      </w:r>
      <w:bookmarkEnd w:id="381"/>
    </w:p>
    <w:p w14:paraId="171C454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承包人在夜间或国家规定的节假日进行永久工程的施工，应向监理人报告，以便监理人履行监理职责和义务。</w:t>
      </w:r>
    </w:p>
    <w:p w14:paraId="2FCB777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但是，为了抢救生命或保护财产，或为了工程的安全、质量而不可避免地短暂作业，则不必事先向监理人报告。但承包人应在事后立即向监理人报告。</w:t>
      </w:r>
    </w:p>
    <w:p w14:paraId="05E60D6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本款规定不适用于习惯上或施工本身要求实行连续生产的作业。</w:t>
      </w:r>
    </w:p>
    <w:p w14:paraId="2BCBFD3B">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82" w:name="_Toc21499"/>
      <w:bookmarkStart w:id="383" w:name="_Toc122424221"/>
      <w:bookmarkStart w:id="384" w:name="_Toc122424470"/>
      <w:r>
        <w:rPr>
          <w:rFonts w:hint="eastAsia" w:ascii="宋体" w:hAnsi="宋体" w:eastAsia="宋体" w:cs="宋体"/>
          <w:b/>
          <w:bCs/>
          <w:color w:val="auto"/>
          <w:sz w:val="32"/>
          <w:szCs w:val="32"/>
          <w:highlight w:val="none"/>
        </w:rPr>
        <w:t>12.暂停施工</w:t>
      </w:r>
      <w:bookmarkEnd w:id="382"/>
      <w:bookmarkEnd w:id="383"/>
      <w:bookmarkEnd w:id="384"/>
    </w:p>
    <w:p w14:paraId="29BB19B7">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85" w:name="_Toc30626"/>
      <w:r>
        <w:rPr>
          <w:rFonts w:hint="eastAsia" w:ascii="宋体" w:hAnsi="宋体" w:eastAsia="宋体" w:cs="宋体"/>
          <w:b/>
          <w:bCs/>
          <w:color w:val="auto"/>
          <w:sz w:val="28"/>
          <w:szCs w:val="28"/>
          <w:highlight w:val="none"/>
        </w:rPr>
        <w:t>12.1承包人暂停施工的责任</w:t>
      </w:r>
      <w:bookmarkEnd w:id="385"/>
    </w:p>
    <w:p w14:paraId="54A2F49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本款第（5）项细化为：</w:t>
      </w:r>
    </w:p>
    <w:p w14:paraId="766734D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（5）现场气候条件导致的必要停工（第 11.4 款约定的异常恶劣的气候条件除外）；</w:t>
      </w:r>
    </w:p>
    <w:p w14:paraId="297A2FF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（6）项目专用合同条款可能约定的由承包人承担的其他暂停施工。</w:t>
      </w:r>
    </w:p>
    <w:p w14:paraId="7A431EF2">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86" w:name="_Toc122424471"/>
      <w:bookmarkStart w:id="387" w:name="_Toc18857"/>
      <w:bookmarkStart w:id="388" w:name="_Toc122424222"/>
      <w:r>
        <w:rPr>
          <w:rFonts w:hint="eastAsia" w:ascii="宋体" w:hAnsi="宋体" w:eastAsia="宋体" w:cs="宋体"/>
          <w:b/>
          <w:bCs/>
          <w:color w:val="auto"/>
          <w:sz w:val="32"/>
          <w:szCs w:val="32"/>
          <w:highlight w:val="none"/>
        </w:rPr>
        <w:t>13.工程质量</w:t>
      </w:r>
      <w:bookmarkEnd w:id="386"/>
      <w:bookmarkEnd w:id="387"/>
      <w:bookmarkEnd w:id="388"/>
    </w:p>
    <w:p w14:paraId="0E65F85B">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89" w:name="_Toc16161"/>
      <w:r>
        <w:rPr>
          <w:rFonts w:hint="eastAsia" w:ascii="宋体" w:hAnsi="宋体" w:eastAsia="宋体" w:cs="宋体"/>
          <w:b/>
          <w:bCs/>
          <w:color w:val="auto"/>
          <w:sz w:val="28"/>
          <w:szCs w:val="28"/>
          <w:highlight w:val="none"/>
        </w:rPr>
        <w:t>13.1工程质量要求</w:t>
      </w:r>
      <w:bookmarkEnd w:id="389"/>
    </w:p>
    <w:p w14:paraId="486327F8">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 13.1.1 项约定为：</w:t>
      </w:r>
    </w:p>
    <w:p w14:paraId="25C7F8EB">
      <w:pPr>
        <w:pageBreakBefore w:val="0"/>
        <w:kinsoku/>
        <w:wordWrap/>
        <w:overflowPunct/>
        <w:topLinePunct w:val="0"/>
        <w:autoSpaceDE/>
        <w:autoSpaceDN/>
        <w:bidi w:val="0"/>
        <w:spacing w:line="360" w:lineRule="auto"/>
        <w:ind w:firstLine="48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工程质量验收按技术规范及《公路工程质量检验评定标准》执行。</w:t>
      </w:r>
    </w:p>
    <w:p w14:paraId="0557DFBC">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本款补充第 13.1.4 项、第 13.1.5 项：</w:t>
      </w:r>
    </w:p>
    <w:p w14:paraId="68E9D1A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13.1.4发包人和承包人应严格遵守《关于严格落实公路工程质量责任制的若干意见》的相关规定，认真执行工程质量责任登记制度并按要求填写工程质量责任登记表。</w:t>
      </w:r>
    </w:p>
    <w:p w14:paraId="2E8E5C9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13.1.5本项目严格执行质量责任追究制度。质量事故处理实行“四不放过”原则： 事故原因调查不清不放过；事故责任者没有受到教育不放过；没有防范措施不放过； 相关责任人没受到处理不放过。</w:t>
      </w:r>
    </w:p>
    <w:p w14:paraId="39F0922F">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90" w:name="_Toc23702"/>
      <w:r>
        <w:rPr>
          <w:rFonts w:hint="eastAsia" w:ascii="宋体" w:hAnsi="宋体" w:eastAsia="宋体" w:cs="宋体"/>
          <w:b/>
          <w:bCs/>
          <w:color w:val="auto"/>
          <w:sz w:val="28"/>
          <w:szCs w:val="28"/>
          <w:highlight w:val="none"/>
        </w:rPr>
        <w:t>13.2承包人的质量管理</w:t>
      </w:r>
      <w:bookmarkEnd w:id="390"/>
    </w:p>
    <w:p w14:paraId="493616EC">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 13.2.1 项补充：</w:t>
      </w:r>
    </w:p>
    <w:p w14:paraId="72C661D0">
      <w:pPr>
        <w:pageBreakBefore w:val="0"/>
        <w:kinsoku/>
        <w:wordWrap/>
        <w:overflowPunct/>
        <w:topLinePunct w:val="0"/>
        <w:autoSpaceDE/>
        <w:autoSpaceDN/>
        <w:bidi w:val="0"/>
        <w:spacing w:line="360" w:lineRule="auto"/>
        <w:ind w:firstLine="48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承包人提交工程质量保证措施文件的期限：签订合同协议书后 28 天之内。</w:t>
      </w:r>
    </w:p>
    <w:p w14:paraId="24F5C21C">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本款补充第 13.2.3 项~第 13.2.10 项：</w:t>
      </w:r>
    </w:p>
    <w:p w14:paraId="1E53738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13.2.3公路工程</w:t>
      </w:r>
      <w:r>
        <w:rPr>
          <w:rFonts w:hint="eastAsia" w:ascii="宋体" w:hAnsi="宋体" w:eastAsia="宋体" w:cs="宋体"/>
          <w:color w:val="auto"/>
          <w:highlight w:val="none"/>
          <w:lang w:val="en-US" w:eastAsia="zh-CN"/>
        </w:rPr>
        <w:t>实行</w:t>
      </w:r>
      <w:r>
        <w:rPr>
          <w:rFonts w:hint="eastAsia" w:ascii="宋体" w:hAnsi="宋体" w:eastAsia="宋体" w:cs="宋体"/>
          <w:color w:val="auto"/>
          <w:highlight w:val="none"/>
        </w:rPr>
        <w:t>质量责任终身制。承包人应当书面明确相应的项目负责人和质量负责人。承包人的相关人员按照国家法律法规和有关规定在工程合理使用年限内承担相应的质量责任。</w:t>
      </w:r>
    </w:p>
    <w:p w14:paraId="4EDD12B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13.2.4承包人应当建立健全工程质量保证体系，制定质量管理制度，强化工程质量管理措施，完善工程质量目标保障机制；严格遵守国家有关法律、法规和规章， 严格执行公路工程强制性技术标准、各类技术规范及规程，全面履行工程合同义务。</w:t>
      </w:r>
    </w:p>
    <w:p w14:paraId="4226431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13.2.5承包人对工程施工质量负责，应当按合同约定设立现场质量管理机构、配备工程技术人员和质量管理人员，落实工程施工质量责任制。</w:t>
      </w:r>
    </w:p>
    <w:p w14:paraId="755121F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13.2.6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2A98B6B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13.2.7承包人应当加强施工过程质量控制，并形成完整、可追溯的施工质量管理资料，主体工程的隐蔽部位施工还应当保留影像资料</w:t>
      </w:r>
      <w:r>
        <w:rPr>
          <w:rFonts w:hint="eastAsia" w:ascii="宋体" w:hAnsi="宋体" w:cs="宋体"/>
          <w:color w:val="auto"/>
          <w:highlight w:val="none"/>
          <w:lang w:eastAsia="zh-CN"/>
        </w:rPr>
        <w:t>，</w:t>
      </w:r>
      <w:r>
        <w:rPr>
          <w:rFonts w:hint="eastAsia"/>
          <w:color w:val="auto"/>
          <w:highlight w:val="none"/>
          <w:lang w:eastAsia="zh-CN"/>
        </w:rPr>
        <w:t>否则发包人有权采取方式对隐蔽工程进行实体检测，检测不合格返工处理，并</w:t>
      </w:r>
      <w:r>
        <w:rPr>
          <w:rFonts w:hint="eastAsia"/>
          <w:color w:val="auto"/>
          <w:highlight w:val="none"/>
          <w:lang w:val="en-US" w:eastAsia="zh-CN"/>
        </w:rPr>
        <w:t>由承包人</w:t>
      </w:r>
      <w:r>
        <w:rPr>
          <w:rFonts w:hint="eastAsia"/>
          <w:color w:val="auto"/>
          <w:highlight w:val="none"/>
          <w:lang w:eastAsia="zh-CN"/>
        </w:rPr>
        <w:t>承担由此发生的费用</w:t>
      </w:r>
      <w:r>
        <w:rPr>
          <w:rFonts w:hint="eastAsia" w:ascii="宋体" w:hAnsi="宋体" w:eastAsia="宋体" w:cs="宋体"/>
          <w:color w:val="auto"/>
          <w:highlight w:val="none"/>
        </w:rPr>
        <w:t>。对施工中出现的质量问题或者验收不合格的工程，应当负责返工处理；对在保修范围和保修期限内发生质量问题的工程，应当履行保修义务。</w:t>
      </w:r>
    </w:p>
    <w:p w14:paraId="5A4DB8A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13.2.8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74CF1D2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13.2.9承包人应当依法规范分包行为，并对承担的工程质量负总责，分包单位对分包合同范围内的工程质量负责。</w:t>
      </w:r>
    </w:p>
    <w:p w14:paraId="223298D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13.2.10承包人驻工程现场机构应在现场驻地和重要的分部、分项工程施工现场设置明显的工程质量责任登记表公示牌。</w:t>
      </w:r>
    </w:p>
    <w:p w14:paraId="66C7FAA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91" w:name="_Toc12254"/>
      <w:r>
        <w:rPr>
          <w:rFonts w:hint="eastAsia" w:ascii="宋体" w:hAnsi="宋体" w:eastAsia="宋体" w:cs="宋体"/>
          <w:b/>
          <w:bCs/>
          <w:color w:val="auto"/>
          <w:sz w:val="28"/>
          <w:szCs w:val="28"/>
          <w:highlight w:val="none"/>
        </w:rPr>
        <w:t>13.4监理人的质量检查</w:t>
      </w:r>
      <w:bookmarkEnd w:id="391"/>
    </w:p>
    <w:p w14:paraId="5B05204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0840979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监理人及其委派的检验人员，应能进入工程现场，以及材料或工程设备的制造、加工或制配的车间和场所，包括不属于承包人的车间或场所进行检查，承包人应为此提供便利和协助。</w:t>
      </w:r>
    </w:p>
    <w:p w14:paraId="4AD2E97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监理人可以将材料或工程设备的检查和检验委托给一家独立的有质量检验认证资格的检验单位。该独立检验单位的检验结果应视为监理人完成的。监理人应将这种委托的通知书不少于 7 天前交给承包人。</w:t>
      </w:r>
    </w:p>
    <w:p w14:paraId="2D591B5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92" w:name="_Toc19260"/>
      <w:r>
        <w:rPr>
          <w:rFonts w:hint="eastAsia" w:ascii="宋体" w:hAnsi="宋体" w:eastAsia="宋体" w:cs="宋体"/>
          <w:b/>
          <w:bCs/>
          <w:color w:val="auto"/>
          <w:sz w:val="28"/>
          <w:szCs w:val="28"/>
          <w:highlight w:val="none"/>
        </w:rPr>
        <w:t>13.5工程隐蔽部位覆盖前的检查</w:t>
      </w:r>
      <w:bookmarkEnd w:id="392"/>
    </w:p>
    <w:p w14:paraId="0DCD502C">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13.5.1 项补充：</w:t>
      </w:r>
    </w:p>
    <w:p w14:paraId="71B40DC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7E2F0AF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93" w:name="_Toc12524"/>
      <w:r>
        <w:rPr>
          <w:rFonts w:hint="eastAsia" w:ascii="宋体" w:hAnsi="宋体" w:eastAsia="宋体" w:cs="宋体"/>
          <w:b/>
          <w:bCs/>
          <w:color w:val="auto"/>
          <w:sz w:val="28"/>
          <w:szCs w:val="28"/>
          <w:highlight w:val="none"/>
        </w:rPr>
        <w:t>13.6清除不合格工程</w:t>
      </w:r>
      <w:bookmarkEnd w:id="393"/>
    </w:p>
    <w:p w14:paraId="423257BA">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13.6.1 项细化为：</w:t>
      </w:r>
    </w:p>
    <w:p w14:paraId="2DC6C07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（1）承包人使用不合格材料、工程设备，或采用不适当的施工工艺，或施工 不当，造成工程不合格的，监理人可以随时发出指示，要求承包人立即采取措施进行替换、补救或拆除重建，直至达到合同要求的质量标准，由此增加的费用和（或）工期延误由承包人承担。</w:t>
      </w:r>
    </w:p>
    <w:p w14:paraId="2365352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（2）如果承包人未在规定时间内执行监理人的指示，发包人有权雇用他人执行，由此增加的费用和（或）工期延误由承包人承担。</w:t>
      </w:r>
    </w:p>
    <w:p w14:paraId="7C9C9589">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94" w:name="_Toc122424223"/>
      <w:bookmarkStart w:id="395" w:name="_Toc122424472"/>
      <w:bookmarkStart w:id="396" w:name="_Toc12844"/>
      <w:r>
        <w:rPr>
          <w:rFonts w:hint="eastAsia" w:ascii="宋体" w:hAnsi="宋体" w:eastAsia="宋体" w:cs="宋体"/>
          <w:b/>
          <w:bCs/>
          <w:color w:val="auto"/>
          <w:sz w:val="32"/>
          <w:szCs w:val="32"/>
          <w:highlight w:val="none"/>
        </w:rPr>
        <w:t>14.试验和检验</w:t>
      </w:r>
      <w:bookmarkEnd w:id="394"/>
      <w:bookmarkEnd w:id="395"/>
      <w:bookmarkEnd w:id="396"/>
    </w:p>
    <w:p w14:paraId="5A5B4FF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本条补充第 14.4 款：</w:t>
      </w:r>
    </w:p>
    <w:p w14:paraId="7A97845B">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397" w:name="_Toc19052"/>
      <w:r>
        <w:rPr>
          <w:rFonts w:hint="eastAsia" w:ascii="宋体" w:hAnsi="宋体" w:eastAsia="宋体" w:cs="宋体"/>
          <w:b/>
          <w:bCs/>
          <w:color w:val="auto"/>
          <w:sz w:val="28"/>
          <w:szCs w:val="28"/>
          <w:highlight w:val="none"/>
        </w:rPr>
        <w:t>14.4试验和检验费用</w:t>
      </w:r>
      <w:bookmarkEnd w:id="397"/>
    </w:p>
    <w:p w14:paraId="45B7A3C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（1）承包人应负责提供合同和技术规范规定的试验和检验所需的全部样品，并承担其费用。</w:t>
      </w:r>
    </w:p>
    <w:p w14:paraId="599D9D1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（2）在合同中明确规定的试验和检验，包括无须在工程量清单中单独列项和已在工程量清单中单独列项的试验和检验，其试验和检验的费用由承包人承担。</w:t>
      </w:r>
    </w:p>
    <w:p w14:paraId="78814E2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5EA033EB">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398" w:name="_Toc122424473"/>
      <w:bookmarkStart w:id="399" w:name="_Toc21724"/>
      <w:bookmarkStart w:id="400" w:name="_Toc122424224"/>
      <w:r>
        <w:rPr>
          <w:rFonts w:hint="eastAsia" w:ascii="宋体" w:hAnsi="宋体" w:eastAsia="宋体" w:cs="宋体"/>
          <w:b/>
          <w:bCs/>
          <w:color w:val="auto"/>
          <w:sz w:val="32"/>
          <w:szCs w:val="32"/>
          <w:highlight w:val="none"/>
        </w:rPr>
        <w:t>15.变更</w:t>
      </w:r>
      <w:bookmarkEnd w:id="398"/>
      <w:bookmarkEnd w:id="399"/>
      <w:bookmarkEnd w:id="400"/>
    </w:p>
    <w:p w14:paraId="430D428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01" w:name="_Toc1645"/>
      <w:r>
        <w:rPr>
          <w:rFonts w:hint="eastAsia" w:ascii="宋体" w:hAnsi="宋体" w:eastAsia="宋体" w:cs="宋体"/>
          <w:b/>
          <w:bCs/>
          <w:color w:val="auto"/>
          <w:sz w:val="28"/>
          <w:szCs w:val="28"/>
          <w:highlight w:val="none"/>
        </w:rPr>
        <w:t>15.1变更的范围和内容</w:t>
      </w:r>
      <w:bookmarkEnd w:id="401"/>
    </w:p>
    <w:p w14:paraId="4F3D544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本款第（1）项细化为：</w:t>
      </w:r>
    </w:p>
    <w:p w14:paraId="063C9FB2">
      <w:pPr>
        <w:pageBreakBefore w:val="0"/>
        <w:numPr>
          <w:ilvl w:val="0"/>
          <w:numId w:val="9"/>
        </w:numPr>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取消合同中任何一项工作，但被取消的工作不能转由发包人或其他人实施，由于承包人违约造成的情况除外；</w:t>
      </w:r>
    </w:p>
    <w:p w14:paraId="042443AD">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color w:val="auto"/>
          <w:highlight w:val="none"/>
        </w:rPr>
      </w:pPr>
      <w:r>
        <w:rPr>
          <w:rFonts w:hint="eastAsia" w:ascii="宋体" w:hAnsi="宋体" w:eastAsia="宋体" w:cs="宋体"/>
          <w:b/>
          <w:bCs/>
          <w:color w:val="auto"/>
          <w:sz w:val="28"/>
          <w:szCs w:val="28"/>
          <w:highlight w:val="none"/>
        </w:rPr>
        <w:t>本款第（</w:t>
      </w:r>
      <w:r>
        <w:rPr>
          <w:rFonts w:hint="eastAsia" w:ascii="宋体" w:hAnsi="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）项细化为：</w:t>
      </w:r>
    </w:p>
    <w:p w14:paraId="7E9EC54A">
      <w:pPr>
        <w:pageBreakBefore w:val="0"/>
        <w:numPr>
          <w:ilvl w:val="0"/>
          <w:numId w:val="9"/>
        </w:numPr>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设计缺失、遗漏、差错等原因，增加、改变合同中任何一项工作的质量或其他特性；</w:t>
      </w:r>
    </w:p>
    <w:p w14:paraId="0C808524">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02" w:name="_Toc24522"/>
      <w:r>
        <w:rPr>
          <w:rFonts w:hint="eastAsia" w:ascii="宋体" w:hAnsi="宋体" w:eastAsia="宋体" w:cs="宋体"/>
          <w:b/>
          <w:bCs/>
          <w:color w:val="auto"/>
          <w:sz w:val="28"/>
          <w:szCs w:val="28"/>
          <w:highlight w:val="none"/>
        </w:rPr>
        <w:t>15.3变更程序</w:t>
      </w:r>
      <w:bookmarkEnd w:id="402"/>
    </w:p>
    <w:p w14:paraId="32BE792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本款补充第 15.3.4 项：</w:t>
      </w:r>
    </w:p>
    <w:p w14:paraId="7C8A5F2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本款补充第15.3.4项：</w:t>
      </w:r>
    </w:p>
    <w:p w14:paraId="253D5CD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15.3.4设计变更程序应执行《公路工程设计变更管理办法》</w:t>
      </w:r>
      <w:r>
        <w:rPr>
          <w:rFonts w:hint="eastAsia" w:ascii="宋体" w:hAnsi="宋体" w:cs="宋体"/>
          <w:color w:val="auto"/>
          <w:highlight w:val="none"/>
          <w:lang w:eastAsia="zh-CN"/>
        </w:rPr>
        <w:t>、</w:t>
      </w:r>
      <w:r>
        <w:rPr>
          <w:rFonts w:hint="eastAsia" w:ascii="宋体" w:hAnsi="宋体" w:cs="宋体"/>
          <w:color w:val="auto"/>
          <w:highlight w:val="none"/>
          <w:lang w:val="en-US" w:eastAsia="zh-CN"/>
        </w:rPr>
        <w:t>财政部门及发包人规定</w:t>
      </w:r>
      <w:r>
        <w:rPr>
          <w:rFonts w:hint="eastAsia" w:ascii="宋体" w:hAnsi="宋体" w:eastAsia="宋体" w:cs="宋体"/>
          <w:color w:val="auto"/>
          <w:highlight w:val="none"/>
        </w:rPr>
        <w:t>等相关文件的相关规定。</w:t>
      </w:r>
    </w:p>
    <w:p w14:paraId="06479BF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03" w:name="_Toc10101"/>
      <w:r>
        <w:rPr>
          <w:rFonts w:hint="eastAsia" w:ascii="宋体" w:hAnsi="宋体" w:eastAsia="宋体" w:cs="宋体"/>
          <w:b/>
          <w:bCs/>
          <w:color w:val="auto"/>
          <w:sz w:val="28"/>
          <w:szCs w:val="28"/>
          <w:highlight w:val="none"/>
        </w:rPr>
        <w:t>15.4变更的估价原则</w:t>
      </w:r>
      <w:bookmarkEnd w:id="403"/>
    </w:p>
    <w:p w14:paraId="60586C2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6AE7989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除项目专用合同条款另有约定外，因变更引起的价格调整按照本款约定处理。</w:t>
      </w:r>
    </w:p>
    <w:p w14:paraId="41C1A5BB">
      <w:pPr>
        <w:wordWrap w:val="0"/>
        <w:topLinePunct/>
        <w:adjustRightInd w:val="0"/>
        <w:spacing w:line="360" w:lineRule="auto"/>
        <w:ind w:firstLine="420"/>
        <w:rPr>
          <w:rFonts w:ascii="宋体" w:hAnsi="宋体" w:cs="宋体"/>
          <w:color w:val="auto"/>
          <w:szCs w:val="21"/>
          <w:highlight w:val="none"/>
        </w:rPr>
      </w:pPr>
      <w:bookmarkStart w:id="404" w:name="_Toc15193"/>
      <w:r>
        <w:rPr>
          <w:rFonts w:hint="eastAsia" w:ascii="宋体" w:hAnsi="宋体" w:cs="宋体"/>
          <w:color w:val="auto"/>
          <w:szCs w:val="21"/>
          <w:highlight w:val="none"/>
        </w:rPr>
        <w:t>15.4.1如果取消某项工作，则该项工作的总额价不予以支付；</w:t>
      </w:r>
    </w:p>
    <w:p w14:paraId="3A9DEEB4">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15.4.2已标价工程量清单中有适用于变更工作的子目的，采用该子目的单价。</w:t>
      </w:r>
    </w:p>
    <w:p w14:paraId="49010C49">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15.4.3已标价工程量清单中无适用于变更工作的子目，但有类似子目的，可在合理范围内参照类似子目的单价，由监理人按第3.5款商定变更工作的预算单价，最终以审计部门审定的单价为准。</w:t>
      </w:r>
    </w:p>
    <w:p w14:paraId="71A28681">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15.4.4已标价工程量清单中无适用或类似子目的单价，可在综合考虑承包人在竞标时所提供的单价分析表的基础上，由监理人按第3.5款商定变更工作的预算单价，最终以审计部门审定的单价为准。</w:t>
      </w:r>
    </w:p>
    <w:p w14:paraId="7FD0F0E6">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15.4.5如果本工程的变更指示是因承包人过错、承包人建反合同或承包人责任造成的，则这种违约引起的任何额外费用应由承包人承担。</w:t>
      </w:r>
    </w:p>
    <w:p w14:paraId="7A9507F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15.5承包人的合理化建议</w:t>
      </w:r>
      <w:bookmarkEnd w:id="404"/>
    </w:p>
    <w:p w14:paraId="43C10D39">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15.5.2 项约定为：</w:t>
      </w:r>
    </w:p>
    <w:p w14:paraId="3CFB650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承包人提出的合理化建议缩短了工期，发包人按第 11.6 款的规定给予奖励。</w:t>
      </w:r>
    </w:p>
    <w:p w14:paraId="350EFAB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承包人提出的合理化建议降低了合同价格或者提高了工程经济效益的，发包人按项目专用合同条款数据表中规定的金额给予奖励。</w:t>
      </w:r>
    </w:p>
    <w:p w14:paraId="626D9EC9">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05" w:name="_Toc19567"/>
      <w:r>
        <w:rPr>
          <w:rFonts w:hint="eastAsia" w:ascii="宋体" w:hAnsi="宋体" w:eastAsia="宋体" w:cs="宋体"/>
          <w:b/>
          <w:bCs/>
          <w:color w:val="auto"/>
          <w:sz w:val="28"/>
          <w:szCs w:val="28"/>
          <w:highlight w:val="none"/>
        </w:rPr>
        <w:t>15.6暂列金额</w:t>
      </w:r>
      <w:bookmarkEnd w:id="405"/>
    </w:p>
    <w:p w14:paraId="447A67E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64D3893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15.6.1暂列金额应由监理人报发包人批准后指令全部或部分地使用，或者根本不予动用。</w:t>
      </w:r>
    </w:p>
    <w:p w14:paraId="579D812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15.6.2对于经发包人批准的每一笔暂列金额，监理人有权向承包人发出实施工程或提供材料、工程设备或服务的指令。这些指令应由承包人完成，监理人应根据第15.4 款约定的变更估价原则和第 15.7 款的规定，对合同价格进行相应调整。</w:t>
      </w:r>
    </w:p>
    <w:p w14:paraId="6AB920C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15.6.3当监理人提出要求时，承包人应提供有关暂列金额支出的所有报价单、发票、凭证和账单或收据，除非该工作是根据已标价工程量清单列明的单价或总额价进行的估价。</w:t>
      </w:r>
    </w:p>
    <w:p w14:paraId="519F66F6">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06" w:name="_Toc122424474"/>
      <w:bookmarkStart w:id="407" w:name="_Toc122424225"/>
      <w:bookmarkStart w:id="408" w:name="_Toc19095"/>
      <w:bookmarkStart w:id="409" w:name="_Toc13524"/>
      <w:r>
        <w:rPr>
          <w:rFonts w:hint="eastAsia" w:ascii="宋体" w:hAnsi="宋体" w:eastAsia="宋体" w:cs="宋体"/>
          <w:b/>
          <w:bCs/>
          <w:color w:val="auto"/>
          <w:sz w:val="32"/>
          <w:szCs w:val="32"/>
          <w:highlight w:val="none"/>
        </w:rPr>
        <w:t>16.价格调整</w:t>
      </w:r>
      <w:bookmarkEnd w:id="406"/>
      <w:bookmarkEnd w:id="407"/>
      <w:bookmarkEnd w:id="408"/>
    </w:p>
    <w:p w14:paraId="402D932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16.1物价波动引起的价格调整</w:t>
      </w:r>
      <w:bookmarkEnd w:id="409"/>
    </w:p>
    <w:p w14:paraId="0CB80A10">
      <w:pPr>
        <w:wordWrap w:val="0"/>
        <w:topLinePunct/>
        <w:adjustRightInd w:val="0"/>
        <w:spacing w:line="360" w:lineRule="auto"/>
        <w:ind w:firstLine="420"/>
        <w:rPr>
          <w:rFonts w:hint="eastAsia" w:ascii="宋体" w:hAnsi="宋体" w:eastAsia="宋体" w:cs="宋体"/>
          <w:color w:val="auto"/>
          <w:highlight w:val="none"/>
        </w:rPr>
      </w:pPr>
      <w:r>
        <w:rPr>
          <w:rFonts w:hint="eastAsia" w:ascii="宋体" w:hAnsi="宋体" w:cs="宋体"/>
          <w:color w:val="auto"/>
          <w:highlight w:val="none"/>
        </w:rPr>
        <w:t>本项目合同期内不调价。</w:t>
      </w:r>
    </w:p>
    <w:p w14:paraId="71515237">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10" w:name="_Toc7475"/>
      <w:bookmarkStart w:id="411" w:name="_Toc122424475"/>
      <w:bookmarkStart w:id="412" w:name="_Toc122424226"/>
      <w:r>
        <w:rPr>
          <w:rFonts w:hint="eastAsia" w:ascii="宋体" w:hAnsi="宋体" w:eastAsia="宋体" w:cs="宋体"/>
          <w:b/>
          <w:bCs/>
          <w:color w:val="auto"/>
          <w:sz w:val="32"/>
          <w:szCs w:val="32"/>
          <w:highlight w:val="none"/>
        </w:rPr>
        <w:t>17.计量与支付</w:t>
      </w:r>
      <w:bookmarkEnd w:id="410"/>
      <w:bookmarkEnd w:id="411"/>
      <w:bookmarkEnd w:id="412"/>
    </w:p>
    <w:p w14:paraId="4CC10F7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13" w:name="_Toc12101"/>
      <w:r>
        <w:rPr>
          <w:rFonts w:hint="eastAsia" w:ascii="宋体" w:hAnsi="宋体" w:eastAsia="宋体" w:cs="宋体"/>
          <w:b/>
          <w:bCs/>
          <w:color w:val="auto"/>
          <w:sz w:val="28"/>
          <w:szCs w:val="28"/>
          <w:highlight w:val="none"/>
        </w:rPr>
        <w:t>17.1计量</w:t>
      </w:r>
      <w:bookmarkEnd w:id="413"/>
    </w:p>
    <w:p w14:paraId="4D54204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17.1.2 计量方法</w:t>
      </w:r>
    </w:p>
    <w:p w14:paraId="0F21511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本项约定为：</w:t>
      </w:r>
    </w:p>
    <w:p w14:paraId="31210B2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工程的计量应以净值为准，除非项目专用合同条款另有约定。工程量清单中各个子目的具体计量方法按本合同文件工程量清单计量规则中的规定执行。</w:t>
      </w:r>
    </w:p>
    <w:p w14:paraId="27D1A0C8">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17.1.4单价子目的计量</w:t>
      </w:r>
    </w:p>
    <w:p w14:paraId="51BB8A9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w:t>
      </w:r>
    </w:p>
    <w:p w14:paraId="6CD1900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（7）承包人未在已标价工程量清单中填入单价或总额价的工程子目，将被认为其已包含在本合同的其他子目的单价和总额价中，发包人将不另行支付。</w:t>
      </w:r>
    </w:p>
    <w:p w14:paraId="501DE08F">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17.1.5总价子目的计量</w:t>
      </w:r>
    </w:p>
    <w:p w14:paraId="26B3F30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w:t>
      </w:r>
    </w:p>
    <w:p w14:paraId="7D76112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本项目工程量清单中要求承包人以“总额”方式报价的子目，各子目的支付原则和支付进度按项目专用合同条款的规定执行。</w:t>
      </w:r>
    </w:p>
    <w:p w14:paraId="65A0117A">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14" w:name="_Toc5679"/>
      <w:r>
        <w:rPr>
          <w:rFonts w:hint="eastAsia" w:ascii="宋体" w:hAnsi="宋体" w:eastAsia="宋体" w:cs="宋体"/>
          <w:b/>
          <w:bCs/>
          <w:color w:val="auto"/>
          <w:sz w:val="28"/>
          <w:szCs w:val="28"/>
          <w:highlight w:val="none"/>
        </w:rPr>
        <w:t>17.2预付款</w:t>
      </w:r>
      <w:bookmarkEnd w:id="414"/>
    </w:p>
    <w:p w14:paraId="09C0B761">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17.2.1预付款</w:t>
      </w:r>
    </w:p>
    <w:p w14:paraId="681D678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本项约定为：预付款包括开工预付款和材料、设备预付款。具体额度和预付办法如下：</w:t>
      </w:r>
    </w:p>
    <w:p w14:paraId="18013E3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（1）开工预付款的金额在项目专用合同条款数据表中约定。在承包人签订了合同协议书且承包人承诺的主要设备进场后，监理人应在当期进度付款证书中向承包人支付开工预付款。</w:t>
      </w:r>
    </w:p>
    <w:p w14:paraId="5464669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承包人不得将该预付款用于与本工程无关的支出，监理人有权监督承包人对该项费用的使用，如经查实承包人滥用开工预付款，发包人有权立即向银行索赔履约保证金，并解除合同。</w:t>
      </w:r>
    </w:p>
    <w:p w14:paraId="54F0BCD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（2）材料、设备预付款按项目专用合同条款数据表中所列主要材料、设备单据费用（进口的材料、设备为到岸价，国内采购的为出厂价或销售价，地方材料为堆场价）的百分比支付。其预付条件为：</w:t>
      </w:r>
    </w:p>
    <w:p w14:paraId="1144401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a.材料、设备符合规范要求并经监理人认可；</w:t>
      </w:r>
    </w:p>
    <w:p w14:paraId="228962B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b.承包人已出具材料、设备费用凭证或支付单据；</w:t>
      </w:r>
    </w:p>
    <w:p w14:paraId="439DC61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c.材料、设备已在现场交货，且存储良好，监理人认为材料、设备的存储方法符合要求。</w:t>
      </w:r>
    </w:p>
    <w:p w14:paraId="35D39F7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则监理人应将此项金额作为材料、设备预付款计入下一次的进度付款证书中。在预计交工前 3 个月，将不再支付材料、设备预付款。</w:t>
      </w:r>
    </w:p>
    <w:p w14:paraId="0FCBB670">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17.2.2预付款保函</w:t>
      </w:r>
    </w:p>
    <w:p w14:paraId="11641DF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00AC1B9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w:t>
      </w:r>
      <w:r>
        <w:rPr>
          <w:rFonts w:hint="eastAsia" w:ascii="宋体" w:hAnsi="宋体" w:cs="宋体"/>
          <w:color w:val="auto"/>
          <w:highlight w:val="none"/>
          <w:u w:val="single"/>
          <w:lang w:val="en-US" w:eastAsia="zh-CN"/>
        </w:rPr>
        <w:t>在</w:t>
      </w:r>
      <w:r>
        <w:rPr>
          <w:rFonts w:hint="eastAsia" w:ascii="宋体" w:hAnsi="宋体" w:eastAsia="宋体" w:cs="宋体"/>
          <w:color w:val="auto"/>
          <w:sz w:val="21"/>
          <w:szCs w:val="21"/>
          <w:highlight w:val="none"/>
          <w:u w:val="single"/>
          <w:lang w:val="zh-CN" w:eastAsia="zh-CN" w:bidi="zh-CN"/>
        </w:rPr>
        <w:t>合同签订后5个工作日之内</w:t>
      </w:r>
      <w:r>
        <w:rPr>
          <w:rFonts w:hint="eastAsia" w:ascii="宋体" w:hAnsi="宋体" w:eastAsia="宋体" w:cs="宋体"/>
          <w:color w:val="auto"/>
          <w:highlight w:val="none"/>
        </w:rPr>
        <w:t>向发包人提交预付款保函。发包人向承包人支付的预付款，应按照本合同第 17.2.1 项规定使用，承包人提交的履约保证金对预付款的正常使用承担保证责任。</w:t>
      </w:r>
    </w:p>
    <w:p w14:paraId="4D1EA79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17.2.3预付款的扣回与还清</w:t>
      </w:r>
    </w:p>
    <w:p w14:paraId="2949B15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本项约定为：</w:t>
      </w:r>
    </w:p>
    <w:p w14:paraId="13885D2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（1）开工预付款在进度付款证书的累计金额未达到签约合同价的30%之前不予扣回，在达到签约合同价30%之后，开始按工程进度以固定比例（即每完成签约合同价的 1%，扣回开工预付款的 2%）分期从各月的进度付款证书中扣回，全部金额在进度付款证书的累计金额达到签约合同价的 80%时扣完。</w:t>
      </w:r>
    </w:p>
    <w:p w14:paraId="0CE677E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（2）当材料、设备已用于或安装在永久工程之中时，材料、设备预付款应从进度付款证书中扣回，扣回期不超过 3 个月。已经支付材料、设备预付款的材料、设备的所有权应属于发包人。</w:t>
      </w:r>
    </w:p>
    <w:p w14:paraId="47B2BE8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15" w:name="_Toc19967"/>
      <w:r>
        <w:rPr>
          <w:rFonts w:hint="eastAsia" w:ascii="宋体" w:hAnsi="宋体" w:eastAsia="宋体" w:cs="宋体"/>
          <w:b/>
          <w:bCs/>
          <w:color w:val="auto"/>
          <w:sz w:val="28"/>
          <w:szCs w:val="28"/>
          <w:highlight w:val="none"/>
        </w:rPr>
        <w:t>17.3工程进度付款</w:t>
      </w:r>
      <w:bookmarkEnd w:id="415"/>
    </w:p>
    <w:p w14:paraId="74D8E38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17.3.3 进度付款证书和支付时间</w:t>
      </w:r>
    </w:p>
    <w:p w14:paraId="09A72D2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本项（1）目补充：</w:t>
      </w:r>
    </w:p>
    <w:p w14:paraId="7CC1CE2A">
      <w:pPr>
        <w:pageBreakBefore w:val="0"/>
        <w:numPr>
          <w:ilvl w:val="0"/>
          <w:numId w:val="0"/>
        </w:numPr>
        <w:kinsoku/>
        <w:wordWrap/>
        <w:overflowPunct/>
        <w:topLinePunct w:val="0"/>
        <w:autoSpaceDE/>
        <w:autoSpaceDN/>
        <w:bidi w:val="0"/>
        <w:spacing w:line="360" w:lineRule="auto"/>
        <w:ind w:left="150" w:leftChars="0" w:firstLine="480" w:firstLineChars="0"/>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4"/>
          <w:highlight w:val="none"/>
          <w:lang w:val="en-US" w:eastAsia="zh-CN" w:bidi="ar-SA"/>
        </w:rPr>
        <w:t>①甲方根据工程需要和工程进度情况，可支付至合同总价款的80%；②工程竣工验收达到合格质量要求后，支付至工程合同总价款的90%；③经结算审计（审核、评审）后，乙方向甲方缴纳结算审计（审核、评审）价款3%的工程款作为工程质量保证金，甲方向乙方支付至结算审计（审核、评审）价款的100%的工程款 ；若乙方未向甲方缴纳结算审计（审核、评审）价款3%的工程款作为工程质量保证金，则甲方向乙方支付至结算审计（审核、评审）价款的97%作为工程款，余下3%作为工程质量保证金；④3%工程质量保证金，待工程质量保修期满后返还。本工程质量保质期为1年。在工程质量保质期内，若存在质量缺陷的，由乙方负责保修，费用由乙方负责，工程质量保质期从甲方验收合格后开始计算。</w:t>
      </w:r>
    </w:p>
    <w:p w14:paraId="0BB08DFF">
      <w:pPr>
        <w:pageBreakBefore w:val="0"/>
        <w:numPr>
          <w:ilvl w:val="0"/>
          <w:numId w:val="0"/>
        </w:numPr>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注：每次付款前需承包人开具等额增值税发票，申请付款前需提供发票原件方可付款。</w:t>
      </w:r>
    </w:p>
    <w:p w14:paraId="4021511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本项（2）目细化为：</w:t>
      </w:r>
    </w:p>
    <w:p w14:paraId="05D9B5E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发包人应在监理人收到进度付款申请单且承包人提交了合格的增值税发票后的 28 天内，将进度应付款支付给承包人。</w:t>
      </w:r>
    </w:p>
    <w:p w14:paraId="0BDC93D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发包人不按期支付的，按项目专用合同条款数据表中约定的利率向承包人支付逾期付款违约金。违约金计算基数为发包人的全部未付款额，时间从应付而未付该款额之日算起（不计复利）。</w:t>
      </w:r>
    </w:p>
    <w:p w14:paraId="527DF39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本款补充第 17.3.5 项：</w:t>
      </w:r>
    </w:p>
    <w:p w14:paraId="4F6CB414">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17.3.5 农民工工资保证金</w:t>
      </w:r>
    </w:p>
    <w:p w14:paraId="3A94F8EE">
      <w:pPr>
        <w:pStyle w:val="50"/>
        <w:spacing w:line="360" w:lineRule="exact"/>
        <w:ind w:firstLine="442"/>
        <w:jc w:val="both"/>
        <w:rPr>
          <w:rFonts w:hint="eastAsia" w:ascii="宋体" w:hAnsi="宋体" w:eastAsia="宋体" w:cs="宋体"/>
          <w:color w:val="auto"/>
          <w:highlight w:val="none"/>
        </w:rPr>
      </w:pPr>
      <w:r>
        <w:rPr>
          <w:rFonts w:hint="eastAsia" w:ascii="宋体" w:hAnsi="宋体" w:eastAsia="宋体" w:cs="宋体"/>
          <w:color w:val="auto"/>
          <w:highlight w:val="none"/>
        </w:rPr>
        <w:t>（1）为确保施工过程中农民工工资实时、足额发放到位，承包人应按照项目专用合同条款约定的时间和金额缴存农民工工资保证金。</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lang w:val="zh-CN" w:eastAsia="zh-CN"/>
        </w:rPr>
        <w:t>注：如是以工代赈的项目，每个项目按照不低于项目总造价20%的比例发放劳务报酬(其中脱贫劳动力劳务报酬不低于50%，具备条件的可提高劳务报酬资金占比）具体以政府文件为主</w:t>
      </w:r>
      <w:r>
        <w:rPr>
          <w:rFonts w:hint="eastAsia" w:cs="宋体"/>
          <w:color w:val="auto"/>
          <w:sz w:val="21"/>
          <w:szCs w:val="21"/>
          <w:highlight w:val="none"/>
          <w:lang w:val="zh-CN" w:eastAsia="zh-CN"/>
        </w:rPr>
        <w:t>。</w:t>
      </w:r>
      <w:r>
        <w:rPr>
          <w:rFonts w:hint="eastAsia" w:cs="宋体"/>
          <w:color w:val="auto"/>
          <w:sz w:val="21"/>
          <w:szCs w:val="21"/>
          <w:highlight w:val="none"/>
          <w:lang w:val="en-US" w:eastAsia="zh-CN"/>
        </w:rPr>
        <w:t>]</w:t>
      </w:r>
    </w:p>
    <w:p w14:paraId="7B1956C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承包人</w:t>
      </w:r>
      <w:r>
        <w:rPr>
          <w:rFonts w:hint="eastAsia" w:ascii="宋体" w:hAnsi="宋体" w:eastAsia="宋体" w:cs="宋体"/>
          <w:color w:val="auto"/>
          <w:highlight w:val="none"/>
        </w:rPr>
        <w:t>在领取中标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通知书之日起10天内足额将农民工工资保障金转入相关部门设立的农民工工资保障金专用帐户。一旦其出现拖欠工程款导致无法按时足额支付农民工工资时，可由交通行政主管部门从工资保障金中先予列支。</w:t>
      </w:r>
    </w:p>
    <w:p w14:paraId="6725306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（3）农民工工资保证金的扣留条件、返还时间按照项目专用合同条款的约定执行。</w:t>
      </w:r>
    </w:p>
    <w:p w14:paraId="733738C3">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16" w:name="_Toc21777"/>
      <w:r>
        <w:rPr>
          <w:rFonts w:hint="eastAsia" w:ascii="宋体" w:hAnsi="宋体" w:eastAsia="宋体" w:cs="宋体"/>
          <w:b/>
          <w:bCs/>
          <w:color w:val="auto"/>
          <w:sz w:val="28"/>
          <w:szCs w:val="28"/>
          <w:highlight w:val="none"/>
        </w:rPr>
        <w:t>17.4质量保证金</w:t>
      </w:r>
      <w:bookmarkEnd w:id="416"/>
    </w:p>
    <w:p w14:paraId="24D635B1">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17.4.1 项、第 17.4.2 项细化为：</w:t>
      </w:r>
    </w:p>
    <w:p w14:paraId="5A26F7A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17.4.1交工验收证书签发后 14 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06746F9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质量保证金采用现金、支票形式提交的，发包人应在项目专用合同条款数据表中明确是否计付利息以及利息的计算方式。 </w:t>
      </w:r>
    </w:p>
    <w:p w14:paraId="6909490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17.4.2在第 1.1.4.5 目约定的缺陷责任期满，且质量监督机构已按规定对工程质量检测鉴定合格，承包人向发包人申请到期应返还承包人剩余的质量保证金金额， 发包人应在 14 天内会同承包人按照合同约定的内容核实承包人是否完成缺陷责任。如无异议，发包人应当在核实后将剩余保证金返还承包人。</w:t>
      </w:r>
    </w:p>
    <w:p w14:paraId="7D9C83FE">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17" w:name="_Toc6086"/>
      <w:r>
        <w:rPr>
          <w:rFonts w:hint="eastAsia" w:ascii="宋体" w:hAnsi="宋体" w:eastAsia="宋体" w:cs="宋体"/>
          <w:b/>
          <w:bCs/>
          <w:color w:val="auto"/>
          <w:sz w:val="28"/>
          <w:szCs w:val="28"/>
          <w:highlight w:val="none"/>
        </w:rPr>
        <w:t>17.5交工结算</w:t>
      </w:r>
      <w:bookmarkEnd w:id="417"/>
    </w:p>
    <w:p w14:paraId="6ABD6B8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17.5.1交工付款申请单</w:t>
      </w:r>
    </w:p>
    <w:p w14:paraId="4A8CF27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本项（1）目约定为：</w:t>
      </w:r>
    </w:p>
    <w:p w14:paraId="52B1377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承包人向监理人提交交工付款申请单（包括相关证明材料）的份数在项目专用合同条款数据表中约定；期限：交工验收证书签发后 42 天内。</w:t>
      </w:r>
    </w:p>
    <w:p w14:paraId="2F1B1A8D">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17.5.2交工付款证书及支付时间</w:t>
      </w:r>
    </w:p>
    <w:p w14:paraId="011743E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本项（2）目细化为：</w:t>
      </w:r>
    </w:p>
    <w:p w14:paraId="7829D6A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发包人应在监理人出具交工付款证书且承包人提交了合格的增值税发票后的 14 天内，将应支付款支付给承包人。发包人不按期支付的，按第 17.3.3（2）目的约定，将逾期付款违约金支付给承包人。</w:t>
      </w:r>
    </w:p>
    <w:p w14:paraId="6E8A6A5C">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18" w:name="_Toc23963"/>
      <w:r>
        <w:rPr>
          <w:rFonts w:hint="eastAsia" w:ascii="宋体" w:hAnsi="宋体" w:eastAsia="宋体" w:cs="宋体"/>
          <w:b/>
          <w:bCs/>
          <w:color w:val="auto"/>
          <w:sz w:val="28"/>
          <w:szCs w:val="28"/>
          <w:highlight w:val="none"/>
        </w:rPr>
        <w:t>17.6最终结清</w:t>
      </w:r>
      <w:bookmarkEnd w:id="418"/>
    </w:p>
    <w:p w14:paraId="4AC35FCE">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17.6.1最终结清申请单</w:t>
      </w:r>
    </w:p>
    <w:p w14:paraId="660227C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本项（1）目约定为：</w:t>
      </w:r>
    </w:p>
    <w:p w14:paraId="6835209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承包人向监理人提交最终结清申请单（包括相关证明材料）的份数在项目专用合同条款数据表中约定；期限：缺陷责任期终止证书签发后 28 天内。</w:t>
      </w:r>
    </w:p>
    <w:p w14:paraId="2CCA9CF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最终结清申请单中的总金额应认为是代表了根据合同规定应付给承包人的全部款项的最后结算。</w:t>
      </w:r>
    </w:p>
    <w:p w14:paraId="40C2050A">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17.6.2最终结清证书和支付时间</w:t>
      </w:r>
    </w:p>
    <w:p w14:paraId="27F268D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本项（2）目细化为：</w:t>
      </w:r>
    </w:p>
    <w:p w14:paraId="7A0B3F44">
      <w:pPr>
        <w:pageBreakBefore w:val="0"/>
        <w:numPr>
          <w:ilvl w:val="0"/>
          <w:numId w:val="9"/>
        </w:numPr>
        <w:kinsoku/>
        <w:wordWrap/>
        <w:overflowPunct/>
        <w:topLinePunct w:val="0"/>
        <w:autoSpaceDE/>
        <w:autoSpaceDN/>
        <w:bidi w:val="0"/>
        <w:spacing w:line="360" w:lineRule="auto"/>
        <w:ind w:left="0" w:leftChars="0" w:firstLine="48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发包人应在监理人出具最终结清证书且承包人提交了合格的增值税发票后的 14 天内，将应支付款支付给承包人。发包人不按期支付的，按第 17.3.3（2） 目的约定，将逾期付款违约金支付给承包人。</w:t>
      </w:r>
    </w:p>
    <w:p w14:paraId="5F9A7E7C">
      <w:pPr>
        <w:pageBreakBefore w:val="0"/>
        <w:numPr>
          <w:ilvl w:val="0"/>
          <w:numId w:val="0"/>
        </w:numPr>
        <w:kinsoku/>
        <w:wordWrap/>
        <w:overflowPunct/>
        <w:topLinePunct w:val="0"/>
        <w:autoSpaceDE/>
        <w:autoSpaceDN/>
        <w:bidi w:val="0"/>
        <w:spacing w:line="360" w:lineRule="auto"/>
        <w:ind w:left="480" w:leftChars="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注：</w:t>
      </w:r>
      <w:r>
        <w:rPr>
          <w:rFonts w:hint="eastAsia" w:ascii="宋体" w:hAnsi="宋体" w:eastAsia="宋体" w:cs="宋体"/>
          <w:color w:val="auto"/>
          <w:highlight w:val="none"/>
        </w:rPr>
        <w:t>最终结算费用以</w:t>
      </w:r>
      <w:r>
        <w:rPr>
          <w:rFonts w:hint="eastAsia" w:ascii="宋体" w:hAnsi="宋体" w:cs="宋体"/>
          <w:color w:val="auto"/>
          <w:highlight w:val="none"/>
          <w:lang w:val="en-US" w:eastAsia="zh-CN"/>
        </w:rPr>
        <w:t>上思县</w:t>
      </w:r>
      <w:r>
        <w:rPr>
          <w:rFonts w:hint="eastAsia" w:ascii="宋体" w:hAnsi="宋体" w:eastAsia="宋体" w:cs="宋体"/>
          <w:color w:val="auto"/>
          <w:highlight w:val="none"/>
        </w:rPr>
        <w:t>财政投资评审为准。</w:t>
      </w:r>
    </w:p>
    <w:p w14:paraId="212C0F16">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19" w:name="_Toc24882"/>
      <w:bookmarkStart w:id="420" w:name="_Toc122424476"/>
      <w:bookmarkStart w:id="421" w:name="_Toc122424227"/>
      <w:r>
        <w:rPr>
          <w:rFonts w:hint="eastAsia" w:ascii="宋体" w:hAnsi="宋体" w:eastAsia="宋体" w:cs="宋体"/>
          <w:b/>
          <w:bCs/>
          <w:color w:val="auto"/>
          <w:sz w:val="32"/>
          <w:szCs w:val="32"/>
          <w:highlight w:val="none"/>
        </w:rPr>
        <w:t>18.交工验收</w:t>
      </w:r>
      <w:bookmarkEnd w:id="419"/>
      <w:bookmarkEnd w:id="420"/>
      <w:bookmarkEnd w:id="421"/>
    </w:p>
    <w:p w14:paraId="72AC1FEA">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22" w:name="_Toc6744"/>
      <w:r>
        <w:rPr>
          <w:rFonts w:hint="eastAsia" w:ascii="宋体" w:hAnsi="宋体" w:eastAsia="宋体" w:cs="宋体"/>
          <w:b/>
          <w:bCs/>
          <w:color w:val="auto"/>
          <w:sz w:val="28"/>
          <w:szCs w:val="28"/>
          <w:highlight w:val="none"/>
        </w:rPr>
        <w:t>18.2交工验收申请报告</w:t>
      </w:r>
      <w:bookmarkEnd w:id="422"/>
    </w:p>
    <w:p w14:paraId="6072657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本款第（2）项约定为：</w:t>
      </w:r>
    </w:p>
    <w:p w14:paraId="629D9BB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竣工资料的内容：承包人应按照《公路工程竣（交）工验收办法》和相关规定编制竣工资料。</w:t>
      </w:r>
    </w:p>
    <w:p w14:paraId="6DD4B13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竣工资料的份数在项目专用合同条款数据表中约定。</w:t>
      </w:r>
    </w:p>
    <w:p w14:paraId="223EC233">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23" w:name="_Toc6549"/>
      <w:r>
        <w:rPr>
          <w:rFonts w:hint="eastAsia" w:ascii="宋体" w:hAnsi="宋体" w:eastAsia="宋体" w:cs="宋体"/>
          <w:b/>
          <w:bCs/>
          <w:color w:val="auto"/>
          <w:sz w:val="28"/>
          <w:szCs w:val="28"/>
          <w:highlight w:val="none"/>
        </w:rPr>
        <w:t>18.3验收</w:t>
      </w:r>
      <w:bookmarkEnd w:id="423"/>
    </w:p>
    <w:p w14:paraId="344A7104">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18.3.2 项补充：</w:t>
      </w:r>
    </w:p>
    <w:p w14:paraId="0677048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5BBD80B1">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18.3.5 项约定为：</w:t>
      </w:r>
    </w:p>
    <w:p w14:paraId="113322B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经验收合格工程的实际交工日期，以最终提交交工验收申请报告的日期为准， 并在交工验收证书中写明。</w:t>
      </w:r>
    </w:p>
    <w:p w14:paraId="617F6A0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本款补充第 18.3.7 项：</w:t>
      </w:r>
    </w:p>
    <w:p w14:paraId="0358D28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组织办理交工验收和签发交工验收证书的费用由发包人承担。但按照第 18.3.4项规定达不到合格标准的交工验收费用由承包人承担。</w:t>
      </w:r>
    </w:p>
    <w:p w14:paraId="315768C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本条补充第 18.9 款：</w:t>
      </w:r>
    </w:p>
    <w:p w14:paraId="560DE910">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24" w:name="_Toc30848"/>
      <w:r>
        <w:rPr>
          <w:rFonts w:hint="eastAsia" w:ascii="宋体" w:hAnsi="宋体" w:eastAsia="宋体" w:cs="宋体"/>
          <w:b/>
          <w:bCs/>
          <w:color w:val="auto"/>
          <w:sz w:val="28"/>
          <w:szCs w:val="28"/>
          <w:highlight w:val="none"/>
        </w:rPr>
        <w:t>18.9 竣工文件</w:t>
      </w:r>
      <w:bookmarkEnd w:id="424"/>
    </w:p>
    <w:p w14:paraId="4132D1E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承包人应按照《公路工程竣（交）工验收办法》的相关规定，在缺陷责任期内为竣工验收补充竣工资料，并在签发缺陷责任期终止证书之前提交。</w:t>
      </w:r>
    </w:p>
    <w:p w14:paraId="1ED0E775">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25" w:name="_Toc122424477"/>
      <w:bookmarkStart w:id="426" w:name="_Toc122424228"/>
      <w:bookmarkStart w:id="427" w:name="_Toc28618"/>
      <w:r>
        <w:rPr>
          <w:rFonts w:hint="eastAsia" w:ascii="宋体" w:hAnsi="宋体" w:eastAsia="宋体" w:cs="宋体"/>
          <w:b/>
          <w:bCs/>
          <w:color w:val="auto"/>
          <w:sz w:val="32"/>
          <w:szCs w:val="32"/>
          <w:highlight w:val="none"/>
        </w:rPr>
        <w:t>19.缺陷责任与保修责任</w:t>
      </w:r>
      <w:bookmarkEnd w:id="425"/>
      <w:bookmarkEnd w:id="426"/>
      <w:bookmarkEnd w:id="427"/>
    </w:p>
    <w:p w14:paraId="281510EF">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19.2.2 项补充：</w:t>
      </w:r>
    </w:p>
    <w:p w14:paraId="53B808E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在缺陷责任期内，承包人应尽快完成在交工验收证书中写明的未完成工作，并完成对本工程缺陷的修复或监理人指令的修补工作。</w:t>
      </w:r>
    </w:p>
    <w:p w14:paraId="28426DF2">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28" w:name="_Toc4092"/>
      <w:r>
        <w:rPr>
          <w:rFonts w:hint="eastAsia" w:ascii="宋体" w:hAnsi="宋体" w:eastAsia="宋体" w:cs="宋体"/>
          <w:b/>
          <w:bCs/>
          <w:color w:val="auto"/>
          <w:sz w:val="28"/>
          <w:szCs w:val="28"/>
          <w:highlight w:val="none"/>
        </w:rPr>
        <w:t>19.5 承包人的进入权</w:t>
      </w:r>
      <w:bookmarkEnd w:id="428"/>
    </w:p>
    <w:p w14:paraId="7371BF2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本款补充：</w:t>
      </w:r>
    </w:p>
    <w:p w14:paraId="18177CC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承包人在缺陷修复施工过程中，应服从管养单位的有关安全管理规定，由于承包人自身原因造成的人员伤亡、设备和材料的损毁及罚款等责任由承包人自负。</w:t>
      </w:r>
    </w:p>
    <w:p w14:paraId="31CED2C5">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29" w:name="_Toc5798"/>
      <w:r>
        <w:rPr>
          <w:rFonts w:hint="eastAsia" w:ascii="宋体" w:hAnsi="宋体" w:eastAsia="宋体" w:cs="宋体"/>
          <w:b/>
          <w:bCs/>
          <w:color w:val="auto"/>
          <w:sz w:val="28"/>
          <w:szCs w:val="28"/>
          <w:highlight w:val="none"/>
        </w:rPr>
        <w:t>19.7保修责任</w:t>
      </w:r>
      <w:bookmarkEnd w:id="429"/>
    </w:p>
    <w:p w14:paraId="21527EE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本款细化为：</w:t>
      </w:r>
    </w:p>
    <w:p w14:paraId="50A7320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109C455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（2）在全部工程交工验收前，已经发包人提前验收的单位工程，其保修期的起算日期相应提前。</w:t>
      </w:r>
    </w:p>
    <w:p w14:paraId="0ED1B1EC">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（3）工程保修期终止后 28 天内，监理人签发保修期终止证书。</w:t>
      </w:r>
    </w:p>
    <w:p w14:paraId="00CA1E2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（4）若承包人不履行保修义务和责任，则承包人应承担由于违约造成的法律后果，并由发包人将其违约行为上报省级交通运输主管部门，作为不良记录纳入公路建设市场信用信息管理系统。</w:t>
      </w:r>
    </w:p>
    <w:p w14:paraId="3EBC2D53">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30" w:name="_Toc122424478"/>
      <w:bookmarkStart w:id="431" w:name="_Toc8342"/>
      <w:bookmarkStart w:id="432" w:name="_Toc122424229"/>
      <w:r>
        <w:rPr>
          <w:rFonts w:hint="eastAsia" w:ascii="宋体" w:hAnsi="宋体" w:eastAsia="宋体" w:cs="宋体"/>
          <w:b/>
          <w:bCs/>
          <w:color w:val="auto"/>
          <w:sz w:val="32"/>
          <w:szCs w:val="32"/>
          <w:highlight w:val="none"/>
        </w:rPr>
        <w:t>20.保险</w:t>
      </w:r>
      <w:bookmarkEnd w:id="430"/>
      <w:bookmarkEnd w:id="431"/>
      <w:bookmarkEnd w:id="432"/>
    </w:p>
    <w:p w14:paraId="04079D5D">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33" w:name="_Toc28143"/>
      <w:r>
        <w:rPr>
          <w:rFonts w:hint="eastAsia" w:ascii="宋体" w:hAnsi="宋体" w:eastAsia="宋体" w:cs="宋体"/>
          <w:b/>
          <w:bCs/>
          <w:color w:val="auto"/>
          <w:sz w:val="28"/>
          <w:szCs w:val="28"/>
          <w:highlight w:val="none"/>
        </w:rPr>
        <w:t>20.1工程保险</w:t>
      </w:r>
      <w:bookmarkEnd w:id="433"/>
    </w:p>
    <w:p w14:paraId="683C508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本款约定为：</w:t>
      </w:r>
    </w:p>
    <w:p w14:paraId="07D5AF18">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建筑工程一切险的投保内容：为本合同工程的永久工程、临时工程和设备及已运至施工工地用于永久工程的材料和设备所投的保险。</w:t>
      </w:r>
    </w:p>
    <w:p w14:paraId="55F0867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保险金额：工程量清单第 100 章（不含建筑工程一切险及第三者责任险的保险费）至第 700 章的合计金额。</w:t>
      </w:r>
    </w:p>
    <w:p w14:paraId="30C99D0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保险费率：在项目专用合同条款数据表中约定。</w:t>
      </w:r>
    </w:p>
    <w:p w14:paraId="243400A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保险期限：开工日起直至本合同工程签发缺陷责任期终止证书止（即合同工期＋缺陷责任期）。</w:t>
      </w:r>
    </w:p>
    <w:p w14:paraId="1CA36F2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建筑工程一切险费用已包含在各细目单价中，发包人不单独支付。</w:t>
      </w:r>
    </w:p>
    <w:p w14:paraId="639E3335">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34" w:name="_Toc13719"/>
      <w:r>
        <w:rPr>
          <w:rFonts w:hint="eastAsia" w:ascii="宋体" w:hAnsi="宋体" w:eastAsia="宋体" w:cs="宋体"/>
          <w:b/>
          <w:bCs/>
          <w:color w:val="auto"/>
          <w:sz w:val="28"/>
          <w:szCs w:val="28"/>
          <w:highlight w:val="none"/>
        </w:rPr>
        <w:t>20.4第三者责任险</w:t>
      </w:r>
      <w:bookmarkEnd w:id="434"/>
    </w:p>
    <w:p w14:paraId="7586977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20.4.2 项补充：</w:t>
      </w:r>
    </w:p>
    <w:p w14:paraId="57B7E50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第三者责任险的保险费由承包人报价时列入工程量清单第 100 章内。发包人在接到保险单后，将按照保险单的费用直接向承包人支付。</w:t>
      </w:r>
    </w:p>
    <w:p w14:paraId="7326F349">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35" w:name="_Toc15357"/>
      <w:r>
        <w:rPr>
          <w:rFonts w:hint="eastAsia" w:ascii="宋体" w:hAnsi="宋体" w:eastAsia="宋体" w:cs="宋体"/>
          <w:b/>
          <w:bCs/>
          <w:color w:val="auto"/>
          <w:sz w:val="28"/>
          <w:szCs w:val="28"/>
          <w:highlight w:val="none"/>
        </w:rPr>
        <w:t>20.5其他保险</w:t>
      </w:r>
      <w:bookmarkEnd w:id="435"/>
    </w:p>
    <w:p w14:paraId="7C2EC2E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本款约定为：</w:t>
      </w:r>
    </w:p>
    <w:p w14:paraId="764B898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承包人应为其施工设备等办理保险，其投保金额应足以现场重置。办理本款保险的一切费用均由承包人承担，并包括在工程量清单的单价及总额价中，发包人不单独支付。</w:t>
      </w:r>
    </w:p>
    <w:p w14:paraId="51769A99">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36" w:name="_Toc2908"/>
      <w:r>
        <w:rPr>
          <w:rFonts w:hint="eastAsia" w:ascii="宋体" w:hAnsi="宋体" w:eastAsia="宋体" w:cs="宋体"/>
          <w:b/>
          <w:bCs/>
          <w:color w:val="auto"/>
          <w:sz w:val="28"/>
          <w:szCs w:val="28"/>
          <w:highlight w:val="none"/>
        </w:rPr>
        <w:t>20.6对各项保险的一般要求</w:t>
      </w:r>
      <w:bookmarkEnd w:id="436"/>
    </w:p>
    <w:p w14:paraId="794A21CE">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20.6.1保险凭证</w:t>
      </w:r>
    </w:p>
    <w:p w14:paraId="325D948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本项约定为：</w:t>
      </w:r>
    </w:p>
    <w:p w14:paraId="09EC99C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承包人向发包人提交各项保险生效的证据和保险单副本的期限：开工后 56 天内。</w:t>
      </w:r>
    </w:p>
    <w:p w14:paraId="037DF6EE">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20.6.3持续保险</w:t>
      </w:r>
    </w:p>
    <w:p w14:paraId="3E0DC3F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w:t>
      </w:r>
    </w:p>
    <w:p w14:paraId="1C834EA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在整个合同期内，承包人应按合同条款规定保证足够的保险额。</w:t>
      </w:r>
    </w:p>
    <w:p w14:paraId="05012734">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20.6.4保险金不足的补偿</w:t>
      </w:r>
    </w:p>
    <w:p w14:paraId="3127599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10CF423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保险金不足以补偿损失的（包括免赔额和超过赔偿限额的部分），应由承包人和（或）发包人按合同约定负责补偿。</w:t>
      </w:r>
    </w:p>
    <w:p w14:paraId="0C61122E">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20.6.5未按约定投保的补救</w:t>
      </w:r>
    </w:p>
    <w:p w14:paraId="5CCFB15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本项（2）目细化为：</w:t>
      </w:r>
    </w:p>
    <w:p w14:paraId="7A13D2C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（2）由于负有投保义务的一方当事人未按合同约定办理某项保险，或未按保险单规定的条件和期限及时向保险人报告事故情况，或未按要求的保险期限进行投保，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0AB87ADF">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37" w:name="_Toc122424479"/>
      <w:bookmarkStart w:id="438" w:name="_Toc122424230"/>
      <w:bookmarkStart w:id="439" w:name="_Toc17781"/>
      <w:r>
        <w:rPr>
          <w:rFonts w:hint="eastAsia" w:ascii="宋体" w:hAnsi="宋体" w:eastAsia="宋体" w:cs="宋体"/>
          <w:b/>
          <w:bCs/>
          <w:color w:val="auto"/>
          <w:sz w:val="32"/>
          <w:szCs w:val="32"/>
          <w:highlight w:val="none"/>
        </w:rPr>
        <w:t>21.不可抗力</w:t>
      </w:r>
      <w:bookmarkEnd w:id="437"/>
      <w:bookmarkEnd w:id="438"/>
      <w:bookmarkEnd w:id="439"/>
    </w:p>
    <w:p w14:paraId="26A45185">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40" w:name="_Toc28344"/>
      <w:r>
        <w:rPr>
          <w:rFonts w:hint="eastAsia" w:ascii="宋体" w:hAnsi="宋体" w:eastAsia="宋体" w:cs="宋体"/>
          <w:b/>
          <w:bCs/>
          <w:color w:val="auto"/>
          <w:sz w:val="28"/>
          <w:szCs w:val="28"/>
          <w:highlight w:val="none"/>
        </w:rPr>
        <w:t>21.1不可抗力的确认</w:t>
      </w:r>
      <w:bookmarkEnd w:id="440"/>
    </w:p>
    <w:p w14:paraId="0645ADE8">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21.1.1 项细化为：</w:t>
      </w:r>
    </w:p>
    <w:p w14:paraId="4B2A089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不可抗力是指承包人和发包人在订立合同时不可预见，在工程施工过程中不可避免发生并不能克服的自然灾害和社会性突发事件。包括但不限于：</w:t>
      </w:r>
    </w:p>
    <w:p w14:paraId="40FA1E5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（1）地震、海啸、火山爆发、泥石流、暴雨（雪）、台风、龙卷风、水灾等自然灾害；</w:t>
      </w:r>
    </w:p>
    <w:p w14:paraId="700506C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（2）战争、骚乱、暴动，但纯属承包人或其分包人派遣与雇用的人员由于本 合同工程施工原因引起者除外；</w:t>
      </w:r>
    </w:p>
    <w:p w14:paraId="62796E3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（3）核反应、辐射或放射性污染；</w:t>
      </w:r>
    </w:p>
    <w:p w14:paraId="788DA2E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（4）空中飞行物体坠落或非发包人或承包人责任造成的爆炸、火灾；</w:t>
      </w:r>
    </w:p>
    <w:p w14:paraId="07C1F73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（5）瘟疫；</w:t>
      </w:r>
    </w:p>
    <w:p w14:paraId="6E954321">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（6）项目专用合同条款约定的其他情形。</w:t>
      </w:r>
    </w:p>
    <w:p w14:paraId="08284A37">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41" w:name="_Toc15289"/>
      <w:r>
        <w:rPr>
          <w:rFonts w:hint="eastAsia" w:ascii="宋体" w:hAnsi="宋体" w:eastAsia="宋体" w:cs="宋体"/>
          <w:b/>
          <w:bCs/>
          <w:color w:val="auto"/>
          <w:sz w:val="28"/>
          <w:szCs w:val="28"/>
          <w:highlight w:val="none"/>
        </w:rPr>
        <w:t>21.3 不可抗力后果及其处理</w:t>
      </w:r>
      <w:bookmarkEnd w:id="441"/>
    </w:p>
    <w:p w14:paraId="52058C18">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21.3.4 因不可抗力解除合同</w:t>
      </w:r>
    </w:p>
    <w:p w14:paraId="757C645D">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本项细化为：</w:t>
      </w:r>
    </w:p>
    <w:p w14:paraId="5ECEB8F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合同一方当事人因不可抗力不能履行合同的，应当及时通知对方解除合同。合同解除后，承包人应按照第 22.2.5 项约定撤离施工场地。已经订货的材料、设备由订货方负责退货或解除订货合同，不能退还的货款和因退货、解除订货合同发生的费用，由发包人承担，因未及时退货造成的损失由责任方承担。合同解除后的付款， 参照第 22.2.4 项约定，由监理人按第 3.5 款商定或确定，但由于解除合同应赔偿的承包人损失不予考虑。</w:t>
      </w:r>
    </w:p>
    <w:p w14:paraId="50A7C2EB">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42" w:name="_Toc19467"/>
      <w:bookmarkStart w:id="443" w:name="_Toc122424231"/>
      <w:bookmarkStart w:id="444" w:name="_Toc122424480"/>
      <w:r>
        <w:rPr>
          <w:rFonts w:hint="eastAsia" w:ascii="宋体" w:hAnsi="宋体" w:eastAsia="宋体" w:cs="宋体"/>
          <w:b/>
          <w:bCs/>
          <w:color w:val="auto"/>
          <w:sz w:val="32"/>
          <w:szCs w:val="32"/>
          <w:highlight w:val="none"/>
        </w:rPr>
        <w:t>22.违约</w:t>
      </w:r>
      <w:bookmarkEnd w:id="442"/>
      <w:bookmarkEnd w:id="443"/>
      <w:bookmarkEnd w:id="444"/>
    </w:p>
    <w:p w14:paraId="35B2AF5C">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45" w:name="_Toc4"/>
      <w:r>
        <w:rPr>
          <w:rFonts w:hint="eastAsia" w:ascii="宋体" w:hAnsi="宋体" w:eastAsia="宋体" w:cs="宋体"/>
          <w:b/>
          <w:bCs/>
          <w:color w:val="auto"/>
          <w:sz w:val="28"/>
          <w:szCs w:val="28"/>
          <w:highlight w:val="none"/>
        </w:rPr>
        <w:t>22.1承包人违约</w:t>
      </w:r>
      <w:bookmarkEnd w:id="445"/>
    </w:p>
    <w:p w14:paraId="5F8E9266">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22.1.1承包人违约的情形</w:t>
      </w:r>
    </w:p>
    <w:p w14:paraId="390EF2F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本项（2）目细化为：</w:t>
      </w:r>
    </w:p>
    <w:p w14:paraId="716F5A6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（2）承包人违反第 5.3 款或第 6.4 款的约定，未经监理人批准，私自将已按合同约定进入施工场地的施工设备、临时设施、材料或工程设备撤离施工场地；</w:t>
      </w:r>
    </w:p>
    <w:p w14:paraId="6EBAE8B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本项（7）目细化为：</w:t>
      </w:r>
    </w:p>
    <w:p w14:paraId="323E752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（7）承包人未能按期开工；</w:t>
      </w:r>
    </w:p>
    <w:p w14:paraId="5214541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（8）承包人违反第 4.6 款或第 6.3 款的规定，未按承诺或未按监理人的要求及时配备称职的主要管理人员、技术骨干或关键施工设备；</w:t>
      </w:r>
    </w:p>
    <w:p w14:paraId="19FA8B2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（9）经监理人和发包人检查，发现承包人有安全问题或有违反安全管理规章制度的情况；</w:t>
      </w:r>
    </w:p>
    <w:p w14:paraId="6111CEC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（10）承包人不按合同约定履行义务的其他情况。</w:t>
      </w:r>
    </w:p>
    <w:p w14:paraId="77EA30A8">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22.1.2对承包人违约的处理</w:t>
      </w:r>
    </w:p>
    <w:p w14:paraId="03F3102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本项补充：</w:t>
      </w:r>
    </w:p>
    <w:p w14:paraId="52EE96E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（4）承包人发生第 22.1.1 项约定的违约情况时，无论发包人是否解除合同， 发包人均有权向承包人课以项目专用合同条款中规定的违约金，并由发包人将其违约行为上报省级交通运输主管部门，作为不良记录纳入公路建设市场信用信息管理系统。</w:t>
      </w:r>
    </w:p>
    <w:p w14:paraId="6916A41F">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46" w:name="_Toc5245"/>
      <w:r>
        <w:rPr>
          <w:rFonts w:hint="eastAsia" w:ascii="宋体" w:hAnsi="宋体" w:eastAsia="宋体" w:cs="宋体"/>
          <w:b/>
          <w:bCs/>
          <w:color w:val="auto"/>
          <w:sz w:val="28"/>
          <w:szCs w:val="28"/>
          <w:highlight w:val="none"/>
        </w:rPr>
        <w:t>22.2发包人违约</w:t>
      </w:r>
      <w:bookmarkEnd w:id="446"/>
    </w:p>
    <w:p w14:paraId="3E5E2AA3">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22.2.1发包人违约的情形</w:t>
      </w:r>
    </w:p>
    <w:p w14:paraId="53C6947B">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本项（5）目细化为：</w:t>
      </w:r>
    </w:p>
    <w:p w14:paraId="2D5BAE63">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（5）发包人无正当理由不按时返还履约保证金</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如有）</w:t>
      </w:r>
      <w:r>
        <w:rPr>
          <w:rFonts w:hint="eastAsia" w:ascii="宋体" w:hAnsi="宋体" w:eastAsia="宋体" w:cs="宋体"/>
          <w:color w:val="auto"/>
          <w:highlight w:val="none"/>
        </w:rPr>
        <w:t>、质量保证金或农民工工资保证金的；</w:t>
      </w:r>
    </w:p>
    <w:p w14:paraId="5A6E0387">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（6）发包人不履行合同约定其他义务的。</w:t>
      </w:r>
    </w:p>
    <w:p w14:paraId="5CDFF2E2">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22.2.4 解除合同后的付款</w:t>
      </w:r>
    </w:p>
    <w:p w14:paraId="5AD635B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本项（2）目细化为：</w:t>
      </w:r>
    </w:p>
    <w:p w14:paraId="2445FF0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（2）承包人为该工程施工订购并已付款的材料、工程设备和其他物品的金额。发包人付款后，该材料、工程设备和其他物品归发包人所有；</w:t>
      </w:r>
    </w:p>
    <w:p w14:paraId="6AD56FB5">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47" w:name="_Toc122424481"/>
      <w:bookmarkStart w:id="448" w:name="_Toc122424232"/>
      <w:bookmarkStart w:id="449" w:name="_Toc26706"/>
      <w:r>
        <w:rPr>
          <w:rFonts w:hint="eastAsia" w:ascii="宋体" w:hAnsi="宋体" w:eastAsia="宋体" w:cs="宋体"/>
          <w:b/>
          <w:bCs/>
          <w:color w:val="auto"/>
          <w:sz w:val="32"/>
          <w:szCs w:val="32"/>
          <w:highlight w:val="none"/>
        </w:rPr>
        <w:t>23.索赔</w:t>
      </w:r>
      <w:bookmarkEnd w:id="447"/>
      <w:bookmarkEnd w:id="448"/>
      <w:bookmarkEnd w:id="449"/>
    </w:p>
    <w:p w14:paraId="37406701">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50" w:name="_Toc4552"/>
      <w:r>
        <w:rPr>
          <w:rFonts w:hint="eastAsia" w:ascii="宋体" w:hAnsi="宋体" w:eastAsia="宋体" w:cs="宋体"/>
          <w:b/>
          <w:bCs/>
          <w:color w:val="auto"/>
          <w:sz w:val="28"/>
          <w:szCs w:val="28"/>
          <w:highlight w:val="none"/>
        </w:rPr>
        <w:t>23.1承包人索赔的提出</w:t>
      </w:r>
      <w:bookmarkEnd w:id="450"/>
    </w:p>
    <w:p w14:paraId="3BCA179A">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本款第（4）项细化为：</w:t>
      </w:r>
    </w:p>
    <w:p w14:paraId="0B2D185E">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（4）在索赔事件影响结束后的 28 天内，承包人应向监理人递交最终索赔通知书，说明最终要求索赔的追加付款金额和（或）延长的工期，并附必要的记录和证明材料。</w:t>
      </w:r>
    </w:p>
    <w:p w14:paraId="5AB9EB4C">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51" w:name="_Toc23671"/>
      <w:r>
        <w:rPr>
          <w:rFonts w:hint="eastAsia" w:ascii="宋体" w:hAnsi="宋体" w:eastAsia="宋体" w:cs="宋体"/>
          <w:b/>
          <w:bCs/>
          <w:color w:val="auto"/>
          <w:sz w:val="28"/>
          <w:szCs w:val="28"/>
          <w:highlight w:val="none"/>
        </w:rPr>
        <w:t>23.2承包人索赔处理程序</w:t>
      </w:r>
      <w:bookmarkEnd w:id="451"/>
    </w:p>
    <w:p w14:paraId="4B4C4009">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本款第（2）项细化为：</w:t>
      </w:r>
    </w:p>
    <w:p w14:paraId="6AE79974">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（2）监理人应按第 3.5 款商定或确定追加的付款和（或）延长的工期，并在收到上述索赔通知书或有关索赔的进一步证明材料后的 42 天内，将索赔处理结果报发包人批准后答复承包人。如果承包人提出的索赔要求未能遵守第 23.1（2）~（4）项的规定，则承包人只限于索赔由监理人按当时记录予以核实的那部分款额和（或） 工期延长天数。</w:t>
      </w:r>
    </w:p>
    <w:p w14:paraId="36AB2046">
      <w:pPr>
        <w:keepNext/>
        <w:keepLines/>
        <w:pageBreakBefore w:val="0"/>
        <w:kinsoku/>
        <w:wordWrap/>
        <w:overflowPunct/>
        <w:topLinePunct w:val="0"/>
        <w:autoSpaceDE/>
        <w:autoSpaceDN/>
        <w:bidi w:val="0"/>
        <w:spacing w:line="360" w:lineRule="auto"/>
        <w:textAlignment w:val="auto"/>
        <w:outlineLvl w:val="2"/>
        <w:rPr>
          <w:rFonts w:hint="eastAsia" w:ascii="宋体" w:hAnsi="宋体" w:eastAsia="宋体" w:cs="宋体"/>
          <w:b/>
          <w:bCs/>
          <w:color w:val="auto"/>
          <w:sz w:val="32"/>
          <w:szCs w:val="32"/>
          <w:highlight w:val="none"/>
        </w:rPr>
      </w:pPr>
      <w:bookmarkStart w:id="452" w:name="_Toc122424482"/>
      <w:bookmarkStart w:id="453" w:name="_Toc122424233"/>
      <w:bookmarkStart w:id="454" w:name="_Toc17764"/>
      <w:r>
        <w:rPr>
          <w:rFonts w:hint="eastAsia" w:ascii="宋体" w:hAnsi="宋体" w:eastAsia="宋体" w:cs="宋体"/>
          <w:b/>
          <w:bCs/>
          <w:color w:val="auto"/>
          <w:sz w:val="32"/>
          <w:szCs w:val="32"/>
          <w:highlight w:val="none"/>
        </w:rPr>
        <w:t>24.争议的解决</w:t>
      </w:r>
      <w:bookmarkEnd w:id="452"/>
      <w:bookmarkEnd w:id="453"/>
      <w:bookmarkEnd w:id="454"/>
    </w:p>
    <w:p w14:paraId="19B58439">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55" w:name="_Toc5407"/>
      <w:r>
        <w:rPr>
          <w:rFonts w:hint="eastAsia" w:ascii="宋体" w:hAnsi="宋体" w:eastAsia="宋体" w:cs="宋体"/>
          <w:b/>
          <w:bCs/>
          <w:color w:val="auto"/>
          <w:sz w:val="28"/>
          <w:szCs w:val="28"/>
          <w:highlight w:val="none"/>
        </w:rPr>
        <w:t>24.3争议评审</w:t>
      </w:r>
      <w:bookmarkEnd w:id="455"/>
    </w:p>
    <w:p w14:paraId="4F02F727">
      <w:pPr>
        <w:keepNext/>
        <w:keepLines/>
        <w:pageBreakBefore w:val="0"/>
        <w:kinsoku/>
        <w:wordWrap/>
        <w:overflowPunct/>
        <w:topLinePunct w:val="0"/>
        <w:autoSpaceDE/>
        <w:autoSpaceDN/>
        <w:bidi w:val="0"/>
        <w:spacing w:line="360" w:lineRule="auto"/>
        <w:ind w:firstLine="482"/>
        <w:textAlignment w:val="auto"/>
        <w:outlineLvl w:val="4"/>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 24.3.1 项补充：</w:t>
      </w:r>
    </w:p>
    <w:p w14:paraId="7FE3921F">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争议评审组由 3 人或 5 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12C593F2">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本条补充第 24.4 款、第 24.5 款（适用于采用仲裁方式最终解决争议的项目）：</w:t>
      </w:r>
    </w:p>
    <w:p w14:paraId="406E6BDA">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56" w:name="_Toc5661"/>
      <w:r>
        <w:rPr>
          <w:rFonts w:hint="eastAsia" w:ascii="宋体" w:hAnsi="宋体" w:eastAsia="宋体" w:cs="宋体"/>
          <w:b/>
          <w:bCs/>
          <w:color w:val="auto"/>
          <w:sz w:val="28"/>
          <w:szCs w:val="28"/>
          <w:highlight w:val="none"/>
        </w:rPr>
        <w:t>24.4仲裁</w:t>
      </w:r>
      <w:bookmarkEnd w:id="456"/>
    </w:p>
    <w:p w14:paraId="2DE59935">
      <w:pPr>
        <w:pageBreakBefore w:val="0"/>
        <w:numPr>
          <w:ilvl w:val="0"/>
          <w:numId w:val="10"/>
        </w:numPr>
        <w:kinsoku/>
        <w:wordWrap/>
        <w:overflowPunct/>
        <w:topLinePunct w:val="0"/>
        <w:autoSpaceDE/>
        <w:autoSpaceDN/>
        <w:bidi w:val="0"/>
        <w:spacing w:line="360" w:lineRule="auto"/>
        <w:ind w:left="210" w:leftChars="100" w:firstLine="268" w:firstLineChars="128"/>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对于未能友好解决或未能通过争议评审解决的争议，发包人或承包人任一方均有权提交给第 </w:t>
      </w:r>
    </w:p>
    <w:p w14:paraId="4ADEA6EB">
      <w:pPr>
        <w:pageBreakBefore w:val="0"/>
        <w:numPr>
          <w:ilvl w:val="0"/>
          <w:numId w:val="0"/>
        </w:numPr>
        <w:kinsoku/>
        <w:wordWrap/>
        <w:overflowPunct/>
        <w:topLinePunct w:val="0"/>
        <w:autoSpaceDE/>
        <w:autoSpaceDN/>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24.1 款约定的仲裁委员会仲裁。</w:t>
      </w:r>
    </w:p>
    <w:p w14:paraId="2D84D455">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776E7DB6">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（3）仲裁裁决是终局性的并对发包人和承包人双方具有约束力。</w:t>
      </w:r>
    </w:p>
    <w:p w14:paraId="08C60D40">
      <w:pPr>
        <w:pageBreakBefore w:val="0"/>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（4）全部仲裁费用应由败诉方承担；或按仲裁委员会裁决的比例分担。</w:t>
      </w:r>
    </w:p>
    <w:p w14:paraId="76048DCC">
      <w:pPr>
        <w:keepNext/>
        <w:keepLines/>
        <w:pageBreakBefore w:val="0"/>
        <w:kinsoku/>
        <w:wordWrap/>
        <w:overflowPunct/>
        <w:topLinePunct w:val="0"/>
        <w:autoSpaceDE/>
        <w:autoSpaceDN/>
        <w:bidi w:val="0"/>
        <w:spacing w:line="360" w:lineRule="auto"/>
        <w:ind w:firstLine="562" w:firstLineChars="200"/>
        <w:textAlignment w:val="auto"/>
        <w:outlineLvl w:val="3"/>
        <w:rPr>
          <w:rFonts w:hint="eastAsia" w:ascii="宋体" w:hAnsi="宋体" w:eastAsia="宋体" w:cs="宋体"/>
          <w:b/>
          <w:bCs/>
          <w:color w:val="auto"/>
          <w:sz w:val="28"/>
          <w:szCs w:val="28"/>
          <w:highlight w:val="none"/>
        </w:rPr>
      </w:pPr>
      <w:bookmarkStart w:id="457" w:name="_Toc21379"/>
      <w:r>
        <w:rPr>
          <w:rFonts w:hint="eastAsia" w:ascii="宋体" w:hAnsi="宋体" w:eastAsia="宋体" w:cs="宋体"/>
          <w:b/>
          <w:bCs/>
          <w:color w:val="auto"/>
          <w:sz w:val="28"/>
          <w:szCs w:val="28"/>
          <w:highlight w:val="none"/>
        </w:rPr>
        <w:t>24.5仲裁的执行</w:t>
      </w:r>
      <w:bookmarkEnd w:id="457"/>
    </w:p>
    <w:p w14:paraId="37119060">
      <w:pPr>
        <w:pageBreakBefore w:val="0"/>
        <w:numPr>
          <w:ilvl w:val="0"/>
          <w:numId w:val="11"/>
        </w:numPr>
        <w:kinsoku/>
        <w:wordWrap/>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任何一方不履行仲裁机构的裁决的，对方可以向有管辖权的人民法院申请执行。</w:t>
      </w:r>
    </w:p>
    <w:p w14:paraId="50C1D67F">
      <w:pPr>
        <w:pageBreakBefore w:val="0"/>
        <w:numPr>
          <w:ilvl w:val="0"/>
          <w:numId w:val="11"/>
        </w:numPr>
        <w:kinsoku/>
        <w:wordWrap/>
        <w:overflowPunct/>
        <w:topLinePunct w:val="0"/>
        <w:autoSpaceDE/>
        <w:autoSpaceDN/>
        <w:bidi w:val="0"/>
        <w:spacing w:line="360" w:lineRule="auto"/>
        <w:ind w:firstLine="480"/>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r>
        <w:rPr>
          <w:rFonts w:hint="eastAsia" w:ascii="宋体" w:hAnsi="宋体" w:eastAsia="宋体" w:cs="宋体"/>
          <w:color w:val="auto"/>
          <w:kern w:val="0"/>
          <w:highlight w:val="none"/>
        </w:rPr>
        <w:t xml:space="preserve"> </w:t>
      </w:r>
    </w:p>
    <w:p w14:paraId="22F5729B">
      <w:pPr>
        <w:pStyle w:val="18"/>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39CA0D7">
      <w:pPr>
        <w:pStyle w:val="3"/>
        <w:adjustRightInd w:val="0"/>
        <w:snapToGrid w:val="0"/>
        <w:spacing w:before="0" w:after="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项目专用合同条款</w:t>
      </w:r>
    </w:p>
    <w:p w14:paraId="7EFA5139">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说</w:t>
      </w:r>
      <w:r>
        <w:rPr>
          <w:rFonts w:hint="eastAsia" w:ascii="宋体" w:hAnsi="宋体" w:eastAsia="宋体" w:cs="宋体"/>
          <w:color w:val="auto"/>
          <w:highlight w:val="none"/>
        </w:rPr>
        <w:tab/>
      </w:r>
      <w:r>
        <w:rPr>
          <w:rFonts w:hint="eastAsia" w:ascii="宋体" w:hAnsi="宋体" w:eastAsia="宋体" w:cs="宋体"/>
          <w:color w:val="auto"/>
          <w:highlight w:val="none"/>
        </w:rPr>
        <w:t>明：</w:t>
      </w:r>
    </w:p>
    <w:p w14:paraId="353388D8">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1.采购人在编制项目</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47109E4D">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2.项目专用合同条款的编号应与通用合同条款和公路工程专用合同条款一致。</w:t>
      </w:r>
    </w:p>
    <w:p w14:paraId="32CEBAA7">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3.项目专用合同条款可对下列内容进行补充和细化：</w:t>
      </w:r>
    </w:p>
    <w:p w14:paraId="6AA7E907">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（1）“通用合同条款”中明确指出“专用合同条款”可对“通用合同条款”进行修改</w:t>
      </w:r>
    </w:p>
    <w:p w14:paraId="2463C704">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的内容（在“通用合同条款”中用“应按合同约定”“应按专用合同条款约定”“除合同另有约定外”“除专用合同条款另有约定外”“在专用合同条款中约定”等多种文字形式表达）；</w:t>
      </w:r>
    </w:p>
    <w:p w14:paraId="44A18458">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 等多种文字形式表达）。</w:t>
      </w:r>
    </w:p>
    <w:p w14:paraId="43765DFD">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其他需要补充、细化的内容。</w:t>
      </w:r>
    </w:p>
    <w:p w14:paraId="52D1A509">
      <w:pPr>
        <w:pStyle w:val="4"/>
        <w:spacing w:before="0" w:after="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58" w:name="_Toc122424484"/>
      <w:bookmarkStart w:id="459" w:name="_Toc122424235"/>
      <w:bookmarkStart w:id="460" w:name="_Toc24603"/>
      <w:r>
        <w:rPr>
          <w:rFonts w:hint="eastAsia" w:ascii="宋体" w:hAnsi="宋体" w:eastAsia="宋体" w:cs="宋体"/>
          <w:color w:val="auto"/>
          <w:highlight w:val="none"/>
        </w:rPr>
        <w:t>项目专用合同条款数据表</w:t>
      </w:r>
      <w:bookmarkEnd w:id="458"/>
      <w:bookmarkEnd w:id="459"/>
      <w:bookmarkEnd w:id="460"/>
    </w:p>
    <w:p w14:paraId="5822AE05">
      <w:pPr>
        <w:spacing w:line="360" w:lineRule="auto"/>
        <w:ind w:firstLine="480"/>
        <w:rPr>
          <w:rFonts w:hint="eastAsia" w:ascii="宋体" w:hAnsi="宋体" w:eastAsia="宋体" w:cs="宋体"/>
          <w:color w:val="auto"/>
          <w:highlight w:val="none"/>
        </w:rPr>
      </w:pPr>
    </w:p>
    <w:p w14:paraId="3D835A55">
      <w:pPr>
        <w:spacing w:line="360" w:lineRule="auto"/>
        <w:ind w:firstLine="480"/>
        <w:rPr>
          <w:rFonts w:hint="eastAsia" w:ascii="宋体" w:hAnsi="宋体" w:eastAsia="宋体" w:cs="宋体"/>
          <w:color w:val="auto"/>
          <w:highlight w:val="none"/>
        </w:rPr>
      </w:pPr>
      <w:bookmarkStart w:id="461" w:name="_Toc19149"/>
      <w:bookmarkStart w:id="462" w:name="_Toc122424236"/>
      <w:bookmarkStart w:id="463" w:name="_Toc122424485"/>
      <w:bookmarkStart w:id="464" w:name="_Toc20394"/>
      <w:r>
        <w:rPr>
          <w:rFonts w:hint="eastAsia" w:ascii="宋体" w:hAnsi="宋体" w:eastAsia="宋体" w:cs="宋体"/>
          <w:color w:val="auto"/>
          <w:highlight w:val="none"/>
        </w:rPr>
        <w:t>说明：本数据表是项目专用合同条款中适用于本项目的信息和数据的归纳与提示， 是项目专用合同条款的组成部分。编写磋商文件的单位应仔细校核，不使数据出现差错或不一致。</w:t>
      </w:r>
    </w:p>
    <w:p w14:paraId="10E8BB4F">
      <w:pPr>
        <w:pStyle w:val="18"/>
        <w:rPr>
          <w:rFonts w:hint="eastAsia" w:ascii="宋体" w:hAnsi="宋体" w:eastAsia="宋体" w:cs="宋体"/>
          <w:color w:val="auto"/>
          <w:highlight w:val="none"/>
        </w:rPr>
      </w:pP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0F1C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629" w:type="dxa"/>
            <w:noWrap w:val="0"/>
            <w:vAlign w:val="center"/>
          </w:tcPr>
          <w:p w14:paraId="67AB1D3A">
            <w:pPr>
              <w:pStyle w:val="43"/>
              <w:spacing w:before="90" w:line="250" w:lineRule="exact"/>
              <w:ind w:left="83" w:right="74"/>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序号</w:t>
            </w:r>
          </w:p>
        </w:tc>
        <w:tc>
          <w:tcPr>
            <w:tcW w:w="1111" w:type="dxa"/>
            <w:noWrap w:val="0"/>
            <w:vAlign w:val="center"/>
          </w:tcPr>
          <w:p w14:paraId="63E74C70">
            <w:pPr>
              <w:pStyle w:val="43"/>
              <w:spacing w:before="90" w:line="250" w:lineRule="exact"/>
              <w:ind w:left="84" w:right="78"/>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条目号</w:t>
            </w:r>
          </w:p>
        </w:tc>
        <w:tc>
          <w:tcPr>
            <w:tcW w:w="7305" w:type="dxa"/>
            <w:noWrap w:val="0"/>
            <w:vAlign w:val="center"/>
          </w:tcPr>
          <w:p w14:paraId="48AB210B">
            <w:pPr>
              <w:pStyle w:val="43"/>
              <w:spacing w:before="90" w:line="250" w:lineRule="exact"/>
              <w:ind w:left="3106" w:right="3094"/>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信息或数据</w:t>
            </w:r>
          </w:p>
        </w:tc>
      </w:tr>
      <w:tr w14:paraId="18BBC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629" w:type="dxa"/>
            <w:noWrap w:val="0"/>
            <w:vAlign w:val="center"/>
          </w:tcPr>
          <w:p w14:paraId="78C18521">
            <w:pPr>
              <w:pStyle w:val="43"/>
              <w:spacing w:before="11"/>
              <w:rPr>
                <w:rFonts w:hint="eastAsia" w:ascii="宋体" w:hAnsi="宋体" w:eastAsia="宋体" w:cs="宋体"/>
                <w:color w:val="auto"/>
                <w:highlight w:val="none"/>
              </w:rPr>
            </w:pPr>
          </w:p>
          <w:p w14:paraId="7E597371">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1111" w:type="dxa"/>
            <w:noWrap w:val="0"/>
            <w:vAlign w:val="center"/>
          </w:tcPr>
          <w:p w14:paraId="299426A9">
            <w:pPr>
              <w:pStyle w:val="43"/>
              <w:spacing w:before="11"/>
              <w:rPr>
                <w:rFonts w:hint="eastAsia" w:ascii="宋体" w:hAnsi="宋体" w:eastAsia="宋体" w:cs="宋体"/>
                <w:color w:val="auto"/>
                <w:highlight w:val="none"/>
              </w:rPr>
            </w:pPr>
          </w:p>
          <w:p w14:paraId="60DA8077">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1.1.2.2</w:t>
            </w:r>
          </w:p>
        </w:tc>
        <w:tc>
          <w:tcPr>
            <w:tcW w:w="7305" w:type="dxa"/>
            <w:noWrap w:val="0"/>
            <w:vAlign w:val="center"/>
          </w:tcPr>
          <w:p w14:paraId="4D4E7F8A">
            <w:pPr>
              <w:pStyle w:val="43"/>
              <w:spacing w:before="89"/>
              <w:ind w:left="347"/>
              <w:rPr>
                <w:rFonts w:hint="eastAsia" w:ascii="宋体" w:hAnsi="宋体" w:eastAsia="宋体" w:cs="宋体"/>
                <w:color w:val="auto"/>
                <w:sz w:val="21"/>
                <w:highlight w:val="none"/>
                <w:u w:val="single"/>
                <w:lang w:eastAsia="zh-CN"/>
              </w:rPr>
            </w:pPr>
            <w:r>
              <w:rPr>
                <w:rFonts w:hint="eastAsia" w:ascii="宋体" w:hAnsi="宋体" w:eastAsia="宋体" w:cs="宋体"/>
                <w:color w:val="auto"/>
                <w:sz w:val="21"/>
                <w:highlight w:val="none"/>
                <w:lang w:eastAsia="zh-CN"/>
              </w:rPr>
              <w:t>发 包 人：</w:t>
            </w:r>
            <w:r>
              <w:rPr>
                <w:rFonts w:hint="eastAsia" w:ascii="宋体" w:hAnsi="宋体" w:eastAsia="宋体" w:cs="宋体"/>
                <w:color w:val="auto"/>
                <w:sz w:val="21"/>
                <w:highlight w:val="none"/>
                <w:u w:val="single"/>
                <w:lang w:eastAsia="zh-CN"/>
              </w:rPr>
              <w:t xml:space="preserve"> </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u w:val="single"/>
                <w:lang w:eastAsia="zh-CN"/>
              </w:rPr>
              <w:t xml:space="preserve">  </w:t>
            </w:r>
          </w:p>
          <w:p w14:paraId="66E4FD36">
            <w:pPr>
              <w:pStyle w:val="43"/>
              <w:tabs>
                <w:tab w:val="left" w:pos="979"/>
                <w:tab w:val="left" w:pos="3394"/>
              </w:tabs>
              <w:spacing w:before="91" w:line="250" w:lineRule="exact"/>
              <w:ind w:left="347"/>
              <w:rPr>
                <w:rFonts w:hint="eastAsia" w:ascii="宋体" w:hAnsi="宋体" w:eastAsia="宋体" w:cs="宋体"/>
                <w:color w:val="auto"/>
                <w:sz w:val="21"/>
                <w:highlight w:val="none"/>
                <w:u w:val="single"/>
                <w:lang w:eastAsia="zh-CN"/>
              </w:rPr>
            </w:pPr>
            <w:r>
              <w:rPr>
                <w:rFonts w:hint="eastAsia" w:ascii="宋体" w:hAnsi="宋体" w:eastAsia="宋体" w:cs="宋体"/>
                <w:color w:val="auto"/>
                <w:sz w:val="21"/>
                <w:highlight w:val="none"/>
                <w:lang w:eastAsia="zh-CN"/>
              </w:rPr>
              <w:t>地</w:t>
            </w:r>
            <w:r>
              <w:rPr>
                <w:rFonts w:hint="eastAsia" w:ascii="宋体" w:hAnsi="宋体" w:eastAsia="宋体" w:cs="宋体"/>
                <w:color w:val="auto"/>
                <w:sz w:val="21"/>
                <w:highlight w:val="none"/>
                <w:lang w:eastAsia="zh-CN"/>
              </w:rPr>
              <w:tab/>
            </w:r>
            <w:r>
              <w:rPr>
                <w:rFonts w:hint="eastAsia" w:ascii="宋体" w:hAnsi="宋体" w:eastAsia="宋体" w:cs="宋体"/>
                <w:color w:val="auto"/>
                <w:sz w:val="21"/>
                <w:highlight w:val="none"/>
                <w:lang w:eastAsia="zh-CN"/>
              </w:rPr>
              <w:t>址：</w:t>
            </w:r>
            <w:r>
              <w:rPr>
                <w:rFonts w:hint="eastAsia" w:ascii="宋体" w:hAnsi="宋体" w:eastAsia="宋体" w:cs="宋体"/>
                <w:color w:val="auto"/>
                <w:kern w:val="2"/>
                <w:sz w:val="21"/>
                <w:szCs w:val="21"/>
                <w:highlight w:val="none"/>
                <w:u w:val="single"/>
                <w:lang w:eastAsia="zh-CN"/>
              </w:rPr>
              <w:t xml:space="preserve">  </w:t>
            </w:r>
            <w:r>
              <w:rPr>
                <w:rFonts w:hint="eastAsia" w:ascii="宋体" w:hAnsi="宋体" w:eastAsia="宋体" w:cs="宋体"/>
                <w:color w:val="auto"/>
                <w:sz w:val="21"/>
                <w:highlight w:val="none"/>
                <w:u w:val="single"/>
                <w:lang w:eastAsia="zh-CN"/>
              </w:rPr>
              <w:tab/>
            </w:r>
          </w:p>
          <w:p w14:paraId="76796447">
            <w:pPr>
              <w:pStyle w:val="43"/>
              <w:tabs>
                <w:tab w:val="left" w:pos="979"/>
                <w:tab w:val="left" w:pos="3394"/>
              </w:tabs>
              <w:spacing w:before="91" w:line="250" w:lineRule="exact"/>
              <w:ind w:left="347"/>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rPr>
              <w:t>邮</w:t>
            </w:r>
            <w:r>
              <w:rPr>
                <w:rFonts w:hint="eastAsia" w:ascii="宋体" w:hAnsi="宋体" w:eastAsia="宋体" w:cs="宋体"/>
                <w:color w:val="auto"/>
                <w:spacing w:val="-3"/>
                <w:sz w:val="21"/>
                <w:highlight w:val="none"/>
              </w:rPr>
              <w:t>政</w:t>
            </w:r>
            <w:r>
              <w:rPr>
                <w:rFonts w:hint="eastAsia" w:ascii="宋体" w:hAnsi="宋体" w:eastAsia="宋体" w:cs="宋体"/>
                <w:color w:val="auto"/>
                <w:sz w:val="21"/>
                <w:highlight w:val="none"/>
              </w:rPr>
              <w:t>编</w:t>
            </w:r>
            <w:r>
              <w:rPr>
                <w:rFonts w:hint="eastAsia" w:ascii="宋体" w:hAnsi="宋体" w:eastAsia="宋体" w:cs="宋体"/>
                <w:color w:val="auto"/>
                <w:spacing w:val="-3"/>
                <w:sz w:val="21"/>
                <w:highlight w:val="none"/>
              </w:rPr>
              <w:t>码</w:t>
            </w:r>
            <w:r>
              <w:rPr>
                <w:rFonts w:hint="eastAsia" w:ascii="宋体" w:hAnsi="宋体" w:eastAsia="宋体" w:cs="宋体"/>
                <w:color w:val="auto"/>
                <w:sz w:val="21"/>
                <w:highlight w:val="none"/>
              </w:rPr>
              <w:t>：</w:t>
            </w:r>
            <w:r>
              <w:rPr>
                <w:rFonts w:hint="eastAsia" w:ascii="宋体" w:hAnsi="宋体" w:eastAsia="宋体" w:cs="宋体"/>
                <w:color w:val="auto"/>
                <w:sz w:val="21"/>
                <w:highlight w:val="none"/>
                <w:u w:val="single"/>
                <w:lang w:eastAsia="zh-CN"/>
              </w:rPr>
              <w:t xml:space="preserve">           </w:t>
            </w:r>
            <w:r>
              <w:rPr>
                <w:rFonts w:hint="eastAsia" w:ascii="宋体" w:hAnsi="宋体" w:eastAsia="宋体" w:cs="宋体"/>
                <w:color w:val="auto"/>
                <w:kern w:val="2"/>
                <w:sz w:val="21"/>
                <w:szCs w:val="21"/>
                <w:highlight w:val="none"/>
                <w:u w:val="single"/>
              </w:rPr>
              <w:t xml:space="preserve">         </w:t>
            </w:r>
          </w:p>
        </w:tc>
      </w:tr>
      <w:tr w14:paraId="52857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jc w:val="center"/>
        </w:trPr>
        <w:tc>
          <w:tcPr>
            <w:tcW w:w="629" w:type="dxa"/>
            <w:noWrap w:val="0"/>
            <w:vAlign w:val="center"/>
          </w:tcPr>
          <w:p w14:paraId="381AE73D">
            <w:pPr>
              <w:pStyle w:val="43"/>
              <w:spacing w:before="1"/>
              <w:rPr>
                <w:rFonts w:hint="eastAsia" w:ascii="宋体" w:hAnsi="宋体" w:eastAsia="宋体" w:cs="宋体"/>
                <w:color w:val="auto"/>
                <w:sz w:val="23"/>
                <w:highlight w:val="none"/>
              </w:rPr>
            </w:pPr>
          </w:p>
          <w:p w14:paraId="1D0DF89A">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1111" w:type="dxa"/>
            <w:noWrap w:val="0"/>
            <w:vAlign w:val="center"/>
          </w:tcPr>
          <w:p w14:paraId="5A28AA6C">
            <w:pPr>
              <w:pStyle w:val="43"/>
              <w:spacing w:before="1"/>
              <w:rPr>
                <w:rFonts w:hint="eastAsia" w:ascii="宋体" w:hAnsi="宋体" w:eastAsia="宋体" w:cs="宋体"/>
                <w:color w:val="auto"/>
                <w:sz w:val="23"/>
                <w:highlight w:val="none"/>
              </w:rPr>
            </w:pPr>
          </w:p>
          <w:p w14:paraId="12E10323">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1.1.2.6</w:t>
            </w:r>
          </w:p>
        </w:tc>
        <w:tc>
          <w:tcPr>
            <w:tcW w:w="7305" w:type="dxa"/>
            <w:noWrap w:val="0"/>
            <w:vAlign w:val="center"/>
          </w:tcPr>
          <w:p w14:paraId="61AF8B26">
            <w:pPr>
              <w:pStyle w:val="43"/>
              <w:spacing w:before="92"/>
              <w:ind w:left="347"/>
              <w:rPr>
                <w:rFonts w:hint="eastAsia" w:ascii="宋体" w:hAnsi="宋体" w:eastAsia="宋体" w:cs="宋体"/>
                <w:color w:val="auto"/>
                <w:sz w:val="21"/>
                <w:highlight w:val="none"/>
                <w:u w:val="single"/>
                <w:lang w:eastAsia="zh-CN"/>
              </w:rPr>
            </w:pPr>
            <w:r>
              <w:rPr>
                <w:rFonts w:hint="eastAsia" w:ascii="宋体" w:hAnsi="宋体" w:eastAsia="宋体" w:cs="宋体"/>
                <w:color w:val="auto"/>
                <w:sz w:val="21"/>
                <w:highlight w:val="none"/>
                <w:lang w:eastAsia="zh-CN"/>
              </w:rPr>
              <w:t>监 理 人：</w:t>
            </w:r>
            <w:r>
              <w:rPr>
                <w:rFonts w:hint="eastAsia" w:ascii="宋体" w:hAnsi="宋体" w:eastAsia="宋体" w:cs="宋体"/>
                <w:color w:val="auto"/>
                <w:sz w:val="21"/>
                <w:szCs w:val="21"/>
                <w:highlight w:val="none"/>
                <w:lang w:eastAsia="zh-CN"/>
              </w:rPr>
              <w:t>待定</w:t>
            </w:r>
          </w:p>
          <w:p w14:paraId="60A8040F">
            <w:pPr>
              <w:pStyle w:val="43"/>
              <w:tabs>
                <w:tab w:val="left" w:pos="979"/>
                <w:tab w:val="left" w:pos="3394"/>
              </w:tabs>
              <w:spacing w:before="91" w:line="250" w:lineRule="exact"/>
              <w:ind w:left="347"/>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w:t>
            </w:r>
            <w:r>
              <w:rPr>
                <w:rFonts w:hint="eastAsia" w:ascii="宋体" w:hAnsi="宋体" w:eastAsia="宋体" w:cs="宋体"/>
                <w:color w:val="auto"/>
                <w:sz w:val="21"/>
                <w:highlight w:val="none"/>
                <w:lang w:eastAsia="zh-CN"/>
              </w:rPr>
              <w:tab/>
            </w:r>
            <w:r>
              <w:rPr>
                <w:rFonts w:hint="eastAsia" w:ascii="宋体" w:hAnsi="宋体" w:eastAsia="宋体" w:cs="宋体"/>
                <w:color w:val="auto"/>
                <w:sz w:val="21"/>
                <w:highlight w:val="none"/>
                <w:lang w:eastAsia="zh-CN"/>
              </w:rPr>
              <w:t>址：</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sz w:val="21"/>
                <w:highlight w:val="none"/>
                <w:lang w:eastAsia="zh-CN"/>
              </w:rPr>
              <w:tab/>
            </w:r>
          </w:p>
          <w:p w14:paraId="6B55D477">
            <w:pPr>
              <w:pStyle w:val="43"/>
              <w:tabs>
                <w:tab w:val="left" w:pos="979"/>
                <w:tab w:val="left" w:pos="3394"/>
              </w:tabs>
              <w:spacing w:before="91" w:line="250" w:lineRule="exact"/>
              <w:ind w:left="347"/>
              <w:rPr>
                <w:rFonts w:hint="eastAsia" w:ascii="宋体" w:hAnsi="宋体" w:eastAsia="宋体" w:cs="宋体"/>
                <w:color w:val="auto"/>
                <w:sz w:val="21"/>
                <w:highlight w:val="none"/>
                <w:u w:val="single"/>
                <w:lang w:eastAsia="zh-CN"/>
              </w:rPr>
            </w:pPr>
            <w:r>
              <w:rPr>
                <w:rFonts w:hint="eastAsia" w:ascii="宋体" w:hAnsi="宋体" w:eastAsia="宋体" w:cs="宋体"/>
                <w:color w:val="auto"/>
                <w:sz w:val="21"/>
                <w:highlight w:val="none"/>
                <w:lang w:eastAsia="zh-CN"/>
              </w:rPr>
              <w:t>邮</w:t>
            </w:r>
            <w:r>
              <w:rPr>
                <w:rFonts w:hint="eastAsia" w:ascii="宋体" w:hAnsi="宋体" w:eastAsia="宋体" w:cs="宋体"/>
                <w:color w:val="auto"/>
                <w:spacing w:val="-3"/>
                <w:sz w:val="21"/>
                <w:highlight w:val="none"/>
                <w:lang w:eastAsia="zh-CN"/>
              </w:rPr>
              <w:t>政</w:t>
            </w:r>
            <w:r>
              <w:rPr>
                <w:rFonts w:hint="eastAsia" w:ascii="宋体" w:hAnsi="宋体" w:eastAsia="宋体" w:cs="宋体"/>
                <w:color w:val="auto"/>
                <w:sz w:val="21"/>
                <w:highlight w:val="none"/>
                <w:lang w:eastAsia="zh-CN"/>
              </w:rPr>
              <w:t>编</w:t>
            </w:r>
            <w:r>
              <w:rPr>
                <w:rFonts w:hint="eastAsia" w:ascii="宋体" w:hAnsi="宋体" w:eastAsia="宋体" w:cs="宋体"/>
                <w:color w:val="auto"/>
                <w:spacing w:val="-3"/>
                <w:sz w:val="21"/>
                <w:highlight w:val="none"/>
                <w:lang w:eastAsia="zh-CN"/>
              </w:rPr>
              <w:t>码</w:t>
            </w:r>
            <w:r>
              <w:rPr>
                <w:rFonts w:hint="eastAsia" w:ascii="宋体" w:hAnsi="宋体" w:eastAsia="宋体" w:cs="宋体"/>
                <w:color w:val="auto"/>
                <w:sz w:val="21"/>
                <w:highlight w:val="none"/>
                <w:lang w:eastAsia="zh-CN"/>
              </w:rPr>
              <w:t>：</w:t>
            </w:r>
            <w:r>
              <w:rPr>
                <w:rFonts w:hint="eastAsia" w:ascii="宋体" w:hAnsi="宋体" w:eastAsia="宋体" w:cs="宋体"/>
                <w:color w:val="auto"/>
                <w:highlight w:val="none"/>
                <w:u w:val="single"/>
                <w:lang w:eastAsia="zh-CN"/>
              </w:rPr>
              <w:t xml:space="preserve">                   </w:t>
            </w:r>
          </w:p>
        </w:tc>
      </w:tr>
      <w:tr w14:paraId="10679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629" w:type="dxa"/>
            <w:noWrap w:val="0"/>
            <w:vAlign w:val="center"/>
          </w:tcPr>
          <w:p w14:paraId="0AEBCF5A">
            <w:pPr>
              <w:pStyle w:val="43"/>
              <w:spacing w:before="113" w:line="226" w:lineRule="exact"/>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p>
        </w:tc>
        <w:tc>
          <w:tcPr>
            <w:tcW w:w="1111" w:type="dxa"/>
            <w:noWrap w:val="0"/>
            <w:vAlign w:val="center"/>
          </w:tcPr>
          <w:p w14:paraId="16C38AB1">
            <w:pPr>
              <w:pStyle w:val="43"/>
              <w:spacing w:before="113" w:line="226" w:lineRule="exact"/>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1.1.4.5</w:t>
            </w:r>
          </w:p>
        </w:tc>
        <w:tc>
          <w:tcPr>
            <w:tcW w:w="7305" w:type="dxa"/>
            <w:noWrap w:val="0"/>
            <w:vAlign w:val="center"/>
          </w:tcPr>
          <w:p w14:paraId="34BFA046">
            <w:pPr>
              <w:pStyle w:val="43"/>
              <w:tabs>
                <w:tab w:val="left" w:pos="4025"/>
              </w:tabs>
              <w:spacing w:before="89" w:line="250" w:lineRule="exact"/>
              <w:ind w:left="347"/>
              <w:rPr>
                <w:rFonts w:hint="eastAsia" w:ascii="宋体" w:hAnsi="宋体" w:eastAsia="宋体" w:cs="宋体"/>
                <w:color w:val="auto"/>
                <w:sz w:val="11"/>
                <w:highlight w:val="none"/>
                <w:lang w:eastAsia="zh-CN"/>
              </w:rPr>
            </w:pPr>
            <w:r>
              <w:rPr>
                <w:rFonts w:hint="eastAsia" w:ascii="宋体" w:hAnsi="宋体" w:eastAsia="宋体" w:cs="宋体"/>
                <w:color w:val="auto"/>
                <w:sz w:val="21"/>
                <w:highlight w:val="none"/>
                <w:lang w:eastAsia="zh-CN"/>
              </w:rPr>
              <w:t>缺陷</w:t>
            </w:r>
            <w:r>
              <w:rPr>
                <w:rFonts w:hint="eastAsia" w:ascii="宋体" w:hAnsi="宋体" w:eastAsia="宋体" w:cs="宋体"/>
                <w:color w:val="auto"/>
                <w:spacing w:val="-3"/>
                <w:sz w:val="21"/>
                <w:highlight w:val="none"/>
                <w:lang w:eastAsia="zh-CN"/>
              </w:rPr>
              <w:t>责</w:t>
            </w:r>
            <w:r>
              <w:rPr>
                <w:rFonts w:hint="eastAsia" w:ascii="宋体" w:hAnsi="宋体" w:eastAsia="宋体" w:cs="宋体"/>
                <w:color w:val="auto"/>
                <w:sz w:val="21"/>
                <w:highlight w:val="none"/>
                <w:lang w:eastAsia="zh-CN"/>
              </w:rPr>
              <w:t>任</w:t>
            </w:r>
            <w:r>
              <w:rPr>
                <w:rFonts w:hint="eastAsia" w:ascii="宋体" w:hAnsi="宋体" w:eastAsia="宋体" w:cs="宋体"/>
                <w:color w:val="auto"/>
                <w:spacing w:val="-3"/>
                <w:sz w:val="21"/>
                <w:highlight w:val="none"/>
                <w:lang w:eastAsia="zh-CN"/>
              </w:rPr>
              <w:t>期</w:t>
            </w:r>
            <w:r>
              <w:rPr>
                <w:rFonts w:hint="eastAsia" w:ascii="宋体" w:hAnsi="宋体" w:eastAsia="宋体" w:cs="宋体"/>
                <w:color w:val="auto"/>
                <w:sz w:val="21"/>
                <w:highlight w:val="none"/>
                <w:lang w:eastAsia="zh-CN"/>
              </w:rPr>
              <w:t>：</w:t>
            </w:r>
            <w:r>
              <w:rPr>
                <w:rFonts w:hint="eastAsia" w:ascii="宋体" w:hAnsi="宋体" w:eastAsia="宋体" w:cs="宋体"/>
                <w:color w:val="auto"/>
                <w:spacing w:val="-3"/>
                <w:sz w:val="21"/>
                <w:highlight w:val="none"/>
                <w:lang w:eastAsia="zh-CN"/>
              </w:rPr>
              <w:t>自</w:t>
            </w:r>
            <w:r>
              <w:rPr>
                <w:rFonts w:hint="eastAsia" w:ascii="宋体" w:hAnsi="宋体" w:eastAsia="宋体" w:cs="宋体"/>
                <w:color w:val="auto"/>
                <w:sz w:val="21"/>
                <w:highlight w:val="none"/>
                <w:lang w:eastAsia="zh-CN"/>
              </w:rPr>
              <w:t>实</w:t>
            </w:r>
            <w:r>
              <w:rPr>
                <w:rFonts w:hint="eastAsia" w:ascii="宋体" w:hAnsi="宋体" w:eastAsia="宋体" w:cs="宋体"/>
                <w:color w:val="auto"/>
                <w:spacing w:val="-3"/>
                <w:sz w:val="21"/>
                <w:highlight w:val="none"/>
                <w:lang w:eastAsia="zh-CN"/>
              </w:rPr>
              <w:t>际</w:t>
            </w:r>
            <w:r>
              <w:rPr>
                <w:rFonts w:hint="eastAsia" w:ascii="宋体" w:hAnsi="宋体" w:eastAsia="宋体" w:cs="宋体"/>
                <w:color w:val="auto"/>
                <w:sz w:val="21"/>
                <w:highlight w:val="none"/>
                <w:lang w:eastAsia="zh-CN"/>
              </w:rPr>
              <w:t>交</w:t>
            </w:r>
            <w:r>
              <w:rPr>
                <w:rFonts w:hint="eastAsia" w:ascii="宋体" w:hAnsi="宋体" w:eastAsia="宋体" w:cs="宋体"/>
                <w:color w:val="auto"/>
                <w:spacing w:val="-3"/>
                <w:sz w:val="21"/>
                <w:highlight w:val="none"/>
                <w:lang w:eastAsia="zh-CN"/>
              </w:rPr>
              <w:t>工</w:t>
            </w:r>
            <w:r>
              <w:rPr>
                <w:rFonts w:hint="eastAsia" w:ascii="宋体" w:hAnsi="宋体" w:eastAsia="宋体" w:cs="宋体"/>
                <w:color w:val="auto"/>
                <w:sz w:val="21"/>
                <w:highlight w:val="none"/>
                <w:lang w:eastAsia="zh-CN"/>
              </w:rPr>
              <w:t>日期</w:t>
            </w:r>
            <w:r>
              <w:rPr>
                <w:rFonts w:hint="eastAsia" w:ascii="宋体" w:hAnsi="宋体" w:eastAsia="宋体" w:cs="宋体"/>
                <w:color w:val="auto"/>
                <w:spacing w:val="-3"/>
                <w:sz w:val="21"/>
                <w:highlight w:val="none"/>
                <w:lang w:eastAsia="zh-CN"/>
              </w:rPr>
              <w:t>起</w:t>
            </w:r>
            <w:r>
              <w:rPr>
                <w:rFonts w:hint="eastAsia" w:ascii="宋体" w:hAnsi="宋体" w:eastAsia="宋体" w:cs="宋体"/>
                <w:color w:val="auto"/>
                <w:sz w:val="21"/>
                <w:highlight w:val="none"/>
                <w:lang w:eastAsia="zh-CN"/>
              </w:rPr>
              <w:t>计</w:t>
            </w:r>
            <w:r>
              <w:rPr>
                <w:rFonts w:hint="eastAsia" w:ascii="宋体" w:hAnsi="宋体" w:eastAsia="宋体" w:cs="宋体"/>
                <w:color w:val="auto"/>
                <w:spacing w:val="-3"/>
                <w:sz w:val="21"/>
                <w:highlight w:val="none"/>
                <w:lang w:eastAsia="zh-CN"/>
              </w:rPr>
              <w:t>算</w:t>
            </w:r>
            <w:r>
              <w:rPr>
                <w:rFonts w:hint="eastAsia" w:ascii="宋体" w:hAnsi="宋体" w:eastAsia="宋体" w:cs="宋体"/>
                <w:color w:val="auto"/>
                <w:spacing w:val="-3"/>
                <w:sz w:val="21"/>
                <w:highlight w:val="none"/>
                <w:u w:val="single"/>
                <w:lang w:eastAsia="zh-CN"/>
              </w:rPr>
              <w:t>1</w:t>
            </w:r>
            <w:r>
              <w:rPr>
                <w:rFonts w:hint="eastAsia" w:ascii="宋体" w:hAnsi="宋体" w:eastAsia="宋体" w:cs="宋体"/>
                <w:color w:val="auto"/>
                <w:spacing w:val="-3"/>
                <w:sz w:val="21"/>
                <w:highlight w:val="none"/>
                <w:lang w:eastAsia="zh-CN"/>
              </w:rPr>
              <w:t>年</w:t>
            </w:r>
          </w:p>
        </w:tc>
      </w:tr>
      <w:tr w14:paraId="545D6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629" w:type="dxa"/>
            <w:noWrap w:val="0"/>
            <w:vAlign w:val="center"/>
          </w:tcPr>
          <w:p w14:paraId="3BD223BB">
            <w:pPr>
              <w:pStyle w:val="43"/>
              <w:spacing w:before="11"/>
              <w:rPr>
                <w:rFonts w:hint="eastAsia" w:ascii="宋体" w:hAnsi="宋体" w:eastAsia="宋体" w:cs="宋体"/>
                <w:color w:val="auto"/>
                <w:highlight w:val="none"/>
                <w:lang w:eastAsia="zh-CN"/>
              </w:rPr>
            </w:pPr>
          </w:p>
          <w:p w14:paraId="659FDFC1">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4</w:t>
            </w:r>
          </w:p>
        </w:tc>
        <w:tc>
          <w:tcPr>
            <w:tcW w:w="1111" w:type="dxa"/>
            <w:noWrap w:val="0"/>
            <w:vAlign w:val="center"/>
          </w:tcPr>
          <w:p w14:paraId="6106DA8A">
            <w:pPr>
              <w:pStyle w:val="43"/>
              <w:spacing w:before="11"/>
              <w:rPr>
                <w:rFonts w:hint="eastAsia" w:ascii="宋体" w:hAnsi="宋体" w:eastAsia="宋体" w:cs="宋体"/>
                <w:color w:val="auto"/>
                <w:highlight w:val="none"/>
              </w:rPr>
            </w:pPr>
          </w:p>
          <w:p w14:paraId="28F3F658">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1.6.3</w:t>
            </w:r>
          </w:p>
        </w:tc>
        <w:tc>
          <w:tcPr>
            <w:tcW w:w="7305" w:type="dxa"/>
            <w:noWrap w:val="0"/>
            <w:vAlign w:val="center"/>
          </w:tcPr>
          <w:p w14:paraId="0DC9243B">
            <w:pPr>
              <w:pStyle w:val="43"/>
              <w:tabs>
                <w:tab w:val="left" w:pos="1893"/>
              </w:tabs>
              <w:spacing w:before="12" w:line="360" w:lineRule="exact"/>
              <w:ind w:left="107" w:right="91" w:firstLine="24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图纸</w:t>
            </w:r>
            <w:r>
              <w:rPr>
                <w:rFonts w:hint="eastAsia" w:ascii="宋体" w:hAnsi="宋体" w:eastAsia="宋体" w:cs="宋体"/>
                <w:color w:val="auto"/>
                <w:spacing w:val="-3"/>
                <w:sz w:val="21"/>
                <w:highlight w:val="none"/>
                <w:lang w:eastAsia="zh-CN"/>
              </w:rPr>
              <w:t>需</w:t>
            </w:r>
            <w:r>
              <w:rPr>
                <w:rFonts w:hint="eastAsia" w:ascii="宋体" w:hAnsi="宋体" w:eastAsia="宋体" w:cs="宋体"/>
                <w:color w:val="auto"/>
                <w:sz w:val="21"/>
                <w:highlight w:val="none"/>
                <w:lang w:eastAsia="zh-CN"/>
              </w:rPr>
              <w:t>要</w:t>
            </w:r>
            <w:r>
              <w:rPr>
                <w:rFonts w:hint="eastAsia" w:ascii="宋体" w:hAnsi="宋体" w:eastAsia="宋体" w:cs="宋体"/>
                <w:color w:val="auto"/>
                <w:spacing w:val="-3"/>
                <w:sz w:val="21"/>
                <w:highlight w:val="none"/>
                <w:lang w:eastAsia="zh-CN"/>
              </w:rPr>
              <w:t>修</w:t>
            </w:r>
            <w:r>
              <w:rPr>
                <w:rFonts w:hint="eastAsia" w:ascii="宋体" w:hAnsi="宋体" w:eastAsia="宋体" w:cs="宋体"/>
                <w:color w:val="auto"/>
                <w:sz w:val="21"/>
                <w:highlight w:val="none"/>
                <w:lang w:eastAsia="zh-CN"/>
              </w:rPr>
              <w:t>改</w:t>
            </w:r>
            <w:r>
              <w:rPr>
                <w:rFonts w:hint="eastAsia" w:ascii="宋体" w:hAnsi="宋体" w:eastAsia="宋体" w:cs="宋体"/>
                <w:color w:val="auto"/>
                <w:spacing w:val="-3"/>
                <w:sz w:val="21"/>
                <w:highlight w:val="none"/>
                <w:lang w:eastAsia="zh-CN"/>
              </w:rPr>
              <w:t>和</w:t>
            </w:r>
            <w:r>
              <w:rPr>
                <w:rFonts w:hint="eastAsia" w:ascii="宋体" w:hAnsi="宋体" w:eastAsia="宋体" w:cs="宋体"/>
                <w:color w:val="auto"/>
                <w:sz w:val="21"/>
                <w:highlight w:val="none"/>
                <w:lang w:eastAsia="zh-CN"/>
              </w:rPr>
              <w:t>补</w:t>
            </w:r>
            <w:r>
              <w:rPr>
                <w:rFonts w:hint="eastAsia" w:ascii="宋体" w:hAnsi="宋体" w:eastAsia="宋体" w:cs="宋体"/>
                <w:color w:val="auto"/>
                <w:spacing w:val="-3"/>
                <w:sz w:val="21"/>
                <w:highlight w:val="none"/>
                <w:lang w:eastAsia="zh-CN"/>
              </w:rPr>
              <w:t>充</w:t>
            </w:r>
            <w:r>
              <w:rPr>
                <w:rFonts w:hint="eastAsia" w:ascii="宋体" w:hAnsi="宋体" w:eastAsia="宋体" w:cs="宋体"/>
                <w:color w:val="auto"/>
                <w:sz w:val="21"/>
                <w:highlight w:val="none"/>
                <w:lang w:eastAsia="zh-CN"/>
              </w:rPr>
              <w:t>的</w:t>
            </w:r>
            <w:r>
              <w:rPr>
                <w:rFonts w:hint="eastAsia" w:ascii="宋体" w:hAnsi="宋体" w:eastAsia="宋体" w:cs="宋体"/>
                <w:color w:val="auto"/>
                <w:spacing w:val="-44"/>
                <w:sz w:val="21"/>
                <w:highlight w:val="none"/>
                <w:lang w:eastAsia="zh-CN"/>
              </w:rPr>
              <w:t>，</w:t>
            </w:r>
            <w:r>
              <w:rPr>
                <w:rFonts w:hint="eastAsia" w:ascii="宋体" w:hAnsi="宋体" w:eastAsia="宋体" w:cs="宋体"/>
                <w:color w:val="auto"/>
                <w:sz w:val="21"/>
                <w:highlight w:val="none"/>
                <w:lang w:eastAsia="zh-CN"/>
              </w:rPr>
              <w:t>应由</w:t>
            </w:r>
            <w:r>
              <w:rPr>
                <w:rFonts w:hint="eastAsia" w:ascii="宋体" w:hAnsi="宋体" w:eastAsia="宋体" w:cs="宋体"/>
                <w:color w:val="auto"/>
                <w:spacing w:val="-3"/>
                <w:sz w:val="21"/>
                <w:highlight w:val="none"/>
                <w:lang w:eastAsia="zh-CN"/>
              </w:rPr>
              <w:t>监</w:t>
            </w:r>
            <w:r>
              <w:rPr>
                <w:rFonts w:hint="eastAsia" w:ascii="宋体" w:hAnsi="宋体" w:eastAsia="宋体" w:cs="宋体"/>
                <w:color w:val="auto"/>
                <w:sz w:val="21"/>
                <w:highlight w:val="none"/>
                <w:lang w:eastAsia="zh-CN"/>
              </w:rPr>
              <w:t>理</w:t>
            </w:r>
            <w:r>
              <w:rPr>
                <w:rFonts w:hint="eastAsia" w:ascii="宋体" w:hAnsi="宋体" w:eastAsia="宋体" w:cs="宋体"/>
                <w:color w:val="auto"/>
                <w:spacing w:val="-3"/>
                <w:sz w:val="21"/>
                <w:highlight w:val="none"/>
                <w:lang w:eastAsia="zh-CN"/>
              </w:rPr>
              <w:t>人</w:t>
            </w:r>
            <w:r>
              <w:rPr>
                <w:rFonts w:hint="eastAsia" w:ascii="宋体" w:hAnsi="宋体" w:eastAsia="宋体" w:cs="宋体"/>
                <w:color w:val="auto"/>
                <w:sz w:val="21"/>
                <w:highlight w:val="none"/>
                <w:lang w:eastAsia="zh-CN"/>
              </w:rPr>
              <w:t>取</w:t>
            </w:r>
            <w:r>
              <w:rPr>
                <w:rFonts w:hint="eastAsia" w:ascii="宋体" w:hAnsi="宋体" w:eastAsia="宋体" w:cs="宋体"/>
                <w:color w:val="auto"/>
                <w:spacing w:val="-3"/>
                <w:sz w:val="21"/>
                <w:highlight w:val="none"/>
                <w:lang w:eastAsia="zh-CN"/>
              </w:rPr>
              <w:t>得</w:t>
            </w:r>
            <w:r>
              <w:rPr>
                <w:rFonts w:hint="eastAsia" w:ascii="宋体" w:hAnsi="宋体" w:eastAsia="宋体" w:cs="宋体"/>
                <w:color w:val="auto"/>
                <w:sz w:val="21"/>
                <w:highlight w:val="none"/>
                <w:lang w:eastAsia="zh-CN"/>
              </w:rPr>
              <w:t>发</w:t>
            </w:r>
            <w:r>
              <w:rPr>
                <w:rFonts w:hint="eastAsia" w:ascii="宋体" w:hAnsi="宋体" w:eastAsia="宋体" w:cs="宋体"/>
                <w:color w:val="auto"/>
                <w:spacing w:val="-3"/>
                <w:sz w:val="21"/>
                <w:highlight w:val="none"/>
                <w:lang w:eastAsia="zh-CN"/>
              </w:rPr>
              <w:t>包</w:t>
            </w:r>
            <w:r>
              <w:rPr>
                <w:rFonts w:hint="eastAsia" w:ascii="宋体" w:hAnsi="宋体" w:eastAsia="宋体" w:cs="宋体"/>
                <w:color w:val="auto"/>
                <w:sz w:val="21"/>
                <w:highlight w:val="none"/>
                <w:lang w:eastAsia="zh-CN"/>
              </w:rPr>
              <w:t>人</w:t>
            </w:r>
            <w:r>
              <w:rPr>
                <w:rFonts w:hint="eastAsia" w:ascii="宋体" w:hAnsi="宋体" w:eastAsia="宋体" w:cs="宋体"/>
                <w:color w:val="auto"/>
                <w:spacing w:val="-3"/>
                <w:sz w:val="21"/>
                <w:highlight w:val="none"/>
                <w:lang w:eastAsia="zh-CN"/>
              </w:rPr>
              <w:t>同</w:t>
            </w:r>
            <w:r>
              <w:rPr>
                <w:rFonts w:hint="eastAsia" w:ascii="宋体" w:hAnsi="宋体" w:eastAsia="宋体" w:cs="宋体"/>
                <w:color w:val="auto"/>
                <w:sz w:val="21"/>
                <w:highlight w:val="none"/>
                <w:lang w:eastAsia="zh-CN"/>
              </w:rPr>
              <w:t>意后</w:t>
            </w:r>
            <w:r>
              <w:rPr>
                <w:rFonts w:hint="eastAsia" w:ascii="宋体" w:hAnsi="宋体" w:eastAsia="宋体" w:cs="宋体"/>
                <w:color w:val="auto"/>
                <w:spacing w:val="-44"/>
                <w:sz w:val="21"/>
                <w:highlight w:val="none"/>
                <w:lang w:eastAsia="zh-CN"/>
              </w:rPr>
              <w:t>，</w:t>
            </w:r>
            <w:r>
              <w:rPr>
                <w:rFonts w:hint="eastAsia" w:ascii="宋体" w:hAnsi="宋体" w:eastAsia="宋体" w:cs="宋体"/>
                <w:color w:val="auto"/>
                <w:sz w:val="21"/>
                <w:highlight w:val="none"/>
                <w:lang w:eastAsia="zh-CN"/>
              </w:rPr>
              <w:t>在</w:t>
            </w:r>
            <w:r>
              <w:rPr>
                <w:rFonts w:hint="eastAsia" w:ascii="宋体" w:hAnsi="宋体" w:eastAsia="宋体" w:cs="宋体"/>
                <w:color w:val="auto"/>
                <w:spacing w:val="-3"/>
                <w:sz w:val="21"/>
                <w:highlight w:val="none"/>
                <w:lang w:eastAsia="zh-CN"/>
              </w:rPr>
              <w:t>该</w:t>
            </w:r>
            <w:r>
              <w:rPr>
                <w:rFonts w:hint="eastAsia" w:ascii="宋体" w:hAnsi="宋体" w:eastAsia="宋体" w:cs="宋体"/>
                <w:color w:val="auto"/>
                <w:sz w:val="21"/>
                <w:highlight w:val="none"/>
                <w:lang w:eastAsia="zh-CN"/>
              </w:rPr>
              <w:t>工</w:t>
            </w:r>
            <w:r>
              <w:rPr>
                <w:rFonts w:hint="eastAsia" w:ascii="宋体" w:hAnsi="宋体" w:eastAsia="宋体" w:cs="宋体"/>
                <w:color w:val="auto"/>
                <w:spacing w:val="-3"/>
                <w:sz w:val="21"/>
                <w:highlight w:val="none"/>
                <w:lang w:eastAsia="zh-CN"/>
              </w:rPr>
              <w:t>程</w:t>
            </w:r>
            <w:r>
              <w:rPr>
                <w:rFonts w:hint="eastAsia" w:ascii="宋体" w:hAnsi="宋体" w:eastAsia="宋体" w:cs="宋体"/>
                <w:color w:val="auto"/>
                <w:sz w:val="21"/>
                <w:highlight w:val="none"/>
                <w:lang w:eastAsia="zh-CN"/>
              </w:rPr>
              <w:t>或</w:t>
            </w:r>
            <w:r>
              <w:rPr>
                <w:rFonts w:hint="eastAsia" w:ascii="宋体" w:hAnsi="宋体" w:eastAsia="宋体" w:cs="宋体"/>
                <w:color w:val="auto"/>
                <w:spacing w:val="-3"/>
                <w:sz w:val="21"/>
                <w:highlight w:val="none"/>
                <w:lang w:eastAsia="zh-CN"/>
              </w:rPr>
              <w:t>工程</w:t>
            </w:r>
            <w:r>
              <w:rPr>
                <w:rFonts w:hint="eastAsia" w:ascii="宋体" w:hAnsi="宋体" w:eastAsia="宋体" w:cs="宋体"/>
                <w:color w:val="auto"/>
                <w:sz w:val="21"/>
                <w:highlight w:val="none"/>
                <w:lang w:eastAsia="zh-CN"/>
              </w:rPr>
              <w:t>相应部</w:t>
            </w:r>
            <w:r>
              <w:rPr>
                <w:rFonts w:hint="eastAsia" w:ascii="宋体" w:hAnsi="宋体" w:eastAsia="宋体" w:cs="宋体"/>
                <w:color w:val="auto"/>
                <w:spacing w:val="-3"/>
                <w:sz w:val="21"/>
                <w:highlight w:val="none"/>
                <w:lang w:eastAsia="zh-CN"/>
              </w:rPr>
              <w:t>位</w:t>
            </w:r>
            <w:r>
              <w:rPr>
                <w:rFonts w:hint="eastAsia" w:ascii="宋体" w:hAnsi="宋体" w:eastAsia="宋体" w:cs="宋体"/>
                <w:color w:val="auto"/>
                <w:sz w:val="21"/>
                <w:highlight w:val="none"/>
                <w:lang w:eastAsia="zh-CN"/>
              </w:rPr>
              <w:t>施</w:t>
            </w:r>
            <w:r>
              <w:rPr>
                <w:rFonts w:hint="eastAsia" w:ascii="宋体" w:hAnsi="宋体" w:eastAsia="宋体" w:cs="宋体"/>
                <w:color w:val="auto"/>
                <w:spacing w:val="-3"/>
                <w:sz w:val="21"/>
                <w:highlight w:val="none"/>
                <w:lang w:eastAsia="zh-CN"/>
              </w:rPr>
              <w:t>工</w:t>
            </w:r>
            <w:r>
              <w:rPr>
                <w:rFonts w:hint="eastAsia" w:ascii="宋体" w:hAnsi="宋体" w:eastAsia="宋体" w:cs="宋体"/>
                <w:color w:val="auto"/>
                <w:sz w:val="21"/>
                <w:highlight w:val="none"/>
                <w:lang w:eastAsia="zh-CN"/>
              </w:rPr>
              <w:t>前</w:t>
            </w:r>
            <w:r>
              <w:rPr>
                <w:rFonts w:hint="eastAsia" w:ascii="宋体" w:hAnsi="宋体" w:eastAsia="宋体" w:cs="宋体"/>
                <w:color w:val="auto"/>
                <w:sz w:val="21"/>
                <w:highlight w:val="none"/>
                <w:u w:val="single"/>
                <w:lang w:val="en-US" w:eastAsia="zh-CN"/>
              </w:rPr>
              <w:t xml:space="preserve">  14  </w:t>
            </w:r>
            <w:r>
              <w:rPr>
                <w:rFonts w:hint="eastAsia" w:ascii="宋体" w:hAnsi="宋体" w:eastAsia="宋体" w:cs="宋体"/>
                <w:color w:val="auto"/>
                <w:sz w:val="21"/>
                <w:highlight w:val="none"/>
                <w:lang w:eastAsia="zh-CN"/>
              </w:rPr>
              <w:t>天</w:t>
            </w:r>
            <w:r>
              <w:rPr>
                <w:rFonts w:hint="eastAsia" w:ascii="宋体" w:hAnsi="宋体" w:eastAsia="宋体" w:cs="宋体"/>
                <w:color w:val="auto"/>
                <w:spacing w:val="-3"/>
                <w:sz w:val="21"/>
                <w:highlight w:val="none"/>
                <w:lang w:eastAsia="zh-CN"/>
              </w:rPr>
              <w:t>签发</w:t>
            </w:r>
            <w:r>
              <w:rPr>
                <w:rFonts w:hint="eastAsia" w:ascii="宋体" w:hAnsi="宋体" w:eastAsia="宋体" w:cs="宋体"/>
                <w:color w:val="auto"/>
                <w:sz w:val="21"/>
                <w:highlight w:val="none"/>
                <w:lang w:eastAsia="zh-CN"/>
              </w:rPr>
              <w:t>图纸修改图给承包人</w:t>
            </w:r>
          </w:p>
        </w:tc>
      </w:tr>
      <w:tr w14:paraId="6EF7A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jc w:val="center"/>
        </w:trPr>
        <w:tc>
          <w:tcPr>
            <w:tcW w:w="629" w:type="dxa"/>
            <w:noWrap w:val="0"/>
            <w:vAlign w:val="center"/>
          </w:tcPr>
          <w:p w14:paraId="150A93F5">
            <w:pPr>
              <w:pStyle w:val="43"/>
              <w:rPr>
                <w:rFonts w:hint="eastAsia" w:ascii="宋体" w:hAnsi="宋体" w:eastAsia="宋体" w:cs="宋体"/>
                <w:color w:val="auto"/>
                <w:highlight w:val="none"/>
                <w:lang w:eastAsia="zh-CN"/>
              </w:rPr>
            </w:pPr>
          </w:p>
          <w:p w14:paraId="3476170C">
            <w:pPr>
              <w:pStyle w:val="43"/>
              <w:spacing w:before="179"/>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5</w:t>
            </w:r>
          </w:p>
        </w:tc>
        <w:tc>
          <w:tcPr>
            <w:tcW w:w="1111" w:type="dxa"/>
            <w:noWrap w:val="0"/>
            <w:vAlign w:val="center"/>
          </w:tcPr>
          <w:p w14:paraId="11D68D07">
            <w:pPr>
              <w:pStyle w:val="43"/>
              <w:rPr>
                <w:rFonts w:hint="eastAsia" w:ascii="宋体" w:hAnsi="宋体" w:eastAsia="宋体" w:cs="宋体"/>
                <w:color w:val="auto"/>
                <w:highlight w:val="none"/>
              </w:rPr>
            </w:pPr>
          </w:p>
          <w:p w14:paraId="3D1D027B">
            <w:pPr>
              <w:pStyle w:val="43"/>
              <w:spacing w:before="179"/>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3.1.1</w:t>
            </w:r>
          </w:p>
        </w:tc>
        <w:tc>
          <w:tcPr>
            <w:tcW w:w="7305" w:type="dxa"/>
            <w:noWrap w:val="0"/>
            <w:vAlign w:val="center"/>
          </w:tcPr>
          <w:p w14:paraId="725900F4">
            <w:pPr>
              <w:spacing w:line="3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监理人在行使下列权力前需要经发包人事先批准：　　　</w:t>
            </w:r>
          </w:p>
          <w:p w14:paraId="291BFEE1">
            <w:pPr>
              <w:pStyle w:val="43"/>
              <w:spacing w:before="1" w:line="360" w:lineRule="atLeast"/>
              <w:ind w:left="107" w:right="83" w:firstLine="225"/>
              <w:rPr>
                <w:rFonts w:hint="eastAsia" w:ascii="宋体" w:hAnsi="宋体" w:eastAsia="宋体" w:cs="宋体"/>
                <w:color w:val="auto"/>
                <w:sz w:val="21"/>
                <w:highlight w:val="none"/>
                <w:lang w:eastAsia="zh-CN"/>
              </w:rPr>
            </w:pPr>
            <w:r>
              <w:rPr>
                <w:rFonts w:hint="eastAsia" w:ascii="宋体" w:hAnsi="宋体" w:cs="宋体"/>
                <w:color w:val="auto"/>
                <w:sz w:val="21"/>
                <w:szCs w:val="21"/>
                <w:highlight w:val="none"/>
              </w:rPr>
              <w:t>（6）根据第 15.3 款发出的变更指示，无论其单项工程变更涉及的金额或累计涉及的金额为多少。</w:t>
            </w:r>
          </w:p>
        </w:tc>
      </w:tr>
      <w:tr w14:paraId="1BAEA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629" w:type="dxa"/>
            <w:noWrap w:val="0"/>
            <w:vAlign w:val="center"/>
          </w:tcPr>
          <w:p w14:paraId="6BF6ADA9">
            <w:pPr>
              <w:pStyle w:val="43"/>
              <w:spacing w:before="11"/>
              <w:rPr>
                <w:rFonts w:hint="eastAsia" w:ascii="宋体" w:hAnsi="宋体" w:eastAsia="宋体" w:cs="宋体"/>
                <w:color w:val="auto"/>
                <w:highlight w:val="none"/>
                <w:lang w:eastAsia="zh-CN"/>
              </w:rPr>
            </w:pPr>
          </w:p>
          <w:p w14:paraId="554A42DB">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6</w:t>
            </w:r>
          </w:p>
        </w:tc>
        <w:tc>
          <w:tcPr>
            <w:tcW w:w="1111" w:type="dxa"/>
            <w:noWrap w:val="0"/>
            <w:vAlign w:val="center"/>
          </w:tcPr>
          <w:p w14:paraId="1E709B74">
            <w:pPr>
              <w:pStyle w:val="43"/>
              <w:spacing w:before="11"/>
              <w:rPr>
                <w:rFonts w:hint="eastAsia" w:ascii="宋体" w:hAnsi="宋体" w:eastAsia="宋体" w:cs="宋体"/>
                <w:color w:val="auto"/>
                <w:highlight w:val="none"/>
              </w:rPr>
            </w:pPr>
          </w:p>
          <w:p w14:paraId="004260E1">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5.2.1</w:t>
            </w:r>
          </w:p>
        </w:tc>
        <w:tc>
          <w:tcPr>
            <w:tcW w:w="7305" w:type="dxa"/>
            <w:noWrap w:val="0"/>
            <w:vAlign w:val="center"/>
          </w:tcPr>
          <w:p w14:paraId="2D5326EC">
            <w:pPr>
              <w:pStyle w:val="43"/>
              <w:tabs>
                <w:tab w:val="left" w:pos="4445"/>
              </w:tabs>
              <w:spacing w:before="89"/>
              <w:ind w:left="347"/>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发包</w:t>
            </w:r>
            <w:r>
              <w:rPr>
                <w:rFonts w:hint="eastAsia" w:ascii="宋体" w:hAnsi="宋体" w:eastAsia="宋体" w:cs="宋体"/>
                <w:color w:val="auto"/>
                <w:spacing w:val="-3"/>
                <w:sz w:val="21"/>
                <w:highlight w:val="none"/>
                <w:lang w:eastAsia="zh-CN"/>
              </w:rPr>
              <w:t>人</w:t>
            </w:r>
            <w:r>
              <w:rPr>
                <w:rFonts w:hint="eastAsia" w:ascii="宋体" w:hAnsi="宋体" w:eastAsia="宋体" w:cs="宋体"/>
                <w:color w:val="auto"/>
                <w:sz w:val="21"/>
                <w:highlight w:val="none"/>
                <w:lang w:eastAsia="zh-CN"/>
              </w:rPr>
              <w:t>是</w:t>
            </w:r>
            <w:r>
              <w:rPr>
                <w:rFonts w:hint="eastAsia" w:ascii="宋体" w:hAnsi="宋体" w:eastAsia="宋体" w:cs="宋体"/>
                <w:color w:val="auto"/>
                <w:spacing w:val="-3"/>
                <w:sz w:val="21"/>
                <w:highlight w:val="none"/>
                <w:lang w:eastAsia="zh-CN"/>
              </w:rPr>
              <w:t>否</w:t>
            </w:r>
            <w:r>
              <w:rPr>
                <w:rFonts w:hint="eastAsia" w:ascii="宋体" w:hAnsi="宋体" w:eastAsia="宋体" w:cs="宋体"/>
                <w:color w:val="auto"/>
                <w:sz w:val="21"/>
                <w:highlight w:val="none"/>
                <w:lang w:eastAsia="zh-CN"/>
              </w:rPr>
              <w:t>提</w:t>
            </w:r>
            <w:r>
              <w:rPr>
                <w:rFonts w:hint="eastAsia" w:ascii="宋体" w:hAnsi="宋体" w:eastAsia="宋体" w:cs="宋体"/>
                <w:color w:val="auto"/>
                <w:spacing w:val="-3"/>
                <w:sz w:val="21"/>
                <w:highlight w:val="none"/>
                <w:lang w:eastAsia="zh-CN"/>
              </w:rPr>
              <w:t>供</w:t>
            </w:r>
            <w:r>
              <w:rPr>
                <w:rFonts w:hint="eastAsia" w:ascii="宋体" w:hAnsi="宋体" w:eastAsia="宋体" w:cs="宋体"/>
                <w:color w:val="auto"/>
                <w:sz w:val="21"/>
                <w:highlight w:val="none"/>
                <w:lang w:eastAsia="zh-CN"/>
              </w:rPr>
              <w:t>材</w:t>
            </w:r>
            <w:r>
              <w:rPr>
                <w:rFonts w:hint="eastAsia" w:ascii="宋体" w:hAnsi="宋体" w:eastAsia="宋体" w:cs="宋体"/>
                <w:color w:val="auto"/>
                <w:spacing w:val="-3"/>
                <w:sz w:val="21"/>
                <w:highlight w:val="none"/>
                <w:lang w:eastAsia="zh-CN"/>
              </w:rPr>
              <w:t>料</w:t>
            </w:r>
            <w:r>
              <w:rPr>
                <w:rFonts w:hint="eastAsia" w:ascii="宋体" w:hAnsi="宋体" w:eastAsia="宋体" w:cs="宋体"/>
                <w:color w:val="auto"/>
                <w:sz w:val="21"/>
                <w:highlight w:val="none"/>
                <w:lang w:eastAsia="zh-CN"/>
              </w:rPr>
              <w:t>或</w:t>
            </w:r>
            <w:r>
              <w:rPr>
                <w:rFonts w:hint="eastAsia" w:ascii="宋体" w:hAnsi="宋体" w:eastAsia="宋体" w:cs="宋体"/>
                <w:color w:val="auto"/>
                <w:spacing w:val="-3"/>
                <w:sz w:val="21"/>
                <w:highlight w:val="none"/>
                <w:lang w:eastAsia="zh-CN"/>
              </w:rPr>
              <w:t>工</w:t>
            </w:r>
            <w:r>
              <w:rPr>
                <w:rFonts w:hint="eastAsia" w:ascii="宋体" w:hAnsi="宋体" w:eastAsia="宋体" w:cs="宋体"/>
                <w:color w:val="auto"/>
                <w:sz w:val="21"/>
                <w:highlight w:val="none"/>
                <w:lang w:eastAsia="zh-CN"/>
              </w:rPr>
              <w:t>程设</w:t>
            </w:r>
            <w:r>
              <w:rPr>
                <w:rFonts w:hint="eastAsia" w:ascii="宋体" w:hAnsi="宋体" w:eastAsia="宋体" w:cs="宋体"/>
                <w:color w:val="auto"/>
                <w:spacing w:val="-3"/>
                <w:sz w:val="21"/>
                <w:highlight w:val="none"/>
                <w:lang w:eastAsia="zh-CN"/>
              </w:rPr>
              <w:t>备</w:t>
            </w:r>
            <w:r>
              <w:rPr>
                <w:rFonts w:hint="eastAsia" w:ascii="宋体" w:hAnsi="宋体" w:eastAsia="宋体" w:cs="宋体"/>
                <w:color w:val="auto"/>
                <w:sz w:val="21"/>
                <w:highlight w:val="none"/>
                <w:u w:val="none"/>
                <w:lang w:eastAsia="zh-CN"/>
              </w:rPr>
              <w:t>：</w:t>
            </w:r>
            <w:r>
              <w:rPr>
                <w:rFonts w:hint="eastAsia" w:ascii="宋体" w:hAnsi="宋体" w:eastAsia="宋体" w:cs="宋体"/>
                <w:color w:val="auto"/>
                <w:kern w:val="2"/>
                <w:sz w:val="21"/>
                <w:szCs w:val="21"/>
                <w:highlight w:val="none"/>
                <w:u w:val="single"/>
                <w:lang w:eastAsia="zh-CN"/>
              </w:rPr>
              <w:t>否</w:t>
            </w:r>
            <w:r>
              <w:rPr>
                <w:rFonts w:hint="eastAsia" w:ascii="宋体" w:hAnsi="宋体" w:eastAsia="宋体" w:cs="宋体"/>
                <w:color w:val="auto"/>
                <w:spacing w:val="17"/>
                <w:sz w:val="21"/>
                <w:highlight w:val="none"/>
                <w:lang w:eastAsia="zh-CN"/>
              </w:rPr>
              <w:t>（</w:t>
            </w:r>
            <w:r>
              <w:rPr>
                <w:rFonts w:hint="eastAsia" w:ascii="宋体" w:hAnsi="宋体" w:eastAsia="宋体" w:cs="宋体"/>
                <w:color w:val="auto"/>
                <w:sz w:val="21"/>
                <w:highlight w:val="none"/>
                <w:lang w:eastAsia="zh-CN"/>
              </w:rPr>
              <w:t>是</w:t>
            </w:r>
            <w:r>
              <w:rPr>
                <w:rFonts w:hint="eastAsia" w:ascii="宋体" w:hAnsi="宋体" w:eastAsia="宋体" w:cs="宋体"/>
                <w:color w:val="auto"/>
                <w:spacing w:val="-3"/>
                <w:sz w:val="21"/>
                <w:highlight w:val="none"/>
                <w:lang w:eastAsia="zh-CN"/>
              </w:rPr>
              <w:t>或</w:t>
            </w:r>
            <w:r>
              <w:rPr>
                <w:rFonts w:hint="eastAsia" w:ascii="宋体" w:hAnsi="宋体" w:eastAsia="宋体" w:cs="宋体"/>
                <w:color w:val="auto"/>
                <w:sz w:val="21"/>
                <w:highlight w:val="none"/>
                <w:lang w:eastAsia="zh-CN"/>
              </w:rPr>
              <w:t>否</w:t>
            </w:r>
            <w:r>
              <w:rPr>
                <w:rFonts w:hint="eastAsia" w:ascii="宋体" w:hAnsi="宋体" w:eastAsia="宋体" w:cs="宋体"/>
                <w:color w:val="auto"/>
                <w:spacing w:val="17"/>
                <w:sz w:val="21"/>
                <w:highlight w:val="none"/>
                <w:lang w:eastAsia="zh-CN"/>
              </w:rPr>
              <w:t>）</w:t>
            </w:r>
          </w:p>
          <w:p w14:paraId="3E7B7CF1">
            <w:pPr>
              <w:pStyle w:val="43"/>
              <w:tabs>
                <w:tab w:val="left" w:pos="7244"/>
              </w:tabs>
              <w:spacing w:before="91" w:line="250" w:lineRule="exact"/>
              <w:ind w:left="347"/>
              <w:rPr>
                <w:rFonts w:hint="eastAsia" w:ascii="宋体" w:hAnsi="宋体" w:eastAsia="宋体" w:cs="宋体"/>
                <w:color w:val="auto"/>
                <w:sz w:val="21"/>
                <w:highlight w:val="none"/>
                <w:lang w:eastAsia="zh-CN"/>
              </w:rPr>
            </w:pPr>
            <w:r>
              <w:rPr>
                <w:rFonts w:hint="eastAsia" w:ascii="宋体" w:hAnsi="宋体" w:eastAsia="宋体" w:cs="宋体"/>
                <w:color w:val="auto"/>
                <w:spacing w:val="-1"/>
                <w:sz w:val="21"/>
                <w:highlight w:val="none"/>
                <w:lang w:eastAsia="zh-CN"/>
              </w:rPr>
              <w:t>如发</w:t>
            </w:r>
            <w:r>
              <w:rPr>
                <w:rFonts w:hint="eastAsia" w:ascii="宋体" w:hAnsi="宋体" w:eastAsia="宋体" w:cs="宋体"/>
                <w:color w:val="auto"/>
                <w:spacing w:val="-3"/>
                <w:sz w:val="21"/>
                <w:highlight w:val="none"/>
                <w:lang w:eastAsia="zh-CN"/>
              </w:rPr>
              <w:t>包</w:t>
            </w:r>
            <w:r>
              <w:rPr>
                <w:rFonts w:hint="eastAsia" w:ascii="宋体" w:hAnsi="宋体" w:eastAsia="宋体" w:cs="宋体"/>
                <w:color w:val="auto"/>
                <w:sz w:val="21"/>
                <w:highlight w:val="none"/>
                <w:lang w:eastAsia="zh-CN"/>
              </w:rPr>
              <w:t>人</w:t>
            </w:r>
            <w:r>
              <w:rPr>
                <w:rFonts w:hint="eastAsia" w:ascii="宋体" w:hAnsi="宋体" w:eastAsia="宋体" w:cs="宋体"/>
                <w:color w:val="auto"/>
                <w:spacing w:val="-3"/>
                <w:sz w:val="21"/>
                <w:highlight w:val="none"/>
                <w:lang w:eastAsia="zh-CN"/>
              </w:rPr>
              <w:t>负</w:t>
            </w:r>
            <w:r>
              <w:rPr>
                <w:rFonts w:hint="eastAsia" w:ascii="宋体" w:hAnsi="宋体" w:eastAsia="宋体" w:cs="宋体"/>
                <w:color w:val="auto"/>
                <w:sz w:val="21"/>
                <w:highlight w:val="none"/>
                <w:lang w:eastAsia="zh-CN"/>
              </w:rPr>
              <w:t>责</w:t>
            </w:r>
            <w:r>
              <w:rPr>
                <w:rFonts w:hint="eastAsia" w:ascii="宋体" w:hAnsi="宋体" w:eastAsia="宋体" w:cs="宋体"/>
                <w:color w:val="auto"/>
                <w:spacing w:val="-3"/>
                <w:sz w:val="21"/>
                <w:highlight w:val="none"/>
                <w:lang w:eastAsia="zh-CN"/>
              </w:rPr>
              <w:t>提</w:t>
            </w:r>
            <w:r>
              <w:rPr>
                <w:rFonts w:hint="eastAsia" w:ascii="宋体" w:hAnsi="宋体" w:eastAsia="宋体" w:cs="宋体"/>
                <w:color w:val="auto"/>
                <w:sz w:val="21"/>
                <w:highlight w:val="none"/>
                <w:lang w:eastAsia="zh-CN"/>
              </w:rPr>
              <w:t>供</w:t>
            </w:r>
            <w:r>
              <w:rPr>
                <w:rFonts w:hint="eastAsia" w:ascii="宋体" w:hAnsi="宋体" w:eastAsia="宋体" w:cs="宋体"/>
                <w:color w:val="auto"/>
                <w:spacing w:val="-3"/>
                <w:sz w:val="21"/>
                <w:highlight w:val="none"/>
                <w:lang w:eastAsia="zh-CN"/>
              </w:rPr>
              <w:t>部</w:t>
            </w:r>
            <w:r>
              <w:rPr>
                <w:rFonts w:hint="eastAsia" w:ascii="宋体" w:hAnsi="宋体" w:eastAsia="宋体" w:cs="宋体"/>
                <w:color w:val="auto"/>
                <w:sz w:val="21"/>
                <w:highlight w:val="none"/>
                <w:lang w:eastAsia="zh-CN"/>
              </w:rPr>
              <w:t>分</w:t>
            </w:r>
            <w:r>
              <w:rPr>
                <w:rFonts w:hint="eastAsia" w:ascii="宋体" w:hAnsi="宋体" w:eastAsia="宋体" w:cs="宋体"/>
                <w:color w:val="auto"/>
                <w:spacing w:val="-3"/>
                <w:sz w:val="21"/>
                <w:highlight w:val="none"/>
                <w:lang w:eastAsia="zh-CN"/>
              </w:rPr>
              <w:t>材</w:t>
            </w:r>
            <w:r>
              <w:rPr>
                <w:rFonts w:hint="eastAsia" w:ascii="宋体" w:hAnsi="宋体" w:eastAsia="宋体" w:cs="宋体"/>
                <w:color w:val="auto"/>
                <w:sz w:val="21"/>
                <w:highlight w:val="none"/>
                <w:lang w:eastAsia="zh-CN"/>
              </w:rPr>
              <w:t>料或</w:t>
            </w:r>
            <w:r>
              <w:rPr>
                <w:rFonts w:hint="eastAsia" w:ascii="宋体" w:hAnsi="宋体" w:eastAsia="宋体" w:cs="宋体"/>
                <w:color w:val="auto"/>
                <w:spacing w:val="-3"/>
                <w:sz w:val="21"/>
                <w:highlight w:val="none"/>
                <w:lang w:eastAsia="zh-CN"/>
              </w:rPr>
              <w:t>工</w:t>
            </w:r>
            <w:r>
              <w:rPr>
                <w:rFonts w:hint="eastAsia" w:ascii="宋体" w:hAnsi="宋体" w:eastAsia="宋体" w:cs="宋体"/>
                <w:color w:val="auto"/>
                <w:sz w:val="21"/>
                <w:highlight w:val="none"/>
                <w:lang w:eastAsia="zh-CN"/>
              </w:rPr>
              <w:t>程</w:t>
            </w:r>
            <w:r>
              <w:rPr>
                <w:rFonts w:hint="eastAsia" w:ascii="宋体" w:hAnsi="宋体" w:eastAsia="宋体" w:cs="宋体"/>
                <w:color w:val="auto"/>
                <w:spacing w:val="-3"/>
                <w:sz w:val="21"/>
                <w:highlight w:val="none"/>
                <w:lang w:eastAsia="zh-CN"/>
              </w:rPr>
              <w:t>设</w:t>
            </w:r>
            <w:r>
              <w:rPr>
                <w:rFonts w:hint="eastAsia" w:ascii="宋体" w:hAnsi="宋体" w:eastAsia="宋体" w:cs="宋体"/>
                <w:color w:val="auto"/>
                <w:sz w:val="21"/>
                <w:highlight w:val="none"/>
                <w:lang w:eastAsia="zh-CN"/>
              </w:rPr>
              <w:t>备</w:t>
            </w:r>
            <w:r>
              <w:rPr>
                <w:rFonts w:hint="eastAsia" w:ascii="宋体" w:hAnsi="宋体" w:eastAsia="宋体" w:cs="宋体"/>
                <w:color w:val="auto"/>
                <w:spacing w:val="-3"/>
                <w:sz w:val="21"/>
                <w:highlight w:val="none"/>
                <w:lang w:eastAsia="zh-CN"/>
              </w:rPr>
              <w:t>，</w:t>
            </w:r>
            <w:r>
              <w:rPr>
                <w:rFonts w:hint="eastAsia" w:ascii="宋体" w:hAnsi="宋体" w:eastAsia="宋体" w:cs="宋体"/>
                <w:color w:val="auto"/>
                <w:sz w:val="21"/>
                <w:highlight w:val="none"/>
                <w:lang w:eastAsia="zh-CN"/>
              </w:rPr>
              <w:t>相</w:t>
            </w:r>
            <w:r>
              <w:rPr>
                <w:rFonts w:hint="eastAsia" w:ascii="宋体" w:hAnsi="宋体" w:eastAsia="宋体" w:cs="宋体"/>
                <w:color w:val="auto"/>
                <w:spacing w:val="-3"/>
                <w:sz w:val="21"/>
                <w:highlight w:val="none"/>
                <w:lang w:eastAsia="zh-CN"/>
              </w:rPr>
              <w:t>关</w:t>
            </w:r>
            <w:r>
              <w:rPr>
                <w:rFonts w:hint="eastAsia" w:ascii="宋体" w:hAnsi="宋体" w:eastAsia="宋体" w:cs="宋体"/>
                <w:color w:val="auto"/>
                <w:sz w:val="21"/>
                <w:highlight w:val="none"/>
                <w:lang w:eastAsia="zh-CN"/>
              </w:rPr>
              <w:t>规</w:t>
            </w:r>
            <w:r>
              <w:rPr>
                <w:rFonts w:hint="eastAsia" w:ascii="宋体" w:hAnsi="宋体" w:eastAsia="宋体" w:cs="宋体"/>
                <w:color w:val="auto"/>
                <w:spacing w:val="-3"/>
                <w:sz w:val="21"/>
                <w:highlight w:val="none"/>
                <w:lang w:eastAsia="zh-CN"/>
              </w:rPr>
              <w:t>定</w:t>
            </w:r>
            <w:r>
              <w:rPr>
                <w:rFonts w:hint="eastAsia" w:ascii="宋体" w:hAnsi="宋体" w:eastAsia="宋体" w:cs="宋体"/>
                <w:color w:val="auto"/>
                <w:sz w:val="21"/>
                <w:highlight w:val="none"/>
                <w:lang w:eastAsia="zh-CN"/>
              </w:rPr>
              <w:t>如下：</w:t>
            </w:r>
            <w:r>
              <w:rPr>
                <w:rFonts w:hint="eastAsia" w:ascii="宋体" w:hAnsi="宋体" w:eastAsia="宋体" w:cs="宋体"/>
                <w:color w:val="auto"/>
                <w:sz w:val="21"/>
                <w:highlight w:val="none"/>
                <w:lang w:val="en-US" w:eastAsia="zh-CN"/>
              </w:rPr>
              <w:t>/</w:t>
            </w:r>
            <w:r>
              <w:rPr>
                <w:rFonts w:hint="eastAsia" w:ascii="宋体" w:hAnsi="宋体" w:eastAsia="宋体" w:cs="宋体"/>
                <w:color w:val="auto"/>
                <w:sz w:val="21"/>
                <w:highlight w:val="none"/>
                <w:u w:val="single"/>
                <w:lang w:eastAsia="zh-CN"/>
              </w:rPr>
              <w:tab/>
            </w:r>
          </w:p>
        </w:tc>
      </w:tr>
      <w:tr w14:paraId="77317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29" w:type="dxa"/>
            <w:noWrap w:val="0"/>
            <w:vAlign w:val="center"/>
          </w:tcPr>
          <w:p w14:paraId="67969255">
            <w:pPr>
              <w:pStyle w:val="43"/>
              <w:spacing w:before="11"/>
              <w:rPr>
                <w:rFonts w:hint="eastAsia" w:ascii="宋体" w:hAnsi="宋体" w:eastAsia="宋体" w:cs="宋体"/>
                <w:color w:val="auto"/>
                <w:highlight w:val="none"/>
                <w:lang w:eastAsia="zh-CN"/>
              </w:rPr>
            </w:pPr>
          </w:p>
          <w:p w14:paraId="05DCEB03">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7</w:t>
            </w:r>
          </w:p>
        </w:tc>
        <w:tc>
          <w:tcPr>
            <w:tcW w:w="1111" w:type="dxa"/>
            <w:noWrap w:val="0"/>
            <w:vAlign w:val="center"/>
          </w:tcPr>
          <w:p w14:paraId="604C90BC">
            <w:pPr>
              <w:pStyle w:val="43"/>
              <w:spacing w:before="11"/>
              <w:rPr>
                <w:rFonts w:hint="eastAsia" w:ascii="宋体" w:hAnsi="宋体" w:eastAsia="宋体" w:cs="宋体"/>
                <w:color w:val="auto"/>
                <w:highlight w:val="none"/>
              </w:rPr>
            </w:pPr>
          </w:p>
          <w:p w14:paraId="465602C8">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6.2</w:t>
            </w:r>
          </w:p>
        </w:tc>
        <w:tc>
          <w:tcPr>
            <w:tcW w:w="7305" w:type="dxa"/>
            <w:noWrap w:val="0"/>
            <w:vAlign w:val="center"/>
          </w:tcPr>
          <w:p w14:paraId="7D86D7AC">
            <w:pPr>
              <w:pStyle w:val="43"/>
              <w:tabs>
                <w:tab w:val="left" w:pos="4865"/>
              </w:tabs>
              <w:spacing w:before="89"/>
              <w:ind w:left="347"/>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发包</w:t>
            </w:r>
            <w:r>
              <w:rPr>
                <w:rFonts w:hint="eastAsia" w:ascii="宋体" w:hAnsi="宋体" w:eastAsia="宋体" w:cs="宋体"/>
                <w:color w:val="auto"/>
                <w:spacing w:val="-3"/>
                <w:sz w:val="21"/>
                <w:highlight w:val="none"/>
                <w:lang w:eastAsia="zh-CN"/>
              </w:rPr>
              <w:t>人</w:t>
            </w:r>
            <w:r>
              <w:rPr>
                <w:rFonts w:hint="eastAsia" w:ascii="宋体" w:hAnsi="宋体" w:eastAsia="宋体" w:cs="宋体"/>
                <w:color w:val="auto"/>
                <w:sz w:val="21"/>
                <w:highlight w:val="none"/>
                <w:lang w:eastAsia="zh-CN"/>
              </w:rPr>
              <w:t>是</w:t>
            </w:r>
            <w:r>
              <w:rPr>
                <w:rFonts w:hint="eastAsia" w:ascii="宋体" w:hAnsi="宋体" w:eastAsia="宋体" w:cs="宋体"/>
                <w:color w:val="auto"/>
                <w:spacing w:val="-3"/>
                <w:sz w:val="21"/>
                <w:highlight w:val="none"/>
                <w:lang w:eastAsia="zh-CN"/>
              </w:rPr>
              <w:t>否</w:t>
            </w:r>
            <w:r>
              <w:rPr>
                <w:rFonts w:hint="eastAsia" w:ascii="宋体" w:hAnsi="宋体" w:eastAsia="宋体" w:cs="宋体"/>
                <w:color w:val="auto"/>
                <w:sz w:val="21"/>
                <w:highlight w:val="none"/>
                <w:lang w:eastAsia="zh-CN"/>
              </w:rPr>
              <w:t>提</w:t>
            </w:r>
            <w:r>
              <w:rPr>
                <w:rFonts w:hint="eastAsia" w:ascii="宋体" w:hAnsi="宋体" w:eastAsia="宋体" w:cs="宋体"/>
                <w:color w:val="auto"/>
                <w:spacing w:val="-3"/>
                <w:sz w:val="21"/>
                <w:highlight w:val="none"/>
                <w:lang w:eastAsia="zh-CN"/>
              </w:rPr>
              <w:t>供</w:t>
            </w:r>
            <w:r>
              <w:rPr>
                <w:rFonts w:hint="eastAsia" w:ascii="宋体" w:hAnsi="宋体" w:eastAsia="宋体" w:cs="宋体"/>
                <w:color w:val="auto"/>
                <w:sz w:val="21"/>
                <w:highlight w:val="none"/>
                <w:lang w:eastAsia="zh-CN"/>
              </w:rPr>
              <w:t>施</w:t>
            </w:r>
            <w:r>
              <w:rPr>
                <w:rFonts w:hint="eastAsia" w:ascii="宋体" w:hAnsi="宋体" w:eastAsia="宋体" w:cs="宋体"/>
                <w:color w:val="auto"/>
                <w:spacing w:val="-3"/>
                <w:sz w:val="21"/>
                <w:highlight w:val="none"/>
                <w:lang w:eastAsia="zh-CN"/>
              </w:rPr>
              <w:t>工</w:t>
            </w:r>
            <w:r>
              <w:rPr>
                <w:rFonts w:hint="eastAsia" w:ascii="宋体" w:hAnsi="宋体" w:eastAsia="宋体" w:cs="宋体"/>
                <w:color w:val="auto"/>
                <w:sz w:val="21"/>
                <w:highlight w:val="none"/>
                <w:lang w:eastAsia="zh-CN"/>
              </w:rPr>
              <w:t>设</w:t>
            </w:r>
            <w:r>
              <w:rPr>
                <w:rFonts w:hint="eastAsia" w:ascii="宋体" w:hAnsi="宋体" w:eastAsia="宋体" w:cs="宋体"/>
                <w:color w:val="auto"/>
                <w:spacing w:val="-3"/>
                <w:sz w:val="21"/>
                <w:highlight w:val="none"/>
                <w:lang w:eastAsia="zh-CN"/>
              </w:rPr>
              <w:t>备</w:t>
            </w:r>
            <w:r>
              <w:rPr>
                <w:rFonts w:hint="eastAsia" w:ascii="宋体" w:hAnsi="宋体" w:eastAsia="宋体" w:cs="宋体"/>
                <w:color w:val="auto"/>
                <w:sz w:val="21"/>
                <w:highlight w:val="none"/>
                <w:lang w:eastAsia="zh-CN"/>
              </w:rPr>
              <w:t>和临</w:t>
            </w:r>
            <w:r>
              <w:rPr>
                <w:rFonts w:hint="eastAsia" w:ascii="宋体" w:hAnsi="宋体" w:eastAsia="宋体" w:cs="宋体"/>
                <w:color w:val="auto"/>
                <w:spacing w:val="-3"/>
                <w:sz w:val="21"/>
                <w:highlight w:val="none"/>
                <w:lang w:eastAsia="zh-CN"/>
              </w:rPr>
              <w:t>时</w:t>
            </w:r>
            <w:r>
              <w:rPr>
                <w:rFonts w:hint="eastAsia" w:ascii="宋体" w:hAnsi="宋体" w:eastAsia="宋体" w:cs="宋体"/>
                <w:color w:val="auto"/>
                <w:sz w:val="21"/>
                <w:highlight w:val="none"/>
                <w:lang w:eastAsia="zh-CN"/>
              </w:rPr>
              <w:t>设</w:t>
            </w:r>
            <w:r>
              <w:rPr>
                <w:rFonts w:hint="eastAsia" w:ascii="宋体" w:hAnsi="宋体" w:eastAsia="宋体" w:cs="宋体"/>
                <w:color w:val="auto"/>
                <w:spacing w:val="-3"/>
                <w:sz w:val="21"/>
                <w:highlight w:val="none"/>
                <w:lang w:eastAsia="zh-CN"/>
              </w:rPr>
              <w:t>施</w:t>
            </w:r>
            <w:r>
              <w:rPr>
                <w:rFonts w:hint="eastAsia" w:ascii="宋体" w:hAnsi="宋体" w:eastAsia="宋体" w:cs="宋体"/>
                <w:color w:val="auto"/>
                <w:sz w:val="21"/>
                <w:highlight w:val="none"/>
                <w:u w:val="single"/>
                <w:lang w:eastAsia="zh-CN"/>
              </w:rPr>
              <w:t>：</w:t>
            </w:r>
            <w:r>
              <w:rPr>
                <w:rFonts w:hint="eastAsia" w:ascii="宋体" w:hAnsi="宋体" w:eastAsia="宋体" w:cs="宋体"/>
                <w:color w:val="auto"/>
                <w:kern w:val="2"/>
                <w:sz w:val="21"/>
                <w:szCs w:val="21"/>
                <w:highlight w:val="none"/>
                <w:u w:val="single"/>
                <w:lang w:eastAsia="zh-CN"/>
              </w:rPr>
              <w:t>否</w:t>
            </w:r>
            <w:r>
              <w:rPr>
                <w:rFonts w:hint="eastAsia" w:ascii="宋体" w:hAnsi="宋体" w:eastAsia="宋体" w:cs="宋体"/>
                <w:color w:val="auto"/>
                <w:spacing w:val="17"/>
                <w:sz w:val="21"/>
                <w:highlight w:val="none"/>
                <w:lang w:eastAsia="zh-CN"/>
              </w:rPr>
              <w:t>（</w:t>
            </w:r>
            <w:r>
              <w:rPr>
                <w:rFonts w:hint="eastAsia" w:ascii="宋体" w:hAnsi="宋体" w:eastAsia="宋体" w:cs="宋体"/>
                <w:color w:val="auto"/>
                <w:sz w:val="21"/>
                <w:highlight w:val="none"/>
                <w:lang w:eastAsia="zh-CN"/>
              </w:rPr>
              <w:t>是</w:t>
            </w:r>
            <w:r>
              <w:rPr>
                <w:rFonts w:hint="eastAsia" w:ascii="宋体" w:hAnsi="宋体" w:eastAsia="宋体" w:cs="宋体"/>
                <w:color w:val="auto"/>
                <w:spacing w:val="-3"/>
                <w:sz w:val="21"/>
                <w:highlight w:val="none"/>
                <w:lang w:eastAsia="zh-CN"/>
              </w:rPr>
              <w:t>或</w:t>
            </w:r>
            <w:r>
              <w:rPr>
                <w:rFonts w:hint="eastAsia" w:ascii="宋体" w:hAnsi="宋体" w:eastAsia="宋体" w:cs="宋体"/>
                <w:color w:val="auto"/>
                <w:sz w:val="21"/>
                <w:highlight w:val="none"/>
                <w:lang w:eastAsia="zh-CN"/>
              </w:rPr>
              <w:t>否</w:t>
            </w:r>
            <w:r>
              <w:rPr>
                <w:rFonts w:hint="eastAsia" w:ascii="宋体" w:hAnsi="宋体" w:eastAsia="宋体" w:cs="宋体"/>
                <w:color w:val="auto"/>
                <w:spacing w:val="17"/>
                <w:sz w:val="21"/>
                <w:highlight w:val="none"/>
                <w:lang w:eastAsia="zh-CN"/>
              </w:rPr>
              <w:t>）</w:t>
            </w:r>
          </w:p>
          <w:p w14:paraId="05383D9D">
            <w:pPr>
              <w:pStyle w:val="43"/>
              <w:tabs>
                <w:tab w:val="left" w:pos="7244"/>
              </w:tabs>
              <w:spacing w:before="91" w:line="250" w:lineRule="exact"/>
              <w:ind w:left="347"/>
              <w:rPr>
                <w:rFonts w:hint="eastAsia" w:ascii="宋体" w:hAnsi="宋体" w:eastAsia="宋体" w:cs="宋体"/>
                <w:color w:val="auto"/>
                <w:sz w:val="21"/>
                <w:highlight w:val="none"/>
                <w:lang w:eastAsia="zh-CN"/>
              </w:rPr>
            </w:pPr>
            <w:r>
              <w:rPr>
                <w:rFonts w:hint="eastAsia" w:ascii="宋体" w:hAnsi="宋体" w:eastAsia="宋体" w:cs="宋体"/>
                <w:color w:val="auto"/>
                <w:spacing w:val="-1"/>
                <w:sz w:val="21"/>
                <w:highlight w:val="none"/>
                <w:lang w:eastAsia="zh-CN"/>
              </w:rPr>
              <w:t>如发</w:t>
            </w:r>
            <w:r>
              <w:rPr>
                <w:rFonts w:hint="eastAsia" w:ascii="宋体" w:hAnsi="宋体" w:eastAsia="宋体" w:cs="宋体"/>
                <w:color w:val="auto"/>
                <w:spacing w:val="-3"/>
                <w:sz w:val="21"/>
                <w:highlight w:val="none"/>
                <w:lang w:eastAsia="zh-CN"/>
              </w:rPr>
              <w:t>包</w:t>
            </w:r>
            <w:r>
              <w:rPr>
                <w:rFonts w:hint="eastAsia" w:ascii="宋体" w:hAnsi="宋体" w:eastAsia="宋体" w:cs="宋体"/>
                <w:color w:val="auto"/>
                <w:sz w:val="21"/>
                <w:highlight w:val="none"/>
                <w:lang w:eastAsia="zh-CN"/>
              </w:rPr>
              <w:t>人</w:t>
            </w:r>
            <w:r>
              <w:rPr>
                <w:rFonts w:hint="eastAsia" w:ascii="宋体" w:hAnsi="宋体" w:eastAsia="宋体" w:cs="宋体"/>
                <w:color w:val="auto"/>
                <w:spacing w:val="-3"/>
                <w:sz w:val="21"/>
                <w:highlight w:val="none"/>
                <w:lang w:eastAsia="zh-CN"/>
              </w:rPr>
              <w:t>负</w:t>
            </w:r>
            <w:r>
              <w:rPr>
                <w:rFonts w:hint="eastAsia" w:ascii="宋体" w:hAnsi="宋体" w:eastAsia="宋体" w:cs="宋体"/>
                <w:color w:val="auto"/>
                <w:sz w:val="21"/>
                <w:highlight w:val="none"/>
                <w:lang w:eastAsia="zh-CN"/>
              </w:rPr>
              <w:t>责</w:t>
            </w:r>
            <w:r>
              <w:rPr>
                <w:rFonts w:hint="eastAsia" w:ascii="宋体" w:hAnsi="宋体" w:eastAsia="宋体" w:cs="宋体"/>
                <w:color w:val="auto"/>
                <w:spacing w:val="-3"/>
                <w:sz w:val="21"/>
                <w:highlight w:val="none"/>
                <w:lang w:eastAsia="zh-CN"/>
              </w:rPr>
              <w:t>提</w:t>
            </w:r>
            <w:r>
              <w:rPr>
                <w:rFonts w:hint="eastAsia" w:ascii="宋体" w:hAnsi="宋体" w:eastAsia="宋体" w:cs="宋体"/>
                <w:color w:val="auto"/>
                <w:sz w:val="21"/>
                <w:highlight w:val="none"/>
                <w:lang w:eastAsia="zh-CN"/>
              </w:rPr>
              <w:t>供</w:t>
            </w:r>
            <w:r>
              <w:rPr>
                <w:rFonts w:hint="eastAsia" w:ascii="宋体" w:hAnsi="宋体" w:eastAsia="宋体" w:cs="宋体"/>
                <w:color w:val="auto"/>
                <w:spacing w:val="-3"/>
                <w:sz w:val="21"/>
                <w:highlight w:val="none"/>
                <w:lang w:eastAsia="zh-CN"/>
              </w:rPr>
              <w:t>部</w:t>
            </w:r>
            <w:r>
              <w:rPr>
                <w:rFonts w:hint="eastAsia" w:ascii="宋体" w:hAnsi="宋体" w:eastAsia="宋体" w:cs="宋体"/>
                <w:color w:val="auto"/>
                <w:sz w:val="21"/>
                <w:highlight w:val="none"/>
                <w:lang w:eastAsia="zh-CN"/>
              </w:rPr>
              <w:t>分</w:t>
            </w:r>
            <w:r>
              <w:rPr>
                <w:rFonts w:hint="eastAsia" w:ascii="宋体" w:hAnsi="宋体" w:eastAsia="宋体" w:cs="宋体"/>
                <w:color w:val="auto"/>
                <w:spacing w:val="-3"/>
                <w:sz w:val="21"/>
                <w:highlight w:val="none"/>
                <w:lang w:eastAsia="zh-CN"/>
              </w:rPr>
              <w:t>施</w:t>
            </w:r>
            <w:r>
              <w:rPr>
                <w:rFonts w:hint="eastAsia" w:ascii="宋体" w:hAnsi="宋体" w:eastAsia="宋体" w:cs="宋体"/>
                <w:color w:val="auto"/>
                <w:sz w:val="21"/>
                <w:highlight w:val="none"/>
                <w:lang w:eastAsia="zh-CN"/>
              </w:rPr>
              <w:t>工设</w:t>
            </w:r>
            <w:r>
              <w:rPr>
                <w:rFonts w:hint="eastAsia" w:ascii="宋体" w:hAnsi="宋体" w:eastAsia="宋体" w:cs="宋体"/>
                <w:color w:val="auto"/>
                <w:spacing w:val="-3"/>
                <w:sz w:val="21"/>
                <w:highlight w:val="none"/>
                <w:lang w:eastAsia="zh-CN"/>
              </w:rPr>
              <w:t>备</w:t>
            </w:r>
            <w:r>
              <w:rPr>
                <w:rFonts w:hint="eastAsia" w:ascii="宋体" w:hAnsi="宋体" w:eastAsia="宋体" w:cs="宋体"/>
                <w:color w:val="auto"/>
                <w:sz w:val="21"/>
                <w:highlight w:val="none"/>
                <w:lang w:eastAsia="zh-CN"/>
              </w:rPr>
              <w:t>和</w:t>
            </w:r>
            <w:r>
              <w:rPr>
                <w:rFonts w:hint="eastAsia" w:ascii="宋体" w:hAnsi="宋体" w:eastAsia="宋体" w:cs="宋体"/>
                <w:color w:val="auto"/>
                <w:spacing w:val="-3"/>
                <w:sz w:val="21"/>
                <w:highlight w:val="none"/>
                <w:lang w:eastAsia="zh-CN"/>
              </w:rPr>
              <w:t>临</w:t>
            </w:r>
            <w:r>
              <w:rPr>
                <w:rFonts w:hint="eastAsia" w:ascii="宋体" w:hAnsi="宋体" w:eastAsia="宋体" w:cs="宋体"/>
                <w:color w:val="auto"/>
                <w:sz w:val="21"/>
                <w:highlight w:val="none"/>
                <w:lang w:eastAsia="zh-CN"/>
              </w:rPr>
              <w:t>时</w:t>
            </w:r>
            <w:r>
              <w:rPr>
                <w:rFonts w:hint="eastAsia" w:ascii="宋体" w:hAnsi="宋体" w:eastAsia="宋体" w:cs="宋体"/>
                <w:color w:val="auto"/>
                <w:spacing w:val="-3"/>
                <w:sz w:val="21"/>
                <w:highlight w:val="none"/>
                <w:lang w:eastAsia="zh-CN"/>
              </w:rPr>
              <w:t>设</w:t>
            </w:r>
            <w:r>
              <w:rPr>
                <w:rFonts w:hint="eastAsia" w:ascii="宋体" w:hAnsi="宋体" w:eastAsia="宋体" w:cs="宋体"/>
                <w:color w:val="auto"/>
                <w:sz w:val="21"/>
                <w:highlight w:val="none"/>
                <w:lang w:eastAsia="zh-CN"/>
              </w:rPr>
              <w:t>施</w:t>
            </w:r>
            <w:r>
              <w:rPr>
                <w:rFonts w:hint="eastAsia" w:ascii="宋体" w:hAnsi="宋体" w:eastAsia="宋体" w:cs="宋体"/>
                <w:color w:val="auto"/>
                <w:spacing w:val="-3"/>
                <w:sz w:val="21"/>
                <w:highlight w:val="none"/>
                <w:lang w:eastAsia="zh-CN"/>
              </w:rPr>
              <w:t>，</w:t>
            </w:r>
            <w:r>
              <w:rPr>
                <w:rFonts w:hint="eastAsia" w:ascii="宋体" w:hAnsi="宋体" w:eastAsia="宋体" w:cs="宋体"/>
                <w:color w:val="auto"/>
                <w:sz w:val="21"/>
                <w:highlight w:val="none"/>
                <w:lang w:eastAsia="zh-CN"/>
              </w:rPr>
              <w:t>相</w:t>
            </w:r>
            <w:r>
              <w:rPr>
                <w:rFonts w:hint="eastAsia" w:ascii="宋体" w:hAnsi="宋体" w:eastAsia="宋体" w:cs="宋体"/>
                <w:color w:val="auto"/>
                <w:spacing w:val="-3"/>
                <w:sz w:val="21"/>
                <w:highlight w:val="none"/>
                <w:lang w:eastAsia="zh-CN"/>
              </w:rPr>
              <w:t>关</w:t>
            </w:r>
            <w:r>
              <w:rPr>
                <w:rFonts w:hint="eastAsia" w:ascii="宋体" w:hAnsi="宋体" w:eastAsia="宋体" w:cs="宋体"/>
                <w:color w:val="auto"/>
                <w:sz w:val="21"/>
                <w:highlight w:val="none"/>
                <w:lang w:eastAsia="zh-CN"/>
              </w:rPr>
              <w:t>规定</w:t>
            </w:r>
            <w:r>
              <w:rPr>
                <w:rFonts w:hint="eastAsia" w:ascii="宋体" w:hAnsi="宋体" w:eastAsia="宋体" w:cs="宋体"/>
                <w:color w:val="auto"/>
                <w:spacing w:val="-3"/>
                <w:sz w:val="21"/>
                <w:highlight w:val="none"/>
                <w:lang w:eastAsia="zh-CN"/>
              </w:rPr>
              <w:t>如</w:t>
            </w:r>
            <w:r>
              <w:rPr>
                <w:rFonts w:hint="eastAsia" w:ascii="宋体" w:hAnsi="宋体" w:eastAsia="宋体" w:cs="宋体"/>
                <w:color w:val="auto"/>
                <w:sz w:val="21"/>
                <w:highlight w:val="none"/>
                <w:lang w:eastAsia="zh-CN"/>
              </w:rPr>
              <w:t>下：</w:t>
            </w:r>
            <w:r>
              <w:rPr>
                <w:rFonts w:hint="eastAsia" w:ascii="宋体" w:hAnsi="宋体" w:eastAsia="宋体" w:cs="宋体"/>
                <w:color w:val="auto"/>
                <w:sz w:val="21"/>
                <w:highlight w:val="none"/>
                <w:lang w:val="en-US" w:eastAsia="zh-CN"/>
              </w:rPr>
              <w:t>/</w:t>
            </w:r>
            <w:r>
              <w:rPr>
                <w:rFonts w:hint="eastAsia" w:ascii="宋体" w:hAnsi="宋体" w:eastAsia="宋体" w:cs="宋体"/>
                <w:color w:val="auto"/>
                <w:sz w:val="21"/>
                <w:highlight w:val="none"/>
                <w:u w:val="single"/>
                <w:lang w:eastAsia="zh-CN"/>
              </w:rPr>
              <w:tab/>
            </w:r>
          </w:p>
        </w:tc>
      </w:tr>
      <w:tr w14:paraId="5AC2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629" w:type="dxa"/>
            <w:noWrap w:val="0"/>
            <w:vAlign w:val="center"/>
          </w:tcPr>
          <w:p w14:paraId="6FF064D0">
            <w:pPr>
              <w:pStyle w:val="43"/>
              <w:spacing w:before="1"/>
              <w:rPr>
                <w:rFonts w:hint="eastAsia" w:ascii="宋体" w:hAnsi="宋体" w:eastAsia="宋体" w:cs="宋体"/>
                <w:color w:val="auto"/>
                <w:sz w:val="23"/>
                <w:highlight w:val="none"/>
                <w:lang w:eastAsia="zh-CN"/>
              </w:rPr>
            </w:pPr>
          </w:p>
          <w:p w14:paraId="75696628">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8</w:t>
            </w:r>
          </w:p>
        </w:tc>
        <w:tc>
          <w:tcPr>
            <w:tcW w:w="1111" w:type="dxa"/>
            <w:noWrap w:val="0"/>
            <w:vAlign w:val="center"/>
          </w:tcPr>
          <w:p w14:paraId="7F623433">
            <w:pPr>
              <w:pStyle w:val="43"/>
              <w:spacing w:before="1"/>
              <w:rPr>
                <w:rFonts w:hint="eastAsia" w:ascii="宋体" w:hAnsi="宋体" w:eastAsia="宋体" w:cs="宋体"/>
                <w:color w:val="auto"/>
                <w:sz w:val="23"/>
                <w:highlight w:val="none"/>
              </w:rPr>
            </w:pPr>
          </w:p>
          <w:p w14:paraId="3241AC70">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8.1.1</w:t>
            </w:r>
          </w:p>
        </w:tc>
        <w:tc>
          <w:tcPr>
            <w:tcW w:w="7305" w:type="dxa"/>
            <w:noWrap w:val="0"/>
            <w:vAlign w:val="center"/>
          </w:tcPr>
          <w:p w14:paraId="60FCA7F7">
            <w:pPr>
              <w:pStyle w:val="43"/>
              <w:tabs>
                <w:tab w:val="left" w:pos="6908"/>
                <w:tab w:val="left" w:pos="7244"/>
              </w:tabs>
              <w:spacing w:before="1" w:line="360" w:lineRule="atLeast"/>
              <w:ind w:left="347" w:right="48"/>
              <w:rPr>
                <w:rFonts w:hint="eastAsia" w:ascii="宋体" w:hAnsi="宋体" w:eastAsia="宋体" w:cs="宋体"/>
                <w:color w:val="auto"/>
                <w:sz w:val="21"/>
                <w:highlight w:val="none"/>
                <w:u w:val="single"/>
                <w:lang w:eastAsia="zh-CN"/>
              </w:rPr>
            </w:pPr>
            <w:r>
              <w:rPr>
                <w:rFonts w:hint="eastAsia" w:ascii="宋体" w:hAnsi="宋体" w:eastAsia="宋体" w:cs="宋体"/>
                <w:color w:val="auto"/>
                <w:sz w:val="21"/>
                <w:highlight w:val="none"/>
                <w:lang w:eastAsia="zh-CN"/>
              </w:rPr>
              <w:t>发包</w:t>
            </w:r>
            <w:r>
              <w:rPr>
                <w:rFonts w:hint="eastAsia" w:ascii="宋体" w:hAnsi="宋体" w:eastAsia="宋体" w:cs="宋体"/>
                <w:color w:val="auto"/>
                <w:spacing w:val="-3"/>
                <w:sz w:val="21"/>
                <w:highlight w:val="none"/>
                <w:lang w:eastAsia="zh-CN"/>
              </w:rPr>
              <w:t>人</w:t>
            </w:r>
            <w:r>
              <w:rPr>
                <w:rFonts w:hint="eastAsia" w:ascii="宋体" w:hAnsi="宋体" w:eastAsia="宋体" w:cs="宋体"/>
                <w:color w:val="auto"/>
                <w:sz w:val="21"/>
                <w:highlight w:val="none"/>
                <w:lang w:eastAsia="zh-CN"/>
              </w:rPr>
              <w:t>提</w:t>
            </w:r>
            <w:r>
              <w:rPr>
                <w:rFonts w:hint="eastAsia" w:ascii="宋体" w:hAnsi="宋体" w:eastAsia="宋体" w:cs="宋体"/>
                <w:color w:val="auto"/>
                <w:spacing w:val="-3"/>
                <w:sz w:val="21"/>
                <w:highlight w:val="none"/>
                <w:lang w:eastAsia="zh-CN"/>
              </w:rPr>
              <w:t>供</w:t>
            </w:r>
            <w:r>
              <w:rPr>
                <w:rFonts w:hint="eastAsia" w:ascii="宋体" w:hAnsi="宋体" w:eastAsia="宋体" w:cs="宋体"/>
                <w:color w:val="auto"/>
                <w:sz w:val="21"/>
                <w:highlight w:val="none"/>
                <w:lang w:eastAsia="zh-CN"/>
              </w:rPr>
              <w:t>测</w:t>
            </w:r>
            <w:r>
              <w:rPr>
                <w:rFonts w:hint="eastAsia" w:ascii="宋体" w:hAnsi="宋体" w:eastAsia="宋体" w:cs="宋体"/>
                <w:color w:val="auto"/>
                <w:spacing w:val="-3"/>
                <w:sz w:val="21"/>
                <w:highlight w:val="none"/>
                <w:lang w:eastAsia="zh-CN"/>
              </w:rPr>
              <w:t>量</w:t>
            </w:r>
            <w:r>
              <w:rPr>
                <w:rFonts w:hint="eastAsia" w:ascii="宋体" w:hAnsi="宋体" w:eastAsia="宋体" w:cs="宋体"/>
                <w:color w:val="auto"/>
                <w:sz w:val="21"/>
                <w:highlight w:val="none"/>
                <w:lang w:eastAsia="zh-CN"/>
              </w:rPr>
              <w:t>基</w:t>
            </w:r>
            <w:r>
              <w:rPr>
                <w:rFonts w:hint="eastAsia" w:ascii="宋体" w:hAnsi="宋体" w:eastAsia="宋体" w:cs="宋体"/>
                <w:color w:val="auto"/>
                <w:spacing w:val="-3"/>
                <w:sz w:val="21"/>
                <w:highlight w:val="none"/>
                <w:lang w:eastAsia="zh-CN"/>
              </w:rPr>
              <w:t>准</w:t>
            </w:r>
            <w:r>
              <w:rPr>
                <w:rFonts w:hint="eastAsia" w:ascii="宋体" w:hAnsi="宋体" w:eastAsia="宋体" w:cs="宋体"/>
                <w:color w:val="auto"/>
                <w:sz w:val="21"/>
                <w:highlight w:val="none"/>
                <w:lang w:eastAsia="zh-CN"/>
              </w:rPr>
              <w:t>点</w:t>
            </w:r>
            <w:r>
              <w:rPr>
                <w:rFonts w:hint="eastAsia" w:ascii="宋体" w:hAnsi="宋体" w:eastAsia="宋体" w:cs="宋体"/>
                <w:color w:val="auto"/>
                <w:spacing w:val="-3"/>
                <w:sz w:val="21"/>
                <w:highlight w:val="none"/>
                <w:lang w:eastAsia="zh-CN"/>
              </w:rPr>
              <w:t>、</w:t>
            </w:r>
            <w:r>
              <w:rPr>
                <w:rFonts w:hint="eastAsia" w:ascii="宋体" w:hAnsi="宋体" w:eastAsia="宋体" w:cs="宋体"/>
                <w:color w:val="auto"/>
                <w:sz w:val="21"/>
                <w:highlight w:val="none"/>
                <w:lang w:eastAsia="zh-CN"/>
              </w:rPr>
              <w:t>基准</w:t>
            </w:r>
            <w:r>
              <w:rPr>
                <w:rFonts w:hint="eastAsia" w:ascii="宋体" w:hAnsi="宋体" w:eastAsia="宋体" w:cs="宋体"/>
                <w:color w:val="auto"/>
                <w:spacing w:val="-3"/>
                <w:sz w:val="21"/>
                <w:highlight w:val="none"/>
                <w:lang w:eastAsia="zh-CN"/>
              </w:rPr>
              <w:t>线</w:t>
            </w:r>
            <w:r>
              <w:rPr>
                <w:rFonts w:hint="eastAsia" w:ascii="宋体" w:hAnsi="宋体" w:eastAsia="宋体" w:cs="宋体"/>
                <w:color w:val="auto"/>
                <w:sz w:val="21"/>
                <w:highlight w:val="none"/>
                <w:lang w:eastAsia="zh-CN"/>
              </w:rPr>
              <w:t>和</w:t>
            </w:r>
            <w:r>
              <w:rPr>
                <w:rFonts w:hint="eastAsia" w:ascii="宋体" w:hAnsi="宋体" w:eastAsia="宋体" w:cs="宋体"/>
                <w:color w:val="auto"/>
                <w:spacing w:val="-3"/>
                <w:sz w:val="21"/>
                <w:highlight w:val="none"/>
                <w:lang w:eastAsia="zh-CN"/>
              </w:rPr>
              <w:t>水</w:t>
            </w:r>
            <w:r>
              <w:rPr>
                <w:rFonts w:hint="eastAsia" w:ascii="宋体" w:hAnsi="宋体" w:eastAsia="宋体" w:cs="宋体"/>
                <w:color w:val="auto"/>
                <w:sz w:val="21"/>
                <w:highlight w:val="none"/>
                <w:lang w:eastAsia="zh-CN"/>
              </w:rPr>
              <w:t>准</w:t>
            </w:r>
            <w:r>
              <w:rPr>
                <w:rFonts w:hint="eastAsia" w:ascii="宋体" w:hAnsi="宋体" w:eastAsia="宋体" w:cs="宋体"/>
                <w:color w:val="auto"/>
                <w:spacing w:val="-3"/>
                <w:sz w:val="21"/>
                <w:highlight w:val="none"/>
                <w:lang w:eastAsia="zh-CN"/>
              </w:rPr>
              <w:t>点</w:t>
            </w:r>
            <w:r>
              <w:rPr>
                <w:rFonts w:hint="eastAsia" w:ascii="宋体" w:hAnsi="宋体" w:eastAsia="宋体" w:cs="宋体"/>
                <w:color w:val="auto"/>
                <w:sz w:val="21"/>
                <w:highlight w:val="none"/>
                <w:lang w:eastAsia="zh-CN"/>
              </w:rPr>
              <w:t>及</w:t>
            </w:r>
            <w:r>
              <w:rPr>
                <w:rFonts w:hint="eastAsia" w:ascii="宋体" w:hAnsi="宋体" w:eastAsia="宋体" w:cs="宋体"/>
                <w:color w:val="auto"/>
                <w:spacing w:val="-3"/>
                <w:sz w:val="21"/>
                <w:highlight w:val="none"/>
                <w:lang w:eastAsia="zh-CN"/>
              </w:rPr>
              <w:t>其</w:t>
            </w:r>
            <w:r>
              <w:rPr>
                <w:rFonts w:hint="eastAsia" w:ascii="宋体" w:hAnsi="宋体" w:eastAsia="宋体" w:cs="宋体"/>
                <w:color w:val="auto"/>
                <w:sz w:val="21"/>
                <w:highlight w:val="none"/>
                <w:lang w:eastAsia="zh-CN"/>
              </w:rPr>
              <w:t>书</w:t>
            </w:r>
            <w:r>
              <w:rPr>
                <w:rFonts w:hint="eastAsia" w:ascii="宋体" w:hAnsi="宋体" w:eastAsia="宋体" w:cs="宋体"/>
                <w:color w:val="auto"/>
                <w:spacing w:val="-3"/>
                <w:sz w:val="21"/>
                <w:highlight w:val="none"/>
                <w:lang w:eastAsia="zh-CN"/>
              </w:rPr>
              <w:t>面</w:t>
            </w:r>
            <w:r>
              <w:rPr>
                <w:rFonts w:hint="eastAsia" w:ascii="宋体" w:hAnsi="宋体" w:eastAsia="宋体" w:cs="宋体"/>
                <w:color w:val="auto"/>
                <w:sz w:val="21"/>
                <w:highlight w:val="none"/>
                <w:lang w:eastAsia="zh-CN"/>
              </w:rPr>
              <w:t>资料</w:t>
            </w:r>
            <w:r>
              <w:rPr>
                <w:rFonts w:hint="eastAsia" w:ascii="宋体" w:hAnsi="宋体" w:eastAsia="宋体" w:cs="宋体"/>
                <w:color w:val="auto"/>
                <w:spacing w:val="-3"/>
                <w:sz w:val="21"/>
                <w:highlight w:val="none"/>
                <w:lang w:eastAsia="zh-CN"/>
              </w:rPr>
              <w:t>的</w:t>
            </w:r>
            <w:r>
              <w:rPr>
                <w:rFonts w:hint="eastAsia" w:ascii="宋体" w:hAnsi="宋体" w:eastAsia="宋体" w:cs="宋体"/>
                <w:color w:val="auto"/>
                <w:sz w:val="21"/>
                <w:highlight w:val="none"/>
                <w:lang w:eastAsia="zh-CN"/>
              </w:rPr>
              <w:t>期</w:t>
            </w:r>
            <w:r>
              <w:rPr>
                <w:rFonts w:hint="eastAsia" w:ascii="宋体" w:hAnsi="宋体" w:eastAsia="宋体" w:cs="宋体"/>
                <w:color w:val="auto"/>
                <w:spacing w:val="-3"/>
                <w:sz w:val="21"/>
                <w:highlight w:val="none"/>
                <w:lang w:eastAsia="zh-CN"/>
              </w:rPr>
              <w:t>限</w:t>
            </w:r>
            <w:r>
              <w:rPr>
                <w:rFonts w:hint="eastAsia" w:ascii="宋体" w:hAnsi="宋体" w:eastAsia="宋体" w:cs="宋体"/>
                <w:color w:val="auto"/>
                <w:sz w:val="21"/>
                <w:highlight w:val="none"/>
                <w:lang w:eastAsia="zh-CN"/>
              </w:rPr>
              <w:t>：</w:t>
            </w:r>
            <w:r>
              <w:rPr>
                <w:rFonts w:hint="eastAsia" w:ascii="宋体" w:hAnsi="宋体" w:eastAsia="宋体" w:cs="宋体"/>
                <w:snapToGrid w:val="0"/>
                <w:color w:val="auto"/>
                <w:spacing w:val="-1"/>
                <w:sz w:val="21"/>
                <w:szCs w:val="21"/>
                <w:highlight w:val="none"/>
                <w:u w:val="single"/>
                <w:lang w:eastAsia="zh-CN"/>
              </w:rPr>
              <w:t>进场7天</w:t>
            </w:r>
            <w:r>
              <w:rPr>
                <w:rFonts w:hint="eastAsia" w:ascii="宋体" w:hAnsi="宋体" w:eastAsia="宋体" w:cs="宋体"/>
                <w:snapToGrid w:val="0"/>
                <w:color w:val="auto"/>
                <w:sz w:val="21"/>
                <w:szCs w:val="21"/>
                <w:highlight w:val="none"/>
                <w:u w:val="single"/>
                <w:lang w:eastAsia="zh-CN"/>
              </w:rPr>
              <w:t>内</w:t>
            </w:r>
            <w:r>
              <w:rPr>
                <w:rFonts w:hint="eastAsia" w:ascii="宋体" w:hAnsi="宋体" w:eastAsia="宋体" w:cs="宋体"/>
                <w:color w:val="auto"/>
                <w:sz w:val="21"/>
                <w:highlight w:val="none"/>
                <w:u w:val="single"/>
                <w:lang w:eastAsia="zh-CN"/>
              </w:rPr>
              <w:tab/>
            </w:r>
          </w:p>
          <w:p w14:paraId="4E2F6DF6">
            <w:pPr>
              <w:pStyle w:val="43"/>
              <w:tabs>
                <w:tab w:val="left" w:pos="6908"/>
                <w:tab w:val="left" w:pos="7244"/>
              </w:tabs>
              <w:spacing w:before="1" w:line="360" w:lineRule="atLeast"/>
              <w:ind w:left="347" w:right="48"/>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承包</w:t>
            </w:r>
            <w:r>
              <w:rPr>
                <w:rFonts w:hint="eastAsia" w:ascii="宋体" w:hAnsi="宋体" w:eastAsia="宋体" w:cs="宋体"/>
                <w:color w:val="auto"/>
                <w:spacing w:val="-3"/>
                <w:sz w:val="21"/>
                <w:highlight w:val="none"/>
                <w:lang w:eastAsia="zh-CN"/>
              </w:rPr>
              <w:t>人</w:t>
            </w:r>
            <w:r>
              <w:rPr>
                <w:rFonts w:hint="eastAsia" w:ascii="宋体" w:hAnsi="宋体" w:eastAsia="宋体" w:cs="宋体"/>
                <w:color w:val="auto"/>
                <w:sz w:val="21"/>
                <w:highlight w:val="none"/>
                <w:lang w:eastAsia="zh-CN"/>
              </w:rPr>
              <w:t>将</w:t>
            </w:r>
            <w:r>
              <w:rPr>
                <w:rFonts w:hint="eastAsia" w:ascii="宋体" w:hAnsi="宋体" w:eastAsia="宋体" w:cs="宋体"/>
                <w:color w:val="auto"/>
                <w:spacing w:val="-3"/>
                <w:sz w:val="21"/>
                <w:highlight w:val="none"/>
                <w:lang w:eastAsia="zh-CN"/>
              </w:rPr>
              <w:t>施</w:t>
            </w:r>
            <w:r>
              <w:rPr>
                <w:rFonts w:hint="eastAsia" w:ascii="宋体" w:hAnsi="宋体" w:eastAsia="宋体" w:cs="宋体"/>
                <w:color w:val="auto"/>
                <w:sz w:val="21"/>
                <w:highlight w:val="none"/>
                <w:lang w:eastAsia="zh-CN"/>
              </w:rPr>
              <w:t>工</w:t>
            </w:r>
            <w:r>
              <w:rPr>
                <w:rFonts w:hint="eastAsia" w:ascii="宋体" w:hAnsi="宋体" w:eastAsia="宋体" w:cs="宋体"/>
                <w:color w:val="auto"/>
                <w:spacing w:val="-3"/>
                <w:sz w:val="21"/>
                <w:highlight w:val="none"/>
                <w:lang w:eastAsia="zh-CN"/>
              </w:rPr>
              <w:t>控</w:t>
            </w:r>
            <w:r>
              <w:rPr>
                <w:rFonts w:hint="eastAsia" w:ascii="宋体" w:hAnsi="宋体" w:eastAsia="宋体" w:cs="宋体"/>
                <w:color w:val="auto"/>
                <w:sz w:val="21"/>
                <w:highlight w:val="none"/>
                <w:lang w:eastAsia="zh-CN"/>
              </w:rPr>
              <w:t>制</w:t>
            </w:r>
            <w:r>
              <w:rPr>
                <w:rFonts w:hint="eastAsia" w:ascii="宋体" w:hAnsi="宋体" w:eastAsia="宋体" w:cs="宋体"/>
                <w:color w:val="auto"/>
                <w:spacing w:val="-3"/>
                <w:sz w:val="21"/>
                <w:highlight w:val="none"/>
                <w:lang w:eastAsia="zh-CN"/>
              </w:rPr>
              <w:t>网</w:t>
            </w:r>
            <w:r>
              <w:rPr>
                <w:rFonts w:hint="eastAsia" w:ascii="宋体" w:hAnsi="宋体" w:eastAsia="宋体" w:cs="宋体"/>
                <w:color w:val="auto"/>
                <w:sz w:val="21"/>
                <w:highlight w:val="none"/>
                <w:lang w:eastAsia="zh-CN"/>
              </w:rPr>
              <w:t>资</w:t>
            </w:r>
            <w:r>
              <w:rPr>
                <w:rFonts w:hint="eastAsia" w:ascii="宋体" w:hAnsi="宋体" w:eastAsia="宋体" w:cs="宋体"/>
                <w:color w:val="auto"/>
                <w:spacing w:val="-3"/>
                <w:sz w:val="21"/>
                <w:highlight w:val="none"/>
                <w:lang w:eastAsia="zh-CN"/>
              </w:rPr>
              <w:t>料</w:t>
            </w:r>
            <w:r>
              <w:rPr>
                <w:rFonts w:hint="eastAsia" w:ascii="宋体" w:hAnsi="宋体" w:eastAsia="宋体" w:cs="宋体"/>
                <w:color w:val="auto"/>
                <w:sz w:val="21"/>
                <w:highlight w:val="none"/>
                <w:lang w:eastAsia="zh-CN"/>
              </w:rPr>
              <w:t>报送</w:t>
            </w:r>
            <w:r>
              <w:rPr>
                <w:rFonts w:hint="eastAsia" w:ascii="宋体" w:hAnsi="宋体" w:eastAsia="宋体" w:cs="宋体"/>
                <w:color w:val="auto"/>
                <w:spacing w:val="-3"/>
                <w:sz w:val="21"/>
                <w:highlight w:val="none"/>
                <w:lang w:eastAsia="zh-CN"/>
              </w:rPr>
              <w:t>监</w:t>
            </w:r>
            <w:r>
              <w:rPr>
                <w:rFonts w:hint="eastAsia" w:ascii="宋体" w:hAnsi="宋体" w:eastAsia="宋体" w:cs="宋体"/>
                <w:color w:val="auto"/>
                <w:sz w:val="21"/>
                <w:highlight w:val="none"/>
                <w:lang w:eastAsia="zh-CN"/>
              </w:rPr>
              <w:t>理</w:t>
            </w:r>
            <w:r>
              <w:rPr>
                <w:rFonts w:hint="eastAsia" w:ascii="宋体" w:hAnsi="宋体" w:eastAsia="宋体" w:cs="宋体"/>
                <w:color w:val="auto"/>
                <w:spacing w:val="-3"/>
                <w:sz w:val="21"/>
                <w:highlight w:val="none"/>
                <w:lang w:eastAsia="zh-CN"/>
              </w:rPr>
              <w:t>人</w:t>
            </w:r>
            <w:r>
              <w:rPr>
                <w:rFonts w:hint="eastAsia" w:ascii="宋体" w:hAnsi="宋体" w:eastAsia="宋体" w:cs="宋体"/>
                <w:color w:val="auto"/>
                <w:sz w:val="21"/>
                <w:highlight w:val="none"/>
                <w:lang w:eastAsia="zh-CN"/>
              </w:rPr>
              <w:t>审</w:t>
            </w:r>
            <w:r>
              <w:rPr>
                <w:rFonts w:hint="eastAsia" w:ascii="宋体" w:hAnsi="宋体" w:eastAsia="宋体" w:cs="宋体"/>
                <w:color w:val="auto"/>
                <w:spacing w:val="-3"/>
                <w:sz w:val="21"/>
                <w:highlight w:val="none"/>
                <w:lang w:eastAsia="zh-CN"/>
              </w:rPr>
              <w:t>批</w:t>
            </w:r>
            <w:r>
              <w:rPr>
                <w:rFonts w:hint="eastAsia" w:ascii="宋体" w:hAnsi="宋体" w:eastAsia="宋体" w:cs="宋体"/>
                <w:color w:val="auto"/>
                <w:sz w:val="21"/>
                <w:highlight w:val="none"/>
                <w:lang w:eastAsia="zh-CN"/>
              </w:rPr>
              <w:t>的</w:t>
            </w:r>
            <w:r>
              <w:rPr>
                <w:rFonts w:hint="eastAsia" w:ascii="宋体" w:hAnsi="宋体" w:eastAsia="宋体" w:cs="宋体"/>
                <w:color w:val="auto"/>
                <w:spacing w:val="-3"/>
                <w:sz w:val="21"/>
                <w:highlight w:val="none"/>
                <w:lang w:eastAsia="zh-CN"/>
              </w:rPr>
              <w:t>期</w:t>
            </w:r>
            <w:r>
              <w:rPr>
                <w:rFonts w:hint="eastAsia" w:ascii="宋体" w:hAnsi="宋体" w:eastAsia="宋体" w:cs="宋体"/>
                <w:color w:val="auto"/>
                <w:sz w:val="21"/>
                <w:highlight w:val="none"/>
                <w:lang w:eastAsia="zh-CN"/>
              </w:rPr>
              <w:t>限</w:t>
            </w:r>
            <w:r>
              <w:rPr>
                <w:rFonts w:hint="eastAsia" w:ascii="宋体" w:hAnsi="宋体" w:eastAsia="宋体" w:cs="宋体"/>
                <w:color w:val="auto"/>
                <w:spacing w:val="-3"/>
                <w:sz w:val="21"/>
                <w:highlight w:val="none"/>
                <w:lang w:eastAsia="zh-CN"/>
              </w:rPr>
              <w:t>：</w:t>
            </w:r>
            <w:r>
              <w:rPr>
                <w:rFonts w:hint="eastAsia" w:ascii="宋体" w:hAnsi="宋体" w:eastAsia="宋体" w:cs="宋体"/>
                <w:color w:val="auto"/>
                <w:kern w:val="2"/>
                <w:sz w:val="21"/>
                <w:szCs w:val="21"/>
                <w:highlight w:val="none"/>
                <w:u w:val="single"/>
                <w:lang w:eastAsia="zh-CN"/>
              </w:rPr>
              <w:t>发出开工通知后7天</w:t>
            </w:r>
            <w:r>
              <w:rPr>
                <w:rFonts w:hint="eastAsia" w:ascii="宋体" w:hAnsi="宋体" w:eastAsia="宋体" w:cs="宋体"/>
                <w:color w:val="auto"/>
                <w:sz w:val="21"/>
                <w:highlight w:val="none"/>
                <w:u w:val="single"/>
                <w:lang w:eastAsia="zh-CN"/>
              </w:rPr>
              <w:tab/>
            </w:r>
          </w:p>
        </w:tc>
      </w:tr>
      <w:tr w14:paraId="06114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jc w:val="center"/>
        </w:trPr>
        <w:tc>
          <w:tcPr>
            <w:tcW w:w="629" w:type="dxa"/>
            <w:noWrap w:val="0"/>
            <w:vAlign w:val="center"/>
          </w:tcPr>
          <w:p w14:paraId="76B810A9">
            <w:pPr>
              <w:pStyle w:val="43"/>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9</w:t>
            </w:r>
          </w:p>
        </w:tc>
        <w:tc>
          <w:tcPr>
            <w:tcW w:w="1111" w:type="dxa"/>
            <w:noWrap w:val="0"/>
            <w:vAlign w:val="center"/>
          </w:tcPr>
          <w:p w14:paraId="66A99DE4">
            <w:pPr>
              <w:pStyle w:val="43"/>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11.1</w:t>
            </w:r>
          </w:p>
        </w:tc>
        <w:tc>
          <w:tcPr>
            <w:tcW w:w="7305" w:type="dxa"/>
            <w:noWrap w:val="0"/>
            <w:vAlign w:val="center"/>
          </w:tcPr>
          <w:p w14:paraId="409FBE7B">
            <w:pPr>
              <w:pStyle w:val="43"/>
              <w:tabs>
                <w:tab w:val="left" w:pos="0"/>
                <w:tab w:val="left" w:pos="6908"/>
                <w:tab w:val="left" w:pos="7244"/>
              </w:tabs>
              <w:spacing w:before="1" w:line="360" w:lineRule="atLeast"/>
              <w:ind w:left="227" w:right="48" w:firstLine="119" w:firstLineChars="57"/>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承包人应在签订施工承包合同协议书后的5个工作日内完成进场准备，包括主要管理人员、投标文件承诺进场的机械设备、试验检测设备、项目部的办公设备、项目部的选址及上墙图表等，并具备基本的工作条件；承包人完成进场准备后的7天内开展实质性的施工工作。</w:t>
            </w:r>
          </w:p>
          <w:p w14:paraId="7912C813">
            <w:pPr>
              <w:pStyle w:val="43"/>
              <w:tabs>
                <w:tab w:val="left" w:pos="6908"/>
                <w:tab w:val="left" w:pos="7244"/>
              </w:tabs>
              <w:spacing w:before="1" w:line="360" w:lineRule="atLeast"/>
              <w:ind w:left="347" w:right="48"/>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逾期开工违约金：</w:t>
            </w:r>
            <w:r>
              <w:rPr>
                <w:rFonts w:hint="eastAsia" w:ascii="宋体" w:hAnsi="宋体" w:eastAsia="宋体" w:cs="宋体"/>
                <w:color w:val="auto"/>
                <w:sz w:val="21"/>
                <w:highlight w:val="none"/>
                <w:u w:val="single"/>
                <w:lang w:eastAsia="zh-CN"/>
              </w:rPr>
              <w:t>5000元/天</w:t>
            </w:r>
            <w:r>
              <w:rPr>
                <w:rFonts w:hint="eastAsia" w:ascii="宋体" w:hAnsi="宋体" w:eastAsia="宋体" w:cs="宋体"/>
                <w:color w:val="auto"/>
                <w:sz w:val="21"/>
                <w:highlight w:val="none"/>
                <w:lang w:eastAsia="zh-CN"/>
              </w:rPr>
              <w:t>。</w:t>
            </w:r>
          </w:p>
        </w:tc>
      </w:tr>
      <w:tr w14:paraId="1CBF2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jc w:val="center"/>
        </w:trPr>
        <w:tc>
          <w:tcPr>
            <w:tcW w:w="629" w:type="dxa"/>
            <w:noWrap w:val="0"/>
            <w:vAlign w:val="center"/>
          </w:tcPr>
          <w:p w14:paraId="5316BD5B">
            <w:pPr>
              <w:pStyle w:val="43"/>
              <w:spacing w:before="114" w:line="226" w:lineRule="exact"/>
              <w:ind w:left="9"/>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10</w:t>
            </w:r>
          </w:p>
        </w:tc>
        <w:tc>
          <w:tcPr>
            <w:tcW w:w="1111" w:type="dxa"/>
            <w:noWrap w:val="0"/>
            <w:vAlign w:val="center"/>
          </w:tcPr>
          <w:p w14:paraId="0D4C8C93">
            <w:pPr>
              <w:pStyle w:val="43"/>
              <w:spacing w:before="90" w:line="250" w:lineRule="exact"/>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11.5（3）</w:t>
            </w:r>
          </w:p>
        </w:tc>
        <w:tc>
          <w:tcPr>
            <w:tcW w:w="7305" w:type="dxa"/>
            <w:noWrap w:val="0"/>
            <w:vAlign w:val="center"/>
          </w:tcPr>
          <w:p w14:paraId="2B928B32">
            <w:pPr>
              <w:pStyle w:val="43"/>
              <w:tabs>
                <w:tab w:val="left" w:pos="2450"/>
              </w:tabs>
              <w:spacing w:before="90" w:line="250" w:lineRule="exact"/>
              <w:ind w:left="347"/>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逾期</w:t>
            </w:r>
            <w:r>
              <w:rPr>
                <w:rFonts w:hint="eastAsia" w:ascii="宋体" w:hAnsi="宋体" w:eastAsia="宋体" w:cs="宋体"/>
                <w:color w:val="auto"/>
                <w:spacing w:val="-3"/>
                <w:sz w:val="21"/>
                <w:highlight w:val="none"/>
                <w:lang w:eastAsia="zh-CN"/>
              </w:rPr>
              <w:t>交</w:t>
            </w:r>
            <w:r>
              <w:rPr>
                <w:rFonts w:hint="eastAsia" w:ascii="宋体" w:hAnsi="宋体" w:eastAsia="宋体" w:cs="宋体"/>
                <w:color w:val="auto"/>
                <w:sz w:val="21"/>
                <w:highlight w:val="none"/>
                <w:lang w:eastAsia="zh-CN"/>
              </w:rPr>
              <w:t>工</w:t>
            </w:r>
            <w:r>
              <w:rPr>
                <w:rFonts w:hint="eastAsia" w:ascii="宋体" w:hAnsi="宋体" w:eastAsia="宋体" w:cs="宋体"/>
                <w:color w:val="auto"/>
                <w:spacing w:val="-3"/>
                <w:sz w:val="21"/>
                <w:highlight w:val="none"/>
                <w:lang w:eastAsia="zh-CN"/>
              </w:rPr>
              <w:t>违</w:t>
            </w:r>
            <w:r>
              <w:rPr>
                <w:rFonts w:hint="eastAsia" w:ascii="宋体" w:hAnsi="宋体" w:eastAsia="宋体" w:cs="宋体"/>
                <w:color w:val="auto"/>
                <w:sz w:val="21"/>
                <w:highlight w:val="none"/>
                <w:lang w:eastAsia="zh-CN"/>
              </w:rPr>
              <w:t>约</w:t>
            </w:r>
            <w:r>
              <w:rPr>
                <w:rFonts w:hint="eastAsia" w:ascii="宋体" w:hAnsi="宋体" w:eastAsia="宋体" w:cs="宋体"/>
                <w:color w:val="auto"/>
                <w:spacing w:val="-3"/>
                <w:sz w:val="21"/>
                <w:highlight w:val="none"/>
                <w:lang w:eastAsia="zh-CN"/>
              </w:rPr>
              <w:t>金</w:t>
            </w:r>
            <w:r>
              <w:rPr>
                <w:rFonts w:hint="eastAsia" w:ascii="宋体" w:hAnsi="宋体" w:eastAsia="宋体" w:cs="宋体"/>
                <w:color w:val="auto"/>
                <w:kern w:val="2"/>
                <w:sz w:val="21"/>
                <w:szCs w:val="21"/>
                <w:highlight w:val="none"/>
                <w:lang w:eastAsia="zh-CN"/>
              </w:rPr>
              <w:t>：</w:t>
            </w:r>
            <w:r>
              <w:rPr>
                <w:rFonts w:hint="eastAsia" w:ascii="宋体" w:hAnsi="宋体" w:cs="宋体"/>
                <w:color w:val="auto"/>
                <w:kern w:val="2"/>
                <w:sz w:val="21"/>
                <w:szCs w:val="21"/>
                <w:highlight w:val="none"/>
                <w:u w:val="single"/>
                <w:lang w:val="en-US" w:eastAsia="zh-CN"/>
              </w:rPr>
              <w:t>1</w:t>
            </w:r>
            <w:r>
              <w:rPr>
                <w:rFonts w:hint="eastAsia" w:ascii="宋体" w:hAnsi="宋体" w:eastAsia="宋体" w:cs="宋体"/>
                <w:color w:val="auto"/>
                <w:kern w:val="2"/>
                <w:sz w:val="21"/>
                <w:szCs w:val="21"/>
                <w:highlight w:val="none"/>
                <w:u w:val="single"/>
                <w:lang w:eastAsia="zh-CN"/>
              </w:rPr>
              <w:t>000元/天</w:t>
            </w:r>
          </w:p>
        </w:tc>
      </w:tr>
      <w:tr w14:paraId="44DC3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629" w:type="dxa"/>
            <w:noWrap w:val="0"/>
            <w:vAlign w:val="center"/>
          </w:tcPr>
          <w:p w14:paraId="7184411F">
            <w:pPr>
              <w:pStyle w:val="43"/>
              <w:spacing w:before="113" w:line="226" w:lineRule="exact"/>
              <w:ind w:left="83" w:right="74"/>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w:t>
            </w:r>
          </w:p>
        </w:tc>
        <w:tc>
          <w:tcPr>
            <w:tcW w:w="1111" w:type="dxa"/>
            <w:noWrap w:val="0"/>
            <w:vAlign w:val="center"/>
          </w:tcPr>
          <w:p w14:paraId="23EBF534">
            <w:pPr>
              <w:pStyle w:val="43"/>
              <w:spacing w:before="89" w:line="250" w:lineRule="exact"/>
              <w:ind w:left="89"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11.5（3）</w:t>
            </w:r>
          </w:p>
        </w:tc>
        <w:tc>
          <w:tcPr>
            <w:tcW w:w="7305" w:type="dxa"/>
            <w:noWrap w:val="0"/>
            <w:vAlign w:val="center"/>
          </w:tcPr>
          <w:p w14:paraId="7F291093">
            <w:pPr>
              <w:pStyle w:val="43"/>
              <w:tabs>
                <w:tab w:val="left" w:pos="2868"/>
              </w:tabs>
              <w:spacing w:before="89" w:line="250" w:lineRule="exact"/>
              <w:ind w:left="347"/>
              <w:rPr>
                <w:rFonts w:hint="eastAsia" w:ascii="宋体" w:hAnsi="宋体" w:eastAsia="宋体" w:cs="宋体"/>
                <w:color w:val="auto"/>
                <w:sz w:val="11"/>
                <w:highlight w:val="none"/>
                <w:lang w:eastAsia="zh-CN"/>
              </w:rPr>
            </w:pPr>
            <w:r>
              <w:rPr>
                <w:rFonts w:hint="eastAsia" w:ascii="宋体" w:hAnsi="宋体" w:eastAsia="宋体" w:cs="宋体"/>
                <w:color w:val="auto"/>
                <w:sz w:val="21"/>
                <w:highlight w:val="none"/>
                <w:lang w:eastAsia="zh-CN"/>
              </w:rPr>
              <w:t>逾期</w:t>
            </w:r>
            <w:r>
              <w:rPr>
                <w:rFonts w:hint="eastAsia" w:ascii="宋体" w:hAnsi="宋体" w:eastAsia="宋体" w:cs="宋体"/>
                <w:color w:val="auto"/>
                <w:spacing w:val="-3"/>
                <w:sz w:val="21"/>
                <w:highlight w:val="none"/>
                <w:lang w:eastAsia="zh-CN"/>
              </w:rPr>
              <w:t>交</w:t>
            </w:r>
            <w:r>
              <w:rPr>
                <w:rFonts w:hint="eastAsia" w:ascii="宋体" w:hAnsi="宋体" w:eastAsia="宋体" w:cs="宋体"/>
                <w:color w:val="auto"/>
                <w:sz w:val="21"/>
                <w:highlight w:val="none"/>
                <w:lang w:eastAsia="zh-CN"/>
              </w:rPr>
              <w:t>工</w:t>
            </w:r>
            <w:r>
              <w:rPr>
                <w:rFonts w:hint="eastAsia" w:ascii="宋体" w:hAnsi="宋体" w:eastAsia="宋体" w:cs="宋体"/>
                <w:color w:val="auto"/>
                <w:spacing w:val="-3"/>
                <w:sz w:val="21"/>
                <w:highlight w:val="none"/>
                <w:lang w:eastAsia="zh-CN"/>
              </w:rPr>
              <w:t>违</w:t>
            </w:r>
            <w:r>
              <w:rPr>
                <w:rFonts w:hint="eastAsia" w:ascii="宋体" w:hAnsi="宋体" w:eastAsia="宋体" w:cs="宋体"/>
                <w:color w:val="auto"/>
                <w:sz w:val="21"/>
                <w:highlight w:val="none"/>
                <w:lang w:eastAsia="zh-CN"/>
              </w:rPr>
              <w:t>约</w:t>
            </w:r>
            <w:r>
              <w:rPr>
                <w:rFonts w:hint="eastAsia" w:ascii="宋体" w:hAnsi="宋体" w:eastAsia="宋体" w:cs="宋体"/>
                <w:color w:val="auto"/>
                <w:spacing w:val="-3"/>
                <w:sz w:val="21"/>
                <w:highlight w:val="none"/>
                <w:lang w:eastAsia="zh-CN"/>
              </w:rPr>
              <w:t>金</w:t>
            </w:r>
            <w:r>
              <w:rPr>
                <w:rFonts w:hint="eastAsia" w:ascii="宋体" w:hAnsi="宋体" w:eastAsia="宋体" w:cs="宋体"/>
                <w:color w:val="auto"/>
                <w:sz w:val="21"/>
                <w:highlight w:val="none"/>
                <w:lang w:eastAsia="zh-CN"/>
              </w:rPr>
              <w:t>限</w:t>
            </w:r>
            <w:r>
              <w:rPr>
                <w:rFonts w:hint="eastAsia" w:ascii="宋体" w:hAnsi="宋体" w:eastAsia="宋体" w:cs="宋体"/>
                <w:color w:val="auto"/>
                <w:spacing w:val="-3"/>
                <w:sz w:val="21"/>
                <w:highlight w:val="none"/>
                <w:lang w:eastAsia="zh-CN"/>
              </w:rPr>
              <w:t>额</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u w:val="single"/>
                <w:lang w:eastAsia="zh-CN"/>
              </w:rPr>
              <w:t xml:space="preserve">10 </w:t>
            </w:r>
            <w:r>
              <w:rPr>
                <w:rFonts w:hint="eastAsia" w:ascii="宋体" w:hAnsi="宋体" w:eastAsia="宋体" w:cs="宋体"/>
                <w:color w:val="auto"/>
                <w:sz w:val="21"/>
                <w:highlight w:val="none"/>
                <w:lang w:eastAsia="zh-CN"/>
              </w:rPr>
              <w:t>%签</w:t>
            </w:r>
            <w:r>
              <w:rPr>
                <w:rFonts w:hint="eastAsia" w:ascii="宋体" w:hAnsi="宋体" w:eastAsia="宋体" w:cs="宋体"/>
                <w:color w:val="auto"/>
                <w:spacing w:val="-3"/>
                <w:sz w:val="21"/>
                <w:highlight w:val="none"/>
                <w:lang w:eastAsia="zh-CN"/>
              </w:rPr>
              <w:t>约</w:t>
            </w:r>
            <w:r>
              <w:rPr>
                <w:rFonts w:hint="eastAsia" w:ascii="宋体" w:hAnsi="宋体" w:eastAsia="宋体" w:cs="宋体"/>
                <w:color w:val="auto"/>
                <w:sz w:val="21"/>
                <w:highlight w:val="none"/>
                <w:lang w:eastAsia="zh-CN"/>
              </w:rPr>
              <w:t>合</w:t>
            </w:r>
            <w:r>
              <w:rPr>
                <w:rFonts w:hint="eastAsia" w:ascii="宋体" w:hAnsi="宋体" w:eastAsia="宋体" w:cs="宋体"/>
                <w:color w:val="auto"/>
                <w:spacing w:val="-3"/>
                <w:sz w:val="21"/>
                <w:highlight w:val="none"/>
                <w:lang w:eastAsia="zh-CN"/>
              </w:rPr>
              <w:t>同价</w:t>
            </w:r>
          </w:p>
        </w:tc>
      </w:tr>
      <w:tr w14:paraId="4C6E4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29" w:type="dxa"/>
            <w:noWrap w:val="0"/>
            <w:vAlign w:val="center"/>
          </w:tcPr>
          <w:p w14:paraId="62EF3F8E">
            <w:pPr>
              <w:pStyle w:val="43"/>
              <w:spacing w:before="113" w:line="226" w:lineRule="exact"/>
              <w:ind w:left="78" w:right="74"/>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12</w:t>
            </w:r>
          </w:p>
        </w:tc>
        <w:tc>
          <w:tcPr>
            <w:tcW w:w="1111" w:type="dxa"/>
            <w:noWrap w:val="0"/>
            <w:vAlign w:val="center"/>
          </w:tcPr>
          <w:p w14:paraId="19F1F259">
            <w:pPr>
              <w:pStyle w:val="43"/>
              <w:spacing w:before="113" w:line="226" w:lineRule="exact"/>
              <w:ind w:left="87"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11.6</w:t>
            </w:r>
          </w:p>
        </w:tc>
        <w:tc>
          <w:tcPr>
            <w:tcW w:w="7305" w:type="dxa"/>
            <w:noWrap w:val="0"/>
            <w:vAlign w:val="center"/>
          </w:tcPr>
          <w:p w14:paraId="3D13874E">
            <w:pPr>
              <w:pStyle w:val="43"/>
              <w:tabs>
                <w:tab w:val="left" w:pos="2450"/>
              </w:tabs>
              <w:spacing w:before="90" w:line="250" w:lineRule="exact"/>
              <w:ind w:left="347"/>
              <w:rPr>
                <w:rFonts w:hint="eastAsia" w:ascii="宋体" w:hAnsi="宋体" w:eastAsia="宋体" w:cs="宋体"/>
                <w:color w:val="auto"/>
                <w:sz w:val="21"/>
                <w:highlight w:val="none"/>
              </w:rPr>
            </w:pPr>
            <w:r>
              <w:rPr>
                <w:rFonts w:hint="eastAsia" w:ascii="宋体" w:hAnsi="宋体" w:eastAsia="宋体" w:cs="宋体"/>
                <w:color w:val="auto"/>
                <w:sz w:val="21"/>
                <w:highlight w:val="none"/>
              </w:rPr>
              <w:t>提前</w:t>
            </w:r>
            <w:r>
              <w:rPr>
                <w:rFonts w:hint="eastAsia" w:ascii="宋体" w:hAnsi="宋体" w:eastAsia="宋体" w:cs="宋体"/>
                <w:color w:val="auto"/>
                <w:spacing w:val="-3"/>
                <w:sz w:val="21"/>
                <w:highlight w:val="none"/>
              </w:rPr>
              <w:t>交</w:t>
            </w:r>
            <w:r>
              <w:rPr>
                <w:rFonts w:hint="eastAsia" w:ascii="宋体" w:hAnsi="宋体" w:eastAsia="宋体" w:cs="宋体"/>
                <w:color w:val="auto"/>
                <w:sz w:val="21"/>
                <w:highlight w:val="none"/>
              </w:rPr>
              <w:t>工</w:t>
            </w:r>
            <w:r>
              <w:rPr>
                <w:rFonts w:hint="eastAsia" w:ascii="宋体" w:hAnsi="宋体" w:eastAsia="宋体" w:cs="宋体"/>
                <w:color w:val="auto"/>
                <w:spacing w:val="-3"/>
                <w:sz w:val="21"/>
                <w:highlight w:val="none"/>
              </w:rPr>
              <w:t>的</w:t>
            </w:r>
            <w:r>
              <w:rPr>
                <w:rFonts w:hint="eastAsia" w:ascii="宋体" w:hAnsi="宋体" w:eastAsia="宋体" w:cs="宋体"/>
                <w:color w:val="auto"/>
                <w:sz w:val="21"/>
                <w:highlight w:val="none"/>
              </w:rPr>
              <w:t>奖</w:t>
            </w:r>
            <w:r>
              <w:rPr>
                <w:rFonts w:hint="eastAsia" w:ascii="宋体" w:hAnsi="宋体" w:eastAsia="宋体" w:cs="宋体"/>
                <w:color w:val="auto"/>
                <w:spacing w:val="-3"/>
                <w:sz w:val="21"/>
                <w:highlight w:val="none"/>
              </w:rPr>
              <w:t>金</w:t>
            </w:r>
            <w:r>
              <w:rPr>
                <w:rFonts w:hint="eastAsia" w:ascii="宋体" w:hAnsi="宋体" w:eastAsia="宋体" w:cs="宋体"/>
                <w:color w:val="auto"/>
                <w:sz w:val="21"/>
                <w:highlight w:val="none"/>
              </w:rPr>
              <w:t>：</w:t>
            </w:r>
            <w:r>
              <w:rPr>
                <w:rFonts w:hint="eastAsia" w:ascii="宋体" w:hAnsi="宋体" w:eastAsia="宋体" w:cs="宋体"/>
                <w:color w:val="auto"/>
                <w:sz w:val="21"/>
                <w:highlight w:val="none"/>
                <w:u w:val="single"/>
              </w:rPr>
              <w:t>无</w:t>
            </w:r>
          </w:p>
        </w:tc>
      </w:tr>
      <w:tr w14:paraId="3114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29" w:type="dxa"/>
            <w:noWrap w:val="0"/>
            <w:vAlign w:val="center"/>
          </w:tcPr>
          <w:p w14:paraId="33A6AF49">
            <w:pPr>
              <w:pStyle w:val="43"/>
              <w:spacing w:before="113" w:line="226" w:lineRule="exact"/>
              <w:ind w:left="83" w:right="74"/>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13</w:t>
            </w:r>
          </w:p>
        </w:tc>
        <w:tc>
          <w:tcPr>
            <w:tcW w:w="1111" w:type="dxa"/>
            <w:noWrap w:val="0"/>
            <w:vAlign w:val="center"/>
          </w:tcPr>
          <w:p w14:paraId="4D8122B2">
            <w:pPr>
              <w:pStyle w:val="43"/>
              <w:spacing w:before="113" w:line="226" w:lineRule="exact"/>
              <w:ind w:left="87" w:right="78"/>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11.6</w:t>
            </w:r>
          </w:p>
        </w:tc>
        <w:tc>
          <w:tcPr>
            <w:tcW w:w="7305" w:type="dxa"/>
            <w:noWrap w:val="0"/>
            <w:vAlign w:val="center"/>
          </w:tcPr>
          <w:p w14:paraId="755DE7EF">
            <w:pPr>
              <w:pStyle w:val="43"/>
              <w:tabs>
                <w:tab w:val="left" w:pos="2868"/>
              </w:tabs>
              <w:spacing w:before="89" w:line="250" w:lineRule="exact"/>
              <w:ind w:left="347"/>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提前</w:t>
            </w:r>
            <w:r>
              <w:rPr>
                <w:rFonts w:hint="eastAsia" w:ascii="宋体" w:hAnsi="宋体" w:eastAsia="宋体" w:cs="宋体"/>
                <w:color w:val="auto"/>
                <w:spacing w:val="-3"/>
                <w:sz w:val="21"/>
                <w:highlight w:val="none"/>
                <w:lang w:eastAsia="zh-CN"/>
              </w:rPr>
              <w:t>交</w:t>
            </w:r>
            <w:r>
              <w:rPr>
                <w:rFonts w:hint="eastAsia" w:ascii="宋体" w:hAnsi="宋体" w:eastAsia="宋体" w:cs="宋体"/>
                <w:color w:val="auto"/>
                <w:sz w:val="21"/>
                <w:highlight w:val="none"/>
                <w:lang w:eastAsia="zh-CN"/>
              </w:rPr>
              <w:t>工</w:t>
            </w:r>
            <w:r>
              <w:rPr>
                <w:rFonts w:hint="eastAsia" w:ascii="宋体" w:hAnsi="宋体" w:eastAsia="宋体" w:cs="宋体"/>
                <w:color w:val="auto"/>
                <w:spacing w:val="-3"/>
                <w:sz w:val="21"/>
                <w:highlight w:val="none"/>
                <w:lang w:eastAsia="zh-CN"/>
              </w:rPr>
              <w:t>的</w:t>
            </w:r>
            <w:r>
              <w:rPr>
                <w:rFonts w:hint="eastAsia" w:ascii="宋体" w:hAnsi="宋体" w:eastAsia="宋体" w:cs="宋体"/>
                <w:color w:val="auto"/>
                <w:sz w:val="21"/>
                <w:highlight w:val="none"/>
                <w:lang w:eastAsia="zh-CN"/>
              </w:rPr>
              <w:t>奖</w:t>
            </w:r>
            <w:r>
              <w:rPr>
                <w:rFonts w:hint="eastAsia" w:ascii="宋体" w:hAnsi="宋体" w:eastAsia="宋体" w:cs="宋体"/>
                <w:color w:val="auto"/>
                <w:spacing w:val="-3"/>
                <w:sz w:val="21"/>
                <w:highlight w:val="none"/>
                <w:lang w:eastAsia="zh-CN"/>
              </w:rPr>
              <w:t>金</w:t>
            </w:r>
            <w:r>
              <w:rPr>
                <w:rFonts w:hint="eastAsia" w:ascii="宋体" w:hAnsi="宋体" w:eastAsia="宋体" w:cs="宋体"/>
                <w:color w:val="auto"/>
                <w:sz w:val="21"/>
                <w:highlight w:val="none"/>
                <w:lang w:eastAsia="zh-CN"/>
              </w:rPr>
              <w:t>限</w:t>
            </w:r>
            <w:r>
              <w:rPr>
                <w:rFonts w:hint="eastAsia" w:ascii="宋体" w:hAnsi="宋体" w:eastAsia="宋体" w:cs="宋体"/>
                <w:color w:val="auto"/>
                <w:spacing w:val="-3"/>
                <w:sz w:val="21"/>
                <w:highlight w:val="none"/>
                <w:lang w:eastAsia="zh-CN"/>
              </w:rPr>
              <w:t>额</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u w:val="single"/>
                <w:lang w:eastAsia="zh-CN"/>
              </w:rPr>
              <w:t>无</w:t>
            </w:r>
          </w:p>
        </w:tc>
      </w:tr>
      <w:tr w14:paraId="113D1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629" w:type="dxa"/>
            <w:noWrap w:val="0"/>
            <w:vAlign w:val="center"/>
          </w:tcPr>
          <w:p w14:paraId="6A7550E1">
            <w:pPr>
              <w:pStyle w:val="43"/>
              <w:spacing w:before="113" w:line="226" w:lineRule="exact"/>
              <w:ind w:left="83" w:right="74"/>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14</w:t>
            </w:r>
          </w:p>
        </w:tc>
        <w:tc>
          <w:tcPr>
            <w:tcW w:w="1111" w:type="dxa"/>
            <w:noWrap w:val="0"/>
            <w:vAlign w:val="center"/>
          </w:tcPr>
          <w:p w14:paraId="0E7EC637">
            <w:pPr>
              <w:tabs>
                <w:tab w:val="left" w:pos="1080"/>
              </w:tabs>
              <w:spacing w:line="3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15.5.2</w:t>
            </w:r>
          </w:p>
        </w:tc>
        <w:tc>
          <w:tcPr>
            <w:tcW w:w="7305" w:type="dxa"/>
            <w:noWrap w:val="0"/>
            <w:vAlign w:val="center"/>
          </w:tcPr>
          <w:p w14:paraId="7F98BF40">
            <w:pPr>
              <w:tabs>
                <w:tab w:val="left" w:pos="1080"/>
              </w:tabs>
              <w:spacing w:line="300" w:lineRule="exact"/>
              <w:ind w:firstLine="42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承包人提出的合理化建议降低了合同价格或者提高了工程经济效益的，发包人按所节约成本的0%给予奖励。</w:t>
            </w:r>
          </w:p>
        </w:tc>
      </w:tr>
      <w:tr w14:paraId="23A07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629" w:type="dxa"/>
            <w:noWrap w:val="0"/>
            <w:vAlign w:val="center"/>
          </w:tcPr>
          <w:p w14:paraId="58ECD833">
            <w:pPr>
              <w:pStyle w:val="43"/>
              <w:spacing w:before="113" w:line="226" w:lineRule="exact"/>
              <w:ind w:left="83" w:right="74"/>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14</w:t>
            </w:r>
          </w:p>
        </w:tc>
        <w:tc>
          <w:tcPr>
            <w:tcW w:w="1111" w:type="dxa"/>
            <w:noWrap w:val="0"/>
            <w:vAlign w:val="center"/>
          </w:tcPr>
          <w:p w14:paraId="7EFC8763">
            <w:pPr>
              <w:pStyle w:val="43"/>
              <w:spacing w:before="113" w:line="226" w:lineRule="exact"/>
              <w:ind w:left="87" w:right="78"/>
              <w:jc w:val="center"/>
              <w:rPr>
                <w:rFonts w:hint="eastAsia" w:ascii="宋体" w:hAnsi="宋体" w:eastAsia="宋体" w:cs="宋体"/>
                <w:color w:val="auto"/>
                <w:sz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4"/>
                <w:sz w:val="21"/>
                <w:szCs w:val="21"/>
                <w:highlight w:val="none"/>
              </w:rPr>
              <w:t>5.4</w:t>
            </w:r>
          </w:p>
        </w:tc>
        <w:tc>
          <w:tcPr>
            <w:tcW w:w="7305" w:type="dxa"/>
            <w:noWrap w:val="0"/>
            <w:vAlign w:val="center"/>
          </w:tcPr>
          <w:p w14:paraId="7F8533ED">
            <w:pPr>
              <w:spacing w:before="253" w:line="219" w:lineRule="auto"/>
              <w:ind w:firstLine="416" w:firstLineChars="200"/>
              <w:rPr>
                <w:rFonts w:hint="eastAsia" w:ascii="宋体" w:hAnsi="宋体" w:eastAsia="宋体" w:cs="宋体"/>
                <w:color w:val="auto"/>
                <w:szCs w:val="21"/>
                <w:highlight w:val="none"/>
              </w:rPr>
            </w:pPr>
            <w:r>
              <w:rPr>
                <w:rFonts w:hint="eastAsia" w:ascii="宋体" w:hAnsi="宋体" w:eastAsia="宋体" w:cs="宋体"/>
                <w:color w:val="auto"/>
                <w:spacing w:val="-1"/>
                <w:szCs w:val="21"/>
                <w:highlight w:val="none"/>
              </w:rPr>
              <w:t>变更的估价原</w:t>
            </w:r>
            <w:r>
              <w:rPr>
                <w:rFonts w:hint="eastAsia" w:ascii="宋体" w:hAnsi="宋体" w:eastAsia="宋体" w:cs="宋体"/>
                <w:color w:val="auto"/>
                <w:szCs w:val="21"/>
                <w:highlight w:val="none"/>
              </w:rPr>
              <w:t>则：</w:t>
            </w:r>
          </w:p>
          <w:p w14:paraId="059E4CB7">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15.4.1如果取消某项工作，则该项工作的总额价不予以支付；</w:t>
            </w:r>
          </w:p>
          <w:p w14:paraId="6185BFD7">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15.4.2已标价工程量清单中有适用于变更工作的子目的，采用该子目的单价。</w:t>
            </w:r>
          </w:p>
          <w:p w14:paraId="359F6EFF">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15.4.3已标价工程量清单中无适用于变更工作的子目，但有类似子目的，可在合理范围内参照类似子目的单价，由监理人按第3.5款商定变更工作的预算单价，最终以审计部门审定的单价为准。</w:t>
            </w:r>
          </w:p>
          <w:p w14:paraId="3B7BAB21">
            <w:pPr>
              <w:wordWrap w:val="0"/>
              <w:topLinePunct/>
              <w:adjustRightIn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15.4.4已标价工程量清单中无适用或类似子目的单价，可在综合考虑承包人在竞标时所提供的单价分析表的基础上，由监理人按第3.5款商定变更工作的预算单价，最终以审计部门审定的单价为准。</w:t>
            </w:r>
          </w:p>
          <w:p w14:paraId="6A52B4CE">
            <w:pPr>
              <w:wordWrap w:val="0"/>
              <w:topLinePunct/>
              <w:adjustRightInd w:val="0"/>
              <w:spacing w:line="360" w:lineRule="auto"/>
              <w:ind w:firstLine="420"/>
              <w:rPr>
                <w:rFonts w:hint="eastAsia" w:ascii="宋体" w:hAnsi="宋体" w:eastAsia="宋体" w:cs="宋体"/>
                <w:color w:val="auto"/>
                <w:spacing w:val="-2"/>
                <w:sz w:val="21"/>
                <w:szCs w:val="21"/>
                <w:highlight w:val="none"/>
                <w:lang w:eastAsia="zh-CN"/>
              </w:rPr>
            </w:pPr>
            <w:r>
              <w:rPr>
                <w:rFonts w:hint="eastAsia" w:ascii="宋体" w:hAnsi="宋体" w:cs="宋体"/>
                <w:color w:val="auto"/>
                <w:szCs w:val="21"/>
                <w:highlight w:val="none"/>
              </w:rPr>
              <w:t>15.4.5如果本工程的变更指示是因承包人过错、承包人建反合同或承包人责任造成的，则这种违约引起的任何额外费用应由承包人承担。</w:t>
            </w:r>
          </w:p>
        </w:tc>
      </w:tr>
      <w:tr w14:paraId="42A7B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jc w:val="center"/>
        </w:trPr>
        <w:tc>
          <w:tcPr>
            <w:tcW w:w="629" w:type="dxa"/>
            <w:noWrap w:val="0"/>
            <w:vAlign w:val="center"/>
          </w:tcPr>
          <w:p w14:paraId="3BFEDAAF">
            <w:pPr>
              <w:pStyle w:val="43"/>
              <w:jc w:val="center"/>
              <w:rPr>
                <w:rFonts w:hint="eastAsia" w:ascii="宋体" w:hAnsi="宋体" w:eastAsia="宋体" w:cs="宋体"/>
                <w:color w:val="auto"/>
                <w:highlight w:val="none"/>
                <w:lang w:eastAsia="zh-CN"/>
              </w:rPr>
            </w:pPr>
          </w:p>
          <w:p w14:paraId="558F1B4C">
            <w:pPr>
              <w:pStyle w:val="43"/>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15</w:t>
            </w:r>
          </w:p>
        </w:tc>
        <w:tc>
          <w:tcPr>
            <w:tcW w:w="1111" w:type="dxa"/>
            <w:noWrap w:val="0"/>
            <w:vAlign w:val="center"/>
          </w:tcPr>
          <w:p w14:paraId="711BF46E">
            <w:pPr>
              <w:pStyle w:val="43"/>
              <w:jc w:val="center"/>
              <w:rPr>
                <w:rFonts w:hint="eastAsia" w:ascii="宋体" w:hAnsi="宋体" w:eastAsia="宋体" w:cs="宋体"/>
                <w:color w:val="auto"/>
                <w:highlight w:val="none"/>
              </w:rPr>
            </w:pPr>
          </w:p>
          <w:p w14:paraId="220F096B">
            <w:pPr>
              <w:pStyle w:val="43"/>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16.1</w:t>
            </w:r>
          </w:p>
        </w:tc>
        <w:tc>
          <w:tcPr>
            <w:tcW w:w="7305" w:type="dxa"/>
            <w:noWrap w:val="0"/>
            <w:vAlign w:val="center"/>
          </w:tcPr>
          <w:p w14:paraId="57F629ED">
            <w:pPr>
              <w:pStyle w:val="43"/>
              <w:tabs>
                <w:tab w:val="left" w:pos="0"/>
                <w:tab w:val="left" w:pos="6908"/>
                <w:tab w:val="left" w:pos="7244"/>
              </w:tabs>
              <w:spacing w:before="1" w:line="360" w:lineRule="atLeast"/>
              <w:ind w:right="48" w:firstLine="210" w:firstLineChars="1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合同期内不调价</w:t>
            </w:r>
            <w:r>
              <w:rPr>
                <w:rFonts w:hint="eastAsia" w:ascii="宋体" w:hAnsi="宋体" w:eastAsia="宋体" w:cs="宋体"/>
                <w:color w:val="auto"/>
                <w:sz w:val="21"/>
                <w:highlight w:val="none"/>
                <w:lang w:eastAsia="zh-CN"/>
              </w:rPr>
              <w:t>。</w:t>
            </w:r>
          </w:p>
        </w:tc>
      </w:tr>
    </w:tbl>
    <w:p w14:paraId="2A23DB2F">
      <w:pPr>
        <w:rPr>
          <w:rFonts w:hint="eastAsia" w:ascii="宋体" w:hAnsi="宋体" w:eastAsia="宋体" w:cs="宋体"/>
          <w:color w:val="auto"/>
          <w:sz w:val="18"/>
          <w:highlight w:val="none"/>
        </w:rPr>
        <w:sectPr>
          <w:footerReference r:id="rId7" w:type="default"/>
          <w:footerReference r:id="rId8" w:type="even"/>
          <w:pgSz w:w="11910" w:h="16850"/>
          <w:pgMar w:top="1480" w:right="1200" w:bottom="1040" w:left="1220" w:header="876" w:footer="853" w:gutter="0"/>
          <w:cols w:space="720" w:num="1"/>
        </w:sectPr>
      </w:pPr>
    </w:p>
    <w:p w14:paraId="30D9D5AE">
      <w:pPr>
        <w:pStyle w:val="11"/>
        <w:spacing w:before="5"/>
        <w:rPr>
          <w:rFonts w:hint="eastAsia" w:ascii="宋体" w:hAnsi="宋体" w:eastAsia="宋体" w:cs="宋体"/>
          <w:color w:val="auto"/>
          <w:sz w:val="8"/>
          <w:highlight w:val="none"/>
        </w:rPr>
      </w:pPr>
    </w:p>
    <w:tbl>
      <w:tblPr>
        <w:tblStyle w:val="27"/>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571CA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50768195">
            <w:pPr>
              <w:pStyle w:val="43"/>
              <w:spacing w:before="90" w:line="250" w:lineRule="exact"/>
              <w:ind w:left="83" w:right="74"/>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11" w:type="dxa"/>
            <w:noWrap w:val="0"/>
            <w:vAlign w:val="top"/>
          </w:tcPr>
          <w:p w14:paraId="642B1E46">
            <w:pPr>
              <w:pStyle w:val="43"/>
              <w:spacing w:before="90" w:line="250" w:lineRule="exact"/>
              <w:ind w:left="23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条目号</w:t>
            </w:r>
          </w:p>
        </w:tc>
        <w:tc>
          <w:tcPr>
            <w:tcW w:w="7305" w:type="dxa"/>
            <w:noWrap w:val="0"/>
            <w:vAlign w:val="top"/>
          </w:tcPr>
          <w:p w14:paraId="0854EEAE">
            <w:pPr>
              <w:pStyle w:val="43"/>
              <w:spacing w:before="90" w:line="250" w:lineRule="exact"/>
              <w:ind w:left="3106" w:right="3094"/>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信息或数据</w:t>
            </w:r>
          </w:p>
        </w:tc>
      </w:tr>
      <w:tr w14:paraId="40A67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2E5EC21B">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111" w:type="dxa"/>
            <w:noWrap w:val="0"/>
            <w:vAlign w:val="top"/>
          </w:tcPr>
          <w:p w14:paraId="154BE67A">
            <w:pPr>
              <w:pStyle w:val="43"/>
              <w:spacing w:before="89" w:line="250" w:lineRule="exact"/>
              <w:ind w:left="107" w:right="-1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17.2.1（1）</w:t>
            </w:r>
          </w:p>
        </w:tc>
        <w:tc>
          <w:tcPr>
            <w:tcW w:w="7305" w:type="dxa"/>
            <w:noWrap w:val="0"/>
            <w:vAlign w:val="top"/>
          </w:tcPr>
          <w:p w14:paraId="12F42965">
            <w:pPr>
              <w:pStyle w:val="43"/>
              <w:spacing w:before="89"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开工预付款金额：签订合同后，材料进场且开始施工后支付合同总价款的30%为工程预付款</w:t>
            </w:r>
            <w:r>
              <w:rPr>
                <w:rFonts w:hint="eastAsia" w:ascii="宋体" w:hAnsi="宋体" w:eastAsia="宋体" w:cs="宋体"/>
                <w:color w:val="auto"/>
                <w:sz w:val="21"/>
                <w:szCs w:val="21"/>
                <w:highlight w:val="none"/>
                <w:lang w:eastAsia="zh-CN"/>
              </w:rPr>
              <w:t>。</w:t>
            </w:r>
          </w:p>
        </w:tc>
      </w:tr>
      <w:tr w14:paraId="10A13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29" w:type="dxa"/>
            <w:noWrap w:val="0"/>
            <w:vAlign w:val="top"/>
          </w:tcPr>
          <w:p w14:paraId="7848740C">
            <w:pPr>
              <w:pStyle w:val="43"/>
              <w:spacing w:before="115"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111" w:type="dxa"/>
            <w:noWrap w:val="0"/>
            <w:vAlign w:val="top"/>
          </w:tcPr>
          <w:p w14:paraId="131E4B61">
            <w:pPr>
              <w:pStyle w:val="43"/>
              <w:spacing w:before="92" w:line="250" w:lineRule="exact"/>
              <w:ind w:left="107" w:right="-1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17.2.1（2）</w:t>
            </w:r>
          </w:p>
        </w:tc>
        <w:tc>
          <w:tcPr>
            <w:tcW w:w="7305" w:type="dxa"/>
            <w:noWrap w:val="0"/>
            <w:vAlign w:val="top"/>
          </w:tcPr>
          <w:p w14:paraId="2A4DF3A3">
            <w:pPr>
              <w:pStyle w:val="43"/>
              <w:tabs>
                <w:tab w:val="left" w:pos="2973"/>
              </w:tabs>
              <w:spacing w:before="92"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材料</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z w:val="21"/>
                <w:szCs w:val="21"/>
                <w:highlight w:val="none"/>
                <w:lang w:eastAsia="zh-CN"/>
              </w:rPr>
              <w:t>设</w:t>
            </w:r>
            <w:r>
              <w:rPr>
                <w:rFonts w:hint="eastAsia" w:ascii="宋体" w:hAnsi="宋体" w:eastAsia="宋体" w:cs="宋体"/>
                <w:color w:val="auto"/>
                <w:spacing w:val="-3"/>
                <w:sz w:val="21"/>
                <w:szCs w:val="21"/>
                <w:highlight w:val="none"/>
                <w:lang w:eastAsia="zh-CN"/>
              </w:rPr>
              <w:t>备</w:t>
            </w:r>
            <w:r>
              <w:rPr>
                <w:rFonts w:hint="eastAsia" w:ascii="宋体" w:hAnsi="宋体" w:eastAsia="宋体" w:cs="宋体"/>
                <w:color w:val="auto"/>
                <w:sz w:val="21"/>
                <w:szCs w:val="21"/>
                <w:highlight w:val="none"/>
                <w:lang w:eastAsia="zh-CN"/>
              </w:rPr>
              <w:t>预</w:t>
            </w:r>
            <w:r>
              <w:rPr>
                <w:rFonts w:hint="eastAsia" w:ascii="宋体" w:hAnsi="宋体" w:eastAsia="宋体" w:cs="宋体"/>
                <w:color w:val="auto"/>
                <w:spacing w:val="-3"/>
                <w:sz w:val="21"/>
                <w:szCs w:val="21"/>
                <w:highlight w:val="none"/>
                <w:lang w:eastAsia="zh-CN"/>
              </w:rPr>
              <w:t>付</w:t>
            </w:r>
            <w:r>
              <w:rPr>
                <w:rFonts w:hint="eastAsia" w:ascii="宋体" w:hAnsi="宋体" w:eastAsia="宋体" w:cs="宋体"/>
                <w:color w:val="auto"/>
                <w:sz w:val="21"/>
                <w:szCs w:val="21"/>
                <w:highlight w:val="none"/>
                <w:lang w:eastAsia="zh-CN"/>
              </w:rPr>
              <w:t>款</w:t>
            </w:r>
            <w:r>
              <w:rPr>
                <w:rFonts w:hint="eastAsia" w:ascii="宋体" w:hAnsi="宋体" w:eastAsia="宋体" w:cs="宋体"/>
                <w:color w:val="auto"/>
                <w:spacing w:val="-3"/>
                <w:sz w:val="21"/>
                <w:szCs w:val="21"/>
                <w:highlight w:val="none"/>
                <w:lang w:eastAsia="zh-CN"/>
              </w:rPr>
              <w:t>比</w:t>
            </w:r>
            <w:r>
              <w:rPr>
                <w:rFonts w:hint="eastAsia" w:ascii="宋体" w:hAnsi="宋体" w:eastAsia="宋体" w:cs="宋体"/>
                <w:color w:val="auto"/>
                <w:sz w:val="21"/>
                <w:szCs w:val="21"/>
                <w:highlight w:val="none"/>
                <w:lang w:eastAsia="zh-CN"/>
              </w:rPr>
              <w:t>例</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pacing w:val="-3"/>
                <w:sz w:val="21"/>
                <w:szCs w:val="21"/>
                <w:highlight w:val="none"/>
                <w:lang w:eastAsia="zh-CN"/>
              </w:rPr>
              <w:t>主</w:t>
            </w:r>
            <w:r>
              <w:rPr>
                <w:rFonts w:hint="eastAsia" w:ascii="宋体" w:hAnsi="宋体" w:eastAsia="宋体" w:cs="宋体"/>
                <w:color w:val="auto"/>
                <w:sz w:val="21"/>
                <w:szCs w:val="21"/>
                <w:highlight w:val="none"/>
                <w:lang w:eastAsia="zh-CN"/>
              </w:rPr>
              <w:t>要</w:t>
            </w:r>
            <w:r>
              <w:rPr>
                <w:rFonts w:hint="eastAsia" w:ascii="宋体" w:hAnsi="宋体" w:eastAsia="宋体" w:cs="宋体"/>
                <w:color w:val="auto"/>
                <w:spacing w:val="-3"/>
                <w:sz w:val="21"/>
                <w:szCs w:val="21"/>
                <w:highlight w:val="none"/>
                <w:lang w:eastAsia="zh-CN"/>
              </w:rPr>
              <w:t>材</w:t>
            </w:r>
            <w:r>
              <w:rPr>
                <w:rFonts w:hint="eastAsia" w:ascii="宋体" w:hAnsi="宋体" w:eastAsia="宋体" w:cs="宋体"/>
                <w:color w:val="auto"/>
                <w:sz w:val="21"/>
                <w:szCs w:val="21"/>
                <w:highlight w:val="none"/>
                <w:lang w:eastAsia="zh-CN"/>
              </w:rPr>
              <w:t>料</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z w:val="21"/>
                <w:szCs w:val="21"/>
                <w:highlight w:val="none"/>
                <w:lang w:eastAsia="zh-CN"/>
              </w:rPr>
              <w:t>设</w:t>
            </w:r>
            <w:r>
              <w:rPr>
                <w:rFonts w:hint="eastAsia" w:ascii="宋体" w:hAnsi="宋体" w:eastAsia="宋体" w:cs="宋体"/>
                <w:color w:val="auto"/>
                <w:spacing w:val="-3"/>
                <w:sz w:val="21"/>
                <w:szCs w:val="21"/>
                <w:highlight w:val="none"/>
                <w:lang w:eastAsia="zh-CN"/>
              </w:rPr>
              <w:t>备</w:t>
            </w:r>
            <w:r>
              <w:rPr>
                <w:rFonts w:hint="eastAsia" w:ascii="宋体" w:hAnsi="宋体" w:eastAsia="宋体" w:cs="宋体"/>
                <w:color w:val="auto"/>
                <w:sz w:val="21"/>
                <w:szCs w:val="21"/>
                <w:highlight w:val="none"/>
                <w:lang w:eastAsia="zh-CN"/>
              </w:rPr>
              <w:t>单</w:t>
            </w:r>
            <w:r>
              <w:rPr>
                <w:rFonts w:hint="eastAsia" w:ascii="宋体" w:hAnsi="宋体" w:eastAsia="宋体" w:cs="宋体"/>
                <w:color w:val="auto"/>
                <w:spacing w:val="-3"/>
                <w:sz w:val="21"/>
                <w:szCs w:val="21"/>
                <w:highlight w:val="none"/>
                <w:lang w:eastAsia="zh-CN"/>
              </w:rPr>
              <w:t>据</w:t>
            </w:r>
            <w:r>
              <w:rPr>
                <w:rFonts w:hint="eastAsia" w:ascii="宋体" w:hAnsi="宋体" w:eastAsia="宋体" w:cs="宋体"/>
                <w:color w:val="auto"/>
                <w:sz w:val="21"/>
                <w:szCs w:val="21"/>
                <w:highlight w:val="none"/>
                <w:lang w:eastAsia="zh-CN"/>
              </w:rPr>
              <w:t>所列</w:t>
            </w:r>
            <w:r>
              <w:rPr>
                <w:rFonts w:hint="eastAsia" w:ascii="宋体" w:hAnsi="宋体" w:eastAsia="宋体" w:cs="宋体"/>
                <w:color w:val="auto"/>
                <w:spacing w:val="-3"/>
                <w:sz w:val="21"/>
                <w:szCs w:val="21"/>
                <w:highlight w:val="none"/>
                <w:lang w:eastAsia="zh-CN"/>
              </w:rPr>
              <w:t>费</w:t>
            </w:r>
            <w:r>
              <w:rPr>
                <w:rFonts w:hint="eastAsia" w:ascii="宋体" w:hAnsi="宋体" w:eastAsia="宋体" w:cs="宋体"/>
                <w:color w:val="auto"/>
                <w:sz w:val="21"/>
                <w:szCs w:val="21"/>
                <w:highlight w:val="none"/>
                <w:lang w:eastAsia="zh-CN"/>
              </w:rPr>
              <w:t>用的</w:t>
            </w:r>
            <w:r>
              <w:rPr>
                <w:rFonts w:hint="eastAsia" w:ascii="宋体" w:hAnsi="宋体" w:eastAsia="宋体" w:cs="宋体"/>
                <w:color w:val="auto"/>
                <w:sz w:val="21"/>
                <w:szCs w:val="21"/>
                <w:highlight w:val="none"/>
                <w:u w:val="single"/>
                <w:lang w:eastAsia="zh-CN"/>
              </w:rPr>
              <w:t xml:space="preserve"> 0 </w:t>
            </w:r>
            <w:r>
              <w:rPr>
                <w:rFonts w:hint="eastAsia" w:ascii="宋体" w:hAnsi="宋体" w:eastAsia="宋体" w:cs="宋体"/>
                <w:color w:val="auto"/>
                <w:sz w:val="21"/>
                <w:szCs w:val="21"/>
                <w:highlight w:val="none"/>
                <w:lang w:eastAsia="zh-CN"/>
              </w:rPr>
              <w:t>%</w:t>
            </w:r>
          </w:p>
        </w:tc>
      </w:tr>
      <w:tr w14:paraId="1B335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25EABAD9">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111" w:type="dxa"/>
            <w:noWrap w:val="0"/>
            <w:vAlign w:val="top"/>
          </w:tcPr>
          <w:p w14:paraId="26E6D495">
            <w:pPr>
              <w:pStyle w:val="43"/>
              <w:spacing w:before="113" w:line="226" w:lineRule="exact"/>
              <w:ind w:left="2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17.3.2</w:t>
            </w:r>
          </w:p>
        </w:tc>
        <w:tc>
          <w:tcPr>
            <w:tcW w:w="7305" w:type="dxa"/>
            <w:noWrap w:val="0"/>
            <w:vAlign w:val="top"/>
          </w:tcPr>
          <w:p w14:paraId="2749343B">
            <w:pPr>
              <w:pStyle w:val="43"/>
              <w:spacing w:before="89" w:line="250" w:lineRule="exact"/>
              <w:ind w:left="34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承包人在每个付款周期末向监理人提交进度付款申请单的份数：</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lang w:eastAsia="zh-CN"/>
              </w:rPr>
              <w:t>份</w:t>
            </w:r>
          </w:p>
        </w:tc>
      </w:tr>
      <w:tr w14:paraId="45C96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0E4E1348">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111" w:type="dxa"/>
            <w:noWrap w:val="0"/>
            <w:vAlign w:val="top"/>
          </w:tcPr>
          <w:p w14:paraId="0D46C2AA">
            <w:pPr>
              <w:pStyle w:val="43"/>
              <w:spacing w:before="90" w:line="250" w:lineRule="exact"/>
              <w:ind w:left="107" w:right="-1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17.3.3（1）</w:t>
            </w:r>
          </w:p>
        </w:tc>
        <w:tc>
          <w:tcPr>
            <w:tcW w:w="7305" w:type="dxa"/>
            <w:noWrap w:val="0"/>
            <w:vAlign w:val="top"/>
          </w:tcPr>
          <w:p w14:paraId="40D1BBE4">
            <w:pPr>
              <w:pStyle w:val="43"/>
              <w:tabs>
                <w:tab w:val="left" w:pos="3079"/>
                <w:tab w:val="left" w:pos="4935"/>
              </w:tabs>
              <w:spacing w:before="90"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进度</w:t>
            </w:r>
            <w:r>
              <w:rPr>
                <w:rFonts w:hint="eastAsia" w:ascii="宋体" w:hAnsi="宋体" w:eastAsia="宋体" w:cs="宋体"/>
                <w:color w:val="auto"/>
                <w:spacing w:val="-3"/>
                <w:sz w:val="21"/>
                <w:szCs w:val="21"/>
                <w:highlight w:val="none"/>
                <w:lang w:eastAsia="zh-CN"/>
              </w:rPr>
              <w:t>付</w:t>
            </w:r>
            <w:r>
              <w:rPr>
                <w:rFonts w:hint="eastAsia" w:ascii="宋体" w:hAnsi="宋体" w:eastAsia="宋体" w:cs="宋体"/>
                <w:color w:val="auto"/>
                <w:sz w:val="21"/>
                <w:szCs w:val="21"/>
                <w:highlight w:val="none"/>
                <w:lang w:eastAsia="zh-CN"/>
              </w:rPr>
              <w:t>款</w:t>
            </w:r>
            <w:r>
              <w:rPr>
                <w:rFonts w:hint="eastAsia" w:ascii="宋体" w:hAnsi="宋体" w:eastAsia="宋体" w:cs="宋体"/>
                <w:color w:val="auto"/>
                <w:spacing w:val="-3"/>
                <w:sz w:val="21"/>
                <w:szCs w:val="21"/>
                <w:highlight w:val="none"/>
                <w:lang w:eastAsia="zh-CN"/>
              </w:rPr>
              <w:t>证</w:t>
            </w:r>
            <w:r>
              <w:rPr>
                <w:rFonts w:hint="eastAsia" w:ascii="宋体" w:hAnsi="宋体" w:eastAsia="宋体" w:cs="宋体"/>
                <w:color w:val="auto"/>
                <w:sz w:val="21"/>
                <w:szCs w:val="21"/>
                <w:highlight w:val="none"/>
                <w:lang w:eastAsia="zh-CN"/>
              </w:rPr>
              <w:t>书</w:t>
            </w:r>
            <w:r>
              <w:rPr>
                <w:rFonts w:hint="eastAsia" w:ascii="宋体" w:hAnsi="宋体" w:eastAsia="宋体" w:cs="宋体"/>
                <w:color w:val="auto"/>
                <w:spacing w:val="-3"/>
                <w:sz w:val="21"/>
                <w:szCs w:val="21"/>
                <w:highlight w:val="none"/>
                <w:lang w:eastAsia="zh-CN"/>
              </w:rPr>
              <w:t>最</w:t>
            </w:r>
            <w:r>
              <w:rPr>
                <w:rFonts w:hint="eastAsia" w:ascii="宋体" w:hAnsi="宋体" w:eastAsia="宋体" w:cs="宋体"/>
                <w:color w:val="auto"/>
                <w:sz w:val="21"/>
                <w:szCs w:val="21"/>
                <w:highlight w:val="none"/>
                <w:lang w:eastAsia="zh-CN"/>
              </w:rPr>
              <w:t>低</w:t>
            </w:r>
            <w:r>
              <w:rPr>
                <w:rFonts w:hint="eastAsia" w:ascii="宋体" w:hAnsi="宋体" w:eastAsia="宋体" w:cs="宋体"/>
                <w:color w:val="auto"/>
                <w:spacing w:val="-3"/>
                <w:sz w:val="21"/>
                <w:szCs w:val="21"/>
                <w:highlight w:val="none"/>
                <w:lang w:eastAsia="zh-CN"/>
              </w:rPr>
              <w:t>限</w:t>
            </w:r>
            <w:r>
              <w:rPr>
                <w:rFonts w:hint="eastAsia" w:ascii="宋体" w:hAnsi="宋体" w:eastAsia="宋体" w:cs="宋体"/>
                <w:color w:val="auto"/>
                <w:sz w:val="21"/>
                <w:szCs w:val="21"/>
                <w:highlight w:val="none"/>
                <w:lang w:eastAsia="zh-CN"/>
              </w:rPr>
              <w:t>额</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u w:val="single"/>
                <w:lang w:val="en-US" w:eastAsia="zh-CN"/>
              </w:rPr>
              <w:t>2</w:t>
            </w:r>
            <w:r>
              <w:rPr>
                <w:rFonts w:hint="eastAsia" w:ascii="宋体" w:hAnsi="宋体" w:eastAsia="宋体" w:cs="宋体"/>
                <w:color w:val="auto"/>
                <w:spacing w:val="-3"/>
                <w:sz w:val="21"/>
                <w:szCs w:val="21"/>
                <w:highlight w:val="none"/>
                <w:u w:val="single"/>
                <w:lang w:eastAsia="zh-CN"/>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3"/>
                <w:sz w:val="21"/>
                <w:szCs w:val="21"/>
                <w:highlight w:val="none"/>
                <w:lang w:eastAsia="zh-CN"/>
              </w:rPr>
              <w:t>签</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pacing w:val="-3"/>
                <w:sz w:val="21"/>
                <w:szCs w:val="21"/>
                <w:highlight w:val="none"/>
                <w:lang w:eastAsia="zh-CN"/>
              </w:rPr>
              <w:t>合</w:t>
            </w:r>
            <w:r>
              <w:rPr>
                <w:rFonts w:hint="eastAsia" w:ascii="宋体" w:hAnsi="宋体" w:eastAsia="宋体" w:cs="宋体"/>
                <w:color w:val="auto"/>
                <w:sz w:val="21"/>
                <w:szCs w:val="21"/>
                <w:highlight w:val="none"/>
                <w:lang w:eastAsia="zh-CN"/>
              </w:rPr>
              <w:t>同</w:t>
            </w:r>
            <w:r>
              <w:rPr>
                <w:rFonts w:hint="eastAsia" w:ascii="宋体" w:hAnsi="宋体" w:eastAsia="宋体" w:cs="宋体"/>
                <w:color w:val="auto"/>
                <w:spacing w:val="-3"/>
                <w:sz w:val="21"/>
                <w:szCs w:val="21"/>
                <w:highlight w:val="none"/>
                <w:lang w:eastAsia="zh-CN"/>
              </w:rPr>
              <w:t>价</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pacing w:val="-3"/>
                <w:sz w:val="21"/>
                <w:szCs w:val="21"/>
                <w:highlight w:val="none"/>
                <w:lang w:eastAsia="zh-CN"/>
              </w:rPr>
              <w:t>万</w:t>
            </w:r>
            <w:r>
              <w:rPr>
                <w:rFonts w:hint="eastAsia" w:ascii="宋体" w:hAnsi="宋体" w:eastAsia="宋体" w:cs="宋体"/>
                <w:color w:val="auto"/>
                <w:sz w:val="21"/>
                <w:szCs w:val="21"/>
                <w:highlight w:val="none"/>
                <w:lang w:eastAsia="zh-CN"/>
              </w:rPr>
              <w:t>元</w:t>
            </w:r>
          </w:p>
        </w:tc>
      </w:tr>
      <w:tr w14:paraId="48116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7F0F30D1">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111" w:type="dxa"/>
            <w:noWrap w:val="0"/>
            <w:vAlign w:val="top"/>
          </w:tcPr>
          <w:p w14:paraId="71BE1FC7">
            <w:pPr>
              <w:pStyle w:val="43"/>
              <w:spacing w:before="90" w:line="250" w:lineRule="exact"/>
              <w:ind w:left="107" w:right="-1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17.3.3（2）</w:t>
            </w:r>
          </w:p>
        </w:tc>
        <w:tc>
          <w:tcPr>
            <w:tcW w:w="7305" w:type="dxa"/>
            <w:noWrap w:val="0"/>
            <w:vAlign w:val="top"/>
          </w:tcPr>
          <w:p w14:paraId="5E5BB3DA">
            <w:pPr>
              <w:pStyle w:val="43"/>
              <w:tabs>
                <w:tab w:val="left" w:pos="3185"/>
              </w:tabs>
              <w:spacing w:before="90"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逾期</w:t>
            </w:r>
            <w:r>
              <w:rPr>
                <w:rFonts w:hint="eastAsia" w:ascii="宋体" w:hAnsi="宋体" w:eastAsia="宋体" w:cs="宋体"/>
                <w:color w:val="auto"/>
                <w:spacing w:val="-3"/>
                <w:sz w:val="21"/>
                <w:szCs w:val="21"/>
                <w:highlight w:val="none"/>
                <w:lang w:eastAsia="zh-CN"/>
              </w:rPr>
              <w:t>付</w:t>
            </w:r>
            <w:r>
              <w:rPr>
                <w:rFonts w:hint="eastAsia" w:ascii="宋体" w:hAnsi="宋体" w:eastAsia="宋体" w:cs="宋体"/>
                <w:color w:val="auto"/>
                <w:sz w:val="21"/>
                <w:szCs w:val="21"/>
                <w:highlight w:val="none"/>
                <w:lang w:eastAsia="zh-CN"/>
              </w:rPr>
              <w:t>款</w:t>
            </w:r>
            <w:r>
              <w:rPr>
                <w:rFonts w:hint="eastAsia" w:ascii="宋体" w:hAnsi="宋体" w:eastAsia="宋体" w:cs="宋体"/>
                <w:color w:val="auto"/>
                <w:spacing w:val="-3"/>
                <w:sz w:val="21"/>
                <w:szCs w:val="21"/>
                <w:highlight w:val="none"/>
                <w:lang w:eastAsia="zh-CN"/>
              </w:rPr>
              <w:t>违</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pacing w:val="-3"/>
                <w:sz w:val="21"/>
                <w:szCs w:val="21"/>
                <w:highlight w:val="none"/>
                <w:lang w:eastAsia="zh-CN"/>
              </w:rPr>
              <w:t>金</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pacing w:val="-3"/>
                <w:sz w:val="21"/>
                <w:szCs w:val="21"/>
                <w:highlight w:val="none"/>
                <w:lang w:eastAsia="zh-CN"/>
              </w:rPr>
              <w:t>利</w:t>
            </w:r>
            <w:r>
              <w:rPr>
                <w:rFonts w:hint="eastAsia" w:ascii="宋体" w:hAnsi="宋体" w:eastAsia="宋体" w:cs="宋体"/>
                <w:color w:val="auto"/>
                <w:sz w:val="21"/>
                <w:szCs w:val="21"/>
                <w:highlight w:val="none"/>
                <w:lang w:eastAsia="zh-CN"/>
              </w:rPr>
              <w:t>率</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u w:val="single"/>
                <w:lang w:eastAsia="zh-CN"/>
              </w:rPr>
              <w:t xml:space="preserve">0.15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3"/>
                <w:sz w:val="21"/>
                <w:szCs w:val="21"/>
                <w:highlight w:val="none"/>
                <w:lang w:eastAsia="zh-CN"/>
              </w:rPr>
              <w:t>天</w:t>
            </w:r>
          </w:p>
        </w:tc>
      </w:tr>
      <w:tr w14:paraId="1A9BB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522CB7DD">
            <w:pPr>
              <w:pStyle w:val="43"/>
              <w:spacing w:before="113" w:line="226" w:lineRule="exact"/>
              <w:ind w:left="83" w:right="74"/>
              <w:jc w:val="center"/>
              <w:rPr>
                <w:rFonts w:hint="eastAsia" w:ascii="宋体" w:hAnsi="宋体" w:eastAsia="宋体" w:cs="宋体"/>
                <w:color w:val="auto"/>
                <w:sz w:val="21"/>
                <w:szCs w:val="21"/>
                <w:highlight w:val="none"/>
                <w:lang w:eastAsia="zh-CN"/>
              </w:rPr>
            </w:pPr>
          </w:p>
          <w:p w14:paraId="6B99D624">
            <w:pPr>
              <w:pStyle w:val="43"/>
              <w:spacing w:before="113" w:line="226" w:lineRule="exact"/>
              <w:ind w:left="83" w:right="74"/>
              <w:jc w:val="center"/>
              <w:rPr>
                <w:rFonts w:hint="eastAsia" w:ascii="宋体" w:hAnsi="宋体" w:eastAsia="宋体" w:cs="宋体"/>
                <w:color w:val="auto"/>
                <w:sz w:val="21"/>
                <w:szCs w:val="21"/>
                <w:highlight w:val="none"/>
                <w:lang w:eastAsia="zh-CN"/>
              </w:rPr>
            </w:pPr>
          </w:p>
          <w:p w14:paraId="496658A9">
            <w:pPr>
              <w:pStyle w:val="43"/>
              <w:spacing w:before="113" w:line="226" w:lineRule="exact"/>
              <w:ind w:left="83" w:right="74"/>
              <w:jc w:val="center"/>
              <w:rPr>
                <w:rFonts w:hint="eastAsia" w:ascii="宋体" w:hAnsi="宋体" w:eastAsia="宋体" w:cs="宋体"/>
                <w:color w:val="auto"/>
                <w:sz w:val="21"/>
                <w:szCs w:val="21"/>
                <w:highlight w:val="none"/>
                <w:lang w:eastAsia="zh-CN"/>
              </w:rPr>
            </w:pPr>
          </w:p>
          <w:p w14:paraId="2CDC1BD8">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111" w:type="dxa"/>
            <w:noWrap w:val="0"/>
            <w:vAlign w:val="center"/>
          </w:tcPr>
          <w:p w14:paraId="4069C92C">
            <w:pPr>
              <w:spacing w:line="360"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17.3.3(4)</w:t>
            </w:r>
          </w:p>
        </w:tc>
        <w:tc>
          <w:tcPr>
            <w:tcW w:w="7305" w:type="dxa"/>
            <w:noWrap w:val="0"/>
            <w:vAlign w:val="top"/>
          </w:tcPr>
          <w:p w14:paraId="2BE10390">
            <w:pPr>
              <w:spacing w:line="324"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工程款</w:t>
            </w:r>
            <w:r>
              <w:rPr>
                <w:rFonts w:hint="eastAsia" w:ascii="宋体" w:hAnsi="宋体" w:eastAsia="宋体" w:cs="宋体"/>
                <w:color w:val="auto"/>
                <w:sz w:val="21"/>
                <w:szCs w:val="21"/>
                <w:highlight w:val="none"/>
                <w:lang w:eastAsia="zh-CN"/>
              </w:rPr>
              <w:t>支付：</w:t>
            </w:r>
            <w:r>
              <w:rPr>
                <w:rFonts w:hint="eastAsia" w:ascii="宋体" w:hAnsi="宋体" w:eastAsia="宋体" w:cs="宋体"/>
                <w:color w:val="auto"/>
                <w:sz w:val="21"/>
                <w:szCs w:val="21"/>
                <w:highlight w:val="none"/>
              </w:rPr>
              <w:t xml:space="preserve"> </w:t>
            </w:r>
          </w:p>
          <w:p w14:paraId="59D7C47B">
            <w:pPr>
              <w:pageBreakBefore w:val="0"/>
              <w:numPr>
                <w:ilvl w:val="0"/>
                <w:numId w:val="0"/>
              </w:numPr>
              <w:kinsoku/>
              <w:wordWrap/>
              <w:overflowPunct/>
              <w:topLinePunct w:val="0"/>
              <w:autoSpaceDE/>
              <w:autoSpaceDN/>
              <w:bidi w:val="0"/>
              <w:spacing w:line="360" w:lineRule="auto"/>
              <w:ind w:left="-60" w:leftChars="0" w:firstLine="480" w:firstLineChars="0"/>
              <w:textAlignment w:val="auto"/>
              <w:rPr>
                <w:rFonts w:hint="eastAsia" w:ascii="宋体" w:hAnsi="宋体" w:eastAsia="宋体" w:cs="宋体"/>
                <w:color w:val="auto"/>
                <w:sz w:val="21"/>
                <w:szCs w:val="21"/>
                <w:highlight w:val="none"/>
              </w:rPr>
            </w:pPr>
            <w:r>
              <w:rPr>
                <w:rFonts w:hint="default" w:ascii="Calibri" w:hAnsi="Calibri" w:eastAsia="宋体" w:cs="Calibri"/>
                <w:color w:val="auto"/>
                <w:sz w:val="21"/>
                <w:szCs w:val="21"/>
                <w:highlight w:val="none"/>
              </w:rPr>
              <w:t>①</w:t>
            </w:r>
            <w:r>
              <w:rPr>
                <w:rFonts w:hint="eastAsia" w:ascii="宋体" w:hAnsi="宋体" w:eastAsia="宋体" w:cs="宋体"/>
                <w:color w:val="auto"/>
                <w:sz w:val="21"/>
                <w:szCs w:val="21"/>
                <w:highlight w:val="none"/>
              </w:rPr>
              <w:t>甲方根据工程需要和工程进度情况，可支付至合同总价款的80%；</w:t>
            </w:r>
            <w:r>
              <w:rPr>
                <w:rFonts w:hint="default" w:ascii="Calibri" w:hAnsi="Calibri" w:eastAsia="宋体" w:cs="Calibri"/>
                <w:color w:val="auto"/>
                <w:sz w:val="21"/>
                <w:szCs w:val="21"/>
                <w:highlight w:val="none"/>
              </w:rPr>
              <w:t>②</w:t>
            </w:r>
            <w:r>
              <w:rPr>
                <w:rFonts w:hint="eastAsia" w:ascii="宋体" w:hAnsi="宋体" w:eastAsia="宋体" w:cs="宋体"/>
                <w:color w:val="auto"/>
                <w:sz w:val="21"/>
                <w:szCs w:val="21"/>
                <w:highlight w:val="none"/>
              </w:rPr>
              <w:t>工程竣工验收达到合格质量要求后，支付至工程合同总价款的90%；</w:t>
            </w:r>
            <w:r>
              <w:rPr>
                <w:rFonts w:hint="default" w:ascii="Calibri" w:hAnsi="Calibri" w:eastAsia="宋体" w:cs="Calibri"/>
                <w:color w:val="auto"/>
                <w:sz w:val="21"/>
                <w:szCs w:val="21"/>
                <w:highlight w:val="none"/>
              </w:rPr>
              <w:t>③</w:t>
            </w:r>
            <w:r>
              <w:rPr>
                <w:rFonts w:hint="eastAsia" w:ascii="宋体" w:hAnsi="宋体" w:eastAsia="宋体" w:cs="宋体"/>
                <w:color w:val="auto"/>
                <w:sz w:val="21"/>
                <w:szCs w:val="21"/>
                <w:highlight w:val="none"/>
              </w:rPr>
              <w:t>经结算审计（审核、评审）后，乙方向甲方缴纳结算审计（审核、评审）价款3%的工程款作为工程质量保证金，甲方向乙方支付至结算审计（审核、评审）价款的100%的工程款 ；若乙方未向甲方缴纳结算审计（审核、评审）价款3%的工程款作为工程质量保证金，则甲方向乙方支付至结算审计（审核、评审）价款的97%作为工程款，余下3%作为工程质量保证金</w:t>
            </w:r>
            <w:r>
              <w:rPr>
                <w:rFonts w:hint="eastAsia" w:ascii="宋体" w:hAnsi="宋体" w:cs="宋体"/>
                <w:color w:val="auto"/>
                <w:sz w:val="21"/>
                <w:szCs w:val="21"/>
                <w:highlight w:val="none"/>
                <w:lang w:eastAsia="zh-CN"/>
              </w:rPr>
              <w:t>；</w:t>
            </w:r>
            <w:r>
              <w:rPr>
                <w:rFonts w:hint="eastAsia" w:ascii="微软雅黑" w:hAnsi="微软雅黑" w:eastAsia="微软雅黑" w:cs="微软雅黑"/>
                <w:color w:val="auto"/>
                <w:sz w:val="21"/>
                <w:szCs w:val="21"/>
                <w:highlight w:val="none"/>
              </w:rPr>
              <w:t>④</w:t>
            </w:r>
            <w:r>
              <w:rPr>
                <w:rFonts w:hint="eastAsia" w:ascii="宋体" w:hAnsi="宋体" w:eastAsia="宋体" w:cs="宋体"/>
                <w:color w:val="auto"/>
                <w:sz w:val="21"/>
                <w:szCs w:val="21"/>
                <w:highlight w:val="none"/>
              </w:rPr>
              <w:t>3%工程质量保证金，待工程质量保修期满后返还。本工程质量保质期为1年。在工程质量保质期内，若存在质量缺陷的，由乙方负责保修，费用由乙方负责，工程质量保质期从甲方验收合格后开始计算。</w:t>
            </w:r>
          </w:p>
          <w:p w14:paraId="1958CFF0">
            <w:pPr>
              <w:tabs>
                <w:tab w:val="left" w:pos="3193"/>
              </w:tabs>
              <w:wordWrap w:val="0"/>
              <w:topLinePunct/>
              <w:adjustRightInd w:val="0"/>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注：每次付款前需承包人开具等额增值税发票，申请付款前需提供发票原件方可付款。</w:t>
            </w:r>
            <w:r>
              <w:rPr>
                <w:rFonts w:hint="eastAsia" w:ascii="宋体" w:hAnsi="宋体" w:eastAsia="宋体" w:cs="宋体"/>
                <w:b/>
                <w:color w:val="auto"/>
                <w:sz w:val="21"/>
                <w:szCs w:val="21"/>
                <w:highlight w:val="none"/>
              </w:rPr>
              <w:tab/>
            </w:r>
          </w:p>
        </w:tc>
      </w:tr>
      <w:tr w14:paraId="0694A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629" w:type="dxa"/>
            <w:noWrap w:val="0"/>
            <w:vAlign w:val="center"/>
          </w:tcPr>
          <w:p w14:paraId="1CACDFFB">
            <w:pPr>
              <w:pStyle w:val="43"/>
              <w:spacing w:before="178"/>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1111" w:type="dxa"/>
            <w:noWrap w:val="0"/>
            <w:vAlign w:val="center"/>
          </w:tcPr>
          <w:p w14:paraId="4802A795">
            <w:pPr>
              <w:pStyle w:val="43"/>
              <w:spacing w:before="178"/>
              <w:ind w:left="29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17.4.1</w:t>
            </w:r>
          </w:p>
        </w:tc>
        <w:tc>
          <w:tcPr>
            <w:tcW w:w="7305" w:type="dxa"/>
            <w:noWrap w:val="0"/>
            <w:vAlign w:val="top"/>
          </w:tcPr>
          <w:p w14:paraId="7C009771">
            <w:pPr>
              <w:pStyle w:val="43"/>
              <w:spacing w:before="2" w:line="355" w:lineRule="exact"/>
              <w:ind w:firstLine="210" w:firstLineChars="1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质量保证金限额：3%</w:t>
            </w:r>
            <w:r>
              <w:rPr>
                <w:rFonts w:hint="eastAsia" w:ascii="宋体" w:hAnsi="宋体" w:eastAsia="宋体" w:cs="宋体"/>
                <w:color w:val="auto"/>
                <w:sz w:val="21"/>
                <w:szCs w:val="21"/>
                <w:highlight w:val="none"/>
                <w:lang w:val="en-US" w:eastAsia="zh-CN"/>
              </w:rPr>
              <w:t>结算价</w:t>
            </w:r>
            <w:r>
              <w:rPr>
                <w:rFonts w:hint="eastAsia" w:ascii="宋体" w:hAnsi="宋体" w:eastAsia="宋体" w:cs="宋体"/>
                <w:color w:val="auto"/>
                <w:sz w:val="21"/>
                <w:szCs w:val="21"/>
                <w:highlight w:val="none"/>
                <w:lang w:eastAsia="zh-CN"/>
              </w:rPr>
              <w:t>。</w:t>
            </w:r>
          </w:p>
          <w:p w14:paraId="6F6C4B14">
            <w:pPr>
              <w:pStyle w:val="43"/>
              <w:spacing w:before="2" w:line="355" w:lineRule="exact"/>
              <w:ind w:firstLine="208" w:firstLineChars="10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质量保证金是否计</w:t>
            </w:r>
            <w:r>
              <w:rPr>
                <w:rFonts w:hint="eastAsia" w:ascii="宋体" w:hAnsi="宋体" w:eastAsia="宋体" w:cs="宋体"/>
                <w:color w:val="auto"/>
                <w:sz w:val="21"/>
                <w:szCs w:val="21"/>
                <w:highlight w:val="none"/>
              </w:rPr>
              <w:t>付利息：</w:t>
            </w:r>
          </w:p>
          <w:p w14:paraId="407951F4">
            <w:pPr>
              <w:pStyle w:val="43"/>
              <w:spacing w:before="2" w:line="355" w:lineRule="exact"/>
              <w:ind w:firstLine="206"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
                <w:sz w:val="21"/>
                <w:szCs w:val="21"/>
                <w:highlight w:val="none"/>
              </w:rPr>
              <w:t>是，利息的计算方式：</w:t>
            </w:r>
            <w:r>
              <w:rPr>
                <w:rFonts w:hint="eastAsia" w:ascii="宋体" w:hAnsi="宋体" w:eastAsia="宋体" w:cs="宋体"/>
                <w:color w:val="auto"/>
                <w:sz w:val="21"/>
                <w:szCs w:val="21"/>
                <w:highlight w:val="none"/>
                <w:u w:val="single"/>
              </w:rPr>
              <w:t xml:space="preserve">               </w:t>
            </w:r>
          </w:p>
          <w:p w14:paraId="09DA6A9A">
            <w:pPr>
              <w:pStyle w:val="43"/>
              <w:spacing w:before="2" w:line="355" w:lineRule="exact"/>
              <w:ind w:firstLine="206" w:firstLineChars="10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21"/>
                <w:szCs w:val="21"/>
                <w:highlight w:val="none"/>
              </w:rPr>
              <w:t>否</w:t>
            </w:r>
          </w:p>
        </w:tc>
      </w:tr>
      <w:tr w14:paraId="21E36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629" w:type="dxa"/>
            <w:noWrap w:val="0"/>
            <w:vAlign w:val="top"/>
          </w:tcPr>
          <w:p w14:paraId="0C8DD6FB">
            <w:pPr>
              <w:pStyle w:val="43"/>
              <w:spacing w:before="178"/>
              <w:ind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111" w:type="dxa"/>
            <w:noWrap w:val="0"/>
            <w:vAlign w:val="top"/>
          </w:tcPr>
          <w:p w14:paraId="3FE01C2B">
            <w:pPr>
              <w:pStyle w:val="43"/>
              <w:spacing w:before="178"/>
              <w:ind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17.5.1（1）</w:t>
            </w:r>
          </w:p>
        </w:tc>
        <w:tc>
          <w:tcPr>
            <w:tcW w:w="7305" w:type="dxa"/>
            <w:noWrap w:val="0"/>
            <w:vAlign w:val="top"/>
          </w:tcPr>
          <w:p w14:paraId="4A7AFFD6">
            <w:pPr>
              <w:pStyle w:val="43"/>
              <w:spacing w:before="178"/>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承包人向监理人提交交工付款申请单（包括相关证明材料）的份数：</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份</w:t>
            </w:r>
          </w:p>
        </w:tc>
      </w:tr>
      <w:tr w14:paraId="76A13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629" w:type="dxa"/>
            <w:noWrap w:val="0"/>
            <w:vAlign w:val="top"/>
          </w:tcPr>
          <w:p w14:paraId="41AB827B">
            <w:pPr>
              <w:pStyle w:val="43"/>
              <w:spacing w:before="178"/>
              <w:ind w:left="83" w:right="7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w:t>
            </w:r>
          </w:p>
        </w:tc>
        <w:tc>
          <w:tcPr>
            <w:tcW w:w="1111" w:type="dxa"/>
            <w:noWrap w:val="0"/>
            <w:vAlign w:val="top"/>
          </w:tcPr>
          <w:p w14:paraId="645BCF27">
            <w:pPr>
              <w:pStyle w:val="43"/>
              <w:spacing w:before="178"/>
              <w:ind w:left="83" w:right="7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17.6.1（1）</w:t>
            </w:r>
          </w:p>
        </w:tc>
        <w:tc>
          <w:tcPr>
            <w:tcW w:w="7305" w:type="dxa"/>
            <w:noWrap w:val="0"/>
            <w:vAlign w:val="top"/>
          </w:tcPr>
          <w:p w14:paraId="3A2890D2">
            <w:pPr>
              <w:pStyle w:val="43"/>
              <w:spacing w:before="178"/>
              <w:ind w:left="83" w:right="7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承包人向监理人提交最终结清申请单（包括相关证明材料）的份数：</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份</w:t>
            </w:r>
          </w:p>
        </w:tc>
      </w:tr>
      <w:tr w14:paraId="3300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29" w:type="dxa"/>
            <w:noWrap w:val="0"/>
            <w:vAlign w:val="top"/>
          </w:tcPr>
          <w:p w14:paraId="529AA1AE">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1111" w:type="dxa"/>
            <w:noWrap w:val="0"/>
            <w:vAlign w:val="top"/>
          </w:tcPr>
          <w:p w14:paraId="678AE6BA">
            <w:pPr>
              <w:pStyle w:val="43"/>
              <w:spacing w:before="90" w:line="250" w:lineRule="exact"/>
              <w:ind w:left="10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18.2（2）</w:t>
            </w:r>
          </w:p>
        </w:tc>
        <w:tc>
          <w:tcPr>
            <w:tcW w:w="7305" w:type="dxa"/>
            <w:noWrap w:val="0"/>
            <w:vAlign w:val="top"/>
          </w:tcPr>
          <w:p w14:paraId="5E34E2B8">
            <w:pPr>
              <w:pStyle w:val="43"/>
              <w:tabs>
                <w:tab w:val="left" w:pos="2659"/>
              </w:tabs>
              <w:spacing w:before="90" w:line="250" w:lineRule="exact"/>
              <w:ind w:left="3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w:t>
            </w:r>
            <w:r>
              <w:rPr>
                <w:rFonts w:hint="eastAsia" w:ascii="宋体" w:hAnsi="宋体" w:eastAsia="宋体" w:cs="宋体"/>
                <w:color w:val="auto"/>
                <w:spacing w:val="-3"/>
                <w:sz w:val="21"/>
                <w:szCs w:val="21"/>
                <w:highlight w:val="none"/>
              </w:rPr>
              <w:t>资</w:t>
            </w:r>
            <w:r>
              <w:rPr>
                <w:rFonts w:hint="eastAsia" w:ascii="宋体" w:hAnsi="宋体" w:eastAsia="宋体" w:cs="宋体"/>
                <w:color w:val="auto"/>
                <w:sz w:val="21"/>
                <w:szCs w:val="21"/>
                <w:highlight w:val="none"/>
              </w:rPr>
              <w:t>料</w:t>
            </w:r>
            <w:r>
              <w:rPr>
                <w:rFonts w:hint="eastAsia" w:ascii="宋体" w:hAnsi="宋体" w:eastAsia="宋体" w:cs="宋体"/>
                <w:color w:val="auto"/>
                <w:spacing w:val="-3"/>
                <w:sz w:val="21"/>
                <w:szCs w:val="21"/>
                <w:highlight w:val="none"/>
              </w:rPr>
              <w:t>的</w:t>
            </w:r>
            <w:r>
              <w:rPr>
                <w:rFonts w:hint="eastAsia" w:ascii="宋体" w:hAnsi="宋体" w:eastAsia="宋体" w:cs="宋体"/>
                <w:color w:val="auto"/>
                <w:sz w:val="21"/>
                <w:szCs w:val="21"/>
                <w:highlight w:val="none"/>
              </w:rPr>
              <w:t>份</w:t>
            </w:r>
            <w:r>
              <w:rPr>
                <w:rFonts w:hint="eastAsia" w:ascii="宋体" w:hAnsi="宋体" w:eastAsia="宋体" w:cs="宋体"/>
                <w:color w:val="auto"/>
                <w:spacing w:val="-3"/>
                <w:sz w:val="21"/>
                <w:szCs w:val="21"/>
                <w:highlight w:val="none"/>
              </w:rPr>
              <w:t>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rPr>
              <w:t>份</w:t>
            </w:r>
          </w:p>
        </w:tc>
      </w:tr>
      <w:tr w14:paraId="2F487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629" w:type="dxa"/>
            <w:noWrap w:val="0"/>
            <w:vAlign w:val="top"/>
          </w:tcPr>
          <w:p w14:paraId="15E578FA">
            <w:pPr>
              <w:pStyle w:val="43"/>
              <w:spacing w:before="194"/>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1111" w:type="dxa"/>
            <w:noWrap w:val="0"/>
            <w:vAlign w:val="top"/>
          </w:tcPr>
          <w:p w14:paraId="46F4B151">
            <w:pPr>
              <w:pStyle w:val="43"/>
              <w:spacing w:before="194"/>
              <w:ind w:left="2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18.5.1</w:t>
            </w:r>
          </w:p>
        </w:tc>
        <w:tc>
          <w:tcPr>
            <w:tcW w:w="7305" w:type="dxa"/>
            <w:noWrap w:val="0"/>
            <w:vAlign w:val="top"/>
          </w:tcPr>
          <w:p w14:paraId="53E8E513">
            <w:pPr>
              <w:pStyle w:val="43"/>
              <w:spacing w:before="92"/>
              <w:ind w:left="347"/>
              <w:rPr>
                <w:rFonts w:hint="eastAsia" w:ascii="宋体" w:hAnsi="宋体" w:eastAsia="宋体" w:cs="宋体"/>
                <w:color w:val="auto"/>
                <w:spacing w:val="17"/>
                <w:sz w:val="21"/>
                <w:szCs w:val="21"/>
                <w:highlight w:val="none"/>
                <w:lang w:eastAsia="zh-CN"/>
              </w:rPr>
            </w:pPr>
            <w:r>
              <w:rPr>
                <w:rFonts w:hint="eastAsia" w:ascii="宋体" w:hAnsi="宋体" w:eastAsia="宋体" w:cs="宋体"/>
                <w:color w:val="auto"/>
                <w:sz w:val="21"/>
                <w:szCs w:val="21"/>
                <w:highlight w:val="none"/>
                <w:lang w:eastAsia="zh-CN"/>
              </w:rPr>
              <w:t>单位工程或工程设备是否需投入施工期运行：</w:t>
            </w:r>
            <w:r>
              <w:rPr>
                <w:rFonts w:hint="eastAsia" w:ascii="宋体" w:hAnsi="宋体" w:eastAsia="宋体" w:cs="宋体"/>
                <w:color w:val="auto"/>
                <w:sz w:val="21"/>
                <w:szCs w:val="21"/>
                <w:highlight w:val="none"/>
                <w:u w:val="single"/>
                <w:lang w:eastAsia="zh-CN"/>
              </w:rPr>
              <w:t>是</w:t>
            </w:r>
            <w:r>
              <w:rPr>
                <w:rFonts w:hint="eastAsia" w:ascii="宋体" w:hAnsi="宋体" w:eastAsia="宋体" w:cs="宋体"/>
                <w:color w:val="auto"/>
                <w:spacing w:val="17"/>
                <w:sz w:val="21"/>
                <w:szCs w:val="21"/>
                <w:highlight w:val="none"/>
                <w:lang w:eastAsia="zh-CN"/>
              </w:rPr>
              <w:t>（</w:t>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pacing w:val="-3"/>
                <w:sz w:val="21"/>
                <w:szCs w:val="21"/>
                <w:highlight w:val="none"/>
                <w:lang w:eastAsia="zh-CN"/>
              </w:rPr>
              <w:t>或</w:t>
            </w:r>
            <w:r>
              <w:rPr>
                <w:rFonts w:hint="eastAsia" w:ascii="宋体" w:hAnsi="宋体" w:eastAsia="宋体" w:cs="宋体"/>
                <w:color w:val="auto"/>
                <w:sz w:val="21"/>
                <w:szCs w:val="21"/>
                <w:highlight w:val="none"/>
                <w:lang w:eastAsia="zh-CN"/>
              </w:rPr>
              <w:t>否</w:t>
            </w:r>
            <w:r>
              <w:rPr>
                <w:rFonts w:hint="eastAsia" w:ascii="宋体" w:hAnsi="宋体" w:eastAsia="宋体" w:cs="宋体"/>
                <w:color w:val="auto"/>
                <w:spacing w:val="17"/>
                <w:sz w:val="21"/>
                <w:szCs w:val="21"/>
                <w:highlight w:val="none"/>
                <w:lang w:eastAsia="zh-CN"/>
              </w:rPr>
              <w:t>）</w:t>
            </w:r>
          </w:p>
          <w:p w14:paraId="53535033">
            <w:pPr>
              <w:pStyle w:val="43"/>
              <w:spacing w:before="92"/>
              <w:ind w:left="347"/>
              <w:rPr>
                <w:rFonts w:hint="eastAsia" w:ascii="宋体" w:hAnsi="宋体" w:eastAsia="宋体" w:cs="宋体"/>
                <w:color w:val="auto"/>
                <w:spacing w:val="17"/>
                <w:sz w:val="21"/>
                <w:szCs w:val="21"/>
                <w:highlight w:val="none"/>
                <w:lang w:eastAsia="zh-CN"/>
              </w:rPr>
            </w:pPr>
            <w:r>
              <w:rPr>
                <w:rFonts w:hint="eastAsia" w:ascii="宋体" w:hAnsi="宋体" w:eastAsia="宋体" w:cs="宋体"/>
                <w:color w:val="auto"/>
                <w:spacing w:val="17"/>
                <w:sz w:val="21"/>
                <w:szCs w:val="21"/>
                <w:highlight w:val="none"/>
                <w:lang w:eastAsia="zh-CN"/>
              </w:rPr>
              <w:t>本项目属于旧路改建，需要在施工期间维持交通畅通。</w:t>
            </w:r>
          </w:p>
        </w:tc>
      </w:tr>
      <w:tr w14:paraId="63065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629" w:type="dxa"/>
            <w:noWrap w:val="0"/>
            <w:vAlign w:val="top"/>
          </w:tcPr>
          <w:p w14:paraId="4A2C0A69">
            <w:pPr>
              <w:pStyle w:val="43"/>
              <w:spacing w:before="11"/>
              <w:rPr>
                <w:rFonts w:hint="eastAsia" w:ascii="宋体" w:hAnsi="宋体" w:eastAsia="宋体" w:cs="宋体"/>
                <w:color w:val="auto"/>
                <w:sz w:val="21"/>
                <w:szCs w:val="21"/>
                <w:highlight w:val="none"/>
                <w:lang w:eastAsia="zh-CN"/>
              </w:rPr>
            </w:pPr>
          </w:p>
          <w:p w14:paraId="4CDDC789">
            <w:pPr>
              <w:pStyle w:val="43"/>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1111" w:type="dxa"/>
            <w:noWrap w:val="0"/>
            <w:vAlign w:val="top"/>
          </w:tcPr>
          <w:p w14:paraId="67305C93">
            <w:pPr>
              <w:pStyle w:val="43"/>
              <w:spacing w:before="11"/>
              <w:rPr>
                <w:rFonts w:hint="eastAsia" w:ascii="宋体" w:hAnsi="宋体" w:eastAsia="宋体" w:cs="宋体"/>
                <w:color w:val="auto"/>
                <w:sz w:val="21"/>
                <w:szCs w:val="21"/>
                <w:highlight w:val="none"/>
              </w:rPr>
            </w:pPr>
          </w:p>
          <w:p w14:paraId="725B4DD2">
            <w:pPr>
              <w:pStyle w:val="43"/>
              <w:ind w:left="2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18.6.1</w:t>
            </w:r>
          </w:p>
        </w:tc>
        <w:tc>
          <w:tcPr>
            <w:tcW w:w="7305" w:type="dxa"/>
            <w:noWrap w:val="0"/>
            <w:vAlign w:val="top"/>
          </w:tcPr>
          <w:p w14:paraId="6F7BCB01">
            <w:pPr>
              <w:pStyle w:val="43"/>
              <w:spacing w:before="89"/>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本工程及工程设备是否进行试运行：</w:t>
            </w:r>
            <w:r>
              <w:rPr>
                <w:rFonts w:hint="eastAsia" w:ascii="宋体" w:hAnsi="宋体" w:eastAsia="宋体" w:cs="宋体"/>
                <w:color w:val="auto"/>
                <w:sz w:val="21"/>
                <w:szCs w:val="21"/>
                <w:highlight w:val="none"/>
                <w:u w:val="single"/>
                <w:lang w:eastAsia="zh-CN"/>
              </w:rPr>
              <w:t>否</w:t>
            </w:r>
            <w:r>
              <w:rPr>
                <w:rFonts w:hint="eastAsia" w:ascii="宋体" w:hAnsi="宋体" w:eastAsia="宋体" w:cs="宋体"/>
                <w:color w:val="auto"/>
                <w:spacing w:val="17"/>
                <w:sz w:val="21"/>
                <w:szCs w:val="21"/>
                <w:highlight w:val="none"/>
                <w:lang w:eastAsia="zh-CN"/>
              </w:rPr>
              <w:t>（</w:t>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pacing w:val="-3"/>
                <w:sz w:val="21"/>
                <w:szCs w:val="21"/>
                <w:highlight w:val="none"/>
                <w:lang w:eastAsia="zh-CN"/>
              </w:rPr>
              <w:t>或</w:t>
            </w:r>
            <w:r>
              <w:rPr>
                <w:rFonts w:hint="eastAsia" w:ascii="宋体" w:hAnsi="宋体" w:eastAsia="宋体" w:cs="宋体"/>
                <w:color w:val="auto"/>
                <w:sz w:val="21"/>
                <w:szCs w:val="21"/>
                <w:highlight w:val="none"/>
                <w:lang w:eastAsia="zh-CN"/>
              </w:rPr>
              <w:t>否</w:t>
            </w:r>
            <w:r>
              <w:rPr>
                <w:rFonts w:hint="eastAsia" w:ascii="宋体" w:hAnsi="宋体" w:eastAsia="宋体" w:cs="宋体"/>
                <w:color w:val="auto"/>
                <w:spacing w:val="17"/>
                <w:sz w:val="21"/>
                <w:szCs w:val="21"/>
                <w:highlight w:val="none"/>
                <w:lang w:eastAsia="zh-CN"/>
              </w:rPr>
              <w:t>）</w:t>
            </w:r>
          </w:p>
          <w:p w14:paraId="15869EE4">
            <w:pPr>
              <w:pStyle w:val="43"/>
              <w:tabs>
                <w:tab w:val="left" w:pos="7244"/>
              </w:tabs>
              <w:spacing w:before="91"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如本</w:t>
            </w:r>
            <w:r>
              <w:rPr>
                <w:rFonts w:hint="eastAsia" w:ascii="宋体" w:hAnsi="宋体" w:eastAsia="宋体" w:cs="宋体"/>
                <w:color w:val="auto"/>
                <w:spacing w:val="-3"/>
                <w:sz w:val="21"/>
                <w:szCs w:val="21"/>
                <w:highlight w:val="none"/>
                <w:lang w:eastAsia="zh-CN"/>
              </w:rPr>
              <w:t>工</w:t>
            </w:r>
            <w:r>
              <w:rPr>
                <w:rFonts w:hint="eastAsia" w:ascii="宋体" w:hAnsi="宋体" w:eastAsia="宋体" w:cs="宋体"/>
                <w:color w:val="auto"/>
                <w:sz w:val="21"/>
                <w:szCs w:val="21"/>
                <w:highlight w:val="none"/>
                <w:lang w:eastAsia="zh-CN"/>
              </w:rPr>
              <w:t>程</w:t>
            </w:r>
            <w:r>
              <w:rPr>
                <w:rFonts w:hint="eastAsia" w:ascii="宋体" w:hAnsi="宋体" w:eastAsia="宋体" w:cs="宋体"/>
                <w:color w:val="auto"/>
                <w:spacing w:val="-3"/>
                <w:sz w:val="21"/>
                <w:szCs w:val="21"/>
                <w:highlight w:val="none"/>
                <w:lang w:eastAsia="zh-CN"/>
              </w:rPr>
              <w:t>及</w:t>
            </w:r>
            <w:r>
              <w:rPr>
                <w:rFonts w:hint="eastAsia" w:ascii="宋体" w:hAnsi="宋体" w:eastAsia="宋体" w:cs="宋体"/>
                <w:color w:val="auto"/>
                <w:sz w:val="21"/>
                <w:szCs w:val="21"/>
                <w:highlight w:val="none"/>
                <w:lang w:eastAsia="zh-CN"/>
              </w:rPr>
              <w:t>工</w:t>
            </w:r>
            <w:r>
              <w:rPr>
                <w:rFonts w:hint="eastAsia" w:ascii="宋体" w:hAnsi="宋体" w:eastAsia="宋体" w:cs="宋体"/>
                <w:color w:val="auto"/>
                <w:spacing w:val="-3"/>
                <w:sz w:val="21"/>
                <w:szCs w:val="21"/>
                <w:highlight w:val="none"/>
                <w:lang w:eastAsia="zh-CN"/>
              </w:rPr>
              <w:t>程</w:t>
            </w:r>
            <w:r>
              <w:rPr>
                <w:rFonts w:hint="eastAsia" w:ascii="宋体" w:hAnsi="宋体" w:eastAsia="宋体" w:cs="宋体"/>
                <w:color w:val="auto"/>
                <w:sz w:val="21"/>
                <w:szCs w:val="21"/>
                <w:highlight w:val="none"/>
                <w:lang w:eastAsia="zh-CN"/>
              </w:rPr>
              <w:t>设</w:t>
            </w:r>
            <w:r>
              <w:rPr>
                <w:rFonts w:hint="eastAsia" w:ascii="宋体" w:hAnsi="宋体" w:eastAsia="宋体" w:cs="宋体"/>
                <w:color w:val="auto"/>
                <w:spacing w:val="-3"/>
                <w:sz w:val="21"/>
                <w:szCs w:val="21"/>
                <w:highlight w:val="none"/>
                <w:lang w:eastAsia="zh-CN"/>
              </w:rPr>
              <w:t>备</w:t>
            </w:r>
            <w:r>
              <w:rPr>
                <w:rFonts w:hint="eastAsia" w:ascii="宋体" w:hAnsi="宋体" w:eastAsia="宋体" w:cs="宋体"/>
                <w:color w:val="auto"/>
                <w:sz w:val="21"/>
                <w:szCs w:val="21"/>
                <w:highlight w:val="none"/>
                <w:lang w:eastAsia="zh-CN"/>
              </w:rPr>
              <w:t>需</w:t>
            </w:r>
            <w:r>
              <w:rPr>
                <w:rFonts w:hint="eastAsia" w:ascii="宋体" w:hAnsi="宋体" w:eastAsia="宋体" w:cs="宋体"/>
                <w:color w:val="auto"/>
                <w:spacing w:val="-3"/>
                <w:sz w:val="21"/>
                <w:szCs w:val="21"/>
                <w:highlight w:val="none"/>
                <w:lang w:eastAsia="zh-CN"/>
              </w:rPr>
              <w:t>要</w:t>
            </w:r>
            <w:r>
              <w:rPr>
                <w:rFonts w:hint="eastAsia" w:ascii="宋体" w:hAnsi="宋体" w:eastAsia="宋体" w:cs="宋体"/>
                <w:color w:val="auto"/>
                <w:sz w:val="21"/>
                <w:szCs w:val="21"/>
                <w:highlight w:val="none"/>
                <w:lang w:eastAsia="zh-CN"/>
              </w:rPr>
              <w:t>进行</w:t>
            </w:r>
            <w:r>
              <w:rPr>
                <w:rFonts w:hint="eastAsia" w:ascii="宋体" w:hAnsi="宋体" w:eastAsia="宋体" w:cs="宋体"/>
                <w:color w:val="auto"/>
                <w:spacing w:val="-3"/>
                <w:sz w:val="21"/>
                <w:szCs w:val="21"/>
                <w:highlight w:val="none"/>
                <w:lang w:eastAsia="zh-CN"/>
              </w:rPr>
              <w:t>试</w:t>
            </w:r>
            <w:r>
              <w:rPr>
                <w:rFonts w:hint="eastAsia" w:ascii="宋体" w:hAnsi="宋体" w:eastAsia="宋体" w:cs="宋体"/>
                <w:color w:val="auto"/>
                <w:sz w:val="21"/>
                <w:szCs w:val="21"/>
                <w:highlight w:val="none"/>
                <w:lang w:eastAsia="zh-CN"/>
              </w:rPr>
              <w:t>运</w:t>
            </w:r>
            <w:r>
              <w:rPr>
                <w:rFonts w:hint="eastAsia" w:ascii="宋体" w:hAnsi="宋体" w:eastAsia="宋体" w:cs="宋体"/>
                <w:color w:val="auto"/>
                <w:spacing w:val="-3"/>
                <w:sz w:val="21"/>
                <w:szCs w:val="21"/>
                <w:highlight w:val="none"/>
                <w:lang w:eastAsia="zh-CN"/>
              </w:rPr>
              <w:t>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3"/>
                <w:sz w:val="21"/>
                <w:szCs w:val="21"/>
                <w:highlight w:val="none"/>
                <w:lang w:eastAsia="zh-CN"/>
              </w:rPr>
              <w:t>试</w:t>
            </w:r>
            <w:r>
              <w:rPr>
                <w:rFonts w:hint="eastAsia" w:ascii="宋体" w:hAnsi="宋体" w:eastAsia="宋体" w:cs="宋体"/>
                <w:color w:val="auto"/>
                <w:sz w:val="21"/>
                <w:szCs w:val="21"/>
                <w:highlight w:val="none"/>
                <w:lang w:eastAsia="zh-CN"/>
              </w:rPr>
              <w:t>运</w:t>
            </w:r>
            <w:r>
              <w:rPr>
                <w:rFonts w:hint="eastAsia" w:ascii="宋体" w:hAnsi="宋体" w:eastAsia="宋体" w:cs="宋体"/>
                <w:color w:val="auto"/>
                <w:spacing w:val="-3"/>
                <w:sz w:val="21"/>
                <w:szCs w:val="21"/>
                <w:highlight w:val="none"/>
                <w:lang w:eastAsia="zh-CN"/>
              </w:rPr>
              <w:t>行</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pacing w:val="-3"/>
                <w:sz w:val="21"/>
                <w:szCs w:val="21"/>
                <w:highlight w:val="none"/>
                <w:lang w:eastAsia="zh-CN"/>
              </w:rPr>
              <w:t>具</w:t>
            </w:r>
            <w:r>
              <w:rPr>
                <w:rFonts w:hint="eastAsia" w:ascii="宋体" w:hAnsi="宋体" w:eastAsia="宋体" w:cs="宋体"/>
                <w:color w:val="auto"/>
                <w:sz w:val="21"/>
                <w:szCs w:val="21"/>
                <w:highlight w:val="none"/>
                <w:lang w:eastAsia="zh-CN"/>
              </w:rPr>
              <w:t>体规</w:t>
            </w:r>
            <w:r>
              <w:rPr>
                <w:rFonts w:hint="eastAsia" w:ascii="宋体" w:hAnsi="宋体" w:eastAsia="宋体" w:cs="宋体"/>
                <w:color w:val="auto"/>
                <w:spacing w:val="-3"/>
                <w:sz w:val="21"/>
                <w:szCs w:val="21"/>
                <w:highlight w:val="none"/>
                <w:lang w:eastAsia="zh-CN"/>
              </w:rPr>
              <w:t>定</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pacing w:val="-3"/>
                <w:sz w:val="21"/>
                <w:szCs w:val="21"/>
                <w:highlight w:val="none"/>
                <w:lang w:eastAsia="zh-CN"/>
              </w:rPr>
              <w:t>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eastAsia="zh-CN"/>
              </w:rPr>
              <w:tab/>
            </w:r>
          </w:p>
        </w:tc>
      </w:tr>
      <w:tr w14:paraId="344CB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2F40D006">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1111" w:type="dxa"/>
            <w:noWrap w:val="0"/>
            <w:vAlign w:val="top"/>
          </w:tcPr>
          <w:p w14:paraId="1D6D7CEC">
            <w:pPr>
              <w:pStyle w:val="43"/>
              <w:spacing w:before="89" w:line="250" w:lineRule="exact"/>
              <w:ind w:left="10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19.7（1）</w:t>
            </w:r>
          </w:p>
        </w:tc>
        <w:tc>
          <w:tcPr>
            <w:tcW w:w="7305" w:type="dxa"/>
            <w:noWrap w:val="0"/>
            <w:vAlign w:val="top"/>
          </w:tcPr>
          <w:p w14:paraId="5E10123F">
            <w:pPr>
              <w:pStyle w:val="43"/>
              <w:tabs>
                <w:tab w:val="left" w:pos="3816"/>
              </w:tabs>
              <w:spacing w:before="89"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保修</w:t>
            </w:r>
            <w:r>
              <w:rPr>
                <w:rFonts w:hint="eastAsia" w:ascii="宋体" w:hAnsi="宋体" w:eastAsia="宋体" w:cs="宋体"/>
                <w:color w:val="auto"/>
                <w:spacing w:val="-3"/>
                <w:sz w:val="21"/>
                <w:szCs w:val="21"/>
                <w:highlight w:val="none"/>
                <w:lang w:eastAsia="zh-CN"/>
              </w:rPr>
              <w:t>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3"/>
                <w:sz w:val="21"/>
                <w:szCs w:val="21"/>
                <w:highlight w:val="none"/>
                <w:lang w:eastAsia="zh-CN"/>
              </w:rPr>
              <w:t>自</w:t>
            </w:r>
            <w:r>
              <w:rPr>
                <w:rFonts w:hint="eastAsia" w:ascii="宋体" w:hAnsi="宋体" w:eastAsia="宋体" w:cs="宋体"/>
                <w:color w:val="auto"/>
                <w:sz w:val="21"/>
                <w:szCs w:val="21"/>
                <w:highlight w:val="none"/>
                <w:lang w:eastAsia="zh-CN"/>
              </w:rPr>
              <w:t>实</w:t>
            </w:r>
            <w:r>
              <w:rPr>
                <w:rFonts w:hint="eastAsia" w:ascii="宋体" w:hAnsi="宋体" w:eastAsia="宋体" w:cs="宋体"/>
                <w:color w:val="auto"/>
                <w:spacing w:val="-3"/>
                <w:sz w:val="21"/>
                <w:szCs w:val="21"/>
                <w:highlight w:val="none"/>
                <w:lang w:eastAsia="zh-CN"/>
              </w:rPr>
              <w:t>际</w:t>
            </w:r>
            <w:r>
              <w:rPr>
                <w:rFonts w:hint="eastAsia" w:ascii="宋体" w:hAnsi="宋体" w:eastAsia="宋体" w:cs="宋体"/>
                <w:color w:val="auto"/>
                <w:sz w:val="21"/>
                <w:szCs w:val="21"/>
                <w:highlight w:val="none"/>
                <w:lang w:eastAsia="zh-CN"/>
              </w:rPr>
              <w:t>交</w:t>
            </w:r>
            <w:r>
              <w:rPr>
                <w:rFonts w:hint="eastAsia" w:ascii="宋体" w:hAnsi="宋体" w:eastAsia="宋体" w:cs="宋体"/>
                <w:color w:val="auto"/>
                <w:spacing w:val="-3"/>
                <w:sz w:val="21"/>
                <w:szCs w:val="21"/>
                <w:highlight w:val="none"/>
                <w:lang w:eastAsia="zh-CN"/>
              </w:rPr>
              <w:t>工</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pacing w:val="-3"/>
                <w:sz w:val="21"/>
                <w:szCs w:val="21"/>
                <w:highlight w:val="none"/>
                <w:lang w:eastAsia="zh-CN"/>
              </w:rPr>
              <w:t>期</w:t>
            </w:r>
            <w:r>
              <w:rPr>
                <w:rFonts w:hint="eastAsia" w:ascii="宋体" w:hAnsi="宋体" w:eastAsia="宋体" w:cs="宋体"/>
                <w:color w:val="auto"/>
                <w:sz w:val="21"/>
                <w:szCs w:val="21"/>
                <w:highlight w:val="none"/>
                <w:lang w:eastAsia="zh-CN"/>
              </w:rPr>
              <w:t>起计算</w:t>
            </w:r>
            <w:r>
              <w:rPr>
                <w:rFonts w:hint="eastAsia" w:ascii="宋体" w:hAnsi="宋体" w:eastAsia="宋体" w:cs="宋体"/>
                <w:color w:val="auto"/>
                <w:sz w:val="21"/>
                <w:szCs w:val="21"/>
                <w:highlight w:val="none"/>
                <w:u w:val="single"/>
                <w:lang w:val="en-US" w:eastAsia="zh-CN"/>
              </w:rPr>
              <w:t xml:space="preserve"> 1 </w:t>
            </w:r>
            <w:r>
              <w:rPr>
                <w:rFonts w:hint="eastAsia" w:ascii="宋体" w:hAnsi="宋体" w:eastAsia="宋体" w:cs="宋体"/>
                <w:color w:val="auto"/>
                <w:spacing w:val="-3"/>
                <w:sz w:val="21"/>
                <w:szCs w:val="21"/>
                <w:highlight w:val="none"/>
                <w:lang w:eastAsia="zh-CN"/>
              </w:rPr>
              <w:t>年</w:t>
            </w:r>
          </w:p>
        </w:tc>
      </w:tr>
      <w:tr w14:paraId="5A566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19764335">
            <w:pPr>
              <w:pStyle w:val="43"/>
              <w:spacing w:before="113" w:line="226" w:lineRule="exact"/>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p>
        </w:tc>
        <w:tc>
          <w:tcPr>
            <w:tcW w:w="1111" w:type="dxa"/>
            <w:noWrap w:val="0"/>
            <w:vAlign w:val="top"/>
          </w:tcPr>
          <w:p w14:paraId="020CEA60">
            <w:pPr>
              <w:pStyle w:val="43"/>
              <w:spacing w:before="113" w:line="226" w:lineRule="exact"/>
              <w:ind w:left="3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7305" w:type="dxa"/>
            <w:noWrap w:val="0"/>
            <w:vAlign w:val="top"/>
          </w:tcPr>
          <w:p w14:paraId="447676BF">
            <w:pPr>
              <w:pStyle w:val="43"/>
              <w:tabs>
                <w:tab w:val="left" w:pos="3502"/>
              </w:tabs>
              <w:spacing w:before="89" w:line="250" w:lineRule="exact"/>
              <w:ind w:left="34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建筑工程一切险的保险费率：建筑工程一切险的保险费由承包人报价时列入工程量清单100章内。</w:t>
            </w:r>
          </w:p>
        </w:tc>
      </w:tr>
      <w:tr w14:paraId="0F376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noWrap w:val="0"/>
            <w:vAlign w:val="top"/>
          </w:tcPr>
          <w:p w14:paraId="533D7D04">
            <w:pPr>
              <w:pStyle w:val="43"/>
              <w:spacing w:before="12"/>
              <w:rPr>
                <w:rFonts w:hint="eastAsia" w:ascii="宋体" w:hAnsi="宋体" w:eastAsia="宋体" w:cs="宋体"/>
                <w:color w:val="auto"/>
                <w:sz w:val="21"/>
                <w:szCs w:val="21"/>
                <w:highlight w:val="none"/>
                <w:lang w:eastAsia="zh-CN"/>
              </w:rPr>
            </w:pPr>
          </w:p>
          <w:p w14:paraId="6C136BEF">
            <w:pPr>
              <w:pStyle w:val="43"/>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1111" w:type="dxa"/>
            <w:noWrap w:val="0"/>
            <w:vAlign w:val="top"/>
          </w:tcPr>
          <w:p w14:paraId="042C4A37">
            <w:pPr>
              <w:pStyle w:val="43"/>
              <w:spacing w:before="12"/>
              <w:rPr>
                <w:rFonts w:hint="eastAsia" w:ascii="宋体" w:hAnsi="宋体" w:eastAsia="宋体" w:cs="宋体"/>
                <w:color w:val="auto"/>
                <w:sz w:val="21"/>
                <w:szCs w:val="21"/>
                <w:highlight w:val="none"/>
              </w:rPr>
            </w:pPr>
          </w:p>
          <w:p w14:paraId="56698D57">
            <w:pPr>
              <w:pStyle w:val="43"/>
              <w:ind w:left="2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20.4.2</w:t>
            </w:r>
          </w:p>
        </w:tc>
        <w:tc>
          <w:tcPr>
            <w:tcW w:w="7305" w:type="dxa"/>
            <w:noWrap w:val="0"/>
            <w:vAlign w:val="top"/>
          </w:tcPr>
          <w:p w14:paraId="0AFEAAAB">
            <w:pPr>
              <w:pStyle w:val="43"/>
              <w:tabs>
                <w:tab w:val="left" w:pos="1817"/>
                <w:tab w:val="left" w:pos="3814"/>
              </w:tabs>
              <w:spacing w:before="12" w:line="360" w:lineRule="exact"/>
              <w:ind w:left="5" w:right="118" w:firstLine="338" w:firstLineChars="161"/>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安全生产责任险及第三者责任险由承包人以承包人与项目法人的名义联名投保，保险费由承包人承担并支付，投标人应在所报的单价或总额价中对该保险费予以考虑，项目法人不单独进行计量与支付。</w:t>
            </w:r>
          </w:p>
          <w:p w14:paraId="27E4E841">
            <w:pPr>
              <w:pStyle w:val="43"/>
              <w:tabs>
                <w:tab w:val="left" w:pos="1817"/>
                <w:tab w:val="left" w:pos="3814"/>
              </w:tabs>
              <w:spacing w:before="12" w:line="360" w:lineRule="exact"/>
              <w:ind w:left="5" w:right="118" w:firstLine="338" w:firstLineChars="161"/>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安全生产责任险及第三者责任险的最低投保金额：按工程建设地相关规定执行</w:t>
            </w:r>
          </w:p>
        </w:tc>
      </w:tr>
      <w:tr w14:paraId="03D33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29" w:type="dxa"/>
            <w:noWrap w:val="0"/>
            <w:vAlign w:val="top"/>
          </w:tcPr>
          <w:p w14:paraId="73CAA999">
            <w:pPr>
              <w:pStyle w:val="43"/>
              <w:spacing w:before="12"/>
              <w:rPr>
                <w:rFonts w:hint="eastAsia" w:ascii="宋体" w:hAnsi="宋体" w:eastAsia="宋体" w:cs="宋体"/>
                <w:color w:val="auto"/>
                <w:sz w:val="21"/>
                <w:szCs w:val="21"/>
                <w:highlight w:val="none"/>
                <w:lang w:eastAsia="zh-CN"/>
              </w:rPr>
            </w:pPr>
          </w:p>
          <w:p w14:paraId="601A7544">
            <w:pPr>
              <w:pStyle w:val="43"/>
              <w:ind w:left="83" w:right="74"/>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1111" w:type="dxa"/>
            <w:noWrap w:val="0"/>
            <w:vAlign w:val="top"/>
          </w:tcPr>
          <w:p w14:paraId="30ED888B">
            <w:pPr>
              <w:pStyle w:val="43"/>
              <w:spacing w:before="12"/>
              <w:rPr>
                <w:rFonts w:hint="eastAsia" w:ascii="宋体" w:hAnsi="宋体" w:eastAsia="宋体" w:cs="宋体"/>
                <w:color w:val="auto"/>
                <w:sz w:val="21"/>
                <w:szCs w:val="21"/>
                <w:highlight w:val="none"/>
              </w:rPr>
            </w:pPr>
          </w:p>
          <w:p w14:paraId="0FFF1C34">
            <w:pPr>
              <w:pStyle w:val="43"/>
              <w:ind w:left="37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7305" w:type="dxa"/>
            <w:noWrap w:val="0"/>
            <w:vAlign w:val="top"/>
          </w:tcPr>
          <w:p w14:paraId="1D4CE737">
            <w:pPr>
              <w:pStyle w:val="43"/>
              <w:tabs>
                <w:tab w:val="left" w:pos="3900"/>
              </w:tabs>
              <w:spacing w:before="78"/>
              <w:ind w:left="328"/>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争议</w:t>
            </w:r>
            <w:r>
              <w:rPr>
                <w:rFonts w:hint="eastAsia" w:ascii="宋体" w:hAnsi="宋体" w:eastAsia="宋体" w:cs="宋体"/>
                <w:color w:val="auto"/>
                <w:spacing w:val="-3"/>
                <w:sz w:val="21"/>
                <w:szCs w:val="21"/>
                <w:highlight w:val="none"/>
                <w:lang w:eastAsia="zh-CN"/>
              </w:rPr>
              <w:t>的</w:t>
            </w:r>
            <w:r>
              <w:rPr>
                <w:rFonts w:hint="eastAsia" w:ascii="宋体" w:hAnsi="宋体" w:eastAsia="宋体" w:cs="宋体"/>
                <w:color w:val="auto"/>
                <w:sz w:val="21"/>
                <w:szCs w:val="21"/>
                <w:highlight w:val="none"/>
                <w:lang w:eastAsia="zh-CN"/>
              </w:rPr>
              <w:t>最</w:t>
            </w:r>
            <w:r>
              <w:rPr>
                <w:rFonts w:hint="eastAsia" w:ascii="宋体" w:hAnsi="宋体" w:eastAsia="宋体" w:cs="宋体"/>
                <w:color w:val="auto"/>
                <w:spacing w:val="-3"/>
                <w:sz w:val="21"/>
                <w:szCs w:val="21"/>
                <w:highlight w:val="none"/>
                <w:lang w:eastAsia="zh-CN"/>
              </w:rPr>
              <w:t>终</w:t>
            </w:r>
            <w:r>
              <w:rPr>
                <w:rFonts w:hint="eastAsia" w:ascii="宋体" w:hAnsi="宋体" w:eastAsia="宋体" w:cs="宋体"/>
                <w:color w:val="auto"/>
                <w:sz w:val="21"/>
                <w:szCs w:val="21"/>
                <w:highlight w:val="none"/>
                <w:lang w:eastAsia="zh-CN"/>
              </w:rPr>
              <w:t>解</w:t>
            </w:r>
            <w:r>
              <w:rPr>
                <w:rFonts w:hint="eastAsia" w:ascii="宋体" w:hAnsi="宋体" w:eastAsia="宋体" w:cs="宋体"/>
                <w:color w:val="auto"/>
                <w:spacing w:val="-3"/>
                <w:sz w:val="21"/>
                <w:szCs w:val="21"/>
                <w:highlight w:val="none"/>
                <w:lang w:eastAsia="zh-CN"/>
              </w:rPr>
              <w:t>决</w:t>
            </w:r>
            <w:r>
              <w:rPr>
                <w:rFonts w:hint="eastAsia" w:ascii="宋体" w:hAnsi="宋体" w:eastAsia="宋体" w:cs="宋体"/>
                <w:color w:val="auto"/>
                <w:sz w:val="21"/>
                <w:szCs w:val="21"/>
                <w:highlight w:val="none"/>
                <w:lang w:eastAsia="zh-CN"/>
              </w:rPr>
              <w:t>方</w:t>
            </w:r>
            <w:r>
              <w:rPr>
                <w:rFonts w:hint="eastAsia" w:ascii="宋体" w:hAnsi="宋体" w:eastAsia="宋体" w:cs="宋体"/>
                <w:color w:val="auto"/>
                <w:spacing w:val="-3"/>
                <w:sz w:val="21"/>
                <w:szCs w:val="21"/>
                <w:highlight w:val="none"/>
                <w:lang w:eastAsia="zh-CN"/>
              </w:rPr>
              <w:t>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eastAsia="zh-CN"/>
              </w:rPr>
              <w:t xml:space="preserve">向项目所在地人民法院诉讼    </w:t>
            </w:r>
          </w:p>
          <w:p w14:paraId="7CF05E40">
            <w:pPr>
              <w:pStyle w:val="43"/>
              <w:tabs>
                <w:tab w:val="left" w:pos="3900"/>
              </w:tabs>
              <w:spacing w:before="78"/>
              <w:ind w:left="32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如采</w:t>
            </w:r>
            <w:r>
              <w:rPr>
                <w:rFonts w:hint="eastAsia" w:ascii="宋体" w:hAnsi="宋体" w:eastAsia="宋体" w:cs="宋体"/>
                <w:color w:val="auto"/>
                <w:spacing w:val="-3"/>
                <w:sz w:val="21"/>
                <w:szCs w:val="21"/>
                <w:highlight w:val="none"/>
                <w:lang w:eastAsia="zh-CN"/>
              </w:rPr>
              <w:t>用</w:t>
            </w:r>
            <w:r>
              <w:rPr>
                <w:rFonts w:hint="eastAsia" w:ascii="宋体" w:hAnsi="宋体" w:eastAsia="宋体" w:cs="宋体"/>
                <w:color w:val="auto"/>
                <w:sz w:val="21"/>
                <w:szCs w:val="21"/>
                <w:highlight w:val="none"/>
                <w:lang w:eastAsia="zh-CN"/>
              </w:rPr>
              <w:t>仲</w:t>
            </w:r>
            <w:r>
              <w:rPr>
                <w:rFonts w:hint="eastAsia" w:ascii="宋体" w:hAnsi="宋体" w:eastAsia="宋体" w:cs="宋体"/>
                <w:color w:val="auto"/>
                <w:spacing w:val="-3"/>
                <w:sz w:val="21"/>
                <w:szCs w:val="21"/>
                <w:highlight w:val="none"/>
                <w:lang w:eastAsia="zh-CN"/>
              </w:rPr>
              <w:t>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3"/>
                <w:sz w:val="21"/>
                <w:szCs w:val="21"/>
                <w:highlight w:val="none"/>
                <w:lang w:eastAsia="zh-CN"/>
              </w:rPr>
              <w:t>仲</w:t>
            </w:r>
            <w:r>
              <w:rPr>
                <w:rFonts w:hint="eastAsia" w:ascii="宋体" w:hAnsi="宋体" w:eastAsia="宋体" w:cs="宋体"/>
                <w:color w:val="auto"/>
                <w:sz w:val="21"/>
                <w:szCs w:val="21"/>
                <w:highlight w:val="none"/>
                <w:lang w:eastAsia="zh-CN"/>
              </w:rPr>
              <w:t>裁</w:t>
            </w:r>
            <w:r>
              <w:rPr>
                <w:rFonts w:hint="eastAsia" w:ascii="宋体" w:hAnsi="宋体" w:eastAsia="宋体" w:cs="宋体"/>
                <w:color w:val="auto"/>
                <w:spacing w:val="-3"/>
                <w:sz w:val="21"/>
                <w:szCs w:val="21"/>
                <w:highlight w:val="none"/>
                <w:lang w:eastAsia="zh-CN"/>
              </w:rPr>
              <w:t>委</w:t>
            </w:r>
            <w:r>
              <w:rPr>
                <w:rFonts w:hint="eastAsia" w:ascii="宋体" w:hAnsi="宋体" w:eastAsia="宋体" w:cs="宋体"/>
                <w:color w:val="auto"/>
                <w:sz w:val="21"/>
                <w:szCs w:val="21"/>
                <w:highlight w:val="none"/>
                <w:lang w:eastAsia="zh-CN"/>
              </w:rPr>
              <w:t>员</w:t>
            </w:r>
            <w:r>
              <w:rPr>
                <w:rFonts w:hint="eastAsia" w:ascii="宋体" w:hAnsi="宋体" w:eastAsia="宋体" w:cs="宋体"/>
                <w:color w:val="auto"/>
                <w:spacing w:val="-3"/>
                <w:sz w:val="21"/>
                <w:szCs w:val="21"/>
                <w:highlight w:val="none"/>
                <w:lang w:eastAsia="zh-CN"/>
              </w:rPr>
              <w:t>会</w:t>
            </w:r>
            <w:r>
              <w:rPr>
                <w:rFonts w:hint="eastAsia" w:ascii="宋体" w:hAnsi="宋体" w:eastAsia="宋体" w:cs="宋体"/>
                <w:color w:val="auto"/>
                <w:sz w:val="21"/>
                <w:szCs w:val="21"/>
                <w:highlight w:val="none"/>
                <w:lang w:eastAsia="zh-CN"/>
              </w:rPr>
              <w:t>名称：</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防城港</w:t>
            </w:r>
            <w:r>
              <w:rPr>
                <w:rFonts w:hint="eastAsia" w:ascii="宋体" w:hAnsi="宋体" w:eastAsia="宋体" w:cs="宋体"/>
                <w:color w:val="auto"/>
                <w:sz w:val="21"/>
                <w:szCs w:val="21"/>
                <w:highlight w:val="none"/>
                <w:u w:val="single"/>
                <w:lang w:eastAsia="zh-CN"/>
              </w:rPr>
              <w:t xml:space="preserve">市仲裁委员会 </w:t>
            </w:r>
          </w:p>
        </w:tc>
      </w:tr>
    </w:tbl>
    <w:p w14:paraId="123822F1">
      <w:pPr>
        <w:tabs>
          <w:tab w:val="left" w:pos="1080"/>
        </w:tabs>
        <w:spacing w:line="28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br w:type="page"/>
      </w:r>
    </w:p>
    <w:p w14:paraId="6367601A">
      <w:pPr>
        <w:pStyle w:val="3"/>
        <w:pageBreakBefore w:val="0"/>
        <w:widowControl w:val="0"/>
        <w:kinsoku/>
        <w:wordWrap/>
        <w:overflowPunct/>
        <w:topLinePunct w:val="0"/>
        <w:autoSpaceDE/>
        <w:autoSpaceDN/>
        <w:bidi w:val="0"/>
        <w:adjustRightInd/>
        <w:spacing w:before="0" w:after="0"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项目专用合同条款</w:t>
      </w:r>
      <w:bookmarkEnd w:id="461"/>
      <w:bookmarkEnd w:id="462"/>
      <w:bookmarkEnd w:id="463"/>
      <w:bookmarkEnd w:id="464"/>
    </w:p>
    <w:p w14:paraId="7C5328BD">
      <w:pPr>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说明：本部分所列的项目专用合同条款是对“公路工程专用合同条款”中规定必须在  项目专用合同条款中明确的内容的集中，采购人编制的“项目专用合同条款” 不限于本部分所列内容。</w:t>
      </w:r>
    </w:p>
    <w:p w14:paraId="46068140">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4.1承包人的一般义务</w:t>
      </w:r>
    </w:p>
    <w:p w14:paraId="6D71ACD3">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4.1.10 其他义务</w:t>
      </w:r>
    </w:p>
    <w:p w14:paraId="28F97DE1">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（4）承包人应履行的其他义务：</w:t>
      </w:r>
      <w:r>
        <w:rPr>
          <w:rFonts w:hint="eastAsia" w:ascii="宋体" w:hAnsi="宋体" w:eastAsia="宋体" w:cs="宋体"/>
          <w:color w:val="auto"/>
          <w:szCs w:val="21"/>
          <w:highlight w:val="none"/>
          <w:u w:val="single"/>
        </w:rPr>
        <w:t>除项目专用合同条款另有约定外，临时占地的租地费用实行总额包干，列入工程量清单第 100 章中由承包人按总额报价。编制招标清单时，应把该项列入招标清单。</w:t>
      </w:r>
    </w:p>
    <w:p w14:paraId="22E7D571">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4.6承包人人员的管理</w:t>
      </w:r>
    </w:p>
    <w:p w14:paraId="72529466">
      <w:pPr>
        <w:pageBreakBefore w:val="0"/>
        <w:widowControl w:val="0"/>
        <w:tabs>
          <w:tab w:val="left" w:pos="1080"/>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（增加）4.6.6 项目经理、总工每月驻现场的时间应不少于22天，因故需离开工地应得到业主、监理工程师的许可，否则将按第22.1款视为承包人违约。</w:t>
      </w:r>
    </w:p>
    <w:p w14:paraId="683E8488">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承包人安排在施工场地的主要管理人员和技术骨干人员每月驻现场的时间应不少于22天，除非经业主、监理工程师同意，否则将按第22.1款视为承包人违约。</w:t>
      </w:r>
    </w:p>
    <w:p w14:paraId="72A81C52">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4.11不利物质条件</w:t>
      </w:r>
    </w:p>
    <w:p w14:paraId="38E41312">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4.11.1不利物质条件的范围：</w:t>
      </w:r>
      <w:r>
        <w:rPr>
          <w:rFonts w:hint="eastAsia" w:ascii="宋体" w:hAnsi="宋体" w:eastAsia="宋体" w:cs="宋体"/>
          <w:color w:val="auto"/>
          <w:szCs w:val="21"/>
          <w:highlight w:val="none"/>
          <w:u w:val="single"/>
        </w:rPr>
        <w:t xml:space="preserve">  按通用条款内容    </w:t>
      </w:r>
    </w:p>
    <w:p w14:paraId="27C220F5">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10.1 合同进度计划</w:t>
      </w:r>
    </w:p>
    <w:p w14:paraId="437B531D">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承包人编制施工方案的内容：</w:t>
      </w:r>
      <w:r>
        <w:rPr>
          <w:rFonts w:hint="eastAsia" w:ascii="宋体" w:hAnsi="宋体" w:eastAsia="宋体" w:cs="宋体"/>
          <w:color w:val="auto"/>
          <w:szCs w:val="21"/>
          <w:highlight w:val="none"/>
          <w:u w:val="single"/>
        </w:rPr>
        <w:t xml:space="preserve"> 承包人应在签订合同协议书后 7 天内，向监理人提交 2 份其格式和内容符合监理人规定的工程进度计划，以及为完成该计划而建议采用的实施性的施工安排和施工方案的说明。监理人应在收到该计划后 7 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39394D36">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11.4异常恶劣的气候条件</w:t>
      </w:r>
    </w:p>
    <w:p w14:paraId="060DF366">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异常恶劣的气候条件的范围：</w:t>
      </w:r>
      <w:r>
        <w:rPr>
          <w:rFonts w:hint="eastAsia" w:ascii="宋体" w:hAnsi="宋体" w:eastAsia="宋体" w:cs="宋体"/>
          <w:color w:val="auto"/>
          <w:szCs w:val="21"/>
          <w:highlight w:val="none"/>
          <w:u w:val="single"/>
        </w:rPr>
        <w:t>异常恶劣的气候条件，对本项目而言，指发生烈度7度（含7度）以上地震、龙卷风、施工场地受淹超过业主提供的设计图纸指明的设计洪水水位引起的延误的情况。</w:t>
      </w:r>
    </w:p>
    <w:p w14:paraId="485663FA">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12.1承包人暂停施工的责任</w:t>
      </w:r>
    </w:p>
    <w:p w14:paraId="46DDB4A0">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12.1（6）由承包人承担的其他暂停施工：</w:t>
      </w:r>
      <w:r>
        <w:rPr>
          <w:rFonts w:hint="eastAsia" w:ascii="宋体" w:hAnsi="宋体" w:eastAsia="宋体" w:cs="宋体"/>
          <w:color w:val="auto"/>
          <w:szCs w:val="21"/>
          <w:highlight w:val="none"/>
          <w:u w:val="single"/>
        </w:rPr>
        <w:t xml:space="preserve">      /          </w:t>
      </w:r>
    </w:p>
    <w:p w14:paraId="3B917340">
      <w:pPr>
        <w:pageBreakBefore w:val="0"/>
        <w:widowControl w:val="0"/>
        <w:tabs>
          <w:tab w:val="left" w:pos="1080"/>
        </w:tabs>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13.3承包人的质量检查</w:t>
      </w:r>
    </w:p>
    <w:p w14:paraId="768AEAC9">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增加内容：落实质量责任制和健全质量保证体系</w:t>
      </w:r>
    </w:p>
    <w:p w14:paraId="57CF80B9">
      <w:pPr>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(1)分项施工现场应实行标示牌管理，写明作业内容、项目质量管理责任人(施工作业管理专业工程师、试验、测量、质检工程师、总工、项目经理及监理工程师及现场监理)和质量管理举报电话； </w:t>
      </w:r>
    </w:p>
    <w:p w14:paraId="68F59252">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（2）认真执行三检制度：</w:t>
      </w:r>
    </w:p>
    <w:p w14:paraId="1BF29462">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施工作业管理的专业工程师在测量、试验工程师配合下完成施工自检并作施工记录（工艺及原材料使用等）；</w:t>
      </w:r>
    </w:p>
    <w:p w14:paraId="7A45389E">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质检工程师在测量、试验工程师配合下加强中间质量检测，严格控制工序质量，及时完成工序、分项完工检验并提交质量检验记录，收集工序、分项资料与检验申请经项目总工签认后报送监理工程师。</w:t>
      </w:r>
    </w:p>
    <w:p w14:paraId="3777B81B">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试验、测量工程师根据施工质检需要完成试验与测量作业并及时交检验结果报告专业工程师、质检工程师。</w:t>
      </w:r>
    </w:p>
    <w:p w14:paraId="2A20E628">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保证质量责任制的落实，必须做到“三个到位”、“三个同时”，即：质量管理人员到位，检测工具到位，记录表格到位；施工作业与专业工程师质量检查、检验同时，承包人质量检验工程师、监理的检验与施工作业同时，检查、检验与记录同时。</w:t>
      </w:r>
    </w:p>
    <w:p w14:paraId="2D196871">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(3)质量管理记录的原始记录包括作业记录、测量记录、试验记录、检验记录及验收记录，地基、基础、填挖交界碾压，墙台背回填等隐蔽工程应摄象或照相作为现场记录保存。</w:t>
      </w:r>
    </w:p>
    <w:p w14:paraId="157B6933">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(4)加强对质量通病的预防与治理，减少工程质量隐患。</w:t>
      </w:r>
    </w:p>
    <w:p w14:paraId="040F2E15">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(5)承包人应加强工程进度计划管理，努力实现均衡组织施工的目标。</w:t>
      </w:r>
    </w:p>
    <w:p w14:paraId="0F894AAF">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a.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关键工程及分项应有独立详细的施工组织设计，并采取措施确保落实。</w:t>
      </w:r>
    </w:p>
    <w:p w14:paraId="132DAE5A">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b.路面碎石材料的采备至少应与路基施工进度同步。</w:t>
      </w:r>
    </w:p>
    <w:p w14:paraId="3CB2156A">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(7)承包人应加强文明施工，保障道路通畅的管理</w:t>
      </w:r>
    </w:p>
    <w:p w14:paraId="1318ECFE">
      <w:pPr>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a.承包人在施工期内应按国家、交通主管部门与公路管理机构文明施工，保障畅通的有关规定组织施工，对出现的交通堵塞无条件地采取措施进行疏通。</w:t>
      </w:r>
    </w:p>
    <w:p w14:paraId="527C09A1">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b 旧路改建工程项目</w:t>
      </w:r>
    </w:p>
    <w:p w14:paraId="41775298">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(i)破坏旧路必须作出交通维持与恢复路面通行条件方案并必须取得监理工程师与业主的批准，未经批准进行旧路开挖与填筑的，业主和监理工程师 有权责令停工，并由承包人恢复原良好的通车条件，并需承担一切费用。</w:t>
      </w:r>
    </w:p>
    <w:p w14:paraId="29632F9B">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(ii)不得在道路上堆放材料或占道施工影响交通。</w:t>
      </w:r>
    </w:p>
    <w:p w14:paraId="6ECFD142">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路基、路面施工应避免出现晴天扬尘，雨天打滑影响安全与交通和影响群众生活、生产的现象。维持交通的路基施工应保证表面平整，保证通畅。</w:t>
      </w:r>
    </w:p>
    <w:p w14:paraId="4CA241D1">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(8)承包人应自觉接受交通主管部门、质量监督单位、公路管理机构的监督，对指出的问题进行认真的整改，及时报告处理结果。</w:t>
      </w:r>
    </w:p>
    <w:p w14:paraId="6B6EEFCE">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在整个施工过程中，监理工程师、业主对承包人履行责任有权进行监督，并向承包人提出整改要求。承包人应认真履行责任，执行业主、监理工程师的指令，否则将按第22.1款视为承包人违约。</w:t>
      </w:r>
    </w:p>
    <w:p w14:paraId="6899ECB9">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17.3 工程进度付款</w:t>
      </w:r>
    </w:p>
    <w:p w14:paraId="661EF50A">
      <w:pPr>
        <w:wordWrap w:val="0"/>
        <w:topLinePunct/>
        <w:spacing w:line="360" w:lineRule="auto"/>
        <w:ind w:firstLine="400"/>
        <w:rPr>
          <w:rFonts w:ascii="宋体" w:hAnsi="宋体" w:cs="宋体"/>
          <w:color w:val="auto"/>
          <w:szCs w:val="21"/>
          <w:highlight w:val="none"/>
        </w:rPr>
      </w:pPr>
      <w:r>
        <w:rPr>
          <w:rFonts w:hint="eastAsia" w:ascii="宋体" w:hAnsi="宋体" w:cs="宋体"/>
          <w:color w:val="auto"/>
          <w:szCs w:val="21"/>
          <w:highlight w:val="none"/>
        </w:rPr>
        <w:t>17.3.5 农民工工资保障金的缴存时间：</w:t>
      </w:r>
      <w:r>
        <w:rPr>
          <w:rFonts w:hint="eastAsia" w:ascii="宋体" w:hAnsi="宋体" w:cs="宋体"/>
          <w:color w:val="auto"/>
          <w:szCs w:val="21"/>
          <w:highlight w:val="none"/>
          <w:u w:val="single"/>
        </w:rPr>
        <w:t>领取中标通知书之日起</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天内</w:t>
      </w:r>
    </w:p>
    <w:p w14:paraId="6E807E7F">
      <w:pPr>
        <w:wordWrap w:val="0"/>
        <w:topLinePunct/>
        <w:spacing w:line="360" w:lineRule="auto"/>
        <w:ind w:firstLine="371" w:firstLineChars="177"/>
        <w:rPr>
          <w:rFonts w:ascii="宋体" w:hAnsi="宋体" w:cs="宋体"/>
          <w:color w:val="auto"/>
          <w:szCs w:val="21"/>
          <w:highlight w:val="none"/>
        </w:rPr>
      </w:pPr>
      <w:r>
        <w:rPr>
          <w:rFonts w:hint="eastAsia" w:ascii="宋体" w:hAnsi="宋体" w:cs="宋体"/>
          <w:color w:val="auto"/>
          <w:szCs w:val="21"/>
          <w:highlight w:val="none"/>
        </w:rPr>
        <w:t>农民工工资保障金的缴存金额：</w:t>
      </w:r>
      <w:r>
        <w:rPr>
          <w:rFonts w:hint="eastAsia" w:ascii="宋体" w:hAnsi="宋体" w:cs="宋体"/>
          <w:color w:val="auto"/>
          <w:szCs w:val="21"/>
          <w:highlight w:val="none"/>
          <w:u w:val="single"/>
        </w:rPr>
        <w:t>2%签约合同价</w:t>
      </w:r>
    </w:p>
    <w:p w14:paraId="175420D1">
      <w:pPr>
        <w:wordWrap w:val="0"/>
        <w:topLinePunct/>
        <w:spacing w:line="360" w:lineRule="auto"/>
        <w:ind w:firstLine="371" w:firstLineChars="177"/>
        <w:rPr>
          <w:rFonts w:ascii="宋体" w:hAnsi="宋体" w:cs="宋体"/>
          <w:color w:val="auto"/>
          <w:szCs w:val="21"/>
          <w:highlight w:val="none"/>
        </w:rPr>
      </w:pPr>
      <w:r>
        <w:rPr>
          <w:rFonts w:hint="eastAsia" w:ascii="宋体" w:hAnsi="宋体" w:cs="宋体"/>
          <w:color w:val="auto"/>
          <w:szCs w:val="21"/>
          <w:highlight w:val="none"/>
        </w:rPr>
        <w:t>农民工工资保障金的扣留条件：</w:t>
      </w:r>
      <w:r>
        <w:rPr>
          <w:rFonts w:hint="eastAsia" w:ascii="宋体" w:hAnsi="宋体" w:cs="宋体"/>
          <w:color w:val="auto"/>
          <w:szCs w:val="21"/>
          <w:highlight w:val="none"/>
          <w:u w:val="single"/>
        </w:rPr>
        <w:t>一旦承包人出现拖欠工程款导致无法按时足额支付农民工工资时。</w:t>
      </w:r>
    </w:p>
    <w:p w14:paraId="6C9AC137">
      <w:pPr>
        <w:wordWrap w:val="0"/>
        <w:topLinePunct/>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农民工工资保障金的返还时间：</w:t>
      </w:r>
      <w:r>
        <w:rPr>
          <w:rFonts w:hint="eastAsia" w:ascii="宋体" w:hAnsi="宋体" w:cs="宋体"/>
          <w:color w:val="auto"/>
          <w:szCs w:val="21"/>
          <w:highlight w:val="none"/>
          <w:u w:val="single"/>
        </w:rPr>
        <w:t>工程交工验收后。</w:t>
      </w:r>
      <w:bookmarkStart w:id="465" w:name="page159"/>
      <w:bookmarkEnd w:id="465"/>
      <w:r>
        <w:rPr>
          <w:rFonts w:hint="eastAsia" w:ascii="宋体" w:hAnsi="宋体" w:cs="宋体"/>
          <w:color w:val="auto"/>
          <w:szCs w:val="21"/>
          <w:highlight w:val="none"/>
        </w:rPr>
        <w:t>　　</w:t>
      </w:r>
    </w:p>
    <w:p w14:paraId="59378488">
      <w:pPr>
        <w:wordWrap w:val="0"/>
        <w:topLinePunct/>
        <w:spacing w:line="360" w:lineRule="auto"/>
        <w:ind w:left="191" w:leftChars="91" w:firstLine="210" w:firstLineChars="100"/>
        <w:rPr>
          <w:rFonts w:ascii="宋体" w:hAnsi="宋体" w:cs="宋体"/>
          <w:color w:val="auto"/>
          <w:szCs w:val="21"/>
          <w:highlight w:val="none"/>
        </w:rPr>
      </w:pPr>
      <w:r>
        <w:rPr>
          <w:rFonts w:hint="eastAsia" w:ascii="宋体" w:hAnsi="宋体" w:cs="宋体"/>
          <w:color w:val="auto"/>
          <w:szCs w:val="21"/>
          <w:highlight w:val="none"/>
        </w:rPr>
        <w:t>17.4.1补充：</w:t>
      </w:r>
    </w:p>
    <w:p w14:paraId="6E9DECEF">
      <w:pPr>
        <w:wordWrap w:val="0"/>
        <w:topLinePunct/>
        <w:spacing w:line="360" w:lineRule="auto"/>
        <w:ind w:firstLine="371" w:firstLineChars="177"/>
        <w:rPr>
          <w:rFonts w:hint="eastAsia" w:ascii="宋体" w:hAnsi="宋体" w:eastAsia="宋体" w:cs="宋体"/>
          <w:b/>
          <w:color w:val="auto"/>
          <w:szCs w:val="21"/>
          <w:highlight w:val="none"/>
        </w:rPr>
      </w:pPr>
      <w:r>
        <w:rPr>
          <w:rFonts w:hint="eastAsia" w:ascii="宋体" w:hAnsi="宋体" w:cs="宋体"/>
          <w:color w:val="auto"/>
          <w:szCs w:val="21"/>
          <w:highlight w:val="none"/>
          <w:u w:val="single"/>
        </w:rPr>
        <w:t>质量保证金缴纳方式：交工验收完成结算审计后，发包人支付工程款至经审计的结算价的9</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%，扣留</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%作为质量保证金。</w:t>
      </w:r>
    </w:p>
    <w:p w14:paraId="1134FC06">
      <w:pPr>
        <w:pageBreakBefore w:val="0"/>
        <w:widowControl w:val="0"/>
        <w:tabs>
          <w:tab w:val="left" w:pos="1080"/>
        </w:tabs>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18.3 验收</w:t>
      </w:r>
    </w:p>
    <w:p w14:paraId="748498CA">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18.3.7 （增加）组织办理交工验收和签发交工证书的费用由承包人承担，其费用包含在相关单价或总额价中，业主不单独另外计量与支付。</w:t>
      </w:r>
    </w:p>
    <w:p w14:paraId="749B33F6">
      <w:pPr>
        <w:pageBreakBefore w:val="0"/>
        <w:widowControl w:val="0"/>
        <w:tabs>
          <w:tab w:val="left" w:pos="1080"/>
        </w:tabs>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18.9竣工文件</w:t>
      </w:r>
    </w:p>
    <w:p w14:paraId="5E5166B4">
      <w:pPr>
        <w:pageBreakBefore w:val="0"/>
        <w:widowControl w:val="0"/>
        <w:kinsoku/>
        <w:wordWrap/>
        <w:overflowPunct/>
        <w:topLinePunct w:val="0"/>
        <w:autoSpaceDE/>
        <w:autoSpaceDN/>
        <w:bidi w:val="0"/>
        <w:adjustRightInd/>
        <w:spacing w:line="360" w:lineRule="auto"/>
        <w:textAlignment w:val="auto"/>
        <w:rPr>
          <w:rFonts w:hint="default" w:ascii="宋体" w:hAnsi="宋体" w:eastAsia="宋体" w:cs="宋体"/>
          <w:color w:val="auto"/>
          <w:szCs w:val="21"/>
          <w:highlight w:val="none"/>
          <w:lang w:val="en-US" w:eastAsia="zh-CN"/>
        </w:rPr>
      </w:pPr>
      <w:r>
        <w:rPr>
          <w:rFonts w:hint="eastAsia" w:ascii="宋体" w:hAnsi="宋体" w:eastAsia="宋体" w:cs="宋体"/>
          <w:b/>
          <w:color w:val="auto"/>
          <w:szCs w:val="21"/>
          <w:highlight w:val="none"/>
        </w:rPr>
        <w:t xml:space="preserve">    （增加）</w:t>
      </w:r>
      <w:r>
        <w:rPr>
          <w:rFonts w:hint="eastAsia" w:ascii="宋体" w:hAnsi="宋体" w:eastAsia="宋体" w:cs="宋体"/>
          <w:color w:val="auto"/>
          <w:szCs w:val="21"/>
          <w:highlight w:val="none"/>
        </w:rPr>
        <w:t>工程竣工文件的立卷归档按交通部《公路工程竣工文件材料立卷归档管理办法》（交办发[2001]390号）和广西壮族自治区公路管理局《广西公路网建设工程档案验收办法》（路工程函[2005]591号）执行。</w:t>
      </w:r>
      <w:r>
        <w:rPr>
          <w:rFonts w:hint="eastAsia" w:ascii="宋体" w:hAnsi="宋体" w:cs="宋体"/>
          <w:color w:val="auto"/>
          <w:szCs w:val="21"/>
          <w:highlight w:val="none"/>
          <w:lang w:val="en-US" w:eastAsia="zh-CN"/>
        </w:rPr>
        <w:t>如行业主管部门有最新政策要求的，按最新正常要求执行。</w:t>
      </w:r>
    </w:p>
    <w:p w14:paraId="28C64103">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20.1 工程保险</w:t>
      </w:r>
    </w:p>
    <w:p w14:paraId="39A4A742">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 xml:space="preserve">20.2 人员工伤事故的保险 </w:t>
      </w:r>
    </w:p>
    <w:p w14:paraId="642D5B2E">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 xml:space="preserve">20.2.1 承包人员工伤事故的保险 </w:t>
      </w:r>
    </w:p>
    <w:p w14:paraId="77E136D4">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增加内容：办理保险的一切费用均由承包人承担，并包括在工程量清单的单价及总额价中，发包人不单独支付。</w:t>
      </w:r>
    </w:p>
    <w:p w14:paraId="2C846815">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 xml:space="preserve">20.3 人身意外伤害险 </w:t>
      </w:r>
    </w:p>
    <w:p w14:paraId="0A5A8B40">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 xml:space="preserve">20.3.2 承包人应在整个施工期间为其现场机构雇用的全部人员，投保人身意外伤害险，缴纳保险费，并要求其分包人也进行此项保险。办理保险的一切费用均由承包人承担，并包括在工程量清单的单价及总额价中，发包人不单独支付。 </w:t>
      </w:r>
    </w:p>
    <w:p w14:paraId="56B0A36E">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 xml:space="preserve">其中：人身意外伤害险每位被保险人的最低保险金额为10万元人民币，附加意外伤害险医疗险的保险金额为2万元人民币，每合同段的人身意外伤害险和附加意外伤害医疗险保险费按合同价（不含该保险费）的3‰计列。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竣工验收时止。 </w:t>
      </w:r>
    </w:p>
    <w:p w14:paraId="1EF2366C">
      <w:pPr>
        <w:pStyle w:val="47"/>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施工合同签订后工程开工前 15 日，承包人必须按有关规定与保险公司签订人身意外伤害险和附加意外伤害医疗险以及其他需要投保的保险的保险合同。</w:t>
      </w:r>
    </w:p>
    <w:p w14:paraId="753746F4">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21.1不可抗力的确认</w:t>
      </w:r>
    </w:p>
    <w:p w14:paraId="259DD09D">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21.1.1（6）不可抗力的其他情形：</w:t>
      </w:r>
      <w:r>
        <w:rPr>
          <w:rFonts w:hint="eastAsia" w:ascii="宋体" w:hAnsi="宋体" w:eastAsia="宋体" w:cs="宋体"/>
          <w:color w:val="auto"/>
          <w:szCs w:val="21"/>
          <w:highlight w:val="none"/>
          <w:u w:val="single"/>
        </w:rPr>
        <w:t xml:space="preserve">  按通用条款内容   </w:t>
      </w:r>
    </w:p>
    <w:p w14:paraId="174F03AE">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22.1承包人违约</w:t>
      </w:r>
    </w:p>
    <w:p w14:paraId="6A005377">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22.1.2当承包人发生第22.1.1项约定的违约情况时，发包人有权向承包人处以违约金，具体约定如下：违约金处理：</w:t>
      </w:r>
    </w:p>
    <w:p w14:paraId="6EE44D43">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22.1.2.1有本项（1）目行为的，可对承包人处以以下的违约金。</w:t>
      </w:r>
    </w:p>
    <w:p w14:paraId="502A0D9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a．由于承包人没有履行合同规定的义务与责任，同类事件第一次被监理工程师、业主工作指令整改的处500元/次；第二次出现指令整改的处1000元/次；多次重复出现被责令整改的处5000元/次。</w:t>
      </w:r>
    </w:p>
    <w:p w14:paraId="314578C7">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b．在指令规定时间内拒不整改的同一事件被第二次及以上责令整改的处2000元/次。</w:t>
      </w:r>
    </w:p>
    <w:p w14:paraId="7462E15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22.1.2.2有本项（2）、（3）、（5）、（6）目行为的，除按合同相关条款处理外，由监理工程师发出整改工作指令，按22.1.2.1对承包人处以违约金。</w:t>
      </w:r>
    </w:p>
    <w:p w14:paraId="75E8CBC3">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22.1.2.3有本项（4）、（7）目行为的，可对承包人处以以下的违约金。</w:t>
      </w:r>
    </w:p>
    <w:p w14:paraId="75C0BD5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a．未按规定开工的，可处以1000元/天的业主延期损失偿金。</w:t>
      </w:r>
    </w:p>
    <w:p w14:paraId="40DD56B0">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b．未按指令采取措施加快进行本工程或其关键部分的施工，可处以1000元/天的业主延期损失偿金。</w:t>
      </w:r>
    </w:p>
    <w:p w14:paraId="43DBD04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c．未按均衡组织施工要求组织施工的，处每项1000元/月次。</w:t>
      </w:r>
    </w:p>
    <w:p w14:paraId="354B4598">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22.1.2.4有本项（8）目行为的，可对承包人按以下处以违约金。</w:t>
      </w:r>
    </w:p>
    <w:p w14:paraId="5BD8AF4D">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a.承包人未经业主、监理工程师同意更换人员，项目经理处2万元/次，总工（或项目总工）处1万元/次。</w:t>
      </w:r>
    </w:p>
    <w:p w14:paraId="3C4D782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w:t>
      </w:r>
      <w:r>
        <w:rPr>
          <w:rFonts w:hint="eastAsia" w:ascii="宋体" w:hAnsi="宋体" w:eastAsia="宋体" w:cs="宋体"/>
          <w:color w:val="auto"/>
          <w:spacing w:val="-6"/>
          <w:sz w:val="21"/>
          <w:szCs w:val="21"/>
          <w:highlight w:val="none"/>
        </w:rPr>
        <w:t>项目经理、总工每月驻工地不满25天，处500元/人·月，其他主要人员处200元/人·月。</w:t>
      </w:r>
    </w:p>
    <w:p w14:paraId="3B58BB64">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c.未经请假准允离开工地，经理、总工处500元/人·日，其他主要人员处100元/人·日。</w:t>
      </w:r>
    </w:p>
    <w:p w14:paraId="0B31D66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d.主要设备没有按承诺进场的处500元台/日。</w:t>
      </w:r>
    </w:p>
    <w:p w14:paraId="658AC88D">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22.1.2.4有本项（9）目行为的，可对承包人处以以下的违约金。</w:t>
      </w:r>
    </w:p>
    <w:p w14:paraId="2165C983">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a．安全生产管理</w:t>
      </w:r>
    </w:p>
    <w:p w14:paraId="2DF9D145">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（a）出现下列行为之一可处100元/（人）次。</w:t>
      </w:r>
    </w:p>
    <w:p w14:paraId="52807D7A">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Ⅰ需持证上岗人员无证上岗的；或</w:t>
      </w:r>
    </w:p>
    <w:p w14:paraId="258F648F">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Ⅱ需配戴安全防护用具作业的；或</w:t>
      </w:r>
    </w:p>
    <w:p w14:paraId="64B20781">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Ⅲ未经登记、安全培训教育上岗的。</w:t>
      </w:r>
    </w:p>
    <w:p w14:paraId="6860B6E8">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（b）出现下列行为之一可处300元/处次。</w:t>
      </w:r>
    </w:p>
    <w:p w14:paraId="12A13FAC">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Ⅰ无专职安全检查人员；或</w:t>
      </w:r>
    </w:p>
    <w:p w14:paraId="2B4E54AB">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Ⅱ无安全生产检查日志；或</w:t>
      </w:r>
    </w:p>
    <w:p w14:paraId="7ABF77C2">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Ⅲ作业点或危险施工路段安全标志不全；或</w:t>
      </w:r>
    </w:p>
    <w:p w14:paraId="2DE179BB">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Ⅳ安全标志（牌）、线（绳）不符国家规定的；或</w:t>
      </w:r>
    </w:p>
    <w:p w14:paraId="7DBC3DE8">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Ⅴ易燃易爆物品管理不符合管理要求。</w:t>
      </w:r>
    </w:p>
    <w:p w14:paraId="20753E2F">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（c）出现下列行为之一可处500元/处次。</w:t>
      </w:r>
    </w:p>
    <w:p w14:paraId="011A1D1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Ⅰ施工作业点或施工形成的危险路段无规定的安全标志；或</w:t>
      </w:r>
    </w:p>
    <w:p w14:paraId="67DA2030">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Ⅱ需设安全防护设施的未按规定设置；或</w:t>
      </w:r>
    </w:p>
    <w:p w14:paraId="61EC3837">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Ⅲ出现一般安全生事故负有责任的；或</w:t>
      </w:r>
    </w:p>
    <w:p w14:paraId="37C1121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Ⅳ发生重大安全事故不按规定报告的。</w:t>
      </w:r>
    </w:p>
    <w:p w14:paraId="4F613132">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（d）出现下列行为之一可处5000元/处次。</w:t>
      </w:r>
    </w:p>
    <w:p w14:paraId="3829442E">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出现重大安全生产事故负有责任的。</w:t>
      </w:r>
    </w:p>
    <w:p w14:paraId="7C6B75C4">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22.1.2.5有本项(10)目违反合同专用条款规定的其他重要规定，可对承包人处以以下的违约金。</w:t>
      </w:r>
    </w:p>
    <w:p w14:paraId="3BE8C692">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a.质量管理</w:t>
      </w:r>
    </w:p>
    <w:p w14:paraId="39B8B6F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(a)出现下列行为之一可处100元/（人）次。</w:t>
      </w:r>
    </w:p>
    <w:p w14:paraId="4981029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 分项工程施工现场无合格的施工责任牌；或</w:t>
      </w:r>
    </w:p>
    <w:p w14:paraId="39893318">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 分项工程施工现场无其相关责任人；或</w:t>
      </w:r>
    </w:p>
    <w:p w14:paraId="4B2F0ECB">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 施工现场无基本的检测检验工具；或</w:t>
      </w:r>
    </w:p>
    <w:p w14:paraId="4F08D9BB">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 施工现场相关责任人无检查检验记录表；或</w:t>
      </w:r>
    </w:p>
    <w:p w14:paraId="77AAD2CD">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Ⅴ 现场已完成工作无检查记录。</w:t>
      </w:r>
    </w:p>
    <w:p w14:paraId="2E643C7E">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（b）出现以下行为之一，可处500元/次。</w:t>
      </w:r>
    </w:p>
    <w:p w14:paraId="47B20EEC">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Ⅰ未按工序申请检验进入下一道工序的；或</w:t>
      </w:r>
    </w:p>
    <w:p w14:paraId="41A39A0A">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Ⅱ隐蔽工程记录文件不全；或</w:t>
      </w:r>
    </w:p>
    <w:p w14:paraId="3768FE68">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Ⅲ施工试验检验频率不符合施工规范规定；或</w:t>
      </w:r>
    </w:p>
    <w:p w14:paraId="1481EFC5">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Ⅳ分项工程质量自检验收检验频率不符合质量评定标准规定的。</w:t>
      </w:r>
    </w:p>
    <w:p w14:paraId="4AE87EE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（c）出现以下行为之一，可处1000元/次。</w:t>
      </w:r>
    </w:p>
    <w:p w14:paraId="095074A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Ⅰ出现质量问题，且承包人负有直接责任的，或不能证明其履行其职责的。或</w:t>
      </w:r>
    </w:p>
    <w:p w14:paraId="42D24DEB">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Ⅱ发生质量事故，未按有关规定和时间向有关部门报告的；</w:t>
      </w:r>
    </w:p>
    <w:p w14:paraId="5C4CB744">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Ⅲ已经施工完成的工程没有按竣工文件收集归档管理办法要求依分项工程、工序将施工作业记录、测量记录、试验检测记录及工序报验审批记录等收集归档。</w:t>
      </w:r>
    </w:p>
    <w:p w14:paraId="1466FE3D">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 ）出现以下行为之一，可处3000元/次。</w:t>
      </w:r>
    </w:p>
    <w:p w14:paraId="5642BDC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Ⅰ施工单位不接受质监机构监督；或</w:t>
      </w:r>
    </w:p>
    <w:p w14:paraId="36017684">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Ⅱ出现二、三级一般质量事故，且承包人负有直接责任，或不能证明其履行其职责的；或</w:t>
      </w:r>
    </w:p>
    <w:p w14:paraId="2D1F836F">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Ⅲ构造物、中小型预制构件等一次单点实体抽查合格率为50%—75%的；或</w:t>
      </w:r>
    </w:p>
    <w:p w14:paraId="03AF6AA6">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Ⅳ使用主要材料（钢筋、水泥、沥青、碎石、砂、砂砾等）不合格的。或</w:t>
      </w:r>
    </w:p>
    <w:p w14:paraId="1DA2AB01">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Ⅴ已经施工完成的工程无法提供按竣工文件收集归档管理办法要求应收集的分项工程、工序的施工作业记录、测量记录、试验检测记录及工序报验审批记录等质量管理文件的。</w:t>
      </w:r>
    </w:p>
    <w:p w14:paraId="22C77E03">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（e）出现以下行为之一，可处5000元/次。</w:t>
      </w:r>
    </w:p>
    <w:p w14:paraId="0AD45043">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Ⅰ发生一级一般质量事故或重大质量事故，且承包人负有直接责任，或不能证明其履行其职责的；或 </w:t>
      </w:r>
    </w:p>
    <w:p w14:paraId="154FBFDB">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Ⅱ构造物、中小型预制构件等一次单点实体抽查合格率小于50%的；或</w:t>
      </w:r>
    </w:p>
    <w:p w14:paraId="33C86689">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Ⅲ未按要求进行自检，弄虚作假、捏造数据、伪造试验报告的。</w:t>
      </w:r>
    </w:p>
    <w:p w14:paraId="24C3E1CD">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（f）因质量问题被地市级及以上交通主管部门、质量监督单位、公路管理机构通报（批评）的，可对承包人处以10000元违约金，红牌警告5000元，黄牌警告3000元。</w:t>
      </w:r>
    </w:p>
    <w:p w14:paraId="376F8DD2">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b．文明施工与环境保护，交通通畅</w:t>
      </w:r>
    </w:p>
    <w:p w14:paraId="27D6C218">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（a）由于施工原因造成污染、破坏被群众向政府、主管单位投诉或被环保、水利部门责令整改的，处1000元/次。</w:t>
      </w:r>
    </w:p>
    <w:p w14:paraId="69B82AFF">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（b）其他重要规定违约处理</w:t>
      </w:r>
    </w:p>
    <w:p w14:paraId="07683072">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有下列行为之一的处500元/人次违约金并责令承包人进行整改。</w:t>
      </w:r>
    </w:p>
    <w:p w14:paraId="58828081">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劳务人员未按规定签订聘用合同并向业主、监理工程师报备；或</w:t>
      </w:r>
    </w:p>
    <w:p w14:paraId="5446E002">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b)、签订的劳务合同不符合劳动法等法规要求；或</w:t>
      </w:r>
    </w:p>
    <w:p w14:paraId="11AC68C0">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c)、务人员未编入承包人施工班组，并持项目经理签发的劳务上岗证上岗。</w:t>
      </w:r>
    </w:p>
    <w:p w14:paraId="0D4B6B9F">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22.1.3上述被处的违约金在计量支付时从履约担保金中扣除，当扣除额达履约担保金总额30%时，承包人无条件进行足额补充。</w:t>
      </w:r>
    </w:p>
    <w:p w14:paraId="052520F0">
      <w:pPr>
        <w:pStyle w:val="16"/>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22.1.4业主（项目法人）按合同进行违约处理后，并不解除承包人按照国家法规与合同应承担的责任与义务。</w:t>
      </w:r>
    </w:p>
    <w:p w14:paraId="3D2A8836">
      <w:pPr>
        <w:pageBreakBefore w:val="0"/>
        <w:widowControl w:val="0"/>
        <w:tabs>
          <w:tab w:val="left" w:pos="3193"/>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25.其它（增加）</w:t>
      </w:r>
    </w:p>
    <w:p w14:paraId="2DE0D491">
      <w:pPr>
        <w:pageBreakBefore w:val="0"/>
        <w:widowControl w:val="0"/>
        <w:tabs>
          <w:tab w:val="left" w:pos="7200"/>
          <w:tab w:val="left" w:pos="7380"/>
          <w:tab w:val="left" w:pos="7560"/>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color w:val="auto"/>
          <w:kern w:val="1"/>
          <w:szCs w:val="21"/>
          <w:highlight w:val="none"/>
        </w:rPr>
      </w:pPr>
      <w:r>
        <w:rPr>
          <w:rFonts w:hint="eastAsia" w:ascii="宋体" w:hAnsi="宋体" w:eastAsia="宋体" w:cs="宋体"/>
          <w:b/>
          <w:bCs/>
          <w:color w:val="auto"/>
          <w:szCs w:val="21"/>
          <w:highlight w:val="none"/>
        </w:rPr>
        <w:t>25.1（增加）承包人应严格按照《中华人民共和国农业法》、《中华人民共和国土地管理法》、《基本农田保护条例》等的规定占用或使用土地，切实保护耕地，承包人的临时用地应作好复耕、绿化、地质灾害防护或恢复至使用状态。同时，在工程施工中，依据国家和地方有关环境的法律法规和文件、环境影响报告书、有关技术规范及设计文件等，在生态保护、水土保持、地质灾害防治、绿化、污染物防治等方面执行有关环境规定。对承包人违反耕地保护和环境保护的相关规定的，监理工程师有权作出指令要求承包人进行整改或修复并监理工程师满意，若承包人不执行监理工程师指令的，监理工程师有权中止支付或另行处理，所发生费用由承包人承担。</w:t>
      </w:r>
    </w:p>
    <w:p w14:paraId="012914B8">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highlight w:val="none"/>
        </w:rPr>
        <w:sectPr>
          <w:footerReference r:id="rId9" w:type="default"/>
          <w:footerReference r:id="rId10" w:type="even"/>
          <w:pgSz w:w="11910" w:h="16850"/>
          <w:pgMar w:top="1480" w:right="1200" w:bottom="1080" w:left="1220" w:header="883" w:footer="884" w:gutter="0"/>
          <w:cols w:space="720" w:num="1"/>
        </w:sectPr>
      </w:pPr>
    </w:p>
    <w:p w14:paraId="7BDFDEF6">
      <w:pPr>
        <w:pStyle w:val="3"/>
        <w:pageBreakBefore w:val="0"/>
        <w:numPr>
          <w:ilvl w:val="0"/>
          <w:numId w:val="12"/>
        </w:numPr>
        <w:kinsoku/>
        <w:overflowPunct/>
        <w:topLinePunct w:val="0"/>
        <w:autoSpaceDE/>
        <w:autoSpaceDN/>
        <w:bidi w:val="0"/>
        <w:adjustRightInd w:val="0"/>
        <w:snapToGrid w:val="0"/>
        <w:spacing w:before="0" w:after="0" w:line="360" w:lineRule="auto"/>
        <w:jc w:val="center"/>
        <w:textAlignment w:val="auto"/>
        <w:rPr>
          <w:rFonts w:hint="eastAsia" w:ascii="宋体" w:hAnsi="宋体" w:eastAsia="宋体" w:cs="宋体"/>
          <w:color w:val="auto"/>
          <w:highlight w:val="none"/>
        </w:rPr>
      </w:pPr>
      <w:bookmarkStart w:id="466" w:name="_Toc24988"/>
      <w:bookmarkStart w:id="467" w:name="_Toc122424486"/>
      <w:bookmarkStart w:id="468" w:name="_Toc16394"/>
      <w:bookmarkStart w:id="469" w:name="_Toc122424237"/>
      <w:r>
        <w:rPr>
          <w:rFonts w:hint="eastAsia" w:ascii="宋体" w:hAnsi="宋体" w:eastAsia="宋体" w:cs="宋体"/>
          <w:color w:val="auto"/>
          <w:highlight w:val="none"/>
        </w:rPr>
        <w:t>合同附件格式</w:t>
      </w:r>
      <w:bookmarkEnd w:id="466"/>
      <w:bookmarkEnd w:id="467"/>
      <w:bookmarkEnd w:id="468"/>
      <w:bookmarkEnd w:id="469"/>
      <w:bookmarkStart w:id="470" w:name="_Toc13658"/>
      <w:bookmarkStart w:id="471" w:name="_Toc122424239"/>
      <w:bookmarkStart w:id="472" w:name="_Toc122424488"/>
    </w:p>
    <w:p w14:paraId="799B0929">
      <w:pPr>
        <w:pStyle w:val="3"/>
        <w:pageBreakBefore w:val="0"/>
        <w:numPr>
          <w:ilvl w:val="0"/>
          <w:numId w:val="0"/>
        </w:numPr>
        <w:kinsoku/>
        <w:overflowPunct/>
        <w:topLinePunct w:val="0"/>
        <w:autoSpaceDE/>
        <w:autoSpaceDN/>
        <w:bidi w:val="0"/>
        <w:adjustRightInd w:val="0"/>
        <w:snapToGrid w:val="0"/>
        <w:spacing w:before="0" w:after="0" w:line="360" w:lineRule="auto"/>
        <w:jc w:val="both"/>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附件一 成交通知书</w:t>
      </w:r>
    </w:p>
    <w:p w14:paraId="571EC51B">
      <w:pPr>
        <w:pStyle w:val="3"/>
        <w:pageBreakBefore w:val="0"/>
        <w:numPr>
          <w:ilvl w:val="0"/>
          <w:numId w:val="0"/>
        </w:numPr>
        <w:kinsoku/>
        <w:overflowPunct/>
        <w:topLinePunct w:val="0"/>
        <w:autoSpaceDE/>
        <w:autoSpaceDN/>
        <w:bidi w:val="0"/>
        <w:adjustRightInd w:val="0"/>
        <w:snapToGrid w:val="0"/>
        <w:spacing w:before="0" w:after="0" w:line="360" w:lineRule="auto"/>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w:t>
      </w:r>
      <w:r>
        <w:rPr>
          <w:rFonts w:hint="eastAsia" w:ascii="宋体" w:hAnsi="宋体" w:cs="宋体"/>
          <w:color w:val="auto"/>
          <w:highlight w:val="none"/>
          <w:lang w:val="en-US" w:eastAsia="zh-CN"/>
        </w:rPr>
        <w:t>二</w:t>
      </w:r>
      <w:r>
        <w:rPr>
          <w:rFonts w:hint="eastAsia" w:ascii="宋体" w:hAnsi="宋体" w:eastAsia="宋体" w:cs="宋体"/>
          <w:color w:val="auto"/>
          <w:highlight w:val="none"/>
        </w:rPr>
        <w:t xml:space="preserve"> 廉政合同</w:t>
      </w:r>
      <w:bookmarkEnd w:id="470"/>
      <w:bookmarkEnd w:id="471"/>
      <w:bookmarkEnd w:id="472"/>
    </w:p>
    <w:p w14:paraId="2DFFC791">
      <w:pPr>
        <w:pageBreakBefore w:val="0"/>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廉 政 合 同</w:t>
      </w:r>
    </w:p>
    <w:p w14:paraId="3827BCC7">
      <w:pPr>
        <w:pageBreakBefore w:val="0"/>
        <w:kinsoku/>
        <w:overflowPunct/>
        <w:topLinePunct w:val="0"/>
        <w:autoSpaceDE/>
        <w:autoSpaceDN/>
        <w:bidi w:val="0"/>
        <w:spacing w:line="360" w:lineRule="auto"/>
        <w:ind w:firstLine="420"/>
        <w:textAlignment w:val="auto"/>
        <w:rPr>
          <w:rFonts w:hint="eastAsia" w:ascii="宋体" w:hAnsi="宋体" w:eastAsia="宋体" w:cs="宋体"/>
          <w:color w:val="auto"/>
          <w:highlight w:val="none"/>
        </w:rPr>
      </w:pPr>
    </w:p>
    <w:p w14:paraId="1851033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（项目名称）项目法人</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（项目法人名称，以下简称“发包人”）与该项目的施工单位</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（施工单位名称，以下简称“承包人”），特订立如下合同。</w:t>
      </w:r>
    </w:p>
    <w:p w14:paraId="2B81ADC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1．发包人和承包人双方的权利和义务</w:t>
      </w:r>
    </w:p>
    <w:p w14:paraId="21D20CE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（1）严格遵守党的政策规定和国家有关法律法规及交通运输部的有关规定。</w:t>
      </w:r>
    </w:p>
    <w:p w14:paraId="3F28271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（2）严格执行</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（项目名称）施工合同文件，自觉按合同办事。</w:t>
      </w:r>
    </w:p>
    <w:p w14:paraId="3D81159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（3）双方的业务活动坚持公开、公正、诚信、透明的原则（法律认定的商业秘密和合同文件另有规定除外），不得损害国家和集体利益，不得违反工程建设管理规章制度。</w:t>
      </w:r>
    </w:p>
    <w:p w14:paraId="3131DBE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（4）建立健全廉政制度，开展廉政教育，设立廉政告示牌，公布举报电话，监督并认真查处违法违纪行为。</w:t>
      </w:r>
    </w:p>
    <w:p w14:paraId="36E9ED6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（5）发现对方在业务活动中有违反廉政规定的行为，有及时提醒对方纠正的权利和义务。</w:t>
      </w:r>
    </w:p>
    <w:p w14:paraId="5DC3E65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（6）发现对方严重违反本合同义务条款的行为，有向其上级有关部门举报、建议给予处理并要求告知处理结果的权利。</w:t>
      </w:r>
    </w:p>
    <w:p w14:paraId="1A1E126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2．发包人的义务</w:t>
      </w:r>
    </w:p>
    <w:p w14:paraId="783FD81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（1）发包人及其工作人员不得索要或接受承包人的礼金、有价证券和贵重物品，不得让承包人报销任何应由发包人或发包人工作人员个人支付的费用等。</w:t>
      </w:r>
    </w:p>
    <w:p w14:paraId="01E759A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（2）发包人工作人员不得参加承包人安排的超标准宴请和娱乐活动；不得接受承包人提供的通讯工具、交通工具和高档办公用品等。</w:t>
      </w:r>
    </w:p>
    <w:p w14:paraId="4990945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（3）发包人及其工作人员不得要求或者接受承包人为其住房装修、婚丧嫁娶活动、配偶子女的工作安排以及出国出境、旅游等提供方便等。</w:t>
      </w:r>
    </w:p>
    <w:p w14:paraId="5C8B575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（4）发包人工作人员及其配偶、子女不得从事与发包人工作有关的材料设备供应、工程分包、劳务等经济活动等。</w:t>
      </w:r>
    </w:p>
    <w:p w14:paraId="05F5090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（5）发包人及其工作人员不得以任何理由向承包人推荐分包单位或推销材料，不得要求承包人购买合同规定外的材料和设备。</w:t>
      </w:r>
    </w:p>
    <w:p w14:paraId="374E017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（6）发包人工作人员要秉公办事，不准营私舞弊，不准利用职权从事各种个人有偿中介活动和安排个人施工队伍。</w:t>
      </w:r>
    </w:p>
    <w:p w14:paraId="582486B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3．承包人的义务</w:t>
      </w:r>
    </w:p>
    <w:p w14:paraId="09EF5C0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（1）承包人不得以任何理由向发包人及其工作人员行贿或馈赠礼金、有价证券、贵重礼品。</w:t>
      </w:r>
    </w:p>
    <w:p w14:paraId="2AB1E0C2">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（2）承包人不得以任何名义为发包人及其工作人员报销应由发包人单位或个人支付的任何费用。</w:t>
      </w:r>
    </w:p>
    <w:p w14:paraId="262D3252">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（3）承包人不得以任何理由安排发包人工作人员参加超标准宴请及娱乐活动。</w:t>
      </w:r>
    </w:p>
    <w:p w14:paraId="656A68F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（4）承包人不得为发包人单位和个人购置或提供通讯工具、交通工具和高档办公用品等。</w:t>
      </w:r>
    </w:p>
    <w:p w14:paraId="52A8427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4．违约责任</w:t>
      </w:r>
    </w:p>
    <w:p w14:paraId="74AF740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（1）发包人及其工作人员违反本合同第1、2条，按管理权限，依据有关规定给予党纪、政纪或组织处理；涉嫌犯罪的，移交司法院追究刑事责任；给承包人单位造成经济损失的，应予以赔偿。</w:t>
      </w:r>
    </w:p>
    <w:p w14:paraId="12830DF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7C7BD0CC">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07B7B5C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6.本合同有效期为发包人和承包人签署之日起至该工程项目竣工验收后止。</w:t>
      </w:r>
    </w:p>
    <w:p w14:paraId="35199B6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7．本合同作为</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（项目名称）施工合同的附件，与工程施工合同具有同等的法律效力，经合同双方签署后立即生效。</w:t>
      </w:r>
    </w:p>
    <w:p w14:paraId="6BBCF54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8．本合同一式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份，由发包人和承包人各执</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w:t>
      </w:r>
    </w:p>
    <w:p w14:paraId="4A731B6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0D8E726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发包人：（盖单位章）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承包人：（盖单位章）</w:t>
      </w:r>
    </w:p>
    <w:p w14:paraId="136ECD7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7AF4D47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法定代表人或其委托代理人：（签字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p>
    <w:p w14:paraId="25690A6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17CD959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年  月  日</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年  月  日</w:t>
      </w:r>
    </w:p>
    <w:p w14:paraId="522E132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p>
    <w:p w14:paraId="4A006326">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highlight w:val="none"/>
        </w:rPr>
      </w:pPr>
    </w:p>
    <w:p w14:paraId="08E52F6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经办人</w:t>
      </w:r>
      <w:r>
        <w:rPr>
          <w:rFonts w:hint="eastAsia" w:ascii="宋体" w:hAnsi="宋体" w:eastAsia="宋体" w:cs="宋体"/>
          <w:color w:val="auto"/>
          <w:highlight w:val="none"/>
        </w:rPr>
        <w:t>：（签字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cs="宋体"/>
          <w:color w:val="auto"/>
          <w:highlight w:val="none"/>
          <w:lang w:val="en-US" w:eastAsia="zh-CN"/>
        </w:rPr>
        <w:t xml:space="preserve">                                 经办人</w:t>
      </w:r>
      <w:r>
        <w:rPr>
          <w:rFonts w:hint="eastAsia" w:ascii="宋体" w:hAnsi="宋体" w:eastAsia="宋体" w:cs="宋体"/>
          <w:color w:val="auto"/>
          <w:highlight w:val="none"/>
        </w:rPr>
        <w:t>：（签字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p>
    <w:p w14:paraId="5AB468CA">
      <w:pPr>
        <w:pageBreakBefore w:val="0"/>
        <w:kinsoku/>
        <w:overflowPunct/>
        <w:topLinePunct w:val="0"/>
        <w:autoSpaceDE/>
        <w:autoSpaceDN/>
        <w:bidi w:val="0"/>
        <w:spacing w:line="360" w:lineRule="auto"/>
        <w:textAlignment w:val="auto"/>
        <w:rPr>
          <w:rFonts w:hint="eastAsia" w:ascii="宋体" w:hAnsi="宋体" w:cs="宋体"/>
          <w:color w:val="auto"/>
          <w:highlight w:val="none"/>
          <w:lang w:val="en-US" w:eastAsia="zh-CN"/>
        </w:rPr>
      </w:pPr>
    </w:p>
    <w:p w14:paraId="735006D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2F2882E6">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p>
    <w:p w14:paraId="38FC904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4B40EC0B">
      <w:pPr>
        <w:keepNext w:val="0"/>
        <w:keepLines w:val="0"/>
        <w:pageBreakBefore w:val="0"/>
        <w:kinsoku/>
        <w:wordWrap/>
        <w:overflowPunct/>
        <w:topLinePunct w:val="0"/>
        <w:autoSpaceDE/>
        <w:autoSpaceDN/>
        <w:bidi w:val="0"/>
        <w:adjustRightInd/>
        <w:snapToGrid/>
        <w:spacing w:line="360" w:lineRule="auto"/>
        <w:ind w:right="105"/>
        <w:jc w:val="right"/>
        <w:textAlignment w:val="auto"/>
        <w:rPr>
          <w:rFonts w:hint="eastAsia" w:ascii="宋体" w:hAnsi="宋体" w:eastAsia="宋体" w:cs="宋体"/>
          <w:color w:val="auto"/>
          <w:highlight w:val="none"/>
        </w:rPr>
      </w:pPr>
    </w:p>
    <w:p w14:paraId="76A556E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73" w:name="_Toc10030"/>
      <w:bookmarkStart w:id="474" w:name="_Toc122424489"/>
      <w:bookmarkStart w:id="475" w:name="_Toc122424240"/>
      <w:r>
        <w:rPr>
          <w:rFonts w:hint="eastAsia" w:ascii="宋体" w:hAnsi="宋体" w:eastAsia="宋体" w:cs="宋体"/>
          <w:b/>
          <w:bCs/>
          <w:color w:val="auto"/>
          <w:kern w:val="2"/>
          <w:sz w:val="32"/>
          <w:szCs w:val="32"/>
          <w:highlight w:val="none"/>
          <w:lang w:val="en-US" w:eastAsia="zh-CN" w:bidi="ar-SA"/>
        </w:rPr>
        <w:t>附件</w:t>
      </w:r>
      <w:r>
        <w:rPr>
          <w:rFonts w:hint="eastAsia" w:ascii="宋体" w:hAnsi="宋体" w:cs="宋体"/>
          <w:b/>
          <w:bCs/>
          <w:color w:val="auto"/>
          <w:kern w:val="2"/>
          <w:sz w:val="32"/>
          <w:szCs w:val="32"/>
          <w:highlight w:val="none"/>
          <w:lang w:val="en-US" w:eastAsia="zh-CN" w:bidi="ar-SA"/>
        </w:rPr>
        <w:t>三</w:t>
      </w:r>
      <w:r>
        <w:rPr>
          <w:rFonts w:hint="eastAsia" w:ascii="宋体" w:hAnsi="宋体" w:eastAsia="宋体" w:cs="宋体"/>
          <w:b/>
          <w:bCs/>
          <w:color w:val="auto"/>
          <w:kern w:val="2"/>
          <w:sz w:val="32"/>
          <w:szCs w:val="32"/>
          <w:highlight w:val="none"/>
          <w:lang w:val="en-US" w:eastAsia="zh-CN" w:bidi="ar-SA"/>
        </w:rPr>
        <w:t xml:space="preserve"> 安全生产合同</w:t>
      </w:r>
      <w:bookmarkEnd w:id="473"/>
      <w:bookmarkEnd w:id="474"/>
      <w:bookmarkEnd w:id="475"/>
    </w:p>
    <w:p w14:paraId="1492B52A">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安全生产合同</w:t>
      </w:r>
    </w:p>
    <w:p w14:paraId="5D307922">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为在</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（项目名称）施工合同的实施过程中创造安全、高效的施工环境，切实搞好本项目的安全管理工作，本项目发包人</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（发包人名称，以下简称“发包人”）与承包人</w:t>
      </w:r>
      <w:r>
        <w:rPr>
          <w:rFonts w:hint="eastAsia" w:ascii="宋体" w:hAnsi="宋体" w:eastAsia="宋体" w:cs="宋体"/>
          <w:b/>
          <w:bCs/>
          <w:color w:val="auto"/>
          <w:highlight w:val="none"/>
          <w:u w:val="single"/>
        </w:rPr>
        <w:t xml:space="preserve">                     </w:t>
      </w:r>
      <w:r>
        <w:rPr>
          <w:rFonts w:hint="eastAsia" w:ascii="宋体" w:hAnsi="宋体" w:eastAsia="宋体" w:cs="宋体"/>
          <w:color w:val="auto"/>
          <w:highlight w:val="none"/>
        </w:rPr>
        <w:t>（承包人名称，以下简称“承包人”）特此签订安全生产合同：</w:t>
      </w:r>
    </w:p>
    <w:p w14:paraId="1C8A720F">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1.发包人职责</w:t>
      </w:r>
    </w:p>
    <w:p w14:paraId="7A3E148C">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（1）严格遵守国家有关安全生产的法律法规，认真执行工程承包合同中的有关安全要求。</w:t>
      </w:r>
    </w:p>
    <w:p w14:paraId="789DD2AF">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（2）按照“安全第一、预防为主、综合治理”和坚持“管行业必须管安全、管业务必须管安全、管生产经营必须管安全”的原则进行安全生产管理，做到生产与安全工作同时计划、布置、检查、总结和评比。</w:t>
      </w:r>
    </w:p>
    <w:p w14:paraId="0CB80841">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（3）新建、改建、扩建工程项目等建设项目的安全设施必须坚持与主体工程“三同时”的原则，即：同时设计、同时施工、同时投入生产和使用。</w:t>
      </w:r>
    </w:p>
    <w:p w14:paraId="3D06CBDB">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（4）定期召开安全生产调度会，及时传达中央及地方有关安全生产的精神。</w:t>
      </w:r>
    </w:p>
    <w:p w14:paraId="387AF98E">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（5）组织对承包人施工现场安全生产检查，监督承包人及时处理发现的各种安全隐患。</w:t>
      </w:r>
    </w:p>
    <w:p w14:paraId="051B38EE">
      <w:pPr>
        <w:pStyle w:val="18"/>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（6）依照有关法律、法规的规定，对涉及安全生产的事项需要审查批准或者验收的，必须严格依照有关法律、法规和国家标准或者行业标准规定的安全生产条件和程序进行审查。</w:t>
      </w:r>
    </w:p>
    <w:p w14:paraId="73D9B9B7">
      <w:pPr>
        <w:pStyle w:val="18"/>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（7）不得要求接受审查、验收的单位购买其指定品牌或者指定生产、销售单位的安全设备、器材或者其他产品。</w:t>
      </w:r>
    </w:p>
    <w:p w14:paraId="0F9F10F2">
      <w:pPr>
        <w:pStyle w:val="18"/>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（8）定期或不定期对承包人执行有关安全生产的法律、法规和国家标准或者行业标准的情况进行监督检查。</w:t>
      </w:r>
    </w:p>
    <w:p w14:paraId="38F8E263">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2.承包人职责</w:t>
      </w:r>
    </w:p>
    <w:p w14:paraId="08518CD1">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50EA9E26">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坚持“安全第一、预防为主、综合治理”和“管行业必须管安全、管业务必须管安全、管生产经营必须管安全”的原则，加强安全生产宣传教育，增强全员安全生产意识，建立健全各项安全生产的管理机构和安全生产管理制度，配备专职及兼职安全检查人员，有组织有领导地开展安全生产活动，履行有关安全生产的法律、法规规定的有关安全生产义务。各级领导、工程技术人员、生产管理人员和具体操作人员，必须熟悉和遵守本合同的各项规定，做到生产与安全工作同时计划、布置、检查、总结和评比。</w:t>
      </w:r>
    </w:p>
    <w:p w14:paraId="40718A65">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461BEA21">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（4）承包人在任何时候都应采取各种合理的预防措施，防止其员工发生任何违法、违禁、暴力或妨碍治安的行为。</w:t>
      </w:r>
    </w:p>
    <w:p w14:paraId="68B2C8F5">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48A72C4">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33F4E45">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（7）操作人员上岗，必须按规定穿戴防护用品。施工负责人和安全检查员应随时检查劳动防护用品的穿戴情况，不按规定穿戴防护用品的人员不得上岗。</w:t>
      </w:r>
    </w:p>
    <w:p w14:paraId="0633F44C">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（8）所有施工机具设备和高空作业的设备均应定期检查，并有安全员的签字记录，保证其经常处于完好状态；不合格的机具、设备和劳动保护用品严禁使用：</w:t>
      </w:r>
    </w:p>
    <w:p w14:paraId="731B3352">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（9）施工中采用新技术、新工艺、新设备、新材料时，必须制定相应的安全技术措施，施工现场必须具有相关的安全标志牌。</w:t>
      </w:r>
    </w:p>
    <w:p w14:paraId="60FB349F">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A6A16B8">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（11）安全生产费用按照《公路水运工程安全生产监督管理办法》的相关规定使用和管理。</w:t>
      </w:r>
    </w:p>
    <w:p w14:paraId="0E7C7755">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（12）生产、经营、储存、使用危险物品的车间、商店、仓库不得与员工宿舍在同一座建筑物内，并应当与员工宿舍保持安全距离。</w:t>
      </w:r>
    </w:p>
    <w:p w14:paraId="1462F759">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（13）承包人进行爆破、吊装、动火、临时用电以及国务院应急管理部门会同国务院有关部门规定的其他危险作业，应当安排专门人员进行现场安全管理，确保操作规程的遵守和安全措施的落实。</w:t>
      </w:r>
    </w:p>
    <w:p w14:paraId="15E0915D">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（14）承包人应当教育和督促从业人员严格执行本单位的安全生产规章制度和安全操作规程；并向从业人员如实告知作业场所和工作岗位存在的危险因素、防范措施以及事故应急措施。</w:t>
      </w:r>
    </w:p>
    <w:p w14:paraId="5CF1B8A1">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（15）承包人应当关注从业人员的身体、心理状况和行为习惯，加强对从业人员的心理疏导、精神慰藉，严格落实岗位安全生产责任，防范从业人员行为异常导致事故发生。</w:t>
      </w:r>
    </w:p>
    <w:p w14:paraId="39C77E68">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3.违约责任</w:t>
      </w:r>
    </w:p>
    <w:p w14:paraId="3C244F99">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如因发包人或承包人违约造成安全事故，将依法追究责任。</w:t>
      </w:r>
    </w:p>
    <w:p w14:paraId="2946083B">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4.本合同由双方法定代表人或其授权的代理人签署并加盖单位公章后生效，全部工程竣工验收后失效。</w:t>
      </w:r>
    </w:p>
    <w:p w14:paraId="0C31D0CC">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5.本合同正本—式二份，副本</w:t>
      </w:r>
      <w:r>
        <w:rPr>
          <w:rFonts w:hint="eastAsia" w:ascii="宋体" w:hAnsi="宋体" w:cs="宋体"/>
          <w:color w:val="auto"/>
          <w:highlight w:val="none"/>
          <w:lang w:val="en-US" w:eastAsia="zh-CN"/>
        </w:rPr>
        <w:t>/</w:t>
      </w:r>
      <w:r>
        <w:rPr>
          <w:rFonts w:hint="eastAsia" w:ascii="宋体" w:hAnsi="宋体" w:eastAsia="宋体" w:cs="宋体"/>
          <w:color w:val="auto"/>
          <w:highlight w:val="none"/>
        </w:rPr>
        <w:t>份，合同双方各执正本—份，副本</w:t>
      </w:r>
      <w:r>
        <w:rPr>
          <w:rFonts w:hint="eastAsia" w:ascii="宋体" w:hAnsi="宋体" w:cs="宋体"/>
          <w:color w:val="auto"/>
          <w:highlight w:val="none"/>
          <w:lang w:val="en-US" w:eastAsia="zh-CN"/>
        </w:rPr>
        <w:t>/</w:t>
      </w:r>
      <w:r>
        <w:rPr>
          <w:rFonts w:hint="eastAsia" w:ascii="宋体" w:hAnsi="宋体" w:eastAsia="宋体" w:cs="宋体"/>
          <w:color w:val="auto"/>
          <w:highlight w:val="none"/>
        </w:rPr>
        <w:t>份，当正本与副本的内容不一致时，以正本为准。</w:t>
      </w:r>
    </w:p>
    <w:p w14:paraId="7D55F8C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发包人：（盖单位章）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承包人：（盖单位章）</w:t>
      </w:r>
    </w:p>
    <w:p w14:paraId="75DBD7C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法定代表人或其委托代理人：（签字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p>
    <w:p w14:paraId="368D512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ab/>
      </w:r>
      <w:r>
        <w:rPr>
          <w:rFonts w:hint="eastAsia" w:ascii="宋体" w:hAnsi="宋体" w:eastAsia="宋体" w:cs="宋体"/>
          <w:color w:val="auto"/>
          <w:highlight w:val="none"/>
        </w:rPr>
        <w:t>年  月  日</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年  月  日</w:t>
      </w:r>
    </w:p>
    <w:p w14:paraId="39F382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经办人</w:t>
      </w:r>
      <w:r>
        <w:rPr>
          <w:rFonts w:hint="eastAsia" w:ascii="宋体" w:hAnsi="宋体" w:eastAsia="宋体" w:cs="宋体"/>
          <w:color w:val="auto"/>
          <w:highlight w:val="none"/>
        </w:rPr>
        <w:t>：（签字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r>
        <w:rPr>
          <w:rFonts w:hint="eastAsia" w:ascii="宋体" w:hAnsi="宋体" w:cs="宋体"/>
          <w:color w:val="auto"/>
          <w:highlight w:val="none"/>
          <w:lang w:val="en-US" w:eastAsia="zh-CN"/>
        </w:rPr>
        <w:t xml:space="preserve">                                 经办人</w:t>
      </w:r>
      <w:r>
        <w:rPr>
          <w:rFonts w:hint="eastAsia" w:ascii="宋体" w:hAnsi="宋体" w:eastAsia="宋体" w:cs="宋体"/>
          <w:color w:val="auto"/>
          <w:highlight w:val="none"/>
        </w:rPr>
        <w:t>：（签字</w:t>
      </w:r>
      <w:r>
        <w:rPr>
          <w:rFonts w:hint="eastAsia" w:ascii="宋体" w:hAnsi="宋体" w:cs="宋体"/>
          <w:color w:val="auto"/>
          <w:highlight w:val="none"/>
          <w:lang w:val="en-US" w:eastAsia="zh-CN"/>
        </w:rPr>
        <w:t>或盖章</w:t>
      </w:r>
      <w:r>
        <w:rPr>
          <w:rFonts w:hint="eastAsia" w:ascii="宋体" w:hAnsi="宋体" w:eastAsia="宋体" w:cs="宋体"/>
          <w:color w:val="auto"/>
          <w:highlight w:val="none"/>
        </w:rPr>
        <w:t>）</w:t>
      </w:r>
    </w:p>
    <w:p w14:paraId="5532415A">
      <w:pPr>
        <w:pageBreakBefore w:val="0"/>
        <w:widowControl/>
        <w:kinsoku/>
        <w:overflowPunct/>
        <w:topLinePunct w:val="0"/>
        <w:autoSpaceDE/>
        <w:autoSpaceDN/>
        <w:bidi w:val="0"/>
        <w:spacing w:line="360" w:lineRule="auto"/>
        <w:textAlignment w:val="auto"/>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color w:val="auto"/>
          <w:highlight w:val="none"/>
        </w:rPr>
        <w:br w:type="page"/>
      </w:r>
      <w:bookmarkStart w:id="476" w:name="_Toc4526"/>
      <w:bookmarkStart w:id="477" w:name="_Toc122424490"/>
      <w:bookmarkStart w:id="478" w:name="_Toc122424241"/>
      <w:r>
        <w:rPr>
          <w:rFonts w:hint="eastAsia" w:ascii="宋体" w:hAnsi="宋体" w:eastAsia="宋体" w:cs="宋体"/>
          <w:b/>
          <w:bCs/>
          <w:color w:val="auto"/>
          <w:kern w:val="2"/>
          <w:sz w:val="32"/>
          <w:szCs w:val="32"/>
          <w:highlight w:val="none"/>
          <w:lang w:val="en-US" w:eastAsia="zh-CN" w:bidi="ar-SA"/>
        </w:rPr>
        <w:t>附件</w:t>
      </w:r>
      <w:r>
        <w:rPr>
          <w:rFonts w:hint="eastAsia" w:ascii="宋体" w:hAnsi="宋体" w:cs="宋体"/>
          <w:b/>
          <w:bCs/>
          <w:color w:val="auto"/>
          <w:kern w:val="2"/>
          <w:sz w:val="32"/>
          <w:szCs w:val="32"/>
          <w:highlight w:val="none"/>
          <w:lang w:val="en-US" w:eastAsia="zh-CN" w:bidi="ar-SA"/>
        </w:rPr>
        <w:t>四</w:t>
      </w:r>
      <w:r>
        <w:rPr>
          <w:rFonts w:hint="eastAsia" w:ascii="宋体" w:hAnsi="宋体" w:eastAsia="宋体" w:cs="宋体"/>
          <w:b/>
          <w:bCs/>
          <w:color w:val="auto"/>
          <w:kern w:val="2"/>
          <w:sz w:val="32"/>
          <w:szCs w:val="32"/>
          <w:highlight w:val="none"/>
          <w:lang w:val="en-US" w:eastAsia="zh-CN" w:bidi="ar-SA"/>
        </w:rPr>
        <w:t xml:space="preserve"> 其他管理和技术人员最低要求</w:t>
      </w:r>
      <w:bookmarkEnd w:id="476"/>
      <w:bookmarkEnd w:id="477"/>
      <w:bookmarkEnd w:id="478"/>
    </w:p>
    <w:tbl>
      <w:tblPr>
        <w:tblStyle w:val="27"/>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6"/>
        <w:gridCol w:w="2342"/>
        <w:gridCol w:w="4647"/>
      </w:tblGrid>
      <w:tr w14:paraId="0A3F5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25D7F35">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人</w:t>
            </w:r>
            <w:r>
              <w:rPr>
                <w:rFonts w:hint="eastAsia" w:ascii="宋体" w:hAnsi="宋体" w:eastAsia="宋体" w:cs="宋体"/>
                <w:color w:val="auto"/>
                <w:highlight w:val="none"/>
                <w:lang w:val="zh-CN"/>
              </w:rPr>
              <w:tab/>
            </w:r>
            <w:r>
              <w:rPr>
                <w:rFonts w:hint="eastAsia" w:ascii="宋体" w:hAnsi="宋体" w:eastAsia="宋体" w:cs="宋体"/>
                <w:color w:val="auto"/>
                <w:highlight w:val="none"/>
                <w:lang w:val="zh-CN"/>
              </w:rPr>
              <w:t>员</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6BF725A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数</w:t>
            </w:r>
            <w:r>
              <w:rPr>
                <w:rFonts w:hint="eastAsia" w:ascii="宋体" w:hAnsi="宋体" w:eastAsia="宋体" w:cs="宋体"/>
                <w:color w:val="auto"/>
                <w:highlight w:val="none"/>
                <w:lang w:val="zh-CN"/>
              </w:rPr>
              <w:tab/>
            </w:r>
            <w:r>
              <w:rPr>
                <w:rFonts w:hint="eastAsia" w:ascii="宋体" w:hAnsi="宋体" w:eastAsia="宋体" w:cs="宋体"/>
                <w:color w:val="auto"/>
                <w:highlight w:val="none"/>
                <w:lang w:val="zh-CN"/>
              </w:rPr>
              <w:t>量</w:t>
            </w: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6B604C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资 格 要 求</w:t>
            </w:r>
          </w:p>
        </w:tc>
      </w:tr>
      <w:tr w14:paraId="03494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6C4EC7BA">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39EB8525">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7A1498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7A2A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49066E65">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6275B2F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0C26FD0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EA67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03C8499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5015F4D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0AAA932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7B29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6320763E">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F7C4ED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7A20DF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16EE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4D52DC9A">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56E69EB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6F00CE63">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5E93F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432D7297">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55F189C2">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2FB82DD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FE0A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59D7AE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13CF94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60AEAAB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3619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5690F10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153C49F7">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619BB185">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4A0AE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1AB88BC">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32196F6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4B38D5B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2B10E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95406E8">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6308BF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5D656E8E">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42E2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21C64F4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5C88E9D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1804F56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6E671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42D92FD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7D008A02">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2229B5F8">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60B81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3F109E1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7DB4176A">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68C4A57E">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7F56A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77B9E0E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262327CE">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2FD85640">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11466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56" w:type="dxa"/>
            <w:tcBorders>
              <w:top w:val="single" w:color="000000" w:sz="4" w:space="0"/>
              <w:left w:val="single" w:color="000000" w:sz="4" w:space="0"/>
              <w:bottom w:val="single" w:color="000000" w:sz="4" w:space="0"/>
              <w:right w:val="single" w:color="000000" w:sz="4" w:space="0"/>
            </w:tcBorders>
            <w:noWrap w:val="0"/>
            <w:vAlign w:val="center"/>
          </w:tcPr>
          <w:p w14:paraId="0E2B228C">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3818CF00">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4647" w:type="dxa"/>
            <w:tcBorders>
              <w:top w:val="single" w:color="000000" w:sz="4" w:space="0"/>
              <w:left w:val="single" w:color="000000" w:sz="4" w:space="0"/>
              <w:bottom w:val="single" w:color="000000" w:sz="4" w:space="0"/>
              <w:right w:val="single" w:color="000000" w:sz="4" w:space="0"/>
            </w:tcBorders>
            <w:noWrap w:val="0"/>
            <w:vAlign w:val="center"/>
          </w:tcPr>
          <w:p w14:paraId="5922F720">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bl>
    <w:p w14:paraId="1F79EFF8">
      <w:pPr>
        <w:pageBreakBefore w:val="0"/>
        <w:widowControl/>
        <w:kinsoku/>
        <w:overflowPunct/>
        <w:topLinePunct w:val="0"/>
        <w:autoSpaceDE/>
        <w:autoSpaceDN/>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79" w:name="_Toc1254"/>
      <w:bookmarkStart w:id="480" w:name="_Toc122424242"/>
      <w:bookmarkStart w:id="481" w:name="_Toc122424491"/>
      <w:r>
        <w:rPr>
          <w:rFonts w:hint="eastAsia" w:ascii="宋体" w:hAnsi="宋体" w:eastAsia="宋体" w:cs="宋体"/>
          <w:b/>
          <w:bCs/>
          <w:color w:val="auto"/>
          <w:sz w:val="32"/>
          <w:szCs w:val="32"/>
          <w:highlight w:val="none"/>
        </w:rPr>
        <w:t>附件</w:t>
      </w:r>
      <w:r>
        <w:rPr>
          <w:rFonts w:hint="eastAsia" w:ascii="宋体" w:hAnsi="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 xml:space="preserve"> 主要机械设备和试验检测设备最低要求</w:t>
      </w:r>
      <w:bookmarkEnd w:id="479"/>
      <w:bookmarkEnd w:id="480"/>
      <w:bookmarkEnd w:id="481"/>
    </w:p>
    <w:tbl>
      <w:tblPr>
        <w:tblStyle w:val="27"/>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6"/>
        <w:gridCol w:w="3092"/>
        <w:gridCol w:w="1564"/>
        <w:gridCol w:w="2473"/>
      </w:tblGrid>
      <w:tr w14:paraId="7F5A8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75C0DA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设备名称</w:t>
            </w: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5019959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规格、功率及容量</w:t>
            </w: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7E98310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单位</w:t>
            </w: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52C323F7">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r>
              <w:rPr>
                <w:rFonts w:hint="eastAsia" w:ascii="宋体" w:hAnsi="宋体" w:eastAsia="宋体" w:cs="宋体"/>
                <w:color w:val="auto"/>
                <w:highlight w:val="none"/>
                <w:lang w:val="zh-CN"/>
              </w:rPr>
              <w:t>最低数量要求</w:t>
            </w:r>
          </w:p>
        </w:tc>
      </w:tr>
      <w:tr w14:paraId="1366B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161EEA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183DBF2A">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3DC62B08">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7331AC8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42C42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33A502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7834174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4A5774F2">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642D2CC5">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69396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FEA30D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181AF2E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538886C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42B9247C">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0C308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D2B493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732EB268">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2C5D886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7FE092F0">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1AE8D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628047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36AF8152">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6BF3671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79082EFB">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4D953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5BCDDC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722F19A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5888C3E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73CF5B8A">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412A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4D94567">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2F4BB3AB">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468FBDFA">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061808B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5CC3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B1D704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5D57B5F8">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CD8629E">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0899AFCB">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0C30D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5BC1E17">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57718C7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5E54EC9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3D4A52D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965C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74DF32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026E648">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1C5FF76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47C962D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70AB6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D847370">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0774A9D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76C22316">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633B9C2">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16B1A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349BC2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01BC020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0715E48C">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21B95D5">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5F2A6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A50357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6A8C91A0">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5C94709E">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5840DAC">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3B0A2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AF4001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41E9F5F9">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643B111F">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6A7418E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r w14:paraId="08C5C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DCD9DB4">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3092" w:type="dxa"/>
            <w:tcBorders>
              <w:top w:val="single" w:color="000000" w:sz="4" w:space="0"/>
              <w:left w:val="single" w:color="000000" w:sz="4" w:space="0"/>
              <w:bottom w:val="single" w:color="000000" w:sz="4" w:space="0"/>
              <w:right w:val="single" w:color="000000" w:sz="4" w:space="0"/>
            </w:tcBorders>
            <w:noWrap w:val="0"/>
            <w:vAlign w:val="center"/>
          </w:tcPr>
          <w:p w14:paraId="214CC511">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1564" w:type="dxa"/>
            <w:tcBorders>
              <w:top w:val="single" w:color="000000" w:sz="4" w:space="0"/>
              <w:left w:val="single" w:color="000000" w:sz="4" w:space="0"/>
              <w:bottom w:val="single" w:color="000000" w:sz="4" w:space="0"/>
              <w:right w:val="single" w:color="000000" w:sz="4" w:space="0"/>
            </w:tcBorders>
            <w:noWrap w:val="0"/>
            <w:vAlign w:val="center"/>
          </w:tcPr>
          <w:p w14:paraId="3DC0709D">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c>
          <w:tcPr>
            <w:tcW w:w="2473" w:type="dxa"/>
            <w:tcBorders>
              <w:top w:val="single" w:color="000000" w:sz="4" w:space="0"/>
              <w:left w:val="single" w:color="000000" w:sz="4" w:space="0"/>
              <w:bottom w:val="single" w:color="000000" w:sz="4" w:space="0"/>
              <w:right w:val="single" w:color="000000" w:sz="4" w:space="0"/>
            </w:tcBorders>
            <w:noWrap w:val="0"/>
            <w:vAlign w:val="center"/>
          </w:tcPr>
          <w:p w14:paraId="1EB92B9B">
            <w:pPr>
              <w:pageBreakBefore w:val="0"/>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highlight w:val="none"/>
                <w:lang w:val="zh-CN"/>
              </w:rPr>
            </w:pPr>
          </w:p>
        </w:tc>
      </w:tr>
    </w:tbl>
    <w:p w14:paraId="4829B9CF">
      <w:pPr>
        <w:pStyle w:val="4"/>
        <w:pageBreakBefore w:val="0"/>
        <w:kinsoku/>
        <w:overflowPunct/>
        <w:topLinePunct w:val="0"/>
        <w:autoSpaceDE/>
        <w:autoSpaceDN/>
        <w:bidi w:val="0"/>
        <w:spacing w:before="0" w:after="0"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82" w:name="_Toc122424243"/>
      <w:bookmarkStart w:id="483" w:name="_Toc122424492"/>
      <w:r>
        <w:rPr>
          <w:rFonts w:hint="eastAsia" w:ascii="宋体" w:hAnsi="宋体" w:eastAsia="宋体" w:cs="宋体"/>
          <w:color w:val="auto"/>
          <w:highlight w:val="none"/>
        </w:rPr>
        <w:t>附件</w:t>
      </w:r>
      <w:r>
        <w:rPr>
          <w:rFonts w:hint="eastAsia" w:ascii="宋体" w:hAnsi="宋体" w:cs="宋体"/>
          <w:color w:val="auto"/>
          <w:highlight w:val="none"/>
          <w:lang w:val="en-US" w:eastAsia="zh-CN"/>
        </w:rPr>
        <w:t>六</w:t>
      </w:r>
      <w:r>
        <w:rPr>
          <w:rFonts w:hint="eastAsia" w:ascii="宋体" w:hAnsi="宋体" w:eastAsia="宋体" w:cs="宋体"/>
          <w:color w:val="auto"/>
          <w:highlight w:val="none"/>
        </w:rPr>
        <w:t xml:space="preserve"> 履约保证金格式</w:t>
      </w:r>
      <w:bookmarkEnd w:id="482"/>
      <w:bookmarkEnd w:id="483"/>
    </w:p>
    <w:p w14:paraId="4EB39EB2">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如采用银行保函，格式如下。</w:t>
      </w:r>
    </w:p>
    <w:p w14:paraId="6A467E85">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p>
    <w:p w14:paraId="2F0F4B77">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p>
    <w:p w14:paraId="574F7F0D">
      <w:pPr>
        <w:pageBreakBefore w:val="0"/>
        <w:kinsoku/>
        <w:overflowPunct/>
        <w:topLinePunct w:val="0"/>
        <w:autoSpaceDE/>
        <w:autoSpaceDN/>
        <w:bidi w:val="0"/>
        <w:spacing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履约保证金</w:t>
      </w:r>
    </w:p>
    <w:p w14:paraId="2EB35AE5">
      <w:pPr>
        <w:pStyle w:val="48"/>
        <w:pageBreakBefore w:val="0"/>
        <w:shd w:val="clear" w:color="auto" w:fill="auto"/>
        <w:tabs>
          <w:tab w:val="left" w:leader="underscore" w:pos="2222"/>
        </w:tabs>
        <w:kinsoku/>
        <w:overflowPunct/>
        <w:topLinePunct w:val="0"/>
        <w:autoSpaceDE/>
        <w:autoSpaceDN/>
        <w:bidi w:val="0"/>
        <w:spacing w:before="0" w:after="388" w:line="360" w:lineRule="auto"/>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ab/>
      </w:r>
      <w:r>
        <w:rPr>
          <w:rStyle w:val="49"/>
          <w:rFonts w:hint="eastAsia" w:ascii="宋体" w:hAnsi="宋体" w:eastAsia="宋体" w:cs="宋体"/>
          <w:color w:val="auto"/>
          <w:sz w:val="21"/>
          <w:szCs w:val="21"/>
          <w:highlight w:val="none"/>
        </w:rPr>
        <w:t xml:space="preserve"> (发包人名称）：</w:t>
      </w:r>
    </w:p>
    <w:p w14:paraId="3823202B">
      <w:pPr>
        <w:pStyle w:val="48"/>
        <w:pageBreakBefore w:val="0"/>
        <w:shd w:val="clear" w:color="auto" w:fill="auto"/>
        <w:tabs>
          <w:tab w:val="left" w:leader="underscore" w:pos="2964"/>
          <w:tab w:val="left" w:leader="underscore" w:pos="8141"/>
        </w:tabs>
        <w:kinsoku/>
        <w:overflowPunct/>
        <w:topLinePunct w:val="0"/>
        <w:autoSpaceDE/>
        <w:autoSpaceDN/>
        <w:bidi w:val="0"/>
        <w:spacing w:before="0" w:line="360" w:lineRule="auto"/>
        <w:ind w:firstLine="630" w:firstLineChars="300"/>
        <w:jc w:val="both"/>
        <w:textAlignment w:val="auto"/>
        <w:rPr>
          <w:rFonts w:hint="eastAsia" w:ascii="宋体" w:hAnsi="宋体" w:eastAsia="宋体" w:cs="宋体"/>
          <w:color w:val="auto"/>
          <w:spacing w:val="0"/>
          <w:sz w:val="21"/>
          <w:szCs w:val="21"/>
          <w:highlight w:val="none"/>
        </w:rPr>
      </w:pPr>
      <w:r>
        <w:rPr>
          <w:rStyle w:val="49"/>
          <w:rFonts w:hint="eastAsia" w:ascii="宋体" w:hAnsi="宋体" w:eastAsia="宋体" w:cs="宋体"/>
          <w:color w:val="auto"/>
          <w:sz w:val="21"/>
          <w:szCs w:val="21"/>
          <w:highlight w:val="none"/>
        </w:rPr>
        <w:t>鉴于</w:t>
      </w:r>
      <w:r>
        <w:rPr>
          <w:rStyle w:val="49"/>
          <w:rFonts w:hint="eastAsia" w:ascii="宋体" w:hAnsi="宋体" w:eastAsia="宋体" w:cs="宋体"/>
          <w:color w:val="auto"/>
          <w:sz w:val="21"/>
          <w:szCs w:val="21"/>
          <w:highlight w:val="none"/>
        </w:rPr>
        <w:tab/>
      </w:r>
      <w:r>
        <w:rPr>
          <w:rStyle w:val="49"/>
          <w:rFonts w:hint="eastAsia" w:ascii="宋体" w:hAnsi="宋体" w:eastAsia="宋体" w:cs="宋体"/>
          <w:color w:val="auto"/>
          <w:sz w:val="21"/>
          <w:szCs w:val="21"/>
          <w:highlight w:val="none"/>
        </w:rPr>
        <w:t xml:space="preserve"> (发包人名称，以下简称“发包人”）接受</w:t>
      </w:r>
      <w:r>
        <w:rPr>
          <w:rStyle w:val="49"/>
          <w:rFonts w:hint="eastAsia" w:ascii="宋体" w:hAnsi="宋体" w:eastAsia="宋体" w:cs="宋体"/>
          <w:color w:val="auto"/>
          <w:sz w:val="21"/>
          <w:szCs w:val="21"/>
          <w:highlight w:val="none"/>
        </w:rPr>
        <w:tab/>
      </w:r>
      <w:r>
        <w:rPr>
          <w:rStyle w:val="49"/>
          <w:rFonts w:hint="eastAsia" w:ascii="宋体" w:hAnsi="宋体" w:eastAsia="宋体" w:cs="宋体"/>
          <w:color w:val="auto"/>
          <w:sz w:val="21"/>
          <w:szCs w:val="21"/>
          <w:highlight w:val="none"/>
        </w:rPr>
        <w:t xml:space="preserve"> (承包人名称，以下简称“承包人”）于</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年</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月</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日参加</w:t>
      </w:r>
      <w:r>
        <w:rPr>
          <w:rStyle w:val="49"/>
          <w:rFonts w:hint="eastAsia" w:ascii="宋体" w:hAnsi="宋体" w:eastAsia="宋体" w:cs="宋体"/>
          <w:color w:val="auto"/>
          <w:sz w:val="21"/>
          <w:szCs w:val="21"/>
          <w:highlight w:val="none"/>
          <w:lang w:val="en-US"/>
        </w:rPr>
        <w:t xml:space="preserve"> </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u w:val="single"/>
        </w:rPr>
        <w:t>(项目名称）</w:t>
      </w:r>
      <w:r>
        <w:rPr>
          <w:rStyle w:val="49"/>
          <w:rFonts w:hint="eastAsia" w:ascii="宋体" w:hAnsi="宋体" w:eastAsia="宋体" w:cs="宋体"/>
          <w:color w:val="auto"/>
          <w:sz w:val="21"/>
          <w:szCs w:val="21"/>
          <w:highlight w:val="none"/>
          <w:u w:val="single"/>
          <w:lang w:val="en-US"/>
        </w:rPr>
        <w:t xml:space="preserve">     </w:t>
      </w:r>
      <w:r>
        <w:rPr>
          <w:rStyle w:val="49"/>
          <w:rFonts w:hint="eastAsia" w:ascii="宋体" w:hAnsi="宋体" w:eastAsia="宋体" w:cs="宋体"/>
          <w:color w:val="auto"/>
          <w:sz w:val="21"/>
          <w:szCs w:val="21"/>
          <w:highlight w:val="none"/>
        </w:rPr>
        <w:t>标段施工的投标。我方愿意无条件地、不可撤销地就承包人履行与你方订立的合同，向你方提供担保。</w:t>
      </w:r>
    </w:p>
    <w:p w14:paraId="4E591DF7">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1.担保金额人民币</w:t>
      </w:r>
      <w:r>
        <w:rPr>
          <w:rFonts w:hint="eastAsia" w:ascii="宋体" w:hAnsi="宋体" w:eastAsia="宋体" w:cs="宋体"/>
          <w:color w:val="auto"/>
          <w:highlight w:val="none"/>
          <w:u w:val="single"/>
        </w:rPr>
        <w:t>（大写）</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元（￥</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w:t>
      </w:r>
      <w:r>
        <w:rPr>
          <w:rFonts w:hint="eastAsia" w:ascii="宋体" w:hAnsi="宋体" w:eastAsia="宋体" w:cs="宋体"/>
          <w:color w:val="auto"/>
          <w:highlight w:val="none"/>
        </w:rPr>
        <w:t>。</w:t>
      </w:r>
    </w:p>
    <w:p w14:paraId="7F18AC43">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2.担保有效期自发包人与承包人签订的合同生效之日起至发包人签发交工验收证书且承包人按照合同约定缴纳质量保证金之日止。</w:t>
      </w:r>
      <w:r>
        <w:rPr>
          <w:rStyle w:val="34"/>
          <w:rFonts w:hint="eastAsia" w:ascii="宋体" w:hAnsi="宋体" w:eastAsia="宋体" w:cs="宋体"/>
          <w:color w:val="auto"/>
          <w:highlight w:val="none"/>
        </w:rPr>
        <w:footnoteReference w:id="1"/>
      </w:r>
    </w:p>
    <w:p w14:paraId="18FEAFC8">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3.在本担保有效期内，因承包人违反合同约定的义务给你方造成经济损失时， 我方在收到你方以书面形式提出的在担保金额内的赔偿要求后，在 7 日内无条件支付，无须你方出具证明或陈述理由。</w:t>
      </w:r>
    </w:p>
    <w:p w14:paraId="0A9157A8">
      <w:pPr>
        <w:pageBreakBefore w:val="0"/>
        <w:kinsoku/>
        <w:overflowPunct/>
        <w:topLinePunct w:val="0"/>
        <w:autoSpaceDE/>
        <w:autoSpaceDN/>
        <w:bidi w:val="0"/>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4.发包人和承包人按合同条款第 15 条变更合同时，无论我方是否收到该变更， 我方承担本担保规定的义务不变。</w:t>
      </w:r>
    </w:p>
    <w:p w14:paraId="168DD0F8">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highlight w:val="none"/>
        </w:rPr>
      </w:pPr>
      <w:r>
        <w:rPr>
          <w:rFonts w:hint="eastAsia" w:ascii="宋体" w:hAnsi="宋体" w:eastAsia="宋体" w:cs="宋体"/>
          <w:color w:val="auto"/>
          <w:highlight w:val="none"/>
        </w:rPr>
        <w:t>担保人名称：</w:t>
      </w:r>
      <w:r>
        <w:rPr>
          <w:rFonts w:hint="eastAsia" w:ascii="宋体" w:hAnsi="宋体" w:eastAsia="宋体" w:cs="宋体"/>
          <w:color w:val="auto"/>
          <w:highlight w:val="none"/>
        </w:rPr>
        <w:tab/>
      </w:r>
      <w:r>
        <w:rPr>
          <w:rFonts w:hint="eastAsia" w:ascii="宋体" w:hAnsi="宋体" w:eastAsia="宋体" w:cs="宋体"/>
          <w:color w:val="auto"/>
          <w:highlight w:val="none"/>
        </w:rPr>
        <w:t>（盖单位章）</w:t>
      </w:r>
    </w:p>
    <w:p w14:paraId="7300AEAD">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w:t>
      </w:r>
    </w:p>
    <w:p w14:paraId="1828459A">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 ：</w:t>
      </w:r>
      <w:r>
        <w:rPr>
          <w:rFonts w:hint="eastAsia" w:ascii="宋体" w:hAnsi="宋体" w:eastAsia="宋体" w:cs="宋体"/>
          <w:color w:val="auto"/>
          <w:highlight w:val="none"/>
        </w:rPr>
        <w:tab/>
      </w:r>
      <w:r>
        <w:rPr>
          <w:rFonts w:hint="eastAsia" w:ascii="宋体" w:hAnsi="宋体" w:eastAsia="宋体" w:cs="宋体"/>
          <w:color w:val="auto"/>
          <w:highlight w:val="none"/>
        </w:rPr>
        <w:tab/>
      </w:r>
    </w:p>
    <w:p w14:paraId="11A060B0">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p>
    <w:p w14:paraId="7528A3AB">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电    </w:t>
      </w:r>
      <w:r>
        <w:rPr>
          <w:rFonts w:hint="eastAsia" w:ascii="宋体" w:hAnsi="宋体" w:eastAsia="宋体" w:cs="宋体"/>
          <w:color w:val="auto"/>
          <w:highlight w:val="none"/>
        </w:rPr>
        <w:tab/>
      </w:r>
      <w:r>
        <w:rPr>
          <w:rFonts w:hint="eastAsia" w:ascii="宋体" w:hAnsi="宋体" w:eastAsia="宋体" w:cs="宋体"/>
          <w:color w:val="auto"/>
          <w:highlight w:val="none"/>
        </w:rPr>
        <w:t>话：</w:t>
      </w:r>
    </w:p>
    <w:p w14:paraId="72555267">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传    </w:t>
      </w:r>
      <w:r>
        <w:rPr>
          <w:rFonts w:hint="eastAsia" w:ascii="宋体" w:hAnsi="宋体" w:eastAsia="宋体" w:cs="宋体"/>
          <w:color w:val="auto"/>
          <w:highlight w:val="none"/>
        </w:rPr>
        <w:tab/>
      </w:r>
      <w:r>
        <w:rPr>
          <w:rFonts w:hint="eastAsia" w:ascii="宋体" w:hAnsi="宋体" w:eastAsia="宋体" w:cs="宋体"/>
          <w:color w:val="auto"/>
          <w:highlight w:val="none"/>
        </w:rPr>
        <w:t xml:space="preserve">真： </w:t>
      </w:r>
      <w:r>
        <w:rPr>
          <w:rFonts w:hint="eastAsia" w:ascii="宋体" w:hAnsi="宋体" w:eastAsia="宋体" w:cs="宋体"/>
          <w:color w:val="auto"/>
          <w:highlight w:val="none"/>
        </w:rPr>
        <w:tab/>
      </w:r>
      <w:r>
        <w:rPr>
          <w:rFonts w:hint="eastAsia" w:ascii="宋体" w:hAnsi="宋体" w:eastAsia="宋体" w:cs="宋体"/>
          <w:color w:val="auto"/>
          <w:highlight w:val="none"/>
        </w:rPr>
        <w:tab/>
      </w:r>
    </w:p>
    <w:p w14:paraId="742DD633">
      <w:pPr>
        <w:pageBreakBefore w:val="0"/>
        <w:kinsoku/>
        <w:overflowPunct/>
        <w:topLinePunct w:val="0"/>
        <w:autoSpaceDE/>
        <w:autoSpaceDN/>
        <w:bidi w:val="0"/>
        <w:spacing w:line="360" w:lineRule="auto"/>
        <w:ind w:left="2940" w:leftChars="1400"/>
        <w:textAlignment w:val="auto"/>
        <w:rPr>
          <w:rFonts w:hint="eastAsia" w:ascii="宋体" w:hAnsi="宋体" w:eastAsia="宋体" w:cs="宋体"/>
          <w:color w:val="auto"/>
          <w:sz w:val="24"/>
          <w:highlight w:val="none"/>
        </w:rPr>
      </w:pPr>
      <w:r>
        <w:rPr>
          <w:rFonts w:hint="eastAsia" w:ascii="宋体" w:hAnsi="宋体" w:eastAsia="宋体" w:cs="宋体"/>
          <w:color w:val="auto"/>
          <w:highlight w:val="none"/>
        </w:rPr>
        <w:t xml:space="preserve">年   月 </w:t>
      </w:r>
      <w:r>
        <w:rPr>
          <w:rFonts w:hint="eastAsia" w:ascii="宋体" w:hAnsi="宋体" w:eastAsia="宋体" w:cs="宋体"/>
          <w:color w:val="auto"/>
          <w:highlight w:val="none"/>
        </w:rPr>
        <w:tab/>
      </w:r>
      <w:r>
        <w:rPr>
          <w:rFonts w:hint="eastAsia" w:ascii="宋体" w:hAnsi="宋体" w:eastAsia="宋体" w:cs="宋体"/>
          <w:color w:val="auto"/>
          <w:highlight w:val="none"/>
        </w:rPr>
        <w:t xml:space="preserve">日 </w:t>
      </w:r>
    </w:p>
    <w:p w14:paraId="796919FD">
      <w:pPr>
        <w:pageBreakBefore w:val="0"/>
        <w:tabs>
          <w:tab w:val="left" w:pos="3261"/>
        </w:tabs>
        <w:kinsoku/>
        <w:overflowPunct/>
        <w:topLinePunct w:val="0"/>
        <w:autoSpaceDE/>
        <w:autoSpaceDN/>
        <w:bidi w:val="0"/>
        <w:spacing w:line="360" w:lineRule="auto"/>
        <w:contextualSpacing/>
        <w:jc w:val="both"/>
        <w:textAlignment w:val="auto"/>
        <w:rPr>
          <w:rFonts w:hint="eastAsia" w:ascii="宋体" w:hAnsi="宋体" w:eastAsia="宋体" w:cs="宋体"/>
          <w:b/>
          <w:bCs/>
          <w:color w:val="auto"/>
          <w:highlight w:val="none"/>
        </w:rPr>
        <w:sectPr>
          <w:pgSz w:w="11911" w:h="16838"/>
          <w:pgMar w:top="1134" w:right="1134" w:bottom="1134" w:left="1134" w:header="720" w:footer="720" w:gutter="0"/>
          <w:cols w:space="720" w:num="1"/>
        </w:sectPr>
      </w:pPr>
    </w:p>
    <w:p w14:paraId="7310F3D4">
      <w:pPr>
        <w:pStyle w:val="2"/>
        <w:spacing w:before="0" w:after="0" w:line="240" w:lineRule="auto"/>
        <w:jc w:val="center"/>
        <w:rPr>
          <w:rFonts w:hint="eastAsia" w:ascii="宋体" w:hAnsi="宋体" w:eastAsia="宋体" w:cs="宋体"/>
          <w:b w:val="0"/>
          <w:bCs w:val="0"/>
          <w:color w:val="auto"/>
          <w:highlight w:val="none"/>
        </w:rPr>
      </w:pPr>
      <w:bookmarkStart w:id="484" w:name="_Toc29015"/>
      <w:bookmarkStart w:id="485" w:name="_Toc407135283"/>
      <w:bookmarkStart w:id="486" w:name="_Toc10491"/>
      <w:r>
        <w:rPr>
          <w:rFonts w:hint="eastAsia" w:ascii="宋体" w:hAnsi="宋体" w:eastAsia="宋体" w:cs="宋体"/>
          <w:b w:val="0"/>
          <w:bCs w:val="0"/>
          <w:color w:val="auto"/>
          <w:highlight w:val="none"/>
        </w:rPr>
        <w:t>第七章 工程量清单</w:t>
      </w:r>
      <w:bookmarkEnd w:id="484"/>
      <w:bookmarkEnd w:id="485"/>
      <w:r>
        <w:rPr>
          <w:rFonts w:hint="eastAsia" w:ascii="宋体" w:hAnsi="宋体" w:eastAsia="宋体" w:cs="宋体"/>
          <w:b w:val="0"/>
          <w:bCs w:val="0"/>
          <w:color w:val="auto"/>
          <w:highlight w:val="none"/>
        </w:rPr>
        <w:t>、图纸</w:t>
      </w:r>
      <w:bookmarkEnd w:id="486"/>
    </w:p>
    <w:p w14:paraId="1E1FE76F">
      <w:pPr>
        <w:pStyle w:val="4"/>
        <w:spacing w:before="0" w:after="0" w:line="360" w:lineRule="auto"/>
        <w:jc w:val="center"/>
        <w:rPr>
          <w:rFonts w:hint="eastAsia" w:ascii="宋体" w:hAnsi="宋体" w:eastAsia="宋体" w:cs="宋体"/>
          <w:color w:val="auto"/>
          <w:highlight w:val="none"/>
        </w:rPr>
      </w:pPr>
    </w:p>
    <w:p w14:paraId="63487A9D">
      <w:pPr>
        <w:pStyle w:val="4"/>
        <w:spacing w:before="0" w:after="0" w:line="360" w:lineRule="auto"/>
        <w:rPr>
          <w:rFonts w:hint="eastAsia" w:ascii="宋体" w:hAnsi="宋体" w:eastAsia="宋体" w:cs="宋体"/>
          <w:color w:val="auto"/>
          <w:highlight w:val="none"/>
        </w:rPr>
      </w:pPr>
      <w:bookmarkStart w:id="487" w:name="_Toc122424260"/>
      <w:bookmarkStart w:id="488" w:name="_Toc122424011"/>
      <w:r>
        <w:rPr>
          <w:rFonts w:hint="eastAsia" w:ascii="宋体" w:hAnsi="宋体" w:eastAsia="宋体" w:cs="宋体"/>
          <w:color w:val="auto"/>
          <w:highlight w:val="none"/>
        </w:rPr>
        <w:t>1.工程量清单说明</w:t>
      </w:r>
      <w:bookmarkEnd w:id="487"/>
      <w:bookmarkEnd w:id="488"/>
    </w:p>
    <w:p w14:paraId="71B596F9">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1.1本工程量清单是根据磋商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75C17699">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1.2本工程量清单应与磋商文件中的供应商须知、通用合同条款、专用合同条款、工程量清单计量规则、技术规范及图纸等一起阅读和理解。</w:t>
      </w:r>
    </w:p>
    <w:p w14:paraId="6CFFC83D">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按本工程量清单的单价和总额价计算支付金额；或根据具体情况，按合同条款第 15.4 款的规定，按监理人确定的单价或总额价计算支付额。</w:t>
      </w:r>
    </w:p>
    <w:p w14:paraId="45584B77">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1.4工程量清单各章是按《公路工程标准施工招标文件》（2018年版）第八章“工程量清单计量规则”、第七章“技术规范”的相应章次编号的，因此，工程量清单中各章的工程子目的范围与计量等应与“工程量清单计量规则” “技术规范”相应章节的范围、计量与支付条款结合起来理解或解释。</w:t>
      </w:r>
    </w:p>
    <w:p w14:paraId="324C4CED">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1.5对作业和材料的一般说明或规定，未重复写入工程量清单内，在给工程量清单各子目标价前，应参阅第七章“技术规范”的有关内容。</w:t>
      </w:r>
    </w:p>
    <w:p w14:paraId="2FA6CA70">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1.6工程量清单中所列工程量的变动，丝毫不会降低或影响合同条款的效力， 也不免除承包人按规定的标准进行施工和修复缺陷的责任。</w:t>
      </w:r>
    </w:p>
    <w:p w14:paraId="13DAC832">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1.7图纸中所列的工程数量表及数量汇总表仅是提供资料，不是工程量清单的外延。当图纸与工程量清单所列数量不一致时，以工程量清单所列数量作为报价的依据。</w:t>
      </w:r>
    </w:p>
    <w:p w14:paraId="2D972167">
      <w:pPr>
        <w:pStyle w:val="4"/>
        <w:spacing w:before="0" w:after="0" w:line="360" w:lineRule="auto"/>
        <w:rPr>
          <w:rFonts w:hint="eastAsia" w:ascii="宋体" w:hAnsi="宋体" w:eastAsia="宋体" w:cs="宋体"/>
          <w:color w:val="auto"/>
          <w:highlight w:val="none"/>
        </w:rPr>
      </w:pPr>
      <w:bookmarkStart w:id="489" w:name="_Toc122424012"/>
      <w:bookmarkStart w:id="490" w:name="_Toc5517"/>
      <w:bookmarkStart w:id="491" w:name="_Toc122424261"/>
      <w:r>
        <w:rPr>
          <w:rFonts w:hint="eastAsia" w:ascii="宋体" w:hAnsi="宋体" w:eastAsia="宋体" w:cs="宋体"/>
          <w:color w:val="auto"/>
          <w:highlight w:val="none"/>
        </w:rPr>
        <w:t>2.竞标报价说明</w:t>
      </w:r>
      <w:bookmarkEnd w:id="489"/>
      <w:bookmarkEnd w:id="490"/>
      <w:bookmarkEnd w:id="491"/>
    </w:p>
    <w:p w14:paraId="2AF76204">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2.1工程量清单中的每一子目须填入单价或价格，且只允许有一个报价。</w:t>
      </w:r>
    </w:p>
    <w:p w14:paraId="5A8845C9">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2.2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064B3F76">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3F1B5328">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7E7515C0">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2.5承包人用于本合同工程的各类装备的提供、运输、维护、拆卸、拼装等支付的费用，已包括在工程量清单的单价与总额价之中。</w:t>
      </w:r>
    </w:p>
    <w:p w14:paraId="6D9BF531">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2.6供应商应根据《公路水运工程安全生产监督管理办法》，在竞标总价中计入安全生产费用，安全生产费用应符合合同条款第 9.2.5 项的规定。工程量清单第 100 章内列有上述安全生产费的支付子目，由供应商按磋商文件的规定填写总额价。</w:t>
      </w:r>
    </w:p>
    <w:p w14:paraId="11541A78">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2.7工程量清单中各项金额均以人民币（元）结算。</w:t>
      </w:r>
    </w:p>
    <w:p w14:paraId="0DF95E99">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2.8暂列金额（不含计日工总额）的数量及拟用子目的说明：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详见工程量清单</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9FA25E7">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2.9暂估价的数量及拟用子目的说明：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详见工程量清单</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B7D0B80">
      <w:pPr>
        <w:pStyle w:val="4"/>
        <w:spacing w:before="0" w:after="0" w:line="360" w:lineRule="auto"/>
        <w:rPr>
          <w:rFonts w:hint="eastAsia" w:ascii="宋体" w:hAnsi="宋体" w:eastAsia="宋体" w:cs="宋体"/>
          <w:color w:val="auto"/>
          <w:highlight w:val="none"/>
        </w:rPr>
      </w:pPr>
      <w:bookmarkStart w:id="492" w:name="_Toc16130"/>
      <w:bookmarkStart w:id="493" w:name="_Toc122424262"/>
      <w:bookmarkStart w:id="494" w:name="_Toc122424013"/>
      <w:r>
        <w:rPr>
          <w:rFonts w:hint="eastAsia" w:ascii="宋体" w:hAnsi="宋体" w:eastAsia="宋体" w:cs="宋体"/>
          <w:color w:val="auto"/>
          <w:highlight w:val="none"/>
        </w:rPr>
        <w:t>3.计日工说明</w:t>
      </w:r>
      <w:bookmarkEnd w:id="492"/>
      <w:bookmarkEnd w:id="493"/>
      <w:bookmarkEnd w:id="494"/>
    </w:p>
    <w:p w14:paraId="26F0DDF6">
      <w:pPr>
        <w:pStyle w:val="5"/>
        <w:rPr>
          <w:rFonts w:hint="eastAsia" w:ascii="宋体" w:hAnsi="宋体" w:eastAsia="宋体" w:cs="宋体"/>
          <w:color w:val="auto"/>
          <w:highlight w:val="none"/>
        </w:rPr>
      </w:pPr>
      <w:bookmarkStart w:id="495" w:name="_Toc2050"/>
      <w:r>
        <w:rPr>
          <w:rFonts w:hint="eastAsia" w:ascii="宋体" w:hAnsi="宋体" w:eastAsia="宋体" w:cs="宋体"/>
          <w:color w:val="auto"/>
          <w:highlight w:val="none"/>
        </w:rPr>
        <w:t>3.1总则</w:t>
      </w:r>
      <w:bookmarkEnd w:id="495"/>
    </w:p>
    <w:p w14:paraId="2060E2CB">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（1）本说明应参照通用合同条款第 15.7 款一并理解。</w:t>
      </w:r>
    </w:p>
    <w:p w14:paraId="0CA9D3A6">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（2）未经监理人书面指令，任何工程不得按计日工施工；接到监理人按计日工施工的书面指令，承包人也不得拒绝。</w:t>
      </w:r>
    </w:p>
    <w:p w14:paraId="093906B0">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标价。</w:t>
      </w:r>
    </w:p>
    <w:p w14:paraId="1D6676DE">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（4）计日工不调价。</w:t>
      </w:r>
    </w:p>
    <w:p w14:paraId="0FC246C5">
      <w:pPr>
        <w:pStyle w:val="5"/>
        <w:rPr>
          <w:rFonts w:hint="eastAsia" w:ascii="宋体" w:hAnsi="宋体" w:eastAsia="宋体" w:cs="宋体"/>
          <w:color w:val="auto"/>
          <w:highlight w:val="none"/>
        </w:rPr>
      </w:pPr>
      <w:bookmarkStart w:id="496" w:name="_Toc13076"/>
      <w:r>
        <w:rPr>
          <w:rFonts w:hint="eastAsia" w:ascii="宋体" w:hAnsi="宋体" w:eastAsia="宋体" w:cs="宋体"/>
          <w:color w:val="auto"/>
          <w:highlight w:val="none"/>
        </w:rPr>
        <w:t>3.2计日工劳务</w:t>
      </w:r>
      <w:bookmarkEnd w:id="496"/>
    </w:p>
    <w:p w14:paraId="1F285A0E">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0617262D">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1454B2D0">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a.劳务基本单价包括：承包人劳务的全部直接费用，如：工资、加班费、津贴、福利费及劳动保护费等。</w:t>
      </w:r>
    </w:p>
    <w:p w14:paraId="6CCDC7C5">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b.承包人的利润、管理、质检、保险、税费；易耗品的使用，水电及照明费， 工作台、脚手架、临时设施费，手动机具与工具的使用及维修，以及上述各项伴随而来的费用。</w:t>
      </w:r>
    </w:p>
    <w:p w14:paraId="1398C700">
      <w:pPr>
        <w:pStyle w:val="5"/>
        <w:rPr>
          <w:rFonts w:hint="eastAsia" w:ascii="宋体" w:hAnsi="宋体" w:eastAsia="宋体" w:cs="宋体"/>
          <w:color w:val="auto"/>
          <w:highlight w:val="none"/>
        </w:rPr>
      </w:pPr>
      <w:bookmarkStart w:id="497" w:name="_Toc23837"/>
      <w:r>
        <w:rPr>
          <w:rFonts w:hint="eastAsia" w:ascii="宋体" w:hAnsi="宋体" w:eastAsia="宋体" w:cs="宋体"/>
          <w:color w:val="auto"/>
          <w:highlight w:val="none"/>
        </w:rPr>
        <w:t>3.3计日工材料</w:t>
      </w:r>
      <w:bookmarkEnd w:id="497"/>
    </w:p>
    <w:p w14:paraId="64047BE1">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0258FC1D">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（1）材料基本单价按供货价加运杂费（到达承包人现场仓库）、保险费、仓库管理费以及运输损耗等计算；</w:t>
      </w:r>
    </w:p>
    <w:p w14:paraId="15EA0D51">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（2）承包人的利润、管理、质检、保险、税费及其他附加费；</w:t>
      </w:r>
    </w:p>
    <w:p w14:paraId="68614D53">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（3）从现场运至使用地点的人工费和施工机械使用费不包括在上述基本单价内。</w:t>
      </w:r>
    </w:p>
    <w:p w14:paraId="3A40A3DA">
      <w:pPr>
        <w:pStyle w:val="5"/>
        <w:rPr>
          <w:rFonts w:hint="eastAsia" w:ascii="宋体" w:hAnsi="宋体" w:eastAsia="宋体" w:cs="宋体"/>
          <w:color w:val="auto"/>
          <w:highlight w:val="none"/>
        </w:rPr>
      </w:pPr>
      <w:r>
        <w:rPr>
          <w:rFonts w:hint="eastAsia" w:ascii="宋体" w:hAnsi="宋体" w:eastAsia="宋体" w:cs="宋体"/>
          <w:color w:val="auto"/>
          <w:highlight w:val="none"/>
        </w:rPr>
        <w:t>3.4计日工施工机械</w:t>
      </w:r>
    </w:p>
    <w:p w14:paraId="3677F121">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（1）承包人可以得到用于计日工作业的施工机械费用的支付，该费用按承包</w:t>
      </w:r>
    </w:p>
    <w:p w14:paraId="7AC0164C">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7BAB24C3">
      <w:pPr>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6D3E3D2A">
      <w:pPr>
        <w:pStyle w:val="4"/>
        <w:spacing w:before="0" w:after="0" w:line="360" w:lineRule="auto"/>
        <w:rPr>
          <w:rFonts w:hint="eastAsia" w:ascii="宋体" w:hAnsi="宋体" w:eastAsia="宋体" w:cs="宋体"/>
          <w:color w:val="auto"/>
          <w:highlight w:val="none"/>
        </w:rPr>
      </w:pPr>
      <w:bookmarkStart w:id="498" w:name="_Toc122424014"/>
      <w:bookmarkStart w:id="499" w:name="_Toc122424263"/>
      <w:bookmarkStart w:id="500" w:name="_Toc25846"/>
      <w:r>
        <w:rPr>
          <w:rFonts w:hint="eastAsia" w:ascii="宋体" w:hAnsi="宋体" w:eastAsia="宋体" w:cs="宋体"/>
          <w:color w:val="auto"/>
          <w:highlight w:val="none"/>
        </w:rPr>
        <w:t>4.其他说明</w:t>
      </w:r>
      <w:bookmarkEnd w:id="498"/>
      <w:bookmarkEnd w:id="499"/>
      <w:bookmarkEnd w:id="500"/>
    </w:p>
    <w:p w14:paraId="4D1647B1">
      <w:pPr>
        <w:pStyle w:val="4"/>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工程量清单、图纸获取</w:t>
      </w:r>
    </w:p>
    <w:p w14:paraId="1C0769E5">
      <w:pPr>
        <w:tabs>
          <w:tab w:val="left" w:pos="3261"/>
        </w:tabs>
        <w:spacing w:line="360" w:lineRule="auto"/>
        <w:jc w:val="left"/>
        <w:rPr>
          <w:rFonts w:ascii="宋体" w:hAnsi="宋体" w:cs="宋体"/>
          <w:b/>
          <w:color w:val="auto"/>
          <w:sz w:val="44"/>
          <w:szCs w:val="44"/>
          <w:highlight w:val="none"/>
        </w:rPr>
      </w:pPr>
      <w:r>
        <w:rPr>
          <w:rFonts w:hint="eastAsia" w:ascii="宋体" w:hAnsi="宋体" w:eastAsia="宋体" w:cs="宋体"/>
          <w:color w:val="auto"/>
          <w:highlight w:val="none"/>
        </w:rPr>
        <w:t>获取方式：网上下载。本项目不发放</w:t>
      </w:r>
      <w:r>
        <w:rPr>
          <w:rFonts w:hint="eastAsia" w:ascii="宋体" w:hAnsi="宋体" w:eastAsia="宋体" w:cs="宋体"/>
          <w:color w:val="auto"/>
          <w:highlight w:val="none"/>
          <w:lang w:eastAsia="zh-CN"/>
        </w:rPr>
        <w:t>纸质版的</w:t>
      </w:r>
      <w:r>
        <w:rPr>
          <w:rFonts w:hint="eastAsia" w:ascii="宋体" w:hAnsi="宋体" w:eastAsia="宋体" w:cs="宋体"/>
          <w:color w:val="auto"/>
          <w:highlight w:val="none"/>
        </w:rPr>
        <w:t>工程量清单及图纸，由潜在供应商自行在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下载。</w:t>
      </w:r>
    </w:p>
    <w:p w14:paraId="66D2BE8E">
      <w:pPr>
        <w:tabs>
          <w:tab w:val="left" w:pos="3261"/>
        </w:tabs>
        <w:spacing w:line="360" w:lineRule="auto"/>
        <w:jc w:val="center"/>
        <w:rPr>
          <w:rFonts w:ascii="宋体" w:hAnsi="宋体" w:cs="宋体"/>
          <w:b/>
          <w:color w:val="auto"/>
          <w:sz w:val="44"/>
          <w:szCs w:val="44"/>
          <w:highlight w:val="none"/>
        </w:rPr>
      </w:pPr>
    </w:p>
    <w:p w14:paraId="36EBAD79">
      <w:pPr>
        <w:tabs>
          <w:tab w:val="left" w:pos="3261"/>
        </w:tabs>
        <w:spacing w:line="360" w:lineRule="auto"/>
        <w:jc w:val="center"/>
        <w:rPr>
          <w:rFonts w:ascii="宋体" w:hAnsi="宋体" w:cs="宋体"/>
          <w:b/>
          <w:color w:val="auto"/>
          <w:sz w:val="44"/>
          <w:szCs w:val="44"/>
          <w:highlight w:val="none"/>
        </w:rPr>
      </w:pPr>
    </w:p>
    <w:p w14:paraId="427E322B">
      <w:pPr>
        <w:widowControl/>
        <w:spacing w:line="360" w:lineRule="auto"/>
        <w:jc w:val="left"/>
        <w:rPr>
          <w:rFonts w:ascii="宋体" w:hAnsi="宋体" w:cs="宋体"/>
          <w:b/>
          <w:bCs/>
          <w:color w:val="auto"/>
          <w:sz w:val="44"/>
          <w:szCs w:val="44"/>
          <w:highlight w:val="none"/>
        </w:rPr>
        <w:sectPr>
          <w:pgSz w:w="11910" w:h="16840"/>
          <w:pgMar w:top="1340" w:right="1500" w:bottom="280" w:left="1680" w:header="720" w:footer="720" w:gutter="0"/>
          <w:cols w:space="720" w:num="1"/>
        </w:sectPr>
      </w:pPr>
    </w:p>
    <w:p w14:paraId="13171FD0">
      <w:pPr>
        <w:tabs>
          <w:tab w:val="left" w:pos="3261"/>
        </w:tabs>
        <w:spacing w:line="360" w:lineRule="auto"/>
        <w:jc w:val="center"/>
        <w:rPr>
          <w:rFonts w:ascii="宋体" w:hAnsi="宋体" w:cs="宋体"/>
          <w:b/>
          <w:color w:val="auto"/>
          <w:sz w:val="44"/>
          <w:szCs w:val="44"/>
          <w:highlight w:val="none"/>
        </w:rPr>
      </w:pPr>
    </w:p>
    <w:p w14:paraId="6257ADBA">
      <w:pPr>
        <w:tabs>
          <w:tab w:val="left" w:pos="3261"/>
        </w:tabs>
        <w:spacing w:line="360" w:lineRule="auto"/>
        <w:jc w:val="center"/>
        <w:rPr>
          <w:rFonts w:ascii="宋体" w:hAnsi="宋体" w:cs="宋体"/>
          <w:b/>
          <w:color w:val="auto"/>
          <w:sz w:val="44"/>
          <w:szCs w:val="44"/>
          <w:highlight w:val="none"/>
        </w:rPr>
      </w:pPr>
    </w:p>
    <w:p w14:paraId="69AA9C59">
      <w:pPr>
        <w:tabs>
          <w:tab w:val="left" w:pos="3261"/>
        </w:tabs>
        <w:spacing w:line="360" w:lineRule="auto"/>
        <w:jc w:val="center"/>
        <w:rPr>
          <w:rFonts w:ascii="宋体" w:hAnsi="宋体" w:cs="宋体"/>
          <w:b/>
          <w:color w:val="auto"/>
          <w:sz w:val="44"/>
          <w:szCs w:val="44"/>
          <w:highlight w:val="none"/>
        </w:rPr>
      </w:pPr>
    </w:p>
    <w:p w14:paraId="4EC8D1FD">
      <w:pPr>
        <w:tabs>
          <w:tab w:val="left" w:pos="3261"/>
        </w:tabs>
        <w:spacing w:line="360" w:lineRule="auto"/>
        <w:jc w:val="center"/>
        <w:rPr>
          <w:rFonts w:ascii="宋体" w:hAnsi="宋体" w:cs="宋体"/>
          <w:b/>
          <w:color w:val="auto"/>
          <w:sz w:val="44"/>
          <w:szCs w:val="44"/>
          <w:highlight w:val="none"/>
        </w:rPr>
      </w:pPr>
    </w:p>
    <w:p w14:paraId="47BD94DB">
      <w:pPr>
        <w:tabs>
          <w:tab w:val="left" w:pos="3261"/>
        </w:tabs>
        <w:spacing w:line="360" w:lineRule="auto"/>
        <w:jc w:val="center"/>
        <w:rPr>
          <w:rFonts w:ascii="宋体" w:hAnsi="宋体" w:cs="宋体"/>
          <w:b/>
          <w:color w:val="auto"/>
          <w:sz w:val="44"/>
          <w:szCs w:val="44"/>
          <w:highlight w:val="none"/>
        </w:rPr>
      </w:pPr>
    </w:p>
    <w:p w14:paraId="3611968D">
      <w:pPr>
        <w:pStyle w:val="2"/>
        <w:jc w:val="center"/>
        <w:rPr>
          <w:rFonts w:ascii="宋体" w:hAnsi="宋体" w:cs="宋体"/>
          <w:color w:val="auto"/>
          <w:highlight w:val="none"/>
        </w:rPr>
      </w:pPr>
      <w:bookmarkStart w:id="501" w:name="_Toc22933"/>
      <w:r>
        <w:rPr>
          <w:rFonts w:hint="eastAsia" w:ascii="宋体" w:hAnsi="宋体" w:cs="宋体"/>
          <w:b w:val="0"/>
          <w:color w:val="auto"/>
          <w:highlight w:val="none"/>
        </w:rPr>
        <w:t>第</w:t>
      </w:r>
      <w:r>
        <w:rPr>
          <w:rFonts w:hint="eastAsia" w:ascii="宋体" w:hAnsi="宋体" w:cs="宋体"/>
          <w:b w:val="0"/>
          <w:color w:val="auto"/>
          <w:highlight w:val="none"/>
          <w:lang w:val="en-US" w:eastAsia="zh-CN"/>
        </w:rPr>
        <w:t>八</w:t>
      </w:r>
      <w:r>
        <w:rPr>
          <w:rFonts w:hint="eastAsia" w:ascii="宋体" w:hAnsi="宋体" w:cs="宋体"/>
          <w:b w:val="0"/>
          <w:color w:val="auto"/>
          <w:highlight w:val="none"/>
        </w:rPr>
        <w:t>章 质疑、投诉材料格式</w:t>
      </w:r>
      <w:bookmarkEnd w:id="501"/>
    </w:p>
    <w:p w14:paraId="6A447DD9">
      <w:pPr>
        <w:widowControl/>
        <w:spacing w:line="576" w:lineRule="auto"/>
        <w:jc w:val="left"/>
        <w:rPr>
          <w:rFonts w:ascii="宋体" w:hAnsi="宋体" w:cs="宋体"/>
          <w:b/>
          <w:bCs/>
          <w:color w:val="auto"/>
          <w:kern w:val="44"/>
          <w:sz w:val="44"/>
          <w:szCs w:val="44"/>
          <w:highlight w:val="none"/>
        </w:rPr>
        <w:sectPr>
          <w:pgSz w:w="11910" w:h="16840"/>
          <w:pgMar w:top="1340" w:right="1500" w:bottom="280" w:left="1680" w:header="720" w:footer="720" w:gutter="0"/>
          <w:cols w:space="720" w:num="1"/>
        </w:sectPr>
      </w:pPr>
    </w:p>
    <w:p w14:paraId="184F0BFC">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1C949AB6">
      <w:pPr>
        <w:pStyle w:val="1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0C864950">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985C3FF">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B143407">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1196B3F">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3DE6A2B3">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724C622C">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B54AC34">
      <w:pPr>
        <w:pStyle w:val="1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5C99FDA8">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bookmarkStart w:id="502" w:name="PO_3000001868_PM002_16"/>
      <w:r>
        <w:rPr>
          <w:rFonts w:hint="eastAsia" w:hAnsi="宋体" w:cs="宋体"/>
          <w:bCs/>
          <w:color w:val="auto"/>
          <w:sz w:val="24"/>
          <w:szCs w:val="24"/>
          <w:highlight w:val="none"/>
          <w:u w:val="single"/>
        </w:rPr>
        <w:t>[项目名称]</w:t>
      </w:r>
      <w:bookmarkEnd w:id="502"/>
      <w:r>
        <w:rPr>
          <w:rFonts w:hint="eastAsia" w:hAnsi="宋体" w:cs="宋体"/>
          <w:bCs/>
          <w:color w:val="auto"/>
          <w:sz w:val="24"/>
          <w:szCs w:val="24"/>
          <w:highlight w:val="none"/>
          <w:u w:val="single"/>
        </w:rPr>
        <w:t xml:space="preserve"> </w:t>
      </w:r>
    </w:p>
    <w:p w14:paraId="604E3E1B">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bookmarkStart w:id="503" w:name="PO_3000001868_PM001_13"/>
      <w:r>
        <w:rPr>
          <w:rFonts w:hint="eastAsia" w:hAnsi="宋体" w:cs="宋体"/>
          <w:bCs/>
          <w:color w:val="auto"/>
          <w:sz w:val="24"/>
          <w:szCs w:val="24"/>
          <w:highlight w:val="none"/>
          <w:u w:val="single"/>
        </w:rPr>
        <w:t>[项目编号]</w:t>
      </w:r>
      <w:bookmarkEnd w:id="503"/>
      <w:r>
        <w:rPr>
          <w:rFonts w:hint="eastAsia" w:hAnsi="宋体" w:cs="宋体"/>
          <w:bCs/>
          <w:color w:val="auto"/>
          <w:sz w:val="24"/>
          <w:szCs w:val="24"/>
          <w:highlight w:val="none"/>
          <w:u w:val="single"/>
        </w:rPr>
        <w:t xml:space="preserve"> </w:t>
      </w:r>
    </w:p>
    <w:p w14:paraId="404783D4">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bookmarkStart w:id="504" w:name="PO_3000001868_PM026_7"/>
      <w:r>
        <w:rPr>
          <w:rFonts w:hint="eastAsia" w:hAnsi="宋体" w:cs="宋体"/>
          <w:bCs/>
          <w:color w:val="auto"/>
          <w:sz w:val="24"/>
          <w:szCs w:val="24"/>
          <w:highlight w:val="none"/>
          <w:u w:val="single"/>
        </w:rPr>
        <w:t>[采购人]</w:t>
      </w:r>
      <w:bookmarkEnd w:id="504"/>
      <w:r>
        <w:rPr>
          <w:rFonts w:hint="eastAsia" w:hAnsi="宋体" w:cs="宋体"/>
          <w:bCs/>
          <w:color w:val="auto"/>
          <w:sz w:val="24"/>
          <w:szCs w:val="24"/>
          <w:highlight w:val="none"/>
          <w:u w:val="single"/>
        </w:rPr>
        <w:t xml:space="preserve">  </w:t>
      </w:r>
    </w:p>
    <w:p w14:paraId="3440E47E">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193DBD02">
      <w:pPr>
        <w:pStyle w:val="15"/>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2AAFE539">
      <w:pPr>
        <w:pStyle w:val="15"/>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3C7913A5">
      <w:pPr>
        <w:pStyle w:val="15"/>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25F72D35">
      <w:pPr>
        <w:pStyle w:val="15"/>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725FC769">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101B65E9">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71141B0">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1CF0B92B">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40486BDD">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1CBCC3DF">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25A492D2">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895AE8">
      <w:pPr>
        <w:pStyle w:val="15"/>
        <w:spacing w:line="360" w:lineRule="auto"/>
        <w:ind w:left="25" w:leftChars="12" w:firstLine="352" w:firstLineChars="147"/>
        <w:contextualSpacing/>
        <w:rPr>
          <w:rFonts w:hAnsi="宋体" w:cs="宋体"/>
          <w:color w:val="auto"/>
          <w:sz w:val="24"/>
          <w:szCs w:val="24"/>
          <w:highlight w:val="none"/>
        </w:rPr>
      </w:pPr>
    </w:p>
    <w:p w14:paraId="522DC549">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26FE5019">
      <w:pPr>
        <w:pStyle w:val="15"/>
        <w:spacing w:line="360" w:lineRule="auto"/>
        <w:ind w:left="25" w:leftChars="12" w:firstLine="352" w:firstLineChars="147"/>
        <w:contextualSpacing/>
        <w:rPr>
          <w:rFonts w:hAnsi="宋体" w:cs="宋体"/>
          <w:color w:val="auto"/>
          <w:sz w:val="24"/>
          <w:szCs w:val="24"/>
          <w:highlight w:val="none"/>
        </w:rPr>
      </w:pPr>
    </w:p>
    <w:p w14:paraId="6DCE1AAA">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日期：</w:t>
      </w:r>
    </w:p>
    <w:p w14:paraId="07187F3C">
      <w:pPr>
        <w:pStyle w:val="15"/>
        <w:spacing w:line="360" w:lineRule="auto"/>
        <w:rPr>
          <w:rFonts w:hAnsi="宋体" w:cs="宋体"/>
          <w:b/>
          <w:color w:val="auto"/>
          <w:sz w:val="24"/>
          <w:szCs w:val="24"/>
          <w:highlight w:val="none"/>
        </w:rPr>
      </w:pPr>
    </w:p>
    <w:p w14:paraId="2209715B">
      <w:pPr>
        <w:pStyle w:val="15"/>
        <w:spacing w:line="360" w:lineRule="auto"/>
        <w:rPr>
          <w:rFonts w:hAnsi="宋体" w:cs="宋体"/>
          <w:b/>
          <w:color w:val="auto"/>
          <w:sz w:val="24"/>
          <w:szCs w:val="24"/>
          <w:highlight w:val="none"/>
        </w:rPr>
      </w:pPr>
    </w:p>
    <w:p w14:paraId="46D2CE43">
      <w:pPr>
        <w:pStyle w:val="15"/>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6066C6F0">
      <w:pPr>
        <w:pStyle w:val="15"/>
        <w:spacing w:line="360" w:lineRule="auto"/>
        <w:ind w:left="25" w:leftChars="12"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4475D0E0">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E05371">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69B82310">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04676B08">
      <w:pPr>
        <w:pStyle w:val="15"/>
        <w:spacing w:line="360" w:lineRule="auto"/>
        <w:ind w:left="25" w:leftChars="12" w:firstLine="354" w:firstLineChars="147"/>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19B98B13">
      <w:pPr>
        <w:pStyle w:val="15"/>
        <w:snapToGrid w:val="0"/>
        <w:rPr>
          <w:rFonts w:hAnsi="宋体" w:cs="宋体"/>
          <w:b/>
          <w:color w:val="auto"/>
          <w:sz w:val="24"/>
          <w:szCs w:val="24"/>
          <w:highlight w:val="none"/>
        </w:rPr>
      </w:pPr>
    </w:p>
    <w:p w14:paraId="51034394">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1D1BFFD4">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3388A916">
      <w:pPr>
        <w:pStyle w:val="15"/>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15D2A85A">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D79A6D8">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2934866">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4202DF38">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CD2C725">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E37AF24">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A7CF432">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7A9362A">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0E3AA149">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778A901">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6F94E7D">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B4362E1">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3F41D6A8">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5603B049">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69F5CC98">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2F1C0400">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ECA316D">
      <w:pPr>
        <w:pStyle w:val="15"/>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72BB51C9">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bookmarkStart w:id="505" w:name="PO_3000001868_PM002_17"/>
      <w:r>
        <w:rPr>
          <w:rFonts w:hint="eastAsia" w:hAnsi="宋体" w:cs="宋体"/>
          <w:bCs/>
          <w:color w:val="auto"/>
          <w:sz w:val="24"/>
          <w:szCs w:val="24"/>
          <w:highlight w:val="none"/>
          <w:u w:val="single"/>
        </w:rPr>
        <w:t>[项目名称]</w:t>
      </w:r>
      <w:bookmarkEnd w:id="505"/>
      <w:r>
        <w:rPr>
          <w:rFonts w:hint="eastAsia" w:hAnsi="宋体" w:cs="宋体"/>
          <w:bCs/>
          <w:color w:val="auto"/>
          <w:sz w:val="24"/>
          <w:szCs w:val="24"/>
          <w:highlight w:val="none"/>
          <w:u w:val="single"/>
        </w:rPr>
        <w:t xml:space="preserve">    </w:t>
      </w:r>
    </w:p>
    <w:p w14:paraId="4B8B126C">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bookmarkStart w:id="506" w:name="PO_3000001868_PM001_14"/>
      <w:r>
        <w:rPr>
          <w:rFonts w:hint="eastAsia" w:hAnsi="宋体" w:cs="宋体"/>
          <w:bCs/>
          <w:color w:val="auto"/>
          <w:sz w:val="24"/>
          <w:szCs w:val="24"/>
          <w:highlight w:val="none"/>
          <w:u w:val="single"/>
        </w:rPr>
        <w:t>[项目编号]</w:t>
      </w:r>
      <w:bookmarkEnd w:id="506"/>
      <w:r>
        <w:rPr>
          <w:rFonts w:hint="eastAsia" w:hAnsi="宋体" w:cs="宋体"/>
          <w:bCs/>
          <w:color w:val="auto"/>
          <w:sz w:val="24"/>
          <w:szCs w:val="24"/>
          <w:highlight w:val="none"/>
          <w:u w:val="single"/>
        </w:rPr>
        <w:t xml:space="preserve">    </w:t>
      </w:r>
    </w:p>
    <w:p w14:paraId="45A75FB1">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bookmarkStart w:id="507" w:name="PO_3000001868_PM026_8"/>
      <w:r>
        <w:rPr>
          <w:rFonts w:hint="eastAsia" w:hAnsi="宋体" w:cs="宋体"/>
          <w:bCs/>
          <w:color w:val="auto"/>
          <w:sz w:val="24"/>
          <w:szCs w:val="24"/>
          <w:highlight w:val="none"/>
          <w:u w:val="single"/>
        </w:rPr>
        <w:t>[采购人]</w:t>
      </w:r>
      <w:bookmarkEnd w:id="507"/>
      <w:r>
        <w:rPr>
          <w:rFonts w:hint="eastAsia" w:hAnsi="宋体" w:cs="宋体"/>
          <w:bCs/>
          <w:color w:val="auto"/>
          <w:sz w:val="24"/>
          <w:szCs w:val="24"/>
          <w:highlight w:val="none"/>
          <w:u w:val="single"/>
        </w:rPr>
        <w:t xml:space="preserve">                </w:t>
      </w:r>
    </w:p>
    <w:p w14:paraId="530AE79A">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bookmarkStart w:id="508" w:name="PO_3000001868_PM031_5"/>
      <w:r>
        <w:rPr>
          <w:rFonts w:hint="eastAsia" w:hAnsi="宋体" w:cs="宋体"/>
          <w:bCs/>
          <w:color w:val="auto"/>
          <w:sz w:val="24"/>
          <w:szCs w:val="24"/>
          <w:highlight w:val="none"/>
          <w:u w:val="single"/>
        </w:rPr>
        <w:t>[采购组织机构]</w:t>
      </w:r>
      <w:bookmarkEnd w:id="508"/>
      <w:r>
        <w:rPr>
          <w:rFonts w:hint="eastAsia" w:hAnsi="宋体" w:cs="宋体"/>
          <w:bCs/>
          <w:color w:val="auto"/>
          <w:sz w:val="24"/>
          <w:szCs w:val="24"/>
          <w:highlight w:val="none"/>
          <w:u w:val="single"/>
        </w:rPr>
        <w:t xml:space="preserve">                </w:t>
      </w:r>
    </w:p>
    <w:p w14:paraId="026B7C44">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招标文件公告：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7B7319B">
      <w:pPr>
        <w:pStyle w:val="15"/>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F05F42C">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68B97B40">
      <w:pPr>
        <w:pStyle w:val="15"/>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88E55D">
      <w:pPr>
        <w:pStyle w:val="15"/>
        <w:spacing w:line="360" w:lineRule="auto"/>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F76E097">
      <w:pPr>
        <w:pStyle w:val="1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7FA0C1C8">
      <w:pPr>
        <w:pStyle w:val="15"/>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365236DE">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7BB75074">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7F2E95AB">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08A2F743">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6DE78242">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0D4EF1DA">
      <w:pPr>
        <w:pStyle w:val="15"/>
        <w:spacing w:line="360" w:lineRule="auto"/>
        <w:ind w:left="25" w:leftChars="12"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7C3EB7C5">
      <w:pPr>
        <w:pStyle w:val="15"/>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02F2D16">
      <w:pPr>
        <w:pStyle w:val="15"/>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0461F2FB">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6DA0915">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1C91FB00">
      <w:pPr>
        <w:pStyle w:val="15"/>
        <w:spacing w:line="360" w:lineRule="auto"/>
        <w:ind w:left="25" w:leftChars="12" w:firstLine="352" w:firstLineChars="147"/>
        <w:rPr>
          <w:rFonts w:hAnsi="宋体" w:cs="宋体"/>
          <w:color w:val="auto"/>
          <w:sz w:val="24"/>
          <w:szCs w:val="24"/>
          <w:highlight w:val="none"/>
        </w:rPr>
      </w:pPr>
    </w:p>
    <w:p w14:paraId="189BB426">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33078355">
      <w:pPr>
        <w:pStyle w:val="15"/>
        <w:spacing w:line="360" w:lineRule="auto"/>
        <w:ind w:left="25" w:leftChars="12" w:firstLine="352" w:firstLineChars="147"/>
        <w:rPr>
          <w:rFonts w:hAnsi="宋体" w:cs="宋体"/>
          <w:color w:val="auto"/>
          <w:sz w:val="24"/>
          <w:szCs w:val="24"/>
          <w:highlight w:val="none"/>
        </w:rPr>
      </w:pPr>
    </w:p>
    <w:p w14:paraId="1A10BBD1">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0A8DF963">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 xml:space="preserve">                                                                                 </w:t>
      </w:r>
    </w:p>
    <w:p w14:paraId="6A061260">
      <w:pPr>
        <w:pStyle w:val="15"/>
        <w:snapToGrid w:val="0"/>
        <w:spacing w:line="360" w:lineRule="auto"/>
        <w:rPr>
          <w:rFonts w:hAnsi="宋体" w:cs="宋体"/>
          <w:b/>
          <w:color w:val="auto"/>
          <w:sz w:val="24"/>
          <w:szCs w:val="24"/>
          <w:highlight w:val="none"/>
        </w:rPr>
      </w:pPr>
    </w:p>
    <w:p w14:paraId="74BEFBA8">
      <w:pPr>
        <w:pStyle w:val="15"/>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33EBF33F">
      <w:pPr>
        <w:pStyle w:val="15"/>
        <w:spacing w:line="360" w:lineRule="auto"/>
        <w:ind w:left="25" w:leftChars="12"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43620B2A">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D4D7E0">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49E154CE">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F4C0C8F">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0A8889F">
      <w:pPr>
        <w:pStyle w:val="15"/>
        <w:spacing w:line="360" w:lineRule="auto"/>
        <w:ind w:left="25" w:leftChars="12" w:firstLine="354" w:firstLineChars="147"/>
        <w:rPr>
          <w:rFonts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7F9627B7">
      <w:pPr>
        <w:rPr>
          <w:rFonts w:ascii="宋体" w:hAnsi="宋体" w:cs="宋体"/>
          <w:color w:val="auto"/>
          <w:highlight w:val="none"/>
        </w:rPr>
      </w:pPr>
    </w:p>
    <w:p w14:paraId="1D4931B4">
      <w:pPr>
        <w:rPr>
          <w:rFonts w:ascii="宋体" w:hAnsi="宋体" w:cs="宋体"/>
          <w:color w:val="auto"/>
          <w:highlight w:val="none"/>
        </w:rPr>
      </w:pPr>
    </w:p>
    <w:sectPr>
      <w:footerReference r:id="rId12" w:type="first"/>
      <w:footerReference r:id="rId11"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方正小标宋简体">
    <w:panose1 w:val="02000000000000000000"/>
    <w:charset w:val="86"/>
    <w:family w:val="auto"/>
    <w:pitch w:val="default"/>
    <w:sig w:usb0="00000001" w:usb1="08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47F7">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A9EA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53A9EA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A5D49">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81FCD">
                          <w:pPr>
                            <w:pStyle w:val="1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6C81FCD">
                    <w:pPr>
                      <w:pStyle w:val="1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35946">
    <w:pPr>
      <w:pStyle w:val="18"/>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F57D3">
                          <w:pPr>
                            <w:pStyle w:val="18"/>
                            <w:jc w:val="right"/>
                          </w:pPr>
                          <w:r>
                            <w:fldChar w:fldCharType="begin"/>
                          </w:r>
                          <w:r>
                            <w:instrText xml:space="preserve">PAGE   \* MERGEFORMAT</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0EF57D3">
                    <w:pPr>
                      <w:pStyle w:val="18"/>
                      <w:jc w:val="right"/>
                    </w:pPr>
                    <w:r>
                      <w:fldChar w:fldCharType="begin"/>
                    </w:r>
                    <w:r>
                      <w:instrText xml:space="preserve">PAGE   \* MERGEFORMAT</w:instrText>
                    </w:r>
                    <w:r>
                      <w:fldChar w:fldCharType="separate"/>
                    </w:r>
                    <w:r>
                      <w:t>5</w:t>
                    </w:r>
                    <w:r>
                      <w:fldChar w:fldCharType="end"/>
                    </w:r>
                  </w:p>
                </w:txbxContent>
              </v:textbox>
            </v:shape>
          </w:pict>
        </mc:Fallback>
      </mc:AlternateContent>
    </w:r>
  </w:p>
  <w:p w14:paraId="55FCA117">
    <w:pPr>
      <w:pStyle w:val="11"/>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249EC">
    <w:pPr>
      <w:pStyle w:val="18"/>
    </w:pPr>
    <w:r>
      <w:fldChar w:fldCharType="begin"/>
    </w:r>
    <w:r>
      <w:instrText xml:space="preserve">PAGE   \* MERGEFORMAT</w:instrText>
    </w:r>
    <w:r>
      <w:fldChar w:fldCharType="separate"/>
    </w:r>
    <w:r>
      <w:t>150</w:t>
    </w:r>
    <w:r>
      <w:fldChar w:fldCharType="end"/>
    </w:r>
  </w:p>
  <w:p w14:paraId="3D8FF921">
    <w:pPr>
      <w:pStyle w:val="11"/>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C2C91">
    <w:pPr>
      <w:pStyle w:val="18"/>
      <w:jc w:val="righ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54337E">
                          <w:pPr>
                            <w:pStyle w:val="18"/>
                            <w:jc w:val="right"/>
                          </w:pPr>
                          <w:r>
                            <w:fldChar w:fldCharType="begin"/>
                          </w:r>
                          <w:r>
                            <w:instrText xml:space="preserve">PAGE   \* MERGEFORMAT</w:instrText>
                          </w:r>
                          <w:r>
                            <w:fldChar w:fldCharType="separate"/>
                          </w:r>
                          <w:r>
                            <w:t>149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454337E">
                    <w:pPr>
                      <w:pStyle w:val="18"/>
                      <w:jc w:val="right"/>
                    </w:pPr>
                    <w:r>
                      <w:fldChar w:fldCharType="begin"/>
                    </w:r>
                    <w:r>
                      <w:instrText xml:space="preserve">PAGE   \* MERGEFORMAT</w:instrText>
                    </w:r>
                    <w:r>
                      <w:fldChar w:fldCharType="separate"/>
                    </w:r>
                    <w:r>
                      <w:t>149</w:t>
                    </w:r>
                    <w:r>
                      <w:fldChar w:fldCharType="end"/>
                    </w:r>
                  </w:p>
                </w:txbxContent>
              </v:textbox>
            </v:shape>
          </w:pict>
        </mc:Fallback>
      </mc:AlternateContent>
    </w:r>
  </w:p>
  <w:p w14:paraId="260E7D84">
    <w:pPr>
      <w:pStyle w:val="11"/>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E0A13">
    <w:pPr>
      <w:pStyle w:val="11"/>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78CBE">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170E56">
                          <w:pPr>
                            <w:pStyle w:val="18"/>
                            <w:jc w:val="center"/>
                          </w:pPr>
                          <w:r>
                            <w:fldChar w:fldCharType="begin"/>
                          </w:r>
                          <w:r>
                            <w:instrText xml:space="preserve"> PAGE  \* MERGEFORMAT </w:instrText>
                          </w:r>
                          <w:r>
                            <w:fldChar w:fldCharType="separate"/>
                          </w:r>
                          <w:r>
                            <w:t>84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A170E56">
                    <w:pPr>
                      <w:pStyle w:val="18"/>
                      <w:jc w:val="center"/>
                    </w:pPr>
                    <w:r>
                      <w:fldChar w:fldCharType="begin"/>
                    </w:r>
                    <w:r>
                      <w:instrText xml:space="preserve"> PAGE  \* MERGEFORMAT </w:instrText>
                    </w:r>
                    <w:r>
                      <w:fldChar w:fldCharType="separate"/>
                    </w:r>
                    <w:r>
                      <w:t>84</w:t>
                    </w:r>
                    <w:r>
                      <w:fldChar w:fldCharType="end"/>
                    </w:r>
                  </w:p>
                </w:txbxContent>
              </v:textbox>
            </v:shape>
          </w:pict>
        </mc:Fallback>
      </mc:AlternateContent>
    </w:r>
  </w:p>
  <w:p w14:paraId="091A11A8">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4C04E">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350972">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8350972">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6C1E3398">
      <w:pPr>
        <w:pStyle w:val="22"/>
        <w:spacing w:line="240" w:lineRule="auto"/>
        <w:ind w:firstLine="0"/>
        <w:rPr>
          <w:rFonts w:hint="eastAsia"/>
          <w:kern w:val="2"/>
        </w:rPr>
      </w:pPr>
      <w:r>
        <w:rPr>
          <w:rStyle w:val="34"/>
        </w:rPr>
        <w:footnoteRef/>
      </w:r>
      <w:r>
        <w:rPr>
          <w:rFonts w:hint="eastAsia"/>
        </w:rPr>
        <w:t>如果在招标阶段，招标人在图纸中直接指定了取土场和弃土场位置，且作为投标人投标报价的依据，则招标人应在项目专用合同条款中对本项规定进行调整。</w:t>
      </w:r>
    </w:p>
  </w:footnote>
  <w:footnote w:id="1">
    <w:p w14:paraId="2A36C7DA">
      <w:pPr>
        <w:pStyle w:val="22"/>
        <w:ind w:firstLine="360"/>
        <w:rPr>
          <w:rFonts w:hint="eastAsia"/>
          <w:kern w:val="2"/>
        </w:rPr>
      </w:pPr>
      <w:r>
        <w:rPr>
          <w:rStyle w:val="34"/>
        </w:rPr>
        <w:footnoteRef/>
      </w:r>
      <w:r>
        <w:rPr>
          <w:rFonts w:hint="eastAsia"/>
        </w:rPr>
        <w:t>本条内容可修改为：“本担保自（生效日期）之日起生效，至</w:t>
      </w:r>
      <w:r>
        <w:rPr>
          <w:rFonts w:hint="eastAsia"/>
        </w:rPr>
        <w:tab/>
      </w:r>
      <w:r>
        <w:rPr>
          <w:rFonts w:hint="eastAsia"/>
        </w:rPr>
        <w:t>（失效日期）之日失效。”</w:t>
      </w:r>
    </w:p>
    <w:p w14:paraId="7FDD9DEC">
      <w:pPr>
        <w:pStyle w:val="22"/>
        <w:ind w:firstLine="360"/>
        <w:rPr>
          <w:rFonts w:hint="eastAsia"/>
        </w:rPr>
      </w:pPr>
      <w:r>
        <w:rPr>
          <w:rFonts w:hint="eastAsia"/>
        </w:rPr>
        <w:t>如发包人接受履约保函采用固定有效期，在项目专用合同条款中应增加保证承包人在履约保函失效日前向发包人出具后续阶段履约保函的约束性条款，直至发包人签发交工验收证书且承包人按照合同约定缴纳质量保证金之日为止。</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7A55C">
    <w:pPr>
      <w:pStyle w:val="19"/>
    </w:pPr>
    <w:r>
      <w:rPr>
        <w:rFonts w:hint="eastAsia"/>
        <w:lang w:val="en-US" w:eastAsia="zh-CN"/>
      </w:rPr>
      <w:t>防城港市上思县</w:t>
    </w:r>
    <w:r>
      <w:rPr>
        <w:rFonts w:hint="eastAsia"/>
      </w:rPr>
      <w:t>政府采购竞争性磋商采购文件（项目编号：</w:t>
    </w:r>
    <w:r>
      <w:rPr>
        <w:rFonts w:hint="eastAsia"/>
        <w:lang w:eastAsia="zh-CN"/>
      </w:rPr>
      <w:t>FCZC2026-C2-210055-GXZZ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BBBD62"/>
    <w:multiLevelType w:val="singleLevel"/>
    <w:tmpl w:val="A0BBBD62"/>
    <w:lvl w:ilvl="0" w:tentative="0">
      <w:start w:val="1"/>
      <w:numFmt w:val="decimal"/>
      <w:suff w:val="nothing"/>
      <w:lvlText w:val="（%1）"/>
      <w:lvlJc w:val="left"/>
    </w:lvl>
  </w:abstractNum>
  <w:abstractNum w:abstractNumId="1">
    <w:nsid w:val="A1965E9C"/>
    <w:multiLevelType w:val="singleLevel"/>
    <w:tmpl w:val="A1965E9C"/>
    <w:lvl w:ilvl="0" w:tentative="0">
      <w:start w:val="1"/>
      <w:numFmt w:val="decimal"/>
      <w:suff w:val="nothing"/>
      <w:lvlText w:val="（%1）"/>
      <w:lvlJc w:val="left"/>
    </w:lvl>
  </w:abstractNum>
  <w:abstractNum w:abstractNumId="2">
    <w:nsid w:val="CDF203A6"/>
    <w:multiLevelType w:val="singleLevel"/>
    <w:tmpl w:val="CDF203A6"/>
    <w:lvl w:ilvl="0" w:tentative="0">
      <w:start w:val="7"/>
      <w:numFmt w:val="chineseCounting"/>
      <w:suff w:val="nothing"/>
      <w:lvlText w:val="%1、"/>
      <w:lvlJc w:val="left"/>
      <w:rPr>
        <w:rFonts w:hint="eastAsia"/>
      </w:rPr>
    </w:lvl>
  </w:abstractNum>
  <w:abstractNum w:abstractNumId="3">
    <w:nsid w:val="E2AD0F0F"/>
    <w:multiLevelType w:val="singleLevel"/>
    <w:tmpl w:val="E2AD0F0F"/>
    <w:lvl w:ilvl="0" w:tentative="0">
      <w:start w:val="12"/>
      <w:numFmt w:val="decimal"/>
      <w:suff w:val="nothing"/>
      <w:lvlText w:val="%1．"/>
      <w:lvlJc w:val="left"/>
    </w:lvl>
  </w:abstractNum>
  <w:abstractNum w:abstractNumId="4">
    <w:nsid w:val="EED7ECF8"/>
    <w:multiLevelType w:val="singleLevel"/>
    <w:tmpl w:val="EED7ECF8"/>
    <w:lvl w:ilvl="0" w:tentative="0">
      <w:start w:val="3"/>
      <w:numFmt w:val="chineseCounting"/>
      <w:suff w:val="space"/>
      <w:lvlText w:val="第%1节"/>
      <w:lvlJc w:val="left"/>
      <w:rPr>
        <w:rFonts w:hint="eastAsia"/>
      </w:rPr>
    </w:lvl>
  </w:abstractNum>
  <w:abstractNum w:abstractNumId="5">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177157EF"/>
    <w:multiLevelType w:val="singleLevel"/>
    <w:tmpl w:val="177157EF"/>
    <w:lvl w:ilvl="0" w:tentative="0">
      <w:start w:val="3"/>
      <w:numFmt w:val="chineseCounting"/>
      <w:suff w:val="nothing"/>
      <w:lvlText w:val="%1、"/>
      <w:lvlJc w:val="left"/>
      <w:rPr>
        <w:rFonts w:hint="eastAsia"/>
      </w:rPr>
    </w:lvl>
  </w:abstractNum>
  <w:abstractNum w:abstractNumId="7">
    <w:nsid w:val="2884BD95"/>
    <w:multiLevelType w:val="singleLevel"/>
    <w:tmpl w:val="2884BD95"/>
    <w:lvl w:ilvl="0" w:tentative="0">
      <w:start w:val="1"/>
      <w:numFmt w:val="decimal"/>
      <w:suff w:val="nothing"/>
      <w:lvlText w:val="%1、"/>
      <w:lvlJc w:val="left"/>
    </w:lvl>
  </w:abstractNum>
  <w:abstractNum w:abstractNumId="8">
    <w:nsid w:val="508D7A92"/>
    <w:multiLevelType w:val="singleLevel"/>
    <w:tmpl w:val="508D7A92"/>
    <w:lvl w:ilvl="0" w:tentative="0">
      <w:start w:val="1"/>
      <w:numFmt w:val="decimal"/>
      <w:suff w:val="nothing"/>
      <w:lvlText w:val="（%1）"/>
      <w:lvlJc w:val="left"/>
    </w:lvl>
  </w:abstractNum>
  <w:abstractNum w:abstractNumId="9">
    <w:nsid w:val="531434F1"/>
    <w:multiLevelType w:val="singleLevel"/>
    <w:tmpl w:val="531434F1"/>
    <w:lvl w:ilvl="0" w:tentative="0">
      <w:start w:val="1"/>
      <w:numFmt w:val="decimal"/>
      <w:suff w:val="nothing"/>
      <w:lvlText w:val="（%1）"/>
      <w:lvlJc w:val="left"/>
    </w:lvl>
  </w:abstractNum>
  <w:abstractNum w:abstractNumId="10">
    <w:nsid w:val="5B39FDE6"/>
    <w:multiLevelType w:val="singleLevel"/>
    <w:tmpl w:val="5B39FDE6"/>
    <w:lvl w:ilvl="0" w:tentative="0">
      <w:start w:val="1"/>
      <w:numFmt w:val="decimal"/>
      <w:suff w:val="nothing"/>
      <w:lvlText w:val="（%1）"/>
      <w:lvlJc w:val="left"/>
      <w:pPr>
        <w:ind w:left="0" w:firstLine="0"/>
      </w:pPr>
    </w:lvl>
  </w:abstractNum>
  <w:abstractNum w:abstractNumId="11">
    <w:nsid w:val="72668605"/>
    <w:multiLevelType w:val="singleLevel"/>
    <w:tmpl w:val="72668605"/>
    <w:lvl w:ilvl="0" w:tentative="0">
      <w:start w:val="1"/>
      <w:numFmt w:val="decimal"/>
      <w:pStyle w:val="7"/>
      <w:lvlText w:val="%1."/>
      <w:lvlJc w:val="left"/>
      <w:pPr>
        <w:tabs>
          <w:tab w:val="left" w:pos="360"/>
        </w:tabs>
        <w:ind w:left="360" w:hanging="360"/>
      </w:pPr>
    </w:lvl>
  </w:abstractNum>
  <w:num w:numId="1">
    <w:abstractNumId w:val="11"/>
  </w:num>
  <w:num w:numId="2">
    <w:abstractNumId w:val="8"/>
  </w:num>
  <w:num w:numId="3">
    <w:abstractNumId w:val="2"/>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10"/>
    <w:lvlOverride w:ilvl="0">
      <w:startOverride w:val="1"/>
    </w:lvlOverride>
  </w:num>
  <w:num w:numId="9">
    <w:abstractNumId w:val="1"/>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MGY0MTZhNzRiZjhmNWIwNjBhN2QyNGI5MmIwMWQifQ=="/>
  </w:docVars>
  <w:rsids>
    <w:rsidRoot w:val="72590521"/>
    <w:rsid w:val="000510B6"/>
    <w:rsid w:val="0014006B"/>
    <w:rsid w:val="0015420E"/>
    <w:rsid w:val="001E77F1"/>
    <w:rsid w:val="002738D5"/>
    <w:rsid w:val="003E0F2D"/>
    <w:rsid w:val="00444F54"/>
    <w:rsid w:val="00733D07"/>
    <w:rsid w:val="00733FD2"/>
    <w:rsid w:val="00773247"/>
    <w:rsid w:val="00854C70"/>
    <w:rsid w:val="00896A26"/>
    <w:rsid w:val="00B477E1"/>
    <w:rsid w:val="00E02320"/>
    <w:rsid w:val="00E076C4"/>
    <w:rsid w:val="019D115B"/>
    <w:rsid w:val="01A544B3"/>
    <w:rsid w:val="01E12EDC"/>
    <w:rsid w:val="03FB241F"/>
    <w:rsid w:val="05F4078D"/>
    <w:rsid w:val="06A41694"/>
    <w:rsid w:val="07757BDE"/>
    <w:rsid w:val="07CA4C73"/>
    <w:rsid w:val="08783670"/>
    <w:rsid w:val="08910034"/>
    <w:rsid w:val="089D5EE4"/>
    <w:rsid w:val="08E9253E"/>
    <w:rsid w:val="09024057"/>
    <w:rsid w:val="099427CD"/>
    <w:rsid w:val="0A5614C6"/>
    <w:rsid w:val="0AE02C20"/>
    <w:rsid w:val="0BEC2D80"/>
    <w:rsid w:val="0C973ECB"/>
    <w:rsid w:val="0D1F4B54"/>
    <w:rsid w:val="0D1F511A"/>
    <w:rsid w:val="0DC05864"/>
    <w:rsid w:val="0DC07915"/>
    <w:rsid w:val="0ED10695"/>
    <w:rsid w:val="0EE643B4"/>
    <w:rsid w:val="0F764D32"/>
    <w:rsid w:val="0FE852B9"/>
    <w:rsid w:val="11140D0D"/>
    <w:rsid w:val="11162CD7"/>
    <w:rsid w:val="112D117D"/>
    <w:rsid w:val="11543B08"/>
    <w:rsid w:val="131F22A7"/>
    <w:rsid w:val="14B542EB"/>
    <w:rsid w:val="14C65C60"/>
    <w:rsid w:val="14E80D87"/>
    <w:rsid w:val="16C2757B"/>
    <w:rsid w:val="17500FFF"/>
    <w:rsid w:val="18083A36"/>
    <w:rsid w:val="1811456D"/>
    <w:rsid w:val="18A701A3"/>
    <w:rsid w:val="1AEF0255"/>
    <w:rsid w:val="1DAD75B8"/>
    <w:rsid w:val="1DC37378"/>
    <w:rsid w:val="1E1F4DBD"/>
    <w:rsid w:val="1F1A4A57"/>
    <w:rsid w:val="1F212D50"/>
    <w:rsid w:val="1F5F15FB"/>
    <w:rsid w:val="2120569A"/>
    <w:rsid w:val="2139502F"/>
    <w:rsid w:val="22B569E9"/>
    <w:rsid w:val="239530E4"/>
    <w:rsid w:val="23CF3DE7"/>
    <w:rsid w:val="23E838BA"/>
    <w:rsid w:val="24C02C1C"/>
    <w:rsid w:val="259C7F06"/>
    <w:rsid w:val="27064F56"/>
    <w:rsid w:val="271C2272"/>
    <w:rsid w:val="2A2A6F25"/>
    <w:rsid w:val="2A6308E4"/>
    <w:rsid w:val="2AD156A3"/>
    <w:rsid w:val="2B637489"/>
    <w:rsid w:val="2DA82AB1"/>
    <w:rsid w:val="2DD161DF"/>
    <w:rsid w:val="2E9372E3"/>
    <w:rsid w:val="2F7B74D5"/>
    <w:rsid w:val="3179279B"/>
    <w:rsid w:val="31946B55"/>
    <w:rsid w:val="327C2994"/>
    <w:rsid w:val="33114C55"/>
    <w:rsid w:val="340547BA"/>
    <w:rsid w:val="344A4467"/>
    <w:rsid w:val="346B4DFC"/>
    <w:rsid w:val="350D3D50"/>
    <w:rsid w:val="35AA4124"/>
    <w:rsid w:val="35D3093F"/>
    <w:rsid w:val="37015A22"/>
    <w:rsid w:val="379A790F"/>
    <w:rsid w:val="38757231"/>
    <w:rsid w:val="39333B77"/>
    <w:rsid w:val="39414E76"/>
    <w:rsid w:val="395028AA"/>
    <w:rsid w:val="3A7D30CD"/>
    <w:rsid w:val="3B4C7172"/>
    <w:rsid w:val="3C925059"/>
    <w:rsid w:val="3CE65E70"/>
    <w:rsid w:val="3D3D401B"/>
    <w:rsid w:val="3EDB25AD"/>
    <w:rsid w:val="3EEF6155"/>
    <w:rsid w:val="3F0A4723"/>
    <w:rsid w:val="3FD20B5E"/>
    <w:rsid w:val="404A4866"/>
    <w:rsid w:val="41120516"/>
    <w:rsid w:val="41310CE3"/>
    <w:rsid w:val="41A0344B"/>
    <w:rsid w:val="41D2177E"/>
    <w:rsid w:val="434D1256"/>
    <w:rsid w:val="43574906"/>
    <w:rsid w:val="436D5ED7"/>
    <w:rsid w:val="43804DDE"/>
    <w:rsid w:val="440A3726"/>
    <w:rsid w:val="45F97FFB"/>
    <w:rsid w:val="4614088C"/>
    <w:rsid w:val="47036501"/>
    <w:rsid w:val="470C7D34"/>
    <w:rsid w:val="473D0DA5"/>
    <w:rsid w:val="487041FF"/>
    <w:rsid w:val="488643E5"/>
    <w:rsid w:val="48E91EBC"/>
    <w:rsid w:val="493A429A"/>
    <w:rsid w:val="493F3E72"/>
    <w:rsid w:val="497C6E74"/>
    <w:rsid w:val="49E66D09"/>
    <w:rsid w:val="49EB5111"/>
    <w:rsid w:val="4A6F7BCC"/>
    <w:rsid w:val="4B1530DD"/>
    <w:rsid w:val="4B931AB6"/>
    <w:rsid w:val="4BE43E1D"/>
    <w:rsid w:val="4C0F2086"/>
    <w:rsid w:val="4C3374BB"/>
    <w:rsid w:val="4C925E54"/>
    <w:rsid w:val="4CB66890"/>
    <w:rsid w:val="4CE0771A"/>
    <w:rsid w:val="4D2B1E2E"/>
    <w:rsid w:val="4DB513F5"/>
    <w:rsid w:val="4DBA440F"/>
    <w:rsid w:val="4E0E32EC"/>
    <w:rsid w:val="4E6A1991"/>
    <w:rsid w:val="4E6F6C65"/>
    <w:rsid w:val="4FD55530"/>
    <w:rsid w:val="500A1A11"/>
    <w:rsid w:val="50125E3D"/>
    <w:rsid w:val="50BC224C"/>
    <w:rsid w:val="50D420F0"/>
    <w:rsid w:val="510A6F88"/>
    <w:rsid w:val="519F45AD"/>
    <w:rsid w:val="52285CE0"/>
    <w:rsid w:val="52CA68C2"/>
    <w:rsid w:val="52CD68BD"/>
    <w:rsid w:val="546227DC"/>
    <w:rsid w:val="54F26A43"/>
    <w:rsid w:val="566E6C91"/>
    <w:rsid w:val="56830168"/>
    <w:rsid w:val="56D57BC4"/>
    <w:rsid w:val="57600F2A"/>
    <w:rsid w:val="5829145C"/>
    <w:rsid w:val="582A3264"/>
    <w:rsid w:val="5855720E"/>
    <w:rsid w:val="58814E71"/>
    <w:rsid w:val="58E40592"/>
    <w:rsid w:val="58F86F27"/>
    <w:rsid w:val="5B0171D9"/>
    <w:rsid w:val="5B3C46B5"/>
    <w:rsid w:val="5C1B4AA7"/>
    <w:rsid w:val="5C5B1863"/>
    <w:rsid w:val="5D34405E"/>
    <w:rsid w:val="5D98486A"/>
    <w:rsid w:val="5EDC1325"/>
    <w:rsid w:val="5F5E109E"/>
    <w:rsid w:val="5FA40A7B"/>
    <w:rsid w:val="60492303"/>
    <w:rsid w:val="61B01959"/>
    <w:rsid w:val="61BF6C65"/>
    <w:rsid w:val="627E5625"/>
    <w:rsid w:val="6300246C"/>
    <w:rsid w:val="634A6B99"/>
    <w:rsid w:val="634F3056"/>
    <w:rsid w:val="64073002"/>
    <w:rsid w:val="64485466"/>
    <w:rsid w:val="64CE0732"/>
    <w:rsid w:val="654D349C"/>
    <w:rsid w:val="65622F6B"/>
    <w:rsid w:val="666A1688"/>
    <w:rsid w:val="66A20783"/>
    <w:rsid w:val="66BB6220"/>
    <w:rsid w:val="66F94245"/>
    <w:rsid w:val="672229B1"/>
    <w:rsid w:val="67D768A8"/>
    <w:rsid w:val="68481CB4"/>
    <w:rsid w:val="684D788C"/>
    <w:rsid w:val="68AF4719"/>
    <w:rsid w:val="693D216C"/>
    <w:rsid w:val="69643755"/>
    <w:rsid w:val="69E76134"/>
    <w:rsid w:val="6A3505E0"/>
    <w:rsid w:val="6C5664BB"/>
    <w:rsid w:val="6D5F0968"/>
    <w:rsid w:val="6D90547A"/>
    <w:rsid w:val="6E2A3D59"/>
    <w:rsid w:val="6EE73126"/>
    <w:rsid w:val="6F2E640E"/>
    <w:rsid w:val="71DF335D"/>
    <w:rsid w:val="72590521"/>
    <w:rsid w:val="737F2F3A"/>
    <w:rsid w:val="73C92407"/>
    <w:rsid w:val="740F250F"/>
    <w:rsid w:val="74A050C6"/>
    <w:rsid w:val="75930F1E"/>
    <w:rsid w:val="75F210A5"/>
    <w:rsid w:val="779A3713"/>
    <w:rsid w:val="77F74806"/>
    <w:rsid w:val="788C05D2"/>
    <w:rsid w:val="788D26EB"/>
    <w:rsid w:val="7895331B"/>
    <w:rsid w:val="79226841"/>
    <w:rsid w:val="794C1B10"/>
    <w:rsid w:val="79D44CC5"/>
    <w:rsid w:val="7A7F5410"/>
    <w:rsid w:val="7C464F3C"/>
    <w:rsid w:val="7C8342AF"/>
    <w:rsid w:val="7CF00243"/>
    <w:rsid w:val="7D3C187C"/>
    <w:rsid w:val="7DE60730"/>
    <w:rsid w:val="7E6D4A02"/>
    <w:rsid w:val="7ED740F4"/>
    <w:rsid w:val="7F701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99"/>
    <w:pPr>
      <w:ind w:left="1400" w:leftChars="1400"/>
    </w:pPr>
  </w:style>
  <w:style w:type="paragraph" w:styleId="7">
    <w:name w:val="List Number"/>
    <w:basedOn w:val="1"/>
    <w:autoRedefine/>
    <w:qFormat/>
    <w:uiPriority w:val="0"/>
    <w:pPr>
      <w:numPr>
        <w:ilvl w:val="0"/>
        <w:numId w:val="1"/>
      </w:numPr>
    </w:pPr>
  </w:style>
  <w:style w:type="paragraph" w:styleId="8">
    <w:name w:val="Normal Indent"/>
    <w:basedOn w:val="1"/>
    <w:autoRedefine/>
    <w:qFormat/>
    <w:uiPriority w:val="99"/>
    <w:pPr>
      <w:ind w:firstLine="420"/>
    </w:pPr>
    <w:rPr>
      <w:szCs w:val="20"/>
    </w:rPr>
  </w:style>
  <w:style w:type="paragraph" w:styleId="9">
    <w:name w:val="annotation text"/>
    <w:basedOn w:val="1"/>
    <w:autoRedefine/>
    <w:qFormat/>
    <w:uiPriority w:val="0"/>
    <w:pPr>
      <w:jc w:val="left"/>
    </w:pPr>
  </w:style>
  <w:style w:type="paragraph" w:styleId="10">
    <w:name w:val="Body Text 3"/>
    <w:basedOn w:val="1"/>
    <w:autoRedefine/>
    <w:unhideWhenUsed/>
    <w:qFormat/>
    <w:uiPriority w:val="99"/>
    <w:pPr>
      <w:spacing w:after="120"/>
    </w:pPr>
    <w:rPr>
      <w:sz w:val="16"/>
      <w:szCs w:val="16"/>
    </w:rPr>
  </w:style>
  <w:style w:type="paragraph" w:styleId="11">
    <w:name w:val="Body Text"/>
    <w:basedOn w:val="1"/>
    <w:autoRedefine/>
    <w:unhideWhenUsed/>
    <w:qFormat/>
    <w:uiPriority w:val="0"/>
    <w:pPr>
      <w:spacing w:after="120"/>
    </w:pPr>
  </w:style>
  <w:style w:type="paragraph" w:styleId="12">
    <w:name w:val="Body Text Indent"/>
    <w:basedOn w:val="1"/>
    <w:autoRedefine/>
    <w:qFormat/>
    <w:uiPriority w:val="0"/>
    <w:pPr>
      <w:ind w:firstLine="830" w:firstLineChars="352"/>
    </w:pPr>
    <w:rPr>
      <w:rFonts w:ascii="仿宋_GB2312" w:eastAsia="仿宋_GB2312"/>
      <w:kern w:val="0"/>
      <w:sz w:val="32"/>
      <w:szCs w:val="20"/>
    </w:rPr>
  </w:style>
  <w:style w:type="paragraph" w:styleId="13">
    <w:name w:val="List 2"/>
    <w:basedOn w:val="1"/>
    <w:autoRedefine/>
    <w:unhideWhenUsed/>
    <w:qFormat/>
    <w:uiPriority w:val="99"/>
    <w:pPr>
      <w:ind w:left="100" w:leftChars="200" w:hanging="200" w:hangingChars="200"/>
      <w:contextualSpacing/>
    </w:pPr>
  </w:style>
  <w:style w:type="paragraph" w:styleId="14">
    <w:name w:val="toc 3"/>
    <w:basedOn w:val="1"/>
    <w:next w:val="1"/>
    <w:autoRedefine/>
    <w:unhideWhenUsed/>
    <w:qFormat/>
    <w:uiPriority w:val="39"/>
    <w:pPr>
      <w:ind w:left="840" w:leftChars="400"/>
    </w:pPr>
  </w:style>
  <w:style w:type="paragraph" w:styleId="15">
    <w:name w:val="Plain Text"/>
    <w:basedOn w:val="1"/>
    <w:next w:val="1"/>
    <w:autoRedefine/>
    <w:qFormat/>
    <w:uiPriority w:val="0"/>
    <w:rPr>
      <w:rFonts w:ascii="宋体" w:hAnsi="Courier New"/>
      <w:kern w:val="0"/>
      <w:sz w:val="20"/>
      <w:szCs w:val="21"/>
    </w:rPr>
  </w:style>
  <w:style w:type="paragraph" w:styleId="16">
    <w:name w:val="Body Text Indent 2"/>
    <w:basedOn w:val="1"/>
    <w:autoRedefine/>
    <w:qFormat/>
    <w:uiPriority w:val="99"/>
    <w:pPr>
      <w:spacing w:after="120" w:line="480" w:lineRule="auto"/>
      <w:ind w:left="420" w:leftChars="200"/>
    </w:pPr>
    <w:rPr>
      <w:sz w:val="24"/>
    </w:rPr>
  </w:style>
  <w:style w:type="paragraph" w:styleId="17">
    <w:name w:val="Balloon Text"/>
    <w:basedOn w:val="1"/>
    <w:link w:val="46"/>
    <w:autoRedefine/>
    <w:qFormat/>
    <w:uiPriority w:val="0"/>
    <w:rPr>
      <w:sz w:val="18"/>
      <w:szCs w:val="18"/>
    </w:rPr>
  </w:style>
  <w:style w:type="paragraph" w:styleId="18">
    <w:name w:val="footer"/>
    <w:basedOn w:val="1"/>
    <w:autoRedefine/>
    <w:unhideWhenUsed/>
    <w:qFormat/>
    <w:uiPriority w:val="99"/>
    <w:pPr>
      <w:tabs>
        <w:tab w:val="center" w:pos="4153"/>
        <w:tab w:val="right" w:pos="8306"/>
      </w:tabs>
      <w:snapToGrid w:val="0"/>
      <w:jc w:val="left"/>
    </w:pPr>
    <w:rPr>
      <w:kern w:val="0"/>
      <w:sz w:val="18"/>
      <w:szCs w:val="18"/>
    </w:rPr>
  </w:style>
  <w:style w:type="paragraph" w:styleId="19">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autoRedefine/>
    <w:unhideWhenUsed/>
    <w:qFormat/>
    <w:uiPriority w:val="39"/>
  </w:style>
  <w:style w:type="paragraph" w:styleId="21">
    <w:name w:val="List"/>
    <w:basedOn w:val="1"/>
    <w:autoRedefine/>
    <w:unhideWhenUsed/>
    <w:qFormat/>
    <w:uiPriority w:val="99"/>
    <w:pPr>
      <w:ind w:left="200" w:hanging="200" w:hangingChars="200"/>
      <w:contextualSpacing/>
    </w:pPr>
  </w:style>
  <w:style w:type="paragraph" w:styleId="22">
    <w:name w:val="footnote text"/>
    <w:basedOn w:val="1"/>
    <w:autoRedefine/>
    <w:qFormat/>
    <w:uiPriority w:val="0"/>
    <w:pPr>
      <w:adjustRightInd w:val="0"/>
      <w:spacing w:line="312" w:lineRule="atLeast"/>
      <w:jc w:val="left"/>
      <w:textAlignment w:val="baseline"/>
    </w:pPr>
    <w:rPr>
      <w:kern w:val="0"/>
      <w:sz w:val="18"/>
      <w:szCs w:val="18"/>
    </w:rPr>
  </w:style>
  <w:style w:type="paragraph" w:styleId="23">
    <w:name w:val="toc 2"/>
    <w:basedOn w:val="1"/>
    <w:next w:val="1"/>
    <w:autoRedefine/>
    <w:unhideWhenUsed/>
    <w:qFormat/>
    <w:uiPriority w:val="39"/>
    <w:pPr>
      <w:tabs>
        <w:tab w:val="right" w:leader="dot" w:pos="8296"/>
      </w:tabs>
      <w:ind w:left="420" w:leftChars="200"/>
    </w:pPr>
  </w:style>
  <w:style w:type="paragraph" w:styleId="24">
    <w:name w:val="Normal (Web)"/>
    <w:basedOn w:val="1"/>
    <w:autoRedefine/>
    <w:qFormat/>
    <w:uiPriority w:val="0"/>
    <w:pPr>
      <w:spacing w:before="100" w:beforeAutospacing="1" w:after="100" w:afterAutospacing="1"/>
      <w:jc w:val="left"/>
    </w:pPr>
    <w:rPr>
      <w:kern w:val="0"/>
      <w:sz w:val="24"/>
    </w:rPr>
  </w:style>
  <w:style w:type="paragraph" w:styleId="25">
    <w:name w:val="Body Text First Indent"/>
    <w:basedOn w:val="11"/>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26">
    <w:name w:val="Body Text First Indent 2"/>
    <w:basedOn w:val="12"/>
    <w:autoRedefine/>
    <w:unhideWhenUsed/>
    <w:qFormat/>
    <w:uiPriority w:val="99"/>
    <w:pPr>
      <w:ind w:firstLine="420" w:firstLineChars="200"/>
    </w:pPr>
  </w:style>
  <w:style w:type="table" w:styleId="28">
    <w:name w:val="Table Grid"/>
    <w:basedOn w:val="2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page number"/>
    <w:basedOn w:val="29"/>
    <w:qFormat/>
    <w:uiPriority w:val="0"/>
  </w:style>
  <w:style w:type="character" w:styleId="32">
    <w:name w:val="Hyperlink"/>
    <w:autoRedefine/>
    <w:unhideWhenUsed/>
    <w:qFormat/>
    <w:uiPriority w:val="99"/>
    <w:rPr>
      <w:color w:val="0000FF"/>
      <w:u w:val="single"/>
    </w:rPr>
  </w:style>
  <w:style w:type="character" w:styleId="33">
    <w:name w:val="annotation reference"/>
    <w:basedOn w:val="29"/>
    <w:autoRedefine/>
    <w:qFormat/>
    <w:uiPriority w:val="99"/>
    <w:rPr>
      <w:sz w:val="21"/>
      <w:szCs w:val="21"/>
    </w:rPr>
  </w:style>
  <w:style w:type="character" w:styleId="34">
    <w:name w:val="footnote reference"/>
    <w:autoRedefine/>
    <w:unhideWhenUsed/>
    <w:qFormat/>
    <w:uiPriority w:val="0"/>
    <w:rPr>
      <w:vertAlign w:val="superscript"/>
    </w:rPr>
  </w:style>
  <w:style w:type="character" w:styleId="35">
    <w:name w:val="HTML Sample"/>
    <w:basedOn w:val="29"/>
    <w:qFormat/>
    <w:uiPriority w:val="0"/>
    <w:rPr>
      <w:rFonts w:ascii="Courier New" w:hAnsi="Courier New"/>
    </w:rPr>
  </w:style>
  <w:style w:type="paragraph" w:customStyle="1" w:styleId="36">
    <w:name w:val="Title1"/>
    <w:basedOn w:val="1"/>
    <w:next w:val="1"/>
    <w:autoRedefine/>
    <w:qFormat/>
    <w:uiPriority w:val="0"/>
    <w:pPr>
      <w:jc w:val="center"/>
      <w:outlineLvl w:val="0"/>
    </w:pPr>
    <w:rPr>
      <w:rFonts w:ascii="Calibri Light" w:hAnsi="Calibri Light" w:eastAsia="Arial Unicode MS"/>
      <w:b/>
    </w:rPr>
  </w:style>
  <w:style w:type="paragraph" w:customStyle="1" w:styleId="37">
    <w:name w:val="表格文字115"/>
    <w:basedOn w:val="1"/>
    <w:autoRedefine/>
    <w:qFormat/>
    <w:uiPriority w:val="0"/>
    <w:pPr>
      <w:spacing w:before="25" w:after="25"/>
      <w:jc w:val="left"/>
    </w:pPr>
    <w:rPr>
      <w:bCs/>
      <w:spacing w:val="10"/>
      <w:kern w:val="0"/>
      <w:sz w:val="24"/>
    </w:rPr>
  </w:style>
  <w:style w:type="paragraph" w:customStyle="1" w:styleId="38">
    <w:name w:val="正文-公1"/>
    <w:basedOn w:val="1"/>
    <w:autoRedefine/>
    <w:qFormat/>
    <w:uiPriority w:val="0"/>
    <w:pPr>
      <w:ind w:firstLine="200" w:firstLineChars="200"/>
      <w:jc w:val="left"/>
    </w:pPr>
    <w:rPr>
      <w:rFonts w:eastAsia="仿宋_GB2312"/>
    </w:rPr>
  </w:style>
  <w:style w:type="paragraph" w:customStyle="1" w:styleId="39">
    <w:name w:val="Default"/>
    <w:autoRedefine/>
    <w:qFormat/>
    <w:uiPriority w:val="99"/>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paragraph" w:customStyle="1" w:styleId="40">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41">
    <w:name w:val="样式5"/>
    <w:basedOn w:val="1"/>
    <w:autoRedefine/>
    <w:qFormat/>
    <w:uiPriority w:val="99"/>
    <w:pPr>
      <w:adjustRightInd w:val="0"/>
      <w:spacing w:line="440" w:lineRule="exact"/>
      <w:ind w:left="2" w:firstLine="480" w:firstLineChars="200"/>
    </w:pPr>
    <w:rPr>
      <w:rFonts w:ascii="仿宋_GB2312" w:hAnsi="仿宋" w:eastAsia="仿宋_GB2312"/>
      <w:sz w:val="24"/>
    </w:rPr>
  </w:style>
  <w:style w:type="paragraph" w:customStyle="1" w:styleId="42">
    <w:name w:val="正文缩进1"/>
    <w:basedOn w:val="1"/>
    <w:next w:val="12"/>
    <w:autoRedefine/>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43">
    <w:name w:val="Table Paragraph"/>
    <w:basedOn w:val="1"/>
    <w:autoRedefine/>
    <w:qFormat/>
    <w:uiPriority w:val="1"/>
    <w:pPr>
      <w:jc w:val="left"/>
    </w:pPr>
    <w:rPr>
      <w:rFonts w:ascii="Calibri" w:hAnsi="Calibri"/>
      <w:kern w:val="0"/>
      <w:sz w:val="22"/>
      <w:szCs w:val="22"/>
      <w:lang w:eastAsia="en-US"/>
    </w:rPr>
  </w:style>
  <w:style w:type="character" w:customStyle="1" w:styleId="44">
    <w:name w:val="font91"/>
    <w:basedOn w:val="29"/>
    <w:autoRedefine/>
    <w:qFormat/>
    <w:uiPriority w:val="0"/>
    <w:rPr>
      <w:rFonts w:hint="eastAsia" w:ascii="黑体" w:hAnsi="宋体" w:eastAsia="黑体" w:cs="黑体"/>
      <w:color w:val="000000"/>
      <w:sz w:val="21"/>
      <w:szCs w:val="21"/>
      <w:u w:val="none"/>
    </w:rPr>
  </w:style>
  <w:style w:type="character" w:customStyle="1" w:styleId="45">
    <w:name w:val="font61"/>
    <w:basedOn w:val="29"/>
    <w:autoRedefine/>
    <w:qFormat/>
    <w:uiPriority w:val="0"/>
    <w:rPr>
      <w:rFonts w:hint="default" w:ascii="Times New Roman" w:hAnsi="Times New Roman" w:cs="Times New Roman"/>
      <w:color w:val="000000"/>
      <w:sz w:val="21"/>
      <w:szCs w:val="21"/>
      <w:u w:val="none"/>
      <w:vertAlign w:val="superscript"/>
    </w:rPr>
  </w:style>
  <w:style w:type="character" w:customStyle="1" w:styleId="46">
    <w:name w:val="批注框文本 字符"/>
    <w:basedOn w:val="29"/>
    <w:link w:val="17"/>
    <w:autoRedefine/>
    <w:qFormat/>
    <w:uiPriority w:val="0"/>
    <w:rPr>
      <w:kern w:val="2"/>
      <w:sz w:val="18"/>
      <w:szCs w:val="18"/>
    </w:rPr>
  </w:style>
  <w:style w:type="paragraph" w:customStyle="1" w:styleId="47">
    <w:name w:val="首行缩进"/>
    <w:basedOn w:val="1"/>
    <w:autoRedefine/>
    <w:qFormat/>
    <w:uiPriority w:val="99"/>
    <w:pPr>
      <w:ind w:firstLine="480" w:firstLineChars="200"/>
    </w:pPr>
    <w:rPr>
      <w:lang w:val="zh-CN"/>
    </w:rPr>
  </w:style>
  <w:style w:type="paragraph" w:customStyle="1" w:styleId="48">
    <w:name w:val="正文文本 (2)4"/>
    <w:basedOn w:val="1"/>
    <w:autoRedefine/>
    <w:qFormat/>
    <w:uiPriority w:val="0"/>
    <w:pPr>
      <w:shd w:val="clear" w:color="auto" w:fill="FFFFFF"/>
      <w:autoSpaceDE/>
      <w:autoSpaceDN/>
      <w:adjustRightInd/>
      <w:spacing w:before="300" w:line="439" w:lineRule="exact"/>
      <w:jc w:val="distribute"/>
    </w:pPr>
    <w:rPr>
      <w:rFonts w:hint="default" w:ascii="MingLiU" w:hAnsi="MingLiU" w:eastAsia="MingLiU"/>
      <w:spacing w:val="20"/>
      <w:sz w:val="22"/>
      <w:szCs w:val="22"/>
      <w:shd w:val="clear" w:color="auto" w:fill="FFFFFF"/>
    </w:rPr>
  </w:style>
  <w:style w:type="character" w:customStyle="1" w:styleId="49">
    <w:name w:val="正文文本 (2) + 间距 0 pt2"/>
    <w:autoRedefine/>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paragraph" w:customStyle="1" w:styleId="50">
    <w:name w:val="Body text|1"/>
    <w:basedOn w:val="1"/>
    <w:autoRedefine/>
    <w:qFormat/>
    <w:uiPriority w:val="0"/>
    <w:pPr>
      <w:spacing w:line="360" w:lineRule="auto"/>
      <w:ind w:firstLine="400"/>
    </w:pPr>
    <w:rPr>
      <w:rFonts w:ascii="宋体" w:hAnsi="宋体" w:eastAsia="宋体" w:cs="宋体"/>
      <w:color w:val="auto"/>
      <w:szCs w:val="20"/>
      <w:lang w:val="zh-CN" w:eastAsia="zh-CN" w:bidi="zh-CN"/>
    </w:rPr>
  </w:style>
  <w:style w:type="character" w:customStyle="1" w:styleId="51">
    <w:name w:val="fontstyle01"/>
    <w:basedOn w:val="29"/>
    <w:qFormat/>
    <w:uiPriority w:val="0"/>
    <w:rPr>
      <w:rFonts w:ascii="宋体" w:hAnsi="宋体" w:eastAsia="宋体" w:cs="宋体"/>
      <w:color w:val="000000"/>
      <w:sz w:val="20"/>
      <w:szCs w:val="20"/>
    </w:rPr>
  </w:style>
  <w:style w:type="paragraph" w:customStyle="1" w:styleId="52">
    <w:name w:val="Normal_0"/>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157</Pages>
  <Words>5780</Words>
  <Characters>6925</Characters>
  <Lines>6178</Lines>
  <Paragraphs>2622</Paragraphs>
  <TotalTime>1</TotalTime>
  <ScaleCrop>false</ScaleCrop>
  <LinksUpToDate>false</LinksUpToDate>
  <CharactersWithSpaces>7023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2023-06-13T17:54:00Z</dcterms:created>
  <dc:creator>Max</dc:creator>
  <cp:lastModifiedBy>four frogs</cp:lastModifiedBy>
  <cp:lastPrinted>2024-01-03T08:56:00Z</cp:lastPrinted>
  <dcterms:modified xsi:type="dcterms:W3CDTF">2026-08-10T08:59:40Z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5CA9615C026D4F4AAF4F9BA0A2B9DF0A_13</vt:lpwstr>
  </property>
  <property fmtid="{D5CDD505-2E9C-101B-9397-08002B2CF9AE}" pid="4" name="KSOTemplateDocerSaveRecord">
    <vt:lpwstr>eyJoZGlkIjoiYWYyNmVkMWFkNDVmM2QxNzc3YmI4OWMzYzY0M2UzZWUiLCJ1c2VySWQiOiI3MzA1OTU2MDgifQ==</vt:lpwstr>
  </property>
</Properties>
</file>