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7432819">
      <w:pPr>
        <w:spacing w:line="360" w:lineRule="auto"/>
        <w:jc w:val="center"/>
        <w:rPr>
          <w:rFonts w:hint="eastAsia" w:ascii="宋体" w:hAnsi="宋体" w:eastAsia="宋体" w:cs="宋体"/>
          <w:color w:val="auto"/>
          <w:sz w:val="52"/>
          <w:szCs w:val="52"/>
          <w:highlight w:val="none"/>
        </w:rPr>
      </w:pPr>
    </w:p>
    <w:p w14:paraId="43C9A421">
      <w:pPr>
        <w:pStyle w:val="24"/>
        <w:jc w:val="center"/>
        <w:rPr>
          <w:rFonts w:hint="eastAsia" w:ascii="宋体" w:hAnsi="宋体" w:eastAsia="宋体" w:cs="宋体"/>
          <w:color w:val="auto"/>
          <w:spacing w:val="30"/>
          <w:kern w:val="52"/>
          <w:sz w:val="64"/>
          <w:szCs w:val="64"/>
          <w:highlight w:val="none"/>
        </w:rPr>
      </w:pPr>
      <w:r>
        <w:rPr>
          <w:rFonts w:hint="eastAsia" w:ascii="宋体" w:hAnsi="宋体" w:eastAsia="宋体" w:cs="宋体"/>
          <w:color w:val="auto"/>
          <w:spacing w:val="30"/>
          <w:kern w:val="52"/>
          <w:sz w:val="64"/>
          <w:szCs w:val="64"/>
          <w:highlight w:val="none"/>
        </w:rPr>
        <w:t>广西科文招标有限公司</w:t>
      </w:r>
    </w:p>
    <w:p w14:paraId="672D3FD9">
      <w:pPr>
        <w:pStyle w:val="24"/>
        <w:jc w:val="center"/>
        <w:rPr>
          <w:rFonts w:hint="eastAsia" w:ascii="宋体" w:hAnsi="宋体" w:eastAsia="宋体" w:cs="宋体"/>
          <w:color w:val="auto"/>
          <w:spacing w:val="28"/>
          <w:sz w:val="64"/>
          <w:szCs w:val="64"/>
          <w:highlight w:val="none"/>
        </w:rPr>
      </w:pPr>
      <w:r>
        <w:rPr>
          <w:rFonts w:hint="eastAsia" w:ascii="宋体" w:hAnsi="宋体" w:eastAsia="宋体" w:cs="宋体"/>
          <w:b/>
          <w:color w:val="auto"/>
          <w:spacing w:val="-18"/>
          <w:sz w:val="64"/>
          <w:szCs w:val="64"/>
          <w:highlight w:val="none"/>
        </w:rPr>
        <mc:AlternateContent>
          <mc:Choice Requires="wps">
            <w:drawing>
              <wp:anchor distT="0" distB="0" distL="114300" distR="114300" simplePos="0" relativeHeight="251659264" behindDoc="0" locked="0" layoutInCell="1" allowOverlap="1">
                <wp:simplePos x="0" y="0"/>
                <wp:positionH relativeFrom="column">
                  <wp:posOffset>342900</wp:posOffset>
                </wp:positionH>
                <wp:positionV relativeFrom="paragraph">
                  <wp:posOffset>99060</wp:posOffset>
                </wp:positionV>
                <wp:extent cx="5486400" cy="0"/>
                <wp:effectExtent l="0" t="6350" r="0" b="6350"/>
                <wp:wrapNone/>
                <wp:docPr id="1" name="Line 2"/>
                <wp:cNvGraphicFramePr/>
                <a:graphic xmlns:a="http://schemas.openxmlformats.org/drawingml/2006/main">
                  <a:graphicData uri="http://schemas.microsoft.com/office/word/2010/wordprocessingShape">
                    <wps:wsp>
                      <wps:cNvCnPr/>
                      <wps:spPr>
                        <a:xfrm>
                          <a:off x="0" y="0"/>
                          <a:ext cx="5486400" cy="0"/>
                        </a:xfrm>
                        <a:prstGeom prst="line">
                          <a:avLst/>
                        </a:prstGeom>
                        <a:ln w="12700" cap="flat" cmpd="sng">
                          <a:solidFill>
                            <a:srgbClr val="000000"/>
                          </a:solidFill>
                          <a:prstDash val="solid"/>
                          <a:headEnd type="none" w="med" len="med"/>
                          <a:tailEnd type="none" w="med" len="med"/>
                        </a:ln>
                      </wps:spPr>
                      <wps:bodyPr upright="1"/>
                    </wps:wsp>
                  </a:graphicData>
                </a:graphic>
              </wp:anchor>
            </w:drawing>
          </mc:Choice>
          <mc:Fallback>
            <w:pict>
              <v:line id="Line 2" o:spid="_x0000_s1026" o:spt="20" style="position:absolute;left:0pt;margin-left:27pt;margin-top:7.8pt;height:0pt;width:432pt;z-index:251659264;mso-width-relative:page;mso-height-relative:page;" filled="f" stroked="t" coordsize="21600,21600" o:gfxdata="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">
                <v:fill on="f" focussize="0,0"/>
                <v:stroke weight="1pt" color="#000000" joinstyle="round"/>
                <v:imagedata o:title=""/>
                <o:lock v:ext="edit" aspectratio="f"/>
              </v:line>
            </w:pict>
          </mc:Fallback>
        </mc:AlternateContent>
      </w:r>
    </w:p>
    <w:p w14:paraId="0CEFC5DA">
      <w:pPr>
        <w:snapToGrid w:val="0"/>
        <w:spacing w:before="156" w:beforeLines="50" w:line="360" w:lineRule="auto"/>
        <w:jc w:val="center"/>
        <w:rPr>
          <w:rFonts w:hint="eastAsia" w:ascii="宋体" w:hAnsi="宋体" w:eastAsia="宋体" w:cs="宋体"/>
          <w:color w:val="auto"/>
          <w:sz w:val="120"/>
          <w:szCs w:val="120"/>
          <w:highlight w:val="none"/>
        </w:rPr>
      </w:pPr>
      <w:r>
        <w:rPr>
          <w:rFonts w:hint="eastAsia" w:ascii="宋体" w:hAnsi="宋体" w:eastAsia="宋体" w:cs="宋体"/>
          <w:color w:val="auto"/>
          <w:sz w:val="120"/>
          <w:szCs w:val="120"/>
          <w:highlight w:val="none"/>
        </w:rPr>
        <w:t>招标文件</w:t>
      </w:r>
    </w:p>
    <w:p w14:paraId="478B799D">
      <w:pPr>
        <w:pStyle w:val="24"/>
        <w:snapToGrid w:val="0"/>
        <w:spacing w:line="360" w:lineRule="auto"/>
        <w:ind w:firstLine="1977" w:firstLineChars="691"/>
        <w:rPr>
          <w:rFonts w:hint="eastAsia" w:ascii="宋体" w:hAnsi="宋体" w:eastAsia="宋体" w:cs="宋体"/>
          <w:b/>
          <w:bCs/>
          <w:color w:val="auto"/>
          <w:w w:val="95"/>
          <w:sz w:val="30"/>
          <w:szCs w:val="30"/>
          <w:highlight w:val="none"/>
        </w:rPr>
      </w:pPr>
    </w:p>
    <w:p w14:paraId="4B4E35DD">
      <w:pPr>
        <w:pStyle w:val="24"/>
        <w:snapToGrid w:val="0"/>
        <w:spacing w:line="360" w:lineRule="auto"/>
        <w:ind w:firstLine="1977" w:firstLineChars="691"/>
        <w:rPr>
          <w:rFonts w:hint="eastAsia" w:ascii="宋体" w:hAnsi="宋体" w:eastAsia="宋体" w:cs="宋体"/>
          <w:b/>
          <w:bCs/>
          <w:color w:val="auto"/>
          <w:w w:val="95"/>
          <w:sz w:val="30"/>
          <w:szCs w:val="30"/>
          <w:highlight w:val="none"/>
        </w:rPr>
      </w:pPr>
    </w:p>
    <w:p w14:paraId="43CB5565">
      <w:pPr>
        <w:pStyle w:val="24"/>
        <w:snapToGrid w:val="0"/>
        <w:spacing w:line="360" w:lineRule="auto"/>
        <w:ind w:leftChars="500"/>
        <w:rPr>
          <w:rFonts w:hint="eastAsia" w:ascii="宋体" w:hAnsi="宋体" w:eastAsia="宋体" w:cs="宋体"/>
          <w:b/>
          <w:bCs/>
          <w:color w:val="auto"/>
          <w:w w:val="95"/>
          <w:sz w:val="30"/>
          <w:szCs w:val="30"/>
          <w:highlight w:val="none"/>
          <w:lang w:eastAsia="zh-CN"/>
        </w:rPr>
      </w:pPr>
      <w:r>
        <w:rPr>
          <w:rFonts w:hint="eastAsia" w:ascii="宋体" w:hAnsi="宋体" w:eastAsia="宋体" w:cs="宋体"/>
          <w:b/>
          <w:bCs/>
          <w:color w:val="auto"/>
          <w:w w:val="95"/>
          <w:sz w:val="30"/>
          <w:szCs w:val="30"/>
          <w:highlight w:val="none"/>
        </w:rPr>
        <w:t>项目名称</w:t>
      </w:r>
      <w:r>
        <w:rPr>
          <w:rFonts w:hint="eastAsia" w:ascii="宋体" w:hAnsi="宋体" w:eastAsia="宋体" w:cs="宋体"/>
          <w:b/>
          <w:bCs/>
          <w:color w:val="auto"/>
          <w:w w:val="95"/>
          <w:sz w:val="30"/>
          <w:szCs w:val="30"/>
          <w:highlight w:val="none"/>
          <w:lang w:eastAsia="zh-CN"/>
        </w:rPr>
        <w:t>：</w:t>
      </w:r>
      <w:r>
        <w:rPr>
          <w:rFonts w:hint="eastAsia" w:hAnsi="宋体" w:cs="宋体"/>
          <w:b/>
          <w:bCs/>
          <w:color w:val="auto"/>
          <w:w w:val="95"/>
          <w:sz w:val="30"/>
          <w:szCs w:val="30"/>
          <w:highlight w:val="none"/>
          <w:lang w:eastAsia="zh-CN"/>
        </w:rPr>
        <w:t>2026年公路水运铁路工程质量监督检测项目</w:t>
      </w:r>
    </w:p>
    <w:p w14:paraId="0EC2F28D">
      <w:pPr>
        <w:pStyle w:val="24"/>
        <w:snapToGrid w:val="0"/>
        <w:spacing w:line="360" w:lineRule="auto"/>
        <w:ind w:leftChars="500"/>
        <w:rPr>
          <w:rFonts w:hint="eastAsia" w:ascii="宋体" w:hAnsi="宋体" w:eastAsia="宋体" w:cs="宋体"/>
          <w:b/>
          <w:bCs/>
          <w:color w:val="auto"/>
          <w:w w:val="95"/>
          <w:sz w:val="30"/>
          <w:szCs w:val="30"/>
          <w:highlight w:val="none"/>
          <w:lang w:eastAsia="zh-CN"/>
        </w:rPr>
      </w:pPr>
      <w:r>
        <w:rPr>
          <w:rFonts w:hint="eastAsia" w:ascii="宋体" w:hAnsi="宋体" w:eastAsia="宋体" w:cs="宋体"/>
          <w:b/>
          <w:bCs/>
          <w:color w:val="auto"/>
          <w:w w:val="95"/>
          <w:sz w:val="30"/>
          <w:szCs w:val="30"/>
          <w:highlight w:val="none"/>
        </w:rPr>
        <w:t>项目编号</w:t>
      </w:r>
      <w:r>
        <w:rPr>
          <w:rFonts w:hint="eastAsia" w:ascii="宋体" w:hAnsi="宋体" w:eastAsia="宋体" w:cs="宋体"/>
          <w:b/>
          <w:bCs/>
          <w:color w:val="auto"/>
          <w:w w:val="95"/>
          <w:sz w:val="30"/>
          <w:szCs w:val="30"/>
          <w:highlight w:val="none"/>
          <w:lang w:eastAsia="zh-CN"/>
        </w:rPr>
        <w:t>：</w:t>
      </w:r>
      <w:r>
        <w:rPr>
          <w:rFonts w:hint="eastAsia" w:hAnsi="宋体" w:cs="宋体"/>
          <w:b/>
          <w:bCs/>
          <w:color w:val="auto"/>
          <w:w w:val="95"/>
          <w:sz w:val="30"/>
          <w:szCs w:val="30"/>
          <w:highlight w:val="none"/>
          <w:lang w:eastAsia="zh-CN"/>
        </w:rPr>
        <w:t>GXZC2026-G3-001840-KWZB</w:t>
      </w:r>
    </w:p>
    <w:p w14:paraId="577A8757">
      <w:pPr>
        <w:bidi w:val="0"/>
        <w:rPr>
          <w:rFonts w:hint="eastAsia" w:ascii="宋体" w:hAnsi="宋体" w:eastAsia="宋体" w:cs="宋体"/>
          <w:color w:val="auto"/>
          <w:highlight w:val="none"/>
          <w:lang w:eastAsia="zh-CN"/>
        </w:rPr>
      </w:pPr>
    </w:p>
    <w:p w14:paraId="7456691D">
      <w:pPr>
        <w:bidi w:val="0"/>
        <w:rPr>
          <w:rFonts w:hint="eastAsia" w:ascii="宋体" w:hAnsi="宋体" w:eastAsia="宋体" w:cs="宋体"/>
          <w:color w:val="auto"/>
          <w:highlight w:val="none"/>
          <w:lang w:eastAsia="zh-CN"/>
        </w:rPr>
      </w:pPr>
    </w:p>
    <w:p w14:paraId="1DC00571">
      <w:pPr>
        <w:bidi w:val="0"/>
        <w:rPr>
          <w:rFonts w:hint="eastAsia" w:ascii="宋体" w:hAnsi="宋体" w:eastAsia="宋体" w:cs="宋体"/>
          <w:color w:val="auto"/>
          <w:highlight w:val="none"/>
          <w:lang w:eastAsia="zh-CN"/>
        </w:rPr>
      </w:pPr>
    </w:p>
    <w:p w14:paraId="272D6DBB">
      <w:pPr>
        <w:bidi w:val="0"/>
        <w:rPr>
          <w:rFonts w:hint="eastAsia" w:ascii="宋体" w:hAnsi="宋体" w:eastAsia="宋体" w:cs="宋体"/>
          <w:color w:val="auto"/>
          <w:highlight w:val="none"/>
          <w:lang w:eastAsia="zh-CN"/>
        </w:rPr>
      </w:pPr>
    </w:p>
    <w:p w14:paraId="4F5E8704">
      <w:pPr>
        <w:bidi w:val="0"/>
        <w:rPr>
          <w:rFonts w:hint="eastAsia" w:ascii="宋体" w:hAnsi="宋体" w:eastAsia="宋体" w:cs="宋体"/>
          <w:color w:val="auto"/>
          <w:highlight w:val="none"/>
          <w:lang w:eastAsia="zh-CN"/>
        </w:rPr>
      </w:pPr>
    </w:p>
    <w:p w14:paraId="5A750F5A">
      <w:pPr>
        <w:bidi w:val="0"/>
        <w:rPr>
          <w:rFonts w:hint="eastAsia" w:ascii="宋体" w:hAnsi="宋体" w:eastAsia="宋体" w:cs="宋体"/>
          <w:color w:val="auto"/>
          <w:highlight w:val="none"/>
          <w:lang w:eastAsia="zh-CN"/>
        </w:rPr>
      </w:pPr>
    </w:p>
    <w:p w14:paraId="5A2A7B78">
      <w:pPr>
        <w:bidi w:val="0"/>
        <w:rPr>
          <w:rFonts w:hint="eastAsia" w:ascii="宋体" w:hAnsi="宋体" w:eastAsia="宋体" w:cs="宋体"/>
          <w:color w:val="auto"/>
          <w:highlight w:val="none"/>
          <w:lang w:eastAsia="zh-CN"/>
        </w:rPr>
      </w:pPr>
    </w:p>
    <w:p w14:paraId="45DB3A78">
      <w:pPr>
        <w:bidi w:val="0"/>
        <w:rPr>
          <w:rFonts w:hint="eastAsia" w:ascii="宋体" w:hAnsi="宋体" w:eastAsia="宋体" w:cs="宋体"/>
          <w:color w:val="auto"/>
          <w:highlight w:val="none"/>
          <w:lang w:eastAsia="zh-CN"/>
        </w:rPr>
      </w:pPr>
    </w:p>
    <w:p w14:paraId="4A5E72AE">
      <w:pPr>
        <w:bidi w:val="0"/>
        <w:rPr>
          <w:rFonts w:hint="eastAsia" w:ascii="宋体" w:hAnsi="宋体" w:eastAsia="宋体" w:cs="宋体"/>
          <w:color w:val="auto"/>
          <w:highlight w:val="none"/>
          <w:lang w:eastAsia="zh-CN"/>
        </w:rPr>
      </w:pPr>
    </w:p>
    <w:p w14:paraId="5D468DCA">
      <w:pPr>
        <w:ind w:firstLine="1243" w:firstLineChars="592"/>
        <w:rPr>
          <w:rFonts w:hint="eastAsia" w:ascii="宋体" w:hAnsi="宋体" w:eastAsia="宋体" w:cs="宋体"/>
          <w:color w:val="auto"/>
          <w:highlight w:val="none"/>
        </w:rPr>
      </w:pPr>
    </w:p>
    <w:p w14:paraId="280F27F2">
      <w:pPr>
        <w:pStyle w:val="24"/>
        <w:snapToGrid w:val="0"/>
        <w:spacing w:line="360" w:lineRule="auto"/>
        <w:ind w:firstLine="1694" w:firstLineChars="592"/>
        <w:rPr>
          <w:rFonts w:hint="eastAsia" w:ascii="宋体" w:hAnsi="宋体" w:eastAsia="宋体" w:cs="宋体"/>
          <w:b/>
          <w:bCs/>
          <w:color w:val="auto"/>
          <w:w w:val="95"/>
          <w:sz w:val="30"/>
          <w:szCs w:val="30"/>
          <w:highlight w:val="none"/>
          <w:lang w:eastAsia="zh-CN"/>
        </w:rPr>
      </w:pPr>
      <w:r>
        <w:rPr>
          <w:rFonts w:hint="eastAsia" w:ascii="宋体" w:hAnsi="宋体" w:eastAsia="宋体" w:cs="宋体"/>
          <w:b/>
          <w:bCs/>
          <w:color w:val="auto"/>
          <w:w w:val="95"/>
          <w:sz w:val="30"/>
          <w:szCs w:val="30"/>
          <w:highlight w:val="none"/>
        </w:rPr>
        <w:t>采购人</w:t>
      </w:r>
      <w:r>
        <w:rPr>
          <w:rFonts w:hint="eastAsia" w:ascii="宋体" w:hAnsi="宋体" w:eastAsia="宋体" w:cs="宋体"/>
          <w:b/>
          <w:bCs/>
          <w:color w:val="auto"/>
          <w:w w:val="95"/>
          <w:sz w:val="30"/>
          <w:szCs w:val="30"/>
          <w:highlight w:val="none"/>
          <w:lang w:eastAsia="zh-CN"/>
        </w:rPr>
        <w:t>：广西壮族自治区交通运输综合行政执法局</w:t>
      </w:r>
    </w:p>
    <w:p w14:paraId="0D37943B">
      <w:pPr>
        <w:pStyle w:val="24"/>
        <w:snapToGrid w:val="0"/>
        <w:spacing w:line="360" w:lineRule="auto"/>
        <w:ind w:firstLine="1694" w:firstLineChars="592"/>
        <w:rPr>
          <w:rFonts w:hint="eastAsia" w:ascii="宋体" w:hAnsi="宋体" w:eastAsia="宋体" w:cs="宋体"/>
          <w:b/>
          <w:bCs/>
          <w:color w:val="auto"/>
          <w:w w:val="95"/>
          <w:sz w:val="30"/>
          <w:szCs w:val="30"/>
          <w:highlight w:val="none"/>
        </w:rPr>
      </w:pPr>
      <w:r>
        <w:rPr>
          <w:rFonts w:hint="eastAsia" w:ascii="宋体" w:hAnsi="宋体" w:eastAsia="宋体" w:cs="宋体"/>
          <w:b/>
          <w:bCs/>
          <w:color w:val="auto"/>
          <w:w w:val="95"/>
          <w:sz w:val="30"/>
          <w:szCs w:val="30"/>
          <w:highlight w:val="none"/>
        </w:rPr>
        <w:t>采购代理机构</w:t>
      </w:r>
      <w:r>
        <w:rPr>
          <w:rFonts w:hint="eastAsia" w:ascii="宋体" w:hAnsi="宋体" w:eastAsia="宋体" w:cs="宋体"/>
          <w:b/>
          <w:bCs/>
          <w:color w:val="auto"/>
          <w:w w:val="95"/>
          <w:sz w:val="30"/>
          <w:szCs w:val="30"/>
          <w:highlight w:val="none"/>
          <w:lang w:eastAsia="zh-CN"/>
        </w:rPr>
        <w:t>：</w:t>
      </w:r>
      <w:r>
        <w:rPr>
          <w:rFonts w:hint="eastAsia" w:ascii="宋体" w:hAnsi="宋体" w:eastAsia="宋体" w:cs="宋体"/>
          <w:b/>
          <w:bCs/>
          <w:color w:val="auto"/>
          <w:w w:val="95"/>
          <w:sz w:val="30"/>
          <w:szCs w:val="30"/>
          <w:highlight w:val="none"/>
        </w:rPr>
        <w:t>广西科文招标有限公司</w:t>
      </w:r>
    </w:p>
    <w:p w14:paraId="50053AC9">
      <w:pPr>
        <w:pStyle w:val="24"/>
        <w:snapToGrid w:val="0"/>
        <w:spacing w:line="360" w:lineRule="auto"/>
        <w:jc w:val="center"/>
        <w:rPr>
          <w:rFonts w:hint="eastAsia" w:ascii="宋体" w:hAnsi="宋体" w:eastAsia="宋体" w:cs="宋体"/>
          <w:color w:val="auto"/>
          <w:sz w:val="40"/>
          <w:highlight w:val="none"/>
          <w:lang w:eastAsia="zh-CN"/>
        </w:rPr>
      </w:pPr>
      <w:r>
        <w:rPr>
          <w:rFonts w:hint="eastAsia" w:ascii="宋体" w:hAnsi="宋体" w:eastAsia="宋体" w:cs="宋体"/>
          <w:b/>
          <w:bCs/>
          <w:color w:val="auto"/>
          <w:w w:val="95"/>
          <w:sz w:val="30"/>
          <w:szCs w:val="30"/>
          <w:highlight w:val="none"/>
          <w:lang w:eastAsia="zh-CN"/>
        </w:rPr>
        <w:t>2026年</w:t>
      </w:r>
      <w:r>
        <w:rPr>
          <w:rFonts w:hint="eastAsia" w:hAnsi="宋体" w:cs="宋体"/>
          <w:b/>
          <w:bCs/>
          <w:color w:val="auto"/>
          <w:w w:val="95"/>
          <w:sz w:val="30"/>
          <w:szCs w:val="30"/>
          <w:highlight w:val="none"/>
          <w:lang w:val="en-US" w:eastAsia="zh-CN"/>
        </w:rPr>
        <w:t>6</w:t>
      </w:r>
      <w:r>
        <w:rPr>
          <w:rFonts w:hint="eastAsia" w:ascii="宋体" w:hAnsi="宋体" w:eastAsia="宋体" w:cs="宋体"/>
          <w:b/>
          <w:bCs/>
          <w:color w:val="auto"/>
          <w:w w:val="95"/>
          <w:sz w:val="30"/>
          <w:szCs w:val="30"/>
          <w:highlight w:val="none"/>
          <w:lang w:eastAsia="zh-CN"/>
        </w:rPr>
        <w:t>月</w:t>
      </w:r>
    </w:p>
    <w:p w14:paraId="1F9BB46E">
      <w:pPr>
        <w:pStyle w:val="17"/>
        <w:jc w:val="center"/>
        <w:rPr>
          <w:rFonts w:hint="eastAsia" w:ascii="宋体" w:hAnsi="宋体" w:eastAsia="宋体" w:cs="宋体"/>
          <w:color w:val="auto"/>
          <w:highlight w:val="none"/>
        </w:rPr>
      </w:pPr>
      <w:r>
        <w:rPr>
          <w:rFonts w:hint="eastAsia" w:ascii="宋体" w:hAnsi="宋体" w:eastAsia="宋体" w:cs="宋体"/>
          <w:bCs/>
          <w:color w:val="auto"/>
          <w:kern w:val="0"/>
          <w:sz w:val="32"/>
          <w:szCs w:val="32"/>
          <w:highlight w:val="none"/>
        </w:rPr>
        <w:br w:type="page"/>
      </w:r>
    </w:p>
    <w:p w14:paraId="4C2F0B16">
      <w:pPr>
        <w:pStyle w:val="24"/>
        <w:spacing w:before="120" w:after="120" w:line="360" w:lineRule="auto"/>
        <w:jc w:val="center"/>
        <w:rPr>
          <w:rFonts w:hint="eastAsia" w:ascii="宋体" w:hAnsi="宋体" w:eastAsia="宋体" w:cs="宋体"/>
          <w:color w:val="auto"/>
          <w:highlight w:val="none"/>
        </w:rPr>
      </w:pPr>
    </w:p>
    <w:p w14:paraId="55AEA815">
      <w:pPr>
        <w:spacing w:line="360" w:lineRule="auto"/>
        <w:jc w:val="center"/>
        <w:rPr>
          <w:rFonts w:hint="eastAsia" w:ascii="宋体" w:hAnsi="宋体" w:eastAsia="宋体" w:cs="宋体"/>
          <w:b/>
          <w:color w:val="auto"/>
          <w:sz w:val="44"/>
          <w:szCs w:val="44"/>
          <w:highlight w:val="none"/>
        </w:rPr>
      </w:pPr>
      <w:r>
        <w:rPr>
          <w:rFonts w:hint="eastAsia" w:ascii="宋体" w:hAnsi="宋体" w:eastAsia="宋体" w:cs="宋体"/>
          <w:b/>
          <w:color w:val="auto"/>
          <w:sz w:val="44"/>
          <w:szCs w:val="44"/>
          <w:highlight w:val="none"/>
        </w:rPr>
        <w:t>目录</w:t>
      </w:r>
    </w:p>
    <w:p w14:paraId="25B25485">
      <w:pPr>
        <w:pStyle w:val="32"/>
        <w:spacing w:line="360" w:lineRule="auto"/>
        <w:ind w:firstLine="300"/>
        <w:rPr>
          <w:rFonts w:hint="eastAsia" w:ascii="宋体" w:hAnsi="宋体" w:eastAsia="宋体" w:cs="宋体"/>
          <w:b w:val="0"/>
          <w:bCs w:val="0"/>
          <w:caps w:val="0"/>
          <w:color w:val="auto"/>
          <w:sz w:val="30"/>
          <w:szCs w:val="30"/>
          <w:highlight w:val="none"/>
          <w:lang w:val="en-US" w:eastAsia="zh-CN"/>
        </w:rPr>
      </w:pPr>
      <w:r>
        <w:rPr>
          <w:rFonts w:hint="eastAsia" w:ascii="宋体" w:hAnsi="宋体" w:eastAsia="宋体" w:cs="宋体"/>
          <w:b w:val="0"/>
          <w:color w:val="auto"/>
          <w:sz w:val="30"/>
          <w:szCs w:val="30"/>
          <w:highlight w:val="none"/>
        </w:rPr>
        <w:fldChar w:fldCharType="begin"/>
      </w:r>
      <w:r>
        <w:rPr>
          <w:rFonts w:hint="eastAsia" w:ascii="宋体" w:hAnsi="宋体" w:eastAsia="宋体" w:cs="宋体"/>
          <w:b w:val="0"/>
          <w:color w:val="auto"/>
          <w:sz w:val="30"/>
          <w:szCs w:val="30"/>
          <w:highlight w:val="none"/>
        </w:rPr>
        <w:instrText xml:space="preserve"> TOC \o "1-2" \h \z \u </w:instrText>
      </w:r>
      <w:r>
        <w:rPr>
          <w:rFonts w:hint="eastAsia" w:ascii="宋体" w:hAnsi="宋体" w:eastAsia="宋体" w:cs="宋体"/>
          <w:b w:val="0"/>
          <w:color w:val="auto"/>
          <w:sz w:val="30"/>
          <w:szCs w:val="30"/>
          <w:highlight w:val="none"/>
        </w:rPr>
        <w:fldChar w:fldCharType="separate"/>
      </w:r>
      <w:r>
        <w:rPr>
          <w:rStyle w:val="52"/>
          <w:rFonts w:hint="eastAsia" w:ascii="宋体" w:hAnsi="宋体" w:eastAsia="宋体" w:cs="宋体"/>
          <w:color w:val="auto"/>
          <w:sz w:val="30"/>
          <w:szCs w:val="30"/>
          <w:highlight w:val="none"/>
        </w:rPr>
        <w:fldChar w:fldCharType="begin"/>
      </w:r>
      <w:r>
        <w:rPr>
          <w:rStyle w:val="52"/>
          <w:rFonts w:hint="eastAsia" w:ascii="宋体" w:hAnsi="宋体" w:eastAsia="宋体" w:cs="宋体"/>
          <w:color w:val="auto"/>
          <w:sz w:val="30"/>
          <w:szCs w:val="30"/>
          <w:highlight w:val="none"/>
        </w:rPr>
        <w:instrText xml:space="preserve"> </w:instrText>
      </w:r>
      <w:r>
        <w:rPr>
          <w:rFonts w:hint="eastAsia" w:ascii="宋体" w:hAnsi="宋体" w:eastAsia="宋体" w:cs="宋体"/>
          <w:color w:val="auto"/>
          <w:sz w:val="30"/>
          <w:szCs w:val="30"/>
          <w:highlight w:val="none"/>
        </w:rPr>
        <w:instrText xml:space="preserve">HYPERLINK \l "_Toc74320800"</w:instrText>
      </w:r>
      <w:r>
        <w:rPr>
          <w:rStyle w:val="52"/>
          <w:rFonts w:hint="eastAsia" w:ascii="宋体" w:hAnsi="宋体" w:eastAsia="宋体" w:cs="宋体"/>
          <w:color w:val="auto"/>
          <w:sz w:val="30"/>
          <w:szCs w:val="30"/>
          <w:highlight w:val="none"/>
        </w:rPr>
        <w:instrText xml:space="preserve"> </w:instrText>
      </w:r>
      <w:r>
        <w:rPr>
          <w:rStyle w:val="52"/>
          <w:rFonts w:hint="eastAsia" w:ascii="宋体" w:hAnsi="宋体" w:eastAsia="宋体" w:cs="宋体"/>
          <w:color w:val="auto"/>
          <w:sz w:val="30"/>
          <w:szCs w:val="30"/>
          <w:highlight w:val="none"/>
        </w:rPr>
        <w:fldChar w:fldCharType="separate"/>
      </w:r>
      <w:r>
        <w:rPr>
          <w:rStyle w:val="52"/>
          <w:rFonts w:hint="eastAsia" w:ascii="宋体" w:hAnsi="宋体" w:eastAsia="宋体" w:cs="宋体"/>
          <w:color w:val="auto"/>
          <w:sz w:val="30"/>
          <w:szCs w:val="30"/>
          <w:highlight w:val="none"/>
        </w:rPr>
        <w:t>第一章　招标公告</w:t>
      </w:r>
      <w:r>
        <w:rPr>
          <w:rFonts w:hint="eastAsia" w:ascii="宋体" w:hAnsi="宋体" w:eastAsia="宋体" w:cs="宋体"/>
          <w:color w:val="auto"/>
          <w:sz w:val="30"/>
          <w:szCs w:val="30"/>
          <w:highlight w:val="none"/>
        </w:rPr>
        <w:tab/>
      </w:r>
      <w:r>
        <w:rPr>
          <w:rFonts w:hint="eastAsia" w:ascii="宋体" w:hAnsi="宋体" w:eastAsia="宋体" w:cs="宋体"/>
          <w:color w:val="auto"/>
          <w:sz w:val="30"/>
          <w:szCs w:val="30"/>
          <w:highlight w:val="none"/>
        </w:rPr>
        <w:fldChar w:fldCharType="begin"/>
      </w:r>
      <w:r>
        <w:rPr>
          <w:rFonts w:hint="eastAsia" w:ascii="宋体" w:hAnsi="宋体" w:eastAsia="宋体" w:cs="宋体"/>
          <w:color w:val="auto"/>
          <w:sz w:val="30"/>
          <w:szCs w:val="30"/>
          <w:highlight w:val="none"/>
        </w:rPr>
        <w:instrText xml:space="preserve"> PAGEREF _Toc74320800 \h </w:instrText>
      </w:r>
      <w:r>
        <w:rPr>
          <w:rFonts w:hint="eastAsia" w:ascii="宋体" w:hAnsi="宋体" w:eastAsia="宋体" w:cs="宋体"/>
          <w:color w:val="auto"/>
          <w:sz w:val="30"/>
          <w:szCs w:val="30"/>
          <w:highlight w:val="none"/>
        </w:rPr>
        <w:fldChar w:fldCharType="separate"/>
      </w:r>
      <w:r>
        <w:rPr>
          <w:rFonts w:hint="eastAsia" w:ascii="宋体" w:hAnsi="宋体" w:eastAsia="宋体" w:cs="宋体"/>
          <w:color w:val="auto"/>
          <w:sz w:val="30"/>
          <w:szCs w:val="30"/>
          <w:highlight w:val="none"/>
        </w:rPr>
        <w:t>1</w:t>
      </w:r>
      <w:r>
        <w:rPr>
          <w:rFonts w:hint="eastAsia" w:ascii="宋体" w:hAnsi="宋体" w:eastAsia="宋体" w:cs="宋体"/>
          <w:color w:val="auto"/>
          <w:sz w:val="30"/>
          <w:szCs w:val="30"/>
          <w:highlight w:val="none"/>
        </w:rPr>
        <w:fldChar w:fldCharType="end"/>
      </w:r>
      <w:r>
        <w:rPr>
          <w:rStyle w:val="52"/>
          <w:rFonts w:hint="eastAsia" w:ascii="宋体" w:hAnsi="宋体" w:eastAsia="宋体" w:cs="宋体"/>
          <w:color w:val="auto"/>
          <w:sz w:val="30"/>
          <w:szCs w:val="30"/>
          <w:highlight w:val="none"/>
        </w:rPr>
        <w:fldChar w:fldCharType="end"/>
      </w:r>
    </w:p>
    <w:p w14:paraId="2EEF2229">
      <w:pPr>
        <w:pStyle w:val="32"/>
        <w:spacing w:line="360" w:lineRule="auto"/>
        <w:ind w:firstLine="301"/>
        <w:rPr>
          <w:rFonts w:hint="eastAsia" w:ascii="宋体" w:hAnsi="宋体" w:eastAsia="宋体" w:cs="宋体"/>
          <w:b w:val="0"/>
          <w:bCs w:val="0"/>
          <w:caps w:val="0"/>
          <w:color w:val="auto"/>
          <w:sz w:val="30"/>
          <w:szCs w:val="30"/>
          <w:highlight w:val="none"/>
          <w:lang w:val="en-US" w:eastAsia="zh-CN"/>
        </w:rPr>
      </w:pPr>
      <w:r>
        <w:rPr>
          <w:rStyle w:val="52"/>
          <w:rFonts w:hint="eastAsia" w:ascii="宋体" w:hAnsi="宋体" w:eastAsia="宋体" w:cs="宋体"/>
          <w:color w:val="auto"/>
          <w:sz w:val="30"/>
          <w:szCs w:val="30"/>
          <w:highlight w:val="none"/>
        </w:rPr>
        <w:fldChar w:fldCharType="begin"/>
      </w:r>
      <w:r>
        <w:rPr>
          <w:rStyle w:val="52"/>
          <w:rFonts w:hint="eastAsia" w:ascii="宋体" w:hAnsi="宋体" w:eastAsia="宋体" w:cs="宋体"/>
          <w:color w:val="auto"/>
          <w:sz w:val="30"/>
          <w:szCs w:val="30"/>
          <w:highlight w:val="none"/>
        </w:rPr>
        <w:instrText xml:space="preserve"> </w:instrText>
      </w:r>
      <w:r>
        <w:rPr>
          <w:rFonts w:hint="eastAsia" w:ascii="宋体" w:hAnsi="宋体" w:eastAsia="宋体" w:cs="宋体"/>
          <w:color w:val="auto"/>
          <w:sz w:val="30"/>
          <w:szCs w:val="30"/>
          <w:highlight w:val="none"/>
        </w:rPr>
        <w:instrText xml:space="preserve">HYPERLINK \l "_Toc74320801"</w:instrText>
      </w:r>
      <w:r>
        <w:rPr>
          <w:rStyle w:val="52"/>
          <w:rFonts w:hint="eastAsia" w:ascii="宋体" w:hAnsi="宋体" w:eastAsia="宋体" w:cs="宋体"/>
          <w:color w:val="auto"/>
          <w:sz w:val="30"/>
          <w:szCs w:val="30"/>
          <w:highlight w:val="none"/>
        </w:rPr>
        <w:instrText xml:space="preserve"> </w:instrText>
      </w:r>
      <w:r>
        <w:rPr>
          <w:rStyle w:val="52"/>
          <w:rFonts w:hint="eastAsia" w:ascii="宋体" w:hAnsi="宋体" w:eastAsia="宋体" w:cs="宋体"/>
          <w:color w:val="auto"/>
          <w:sz w:val="30"/>
          <w:szCs w:val="30"/>
          <w:highlight w:val="none"/>
        </w:rPr>
        <w:fldChar w:fldCharType="separate"/>
      </w:r>
      <w:r>
        <w:rPr>
          <w:rStyle w:val="52"/>
          <w:rFonts w:hint="eastAsia" w:ascii="宋体" w:hAnsi="宋体" w:eastAsia="宋体" w:cs="宋体"/>
          <w:color w:val="auto"/>
          <w:sz w:val="30"/>
          <w:szCs w:val="30"/>
          <w:highlight w:val="none"/>
        </w:rPr>
        <w:t>第二章　采购需求</w:t>
      </w:r>
      <w:r>
        <w:rPr>
          <w:rFonts w:hint="eastAsia" w:ascii="宋体" w:hAnsi="宋体" w:eastAsia="宋体" w:cs="宋体"/>
          <w:color w:val="auto"/>
          <w:sz w:val="30"/>
          <w:szCs w:val="30"/>
          <w:highlight w:val="none"/>
        </w:rPr>
        <w:tab/>
      </w:r>
      <w:r>
        <w:rPr>
          <w:rFonts w:hint="eastAsia" w:ascii="宋体" w:hAnsi="宋体" w:eastAsia="宋体" w:cs="宋体"/>
          <w:color w:val="auto"/>
          <w:sz w:val="30"/>
          <w:szCs w:val="30"/>
          <w:highlight w:val="none"/>
        </w:rPr>
        <w:fldChar w:fldCharType="begin"/>
      </w:r>
      <w:r>
        <w:rPr>
          <w:rFonts w:hint="eastAsia" w:ascii="宋体" w:hAnsi="宋体" w:eastAsia="宋体" w:cs="宋体"/>
          <w:color w:val="auto"/>
          <w:sz w:val="30"/>
          <w:szCs w:val="30"/>
          <w:highlight w:val="none"/>
        </w:rPr>
        <w:instrText xml:space="preserve"> PAGEREF _Toc74320801 \h </w:instrText>
      </w:r>
      <w:r>
        <w:rPr>
          <w:rFonts w:hint="eastAsia" w:ascii="宋体" w:hAnsi="宋体" w:eastAsia="宋体" w:cs="宋体"/>
          <w:color w:val="auto"/>
          <w:sz w:val="30"/>
          <w:szCs w:val="30"/>
          <w:highlight w:val="none"/>
        </w:rPr>
        <w:fldChar w:fldCharType="separate"/>
      </w:r>
      <w:r>
        <w:rPr>
          <w:rFonts w:hint="eastAsia" w:ascii="宋体" w:hAnsi="宋体" w:eastAsia="宋体" w:cs="宋体"/>
          <w:color w:val="auto"/>
          <w:sz w:val="30"/>
          <w:szCs w:val="30"/>
          <w:highlight w:val="none"/>
        </w:rPr>
        <w:t>9</w:t>
      </w:r>
      <w:r>
        <w:rPr>
          <w:rFonts w:hint="eastAsia" w:ascii="宋体" w:hAnsi="宋体" w:eastAsia="宋体" w:cs="宋体"/>
          <w:color w:val="auto"/>
          <w:sz w:val="30"/>
          <w:szCs w:val="30"/>
          <w:highlight w:val="none"/>
        </w:rPr>
        <w:fldChar w:fldCharType="end"/>
      </w:r>
      <w:r>
        <w:rPr>
          <w:rStyle w:val="52"/>
          <w:rFonts w:hint="eastAsia" w:ascii="宋体" w:hAnsi="宋体" w:eastAsia="宋体" w:cs="宋体"/>
          <w:color w:val="auto"/>
          <w:sz w:val="30"/>
          <w:szCs w:val="30"/>
          <w:highlight w:val="none"/>
        </w:rPr>
        <w:fldChar w:fldCharType="end"/>
      </w:r>
    </w:p>
    <w:p w14:paraId="7FC97B2E">
      <w:pPr>
        <w:pStyle w:val="32"/>
        <w:spacing w:line="360" w:lineRule="auto"/>
        <w:ind w:firstLine="301"/>
        <w:rPr>
          <w:rFonts w:hint="eastAsia" w:ascii="宋体" w:hAnsi="宋体" w:eastAsia="宋体" w:cs="宋体"/>
          <w:b w:val="0"/>
          <w:bCs w:val="0"/>
          <w:caps w:val="0"/>
          <w:color w:val="auto"/>
          <w:sz w:val="30"/>
          <w:szCs w:val="30"/>
          <w:highlight w:val="none"/>
          <w:lang w:val="en-US" w:eastAsia="zh-CN"/>
        </w:rPr>
      </w:pPr>
      <w:r>
        <w:rPr>
          <w:rStyle w:val="52"/>
          <w:rFonts w:hint="eastAsia" w:ascii="宋体" w:hAnsi="宋体" w:eastAsia="宋体" w:cs="宋体"/>
          <w:color w:val="auto"/>
          <w:sz w:val="30"/>
          <w:szCs w:val="30"/>
          <w:highlight w:val="none"/>
        </w:rPr>
        <w:fldChar w:fldCharType="begin"/>
      </w:r>
      <w:r>
        <w:rPr>
          <w:rStyle w:val="52"/>
          <w:rFonts w:hint="eastAsia" w:ascii="宋体" w:hAnsi="宋体" w:eastAsia="宋体" w:cs="宋体"/>
          <w:color w:val="auto"/>
          <w:sz w:val="30"/>
          <w:szCs w:val="30"/>
          <w:highlight w:val="none"/>
        </w:rPr>
        <w:instrText xml:space="preserve"> </w:instrText>
      </w:r>
      <w:r>
        <w:rPr>
          <w:rFonts w:hint="eastAsia" w:ascii="宋体" w:hAnsi="宋体" w:eastAsia="宋体" w:cs="宋体"/>
          <w:color w:val="auto"/>
          <w:sz w:val="30"/>
          <w:szCs w:val="30"/>
          <w:highlight w:val="none"/>
        </w:rPr>
        <w:instrText xml:space="preserve">HYPERLINK \l "_Toc74320802"</w:instrText>
      </w:r>
      <w:r>
        <w:rPr>
          <w:rStyle w:val="52"/>
          <w:rFonts w:hint="eastAsia" w:ascii="宋体" w:hAnsi="宋体" w:eastAsia="宋体" w:cs="宋体"/>
          <w:color w:val="auto"/>
          <w:sz w:val="30"/>
          <w:szCs w:val="30"/>
          <w:highlight w:val="none"/>
        </w:rPr>
        <w:instrText xml:space="preserve"> </w:instrText>
      </w:r>
      <w:r>
        <w:rPr>
          <w:rStyle w:val="52"/>
          <w:rFonts w:hint="eastAsia" w:ascii="宋体" w:hAnsi="宋体" w:eastAsia="宋体" w:cs="宋体"/>
          <w:color w:val="auto"/>
          <w:sz w:val="30"/>
          <w:szCs w:val="30"/>
          <w:highlight w:val="none"/>
        </w:rPr>
        <w:fldChar w:fldCharType="separate"/>
      </w:r>
      <w:r>
        <w:rPr>
          <w:rStyle w:val="52"/>
          <w:rFonts w:hint="eastAsia" w:ascii="宋体" w:hAnsi="宋体" w:eastAsia="宋体" w:cs="宋体"/>
          <w:color w:val="auto"/>
          <w:sz w:val="30"/>
          <w:szCs w:val="30"/>
          <w:highlight w:val="none"/>
        </w:rPr>
        <w:t>第三章　投标人须</w:t>
      </w:r>
      <w:bookmarkStart w:id="0" w:name="_Hlt79572744"/>
      <w:bookmarkStart w:id="1" w:name="_Hlt79572745"/>
      <w:r>
        <w:rPr>
          <w:rStyle w:val="52"/>
          <w:rFonts w:hint="eastAsia" w:ascii="宋体" w:hAnsi="宋体" w:eastAsia="宋体" w:cs="宋体"/>
          <w:color w:val="auto"/>
          <w:sz w:val="30"/>
          <w:szCs w:val="30"/>
          <w:highlight w:val="none"/>
        </w:rPr>
        <w:t>知</w:t>
      </w:r>
      <w:bookmarkEnd w:id="0"/>
      <w:bookmarkEnd w:id="1"/>
      <w:r>
        <w:rPr>
          <w:rFonts w:hint="eastAsia" w:ascii="宋体" w:hAnsi="宋体" w:eastAsia="宋体" w:cs="宋体"/>
          <w:color w:val="auto"/>
          <w:sz w:val="30"/>
          <w:szCs w:val="30"/>
          <w:highlight w:val="none"/>
        </w:rPr>
        <w:tab/>
      </w:r>
      <w:r>
        <w:rPr>
          <w:rFonts w:hint="eastAsia" w:ascii="宋体" w:hAnsi="宋体" w:eastAsia="宋体" w:cs="宋体"/>
          <w:color w:val="auto"/>
          <w:sz w:val="30"/>
          <w:szCs w:val="30"/>
          <w:highlight w:val="none"/>
        </w:rPr>
        <w:fldChar w:fldCharType="begin"/>
      </w:r>
      <w:r>
        <w:rPr>
          <w:rFonts w:hint="eastAsia" w:ascii="宋体" w:hAnsi="宋体" w:eastAsia="宋体" w:cs="宋体"/>
          <w:color w:val="auto"/>
          <w:sz w:val="30"/>
          <w:szCs w:val="30"/>
          <w:highlight w:val="none"/>
        </w:rPr>
        <w:instrText xml:space="preserve"> PAGEREF _Toc74320802 \h </w:instrText>
      </w:r>
      <w:r>
        <w:rPr>
          <w:rFonts w:hint="eastAsia" w:ascii="宋体" w:hAnsi="宋体" w:eastAsia="宋体" w:cs="宋体"/>
          <w:color w:val="auto"/>
          <w:sz w:val="30"/>
          <w:szCs w:val="30"/>
          <w:highlight w:val="none"/>
        </w:rPr>
        <w:fldChar w:fldCharType="separate"/>
      </w:r>
      <w:r>
        <w:rPr>
          <w:rFonts w:hint="eastAsia" w:ascii="宋体" w:hAnsi="宋体" w:eastAsia="宋体" w:cs="宋体"/>
          <w:color w:val="auto"/>
          <w:sz w:val="30"/>
          <w:szCs w:val="30"/>
          <w:highlight w:val="none"/>
        </w:rPr>
        <w:t>9</w:t>
      </w:r>
      <w:r>
        <w:rPr>
          <w:rFonts w:hint="eastAsia" w:ascii="宋体" w:hAnsi="宋体" w:eastAsia="宋体" w:cs="宋体"/>
          <w:color w:val="auto"/>
          <w:sz w:val="30"/>
          <w:szCs w:val="30"/>
          <w:highlight w:val="none"/>
        </w:rPr>
        <w:fldChar w:fldCharType="end"/>
      </w:r>
      <w:r>
        <w:rPr>
          <w:rStyle w:val="52"/>
          <w:rFonts w:hint="eastAsia" w:ascii="宋体" w:hAnsi="宋体" w:eastAsia="宋体" w:cs="宋体"/>
          <w:color w:val="auto"/>
          <w:sz w:val="30"/>
          <w:szCs w:val="30"/>
          <w:highlight w:val="none"/>
        </w:rPr>
        <w:fldChar w:fldCharType="end"/>
      </w:r>
    </w:p>
    <w:p w14:paraId="4BFD4D42">
      <w:pPr>
        <w:pStyle w:val="32"/>
        <w:spacing w:line="360" w:lineRule="auto"/>
        <w:ind w:firstLine="301"/>
        <w:rPr>
          <w:rFonts w:hint="eastAsia" w:ascii="宋体" w:hAnsi="宋体" w:eastAsia="宋体" w:cs="宋体"/>
          <w:b w:val="0"/>
          <w:bCs w:val="0"/>
          <w:caps w:val="0"/>
          <w:color w:val="auto"/>
          <w:sz w:val="30"/>
          <w:szCs w:val="30"/>
          <w:highlight w:val="none"/>
          <w:lang w:val="en-US" w:eastAsia="zh-CN"/>
        </w:rPr>
      </w:pPr>
      <w:r>
        <w:rPr>
          <w:rStyle w:val="52"/>
          <w:rFonts w:hint="eastAsia" w:ascii="宋体" w:hAnsi="宋体" w:eastAsia="宋体" w:cs="宋体"/>
          <w:color w:val="auto"/>
          <w:sz w:val="30"/>
          <w:szCs w:val="30"/>
          <w:highlight w:val="none"/>
        </w:rPr>
        <w:fldChar w:fldCharType="begin"/>
      </w:r>
      <w:r>
        <w:rPr>
          <w:rStyle w:val="52"/>
          <w:rFonts w:hint="eastAsia" w:ascii="宋体" w:hAnsi="宋体" w:eastAsia="宋体" w:cs="宋体"/>
          <w:color w:val="auto"/>
          <w:sz w:val="30"/>
          <w:szCs w:val="30"/>
          <w:highlight w:val="none"/>
        </w:rPr>
        <w:instrText xml:space="preserve"> </w:instrText>
      </w:r>
      <w:r>
        <w:rPr>
          <w:rFonts w:hint="eastAsia" w:ascii="宋体" w:hAnsi="宋体" w:eastAsia="宋体" w:cs="宋体"/>
          <w:color w:val="auto"/>
          <w:sz w:val="30"/>
          <w:szCs w:val="30"/>
          <w:highlight w:val="none"/>
        </w:rPr>
        <w:instrText xml:space="preserve">HYPERLINK \l "_Toc74320803"</w:instrText>
      </w:r>
      <w:r>
        <w:rPr>
          <w:rStyle w:val="52"/>
          <w:rFonts w:hint="eastAsia" w:ascii="宋体" w:hAnsi="宋体" w:eastAsia="宋体" w:cs="宋体"/>
          <w:color w:val="auto"/>
          <w:sz w:val="30"/>
          <w:szCs w:val="30"/>
          <w:highlight w:val="none"/>
        </w:rPr>
        <w:instrText xml:space="preserve"> </w:instrText>
      </w:r>
      <w:r>
        <w:rPr>
          <w:rStyle w:val="52"/>
          <w:rFonts w:hint="eastAsia" w:ascii="宋体" w:hAnsi="宋体" w:eastAsia="宋体" w:cs="宋体"/>
          <w:color w:val="auto"/>
          <w:sz w:val="30"/>
          <w:szCs w:val="30"/>
          <w:highlight w:val="none"/>
        </w:rPr>
        <w:fldChar w:fldCharType="separate"/>
      </w:r>
      <w:r>
        <w:rPr>
          <w:rStyle w:val="52"/>
          <w:rFonts w:hint="eastAsia" w:ascii="宋体" w:hAnsi="宋体" w:eastAsia="宋体" w:cs="宋体"/>
          <w:color w:val="auto"/>
          <w:sz w:val="30"/>
          <w:szCs w:val="30"/>
          <w:highlight w:val="none"/>
        </w:rPr>
        <w:t>第四章　评标方</w:t>
      </w:r>
      <w:bookmarkStart w:id="2" w:name="_Hlt82186273"/>
      <w:bookmarkStart w:id="3" w:name="_Hlt82186274"/>
      <w:r>
        <w:rPr>
          <w:rStyle w:val="52"/>
          <w:rFonts w:hint="eastAsia" w:ascii="宋体" w:hAnsi="宋体" w:eastAsia="宋体" w:cs="宋体"/>
          <w:color w:val="auto"/>
          <w:sz w:val="30"/>
          <w:szCs w:val="30"/>
          <w:highlight w:val="none"/>
        </w:rPr>
        <w:t>法</w:t>
      </w:r>
      <w:bookmarkEnd w:id="2"/>
      <w:bookmarkEnd w:id="3"/>
      <w:r>
        <w:rPr>
          <w:rStyle w:val="52"/>
          <w:rFonts w:hint="eastAsia" w:ascii="宋体" w:hAnsi="宋体" w:eastAsia="宋体" w:cs="宋体"/>
          <w:color w:val="auto"/>
          <w:sz w:val="30"/>
          <w:szCs w:val="30"/>
          <w:highlight w:val="none"/>
        </w:rPr>
        <w:t>及评标标准</w:t>
      </w:r>
      <w:r>
        <w:rPr>
          <w:rFonts w:hint="eastAsia" w:ascii="宋体" w:hAnsi="宋体" w:eastAsia="宋体" w:cs="宋体"/>
          <w:color w:val="auto"/>
          <w:sz w:val="30"/>
          <w:szCs w:val="30"/>
          <w:highlight w:val="none"/>
        </w:rPr>
        <w:tab/>
      </w:r>
      <w:r>
        <w:rPr>
          <w:rFonts w:hint="eastAsia" w:ascii="宋体" w:hAnsi="宋体" w:eastAsia="宋体" w:cs="宋体"/>
          <w:color w:val="auto"/>
          <w:sz w:val="30"/>
          <w:szCs w:val="30"/>
          <w:highlight w:val="none"/>
        </w:rPr>
        <w:fldChar w:fldCharType="begin"/>
      </w:r>
      <w:r>
        <w:rPr>
          <w:rFonts w:hint="eastAsia" w:ascii="宋体" w:hAnsi="宋体" w:eastAsia="宋体" w:cs="宋体"/>
          <w:color w:val="auto"/>
          <w:sz w:val="30"/>
          <w:szCs w:val="30"/>
          <w:highlight w:val="none"/>
        </w:rPr>
        <w:instrText xml:space="preserve"> PAGEREF _Toc74320803 \h </w:instrText>
      </w:r>
      <w:r>
        <w:rPr>
          <w:rFonts w:hint="eastAsia" w:ascii="宋体" w:hAnsi="宋体" w:eastAsia="宋体" w:cs="宋体"/>
          <w:color w:val="auto"/>
          <w:sz w:val="30"/>
          <w:szCs w:val="30"/>
          <w:highlight w:val="none"/>
        </w:rPr>
        <w:fldChar w:fldCharType="separate"/>
      </w:r>
      <w:r>
        <w:rPr>
          <w:rFonts w:hint="eastAsia" w:ascii="宋体" w:hAnsi="宋体" w:eastAsia="宋体" w:cs="宋体"/>
          <w:color w:val="auto"/>
          <w:sz w:val="30"/>
          <w:szCs w:val="30"/>
          <w:highlight w:val="none"/>
        </w:rPr>
        <w:t>60</w:t>
      </w:r>
      <w:r>
        <w:rPr>
          <w:rFonts w:hint="eastAsia" w:ascii="宋体" w:hAnsi="宋体" w:eastAsia="宋体" w:cs="宋体"/>
          <w:color w:val="auto"/>
          <w:sz w:val="30"/>
          <w:szCs w:val="30"/>
          <w:highlight w:val="none"/>
        </w:rPr>
        <w:fldChar w:fldCharType="end"/>
      </w:r>
      <w:r>
        <w:rPr>
          <w:rStyle w:val="52"/>
          <w:rFonts w:hint="eastAsia" w:ascii="宋体" w:hAnsi="宋体" w:eastAsia="宋体" w:cs="宋体"/>
          <w:color w:val="auto"/>
          <w:sz w:val="30"/>
          <w:szCs w:val="30"/>
          <w:highlight w:val="none"/>
        </w:rPr>
        <w:fldChar w:fldCharType="end"/>
      </w:r>
    </w:p>
    <w:p w14:paraId="222CC7F8">
      <w:pPr>
        <w:pStyle w:val="32"/>
        <w:spacing w:line="360" w:lineRule="auto"/>
        <w:ind w:firstLine="301"/>
        <w:rPr>
          <w:rFonts w:hint="eastAsia" w:ascii="宋体" w:hAnsi="宋体" w:eastAsia="宋体" w:cs="宋体"/>
          <w:b w:val="0"/>
          <w:bCs w:val="0"/>
          <w:caps w:val="0"/>
          <w:color w:val="auto"/>
          <w:sz w:val="30"/>
          <w:szCs w:val="30"/>
          <w:highlight w:val="none"/>
          <w:lang w:val="en-US" w:eastAsia="zh-CN"/>
        </w:rPr>
      </w:pPr>
      <w:r>
        <w:rPr>
          <w:rStyle w:val="52"/>
          <w:rFonts w:hint="eastAsia" w:ascii="宋体" w:hAnsi="宋体" w:eastAsia="宋体" w:cs="宋体"/>
          <w:color w:val="auto"/>
          <w:sz w:val="30"/>
          <w:szCs w:val="30"/>
          <w:highlight w:val="none"/>
        </w:rPr>
        <w:fldChar w:fldCharType="begin"/>
      </w:r>
      <w:r>
        <w:rPr>
          <w:rStyle w:val="52"/>
          <w:rFonts w:hint="eastAsia" w:ascii="宋体" w:hAnsi="宋体" w:eastAsia="宋体" w:cs="宋体"/>
          <w:color w:val="auto"/>
          <w:sz w:val="30"/>
          <w:szCs w:val="30"/>
          <w:highlight w:val="none"/>
        </w:rPr>
        <w:instrText xml:space="preserve"> </w:instrText>
      </w:r>
      <w:r>
        <w:rPr>
          <w:rFonts w:hint="eastAsia" w:ascii="宋体" w:hAnsi="宋体" w:eastAsia="宋体" w:cs="宋体"/>
          <w:color w:val="auto"/>
          <w:sz w:val="30"/>
          <w:szCs w:val="30"/>
          <w:highlight w:val="none"/>
        </w:rPr>
        <w:instrText xml:space="preserve">HYPERLINK \l "_Toc74320804"</w:instrText>
      </w:r>
      <w:r>
        <w:rPr>
          <w:rStyle w:val="52"/>
          <w:rFonts w:hint="eastAsia" w:ascii="宋体" w:hAnsi="宋体" w:eastAsia="宋体" w:cs="宋体"/>
          <w:color w:val="auto"/>
          <w:sz w:val="30"/>
          <w:szCs w:val="30"/>
          <w:highlight w:val="none"/>
        </w:rPr>
        <w:instrText xml:space="preserve"> </w:instrText>
      </w:r>
      <w:r>
        <w:rPr>
          <w:rStyle w:val="52"/>
          <w:rFonts w:hint="eastAsia" w:ascii="宋体" w:hAnsi="宋体" w:eastAsia="宋体" w:cs="宋体"/>
          <w:color w:val="auto"/>
          <w:sz w:val="30"/>
          <w:szCs w:val="30"/>
          <w:highlight w:val="none"/>
        </w:rPr>
        <w:fldChar w:fldCharType="separate"/>
      </w:r>
      <w:r>
        <w:rPr>
          <w:rStyle w:val="52"/>
          <w:rFonts w:hint="eastAsia" w:ascii="宋体" w:hAnsi="宋体" w:eastAsia="宋体" w:cs="宋体"/>
          <w:color w:val="auto"/>
          <w:sz w:val="30"/>
          <w:szCs w:val="30"/>
          <w:highlight w:val="none"/>
        </w:rPr>
        <w:t>第五章　拟签订的合同文本</w:t>
      </w:r>
      <w:r>
        <w:rPr>
          <w:rFonts w:hint="eastAsia" w:ascii="宋体" w:hAnsi="宋体" w:eastAsia="宋体" w:cs="宋体"/>
          <w:color w:val="auto"/>
          <w:sz w:val="30"/>
          <w:szCs w:val="30"/>
          <w:highlight w:val="none"/>
        </w:rPr>
        <w:tab/>
      </w:r>
      <w:r>
        <w:rPr>
          <w:rFonts w:hint="eastAsia" w:ascii="宋体" w:hAnsi="宋体" w:eastAsia="宋体" w:cs="宋体"/>
          <w:color w:val="auto"/>
          <w:sz w:val="30"/>
          <w:szCs w:val="30"/>
          <w:highlight w:val="none"/>
        </w:rPr>
        <w:fldChar w:fldCharType="begin"/>
      </w:r>
      <w:r>
        <w:rPr>
          <w:rFonts w:hint="eastAsia" w:ascii="宋体" w:hAnsi="宋体" w:eastAsia="宋体" w:cs="宋体"/>
          <w:color w:val="auto"/>
          <w:sz w:val="30"/>
          <w:szCs w:val="30"/>
          <w:highlight w:val="none"/>
        </w:rPr>
        <w:instrText xml:space="preserve"> PAGEREF _Toc74320804 \h </w:instrText>
      </w:r>
      <w:r>
        <w:rPr>
          <w:rFonts w:hint="eastAsia" w:ascii="宋体" w:hAnsi="宋体" w:eastAsia="宋体" w:cs="宋体"/>
          <w:color w:val="auto"/>
          <w:sz w:val="30"/>
          <w:szCs w:val="30"/>
          <w:highlight w:val="none"/>
        </w:rPr>
        <w:fldChar w:fldCharType="separate"/>
      </w:r>
      <w:r>
        <w:rPr>
          <w:rFonts w:hint="eastAsia" w:ascii="宋体" w:hAnsi="宋体" w:eastAsia="宋体" w:cs="宋体"/>
          <w:color w:val="auto"/>
          <w:sz w:val="30"/>
          <w:szCs w:val="30"/>
          <w:highlight w:val="none"/>
        </w:rPr>
        <w:t>78</w:t>
      </w:r>
      <w:r>
        <w:rPr>
          <w:rFonts w:hint="eastAsia" w:ascii="宋体" w:hAnsi="宋体" w:eastAsia="宋体" w:cs="宋体"/>
          <w:color w:val="auto"/>
          <w:sz w:val="30"/>
          <w:szCs w:val="30"/>
          <w:highlight w:val="none"/>
        </w:rPr>
        <w:fldChar w:fldCharType="end"/>
      </w:r>
      <w:r>
        <w:rPr>
          <w:rStyle w:val="52"/>
          <w:rFonts w:hint="eastAsia" w:ascii="宋体" w:hAnsi="宋体" w:eastAsia="宋体" w:cs="宋体"/>
          <w:color w:val="auto"/>
          <w:sz w:val="30"/>
          <w:szCs w:val="30"/>
          <w:highlight w:val="none"/>
        </w:rPr>
        <w:fldChar w:fldCharType="end"/>
      </w:r>
    </w:p>
    <w:p w14:paraId="12DD1BAC">
      <w:pPr>
        <w:pStyle w:val="32"/>
        <w:spacing w:line="360" w:lineRule="auto"/>
        <w:ind w:firstLine="301"/>
        <w:rPr>
          <w:rFonts w:hint="eastAsia" w:ascii="宋体" w:hAnsi="宋体" w:eastAsia="宋体" w:cs="宋体"/>
          <w:b w:val="0"/>
          <w:bCs w:val="0"/>
          <w:caps w:val="0"/>
          <w:color w:val="auto"/>
          <w:sz w:val="30"/>
          <w:szCs w:val="30"/>
          <w:highlight w:val="none"/>
          <w:lang w:val="en-US" w:eastAsia="zh-CN"/>
        </w:rPr>
      </w:pPr>
      <w:r>
        <w:rPr>
          <w:rStyle w:val="52"/>
          <w:rFonts w:hint="eastAsia" w:ascii="宋体" w:hAnsi="宋体" w:eastAsia="宋体" w:cs="宋体"/>
          <w:color w:val="auto"/>
          <w:sz w:val="30"/>
          <w:szCs w:val="30"/>
          <w:highlight w:val="none"/>
        </w:rPr>
        <w:fldChar w:fldCharType="begin"/>
      </w:r>
      <w:r>
        <w:rPr>
          <w:rStyle w:val="52"/>
          <w:rFonts w:hint="eastAsia" w:ascii="宋体" w:hAnsi="宋体" w:eastAsia="宋体" w:cs="宋体"/>
          <w:color w:val="auto"/>
          <w:sz w:val="30"/>
          <w:szCs w:val="30"/>
          <w:highlight w:val="none"/>
        </w:rPr>
        <w:instrText xml:space="preserve"> </w:instrText>
      </w:r>
      <w:r>
        <w:rPr>
          <w:rFonts w:hint="eastAsia" w:ascii="宋体" w:hAnsi="宋体" w:eastAsia="宋体" w:cs="宋体"/>
          <w:color w:val="auto"/>
          <w:sz w:val="30"/>
          <w:szCs w:val="30"/>
          <w:highlight w:val="none"/>
        </w:rPr>
        <w:instrText xml:space="preserve">HYPERLINK \l "_Toc74320805"</w:instrText>
      </w:r>
      <w:r>
        <w:rPr>
          <w:rStyle w:val="52"/>
          <w:rFonts w:hint="eastAsia" w:ascii="宋体" w:hAnsi="宋体" w:eastAsia="宋体" w:cs="宋体"/>
          <w:color w:val="auto"/>
          <w:sz w:val="30"/>
          <w:szCs w:val="30"/>
          <w:highlight w:val="none"/>
        </w:rPr>
        <w:instrText xml:space="preserve"> </w:instrText>
      </w:r>
      <w:r>
        <w:rPr>
          <w:rStyle w:val="52"/>
          <w:rFonts w:hint="eastAsia" w:ascii="宋体" w:hAnsi="宋体" w:eastAsia="宋体" w:cs="宋体"/>
          <w:color w:val="auto"/>
          <w:sz w:val="30"/>
          <w:szCs w:val="30"/>
          <w:highlight w:val="none"/>
        </w:rPr>
        <w:fldChar w:fldCharType="separate"/>
      </w:r>
      <w:r>
        <w:rPr>
          <w:rStyle w:val="52"/>
          <w:rFonts w:hint="eastAsia" w:ascii="宋体" w:hAnsi="宋体" w:eastAsia="宋体" w:cs="宋体"/>
          <w:color w:val="auto"/>
          <w:sz w:val="30"/>
          <w:szCs w:val="30"/>
          <w:highlight w:val="none"/>
        </w:rPr>
        <w:t>第六章　投标文件格式</w:t>
      </w:r>
      <w:r>
        <w:rPr>
          <w:rFonts w:hint="eastAsia" w:ascii="宋体" w:hAnsi="宋体" w:eastAsia="宋体" w:cs="宋体"/>
          <w:color w:val="auto"/>
          <w:sz w:val="30"/>
          <w:szCs w:val="30"/>
          <w:highlight w:val="none"/>
        </w:rPr>
        <w:tab/>
      </w:r>
      <w:r>
        <w:rPr>
          <w:rFonts w:hint="eastAsia" w:ascii="宋体" w:hAnsi="宋体" w:eastAsia="宋体" w:cs="宋体"/>
          <w:color w:val="auto"/>
          <w:sz w:val="30"/>
          <w:szCs w:val="30"/>
          <w:highlight w:val="none"/>
        </w:rPr>
        <w:fldChar w:fldCharType="begin"/>
      </w:r>
      <w:r>
        <w:rPr>
          <w:rFonts w:hint="eastAsia" w:ascii="宋体" w:hAnsi="宋体" w:eastAsia="宋体" w:cs="宋体"/>
          <w:color w:val="auto"/>
          <w:sz w:val="30"/>
          <w:szCs w:val="30"/>
          <w:highlight w:val="none"/>
        </w:rPr>
        <w:instrText xml:space="preserve"> PAGEREF _Toc74320805 \h </w:instrText>
      </w:r>
      <w:r>
        <w:rPr>
          <w:rFonts w:hint="eastAsia" w:ascii="宋体" w:hAnsi="宋体" w:eastAsia="宋体" w:cs="宋体"/>
          <w:color w:val="auto"/>
          <w:sz w:val="30"/>
          <w:szCs w:val="30"/>
          <w:highlight w:val="none"/>
        </w:rPr>
        <w:fldChar w:fldCharType="separate"/>
      </w:r>
      <w:r>
        <w:rPr>
          <w:rFonts w:hint="eastAsia" w:ascii="宋体" w:hAnsi="宋体" w:eastAsia="宋体" w:cs="宋体"/>
          <w:color w:val="auto"/>
          <w:sz w:val="30"/>
          <w:szCs w:val="30"/>
          <w:highlight w:val="none"/>
        </w:rPr>
        <w:t>91</w:t>
      </w:r>
      <w:r>
        <w:rPr>
          <w:rFonts w:hint="eastAsia" w:ascii="宋体" w:hAnsi="宋体" w:eastAsia="宋体" w:cs="宋体"/>
          <w:color w:val="auto"/>
          <w:sz w:val="30"/>
          <w:szCs w:val="30"/>
          <w:highlight w:val="none"/>
        </w:rPr>
        <w:fldChar w:fldCharType="end"/>
      </w:r>
      <w:r>
        <w:rPr>
          <w:rStyle w:val="52"/>
          <w:rFonts w:hint="eastAsia" w:ascii="宋体" w:hAnsi="宋体" w:eastAsia="宋体" w:cs="宋体"/>
          <w:color w:val="auto"/>
          <w:sz w:val="30"/>
          <w:szCs w:val="30"/>
          <w:highlight w:val="none"/>
        </w:rPr>
        <w:fldChar w:fldCharType="end"/>
      </w:r>
    </w:p>
    <w:p w14:paraId="1C04A1A7">
      <w:pPr>
        <w:spacing w:before="120" w:line="360" w:lineRule="auto"/>
        <w:rPr>
          <w:rFonts w:hint="eastAsia" w:ascii="宋体" w:hAnsi="宋体" w:eastAsia="宋体" w:cs="宋体"/>
          <w:color w:val="auto"/>
          <w:sz w:val="30"/>
          <w:szCs w:val="30"/>
          <w:highlight w:val="none"/>
        </w:rPr>
      </w:pPr>
      <w:r>
        <w:rPr>
          <w:rFonts w:hint="eastAsia" w:ascii="宋体" w:hAnsi="宋体" w:eastAsia="宋体" w:cs="宋体"/>
          <w:b/>
          <w:color w:val="auto"/>
          <w:sz w:val="30"/>
          <w:szCs w:val="30"/>
          <w:highlight w:val="none"/>
        </w:rPr>
        <w:fldChar w:fldCharType="end"/>
      </w:r>
    </w:p>
    <w:p w14:paraId="461D48B2">
      <w:pPr>
        <w:spacing w:before="120" w:line="360" w:lineRule="auto"/>
        <w:rPr>
          <w:rFonts w:hint="eastAsia" w:ascii="宋体" w:hAnsi="宋体" w:eastAsia="宋体" w:cs="宋体"/>
          <w:color w:val="auto"/>
          <w:sz w:val="30"/>
          <w:szCs w:val="30"/>
          <w:highlight w:val="none"/>
        </w:rPr>
      </w:pPr>
    </w:p>
    <w:p w14:paraId="5C04AF5B">
      <w:pPr>
        <w:rPr>
          <w:rFonts w:hint="eastAsia" w:ascii="宋体" w:hAnsi="宋体" w:eastAsia="宋体" w:cs="宋体"/>
          <w:color w:val="auto"/>
          <w:highlight w:val="none"/>
        </w:rPr>
      </w:pPr>
    </w:p>
    <w:p w14:paraId="1EE91B1B">
      <w:pPr>
        <w:spacing w:before="156" w:beforeLines="50" w:line="480" w:lineRule="exact"/>
        <w:rPr>
          <w:rFonts w:hint="eastAsia" w:ascii="宋体" w:hAnsi="宋体" w:eastAsia="宋体" w:cs="宋体"/>
          <w:color w:val="auto"/>
          <w:sz w:val="30"/>
          <w:highlight w:val="none"/>
        </w:rPr>
      </w:pPr>
    </w:p>
    <w:p w14:paraId="05E09AAA">
      <w:pPr>
        <w:spacing w:before="156" w:beforeLines="50" w:line="480" w:lineRule="exact"/>
        <w:rPr>
          <w:rFonts w:hint="eastAsia" w:ascii="宋体" w:hAnsi="宋体" w:eastAsia="宋体" w:cs="宋体"/>
          <w:color w:val="auto"/>
          <w:sz w:val="30"/>
          <w:highlight w:val="none"/>
        </w:rPr>
      </w:pPr>
    </w:p>
    <w:p w14:paraId="2C08ADEC">
      <w:pPr>
        <w:pStyle w:val="17"/>
        <w:rPr>
          <w:rFonts w:hint="eastAsia" w:ascii="宋体" w:hAnsi="宋体" w:eastAsia="宋体" w:cs="宋体"/>
          <w:b/>
          <w:bCs/>
          <w:color w:val="auto"/>
          <w:highlight w:val="none"/>
        </w:rPr>
      </w:pPr>
      <w:bookmarkStart w:id="4" w:name="_Toc254970630"/>
      <w:bookmarkStart w:id="5" w:name="_Toc254970489"/>
    </w:p>
    <w:p w14:paraId="66D602F0">
      <w:pPr>
        <w:pStyle w:val="3"/>
        <w:keepNext w:val="0"/>
        <w:keepLines w:val="0"/>
        <w:tabs>
          <w:tab w:val="left" w:pos="0"/>
          <w:tab w:val="left" w:pos="3165"/>
          <w:tab w:val="center" w:pos="4153"/>
        </w:tabs>
        <w:autoSpaceDE w:val="0"/>
        <w:autoSpaceDN w:val="0"/>
        <w:adjustRightInd w:val="0"/>
        <w:spacing w:before="0" w:after="0" w:line="360" w:lineRule="auto"/>
        <w:jc w:val="center"/>
        <w:rPr>
          <w:rFonts w:hint="eastAsia" w:ascii="宋体" w:hAnsi="宋体" w:eastAsia="宋体" w:cs="宋体"/>
          <w:color w:val="auto"/>
          <w:highlight w:val="none"/>
        </w:rPr>
        <w:sectPr>
          <w:footerReference r:id="rId3" w:type="default"/>
          <w:pgSz w:w="11906" w:h="16838"/>
          <w:pgMar w:top="1440" w:right="1800" w:bottom="1440" w:left="1800" w:header="851" w:footer="992" w:gutter="0"/>
          <w:cols w:space="720" w:num="1"/>
          <w:docGrid w:type="lines" w:linePitch="312" w:charSpace="0"/>
        </w:sectPr>
      </w:pPr>
      <w:bookmarkStart w:id="6" w:name="_Toc74320800"/>
    </w:p>
    <w:p w14:paraId="3CCE5AB9">
      <w:pPr>
        <w:pStyle w:val="3"/>
        <w:keepNext w:val="0"/>
        <w:keepLines w:val="0"/>
        <w:tabs>
          <w:tab w:val="left" w:pos="0"/>
          <w:tab w:val="left" w:pos="3165"/>
          <w:tab w:val="center" w:pos="4153"/>
        </w:tabs>
        <w:autoSpaceDE w:val="0"/>
        <w:autoSpaceDN w:val="0"/>
        <w:adjustRightInd w:val="0"/>
        <w:spacing w:before="0" w:after="0" w:line="360" w:lineRule="auto"/>
        <w:jc w:val="center"/>
        <w:rPr>
          <w:rFonts w:hint="eastAsia" w:ascii="宋体" w:hAnsi="宋体" w:eastAsia="宋体" w:cs="宋体"/>
          <w:color w:val="auto"/>
          <w:highlight w:val="none"/>
        </w:rPr>
      </w:pPr>
      <w:r>
        <w:rPr>
          <w:rFonts w:hint="eastAsia" w:ascii="宋体" w:hAnsi="宋体" w:eastAsia="宋体" w:cs="宋体"/>
          <w:color w:val="auto"/>
          <w:highlight w:val="none"/>
        </w:rPr>
        <w:t>第一章</w:t>
      </w:r>
      <w:bookmarkEnd w:id="4"/>
      <w:bookmarkEnd w:id="5"/>
      <w:bookmarkStart w:id="7" w:name="_Toc35393789"/>
      <w:bookmarkStart w:id="8" w:name="_Toc28359001"/>
      <w:r>
        <w:rPr>
          <w:rFonts w:hint="eastAsia" w:ascii="宋体" w:hAnsi="宋体" w:eastAsia="宋体" w:cs="宋体"/>
          <w:color w:val="auto"/>
          <w:highlight w:val="none"/>
          <w:lang w:val="en-US" w:eastAsia="zh-CN"/>
        </w:rPr>
        <w:t xml:space="preserve"> </w:t>
      </w:r>
      <w:r>
        <w:rPr>
          <w:rFonts w:hint="eastAsia" w:ascii="宋体" w:hAnsi="宋体" w:eastAsia="宋体" w:cs="宋体"/>
          <w:color w:val="auto"/>
          <w:highlight w:val="none"/>
        </w:rPr>
        <w:t>招标公告</w:t>
      </w:r>
      <w:bookmarkEnd w:id="6"/>
      <w:bookmarkEnd w:id="7"/>
      <w:bookmarkEnd w:id="8"/>
    </w:p>
    <w:p w14:paraId="0835941C">
      <w:pPr>
        <w:rPr>
          <w:rFonts w:hint="eastAsia" w:ascii="宋体" w:hAnsi="宋体" w:eastAsia="宋体" w:cs="宋体"/>
          <w:color w:val="auto"/>
          <w:highlight w:val="none"/>
        </w:rPr>
      </w:pPr>
    </w:p>
    <w:p w14:paraId="486277F9">
      <w:pPr>
        <w:pStyle w:val="24"/>
        <w:spacing w:line="500" w:lineRule="exact"/>
        <w:jc w:val="center"/>
        <w:rPr>
          <w:rFonts w:hint="eastAsia" w:ascii="宋体" w:hAnsi="宋体" w:eastAsia="宋体" w:cs="宋体"/>
          <w:b/>
          <w:color w:val="auto"/>
          <w:sz w:val="36"/>
          <w:szCs w:val="36"/>
          <w:highlight w:val="none"/>
        </w:rPr>
      </w:pPr>
      <w:r>
        <w:rPr>
          <w:rFonts w:hint="eastAsia" w:ascii="宋体" w:hAnsi="宋体" w:eastAsia="宋体" w:cs="宋体"/>
          <w:b/>
          <w:color w:val="auto"/>
          <w:sz w:val="36"/>
          <w:szCs w:val="36"/>
          <w:highlight w:val="none"/>
        </w:rPr>
        <w:t>广西科文招标有限公司</w:t>
      </w:r>
    </w:p>
    <w:p w14:paraId="236A2120">
      <w:pPr>
        <w:pStyle w:val="3"/>
        <w:tabs>
          <w:tab w:val="left" w:pos="0"/>
          <w:tab w:val="left" w:pos="3165"/>
          <w:tab w:val="center" w:pos="4153"/>
        </w:tabs>
        <w:autoSpaceDE w:val="0"/>
        <w:autoSpaceDN w:val="0"/>
        <w:adjustRightInd w:val="0"/>
        <w:spacing w:before="0" w:after="0" w:line="500" w:lineRule="exact"/>
        <w:jc w:val="center"/>
        <w:rPr>
          <w:rFonts w:hint="eastAsia" w:ascii="宋体" w:hAnsi="宋体" w:eastAsia="宋体" w:cs="宋体"/>
          <w:color w:val="auto"/>
          <w:szCs w:val="21"/>
          <w:highlight w:val="none"/>
        </w:rPr>
      </w:pPr>
      <w:r>
        <w:rPr>
          <w:rFonts w:hint="eastAsia" w:ascii="宋体" w:hAnsi="宋体" w:cs="宋体"/>
          <w:bCs w:val="0"/>
          <w:color w:val="auto"/>
          <w:kern w:val="2"/>
          <w:sz w:val="36"/>
          <w:szCs w:val="36"/>
          <w:highlight w:val="none"/>
          <w:lang w:eastAsia="zh-CN"/>
        </w:rPr>
        <w:t>2026年公路水运铁路工程质量监督检测项目</w:t>
      </w:r>
      <w:r>
        <w:rPr>
          <w:rFonts w:hint="eastAsia" w:ascii="宋体" w:hAnsi="宋体" w:eastAsia="宋体" w:cs="宋体"/>
          <w:bCs w:val="0"/>
          <w:color w:val="auto"/>
          <w:kern w:val="2"/>
          <w:sz w:val="36"/>
          <w:szCs w:val="36"/>
          <w:highlight w:val="none"/>
        </w:rPr>
        <w:t>（</w:t>
      </w:r>
      <w:r>
        <w:rPr>
          <w:rFonts w:hint="eastAsia" w:ascii="宋体" w:hAnsi="宋体" w:cs="宋体"/>
          <w:bCs w:val="0"/>
          <w:color w:val="auto"/>
          <w:kern w:val="2"/>
          <w:sz w:val="36"/>
          <w:szCs w:val="36"/>
          <w:highlight w:val="none"/>
          <w:lang w:eastAsia="zh-CN"/>
        </w:rPr>
        <w:t>GXZC2026-G3-001840-KWZB</w:t>
      </w:r>
      <w:r>
        <w:rPr>
          <w:rFonts w:hint="eastAsia" w:ascii="宋体" w:hAnsi="宋体" w:eastAsia="宋体" w:cs="宋体"/>
          <w:bCs w:val="0"/>
          <w:color w:val="auto"/>
          <w:kern w:val="2"/>
          <w:sz w:val="36"/>
          <w:szCs w:val="36"/>
          <w:highlight w:val="none"/>
        </w:rPr>
        <w:t>）招标公告</w:t>
      </w:r>
    </w:p>
    <w:p w14:paraId="6A734E2F">
      <w:pPr>
        <w:spacing w:line="400" w:lineRule="exact"/>
        <w:rPr>
          <w:rFonts w:hint="eastAsia" w:ascii="宋体" w:hAnsi="宋体" w:eastAsia="宋体" w:cs="宋体"/>
          <w:color w:val="auto"/>
          <w:szCs w:val="21"/>
          <w:highlight w:val="none"/>
        </w:rPr>
      </w:pPr>
      <w:bookmarkStart w:id="9" w:name="OLE_LINK1"/>
    </w:p>
    <w:p w14:paraId="4348AAE3">
      <w:pPr>
        <w:pBdr>
          <w:top w:val="single" w:color="auto" w:sz="4" w:space="1"/>
          <w:left w:val="single" w:color="auto" w:sz="4" w:space="4"/>
          <w:bottom w:val="single" w:color="auto" w:sz="4" w:space="1"/>
          <w:right w:val="single" w:color="auto" w:sz="4" w:space="4"/>
        </w:pBdr>
        <w:spacing w:line="40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项目概况</w:t>
      </w:r>
    </w:p>
    <w:p w14:paraId="6B60D096">
      <w:pPr>
        <w:pBdr>
          <w:top w:val="single" w:color="auto" w:sz="4" w:space="1"/>
          <w:left w:val="single" w:color="auto" w:sz="4" w:space="4"/>
          <w:bottom w:val="single" w:color="auto" w:sz="4" w:space="1"/>
          <w:right w:val="single" w:color="auto" w:sz="4" w:space="4"/>
        </w:pBdr>
        <w:spacing w:line="400" w:lineRule="exact"/>
        <w:ind w:firstLine="420" w:firstLineChars="200"/>
        <w:rPr>
          <w:rFonts w:hint="eastAsia" w:ascii="宋体" w:hAnsi="宋体" w:eastAsia="宋体" w:cs="宋体"/>
          <w:color w:val="auto"/>
          <w:szCs w:val="21"/>
          <w:highlight w:val="none"/>
        </w:rPr>
      </w:pPr>
      <w:r>
        <w:rPr>
          <w:rFonts w:hint="eastAsia" w:ascii="宋体" w:hAnsi="宋体" w:cs="宋体"/>
          <w:bCs/>
          <w:color w:val="auto"/>
          <w:szCs w:val="21"/>
          <w:highlight w:val="none"/>
          <w:u w:val="single"/>
          <w:lang w:eastAsia="zh-CN"/>
        </w:rPr>
        <w:t>2026年公路水运铁路工程质量监督检测项目</w:t>
      </w:r>
      <w:r>
        <w:rPr>
          <w:rFonts w:hint="eastAsia" w:ascii="宋体" w:hAnsi="宋体" w:eastAsia="宋体" w:cs="宋体"/>
          <w:color w:val="auto"/>
          <w:szCs w:val="21"/>
          <w:highlight w:val="none"/>
        </w:rPr>
        <w:t>招标项目的潜在投标人应在“广西政府采购云”平台（https://www.gcy.zfcg.gxzf.gov.cn）获取（下载）招标文件，并于</w:t>
      </w:r>
      <w:r>
        <w:rPr>
          <w:rFonts w:hint="eastAsia" w:ascii="宋体" w:hAnsi="宋体" w:eastAsia="宋体" w:cs="宋体"/>
          <w:b/>
          <w:bCs w:val="0"/>
          <w:color w:val="auto"/>
          <w:szCs w:val="21"/>
          <w:highlight w:val="none"/>
          <w:lang w:eastAsia="zh-CN"/>
        </w:rPr>
        <w:t>2026年</w:t>
      </w:r>
      <w:r>
        <w:rPr>
          <w:rFonts w:hint="eastAsia" w:ascii="宋体" w:hAnsi="宋体" w:cs="宋体"/>
          <w:b/>
          <w:bCs w:val="0"/>
          <w:color w:val="auto"/>
          <w:szCs w:val="21"/>
          <w:highlight w:val="none"/>
          <w:lang w:val="en-US" w:eastAsia="zh-CN"/>
        </w:rPr>
        <w:t>7月7</w:t>
      </w:r>
      <w:r>
        <w:rPr>
          <w:rFonts w:hint="eastAsia" w:ascii="宋体" w:hAnsi="宋体" w:eastAsia="宋体" w:cs="宋体"/>
          <w:b/>
          <w:bCs w:val="0"/>
          <w:color w:val="auto"/>
          <w:szCs w:val="21"/>
          <w:highlight w:val="none"/>
          <w:lang w:eastAsia="zh-CN"/>
        </w:rPr>
        <w:t>日</w:t>
      </w:r>
      <w:r>
        <w:rPr>
          <w:rFonts w:hint="eastAsia" w:ascii="宋体" w:hAnsi="宋体" w:eastAsia="宋体" w:cs="宋体"/>
          <w:bCs/>
          <w:color w:val="auto"/>
          <w:szCs w:val="21"/>
          <w:highlight w:val="none"/>
        </w:rPr>
        <w:t>9时30分（北京时间）前递交投标文件</w:t>
      </w:r>
      <w:r>
        <w:rPr>
          <w:rFonts w:hint="eastAsia" w:ascii="宋体" w:hAnsi="宋体" w:eastAsia="宋体" w:cs="宋体"/>
          <w:color w:val="auto"/>
          <w:szCs w:val="21"/>
          <w:highlight w:val="none"/>
        </w:rPr>
        <w:t>。</w:t>
      </w:r>
    </w:p>
    <w:p w14:paraId="28000BD3">
      <w:pPr>
        <w:spacing w:line="400" w:lineRule="exact"/>
        <w:rPr>
          <w:rFonts w:hint="eastAsia" w:ascii="宋体" w:hAnsi="宋体" w:eastAsia="宋体" w:cs="宋体"/>
          <w:color w:val="auto"/>
          <w:szCs w:val="21"/>
          <w:highlight w:val="none"/>
        </w:rPr>
      </w:pPr>
    </w:p>
    <w:p w14:paraId="18071F72">
      <w:pPr>
        <w:spacing w:line="400" w:lineRule="exact"/>
        <w:rPr>
          <w:rFonts w:hint="eastAsia" w:ascii="宋体" w:hAnsi="宋体" w:eastAsia="宋体" w:cs="宋体"/>
          <w:b/>
          <w:bCs/>
          <w:color w:val="auto"/>
          <w:sz w:val="24"/>
          <w:highlight w:val="none"/>
        </w:rPr>
      </w:pPr>
      <w:bookmarkStart w:id="10" w:name="_Toc35393621"/>
      <w:bookmarkStart w:id="11" w:name="_Toc28359002"/>
      <w:bookmarkStart w:id="12" w:name="_Toc28359079"/>
      <w:bookmarkStart w:id="13" w:name="_Toc35393790"/>
      <w:bookmarkStart w:id="14" w:name="_Hlk24379207"/>
      <w:r>
        <w:rPr>
          <w:rFonts w:hint="eastAsia" w:ascii="宋体" w:hAnsi="宋体" w:eastAsia="宋体" w:cs="宋体"/>
          <w:b/>
          <w:bCs/>
          <w:color w:val="auto"/>
          <w:sz w:val="24"/>
          <w:highlight w:val="none"/>
        </w:rPr>
        <w:t>一、项目基本情况</w:t>
      </w:r>
      <w:bookmarkEnd w:id="10"/>
      <w:bookmarkEnd w:id="11"/>
      <w:bookmarkEnd w:id="12"/>
      <w:bookmarkEnd w:id="13"/>
    </w:p>
    <w:p w14:paraId="43AD750A">
      <w:pPr>
        <w:spacing w:line="400" w:lineRule="exact"/>
        <w:ind w:firstLine="420" w:firstLineChars="200"/>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rPr>
        <w:t>项目编号</w:t>
      </w:r>
      <w:r>
        <w:rPr>
          <w:rFonts w:hint="eastAsia" w:ascii="宋体" w:hAnsi="宋体" w:eastAsia="宋体" w:cs="宋体"/>
          <w:color w:val="auto"/>
          <w:szCs w:val="21"/>
          <w:highlight w:val="none"/>
          <w:lang w:eastAsia="zh-CN"/>
        </w:rPr>
        <w:t>：</w:t>
      </w:r>
      <w:r>
        <w:rPr>
          <w:rFonts w:hint="eastAsia" w:ascii="宋体" w:hAnsi="宋体" w:cs="宋体"/>
          <w:color w:val="auto"/>
          <w:szCs w:val="21"/>
          <w:highlight w:val="none"/>
          <w:lang w:eastAsia="zh-CN"/>
        </w:rPr>
        <w:t>GXZC2026-G3-001840-KWZB</w:t>
      </w:r>
    </w:p>
    <w:p w14:paraId="4CFDD1AC">
      <w:pPr>
        <w:spacing w:line="400" w:lineRule="exact"/>
        <w:ind w:firstLine="420" w:firstLineChars="200"/>
        <w:rPr>
          <w:rFonts w:hint="eastAsia" w:ascii="宋体" w:hAnsi="宋体" w:eastAsia="宋体" w:cs="宋体"/>
          <w:bCs/>
          <w:color w:val="auto"/>
          <w:szCs w:val="21"/>
          <w:highlight w:val="none"/>
          <w:lang w:val="en-US" w:eastAsia="zh-CN"/>
        </w:rPr>
      </w:pPr>
      <w:r>
        <w:rPr>
          <w:rFonts w:hint="eastAsia" w:ascii="宋体" w:hAnsi="宋体" w:eastAsia="宋体" w:cs="宋体"/>
          <w:color w:val="auto"/>
          <w:szCs w:val="21"/>
          <w:highlight w:val="none"/>
        </w:rPr>
        <w:t>项目名称</w:t>
      </w:r>
      <w:r>
        <w:rPr>
          <w:rFonts w:hint="eastAsia" w:ascii="宋体" w:hAnsi="宋体" w:eastAsia="宋体" w:cs="宋体"/>
          <w:color w:val="auto"/>
          <w:szCs w:val="21"/>
          <w:highlight w:val="none"/>
          <w:lang w:eastAsia="zh-CN"/>
        </w:rPr>
        <w:t>：</w:t>
      </w:r>
      <w:bookmarkEnd w:id="14"/>
      <w:r>
        <w:rPr>
          <w:rFonts w:hint="eastAsia" w:ascii="宋体" w:hAnsi="宋体" w:cs="宋体"/>
          <w:bCs/>
          <w:color w:val="auto"/>
          <w:szCs w:val="21"/>
          <w:highlight w:val="none"/>
          <w:lang w:eastAsia="zh-CN"/>
        </w:rPr>
        <w:t>2026年公路水运铁路工程质量监督检测项目</w:t>
      </w:r>
    </w:p>
    <w:p w14:paraId="4E3BD1F5">
      <w:pPr>
        <w:spacing w:line="40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预算总金额：750万元，其中</w:t>
      </w:r>
      <w:r>
        <w:rPr>
          <w:rFonts w:hint="eastAsia" w:ascii="宋体" w:hAnsi="宋体" w:eastAsia="宋体" w:cs="宋体"/>
          <w:i w:val="0"/>
          <w:iCs w:val="0"/>
          <w:color w:val="auto"/>
          <w:kern w:val="0"/>
          <w:sz w:val="21"/>
          <w:szCs w:val="21"/>
          <w:highlight w:val="none"/>
          <w:u w:val="none"/>
          <w:lang w:val="en-US" w:eastAsia="zh-CN" w:bidi="ar"/>
        </w:rPr>
        <w:t>GLTLJD1标段</w:t>
      </w:r>
      <w:r>
        <w:rPr>
          <w:rFonts w:hint="eastAsia" w:ascii="宋体" w:hAnsi="宋体" w:eastAsia="宋体" w:cs="宋体"/>
          <w:color w:val="auto"/>
          <w:szCs w:val="21"/>
          <w:highlight w:val="none"/>
          <w:lang w:val="en-US" w:eastAsia="zh-CN"/>
        </w:rPr>
        <w:t>142.5万元，</w:t>
      </w:r>
      <w:r>
        <w:rPr>
          <w:rFonts w:hint="eastAsia" w:ascii="宋体" w:hAnsi="宋体" w:eastAsia="宋体" w:cs="宋体"/>
          <w:i w:val="0"/>
          <w:iCs w:val="0"/>
          <w:color w:val="auto"/>
          <w:kern w:val="0"/>
          <w:sz w:val="21"/>
          <w:szCs w:val="21"/>
          <w:highlight w:val="none"/>
          <w:u w:val="none"/>
          <w:lang w:val="en-US" w:eastAsia="zh-CN" w:bidi="ar"/>
        </w:rPr>
        <w:t>GLTLJD2标段</w:t>
      </w:r>
      <w:r>
        <w:rPr>
          <w:rFonts w:hint="eastAsia" w:ascii="宋体" w:hAnsi="宋体" w:eastAsia="宋体" w:cs="宋体"/>
          <w:color w:val="auto"/>
          <w:szCs w:val="21"/>
          <w:highlight w:val="none"/>
          <w:lang w:val="en-US" w:eastAsia="zh-CN"/>
        </w:rPr>
        <w:t>142.5万元，</w:t>
      </w:r>
      <w:r>
        <w:rPr>
          <w:rFonts w:hint="eastAsia" w:ascii="宋体" w:hAnsi="宋体" w:eastAsia="宋体" w:cs="宋体"/>
          <w:i w:val="0"/>
          <w:iCs w:val="0"/>
          <w:color w:val="auto"/>
          <w:kern w:val="0"/>
          <w:sz w:val="21"/>
          <w:szCs w:val="21"/>
          <w:highlight w:val="none"/>
          <w:u w:val="none"/>
          <w:lang w:val="en-US" w:eastAsia="zh-CN" w:bidi="ar"/>
        </w:rPr>
        <w:t>GLTLJD3标段</w:t>
      </w:r>
      <w:r>
        <w:rPr>
          <w:rFonts w:hint="eastAsia" w:ascii="宋体" w:hAnsi="宋体" w:eastAsia="宋体" w:cs="宋体"/>
          <w:color w:val="auto"/>
          <w:szCs w:val="21"/>
          <w:highlight w:val="none"/>
          <w:lang w:val="en-US" w:eastAsia="zh-CN"/>
        </w:rPr>
        <w:t>142.5万元，</w:t>
      </w:r>
      <w:r>
        <w:rPr>
          <w:rFonts w:hint="eastAsia" w:ascii="宋体" w:hAnsi="宋体" w:eastAsia="宋体" w:cs="宋体"/>
          <w:i w:val="0"/>
          <w:iCs w:val="0"/>
          <w:color w:val="auto"/>
          <w:kern w:val="0"/>
          <w:sz w:val="21"/>
          <w:szCs w:val="21"/>
          <w:highlight w:val="none"/>
          <w:u w:val="none"/>
          <w:lang w:val="en-US" w:eastAsia="zh-CN" w:bidi="ar"/>
        </w:rPr>
        <w:t>GLTLJD4标段</w:t>
      </w:r>
      <w:r>
        <w:rPr>
          <w:rFonts w:hint="eastAsia" w:ascii="宋体" w:hAnsi="宋体" w:eastAsia="宋体" w:cs="宋体"/>
          <w:color w:val="auto"/>
          <w:szCs w:val="21"/>
          <w:highlight w:val="none"/>
          <w:lang w:val="en-US" w:eastAsia="zh-CN"/>
        </w:rPr>
        <w:t>142.5万元，</w:t>
      </w:r>
      <w:r>
        <w:rPr>
          <w:rFonts w:hint="eastAsia" w:ascii="宋体" w:hAnsi="宋体" w:eastAsia="宋体" w:cs="宋体"/>
          <w:color w:val="auto"/>
          <w:kern w:val="0"/>
          <w:szCs w:val="21"/>
          <w:highlight w:val="none"/>
          <w:lang w:eastAsia="zh-CN"/>
        </w:rPr>
        <w:t>SYJD1标段</w:t>
      </w:r>
      <w:r>
        <w:rPr>
          <w:rFonts w:hint="eastAsia" w:ascii="宋体" w:hAnsi="宋体" w:eastAsia="宋体" w:cs="宋体"/>
          <w:color w:val="auto"/>
          <w:szCs w:val="21"/>
          <w:highlight w:val="none"/>
          <w:lang w:val="en-US" w:eastAsia="zh-CN"/>
        </w:rPr>
        <w:t>60万元，</w:t>
      </w:r>
      <w:r>
        <w:rPr>
          <w:rFonts w:hint="eastAsia" w:ascii="宋体" w:hAnsi="宋体" w:eastAsia="宋体" w:cs="宋体"/>
          <w:color w:val="auto"/>
          <w:kern w:val="0"/>
          <w:szCs w:val="21"/>
          <w:highlight w:val="none"/>
          <w:lang w:eastAsia="zh-CN"/>
        </w:rPr>
        <w:t>SYJD2标段</w:t>
      </w:r>
      <w:r>
        <w:rPr>
          <w:rFonts w:hint="eastAsia" w:ascii="宋体" w:hAnsi="宋体" w:eastAsia="宋体" w:cs="宋体"/>
          <w:color w:val="auto"/>
          <w:szCs w:val="21"/>
          <w:highlight w:val="none"/>
          <w:lang w:val="en-US" w:eastAsia="zh-CN"/>
        </w:rPr>
        <w:t>60万元，</w:t>
      </w:r>
      <w:r>
        <w:rPr>
          <w:rFonts w:hint="eastAsia" w:ascii="宋体" w:hAnsi="宋体" w:eastAsia="宋体" w:cs="宋体"/>
          <w:i w:val="0"/>
          <w:iCs w:val="0"/>
          <w:color w:val="auto"/>
          <w:kern w:val="0"/>
          <w:sz w:val="21"/>
          <w:szCs w:val="21"/>
          <w:highlight w:val="none"/>
          <w:u w:val="none"/>
          <w:lang w:val="en-US" w:eastAsia="zh-CN" w:bidi="ar"/>
        </w:rPr>
        <w:t>JSZC标段</w:t>
      </w:r>
      <w:r>
        <w:rPr>
          <w:rFonts w:hint="eastAsia" w:ascii="宋体" w:hAnsi="宋体" w:eastAsia="宋体" w:cs="宋体"/>
          <w:color w:val="auto"/>
          <w:szCs w:val="21"/>
          <w:highlight w:val="none"/>
          <w:lang w:val="en-US" w:eastAsia="zh-CN"/>
        </w:rPr>
        <w:t>60万元</w:t>
      </w:r>
      <w:r>
        <w:rPr>
          <w:rFonts w:hint="eastAsia" w:ascii="宋体" w:hAnsi="宋体" w:eastAsia="宋体" w:cs="宋体"/>
          <w:color w:val="auto"/>
          <w:szCs w:val="21"/>
          <w:highlight w:val="none"/>
        </w:rPr>
        <w:t>。</w:t>
      </w:r>
    </w:p>
    <w:p w14:paraId="4E58D450">
      <w:pPr>
        <w:spacing w:line="40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最高限价</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lang w:val="en-US" w:eastAsia="zh-CN"/>
        </w:rPr>
        <w:t>750万元，其中</w:t>
      </w:r>
      <w:r>
        <w:rPr>
          <w:rFonts w:hint="eastAsia" w:ascii="宋体" w:hAnsi="宋体" w:eastAsia="宋体" w:cs="宋体"/>
          <w:i w:val="0"/>
          <w:iCs w:val="0"/>
          <w:color w:val="auto"/>
          <w:kern w:val="0"/>
          <w:sz w:val="21"/>
          <w:szCs w:val="21"/>
          <w:highlight w:val="none"/>
          <w:u w:val="none"/>
          <w:lang w:val="en-US" w:eastAsia="zh-CN" w:bidi="ar"/>
        </w:rPr>
        <w:t>GLTLJD1标段</w:t>
      </w:r>
      <w:r>
        <w:rPr>
          <w:rFonts w:hint="eastAsia" w:ascii="宋体" w:hAnsi="宋体" w:eastAsia="宋体" w:cs="宋体"/>
          <w:color w:val="auto"/>
          <w:szCs w:val="21"/>
          <w:highlight w:val="none"/>
          <w:lang w:val="en-US" w:eastAsia="zh-CN"/>
        </w:rPr>
        <w:t>142.5万元，</w:t>
      </w:r>
      <w:r>
        <w:rPr>
          <w:rFonts w:hint="eastAsia" w:ascii="宋体" w:hAnsi="宋体" w:eastAsia="宋体" w:cs="宋体"/>
          <w:i w:val="0"/>
          <w:iCs w:val="0"/>
          <w:color w:val="auto"/>
          <w:kern w:val="0"/>
          <w:sz w:val="21"/>
          <w:szCs w:val="21"/>
          <w:highlight w:val="none"/>
          <w:u w:val="none"/>
          <w:lang w:val="en-US" w:eastAsia="zh-CN" w:bidi="ar"/>
        </w:rPr>
        <w:t>GLTLJD2标段</w:t>
      </w:r>
      <w:r>
        <w:rPr>
          <w:rFonts w:hint="eastAsia" w:ascii="宋体" w:hAnsi="宋体" w:eastAsia="宋体" w:cs="宋体"/>
          <w:color w:val="auto"/>
          <w:szCs w:val="21"/>
          <w:highlight w:val="none"/>
          <w:lang w:val="en-US" w:eastAsia="zh-CN"/>
        </w:rPr>
        <w:t>142.5万元，</w:t>
      </w:r>
      <w:r>
        <w:rPr>
          <w:rFonts w:hint="eastAsia" w:ascii="宋体" w:hAnsi="宋体" w:eastAsia="宋体" w:cs="宋体"/>
          <w:i w:val="0"/>
          <w:iCs w:val="0"/>
          <w:color w:val="auto"/>
          <w:kern w:val="0"/>
          <w:sz w:val="21"/>
          <w:szCs w:val="21"/>
          <w:highlight w:val="none"/>
          <w:u w:val="none"/>
          <w:lang w:val="en-US" w:eastAsia="zh-CN" w:bidi="ar"/>
        </w:rPr>
        <w:t>GLTLJD3标段</w:t>
      </w:r>
      <w:r>
        <w:rPr>
          <w:rFonts w:hint="eastAsia" w:ascii="宋体" w:hAnsi="宋体" w:eastAsia="宋体" w:cs="宋体"/>
          <w:color w:val="auto"/>
          <w:szCs w:val="21"/>
          <w:highlight w:val="none"/>
          <w:lang w:val="en-US" w:eastAsia="zh-CN"/>
        </w:rPr>
        <w:t>142.5万元，</w:t>
      </w:r>
      <w:r>
        <w:rPr>
          <w:rFonts w:hint="eastAsia" w:ascii="宋体" w:hAnsi="宋体" w:eastAsia="宋体" w:cs="宋体"/>
          <w:i w:val="0"/>
          <w:iCs w:val="0"/>
          <w:color w:val="auto"/>
          <w:kern w:val="0"/>
          <w:sz w:val="21"/>
          <w:szCs w:val="21"/>
          <w:highlight w:val="none"/>
          <w:u w:val="none"/>
          <w:lang w:val="en-US" w:eastAsia="zh-CN" w:bidi="ar"/>
        </w:rPr>
        <w:t>GLTLJD4标段</w:t>
      </w:r>
      <w:r>
        <w:rPr>
          <w:rFonts w:hint="eastAsia" w:ascii="宋体" w:hAnsi="宋体" w:eastAsia="宋体" w:cs="宋体"/>
          <w:color w:val="auto"/>
          <w:szCs w:val="21"/>
          <w:highlight w:val="none"/>
          <w:lang w:val="en-US" w:eastAsia="zh-CN"/>
        </w:rPr>
        <w:t>142.5万元，</w:t>
      </w:r>
      <w:r>
        <w:rPr>
          <w:rFonts w:hint="eastAsia" w:ascii="宋体" w:hAnsi="宋体" w:eastAsia="宋体" w:cs="宋体"/>
          <w:color w:val="auto"/>
          <w:kern w:val="0"/>
          <w:szCs w:val="21"/>
          <w:highlight w:val="none"/>
          <w:lang w:eastAsia="zh-CN"/>
        </w:rPr>
        <w:t>SYJD1标段</w:t>
      </w:r>
      <w:r>
        <w:rPr>
          <w:rFonts w:hint="eastAsia" w:ascii="宋体" w:hAnsi="宋体" w:eastAsia="宋体" w:cs="宋体"/>
          <w:color w:val="auto"/>
          <w:szCs w:val="21"/>
          <w:highlight w:val="none"/>
          <w:lang w:val="en-US" w:eastAsia="zh-CN"/>
        </w:rPr>
        <w:t>60万元，</w:t>
      </w:r>
      <w:r>
        <w:rPr>
          <w:rFonts w:hint="eastAsia" w:ascii="宋体" w:hAnsi="宋体" w:eastAsia="宋体" w:cs="宋体"/>
          <w:color w:val="auto"/>
          <w:kern w:val="0"/>
          <w:szCs w:val="21"/>
          <w:highlight w:val="none"/>
          <w:lang w:eastAsia="zh-CN"/>
        </w:rPr>
        <w:t>SYJD2标段</w:t>
      </w:r>
      <w:r>
        <w:rPr>
          <w:rFonts w:hint="eastAsia" w:ascii="宋体" w:hAnsi="宋体" w:eastAsia="宋体" w:cs="宋体"/>
          <w:color w:val="auto"/>
          <w:szCs w:val="21"/>
          <w:highlight w:val="none"/>
          <w:lang w:val="en-US" w:eastAsia="zh-CN"/>
        </w:rPr>
        <w:t>60万元，</w:t>
      </w:r>
      <w:r>
        <w:rPr>
          <w:rFonts w:hint="eastAsia" w:ascii="宋体" w:hAnsi="宋体" w:eastAsia="宋体" w:cs="宋体"/>
          <w:i w:val="0"/>
          <w:iCs w:val="0"/>
          <w:color w:val="auto"/>
          <w:kern w:val="0"/>
          <w:sz w:val="21"/>
          <w:szCs w:val="21"/>
          <w:highlight w:val="none"/>
          <w:u w:val="none"/>
          <w:lang w:val="en-US" w:eastAsia="zh-CN" w:bidi="ar"/>
        </w:rPr>
        <w:t>JSZC标段</w:t>
      </w:r>
      <w:r>
        <w:rPr>
          <w:rFonts w:hint="eastAsia" w:ascii="宋体" w:hAnsi="宋体" w:eastAsia="宋体" w:cs="宋体"/>
          <w:color w:val="auto"/>
          <w:szCs w:val="21"/>
          <w:highlight w:val="none"/>
          <w:lang w:val="en-US" w:eastAsia="zh-CN"/>
        </w:rPr>
        <w:t>60万元</w:t>
      </w:r>
      <w:r>
        <w:rPr>
          <w:rFonts w:hint="eastAsia" w:ascii="宋体" w:hAnsi="宋体" w:eastAsia="宋体" w:cs="宋体"/>
          <w:color w:val="auto"/>
          <w:szCs w:val="21"/>
          <w:highlight w:val="none"/>
        </w:rPr>
        <w:t>。</w:t>
      </w:r>
    </w:p>
    <w:p w14:paraId="3AF5FE16">
      <w:pPr>
        <w:spacing w:line="400" w:lineRule="exact"/>
        <w:ind w:firstLine="420" w:firstLineChars="200"/>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rPr>
        <w:t>采购需求</w:t>
      </w:r>
      <w:r>
        <w:rPr>
          <w:rFonts w:hint="eastAsia" w:ascii="宋体" w:hAnsi="宋体" w:eastAsia="宋体" w:cs="宋体"/>
          <w:color w:val="auto"/>
          <w:szCs w:val="21"/>
          <w:highlight w:val="none"/>
          <w:lang w:eastAsia="zh-CN"/>
        </w:rPr>
        <w:t>：</w:t>
      </w:r>
    </w:p>
    <w:p w14:paraId="7F9B50B1">
      <w:pPr>
        <w:spacing w:line="400" w:lineRule="exact"/>
        <w:ind w:firstLine="420" w:firstLineChars="200"/>
        <w:rPr>
          <w:rFonts w:hint="eastAsia" w:ascii="宋体" w:hAnsi="宋体" w:eastAsia="宋体" w:cs="宋体"/>
          <w:color w:val="auto"/>
          <w:szCs w:val="21"/>
          <w:highlight w:val="none"/>
        </w:rPr>
      </w:pPr>
      <w:r>
        <w:rPr>
          <w:rFonts w:hint="eastAsia" w:ascii="宋体" w:hAnsi="宋体" w:eastAsia="宋体" w:cs="宋体"/>
          <w:i w:val="0"/>
          <w:iCs w:val="0"/>
          <w:color w:val="auto"/>
          <w:kern w:val="0"/>
          <w:sz w:val="21"/>
          <w:szCs w:val="21"/>
          <w:highlight w:val="none"/>
          <w:u w:val="none"/>
          <w:lang w:val="en-US" w:eastAsia="zh-CN" w:bidi="ar"/>
        </w:rPr>
        <w:t>GLTLJD1标段</w:t>
      </w:r>
    </w:p>
    <w:tbl>
      <w:tblPr>
        <w:tblStyle w:val="45"/>
        <w:tblW w:w="9071"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544"/>
        <w:gridCol w:w="1402"/>
        <w:gridCol w:w="783"/>
        <w:gridCol w:w="1530"/>
        <w:gridCol w:w="4812"/>
      </w:tblGrid>
      <w:tr w14:paraId="0F2503F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544" w:type="dxa"/>
            <w:tcBorders>
              <w:top w:val="single" w:color="auto" w:sz="4" w:space="0"/>
              <w:left w:val="single" w:color="auto" w:sz="4" w:space="0"/>
              <w:bottom w:val="single" w:color="auto" w:sz="4" w:space="0"/>
              <w:right w:val="single" w:color="auto" w:sz="4" w:space="0"/>
            </w:tcBorders>
            <w:noWrap w:val="0"/>
            <w:vAlign w:val="center"/>
          </w:tcPr>
          <w:p w14:paraId="76F17F51">
            <w:pPr>
              <w:snapToGrid w:val="0"/>
              <w:spacing w:line="40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序号</w:t>
            </w:r>
          </w:p>
        </w:tc>
        <w:tc>
          <w:tcPr>
            <w:tcW w:w="1402" w:type="dxa"/>
            <w:tcBorders>
              <w:top w:val="single" w:color="auto" w:sz="4" w:space="0"/>
              <w:left w:val="single" w:color="auto" w:sz="4" w:space="0"/>
              <w:bottom w:val="single" w:color="auto" w:sz="4" w:space="0"/>
              <w:right w:val="single" w:color="auto" w:sz="4" w:space="0"/>
            </w:tcBorders>
            <w:noWrap w:val="0"/>
            <w:vAlign w:val="center"/>
          </w:tcPr>
          <w:p w14:paraId="45E38DCE">
            <w:pPr>
              <w:snapToGrid w:val="0"/>
              <w:spacing w:line="40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标的名称</w:t>
            </w:r>
          </w:p>
        </w:tc>
        <w:tc>
          <w:tcPr>
            <w:tcW w:w="783" w:type="dxa"/>
            <w:tcBorders>
              <w:top w:val="single" w:color="auto" w:sz="4" w:space="0"/>
              <w:left w:val="single" w:color="auto" w:sz="4" w:space="0"/>
              <w:bottom w:val="single" w:color="auto" w:sz="4" w:space="0"/>
              <w:right w:val="single" w:color="auto" w:sz="4" w:space="0"/>
            </w:tcBorders>
            <w:noWrap w:val="0"/>
            <w:vAlign w:val="center"/>
          </w:tcPr>
          <w:p w14:paraId="77F80C4A">
            <w:pPr>
              <w:snapToGrid w:val="0"/>
              <w:spacing w:line="40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数量及单位</w:t>
            </w:r>
          </w:p>
        </w:tc>
        <w:tc>
          <w:tcPr>
            <w:tcW w:w="1530" w:type="dxa"/>
            <w:tcBorders>
              <w:top w:val="single" w:color="auto" w:sz="4" w:space="0"/>
              <w:left w:val="single" w:color="auto" w:sz="4" w:space="0"/>
              <w:bottom w:val="single" w:color="auto" w:sz="4" w:space="0"/>
              <w:right w:val="single" w:color="auto" w:sz="4" w:space="0"/>
            </w:tcBorders>
            <w:noWrap w:val="0"/>
            <w:vAlign w:val="center"/>
          </w:tcPr>
          <w:p w14:paraId="5CB254A6">
            <w:pPr>
              <w:snapToGrid w:val="0"/>
              <w:spacing w:line="400" w:lineRule="exact"/>
              <w:jc w:val="center"/>
              <w:rPr>
                <w:rFonts w:hint="eastAsia" w:ascii="宋体" w:hAnsi="宋体" w:eastAsia="宋体" w:cs="宋体"/>
                <w:color w:val="auto"/>
                <w:spacing w:val="10"/>
                <w:sz w:val="21"/>
                <w:szCs w:val="21"/>
                <w:highlight w:val="none"/>
                <w:lang w:val="en-US" w:eastAsia="zh-CN"/>
              </w:rPr>
            </w:pPr>
            <w:r>
              <w:rPr>
                <w:rFonts w:hint="eastAsia" w:ascii="宋体" w:hAnsi="宋体" w:eastAsia="宋体" w:cs="宋体"/>
                <w:color w:val="auto"/>
                <w:spacing w:val="10"/>
                <w:sz w:val="21"/>
                <w:szCs w:val="21"/>
                <w:highlight w:val="none"/>
                <w:lang w:val="en-US" w:eastAsia="zh-CN"/>
              </w:rPr>
              <w:t>最高限价（元）</w:t>
            </w:r>
          </w:p>
        </w:tc>
        <w:tc>
          <w:tcPr>
            <w:tcW w:w="4812" w:type="dxa"/>
            <w:tcBorders>
              <w:top w:val="single" w:color="auto" w:sz="4" w:space="0"/>
              <w:left w:val="single" w:color="auto" w:sz="4" w:space="0"/>
              <w:bottom w:val="single" w:color="auto" w:sz="4" w:space="0"/>
              <w:right w:val="single" w:color="auto" w:sz="4" w:space="0"/>
            </w:tcBorders>
            <w:noWrap w:val="0"/>
            <w:vAlign w:val="center"/>
          </w:tcPr>
          <w:p w14:paraId="7A70934B">
            <w:pPr>
              <w:snapToGrid w:val="0"/>
              <w:spacing w:line="400" w:lineRule="exact"/>
              <w:jc w:val="center"/>
              <w:rPr>
                <w:rFonts w:hint="eastAsia" w:ascii="宋体" w:hAnsi="宋体" w:eastAsia="宋体" w:cs="宋体"/>
                <w:color w:val="auto"/>
                <w:szCs w:val="21"/>
                <w:highlight w:val="none"/>
              </w:rPr>
            </w:pPr>
            <w:r>
              <w:rPr>
                <w:rFonts w:hint="eastAsia" w:ascii="宋体" w:hAnsi="宋体" w:eastAsia="宋体" w:cs="宋体"/>
                <w:color w:val="auto"/>
                <w:spacing w:val="10"/>
                <w:sz w:val="21"/>
                <w:szCs w:val="21"/>
                <w:highlight w:val="none"/>
              </w:rPr>
              <w:t>简要规格描述或项目基本概况介绍、用途</w:t>
            </w:r>
          </w:p>
        </w:tc>
      </w:tr>
      <w:tr w14:paraId="015FB37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544" w:type="dxa"/>
            <w:tcBorders>
              <w:top w:val="single" w:color="auto" w:sz="4" w:space="0"/>
              <w:left w:val="single" w:color="auto" w:sz="4" w:space="0"/>
              <w:bottom w:val="single" w:color="auto" w:sz="4" w:space="0"/>
              <w:right w:val="single" w:color="auto" w:sz="4" w:space="0"/>
            </w:tcBorders>
            <w:noWrap w:val="0"/>
            <w:vAlign w:val="center"/>
          </w:tcPr>
          <w:p w14:paraId="44131BF4">
            <w:pPr>
              <w:snapToGrid w:val="0"/>
              <w:spacing w:line="40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1</w:t>
            </w:r>
          </w:p>
        </w:tc>
        <w:tc>
          <w:tcPr>
            <w:tcW w:w="1402" w:type="dxa"/>
            <w:tcBorders>
              <w:top w:val="single" w:color="auto" w:sz="4" w:space="0"/>
              <w:left w:val="single" w:color="auto" w:sz="4" w:space="0"/>
              <w:bottom w:val="single" w:color="auto" w:sz="4" w:space="0"/>
              <w:right w:val="single" w:color="auto" w:sz="4" w:space="0"/>
            </w:tcBorders>
            <w:noWrap w:val="0"/>
            <w:vAlign w:val="center"/>
          </w:tcPr>
          <w:p w14:paraId="684E7F93">
            <w:pPr>
              <w:snapToGrid w:val="0"/>
              <w:spacing w:line="400" w:lineRule="exact"/>
              <w:jc w:val="center"/>
              <w:rPr>
                <w:rFonts w:hint="eastAsia" w:ascii="宋体" w:hAnsi="宋体" w:eastAsia="宋体" w:cs="宋体"/>
                <w:color w:val="auto"/>
                <w:szCs w:val="21"/>
                <w:highlight w:val="none"/>
              </w:rPr>
            </w:pPr>
            <w:r>
              <w:rPr>
                <w:rFonts w:hint="eastAsia" w:ascii="宋体" w:hAnsi="宋体" w:eastAsia="宋体" w:cs="宋体"/>
                <w:color w:val="auto"/>
                <w:sz w:val="21"/>
                <w:szCs w:val="21"/>
                <w:highlight w:val="none"/>
              </w:rPr>
              <w:t>GLTLJD</w:t>
            </w:r>
            <w:r>
              <w:rPr>
                <w:rFonts w:hint="eastAsia" w:ascii="宋体" w:hAnsi="宋体" w:eastAsia="宋体" w:cs="宋体"/>
                <w:color w:val="auto"/>
                <w:spacing w:val="11"/>
                <w:sz w:val="21"/>
                <w:szCs w:val="21"/>
                <w:highlight w:val="none"/>
              </w:rPr>
              <w:t>1</w:t>
            </w:r>
            <w:r>
              <w:rPr>
                <w:rFonts w:hint="eastAsia" w:ascii="宋体" w:hAnsi="宋体" w:eastAsia="宋体" w:cs="宋体"/>
                <w:color w:val="auto"/>
                <w:spacing w:val="11"/>
                <w:sz w:val="21"/>
                <w:szCs w:val="21"/>
                <w:highlight w:val="none"/>
                <w:lang w:eastAsia="zh-CN"/>
              </w:rPr>
              <w:t>：</w:t>
            </w:r>
            <w:r>
              <w:rPr>
                <w:rFonts w:hint="eastAsia" w:ascii="宋体" w:hAnsi="宋体" w:eastAsia="宋体" w:cs="宋体"/>
                <w:color w:val="auto"/>
                <w:spacing w:val="11"/>
                <w:sz w:val="21"/>
                <w:szCs w:val="21"/>
                <w:highlight w:val="none"/>
              </w:rPr>
              <w:t>公路、铁路工程质量监督检测</w:t>
            </w:r>
          </w:p>
        </w:tc>
        <w:tc>
          <w:tcPr>
            <w:tcW w:w="783" w:type="dxa"/>
            <w:tcBorders>
              <w:top w:val="single" w:color="auto" w:sz="4" w:space="0"/>
              <w:left w:val="single" w:color="auto" w:sz="4" w:space="0"/>
              <w:bottom w:val="single" w:color="auto" w:sz="4" w:space="0"/>
              <w:right w:val="single" w:color="auto" w:sz="4" w:space="0"/>
            </w:tcBorders>
            <w:noWrap w:val="0"/>
            <w:vAlign w:val="center"/>
          </w:tcPr>
          <w:p w14:paraId="0E5330F7">
            <w:pPr>
              <w:snapToGrid w:val="0"/>
              <w:spacing w:line="40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1项</w:t>
            </w:r>
          </w:p>
        </w:tc>
        <w:tc>
          <w:tcPr>
            <w:tcW w:w="1530" w:type="dxa"/>
            <w:tcBorders>
              <w:top w:val="single" w:color="auto" w:sz="4" w:space="0"/>
              <w:left w:val="single" w:color="auto" w:sz="4" w:space="0"/>
              <w:bottom w:val="single" w:color="auto" w:sz="4" w:space="0"/>
              <w:right w:val="single" w:color="auto" w:sz="4" w:space="0"/>
            </w:tcBorders>
            <w:noWrap w:val="0"/>
            <w:vAlign w:val="center"/>
          </w:tcPr>
          <w:p w14:paraId="5FAB1555">
            <w:pPr>
              <w:spacing w:before="107" w:line="327" w:lineRule="auto"/>
              <w:jc w:val="both"/>
              <w:rPr>
                <w:rFonts w:hint="eastAsia" w:ascii="宋体" w:hAnsi="宋体" w:eastAsia="宋体" w:cs="宋体"/>
                <w:color w:val="auto"/>
                <w:spacing w:val="10"/>
                <w:sz w:val="21"/>
                <w:szCs w:val="21"/>
                <w:highlight w:val="none"/>
                <w:lang w:val="en-US" w:eastAsia="zh-CN"/>
              </w:rPr>
            </w:pPr>
            <w:r>
              <w:rPr>
                <w:rFonts w:hint="eastAsia" w:ascii="宋体" w:hAnsi="宋体" w:eastAsia="宋体" w:cs="宋体"/>
                <w:color w:val="auto"/>
                <w:spacing w:val="10"/>
                <w:sz w:val="21"/>
                <w:szCs w:val="21"/>
                <w:highlight w:val="none"/>
                <w:lang w:val="en-US" w:eastAsia="zh-CN"/>
              </w:rPr>
              <w:t>1425000.00</w:t>
            </w:r>
          </w:p>
        </w:tc>
        <w:tc>
          <w:tcPr>
            <w:tcW w:w="4812" w:type="dxa"/>
            <w:tcBorders>
              <w:top w:val="single" w:color="auto" w:sz="4" w:space="0"/>
              <w:left w:val="single" w:color="auto" w:sz="4" w:space="0"/>
              <w:bottom w:val="single" w:color="auto" w:sz="4" w:space="0"/>
              <w:right w:val="single" w:color="auto" w:sz="4" w:space="0"/>
            </w:tcBorders>
            <w:noWrap w:val="0"/>
            <w:vAlign w:val="center"/>
          </w:tcPr>
          <w:p w14:paraId="5FC6132A">
            <w:pPr>
              <w:spacing w:before="107" w:line="327" w:lineRule="auto"/>
              <w:jc w:val="both"/>
              <w:rPr>
                <w:rFonts w:hint="eastAsia" w:ascii="宋体" w:hAnsi="宋体" w:eastAsia="宋体" w:cs="宋体"/>
                <w:color w:val="auto"/>
                <w:spacing w:val="8"/>
                <w:sz w:val="21"/>
                <w:szCs w:val="21"/>
                <w:highlight w:val="none"/>
              </w:rPr>
            </w:pPr>
            <w:r>
              <w:rPr>
                <w:rFonts w:hint="eastAsia" w:ascii="宋体" w:hAnsi="宋体" w:eastAsia="宋体" w:cs="宋体"/>
                <w:color w:val="auto"/>
                <w:spacing w:val="10"/>
                <w:sz w:val="21"/>
                <w:szCs w:val="21"/>
                <w:highlight w:val="none"/>
              </w:rPr>
              <w:t>根据《公路水运</w:t>
            </w:r>
            <w:r>
              <w:rPr>
                <w:rFonts w:hint="eastAsia" w:ascii="宋体" w:hAnsi="宋体" w:eastAsia="宋体" w:cs="宋体"/>
                <w:color w:val="auto"/>
                <w:spacing w:val="9"/>
                <w:sz w:val="21"/>
                <w:szCs w:val="21"/>
                <w:highlight w:val="none"/>
              </w:rPr>
              <w:t>工程质量监督管理规定》（交通运</w:t>
            </w:r>
            <w:r>
              <w:rPr>
                <w:rFonts w:hint="eastAsia" w:ascii="宋体" w:hAnsi="宋体" w:eastAsia="宋体" w:cs="宋体"/>
                <w:color w:val="auto"/>
                <w:spacing w:val="8"/>
                <w:sz w:val="21"/>
                <w:szCs w:val="21"/>
                <w:highlight w:val="none"/>
              </w:rPr>
              <w:t>输部令2017年第28号）《铁路建设工程质量监督管理规</w:t>
            </w:r>
            <w:r>
              <w:rPr>
                <w:rFonts w:hint="eastAsia" w:ascii="宋体" w:hAnsi="宋体" w:eastAsia="宋体" w:cs="宋体"/>
                <w:color w:val="auto"/>
                <w:spacing w:val="7"/>
                <w:sz w:val="21"/>
                <w:szCs w:val="21"/>
                <w:highlight w:val="none"/>
              </w:rPr>
              <w:t>定》（交通运输部令2021年第35号）要</w:t>
            </w:r>
            <w:r>
              <w:rPr>
                <w:rFonts w:hint="eastAsia" w:ascii="宋体" w:hAnsi="宋体" w:eastAsia="宋体" w:cs="宋体"/>
                <w:color w:val="auto"/>
                <w:spacing w:val="8"/>
                <w:sz w:val="21"/>
                <w:szCs w:val="21"/>
                <w:highlight w:val="none"/>
              </w:rPr>
              <w:t>求，</w:t>
            </w:r>
            <w:r>
              <w:rPr>
                <w:rFonts w:hint="eastAsia" w:ascii="宋体" w:hAnsi="宋体" w:eastAsia="宋体" w:cs="宋体"/>
                <w:color w:val="auto"/>
                <w:spacing w:val="8"/>
                <w:sz w:val="21"/>
                <w:szCs w:val="21"/>
                <w:highlight w:val="none"/>
                <w:lang w:eastAsia="zh-CN"/>
              </w:rPr>
              <w:t>为加强公路、地方铁路工程质量监督向社会采购监督检测服务</w:t>
            </w:r>
            <w:r>
              <w:rPr>
                <w:rFonts w:hint="eastAsia" w:ascii="宋体" w:hAnsi="宋体" w:eastAsia="宋体" w:cs="宋体"/>
                <w:color w:val="auto"/>
                <w:spacing w:val="8"/>
                <w:sz w:val="21"/>
                <w:szCs w:val="21"/>
                <w:highlight w:val="none"/>
              </w:rPr>
              <w:t>，内</w:t>
            </w:r>
            <w:r>
              <w:rPr>
                <w:rFonts w:hint="eastAsia" w:ascii="宋体" w:hAnsi="宋体" w:eastAsia="宋体" w:cs="宋体"/>
                <w:color w:val="auto"/>
                <w:spacing w:val="7"/>
                <w:sz w:val="21"/>
                <w:szCs w:val="21"/>
                <w:highlight w:val="none"/>
              </w:rPr>
              <w:t>容包括主要工程原材料、半成品、工程实体质量等试验检测工作。</w:t>
            </w:r>
            <w:r>
              <w:rPr>
                <w:rFonts w:hint="eastAsia" w:ascii="宋体" w:hAnsi="宋体" w:eastAsia="宋体" w:cs="宋体"/>
                <w:color w:val="auto"/>
                <w:spacing w:val="7"/>
                <w:sz w:val="21"/>
                <w:szCs w:val="21"/>
                <w:highlight w:val="none"/>
                <w:lang w:eastAsia="zh-CN"/>
              </w:rPr>
              <w:t>该监督</w:t>
            </w:r>
            <w:r>
              <w:rPr>
                <w:rFonts w:hint="eastAsia" w:ascii="宋体" w:hAnsi="宋体" w:eastAsia="宋体" w:cs="宋体"/>
                <w:color w:val="auto"/>
                <w:spacing w:val="8"/>
                <w:sz w:val="21"/>
                <w:szCs w:val="21"/>
                <w:highlight w:val="none"/>
                <w:lang w:eastAsia="zh-CN"/>
              </w:rPr>
              <w:t>检测</w:t>
            </w:r>
            <w:r>
              <w:rPr>
                <w:rFonts w:hint="eastAsia" w:ascii="宋体" w:hAnsi="宋体" w:eastAsia="宋体" w:cs="宋体"/>
                <w:color w:val="auto"/>
                <w:spacing w:val="7"/>
                <w:sz w:val="21"/>
                <w:szCs w:val="21"/>
                <w:highlight w:val="none"/>
                <w:lang w:eastAsia="zh-CN"/>
              </w:rPr>
              <w:t>服务</w:t>
            </w:r>
            <w:r>
              <w:rPr>
                <w:rFonts w:hint="eastAsia" w:ascii="宋体" w:hAnsi="宋体" w:eastAsia="宋体" w:cs="宋体"/>
                <w:color w:val="auto"/>
                <w:spacing w:val="7"/>
                <w:sz w:val="21"/>
                <w:szCs w:val="21"/>
                <w:highlight w:val="none"/>
              </w:rPr>
              <w:t>覆盖自治区范围内在</w:t>
            </w:r>
            <w:r>
              <w:rPr>
                <w:rFonts w:hint="eastAsia" w:ascii="宋体" w:hAnsi="宋体" w:eastAsia="宋体" w:cs="宋体"/>
                <w:color w:val="auto"/>
                <w:spacing w:val="6"/>
                <w:sz w:val="21"/>
                <w:szCs w:val="21"/>
                <w:highlight w:val="none"/>
              </w:rPr>
              <w:t>建公路、</w:t>
            </w:r>
            <w:r>
              <w:rPr>
                <w:rFonts w:hint="eastAsia" w:ascii="宋体" w:hAnsi="宋体" w:eastAsia="宋体" w:cs="宋体"/>
                <w:color w:val="auto"/>
                <w:spacing w:val="8"/>
                <w:sz w:val="21"/>
                <w:szCs w:val="21"/>
                <w:highlight w:val="none"/>
              </w:rPr>
              <w:t>地方铁路工程建设项目。</w:t>
            </w:r>
          </w:p>
          <w:p w14:paraId="490377B1">
            <w:pPr>
              <w:spacing w:before="107" w:line="327" w:lineRule="auto"/>
              <w:jc w:val="both"/>
              <w:rPr>
                <w:rFonts w:hint="eastAsia" w:ascii="宋体" w:hAnsi="宋体" w:eastAsia="宋体" w:cs="宋体"/>
                <w:color w:val="auto"/>
                <w:spacing w:val="8"/>
                <w:sz w:val="21"/>
                <w:szCs w:val="21"/>
                <w:highlight w:val="none"/>
              </w:rPr>
            </w:pPr>
            <w:r>
              <w:rPr>
                <w:rFonts w:hint="eastAsia" w:ascii="宋体" w:hAnsi="宋体" w:eastAsia="宋体" w:cs="宋体"/>
                <w:color w:val="auto"/>
                <w:spacing w:val="8"/>
                <w:sz w:val="21"/>
                <w:szCs w:val="21"/>
                <w:highlight w:val="none"/>
              </w:rPr>
              <w:t>如需进一步了解详细内容，详见招标文件。</w:t>
            </w:r>
          </w:p>
        </w:tc>
      </w:tr>
    </w:tbl>
    <w:p w14:paraId="24707888">
      <w:pPr>
        <w:spacing w:line="400" w:lineRule="exact"/>
        <w:ind w:firstLine="420" w:firstLineChars="200"/>
        <w:rPr>
          <w:rFonts w:hint="eastAsia" w:ascii="宋体" w:hAnsi="宋体" w:eastAsia="宋体" w:cs="宋体"/>
          <w:color w:val="auto"/>
          <w:szCs w:val="21"/>
          <w:highlight w:val="none"/>
          <w:lang w:eastAsia="zh-CN"/>
        </w:rPr>
      </w:pPr>
      <w:r>
        <w:rPr>
          <w:rFonts w:hint="eastAsia" w:ascii="宋体" w:hAnsi="宋体" w:eastAsia="宋体" w:cs="宋体"/>
          <w:color w:val="auto"/>
          <w:sz w:val="21"/>
          <w:szCs w:val="21"/>
          <w:highlight w:val="none"/>
          <w:lang w:eastAsia="zh-CN"/>
        </w:rPr>
        <w:t>GLTLJD2标段</w:t>
      </w:r>
    </w:p>
    <w:tbl>
      <w:tblPr>
        <w:tblStyle w:val="45"/>
        <w:tblW w:w="9071"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544"/>
        <w:gridCol w:w="1402"/>
        <w:gridCol w:w="783"/>
        <w:gridCol w:w="1530"/>
        <w:gridCol w:w="4812"/>
      </w:tblGrid>
      <w:tr w14:paraId="0D715FA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544" w:type="dxa"/>
            <w:tcBorders>
              <w:top w:val="single" w:color="auto" w:sz="4" w:space="0"/>
              <w:left w:val="single" w:color="auto" w:sz="4" w:space="0"/>
              <w:bottom w:val="single" w:color="auto" w:sz="4" w:space="0"/>
              <w:right w:val="single" w:color="auto" w:sz="4" w:space="0"/>
            </w:tcBorders>
            <w:noWrap w:val="0"/>
            <w:vAlign w:val="center"/>
          </w:tcPr>
          <w:p w14:paraId="063CE2E4">
            <w:pPr>
              <w:snapToGrid w:val="0"/>
              <w:spacing w:line="40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序号</w:t>
            </w:r>
          </w:p>
        </w:tc>
        <w:tc>
          <w:tcPr>
            <w:tcW w:w="1402" w:type="dxa"/>
            <w:tcBorders>
              <w:top w:val="single" w:color="auto" w:sz="4" w:space="0"/>
              <w:left w:val="single" w:color="auto" w:sz="4" w:space="0"/>
              <w:bottom w:val="single" w:color="auto" w:sz="4" w:space="0"/>
              <w:right w:val="single" w:color="auto" w:sz="4" w:space="0"/>
            </w:tcBorders>
            <w:noWrap w:val="0"/>
            <w:vAlign w:val="center"/>
          </w:tcPr>
          <w:p w14:paraId="41BBCDBF">
            <w:pPr>
              <w:snapToGrid w:val="0"/>
              <w:spacing w:line="40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标的名称</w:t>
            </w:r>
          </w:p>
        </w:tc>
        <w:tc>
          <w:tcPr>
            <w:tcW w:w="783" w:type="dxa"/>
            <w:tcBorders>
              <w:top w:val="single" w:color="auto" w:sz="4" w:space="0"/>
              <w:left w:val="single" w:color="auto" w:sz="4" w:space="0"/>
              <w:bottom w:val="single" w:color="auto" w:sz="4" w:space="0"/>
              <w:right w:val="single" w:color="auto" w:sz="4" w:space="0"/>
            </w:tcBorders>
            <w:noWrap w:val="0"/>
            <w:vAlign w:val="center"/>
          </w:tcPr>
          <w:p w14:paraId="6AAD3AA1">
            <w:pPr>
              <w:snapToGrid w:val="0"/>
              <w:spacing w:line="40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数量及单位</w:t>
            </w:r>
          </w:p>
        </w:tc>
        <w:tc>
          <w:tcPr>
            <w:tcW w:w="1530" w:type="dxa"/>
            <w:tcBorders>
              <w:top w:val="single" w:color="auto" w:sz="4" w:space="0"/>
              <w:left w:val="single" w:color="auto" w:sz="4" w:space="0"/>
              <w:bottom w:val="single" w:color="auto" w:sz="4" w:space="0"/>
              <w:right w:val="single" w:color="auto" w:sz="4" w:space="0"/>
            </w:tcBorders>
            <w:noWrap w:val="0"/>
            <w:vAlign w:val="center"/>
          </w:tcPr>
          <w:p w14:paraId="29A20733">
            <w:pPr>
              <w:snapToGrid w:val="0"/>
              <w:spacing w:line="400" w:lineRule="exact"/>
              <w:jc w:val="center"/>
              <w:rPr>
                <w:rFonts w:hint="eastAsia" w:ascii="宋体" w:hAnsi="宋体" w:eastAsia="宋体" w:cs="宋体"/>
                <w:color w:val="auto"/>
                <w:spacing w:val="10"/>
                <w:sz w:val="21"/>
                <w:szCs w:val="21"/>
                <w:highlight w:val="none"/>
                <w:lang w:val="en-US" w:eastAsia="zh-CN"/>
              </w:rPr>
            </w:pPr>
            <w:r>
              <w:rPr>
                <w:rFonts w:hint="eastAsia" w:ascii="宋体" w:hAnsi="宋体" w:eastAsia="宋体" w:cs="宋体"/>
                <w:color w:val="auto"/>
                <w:spacing w:val="10"/>
                <w:sz w:val="21"/>
                <w:szCs w:val="21"/>
                <w:highlight w:val="none"/>
                <w:lang w:val="en-US" w:eastAsia="zh-CN"/>
              </w:rPr>
              <w:t>最高限价（元）</w:t>
            </w:r>
          </w:p>
        </w:tc>
        <w:tc>
          <w:tcPr>
            <w:tcW w:w="4812" w:type="dxa"/>
            <w:tcBorders>
              <w:top w:val="single" w:color="auto" w:sz="4" w:space="0"/>
              <w:left w:val="single" w:color="auto" w:sz="4" w:space="0"/>
              <w:bottom w:val="single" w:color="auto" w:sz="4" w:space="0"/>
              <w:right w:val="single" w:color="auto" w:sz="4" w:space="0"/>
            </w:tcBorders>
            <w:noWrap w:val="0"/>
            <w:vAlign w:val="center"/>
          </w:tcPr>
          <w:p w14:paraId="679F2704">
            <w:pPr>
              <w:snapToGrid w:val="0"/>
              <w:spacing w:line="400" w:lineRule="exact"/>
              <w:jc w:val="center"/>
              <w:rPr>
                <w:rFonts w:hint="eastAsia" w:ascii="宋体" w:hAnsi="宋体" w:eastAsia="宋体" w:cs="宋体"/>
                <w:color w:val="auto"/>
                <w:szCs w:val="21"/>
                <w:highlight w:val="none"/>
              </w:rPr>
            </w:pPr>
            <w:r>
              <w:rPr>
                <w:rFonts w:hint="eastAsia" w:ascii="宋体" w:hAnsi="宋体" w:eastAsia="宋体" w:cs="宋体"/>
                <w:color w:val="auto"/>
                <w:spacing w:val="10"/>
                <w:sz w:val="21"/>
                <w:szCs w:val="21"/>
                <w:highlight w:val="none"/>
              </w:rPr>
              <w:t>简要规格描述或项目基本概况介绍、用途</w:t>
            </w:r>
          </w:p>
        </w:tc>
      </w:tr>
      <w:tr w14:paraId="1815459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544" w:type="dxa"/>
            <w:tcBorders>
              <w:top w:val="single" w:color="auto" w:sz="4" w:space="0"/>
              <w:left w:val="single" w:color="auto" w:sz="4" w:space="0"/>
              <w:bottom w:val="single" w:color="auto" w:sz="4" w:space="0"/>
              <w:right w:val="single" w:color="auto" w:sz="4" w:space="0"/>
            </w:tcBorders>
            <w:noWrap w:val="0"/>
            <w:vAlign w:val="center"/>
          </w:tcPr>
          <w:p w14:paraId="7D3705EB">
            <w:pPr>
              <w:snapToGrid w:val="0"/>
              <w:spacing w:line="40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1</w:t>
            </w:r>
          </w:p>
        </w:tc>
        <w:tc>
          <w:tcPr>
            <w:tcW w:w="1402" w:type="dxa"/>
            <w:tcBorders>
              <w:top w:val="single" w:color="auto" w:sz="4" w:space="0"/>
              <w:left w:val="single" w:color="auto" w:sz="4" w:space="0"/>
              <w:bottom w:val="single" w:color="auto" w:sz="4" w:space="0"/>
              <w:right w:val="single" w:color="auto" w:sz="4" w:space="0"/>
            </w:tcBorders>
            <w:noWrap w:val="0"/>
            <w:vAlign w:val="center"/>
          </w:tcPr>
          <w:p w14:paraId="51C59C21">
            <w:pPr>
              <w:snapToGrid w:val="0"/>
              <w:spacing w:line="400" w:lineRule="exact"/>
              <w:jc w:val="center"/>
              <w:rPr>
                <w:rFonts w:hint="eastAsia" w:ascii="宋体" w:hAnsi="宋体" w:eastAsia="宋体" w:cs="宋体"/>
                <w:color w:val="auto"/>
                <w:szCs w:val="21"/>
                <w:highlight w:val="none"/>
                <w:lang w:eastAsia="zh-CN"/>
              </w:rPr>
            </w:pPr>
            <w:r>
              <w:rPr>
                <w:rFonts w:hint="eastAsia" w:ascii="宋体" w:hAnsi="宋体" w:eastAsia="宋体" w:cs="宋体"/>
                <w:color w:val="auto"/>
                <w:sz w:val="21"/>
                <w:szCs w:val="21"/>
                <w:highlight w:val="none"/>
              </w:rPr>
              <w:t>GLTLJD</w:t>
            </w:r>
            <w:r>
              <w:rPr>
                <w:rFonts w:hint="eastAsia" w:ascii="宋体" w:hAnsi="宋体" w:eastAsia="宋体" w:cs="宋体"/>
                <w:color w:val="auto"/>
                <w:spacing w:val="11"/>
                <w:sz w:val="21"/>
                <w:szCs w:val="21"/>
                <w:highlight w:val="none"/>
                <w:lang w:val="en-US" w:eastAsia="zh-CN"/>
              </w:rPr>
              <w:t>2</w:t>
            </w:r>
            <w:r>
              <w:rPr>
                <w:rFonts w:hint="eastAsia" w:ascii="宋体" w:hAnsi="宋体" w:eastAsia="宋体" w:cs="宋体"/>
                <w:color w:val="auto"/>
                <w:spacing w:val="11"/>
                <w:sz w:val="21"/>
                <w:szCs w:val="21"/>
                <w:highlight w:val="none"/>
                <w:lang w:eastAsia="zh-CN"/>
              </w:rPr>
              <w:t>：</w:t>
            </w:r>
            <w:r>
              <w:rPr>
                <w:rFonts w:hint="eastAsia" w:ascii="宋体" w:hAnsi="宋体" w:eastAsia="宋体" w:cs="宋体"/>
                <w:color w:val="auto"/>
                <w:spacing w:val="11"/>
                <w:sz w:val="21"/>
                <w:szCs w:val="21"/>
                <w:highlight w:val="none"/>
              </w:rPr>
              <w:t>公路、铁路工程质量监督检测</w:t>
            </w:r>
          </w:p>
        </w:tc>
        <w:tc>
          <w:tcPr>
            <w:tcW w:w="783" w:type="dxa"/>
            <w:tcBorders>
              <w:top w:val="single" w:color="auto" w:sz="4" w:space="0"/>
              <w:left w:val="single" w:color="auto" w:sz="4" w:space="0"/>
              <w:bottom w:val="single" w:color="auto" w:sz="4" w:space="0"/>
              <w:right w:val="single" w:color="auto" w:sz="4" w:space="0"/>
            </w:tcBorders>
            <w:noWrap w:val="0"/>
            <w:vAlign w:val="center"/>
          </w:tcPr>
          <w:p w14:paraId="78F77C14">
            <w:pPr>
              <w:snapToGrid w:val="0"/>
              <w:spacing w:line="40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1项</w:t>
            </w:r>
          </w:p>
        </w:tc>
        <w:tc>
          <w:tcPr>
            <w:tcW w:w="1530" w:type="dxa"/>
            <w:tcBorders>
              <w:top w:val="single" w:color="auto" w:sz="4" w:space="0"/>
              <w:left w:val="single" w:color="auto" w:sz="4" w:space="0"/>
              <w:bottom w:val="single" w:color="auto" w:sz="4" w:space="0"/>
              <w:right w:val="single" w:color="auto" w:sz="4" w:space="0"/>
            </w:tcBorders>
            <w:noWrap w:val="0"/>
            <w:vAlign w:val="center"/>
          </w:tcPr>
          <w:p w14:paraId="765160AD">
            <w:pPr>
              <w:spacing w:before="107" w:line="327" w:lineRule="auto"/>
              <w:jc w:val="both"/>
              <w:rPr>
                <w:rFonts w:hint="eastAsia" w:ascii="宋体" w:hAnsi="宋体" w:eastAsia="宋体" w:cs="宋体"/>
                <w:color w:val="auto"/>
                <w:spacing w:val="10"/>
                <w:sz w:val="21"/>
                <w:szCs w:val="21"/>
                <w:highlight w:val="none"/>
                <w:lang w:val="en-US" w:eastAsia="zh-CN"/>
              </w:rPr>
            </w:pPr>
            <w:r>
              <w:rPr>
                <w:rFonts w:hint="eastAsia" w:ascii="宋体" w:hAnsi="宋体" w:eastAsia="宋体" w:cs="宋体"/>
                <w:color w:val="auto"/>
                <w:spacing w:val="10"/>
                <w:sz w:val="21"/>
                <w:szCs w:val="21"/>
                <w:highlight w:val="none"/>
                <w:lang w:val="en-US" w:eastAsia="zh-CN"/>
              </w:rPr>
              <w:t>1425000.00</w:t>
            </w:r>
          </w:p>
        </w:tc>
        <w:tc>
          <w:tcPr>
            <w:tcW w:w="4812" w:type="dxa"/>
            <w:tcBorders>
              <w:top w:val="single" w:color="auto" w:sz="4" w:space="0"/>
              <w:left w:val="single" w:color="auto" w:sz="4" w:space="0"/>
              <w:bottom w:val="single" w:color="auto" w:sz="4" w:space="0"/>
              <w:right w:val="single" w:color="auto" w:sz="4" w:space="0"/>
            </w:tcBorders>
            <w:noWrap w:val="0"/>
            <w:vAlign w:val="center"/>
          </w:tcPr>
          <w:p w14:paraId="49685240">
            <w:pPr>
              <w:spacing w:before="107" w:line="327" w:lineRule="auto"/>
              <w:jc w:val="both"/>
              <w:rPr>
                <w:rFonts w:hint="eastAsia" w:ascii="宋体" w:hAnsi="宋体" w:eastAsia="宋体" w:cs="宋体"/>
                <w:color w:val="auto"/>
                <w:spacing w:val="8"/>
                <w:sz w:val="21"/>
                <w:szCs w:val="21"/>
                <w:highlight w:val="none"/>
              </w:rPr>
            </w:pPr>
            <w:r>
              <w:rPr>
                <w:rFonts w:hint="eastAsia" w:ascii="宋体" w:hAnsi="宋体" w:eastAsia="宋体" w:cs="宋体"/>
                <w:color w:val="auto"/>
                <w:spacing w:val="10"/>
                <w:sz w:val="21"/>
                <w:szCs w:val="21"/>
                <w:highlight w:val="none"/>
              </w:rPr>
              <w:t>根据《公路水运</w:t>
            </w:r>
            <w:r>
              <w:rPr>
                <w:rFonts w:hint="eastAsia" w:ascii="宋体" w:hAnsi="宋体" w:eastAsia="宋体" w:cs="宋体"/>
                <w:color w:val="auto"/>
                <w:spacing w:val="9"/>
                <w:sz w:val="21"/>
                <w:szCs w:val="21"/>
                <w:highlight w:val="none"/>
              </w:rPr>
              <w:t>工程质量监督管理规定》（交通运</w:t>
            </w:r>
            <w:r>
              <w:rPr>
                <w:rFonts w:hint="eastAsia" w:ascii="宋体" w:hAnsi="宋体" w:eastAsia="宋体" w:cs="宋体"/>
                <w:color w:val="auto"/>
                <w:spacing w:val="8"/>
                <w:sz w:val="21"/>
                <w:szCs w:val="21"/>
                <w:highlight w:val="none"/>
              </w:rPr>
              <w:t>输部令2017年第28号）《铁路建设工程质量监督管理规</w:t>
            </w:r>
            <w:r>
              <w:rPr>
                <w:rFonts w:hint="eastAsia" w:ascii="宋体" w:hAnsi="宋体" w:eastAsia="宋体" w:cs="宋体"/>
                <w:color w:val="auto"/>
                <w:spacing w:val="7"/>
                <w:sz w:val="21"/>
                <w:szCs w:val="21"/>
                <w:highlight w:val="none"/>
              </w:rPr>
              <w:t>定》（交通运输部令2021年第35号）要</w:t>
            </w:r>
            <w:r>
              <w:rPr>
                <w:rFonts w:hint="eastAsia" w:ascii="宋体" w:hAnsi="宋体" w:eastAsia="宋体" w:cs="宋体"/>
                <w:color w:val="auto"/>
                <w:spacing w:val="8"/>
                <w:sz w:val="21"/>
                <w:szCs w:val="21"/>
                <w:highlight w:val="none"/>
              </w:rPr>
              <w:t>求，</w:t>
            </w:r>
            <w:r>
              <w:rPr>
                <w:rFonts w:hint="eastAsia" w:ascii="宋体" w:hAnsi="宋体" w:eastAsia="宋体" w:cs="宋体"/>
                <w:color w:val="auto"/>
                <w:spacing w:val="8"/>
                <w:sz w:val="21"/>
                <w:szCs w:val="21"/>
                <w:highlight w:val="none"/>
                <w:lang w:eastAsia="zh-CN"/>
              </w:rPr>
              <w:t>为加强公路、地方铁路工程质量监督向社会采购监督检测服务</w:t>
            </w:r>
            <w:r>
              <w:rPr>
                <w:rFonts w:hint="eastAsia" w:ascii="宋体" w:hAnsi="宋体" w:eastAsia="宋体" w:cs="宋体"/>
                <w:color w:val="auto"/>
                <w:spacing w:val="8"/>
                <w:sz w:val="21"/>
                <w:szCs w:val="21"/>
                <w:highlight w:val="none"/>
              </w:rPr>
              <w:t>，内</w:t>
            </w:r>
            <w:r>
              <w:rPr>
                <w:rFonts w:hint="eastAsia" w:ascii="宋体" w:hAnsi="宋体" w:eastAsia="宋体" w:cs="宋体"/>
                <w:color w:val="auto"/>
                <w:spacing w:val="7"/>
                <w:sz w:val="21"/>
                <w:szCs w:val="21"/>
                <w:highlight w:val="none"/>
              </w:rPr>
              <w:t>容包括主要工程原材料、半成品、工程实体质量等试验检测工作。</w:t>
            </w:r>
            <w:r>
              <w:rPr>
                <w:rFonts w:hint="eastAsia" w:ascii="宋体" w:hAnsi="宋体" w:eastAsia="宋体" w:cs="宋体"/>
                <w:color w:val="auto"/>
                <w:spacing w:val="7"/>
                <w:sz w:val="21"/>
                <w:szCs w:val="21"/>
                <w:highlight w:val="none"/>
                <w:lang w:eastAsia="zh-CN"/>
              </w:rPr>
              <w:t>该监督</w:t>
            </w:r>
            <w:r>
              <w:rPr>
                <w:rFonts w:hint="eastAsia" w:ascii="宋体" w:hAnsi="宋体" w:eastAsia="宋体" w:cs="宋体"/>
                <w:color w:val="auto"/>
                <w:spacing w:val="8"/>
                <w:sz w:val="21"/>
                <w:szCs w:val="21"/>
                <w:highlight w:val="none"/>
                <w:lang w:eastAsia="zh-CN"/>
              </w:rPr>
              <w:t>检测</w:t>
            </w:r>
            <w:r>
              <w:rPr>
                <w:rFonts w:hint="eastAsia" w:ascii="宋体" w:hAnsi="宋体" w:eastAsia="宋体" w:cs="宋体"/>
                <w:color w:val="auto"/>
                <w:spacing w:val="7"/>
                <w:sz w:val="21"/>
                <w:szCs w:val="21"/>
                <w:highlight w:val="none"/>
                <w:lang w:eastAsia="zh-CN"/>
              </w:rPr>
              <w:t>服务</w:t>
            </w:r>
            <w:r>
              <w:rPr>
                <w:rFonts w:hint="eastAsia" w:ascii="宋体" w:hAnsi="宋体" w:eastAsia="宋体" w:cs="宋体"/>
                <w:color w:val="auto"/>
                <w:spacing w:val="7"/>
                <w:sz w:val="21"/>
                <w:szCs w:val="21"/>
                <w:highlight w:val="none"/>
              </w:rPr>
              <w:t>覆盖自治区范围内在</w:t>
            </w:r>
            <w:r>
              <w:rPr>
                <w:rFonts w:hint="eastAsia" w:ascii="宋体" w:hAnsi="宋体" w:eastAsia="宋体" w:cs="宋体"/>
                <w:color w:val="auto"/>
                <w:spacing w:val="6"/>
                <w:sz w:val="21"/>
                <w:szCs w:val="21"/>
                <w:highlight w:val="none"/>
              </w:rPr>
              <w:t>建公路、</w:t>
            </w:r>
            <w:r>
              <w:rPr>
                <w:rFonts w:hint="eastAsia" w:ascii="宋体" w:hAnsi="宋体" w:eastAsia="宋体" w:cs="宋体"/>
                <w:color w:val="auto"/>
                <w:spacing w:val="8"/>
                <w:sz w:val="21"/>
                <w:szCs w:val="21"/>
                <w:highlight w:val="none"/>
              </w:rPr>
              <w:t>地方铁路工程建设项目。</w:t>
            </w:r>
          </w:p>
          <w:p w14:paraId="44C922F8">
            <w:pPr>
              <w:spacing w:before="107" w:line="327" w:lineRule="auto"/>
              <w:jc w:val="both"/>
              <w:rPr>
                <w:rFonts w:hint="eastAsia" w:ascii="宋体" w:hAnsi="宋体" w:eastAsia="宋体" w:cs="宋体"/>
                <w:color w:val="auto"/>
                <w:spacing w:val="8"/>
                <w:sz w:val="21"/>
                <w:szCs w:val="21"/>
                <w:highlight w:val="none"/>
              </w:rPr>
            </w:pPr>
            <w:r>
              <w:rPr>
                <w:rFonts w:hint="eastAsia" w:ascii="宋体" w:hAnsi="宋体" w:eastAsia="宋体" w:cs="宋体"/>
                <w:color w:val="auto"/>
                <w:spacing w:val="8"/>
                <w:sz w:val="21"/>
                <w:szCs w:val="21"/>
                <w:highlight w:val="none"/>
              </w:rPr>
              <w:t>如需进一步了解详细内容，详见招标文件。</w:t>
            </w:r>
          </w:p>
        </w:tc>
      </w:tr>
    </w:tbl>
    <w:p w14:paraId="07375426">
      <w:pPr>
        <w:spacing w:line="400" w:lineRule="exact"/>
        <w:ind w:firstLine="420" w:firstLineChars="200"/>
        <w:rPr>
          <w:rFonts w:hint="eastAsia" w:ascii="宋体" w:hAnsi="宋体" w:eastAsia="宋体" w:cs="宋体"/>
          <w:color w:val="auto"/>
          <w:szCs w:val="21"/>
          <w:highlight w:val="none"/>
          <w:lang w:eastAsia="zh-CN"/>
        </w:rPr>
      </w:pPr>
      <w:r>
        <w:rPr>
          <w:rFonts w:hint="eastAsia" w:ascii="宋体" w:hAnsi="宋体" w:eastAsia="宋体" w:cs="宋体"/>
          <w:color w:val="auto"/>
          <w:sz w:val="21"/>
          <w:szCs w:val="21"/>
          <w:highlight w:val="none"/>
          <w:lang w:eastAsia="zh-CN"/>
        </w:rPr>
        <w:t>GLTLJD3标段</w:t>
      </w:r>
    </w:p>
    <w:tbl>
      <w:tblPr>
        <w:tblStyle w:val="45"/>
        <w:tblW w:w="9071"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544"/>
        <w:gridCol w:w="1402"/>
        <w:gridCol w:w="783"/>
        <w:gridCol w:w="1530"/>
        <w:gridCol w:w="4812"/>
      </w:tblGrid>
      <w:tr w14:paraId="7173E2F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544" w:type="dxa"/>
            <w:tcBorders>
              <w:top w:val="single" w:color="auto" w:sz="4" w:space="0"/>
              <w:left w:val="single" w:color="auto" w:sz="4" w:space="0"/>
              <w:bottom w:val="single" w:color="auto" w:sz="4" w:space="0"/>
              <w:right w:val="single" w:color="auto" w:sz="4" w:space="0"/>
            </w:tcBorders>
            <w:noWrap w:val="0"/>
            <w:vAlign w:val="center"/>
          </w:tcPr>
          <w:p w14:paraId="47C521CF">
            <w:pPr>
              <w:snapToGrid w:val="0"/>
              <w:spacing w:line="40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序号</w:t>
            </w:r>
          </w:p>
        </w:tc>
        <w:tc>
          <w:tcPr>
            <w:tcW w:w="1402" w:type="dxa"/>
            <w:tcBorders>
              <w:top w:val="single" w:color="auto" w:sz="4" w:space="0"/>
              <w:left w:val="single" w:color="auto" w:sz="4" w:space="0"/>
              <w:bottom w:val="single" w:color="auto" w:sz="4" w:space="0"/>
              <w:right w:val="single" w:color="auto" w:sz="4" w:space="0"/>
            </w:tcBorders>
            <w:noWrap w:val="0"/>
            <w:vAlign w:val="center"/>
          </w:tcPr>
          <w:p w14:paraId="67A137ED">
            <w:pPr>
              <w:snapToGrid w:val="0"/>
              <w:spacing w:line="40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标的名称</w:t>
            </w:r>
          </w:p>
        </w:tc>
        <w:tc>
          <w:tcPr>
            <w:tcW w:w="783" w:type="dxa"/>
            <w:tcBorders>
              <w:top w:val="single" w:color="auto" w:sz="4" w:space="0"/>
              <w:left w:val="single" w:color="auto" w:sz="4" w:space="0"/>
              <w:bottom w:val="single" w:color="auto" w:sz="4" w:space="0"/>
              <w:right w:val="single" w:color="auto" w:sz="4" w:space="0"/>
            </w:tcBorders>
            <w:noWrap w:val="0"/>
            <w:vAlign w:val="center"/>
          </w:tcPr>
          <w:p w14:paraId="602C02F9">
            <w:pPr>
              <w:snapToGrid w:val="0"/>
              <w:spacing w:line="40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数量及单位</w:t>
            </w:r>
          </w:p>
        </w:tc>
        <w:tc>
          <w:tcPr>
            <w:tcW w:w="1530" w:type="dxa"/>
            <w:tcBorders>
              <w:top w:val="single" w:color="auto" w:sz="4" w:space="0"/>
              <w:left w:val="single" w:color="auto" w:sz="4" w:space="0"/>
              <w:bottom w:val="single" w:color="auto" w:sz="4" w:space="0"/>
              <w:right w:val="single" w:color="auto" w:sz="4" w:space="0"/>
            </w:tcBorders>
            <w:noWrap w:val="0"/>
            <w:vAlign w:val="center"/>
          </w:tcPr>
          <w:p w14:paraId="29413396">
            <w:pPr>
              <w:snapToGrid w:val="0"/>
              <w:spacing w:line="400" w:lineRule="exact"/>
              <w:jc w:val="center"/>
              <w:rPr>
                <w:rFonts w:hint="eastAsia" w:ascii="宋体" w:hAnsi="宋体" w:eastAsia="宋体" w:cs="宋体"/>
                <w:color w:val="auto"/>
                <w:spacing w:val="10"/>
                <w:sz w:val="21"/>
                <w:szCs w:val="21"/>
                <w:highlight w:val="none"/>
                <w:lang w:val="en-US" w:eastAsia="zh-CN"/>
              </w:rPr>
            </w:pPr>
            <w:r>
              <w:rPr>
                <w:rFonts w:hint="eastAsia" w:ascii="宋体" w:hAnsi="宋体" w:eastAsia="宋体" w:cs="宋体"/>
                <w:color w:val="auto"/>
                <w:spacing w:val="10"/>
                <w:sz w:val="21"/>
                <w:szCs w:val="21"/>
                <w:highlight w:val="none"/>
                <w:lang w:val="en-US" w:eastAsia="zh-CN"/>
              </w:rPr>
              <w:t>最高限价（元）</w:t>
            </w:r>
          </w:p>
        </w:tc>
        <w:tc>
          <w:tcPr>
            <w:tcW w:w="4812" w:type="dxa"/>
            <w:tcBorders>
              <w:top w:val="single" w:color="auto" w:sz="4" w:space="0"/>
              <w:left w:val="single" w:color="auto" w:sz="4" w:space="0"/>
              <w:bottom w:val="single" w:color="auto" w:sz="4" w:space="0"/>
              <w:right w:val="single" w:color="auto" w:sz="4" w:space="0"/>
            </w:tcBorders>
            <w:noWrap w:val="0"/>
            <w:vAlign w:val="center"/>
          </w:tcPr>
          <w:p w14:paraId="31B7112D">
            <w:pPr>
              <w:snapToGrid w:val="0"/>
              <w:spacing w:line="400" w:lineRule="exact"/>
              <w:jc w:val="center"/>
              <w:rPr>
                <w:rFonts w:hint="eastAsia" w:ascii="宋体" w:hAnsi="宋体" w:eastAsia="宋体" w:cs="宋体"/>
                <w:color w:val="auto"/>
                <w:szCs w:val="21"/>
                <w:highlight w:val="none"/>
              </w:rPr>
            </w:pPr>
            <w:r>
              <w:rPr>
                <w:rFonts w:hint="eastAsia" w:ascii="宋体" w:hAnsi="宋体" w:eastAsia="宋体" w:cs="宋体"/>
                <w:color w:val="auto"/>
                <w:spacing w:val="10"/>
                <w:sz w:val="21"/>
                <w:szCs w:val="21"/>
                <w:highlight w:val="none"/>
              </w:rPr>
              <w:t>简要规格描述或项目基本概况介绍、用途</w:t>
            </w:r>
          </w:p>
        </w:tc>
      </w:tr>
      <w:tr w14:paraId="1AD38E5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544" w:type="dxa"/>
            <w:tcBorders>
              <w:top w:val="single" w:color="auto" w:sz="4" w:space="0"/>
              <w:left w:val="single" w:color="auto" w:sz="4" w:space="0"/>
              <w:bottom w:val="single" w:color="auto" w:sz="4" w:space="0"/>
              <w:right w:val="single" w:color="auto" w:sz="4" w:space="0"/>
            </w:tcBorders>
            <w:noWrap w:val="0"/>
            <w:vAlign w:val="center"/>
          </w:tcPr>
          <w:p w14:paraId="4F79FCB4">
            <w:pPr>
              <w:snapToGrid w:val="0"/>
              <w:spacing w:line="40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1</w:t>
            </w:r>
          </w:p>
        </w:tc>
        <w:tc>
          <w:tcPr>
            <w:tcW w:w="1402" w:type="dxa"/>
            <w:tcBorders>
              <w:top w:val="single" w:color="auto" w:sz="4" w:space="0"/>
              <w:left w:val="single" w:color="auto" w:sz="4" w:space="0"/>
              <w:bottom w:val="single" w:color="auto" w:sz="4" w:space="0"/>
              <w:right w:val="single" w:color="auto" w:sz="4" w:space="0"/>
            </w:tcBorders>
            <w:noWrap w:val="0"/>
            <w:vAlign w:val="center"/>
          </w:tcPr>
          <w:p w14:paraId="5EFC91AF">
            <w:pPr>
              <w:snapToGrid w:val="0"/>
              <w:spacing w:line="400" w:lineRule="exact"/>
              <w:jc w:val="center"/>
              <w:rPr>
                <w:rFonts w:hint="eastAsia" w:ascii="宋体" w:hAnsi="宋体" w:eastAsia="宋体" w:cs="宋体"/>
                <w:color w:val="auto"/>
                <w:szCs w:val="21"/>
                <w:highlight w:val="none"/>
                <w:lang w:eastAsia="zh-CN"/>
              </w:rPr>
            </w:pPr>
            <w:r>
              <w:rPr>
                <w:rFonts w:hint="eastAsia" w:ascii="宋体" w:hAnsi="宋体" w:eastAsia="宋体" w:cs="宋体"/>
                <w:color w:val="auto"/>
                <w:sz w:val="21"/>
                <w:szCs w:val="21"/>
                <w:highlight w:val="none"/>
              </w:rPr>
              <w:t>GLTLJD</w:t>
            </w:r>
            <w:r>
              <w:rPr>
                <w:rFonts w:hint="eastAsia" w:ascii="宋体" w:hAnsi="宋体" w:eastAsia="宋体" w:cs="宋体"/>
                <w:color w:val="auto"/>
                <w:spacing w:val="11"/>
                <w:sz w:val="21"/>
                <w:szCs w:val="21"/>
                <w:highlight w:val="none"/>
                <w:lang w:val="en-US" w:eastAsia="zh-CN"/>
              </w:rPr>
              <w:t>3</w:t>
            </w:r>
            <w:r>
              <w:rPr>
                <w:rFonts w:hint="eastAsia" w:ascii="宋体" w:hAnsi="宋体" w:eastAsia="宋体" w:cs="宋体"/>
                <w:color w:val="auto"/>
                <w:spacing w:val="11"/>
                <w:sz w:val="21"/>
                <w:szCs w:val="21"/>
                <w:highlight w:val="none"/>
                <w:lang w:eastAsia="zh-CN"/>
              </w:rPr>
              <w:t>：</w:t>
            </w:r>
            <w:r>
              <w:rPr>
                <w:rFonts w:hint="eastAsia" w:ascii="宋体" w:hAnsi="宋体" w:eastAsia="宋体" w:cs="宋体"/>
                <w:color w:val="auto"/>
                <w:spacing w:val="11"/>
                <w:sz w:val="21"/>
                <w:szCs w:val="21"/>
                <w:highlight w:val="none"/>
              </w:rPr>
              <w:t>公路、铁路工程质量监督检测</w:t>
            </w:r>
          </w:p>
        </w:tc>
        <w:tc>
          <w:tcPr>
            <w:tcW w:w="783" w:type="dxa"/>
            <w:tcBorders>
              <w:top w:val="single" w:color="auto" w:sz="4" w:space="0"/>
              <w:left w:val="single" w:color="auto" w:sz="4" w:space="0"/>
              <w:bottom w:val="single" w:color="auto" w:sz="4" w:space="0"/>
              <w:right w:val="single" w:color="auto" w:sz="4" w:space="0"/>
            </w:tcBorders>
            <w:noWrap w:val="0"/>
            <w:vAlign w:val="center"/>
          </w:tcPr>
          <w:p w14:paraId="14E24813">
            <w:pPr>
              <w:snapToGrid w:val="0"/>
              <w:spacing w:line="40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1项</w:t>
            </w:r>
          </w:p>
        </w:tc>
        <w:tc>
          <w:tcPr>
            <w:tcW w:w="1530" w:type="dxa"/>
            <w:tcBorders>
              <w:top w:val="single" w:color="auto" w:sz="4" w:space="0"/>
              <w:left w:val="single" w:color="auto" w:sz="4" w:space="0"/>
              <w:bottom w:val="single" w:color="auto" w:sz="4" w:space="0"/>
              <w:right w:val="single" w:color="auto" w:sz="4" w:space="0"/>
            </w:tcBorders>
            <w:noWrap w:val="0"/>
            <w:vAlign w:val="center"/>
          </w:tcPr>
          <w:p w14:paraId="64398F00">
            <w:pPr>
              <w:spacing w:before="107" w:line="327" w:lineRule="auto"/>
              <w:jc w:val="both"/>
              <w:rPr>
                <w:rFonts w:hint="eastAsia" w:ascii="宋体" w:hAnsi="宋体" w:eastAsia="宋体" w:cs="宋体"/>
                <w:color w:val="auto"/>
                <w:spacing w:val="10"/>
                <w:sz w:val="21"/>
                <w:szCs w:val="21"/>
                <w:highlight w:val="none"/>
                <w:lang w:val="en-US" w:eastAsia="zh-CN"/>
              </w:rPr>
            </w:pPr>
            <w:r>
              <w:rPr>
                <w:rFonts w:hint="eastAsia" w:ascii="宋体" w:hAnsi="宋体" w:eastAsia="宋体" w:cs="宋体"/>
                <w:color w:val="auto"/>
                <w:spacing w:val="10"/>
                <w:sz w:val="21"/>
                <w:szCs w:val="21"/>
                <w:highlight w:val="none"/>
                <w:lang w:val="en-US" w:eastAsia="zh-CN"/>
              </w:rPr>
              <w:t>1425000.00</w:t>
            </w:r>
          </w:p>
        </w:tc>
        <w:tc>
          <w:tcPr>
            <w:tcW w:w="4812" w:type="dxa"/>
            <w:tcBorders>
              <w:top w:val="single" w:color="auto" w:sz="4" w:space="0"/>
              <w:left w:val="single" w:color="auto" w:sz="4" w:space="0"/>
              <w:bottom w:val="single" w:color="auto" w:sz="4" w:space="0"/>
              <w:right w:val="single" w:color="auto" w:sz="4" w:space="0"/>
            </w:tcBorders>
            <w:noWrap w:val="0"/>
            <w:vAlign w:val="center"/>
          </w:tcPr>
          <w:p w14:paraId="50C3E792">
            <w:pPr>
              <w:spacing w:before="107" w:line="327" w:lineRule="auto"/>
              <w:jc w:val="both"/>
              <w:rPr>
                <w:rFonts w:hint="eastAsia" w:ascii="宋体" w:hAnsi="宋体" w:eastAsia="宋体" w:cs="宋体"/>
                <w:color w:val="auto"/>
                <w:spacing w:val="8"/>
                <w:sz w:val="21"/>
                <w:szCs w:val="21"/>
                <w:highlight w:val="none"/>
              </w:rPr>
            </w:pPr>
            <w:r>
              <w:rPr>
                <w:rFonts w:hint="eastAsia" w:ascii="宋体" w:hAnsi="宋体" w:eastAsia="宋体" w:cs="宋体"/>
                <w:color w:val="auto"/>
                <w:spacing w:val="10"/>
                <w:sz w:val="21"/>
                <w:szCs w:val="21"/>
                <w:highlight w:val="none"/>
              </w:rPr>
              <w:t>根据《公路水运</w:t>
            </w:r>
            <w:r>
              <w:rPr>
                <w:rFonts w:hint="eastAsia" w:ascii="宋体" w:hAnsi="宋体" w:eastAsia="宋体" w:cs="宋体"/>
                <w:color w:val="auto"/>
                <w:spacing w:val="9"/>
                <w:sz w:val="21"/>
                <w:szCs w:val="21"/>
                <w:highlight w:val="none"/>
              </w:rPr>
              <w:t>工程质量监督管理规定》（交通运</w:t>
            </w:r>
            <w:r>
              <w:rPr>
                <w:rFonts w:hint="eastAsia" w:ascii="宋体" w:hAnsi="宋体" w:eastAsia="宋体" w:cs="宋体"/>
                <w:color w:val="auto"/>
                <w:spacing w:val="8"/>
                <w:sz w:val="21"/>
                <w:szCs w:val="21"/>
                <w:highlight w:val="none"/>
              </w:rPr>
              <w:t>输部令2017年第28号）《铁路建设工程质量监督管理规</w:t>
            </w:r>
            <w:r>
              <w:rPr>
                <w:rFonts w:hint="eastAsia" w:ascii="宋体" w:hAnsi="宋体" w:eastAsia="宋体" w:cs="宋体"/>
                <w:color w:val="auto"/>
                <w:spacing w:val="7"/>
                <w:sz w:val="21"/>
                <w:szCs w:val="21"/>
                <w:highlight w:val="none"/>
              </w:rPr>
              <w:t>定》（交通运输部令2021年第35号）要</w:t>
            </w:r>
            <w:r>
              <w:rPr>
                <w:rFonts w:hint="eastAsia" w:ascii="宋体" w:hAnsi="宋体" w:eastAsia="宋体" w:cs="宋体"/>
                <w:color w:val="auto"/>
                <w:spacing w:val="8"/>
                <w:sz w:val="21"/>
                <w:szCs w:val="21"/>
                <w:highlight w:val="none"/>
              </w:rPr>
              <w:t>求，</w:t>
            </w:r>
            <w:r>
              <w:rPr>
                <w:rFonts w:hint="eastAsia" w:ascii="宋体" w:hAnsi="宋体" w:eastAsia="宋体" w:cs="宋体"/>
                <w:color w:val="auto"/>
                <w:spacing w:val="8"/>
                <w:sz w:val="21"/>
                <w:szCs w:val="21"/>
                <w:highlight w:val="none"/>
                <w:lang w:eastAsia="zh-CN"/>
              </w:rPr>
              <w:t>为加强公路、地方铁路工程质量监督向社会采购监督检测服务</w:t>
            </w:r>
            <w:r>
              <w:rPr>
                <w:rFonts w:hint="eastAsia" w:ascii="宋体" w:hAnsi="宋体" w:eastAsia="宋体" w:cs="宋体"/>
                <w:color w:val="auto"/>
                <w:spacing w:val="8"/>
                <w:sz w:val="21"/>
                <w:szCs w:val="21"/>
                <w:highlight w:val="none"/>
              </w:rPr>
              <w:t>，内</w:t>
            </w:r>
            <w:r>
              <w:rPr>
                <w:rFonts w:hint="eastAsia" w:ascii="宋体" w:hAnsi="宋体" w:eastAsia="宋体" w:cs="宋体"/>
                <w:color w:val="auto"/>
                <w:spacing w:val="7"/>
                <w:sz w:val="21"/>
                <w:szCs w:val="21"/>
                <w:highlight w:val="none"/>
              </w:rPr>
              <w:t>容包括主要工程原材料、半成品、工程实体质量等试验检测工作。</w:t>
            </w:r>
            <w:r>
              <w:rPr>
                <w:rFonts w:hint="eastAsia" w:ascii="宋体" w:hAnsi="宋体" w:eastAsia="宋体" w:cs="宋体"/>
                <w:color w:val="auto"/>
                <w:spacing w:val="7"/>
                <w:sz w:val="21"/>
                <w:szCs w:val="21"/>
                <w:highlight w:val="none"/>
                <w:lang w:eastAsia="zh-CN"/>
              </w:rPr>
              <w:t>该监督</w:t>
            </w:r>
            <w:r>
              <w:rPr>
                <w:rFonts w:hint="eastAsia" w:ascii="宋体" w:hAnsi="宋体" w:eastAsia="宋体" w:cs="宋体"/>
                <w:color w:val="auto"/>
                <w:spacing w:val="8"/>
                <w:sz w:val="21"/>
                <w:szCs w:val="21"/>
                <w:highlight w:val="none"/>
                <w:lang w:eastAsia="zh-CN"/>
              </w:rPr>
              <w:t>检测</w:t>
            </w:r>
            <w:r>
              <w:rPr>
                <w:rFonts w:hint="eastAsia" w:ascii="宋体" w:hAnsi="宋体" w:eastAsia="宋体" w:cs="宋体"/>
                <w:color w:val="auto"/>
                <w:spacing w:val="7"/>
                <w:sz w:val="21"/>
                <w:szCs w:val="21"/>
                <w:highlight w:val="none"/>
                <w:lang w:eastAsia="zh-CN"/>
              </w:rPr>
              <w:t>服务</w:t>
            </w:r>
            <w:r>
              <w:rPr>
                <w:rFonts w:hint="eastAsia" w:ascii="宋体" w:hAnsi="宋体" w:eastAsia="宋体" w:cs="宋体"/>
                <w:color w:val="auto"/>
                <w:spacing w:val="7"/>
                <w:sz w:val="21"/>
                <w:szCs w:val="21"/>
                <w:highlight w:val="none"/>
              </w:rPr>
              <w:t>覆盖自治区范围内在</w:t>
            </w:r>
            <w:r>
              <w:rPr>
                <w:rFonts w:hint="eastAsia" w:ascii="宋体" w:hAnsi="宋体" w:eastAsia="宋体" w:cs="宋体"/>
                <w:color w:val="auto"/>
                <w:spacing w:val="6"/>
                <w:sz w:val="21"/>
                <w:szCs w:val="21"/>
                <w:highlight w:val="none"/>
              </w:rPr>
              <w:t>建公路、</w:t>
            </w:r>
            <w:r>
              <w:rPr>
                <w:rFonts w:hint="eastAsia" w:ascii="宋体" w:hAnsi="宋体" w:eastAsia="宋体" w:cs="宋体"/>
                <w:color w:val="auto"/>
                <w:spacing w:val="8"/>
                <w:sz w:val="21"/>
                <w:szCs w:val="21"/>
                <w:highlight w:val="none"/>
              </w:rPr>
              <w:t>地方铁路工程建设项目。</w:t>
            </w:r>
          </w:p>
          <w:p w14:paraId="4852988C">
            <w:pPr>
              <w:spacing w:before="107" w:line="327" w:lineRule="auto"/>
              <w:jc w:val="both"/>
              <w:rPr>
                <w:rFonts w:hint="eastAsia" w:ascii="宋体" w:hAnsi="宋体" w:eastAsia="宋体" w:cs="宋体"/>
                <w:color w:val="auto"/>
                <w:spacing w:val="8"/>
                <w:sz w:val="21"/>
                <w:szCs w:val="21"/>
                <w:highlight w:val="none"/>
              </w:rPr>
            </w:pPr>
            <w:r>
              <w:rPr>
                <w:rFonts w:hint="eastAsia" w:ascii="宋体" w:hAnsi="宋体" w:eastAsia="宋体" w:cs="宋体"/>
                <w:color w:val="auto"/>
                <w:spacing w:val="8"/>
                <w:sz w:val="21"/>
                <w:szCs w:val="21"/>
                <w:highlight w:val="none"/>
              </w:rPr>
              <w:t>如需进一步了解详细内容，详见招标文件。</w:t>
            </w:r>
          </w:p>
        </w:tc>
      </w:tr>
    </w:tbl>
    <w:p w14:paraId="729BCA1C">
      <w:pPr>
        <w:spacing w:line="400" w:lineRule="exact"/>
        <w:ind w:firstLine="420" w:firstLineChars="200"/>
        <w:rPr>
          <w:rFonts w:hint="eastAsia" w:ascii="宋体" w:hAnsi="宋体" w:eastAsia="宋体" w:cs="宋体"/>
          <w:color w:val="auto"/>
          <w:szCs w:val="21"/>
          <w:highlight w:val="none"/>
          <w:lang w:eastAsia="zh-CN"/>
        </w:rPr>
      </w:pPr>
      <w:r>
        <w:rPr>
          <w:rFonts w:hint="eastAsia" w:ascii="宋体" w:hAnsi="宋体" w:eastAsia="宋体" w:cs="宋体"/>
          <w:color w:val="auto"/>
          <w:sz w:val="21"/>
          <w:szCs w:val="21"/>
          <w:highlight w:val="none"/>
          <w:lang w:eastAsia="zh-CN"/>
        </w:rPr>
        <w:t>GLTLJD4标段</w:t>
      </w:r>
    </w:p>
    <w:tbl>
      <w:tblPr>
        <w:tblStyle w:val="45"/>
        <w:tblW w:w="9071"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544"/>
        <w:gridCol w:w="1402"/>
        <w:gridCol w:w="783"/>
        <w:gridCol w:w="1530"/>
        <w:gridCol w:w="4812"/>
      </w:tblGrid>
      <w:tr w14:paraId="59F565B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544" w:type="dxa"/>
            <w:tcBorders>
              <w:top w:val="single" w:color="auto" w:sz="4" w:space="0"/>
              <w:left w:val="single" w:color="auto" w:sz="4" w:space="0"/>
              <w:bottom w:val="single" w:color="auto" w:sz="4" w:space="0"/>
              <w:right w:val="single" w:color="auto" w:sz="4" w:space="0"/>
            </w:tcBorders>
            <w:noWrap w:val="0"/>
            <w:vAlign w:val="center"/>
          </w:tcPr>
          <w:p w14:paraId="007D05B8">
            <w:pPr>
              <w:snapToGrid w:val="0"/>
              <w:spacing w:line="40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序号</w:t>
            </w:r>
          </w:p>
        </w:tc>
        <w:tc>
          <w:tcPr>
            <w:tcW w:w="1402" w:type="dxa"/>
            <w:tcBorders>
              <w:top w:val="single" w:color="auto" w:sz="4" w:space="0"/>
              <w:left w:val="single" w:color="auto" w:sz="4" w:space="0"/>
              <w:bottom w:val="single" w:color="auto" w:sz="4" w:space="0"/>
              <w:right w:val="single" w:color="auto" w:sz="4" w:space="0"/>
            </w:tcBorders>
            <w:noWrap w:val="0"/>
            <w:vAlign w:val="center"/>
          </w:tcPr>
          <w:p w14:paraId="68873750">
            <w:pPr>
              <w:snapToGrid w:val="0"/>
              <w:spacing w:line="40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标的名称</w:t>
            </w:r>
          </w:p>
        </w:tc>
        <w:tc>
          <w:tcPr>
            <w:tcW w:w="783" w:type="dxa"/>
            <w:tcBorders>
              <w:top w:val="single" w:color="auto" w:sz="4" w:space="0"/>
              <w:left w:val="single" w:color="auto" w:sz="4" w:space="0"/>
              <w:bottom w:val="single" w:color="auto" w:sz="4" w:space="0"/>
              <w:right w:val="single" w:color="auto" w:sz="4" w:space="0"/>
            </w:tcBorders>
            <w:noWrap w:val="0"/>
            <w:vAlign w:val="center"/>
          </w:tcPr>
          <w:p w14:paraId="44F79C96">
            <w:pPr>
              <w:snapToGrid w:val="0"/>
              <w:spacing w:line="40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数量及单位</w:t>
            </w:r>
          </w:p>
        </w:tc>
        <w:tc>
          <w:tcPr>
            <w:tcW w:w="1530" w:type="dxa"/>
            <w:tcBorders>
              <w:top w:val="single" w:color="auto" w:sz="4" w:space="0"/>
              <w:left w:val="single" w:color="auto" w:sz="4" w:space="0"/>
              <w:bottom w:val="single" w:color="auto" w:sz="4" w:space="0"/>
              <w:right w:val="single" w:color="auto" w:sz="4" w:space="0"/>
            </w:tcBorders>
            <w:noWrap w:val="0"/>
            <w:vAlign w:val="center"/>
          </w:tcPr>
          <w:p w14:paraId="68A0B3C4">
            <w:pPr>
              <w:snapToGrid w:val="0"/>
              <w:spacing w:line="400" w:lineRule="exact"/>
              <w:jc w:val="center"/>
              <w:rPr>
                <w:rFonts w:hint="eastAsia" w:ascii="宋体" w:hAnsi="宋体" w:eastAsia="宋体" w:cs="宋体"/>
                <w:color w:val="auto"/>
                <w:spacing w:val="10"/>
                <w:sz w:val="21"/>
                <w:szCs w:val="21"/>
                <w:highlight w:val="none"/>
                <w:lang w:val="en-US" w:eastAsia="zh-CN"/>
              </w:rPr>
            </w:pPr>
            <w:r>
              <w:rPr>
                <w:rFonts w:hint="eastAsia" w:ascii="宋体" w:hAnsi="宋体" w:eastAsia="宋体" w:cs="宋体"/>
                <w:color w:val="auto"/>
                <w:spacing w:val="10"/>
                <w:sz w:val="21"/>
                <w:szCs w:val="21"/>
                <w:highlight w:val="none"/>
                <w:lang w:val="en-US" w:eastAsia="zh-CN"/>
              </w:rPr>
              <w:t>最高限价（元）</w:t>
            </w:r>
          </w:p>
        </w:tc>
        <w:tc>
          <w:tcPr>
            <w:tcW w:w="4812" w:type="dxa"/>
            <w:tcBorders>
              <w:top w:val="single" w:color="auto" w:sz="4" w:space="0"/>
              <w:left w:val="single" w:color="auto" w:sz="4" w:space="0"/>
              <w:bottom w:val="single" w:color="auto" w:sz="4" w:space="0"/>
              <w:right w:val="single" w:color="auto" w:sz="4" w:space="0"/>
            </w:tcBorders>
            <w:noWrap w:val="0"/>
            <w:vAlign w:val="center"/>
          </w:tcPr>
          <w:p w14:paraId="0F1686C8">
            <w:pPr>
              <w:snapToGrid w:val="0"/>
              <w:spacing w:line="400" w:lineRule="exact"/>
              <w:jc w:val="center"/>
              <w:rPr>
                <w:rFonts w:hint="eastAsia" w:ascii="宋体" w:hAnsi="宋体" w:eastAsia="宋体" w:cs="宋体"/>
                <w:color w:val="auto"/>
                <w:szCs w:val="21"/>
                <w:highlight w:val="none"/>
              </w:rPr>
            </w:pPr>
            <w:r>
              <w:rPr>
                <w:rFonts w:hint="eastAsia" w:ascii="宋体" w:hAnsi="宋体" w:eastAsia="宋体" w:cs="宋体"/>
                <w:color w:val="auto"/>
                <w:spacing w:val="10"/>
                <w:sz w:val="21"/>
                <w:szCs w:val="21"/>
                <w:highlight w:val="none"/>
              </w:rPr>
              <w:t>简要规格描述或项目基本概况介绍、用途</w:t>
            </w:r>
          </w:p>
        </w:tc>
      </w:tr>
      <w:tr w14:paraId="19D8F3D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544" w:type="dxa"/>
            <w:tcBorders>
              <w:top w:val="single" w:color="auto" w:sz="4" w:space="0"/>
              <w:left w:val="single" w:color="auto" w:sz="4" w:space="0"/>
              <w:bottom w:val="single" w:color="auto" w:sz="4" w:space="0"/>
              <w:right w:val="single" w:color="auto" w:sz="4" w:space="0"/>
            </w:tcBorders>
            <w:noWrap w:val="0"/>
            <w:vAlign w:val="center"/>
          </w:tcPr>
          <w:p w14:paraId="7CE8E844">
            <w:pPr>
              <w:snapToGrid w:val="0"/>
              <w:spacing w:line="40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1</w:t>
            </w:r>
          </w:p>
        </w:tc>
        <w:tc>
          <w:tcPr>
            <w:tcW w:w="1402" w:type="dxa"/>
            <w:tcBorders>
              <w:top w:val="single" w:color="auto" w:sz="4" w:space="0"/>
              <w:left w:val="single" w:color="auto" w:sz="4" w:space="0"/>
              <w:bottom w:val="single" w:color="auto" w:sz="4" w:space="0"/>
              <w:right w:val="single" w:color="auto" w:sz="4" w:space="0"/>
            </w:tcBorders>
            <w:noWrap w:val="0"/>
            <w:vAlign w:val="center"/>
          </w:tcPr>
          <w:p w14:paraId="6827CD6A">
            <w:pPr>
              <w:snapToGrid w:val="0"/>
              <w:spacing w:line="400" w:lineRule="exact"/>
              <w:jc w:val="center"/>
              <w:rPr>
                <w:rFonts w:hint="eastAsia" w:ascii="宋体" w:hAnsi="宋体" w:eastAsia="宋体" w:cs="宋体"/>
                <w:color w:val="auto"/>
                <w:szCs w:val="21"/>
                <w:highlight w:val="none"/>
                <w:lang w:eastAsia="zh-CN"/>
              </w:rPr>
            </w:pPr>
            <w:r>
              <w:rPr>
                <w:rFonts w:hint="eastAsia" w:ascii="宋体" w:hAnsi="宋体" w:eastAsia="宋体" w:cs="宋体"/>
                <w:color w:val="auto"/>
                <w:sz w:val="21"/>
                <w:szCs w:val="21"/>
                <w:highlight w:val="none"/>
              </w:rPr>
              <w:t>GLTLJD</w:t>
            </w:r>
            <w:r>
              <w:rPr>
                <w:rFonts w:hint="eastAsia" w:ascii="宋体" w:hAnsi="宋体" w:eastAsia="宋体" w:cs="宋体"/>
                <w:color w:val="auto"/>
                <w:spacing w:val="11"/>
                <w:sz w:val="21"/>
                <w:szCs w:val="21"/>
                <w:highlight w:val="none"/>
                <w:lang w:val="en-US" w:eastAsia="zh-CN"/>
              </w:rPr>
              <w:t>4</w:t>
            </w:r>
            <w:r>
              <w:rPr>
                <w:rFonts w:hint="eastAsia" w:ascii="宋体" w:hAnsi="宋体" w:eastAsia="宋体" w:cs="宋体"/>
                <w:color w:val="auto"/>
                <w:spacing w:val="11"/>
                <w:sz w:val="21"/>
                <w:szCs w:val="21"/>
                <w:highlight w:val="none"/>
                <w:lang w:eastAsia="zh-CN"/>
              </w:rPr>
              <w:t>：</w:t>
            </w:r>
            <w:r>
              <w:rPr>
                <w:rFonts w:hint="eastAsia" w:ascii="宋体" w:hAnsi="宋体" w:eastAsia="宋体" w:cs="宋体"/>
                <w:color w:val="auto"/>
                <w:spacing w:val="11"/>
                <w:sz w:val="21"/>
                <w:szCs w:val="21"/>
                <w:highlight w:val="none"/>
              </w:rPr>
              <w:t>公路、铁路工程质量监督检测</w:t>
            </w:r>
          </w:p>
        </w:tc>
        <w:tc>
          <w:tcPr>
            <w:tcW w:w="783" w:type="dxa"/>
            <w:tcBorders>
              <w:top w:val="single" w:color="auto" w:sz="4" w:space="0"/>
              <w:left w:val="single" w:color="auto" w:sz="4" w:space="0"/>
              <w:bottom w:val="single" w:color="auto" w:sz="4" w:space="0"/>
              <w:right w:val="single" w:color="auto" w:sz="4" w:space="0"/>
            </w:tcBorders>
            <w:noWrap w:val="0"/>
            <w:vAlign w:val="center"/>
          </w:tcPr>
          <w:p w14:paraId="383D4C16">
            <w:pPr>
              <w:snapToGrid w:val="0"/>
              <w:spacing w:line="40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1项</w:t>
            </w:r>
          </w:p>
        </w:tc>
        <w:tc>
          <w:tcPr>
            <w:tcW w:w="1530" w:type="dxa"/>
            <w:tcBorders>
              <w:top w:val="single" w:color="auto" w:sz="4" w:space="0"/>
              <w:left w:val="single" w:color="auto" w:sz="4" w:space="0"/>
              <w:bottom w:val="single" w:color="auto" w:sz="4" w:space="0"/>
              <w:right w:val="single" w:color="auto" w:sz="4" w:space="0"/>
            </w:tcBorders>
            <w:noWrap w:val="0"/>
            <w:vAlign w:val="center"/>
          </w:tcPr>
          <w:p w14:paraId="04410246">
            <w:pPr>
              <w:spacing w:before="107" w:line="327" w:lineRule="auto"/>
              <w:jc w:val="both"/>
              <w:rPr>
                <w:rFonts w:hint="eastAsia" w:ascii="宋体" w:hAnsi="宋体" w:eastAsia="宋体" w:cs="宋体"/>
                <w:color w:val="auto"/>
                <w:spacing w:val="10"/>
                <w:sz w:val="21"/>
                <w:szCs w:val="21"/>
                <w:highlight w:val="none"/>
                <w:lang w:val="en-US" w:eastAsia="zh-CN"/>
              </w:rPr>
            </w:pPr>
            <w:r>
              <w:rPr>
                <w:rFonts w:hint="eastAsia" w:ascii="宋体" w:hAnsi="宋体" w:eastAsia="宋体" w:cs="宋体"/>
                <w:color w:val="auto"/>
                <w:spacing w:val="10"/>
                <w:sz w:val="21"/>
                <w:szCs w:val="21"/>
                <w:highlight w:val="none"/>
                <w:lang w:val="en-US" w:eastAsia="zh-CN"/>
              </w:rPr>
              <w:t>1425000.00</w:t>
            </w:r>
          </w:p>
        </w:tc>
        <w:tc>
          <w:tcPr>
            <w:tcW w:w="4812" w:type="dxa"/>
            <w:tcBorders>
              <w:top w:val="single" w:color="auto" w:sz="4" w:space="0"/>
              <w:left w:val="single" w:color="auto" w:sz="4" w:space="0"/>
              <w:bottom w:val="single" w:color="auto" w:sz="4" w:space="0"/>
              <w:right w:val="single" w:color="auto" w:sz="4" w:space="0"/>
            </w:tcBorders>
            <w:noWrap w:val="0"/>
            <w:vAlign w:val="center"/>
          </w:tcPr>
          <w:p w14:paraId="2BE0E9AD">
            <w:pPr>
              <w:spacing w:before="107" w:line="327" w:lineRule="auto"/>
              <w:jc w:val="both"/>
              <w:rPr>
                <w:rFonts w:hint="eastAsia" w:ascii="宋体" w:hAnsi="宋体" w:eastAsia="宋体" w:cs="宋体"/>
                <w:color w:val="auto"/>
                <w:spacing w:val="8"/>
                <w:sz w:val="21"/>
                <w:szCs w:val="21"/>
                <w:highlight w:val="none"/>
              </w:rPr>
            </w:pPr>
            <w:r>
              <w:rPr>
                <w:rFonts w:hint="eastAsia" w:ascii="宋体" w:hAnsi="宋体" w:eastAsia="宋体" w:cs="宋体"/>
                <w:color w:val="auto"/>
                <w:spacing w:val="10"/>
                <w:sz w:val="21"/>
                <w:szCs w:val="21"/>
                <w:highlight w:val="none"/>
              </w:rPr>
              <w:t>根据《公路水运</w:t>
            </w:r>
            <w:r>
              <w:rPr>
                <w:rFonts w:hint="eastAsia" w:ascii="宋体" w:hAnsi="宋体" w:eastAsia="宋体" w:cs="宋体"/>
                <w:color w:val="auto"/>
                <w:spacing w:val="9"/>
                <w:sz w:val="21"/>
                <w:szCs w:val="21"/>
                <w:highlight w:val="none"/>
              </w:rPr>
              <w:t>工程质量监督管理规定》（交通运</w:t>
            </w:r>
            <w:r>
              <w:rPr>
                <w:rFonts w:hint="eastAsia" w:ascii="宋体" w:hAnsi="宋体" w:eastAsia="宋体" w:cs="宋体"/>
                <w:color w:val="auto"/>
                <w:spacing w:val="8"/>
                <w:sz w:val="21"/>
                <w:szCs w:val="21"/>
                <w:highlight w:val="none"/>
              </w:rPr>
              <w:t>输部令2017年第28号）《铁路建设工程质量监督管理规</w:t>
            </w:r>
            <w:r>
              <w:rPr>
                <w:rFonts w:hint="eastAsia" w:ascii="宋体" w:hAnsi="宋体" w:eastAsia="宋体" w:cs="宋体"/>
                <w:color w:val="auto"/>
                <w:spacing w:val="7"/>
                <w:sz w:val="21"/>
                <w:szCs w:val="21"/>
                <w:highlight w:val="none"/>
              </w:rPr>
              <w:t>定》（交通运输部令2021年第35号）要</w:t>
            </w:r>
            <w:r>
              <w:rPr>
                <w:rFonts w:hint="eastAsia" w:ascii="宋体" w:hAnsi="宋体" w:eastAsia="宋体" w:cs="宋体"/>
                <w:color w:val="auto"/>
                <w:spacing w:val="8"/>
                <w:sz w:val="21"/>
                <w:szCs w:val="21"/>
                <w:highlight w:val="none"/>
              </w:rPr>
              <w:t>求，</w:t>
            </w:r>
            <w:r>
              <w:rPr>
                <w:rFonts w:hint="eastAsia" w:ascii="宋体" w:hAnsi="宋体" w:eastAsia="宋体" w:cs="宋体"/>
                <w:color w:val="auto"/>
                <w:spacing w:val="8"/>
                <w:sz w:val="21"/>
                <w:szCs w:val="21"/>
                <w:highlight w:val="none"/>
                <w:lang w:eastAsia="zh-CN"/>
              </w:rPr>
              <w:t>为加强公路、地方铁路工程质量监督向社会采购监督检测服务</w:t>
            </w:r>
            <w:r>
              <w:rPr>
                <w:rFonts w:hint="eastAsia" w:ascii="宋体" w:hAnsi="宋体" w:eastAsia="宋体" w:cs="宋体"/>
                <w:color w:val="auto"/>
                <w:spacing w:val="8"/>
                <w:sz w:val="21"/>
                <w:szCs w:val="21"/>
                <w:highlight w:val="none"/>
              </w:rPr>
              <w:t>，内</w:t>
            </w:r>
            <w:r>
              <w:rPr>
                <w:rFonts w:hint="eastAsia" w:ascii="宋体" w:hAnsi="宋体" w:eastAsia="宋体" w:cs="宋体"/>
                <w:color w:val="auto"/>
                <w:spacing w:val="7"/>
                <w:sz w:val="21"/>
                <w:szCs w:val="21"/>
                <w:highlight w:val="none"/>
              </w:rPr>
              <w:t>容包括主要工程原材料、半成品、工程实体质量等试验检测工作。</w:t>
            </w:r>
            <w:r>
              <w:rPr>
                <w:rFonts w:hint="eastAsia" w:ascii="宋体" w:hAnsi="宋体" w:eastAsia="宋体" w:cs="宋体"/>
                <w:color w:val="auto"/>
                <w:spacing w:val="7"/>
                <w:sz w:val="21"/>
                <w:szCs w:val="21"/>
                <w:highlight w:val="none"/>
                <w:lang w:eastAsia="zh-CN"/>
              </w:rPr>
              <w:t>该监督</w:t>
            </w:r>
            <w:r>
              <w:rPr>
                <w:rFonts w:hint="eastAsia" w:ascii="宋体" w:hAnsi="宋体" w:eastAsia="宋体" w:cs="宋体"/>
                <w:color w:val="auto"/>
                <w:spacing w:val="8"/>
                <w:sz w:val="21"/>
                <w:szCs w:val="21"/>
                <w:highlight w:val="none"/>
                <w:lang w:eastAsia="zh-CN"/>
              </w:rPr>
              <w:t>检测</w:t>
            </w:r>
            <w:r>
              <w:rPr>
                <w:rFonts w:hint="eastAsia" w:ascii="宋体" w:hAnsi="宋体" w:eastAsia="宋体" w:cs="宋体"/>
                <w:color w:val="auto"/>
                <w:spacing w:val="7"/>
                <w:sz w:val="21"/>
                <w:szCs w:val="21"/>
                <w:highlight w:val="none"/>
                <w:lang w:eastAsia="zh-CN"/>
              </w:rPr>
              <w:t>服务</w:t>
            </w:r>
            <w:r>
              <w:rPr>
                <w:rFonts w:hint="eastAsia" w:ascii="宋体" w:hAnsi="宋体" w:eastAsia="宋体" w:cs="宋体"/>
                <w:color w:val="auto"/>
                <w:spacing w:val="7"/>
                <w:sz w:val="21"/>
                <w:szCs w:val="21"/>
                <w:highlight w:val="none"/>
              </w:rPr>
              <w:t>覆盖自治区范围内在</w:t>
            </w:r>
            <w:r>
              <w:rPr>
                <w:rFonts w:hint="eastAsia" w:ascii="宋体" w:hAnsi="宋体" w:eastAsia="宋体" w:cs="宋体"/>
                <w:color w:val="auto"/>
                <w:spacing w:val="6"/>
                <w:sz w:val="21"/>
                <w:szCs w:val="21"/>
                <w:highlight w:val="none"/>
              </w:rPr>
              <w:t>建公路、</w:t>
            </w:r>
            <w:r>
              <w:rPr>
                <w:rFonts w:hint="eastAsia" w:ascii="宋体" w:hAnsi="宋体" w:eastAsia="宋体" w:cs="宋体"/>
                <w:color w:val="auto"/>
                <w:spacing w:val="8"/>
                <w:sz w:val="21"/>
                <w:szCs w:val="21"/>
                <w:highlight w:val="none"/>
              </w:rPr>
              <w:t>地方铁路工程建设项目。</w:t>
            </w:r>
          </w:p>
          <w:p w14:paraId="0B60E943">
            <w:pPr>
              <w:spacing w:before="107" w:line="327" w:lineRule="auto"/>
              <w:jc w:val="both"/>
              <w:rPr>
                <w:rFonts w:hint="eastAsia" w:ascii="宋体" w:hAnsi="宋体" w:eastAsia="宋体" w:cs="宋体"/>
                <w:color w:val="auto"/>
                <w:spacing w:val="8"/>
                <w:sz w:val="21"/>
                <w:szCs w:val="21"/>
                <w:highlight w:val="none"/>
              </w:rPr>
            </w:pPr>
            <w:r>
              <w:rPr>
                <w:rFonts w:hint="eastAsia" w:ascii="宋体" w:hAnsi="宋体" w:eastAsia="宋体" w:cs="宋体"/>
                <w:color w:val="auto"/>
                <w:spacing w:val="8"/>
                <w:sz w:val="21"/>
                <w:szCs w:val="21"/>
                <w:highlight w:val="none"/>
              </w:rPr>
              <w:t>如需进一步了解详细内容，详见招标文件。</w:t>
            </w:r>
          </w:p>
        </w:tc>
      </w:tr>
    </w:tbl>
    <w:p w14:paraId="402FAC30">
      <w:pPr>
        <w:spacing w:line="400" w:lineRule="exact"/>
        <w:ind w:firstLine="420" w:firstLineChars="200"/>
        <w:rPr>
          <w:rFonts w:hint="eastAsia" w:ascii="宋体" w:hAnsi="宋体" w:eastAsia="宋体" w:cs="宋体"/>
          <w:color w:val="auto"/>
          <w:szCs w:val="21"/>
          <w:highlight w:val="none"/>
          <w:lang w:eastAsia="zh-CN"/>
        </w:rPr>
      </w:pPr>
      <w:r>
        <w:rPr>
          <w:rFonts w:hint="eastAsia" w:ascii="宋体" w:hAnsi="宋体" w:eastAsia="宋体" w:cs="宋体"/>
          <w:color w:val="auto"/>
          <w:kern w:val="0"/>
          <w:szCs w:val="21"/>
          <w:highlight w:val="none"/>
          <w:lang w:eastAsia="zh-CN"/>
        </w:rPr>
        <w:t>SYJD1标段</w:t>
      </w:r>
    </w:p>
    <w:tbl>
      <w:tblPr>
        <w:tblStyle w:val="45"/>
        <w:tblW w:w="9071"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544"/>
        <w:gridCol w:w="1402"/>
        <w:gridCol w:w="783"/>
        <w:gridCol w:w="1530"/>
        <w:gridCol w:w="4812"/>
      </w:tblGrid>
      <w:tr w14:paraId="5128AAC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544" w:type="dxa"/>
            <w:tcBorders>
              <w:top w:val="single" w:color="auto" w:sz="4" w:space="0"/>
              <w:left w:val="single" w:color="auto" w:sz="4" w:space="0"/>
              <w:bottom w:val="single" w:color="auto" w:sz="4" w:space="0"/>
              <w:right w:val="single" w:color="auto" w:sz="4" w:space="0"/>
            </w:tcBorders>
            <w:noWrap w:val="0"/>
            <w:vAlign w:val="center"/>
          </w:tcPr>
          <w:p w14:paraId="6066046F">
            <w:pPr>
              <w:snapToGrid w:val="0"/>
              <w:spacing w:line="40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序号</w:t>
            </w:r>
          </w:p>
        </w:tc>
        <w:tc>
          <w:tcPr>
            <w:tcW w:w="1402" w:type="dxa"/>
            <w:tcBorders>
              <w:top w:val="single" w:color="auto" w:sz="4" w:space="0"/>
              <w:left w:val="single" w:color="auto" w:sz="4" w:space="0"/>
              <w:bottom w:val="single" w:color="auto" w:sz="4" w:space="0"/>
              <w:right w:val="single" w:color="auto" w:sz="4" w:space="0"/>
            </w:tcBorders>
            <w:noWrap w:val="0"/>
            <w:vAlign w:val="center"/>
          </w:tcPr>
          <w:p w14:paraId="31FA5348">
            <w:pPr>
              <w:snapToGrid w:val="0"/>
              <w:spacing w:line="40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标的名称</w:t>
            </w:r>
          </w:p>
        </w:tc>
        <w:tc>
          <w:tcPr>
            <w:tcW w:w="783" w:type="dxa"/>
            <w:tcBorders>
              <w:top w:val="single" w:color="auto" w:sz="4" w:space="0"/>
              <w:left w:val="single" w:color="auto" w:sz="4" w:space="0"/>
              <w:bottom w:val="single" w:color="auto" w:sz="4" w:space="0"/>
              <w:right w:val="single" w:color="auto" w:sz="4" w:space="0"/>
            </w:tcBorders>
            <w:noWrap w:val="0"/>
            <w:vAlign w:val="center"/>
          </w:tcPr>
          <w:p w14:paraId="61537C14">
            <w:pPr>
              <w:snapToGrid w:val="0"/>
              <w:spacing w:line="40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数量及单位</w:t>
            </w:r>
          </w:p>
        </w:tc>
        <w:tc>
          <w:tcPr>
            <w:tcW w:w="1530" w:type="dxa"/>
            <w:tcBorders>
              <w:top w:val="single" w:color="auto" w:sz="4" w:space="0"/>
              <w:left w:val="single" w:color="auto" w:sz="4" w:space="0"/>
              <w:bottom w:val="single" w:color="auto" w:sz="4" w:space="0"/>
              <w:right w:val="single" w:color="auto" w:sz="4" w:space="0"/>
            </w:tcBorders>
            <w:noWrap w:val="0"/>
            <w:vAlign w:val="center"/>
          </w:tcPr>
          <w:p w14:paraId="41179227">
            <w:pPr>
              <w:snapToGrid w:val="0"/>
              <w:spacing w:line="400" w:lineRule="exact"/>
              <w:jc w:val="center"/>
              <w:rPr>
                <w:rFonts w:hint="eastAsia" w:ascii="宋体" w:hAnsi="宋体" w:eastAsia="宋体" w:cs="宋体"/>
                <w:color w:val="auto"/>
                <w:spacing w:val="10"/>
                <w:sz w:val="21"/>
                <w:szCs w:val="21"/>
                <w:highlight w:val="none"/>
                <w:lang w:val="en-US" w:eastAsia="zh-CN"/>
              </w:rPr>
            </w:pPr>
            <w:r>
              <w:rPr>
                <w:rFonts w:hint="eastAsia" w:ascii="宋体" w:hAnsi="宋体" w:eastAsia="宋体" w:cs="宋体"/>
                <w:color w:val="auto"/>
                <w:spacing w:val="10"/>
                <w:sz w:val="21"/>
                <w:szCs w:val="21"/>
                <w:highlight w:val="none"/>
                <w:lang w:val="en-US" w:eastAsia="zh-CN"/>
              </w:rPr>
              <w:t>最高限价（元）</w:t>
            </w:r>
          </w:p>
        </w:tc>
        <w:tc>
          <w:tcPr>
            <w:tcW w:w="4812" w:type="dxa"/>
            <w:tcBorders>
              <w:top w:val="single" w:color="auto" w:sz="4" w:space="0"/>
              <w:left w:val="single" w:color="auto" w:sz="4" w:space="0"/>
              <w:bottom w:val="single" w:color="auto" w:sz="4" w:space="0"/>
              <w:right w:val="single" w:color="auto" w:sz="4" w:space="0"/>
            </w:tcBorders>
            <w:noWrap w:val="0"/>
            <w:vAlign w:val="center"/>
          </w:tcPr>
          <w:p w14:paraId="75F0D2EB">
            <w:pPr>
              <w:snapToGrid w:val="0"/>
              <w:spacing w:line="400" w:lineRule="exact"/>
              <w:jc w:val="center"/>
              <w:rPr>
                <w:rFonts w:hint="eastAsia" w:ascii="宋体" w:hAnsi="宋体" w:eastAsia="宋体" w:cs="宋体"/>
                <w:color w:val="auto"/>
                <w:szCs w:val="21"/>
                <w:highlight w:val="none"/>
              </w:rPr>
            </w:pPr>
            <w:r>
              <w:rPr>
                <w:rFonts w:hint="eastAsia" w:ascii="宋体" w:hAnsi="宋体" w:eastAsia="宋体" w:cs="宋体"/>
                <w:color w:val="auto"/>
                <w:spacing w:val="10"/>
                <w:sz w:val="21"/>
                <w:szCs w:val="21"/>
                <w:highlight w:val="none"/>
              </w:rPr>
              <w:t>简要规格描述或项目基本概况介绍、用途</w:t>
            </w:r>
          </w:p>
        </w:tc>
      </w:tr>
      <w:tr w14:paraId="02759EF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544" w:type="dxa"/>
            <w:tcBorders>
              <w:top w:val="single" w:color="auto" w:sz="4" w:space="0"/>
              <w:left w:val="single" w:color="auto" w:sz="4" w:space="0"/>
              <w:bottom w:val="single" w:color="auto" w:sz="4" w:space="0"/>
              <w:right w:val="single" w:color="auto" w:sz="4" w:space="0"/>
            </w:tcBorders>
            <w:noWrap w:val="0"/>
            <w:vAlign w:val="center"/>
          </w:tcPr>
          <w:p w14:paraId="1F34BE22">
            <w:pPr>
              <w:snapToGrid w:val="0"/>
              <w:spacing w:line="40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1</w:t>
            </w:r>
          </w:p>
        </w:tc>
        <w:tc>
          <w:tcPr>
            <w:tcW w:w="1402" w:type="dxa"/>
            <w:tcBorders>
              <w:top w:val="single" w:color="auto" w:sz="4" w:space="0"/>
              <w:left w:val="single" w:color="auto" w:sz="4" w:space="0"/>
              <w:bottom w:val="single" w:color="auto" w:sz="4" w:space="0"/>
              <w:right w:val="single" w:color="auto" w:sz="4" w:space="0"/>
            </w:tcBorders>
            <w:noWrap w:val="0"/>
            <w:vAlign w:val="center"/>
          </w:tcPr>
          <w:p w14:paraId="0590B4D3">
            <w:pPr>
              <w:snapToGrid w:val="0"/>
              <w:spacing w:line="400" w:lineRule="exact"/>
              <w:jc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SYJD1</w:t>
            </w:r>
            <w:r>
              <w:rPr>
                <w:rFonts w:hint="eastAsia" w:ascii="宋体" w:hAnsi="宋体" w:eastAsia="宋体" w:cs="宋体"/>
                <w:color w:val="auto"/>
                <w:kern w:val="0"/>
                <w:szCs w:val="21"/>
                <w:highlight w:val="none"/>
                <w:lang w:val="en-US" w:eastAsia="zh-CN"/>
              </w:rPr>
              <w:t>：</w:t>
            </w:r>
            <w:r>
              <w:rPr>
                <w:rFonts w:hint="eastAsia" w:ascii="宋体" w:hAnsi="宋体" w:eastAsia="宋体" w:cs="宋体"/>
                <w:i w:val="0"/>
                <w:iCs w:val="0"/>
                <w:color w:val="auto"/>
                <w:kern w:val="0"/>
                <w:sz w:val="21"/>
                <w:szCs w:val="21"/>
                <w:highlight w:val="none"/>
                <w:u w:val="none"/>
                <w:lang w:val="en-US" w:eastAsia="zh-CN" w:bidi="ar"/>
              </w:rPr>
              <w:t>水运工程质量监督检测</w:t>
            </w:r>
          </w:p>
        </w:tc>
        <w:tc>
          <w:tcPr>
            <w:tcW w:w="783" w:type="dxa"/>
            <w:tcBorders>
              <w:top w:val="single" w:color="auto" w:sz="4" w:space="0"/>
              <w:left w:val="single" w:color="auto" w:sz="4" w:space="0"/>
              <w:bottom w:val="single" w:color="auto" w:sz="4" w:space="0"/>
              <w:right w:val="single" w:color="auto" w:sz="4" w:space="0"/>
            </w:tcBorders>
            <w:noWrap w:val="0"/>
            <w:vAlign w:val="center"/>
          </w:tcPr>
          <w:p w14:paraId="02FB7AEA">
            <w:pPr>
              <w:snapToGrid w:val="0"/>
              <w:spacing w:line="40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1项</w:t>
            </w:r>
          </w:p>
        </w:tc>
        <w:tc>
          <w:tcPr>
            <w:tcW w:w="1530" w:type="dxa"/>
            <w:tcBorders>
              <w:top w:val="single" w:color="auto" w:sz="4" w:space="0"/>
              <w:left w:val="single" w:color="auto" w:sz="4" w:space="0"/>
              <w:bottom w:val="single" w:color="auto" w:sz="4" w:space="0"/>
              <w:right w:val="single" w:color="auto" w:sz="4" w:space="0"/>
            </w:tcBorders>
            <w:noWrap w:val="0"/>
            <w:vAlign w:val="center"/>
          </w:tcPr>
          <w:p w14:paraId="05310A1C">
            <w:pPr>
              <w:spacing w:before="107" w:line="327" w:lineRule="auto"/>
              <w:jc w:val="both"/>
              <w:rPr>
                <w:rFonts w:hint="eastAsia" w:ascii="宋体" w:hAnsi="宋体" w:eastAsia="宋体" w:cs="宋体"/>
                <w:color w:val="auto"/>
                <w:spacing w:val="10"/>
                <w:sz w:val="21"/>
                <w:szCs w:val="21"/>
                <w:highlight w:val="none"/>
                <w:lang w:val="en-US" w:eastAsia="zh-CN"/>
              </w:rPr>
            </w:pPr>
            <w:r>
              <w:rPr>
                <w:rFonts w:hint="eastAsia" w:ascii="宋体" w:hAnsi="宋体" w:eastAsia="宋体" w:cs="宋体"/>
                <w:color w:val="auto"/>
                <w:spacing w:val="10"/>
                <w:sz w:val="21"/>
                <w:szCs w:val="21"/>
                <w:highlight w:val="none"/>
                <w:lang w:val="en-US" w:eastAsia="zh-CN"/>
              </w:rPr>
              <w:t>600000.00</w:t>
            </w:r>
          </w:p>
        </w:tc>
        <w:tc>
          <w:tcPr>
            <w:tcW w:w="4812" w:type="dxa"/>
            <w:tcBorders>
              <w:top w:val="single" w:color="auto" w:sz="4" w:space="0"/>
              <w:left w:val="single" w:color="auto" w:sz="4" w:space="0"/>
              <w:bottom w:val="single" w:color="auto" w:sz="4" w:space="0"/>
              <w:right w:val="single" w:color="auto" w:sz="4" w:space="0"/>
            </w:tcBorders>
            <w:noWrap w:val="0"/>
            <w:vAlign w:val="center"/>
          </w:tcPr>
          <w:p w14:paraId="1301CB6B">
            <w:pPr>
              <w:spacing w:before="107" w:line="327" w:lineRule="auto"/>
              <w:jc w:val="both"/>
              <w:rPr>
                <w:rFonts w:hint="eastAsia" w:ascii="宋体" w:hAnsi="宋体" w:eastAsia="宋体" w:cs="宋体"/>
                <w:color w:val="auto"/>
                <w:spacing w:val="8"/>
                <w:sz w:val="21"/>
                <w:szCs w:val="21"/>
                <w:highlight w:val="none"/>
              </w:rPr>
            </w:pPr>
            <w:r>
              <w:rPr>
                <w:rFonts w:hint="eastAsia" w:ascii="宋体" w:hAnsi="宋体" w:eastAsia="宋体" w:cs="宋体"/>
                <w:color w:val="auto"/>
                <w:spacing w:val="10"/>
                <w:sz w:val="21"/>
                <w:szCs w:val="21"/>
                <w:highlight w:val="none"/>
              </w:rPr>
              <w:t>根据《公路水运</w:t>
            </w:r>
            <w:r>
              <w:rPr>
                <w:rFonts w:hint="eastAsia" w:ascii="宋体" w:hAnsi="宋体" w:eastAsia="宋体" w:cs="宋体"/>
                <w:color w:val="auto"/>
                <w:spacing w:val="9"/>
                <w:sz w:val="21"/>
                <w:szCs w:val="21"/>
                <w:highlight w:val="none"/>
              </w:rPr>
              <w:t>工程质量监督管理规定》（交通运</w:t>
            </w:r>
            <w:r>
              <w:rPr>
                <w:rFonts w:hint="eastAsia" w:ascii="宋体" w:hAnsi="宋体" w:eastAsia="宋体" w:cs="宋体"/>
                <w:color w:val="auto"/>
                <w:spacing w:val="8"/>
                <w:sz w:val="21"/>
                <w:szCs w:val="21"/>
                <w:highlight w:val="none"/>
              </w:rPr>
              <w:t>输部令2017年第28号）要求，为加强水运工程质量监督</w:t>
            </w:r>
            <w:r>
              <w:rPr>
                <w:rFonts w:hint="eastAsia" w:ascii="宋体" w:hAnsi="宋体" w:eastAsia="宋体" w:cs="宋体"/>
                <w:color w:val="auto"/>
                <w:spacing w:val="8"/>
                <w:sz w:val="21"/>
                <w:szCs w:val="21"/>
                <w:highlight w:val="none"/>
                <w:lang w:eastAsia="zh-CN"/>
              </w:rPr>
              <w:t>向社会采购监督检测服务</w:t>
            </w:r>
            <w:r>
              <w:rPr>
                <w:rFonts w:hint="eastAsia" w:ascii="宋体" w:hAnsi="宋体" w:eastAsia="宋体" w:cs="宋体"/>
                <w:color w:val="auto"/>
                <w:spacing w:val="7"/>
                <w:sz w:val="21"/>
                <w:szCs w:val="21"/>
                <w:highlight w:val="none"/>
              </w:rPr>
              <w:t>，内容包括主要工程原</w:t>
            </w:r>
            <w:r>
              <w:rPr>
                <w:rFonts w:hint="eastAsia" w:ascii="宋体" w:hAnsi="宋体" w:eastAsia="宋体" w:cs="宋体"/>
                <w:color w:val="auto"/>
                <w:spacing w:val="10"/>
                <w:sz w:val="21"/>
                <w:szCs w:val="21"/>
                <w:highlight w:val="none"/>
              </w:rPr>
              <w:t>材料、半成品、工程实体质量等试验检测</w:t>
            </w:r>
            <w:r>
              <w:rPr>
                <w:rFonts w:hint="eastAsia" w:ascii="宋体" w:hAnsi="宋体" w:eastAsia="宋体" w:cs="宋体"/>
                <w:color w:val="auto"/>
                <w:spacing w:val="9"/>
                <w:sz w:val="21"/>
                <w:szCs w:val="21"/>
                <w:highlight w:val="none"/>
              </w:rPr>
              <w:t>工作。</w:t>
            </w:r>
            <w:r>
              <w:rPr>
                <w:rFonts w:hint="eastAsia" w:ascii="宋体" w:hAnsi="宋体" w:eastAsia="宋体" w:cs="宋体"/>
                <w:color w:val="auto"/>
                <w:spacing w:val="9"/>
                <w:sz w:val="21"/>
                <w:szCs w:val="21"/>
                <w:highlight w:val="none"/>
                <w:lang w:eastAsia="zh-CN"/>
              </w:rPr>
              <w:t>该监督检测服务</w:t>
            </w:r>
            <w:r>
              <w:rPr>
                <w:rFonts w:hint="eastAsia" w:ascii="宋体" w:hAnsi="宋体" w:eastAsia="宋体" w:cs="宋体"/>
                <w:color w:val="auto"/>
                <w:spacing w:val="9"/>
                <w:sz w:val="21"/>
                <w:szCs w:val="21"/>
                <w:highlight w:val="none"/>
              </w:rPr>
              <w:t>覆盖自</w:t>
            </w:r>
            <w:r>
              <w:rPr>
                <w:rFonts w:hint="eastAsia" w:ascii="宋体" w:hAnsi="宋体" w:eastAsia="宋体" w:cs="宋体"/>
                <w:color w:val="auto"/>
                <w:spacing w:val="8"/>
                <w:sz w:val="21"/>
                <w:szCs w:val="21"/>
                <w:highlight w:val="none"/>
              </w:rPr>
              <w:t>治区范围内在建水运工程建设项目。</w:t>
            </w:r>
          </w:p>
          <w:p w14:paraId="340A24C9">
            <w:pPr>
              <w:spacing w:before="107" w:line="327" w:lineRule="auto"/>
              <w:jc w:val="both"/>
              <w:rPr>
                <w:rFonts w:hint="eastAsia" w:ascii="宋体" w:hAnsi="宋体" w:eastAsia="宋体" w:cs="宋体"/>
                <w:color w:val="auto"/>
                <w:szCs w:val="21"/>
                <w:highlight w:val="none"/>
              </w:rPr>
            </w:pPr>
            <w:r>
              <w:rPr>
                <w:rFonts w:hint="eastAsia" w:ascii="宋体" w:hAnsi="宋体" w:eastAsia="宋体" w:cs="宋体"/>
                <w:color w:val="auto"/>
                <w:spacing w:val="8"/>
                <w:sz w:val="21"/>
                <w:szCs w:val="21"/>
                <w:highlight w:val="none"/>
              </w:rPr>
              <w:t>如需进一步了解详细内容，详见招标文件。</w:t>
            </w:r>
          </w:p>
        </w:tc>
      </w:tr>
    </w:tbl>
    <w:p w14:paraId="0C56A314">
      <w:pPr>
        <w:spacing w:line="400" w:lineRule="exact"/>
        <w:ind w:firstLine="420" w:firstLineChars="200"/>
        <w:rPr>
          <w:rFonts w:hint="eastAsia" w:ascii="宋体" w:hAnsi="宋体" w:eastAsia="宋体" w:cs="宋体"/>
          <w:color w:val="auto"/>
          <w:szCs w:val="21"/>
          <w:highlight w:val="none"/>
          <w:lang w:eastAsia="zh-CN"/>
        </w:rPr>
      </w:pPr>
      <w:r>
        <w:rPr>
          <w:rFonts w:hint="eastAsia" w:ascii="宋体" w:hAnsi="宋体" w:eastAsia="宋体" w:cs="宋体"/>
          <w:color w:val="auto"/>
          <w:kern w:val="0"/>
          <w:szCs w:val="21"/>
          <w:highlight w:val="none"/>
          <w:lang w:eastAsia="zh-CN"/>
        </w:rPr>
        <w:t>SYJD2标段</w:t>
      </w:r>
    </w:p>
    <w:tbl>
      <w:tblPr>
        <w:tblStyle w:val="45"/>
        <w:tblW w:w="9071"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544"/>
        <w:gridCol w:w="1402"/>
        <w:gridCol w:w="783"/>
        <w:gridCol w:w="1530"/>
        <w:gridCol w:w="4812"/>
      </w:tblGrid>
      <w:tr w14:paraId="26A19FF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544" w:type="dxa"/>
            <w:tcBorders>
              <w:top w:val="single" w:color="auto" w:sz="4" w:space="0"/>
              <w:left w:val="single" w:color="auto" w:sz="4" w:space="0"/>
              <w:bottom w:val="single" w:color="auto" w:sz="4" w:space="0"/>
              <w:right w:val="single" w:color="auto" w:sz="4" w:space="0"/>
            </w:tcBorders>
            <w:noWrap w:val="0"/>
            <w:vAlign w:val="center"/>
          </w:tcPr>
          <w:p w14:paraId="587A5896">
            <w:pPr>
              <w:snapToGrid w:val="0"/>
              <w:spacing w:line="40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序号</w:t>
            </w:r>
          </w:p>
        </w:tc>
        <w:tc>
          <w:tcPr>
            <w:tcW w:w="1402" w:type="dxa"/>
            <w:tcBorders>
              <w:top w:val="single" w:color="auto" w:sz="4" w:space="0"/>
              <w:left w:val="single" w:color="auto" w:sz="4" w:space="0"/>
              <w:bottom w:val="single" w:color="auto" w:sz="4" w:space="0"/>
              <w:right w:val="single" w:color="auto" w:sz="4" w:space="0"/>
            </w:tcBorders>
            <w:noWrap w:val="0"/>
            <w:vAlign w:val="center"/>
          </w:tcPr>
          <w:p w14:paraId="7ECA07BD">
            <w:pPr>
              <w:snapToGrid w:val="0"/>
              <w:spacing w:line="40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标的名称</w:t>
            </w:r>
          </w:p>
        </w:tc>
        <w:tc>
          <w:tcPr>
            <w:tcW w:w="783" w:type="dxa"/>
            <w:tcBorders>
              <w:top w:val="single" w:color="auto" w:sz="4" w:space="0"/>
              <w:left w:val="single" w:color="auto" w:sz="4" w:space="0"/>
              <w:bottom w:val="single" w:color="auto" w:sz="4" w:space="0"/>
              <w:right w:val="single" w:color="auto" w:sz="4" w:space="0"/>
            </w:tcBorders>
            <w:noWrap w:val="0"/>
            <w:vAlign w:val="center"/>
          </w:tcPr>
          <w:p w14:paraId="2E6CFBAC">
            <w:pPr>
              <w:snapToGrid w:val="0"/>
              <w:spacing w:line="40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数量及单位</w:t>
            </w:r>
          </w:p>
        </w:tc>
        <w:tc>
          <w:tcPr>
            <w:tcW w:w="1530" w:type="dxa"/>
            <w:tcBorders>
              <w:top w:val="single" w:color="auto" w:sz="4" w:space="0"/>
              <w:left w:val="single" w:color="auto" w:sz="4" w:space="0"/>
              <w:bottom w:val="single" w:color="auto" w:sz="4" w:space="0"/>
              <w:right w:val="single" w:color="auto" w:sz="4" w:space="0"/>
            </w:tcBorders>
            <w:noWrap w:val="0"/>
            <w:vAlign w:val="center"/>
          </w:tcPr>
          <w:p w14:paraId="0A096A97">
            <w:pPr>
              <w:snapToGrid w:val="0"/>
              <w:spacing w:line="400" w:lineRule="exact"/>
              <w:jc w:val="center"/>
              <w:rPr>
                <w:rFonts w:hint="eastAsia" w:ascii="宋体" w:hAnsi="宋体" w:eastAsia="宋体" w:cs="宋体"/>
                <w:color w:val="auto"/>
                <w:spacing w:val="10"/>
                <w:sz w:val="21"/>
                <w:szCs w:val="21"/>
                <w:highlight w:val="none"/>
                <w:lang w:val="en-US" w:eastAsia="zh-CN"/>
              </w:rPr>
            </w:pPr>
            <w:r>
              <w:rPr>
                <w:rFonts w:hint="eastAsia" w:ascii="宋体" w:hAnsi="宋体" w:eastAsia="宋体" w:cs="宋体"/>
                <w:color w:val="auto"/>
                <w:spacing w:val="10"/>
                <w:sz w:val="21"/>
                <w:szCs w:val="21"/>
                <w:highlight w:val="none"/>
                <w:lang w:val="en-US" w:eastAsia="zh-CN"/>
              </w:rPr>
              <w:t>最高限价（元）</w:t>
            </w:r>
          </w:p>
        </w:tc>
        <w:tc>
          <w:tcPr>
            <w:tcW w:w="4812" w:type="dxa"/>
            <w:tcBorders>
              <w:top w:val="single" w:color="auto" w:sz="4" w:space="0"/>
              <w:left w:val="single" w:color="auto" w:sz="4" w:space="0"/>
              <w:bottom w:val="single" w:color="auto" w:sz="4" w:space="0"/>
              <w:right w:val="single" w:color="auto" w:sz="4" w:space="0"/>
            </w:tcBorders>
            <w:noWrap w:val="0"/>
            <w:vAlign w:val="center"/>
          </w:tcPr>
          <w:p w14:paraId="726DCDFF">
            <w:pPr>
              <w:snapToGrid w:val="0"/>
              <w:spacing w:line="400" w:lineRule="exact"/>
              <w:jc w:val="center"/>
              <w:rPr>
                <w:rFonts w:hint="eastAsia" w:ascii="宋体" w:hAnsi="宋体" w:eastAsia="宋体" w:cs="宋体"/>
                <w:color w:val="auto"/>
                <w:szCs w:val="21"/>
                <w:highlight w:val="none"/>
              </w:rPr>
            </w:pPr>
            <w:r>
              <w:rPr>
                <w:rFonts w:hint="eastAsia" w:ascii="宋体" w:hAnsi="宋体" w:eastAsia="宋体" w:cs="宋体"/>
                <w:color w:val="auto"/>
                <w:spacing w:val="10"/>
                <w:sz w:val="21"/>
                <w:szCs w:val="21"/>
                <w:highlight w:val="none"/>
              </w:rPr>
              <w:t>简要规格描述或项目基本概况介绍、用途</w:t>
            </w:r>
          </w:p>
        </w:tc>
      </w:tr>
      <w:tr w14:paraId="6C54746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544" w:type="dxa"/>
            <w:tcBorders>
              <w:top w:val="single" w:color="auto" w:sz="4" w:space="0"/>
              <w:left w:val="single" w:color="auto" w:sz="4" w:space="0"/>
              <w:bottom w:val="single" w:color="auto" w:sz="4" w:space="0"/>
              <w:right w:val="single" w:color="auto" w:sz="4" w:space="0"/>
            </w:tcBorders>
            <w:noWrap w:val="0"/>
            <w:vAlign w:val="center"/>
          </w:tcPr>
          <w:p w14:paraId="69A9480F">
            <w:pPr>
              <w:snapToGrid w:val="0"/>
              <w:spacing w:line="40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1</w:t>
            </w:r>
          </w:p>
        </w:tc>
        <w:tc>
          <w:tcPr>
            <w:tcW w:w="1402" w:type="dxa"/>
            <w:tcBorders>
              <w:top w:val="single" w:color="auto" w:sz="4" w:space="0"/>
              <w:left w:val="single" w:color="auto" w:sz="4" w:space="0"/>
              <w:bottom w:val="single" w:color="auto" w:sz="4" w:space="0"/>
              <w:right w:val="single" w:color="auto" w:sz="4" w:space="0"/>
            </w:tcBorders>
            <w:noWrap w:val="0"/>
            <w:vAlign w:val="center"/>
          </w:tcPr>
          <w:p w14:paraId="2540802F">
            <w:pPr>
              <w:snapToGrid w:val="0"/>
              <w:spacing w:line="400" w:lineRule="exact"/>
              <w:jc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SYJD</w:t>
            </w:r>
            <w:r>
              <w:rPr>
                <w:rFonts w:hint="eastAsia" w:ascii="宋体" w:hAnsi="宋体" w:eastAsia="宋体" w:cs="宋体"/>
                <w:color w:val="auto"/>
                <w:kern w:val="0"/>
                <w:szCs w:val="21"/>
                <w:highlight w:val="none"/>
                <w:lang w:val="en-US" w:eastAsia="zh-CN"/>
              </w:rPr>
              <w:t>2：</w:t>
            </w:r>
            <w:r>
              <w:rPr>
                <w:rFonts w:hint="eastAsia" w:ascii="宋体" w:hAnsi="宋体" w:eastAsia="宋体" w:cs="宋体"/>
                <w:i w:val="0"/>
                <w:iCs w:val="0"/>
                <w:color w:val="auto"/>
                <w:kern w:val="0"/>
                <w:sz w:val="21"/>
                <w:szCs w:val="21"/>
                <w:highlight w:val="none"/>
                <w:u w:val="none"/>
                <w:lang w:val="en-US" w:eastAsia="zh-CN" w:bidi="ar"/>
              </w:rPr>
              <w:t>水运工程质量监督检测</w:t>
            </w:r>
          </w:p>
        </w:tc>
        <w:tc>
          <w:tcPr>
            <w:tcW w:w="783" w:type="dxa"/>
            <w:tcBorders>
              <w:top w:val="single" w:color="auto" w:sz="4" w:space="0"/>
              <w:left w:val="single" w:color="auto" w:sz="4" w:space="0"/>
              <w:bottom w:val="single" w:color="auto" w:sz="4" w:space="0"/>
              <w:right w:val="single" w:color="auto" w:sz="4" w:space="0"/>
            </w:tcBorders>
            <w:noWrap w:val="0"/>
            <w:vAlign w:val="center"/>
          </w:tcPr>
          <w:p w14:paraId="748EEF73">
            <w:pPr>
              <w:snapToGrid w:val="0"/>
              <w:spacing w:line="40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1项</w:t>
            </w:r>
          </w:p>
        </w:tc>
        <w:tc>
          <w:tcPr>
            <w:tcW w:w="1530" w:type="dxa"/>
            <w:tcBorders>
              <w:top w:val="single" w:color="auto" w:sz="4" w:space="0"/>
              <w:left w:val="single" w:color="auto" w:sz="4" w:space="0"/>
              <w:bottom w:val="single" w:color="auto" w:sz="4" w:space="0"/>
              <w:right w:val="single" w:color="auto" w:sz="4" w:space="0"/>
            </w:tcBorders>
            <w:noWrap w:val="0"/>
            <w:vAlign w:val="center"/>
          </w:tcPr>
          <w:p w14:paraId="49694BFA">
            <w:pPr>
              <w:spacing w:before="107" w:line="327" w:lineRule="auto"/>
              <w:jc w:val="both"/>
              <w:rPr>
                <w:rFonts w:hint="eastAsia" w:ascii="宋体" w:hAnsi="宋体" w:eastAsia="宋体" w:cs="宋体"/>
                <w:color w:val="auto"/>
                <w:spacing w:val="10"/>
                <w:sz w:val="21"/>
                <w:szCs w:val="21"/>
                <w:highlight w:val="none"/>
                <w:lang w:val="en-US" w:eastAsia="zh-CN"/>
              </w:rPr>
            </w:pPr>
            <w:r>
              <w:rPr>
                <w:rFonts w:hint="eastAsia" w:ascii="宋体" w:hAnsi="宋体" w:eastAsia="宋体" w:cs="宋体"/>
                <w:color w:val="auto"/>
                <w:spacing w:val="10"/>
                <w:sz w:val="21"/>
                <w:szCs w:val="21"/>
                <w:highlight w:val="none"/>
                <w:lang w:val="en-US" w:eastAsia="zh-CN"/>
              </w:rPr>
              <w:t>600000.00</w:t>
            </w:r>
          </w:p>
        </w:tc>
        <w:tc>
          <w:tcPr>
            <w:tcW w:w="4812" w:type="dxa"/>
            <w:tcBorders>
              <w:top w:val="single" w:color="auto" w:sz="4" w:space="0"/>
              <w:left w:val="single" w:color="auto" w:sz="4" w:space="0"/>
              <w:bottom w:val="single" w:color="auto" w:sz="4" w:space="0"/>
              <w:right w:val="single" w:color="auto" w:sz="4" w:space="0"/>
            </w:tcBorders>
            <w:noWrap w:val="0"/>
            <w:vAlign w:val="center"/>
          </w:tcPr>
          <w:p w14:paraId="79535474">
            <w:pPr>
              <w:spacing w:before="107" w:line="327" w:lineRule="auto"/>
              <w:jc w:val="both"/>
              <w:rPr>
                <w:rFonts w:hint="eastAsia" w:ascii="宋体" w:hAnsi="宋体" w:eastAsia="宋体" w:cs="宋体"/>
                <w:color w:val="auto"/>
                <w:spacing w:val="8"/>
                <w:sz w:val="21"/>
                <w:szCs w:val="21"/>
                <w:highlight w:val="none"/>
              </w:rPr>
            </w:pPr>
            <w:r>
              <w:rPr>
                <w:rFonts w:hint="eastAsia" w:ascii="宋体" w:hAnsi="宋体" w:eastAsia="宋体" w:cs="宋体"/>
                <w:color w:val="auto"/>
                <w:spacing w:val="10"/>
                <w:sz w:val="21"/>
                <w:szCs w:val="21"/>
                <w:highlight w:val="none"/>
              </w:rPr>
              <w:t>根据《公路水运</w:t>
            </w:r>
            <w:r>
              <w:rPr>
                <w:rFonts w:hint="eastAsia" w:ascii="宋体" w:hAnsi="宋体" w:eastAsia="宋体" w:cs="宋体"/>
                <w:color w:val="auto"/>
                <w:spacing w:val="9"/>
                <w:sz w:val="21"/>
                <w:szCs w:val="21"/>
                <w:highlight w:val="none"/>
              </w:rPr>
              <w:t>工程质量监督管理规定》（交通运</w:t>
            </w:r>
            <w:r>
              <w:rPr>
                <w:rFonts w:hint="eastAsia" w:ascii="宋体" w:hAnsi="宋体" w:eastAsia="宋体" w:cs="宋体"/>
                <w:color w:val="auto"/>
                <w:spacing w:val="8"/>
                <w:sz w:val="21"/>
                <w:szCs w:val="21"/>
                <w:highlight w:val="none"/>
              </w:rPr>
              <w:t>输部令2017年第28号）要求，为加强水运工程质量监督</w:t>
            </w:r>
            <w:r>
              <w:rPr>
                <w:rFonts w:hint="eastAsia" w:ascii="宋体" w:hAnsi="宋体" w:eastAsia="宋体" w:cs="宋体"/>
                <w:color w:val="auto"/>
                <w:spacing w:val="8"/>
                <w:sz w:val="21"/>
                <w:szCs w:val="21"/>
                <w:highlight w:val="none"/>
                <w:lang w:eastAsia="zh-CN"/>
              </w:rPr>
              <w:t>向社会采购监督检测服务</w:t>
            </w:r>
            <w:r>
              <w:rPr>
                <w:rFonts w:hint="eastAsia" w:ascii="宋体" w:hAnsi="宋体" w:eastAsia="宋体" w:cs="宋体"/>
                <w:color w:val="auto"/>
                <w:spacing w:val="7"/>
                <w:sz w:val="21"/>
                <w:szCs w:val="21"/>
                <w:highlight w:val="none"/>
              </w:rPr>
              <w:t>，内容包括主要工程原</w:t>
            </w:r>
            <w:r>
              <w:rPr>
                <w:rFonts w:hint="eastAsia" w:ascii="宋体" w:hAnsi="宋体" w:eastAsia="宋体" w:cs="宋体"/>
                <w:color w:val="auto"/>
                <w:spacing w:val="10"/>
                <w:sz w:val="21"/>
                <w:szCs w:val="21"/>
                <w:highlight w:val="none"/>
              </w:rPr>
              <w:t>材料、半成品、工程实体质量等试验检测</w:t>
            </w:r>
            <w:r>
              <w:rPr>
                <w:rFonts w:hint="eastAsia" w:ascii="宋体" w:hAnsi="宋体" w:eastAsia="宋体" w:cs="宋体"/>
                <w:color w:val="auto"/>
                <w:spacing w:val="9"/>
                <w:sz w:val="21"/>
                <w:szCs w:val="21"/>
                <w:highlight w:val="none"/>
              </w:rPr>
              <w:t>工作。</w:t>
            </w:r>
            <w:r>
              <w:rPr>
                <w:rFonts w:hint="eastAsia" w:ascii="宋体" w:hAnsi="宋体" w:eastAsia="宋体" w:cs="宋体"/>
                <w:color w:val="auto"/>
                <w:spacing w:val="9"/>
                <w:sz w:val="21"/>
                <w:szCs w:val="21"/>
                <w:highlight w:val="none"/>
                <w:lang w:eastAsia="zh-CN"/>
              </w:rPr>
              <w:t>该监督检测服务</w:t>
            </w:r>
            <w:r>
              <w:rPr>
                <w:rFonts w:hint="eastAsia" w:ascii="宋体" w:hAnsi="宋体" w:eastAsia="宋体" w:cs="宋体"/>
                <w:color w:val="auto"/>
                <w:spacing w:val="9"/>
                <w:sz w:val="21"/>
                <w:szCs w:val="21"/>
                <w:highlight w:val="none"/>
              </w:rPr>
              <w:t>覆盖自</w:t>
            </w:r>
            <w:r>
              <w:rPr>
                <w:rFonts w:hint="eastAsia" w:ascii="宋体" w:hAnsi="宋体" w:eastAsia="宋体" w:cs="宋体"/>
                <w:color w:val="auto"/>
                <w:spacing w:val="8"/>
                <w:sz w:val="21"/>
                <w:szCs w:val="21"/>
                <w:highlight w:val="none"/>
              </w:rPr>
              <w:t>治区范围内在建水运工程建设项目。</w:t>
            </w:r>
          </w:p>
          <w:p w14:paraId="705CB70E">
            <w:pPr>
              <w:spacing w:before="107" w:line="327" w:lineRule="auto"/>
              <w:jc w:val="both"/>
              <w:rPr>
                <w:rFonts w:hint="eastAsia" w:ascii="宋体" w:hAnsi="宋体" w:eastAsia="宋体" w:cs="宋体"/>
                <w:color w:val="auto"/>
                <w:szCs w:val="21"/>
                <w:highlight w:val="none"/>
              </w:rPr>
            </w:pPr>
            <w:r>
              <w:rPr>
                <w:rFonts w:hint="eastAsia" w:ascii="宋体" w:hAnsi="宋体" w:eastAsia="宋体" w:cs="宋体"/>
                <w:color w:val="auto"/>
                <w:spacing w:val="8"/>
                <w:sz w:val="21"/>
                <w:szCs w:val="21"/>
                <w:highlight w:val="none"/>
              </w:rPr>
              <w:t>如需进一步了解详细内容，详见招标文件。</w:t>
            </w:r>
          </w:p>
        </w:tc>
      </w:tr>
    </w:tbl>
    <w:p w14:paraId="438AD285">
      <w:pPr>
        <w:spacing w:line="400" w:lineRule="exact"/>
        <w:ind w:firstLine="420" w:firstLineChars="200"/>
        <w:rPr>
          <w:rFonts w:hint="eastAsia" w:ascii="宋体" w:hAnsi="宋体" w:eastAsia="宋体" w:cs="宋体"/>
          <w:color w:val="auto"/>
          <w:szCs w:val="21"/>
          <w:highlight w:val="none"/>
        </w:rPr>
      </w:pPr>
      <w:r>
        <w:rPr>
          <w:rFonts w:hint="eastAsia" w:ascii="宋体" w:hAnsi="宋体" w:eastAsia="宋体" w:cs="宋体"/>
          <w:i w:val="0"/>
          <w:iCs w:val="0"/>
          <w:color w:val="auto"/>
          <w:kern w:val="0"/>
          <w:sz w:val="21"/>
          <w:szCs w:val="21"/>
          <w:highlight w:val="none"/>
          <w:u w:val="none"/>
          <w:lang w:val="en-US" w:eastAsia="zh-CN" w:bidi="ar"/>
        </w:rPr>
        <w:t>JSZC标段</w:t>
      </w:r>
    </w:p>
    <w:tbl>
      <w:tblPr>
        <w:tblStyle w:val="45"/>
        <w:tblW w:w="9071"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544"/>
        <w:gridCol w:w="1402"/>
        <w:gridCol w:w="783"/>
        <w:gridCol w:w="1530"/>
        <w:gridCol w:w="4812"/>
      </w:tblGrid>
      <w:tr w14:paraId="1F82BB6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544" w:type="dxa"/>
            <w:tcBorders>
              <w:top w:val="single" w:color="auto" w:sz="4" w:space="0"/>
              <w:left w:val="single" w:color="auto" w:sz="4" w:space="0"/>
              <w:bottom w:val="single" w:color="auto" w:sz="4" w:space="0"/>
              <w:right w:val="single" w:color="auto" w:sz="4" w:space="0"/>
            </w:tcBorders>
            <w:noWrap w:val="0"/>
            <w:vAlign w:val="center"/>
          </w:tcPr>
          <w:p w14:paraId="00401101">
            <w:pPr>
              <w:snapToGrid w:val="0"/>
              <w:spacing w:line="40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序号</w:t>
            </w:r>
          </w:p>
        </w:tc>
        <w:tc>
          <w:tcPr>
            <w:tcW w:w="1402" w:type="dxa"/>
            <w:tcBorders>
              <w:top w:val="single" w:color="auto" w:sz="4" w:space="0"/>
              <w:left w:val="single" w:color="auto" w:sz="4" w:space="0"/>
              <w:bottom w:val="single" w:color="auto" w:sz="4" w:space="0"/>
              <w:right w:val="single" w:color="auto" w:sz="4" w:space="0"/>
            </w:tcBorders>
            <w:noWrap w:val="0"/>
            <w:vAlign w:val="center"/>
          </w:tcPr>
          <w:p w14:paraId="24E73B3E">
            <w:pPr>
              <w:snapToGrid w:val="0"/>
              <w:spacing w:line="40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标的名称</w:t>
            </w:r>
          </w:p>
        </w:tc>
        <w:tc>
          <w:tcPr>
            <w:tcW w:w="783" w:type="dxa"/>
            <w:tcBorders>
              <w:top w:val="single" w:color="auto" w:sz="4" w:space="0"/>
              <w:left w:val="single" w:color="auto" w:sz="4" w:space="0"/>
              <w:bottom w:val="single" w:color="auto" w:sz="4" w:space="0"/>
              <w:right w:val="single" w:color="auto" w:sz="4" w:space="0"/>
            </w:tcBorders>
            <w:noWrap w:val="0"/>
            <w:vAlign w:val="center"/>
          </w:tcPr>
          <w:p w14:paraId="48DA6CD7">
            <w:pPr>
              <w:snapToGrid w:val="0"/>
              <w:spacing w:line="40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数量及单位</w:t>
            </w:r>
          </w:p>
        </w:tc>
        <w:tc>
          <w:tcPr>
            <w:tcW w:w="1530" w:type="dxa"/>
            <w:tcBorders>
              <w:top w:val="single" w:color="auto" w:sz="4" w:space="0"/>
              <w:left w:val="single" w:color="auto" w:sz="4" w:space="0"/>
              <w:bottom w:val="single" w:color="auto" w:sz="4" w:space="0"/>
              <w:right w:val="single" w:color="auto" w:sz="4" w:space="0"/>
            </w:tcBorders>
            <w:noWrap w:val="0"/>
            <w:vAlign w:val="center"/>
          </w:tcPr>
          <w:p w14:paraId="4DF3B7AF">
            <w:pPr>
              <w:snapToGrid w:val="0"/>
              <w:spacing w:line="400" w:lineRule="exact"/>
              <w:jc w:val="center"/>
              <w:rPr>
                <w:rFonts w:hint="eastAsia" w:ascii="宋体" w:hAnsi="宋体" w:eastAsia="宋体" w:cs="宋体"/>
                <w:color w:val="auto"/>
                <w:spacing w:val="10"/>
                <w:sz w:val="21"/>
                <w:szCs w:val="21"/>
                <w:highlight w:val="none"/>
                <w:lang w:val="en-US" w:eastAsia="zh-CN"/>
              </w:rPr>
            </w:pPr>
            <w:r>
              <w:rPr>
                <w:rFonts w:hint="eastAsia" w:ascii="宋体" w:hAnsi="宋体" w:eastAsia="宋体" w:cs="宋体"/>
                <w:color w:val="auto"/>
                <w:spacing w:val="10"/>
                <w:sz w:val="21"/>
                <w:szCs w:val="21"/>
                <w:highlight w:val="none"/>
                <w:lang w:val="en-US" w:eastAsia="zh-CN"/>
              </w:rPr>
              <w:t>最高限价（元）</w:t>
            </w:r>
          </w:p>
        </w:tc>
        <w:tc>
          <w:tcPr>
            <w:tcW w:w="4812" w:type="dxa"/>
            <w:tcBorders>
              <w:top w:val="single" w:color="auto" w:sz="4" w:space="0"/>
              <w:left w:val="single" w:color="auto" w:sz="4" w:space="0"/>
              <w:bottom w:val="single" w:color="auto" w:sz="4" w:space="0"/>
              <w:right w:val="single" w:color="auto" w:sz="4" w:space="0"/>
            </w:tcBorders>
            <w:noWrap w:val="0"/>
            <w:vAlign w:val="center"/>
          </w:tcPr>
          <w:p w14:paraId="2D40891A">
            <w:pPr>
              <w:snapToGrid w:val="0"/>
              <w:spacing w:line="400" w:lineRule="exact"/>
              <w:jc w:val="center"/>
              <w:rPr>
                <w:rFonts w:hint="eastAsia" w:ascii="宋体" w:hAnsi="宋体" w:eastAsia="宋体" w:cs="宋体"/>
                <w:color w:val="auto"/>
                <w:szCs w:val="21"/>
                <w:highlight w:val="none"/>
              </w:rPr>
            </w:pPr>
            <w:r>
              <w:rPr>
                <w:rFonts w:hint="eastAsia" w:ascii="宋体" w:hAnsi="宋体" w:eastAsia="宋体" w:cs="宋体"/>
                <w:color w:val="auto"/>
                <w:spacing w:val="10"/>
                <w:sz w:val="21"/>
                <w:szCs w:val="21"/>
                <w:highlight w:val="none"/>
              </w:rPr>
              <w:t>简要规格描述或项目基本概况介绍、用途</w:t>
            </w:r>
          </w:p>
        </w:tc>
      </w:tr>
      <w:tr w14:paraId="5AB37A7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544" w:type="dxa"/>
            <w:tcBorders>
              <w:top w:val="single" w:color="auto" w:sz="4" w:space="0"/>
              <w:left w:val="single" w:color="auto" w:sz="4" w:space="0"/>
              <w:bottom w:val="single" w:color="auto" w:sz="4" w:space="0"/>
              <w:right w:val="single" w:color="auto" w:sz="4" w:space="0"/>
            </w:tcBorders>
            <w:noWrap w:val="0"/>
            <w:vAlign w:val="center"/>
          </w:tcPr>
          <w:p w14:paraId="4315D489">
            <w:pPr>
              <w:snapToGrid w:val="0"/>
              <w:spacing w:line="40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1</w:t>
            </w:r>
          </w:p>
        </w:tc>
        <w:tc>
          <w:tcPr>
            <w:tcW w:w="1402" w:type="dxa"/>
            <w:tcBorders>
              <w:top w:val="single" w:color="auto" w:sz="4" w:space="0"/>
              <w:left w:val="single" w:color="auto" w:sz="4" w:space="0"/>
              <w:bottom w:val="single" w:color="auto" w:sz="4" w:space="0"/>
              <w:right w:val="single" w:color="auto" w:sz="4" w:space="0"/>
            </w:tcBorders>
            <w:noWrap w:val="0"/>
            <w:vAlign w:val="center"/>
          </w:tcPr>
          <w:p w14:paraId="06155951">
            <w:pPr>
              <w:snapToGrid w:val="0"/>
              <w:spacing w:line="400" w:lineRule="exact"/>
              <w:jc w:val="center"/>
              <w:rPr>
                <w:rFonts w:hint="default" w:ascii="宋体" w:hAnsi="宋体" w:eastAsia="宋体" w:cs="宋体"/>
                <w:color w:val="auto"/>
                <w:szCs w:val="21"/>
                <w:highlight w:val="none"/>
                <w:lang w:val="en-US"/>
              </w:rPr>
            </w:pPr>
            <w:r>
              <w:rPr>
                <w:rFonts w:hint="eastAsia" w:ascii="宋体" w:hAnsi="宋体" w:eastAsia="宋体" w:cs="宋体"/>
                <w:i w:val="0"/>
                <w:iCs w:val="0"/>
                <w:color w:val="auto"/>
                <w:kern w:val="0"/>
                <w:sz w:val="21"/>
                <w:szCs w:val="21"/>
                <w:highlight w:val="none"/>
                <w:u w:val="none"/>
                <w:lang w:val="en-US" w:eastAsia="zh-CN" w:bidi="ar"/>
              </w:rPr>
              <w:t>JSZC</w:t>
            </w:r>
            <w:r>
              <w:rPr>
                <w:rFonts w:hint="eastAsia" w:ascii="宋体" w:hAnsi="宋体" w:eastAsia="宋体" w:cs="宋体"/>
                <w:color w:val="auto"/>
                <w:kern w:val="0"/>
                <w:szCs w:val="21"/>
                <w:highlight w:val="none"/>
                <w:lang w:val="en-US" w:eastAsia="zh-CN"/>
              </w:rPr>
              <w:t>：</w:t>
            </w:r>
            <w:r>
              <w:rPr>
                <w:rFonts w:hint="eastAsia" w:ascii="宋体" w:hAnsi="宋体" w:eastAsia="宋体" w:cs="宋体"/>
                <w:i w:val="0"/>
                <w:iCs w:val="0"/>
                <w:color w:val="auto"/>
                <w:kern w:val="0"/>
                <w:sz w:val="21"/>
                <w:szCs w:val="21"/>
                <w:highlight w:val="none"/>
                <w:u w:val="none"/>
                <w:lang w:val="en-US" w:eastAsia="zh-CN" w:bidi="ar"/>
              </w:rPr>
              <w:t>技术支持</w:t>
            </w:r>
          </w:p>
        </w:tc>
        <w:tc>
          <w:tcPr>
            <w:tcW w:w="783" w:type="dxa"/>
            <w:tcBorders>
              <w:top w:val="single" w:color="auto" w:sz="4" w:space="0"/>
              <w:left w:val="single" w:color="auto" w:sz="4" w:space="0"/>
              <w:bottom w:val="single" w:color="auto" w:sz="4" w:space="0"/>
              <w:right w:val="single" w:color="auto" w:sz="4" w:space="0"/>
            </w:tcBorders>
            <w:noWrap w:val="0"/>
            <w:vAlign w:val="center"/>
          </w:tcPr>
          <w:p w14:paraId="7EF7FF1B">
            <w:pPr>
              <w:snapToGrid w:val="0"/>
              <w:spacing w:line="40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1项</w:t>
            </w:r>
          </w:p>
        </w:tc>
        <w:tc>
          <w:tcPr>
            <w:tcW w:w="1530" w:type="dxa"/>
            <w:tcBorders>
              <w:top w:val="single" w:color="auto" w:sz="4" w:space="0"/>
              <w:left w:val="single" w:color="auto" w:sz="4" w:space="0"/>
              <w:bottom w:val="single" w:color="auto" w:sz="4" w:space="0"/>
              <w:right w:val="single" w:color="auto" w:sz="4" w:space="0"/>
            </w:tcBorders>
            <w:noWrap w:val="0"/>
            <w:vAlign w:val="center"/>
          </w:tcPr>
          <w:p w14:paraId="4A007170">
            <w:pPr>
              <w:spacing w:before="107" w:line="327" w:lineRule="auto"/>
              <w:jc w:val="both"/>
              <w:rPr>
                <w:rFonts w:hint="eastAsia" w:ascii="宋体" w:hAnsi="宋体" w:eastAsia="宋体" w:cs="宋体"/>
                <w:color w:val="auto"/>
                <w:spacing w:val="10"/>
                <w:sz w:val="21"/>
                <w:szCs w:val="21"/>
                <w:highlight w:val="none"/>
                <w:lang w:val="en-US" w:eastAsia="zh-CN"/>
              </w:rPr>
            </w:pPr>
            <w:r>
              <w:rPr>
                <w:rFonts w:hint="eastAsia" w:ascii="宋体" w:hAnsi="宋体" w:eastAsia="宋体" w:cs="宋体"/>
                <w:color w:val="auto"/>
                <w:spacing w:val="10"/>
                <w:sz w:val="21"/>
                <w:szCs w:val="21"/>
                <w:highlight w:val="none"/>
                <w:lang w:val="en-US" w:eastAsia="zh-CN"/>
              </w:rPr>
              <w:t>600000.00</w:t>
            </w:r>
          </w:p>
        </w:tc>
        <w:tc>
          <w:tcPr>
            <w:tcW w:w="4812" w:type="dxa"/>
            <w:tcBorders>
              <w:top w:val="single" w:color="auto" w:sz="4" w:space="0"/>
              <w:left w:val="single" w:color="auto" w:sz="4" w:space="0"/>
              <w:bottom w:val="single" w:color="auto" w:sz="4" w:space="0"/>
              <w:right w:val="single" w:color="auto" w:sz="4" w:space="0"/>
            </w:tcBorders>
            <w:noWrap w:val="0"/>
            <w:vAlign w:val="center"/>
          </w:tcPr>
          <w:p w14:paraId="303603F5">
            <w:pPr>
              <w:spacing w:before="107" w:line="327" w:lineRule="auto"/>
              <w:jc w:val="both"/>
              <w:rPr>
                <w:rFonts w:hint="eastAsia" w:ascii="宋体" w:hAnsi="宋体" w:eastAsia="宋体" w:cs="宋体"/>
                <w:color w:val="auto"/>
                <w:spacing w:val="8"/>
                <w:sz w:val="21"/>
                <w:szCs w:val="21"/>
                <w:highlight w:val="none"/>
              </w:rPr>
            </w:pPr>
            <w:r>
              <w:rPr>
                <w:rFonts w:hint="eastAsia" w:ascii="宋体" w:hAnsi="宋体" w:eastAsia="宋体" w:cs="宋体"/>
                <w:color w:val="auto"/>
                <w:spacing w:val="8"/>
                <w:sz w:val="21"/>
                <w:szCs w:val="21"/>
                <w:highlight w:val="none"/>
              </w:rPr>
              <w:t>根据采购人需求委托第三方技术支持单位为全区</w:t>
            </w:r>
            <w:r>
              <w:rPr>
                <w:rFonts w:hint="eastAsia" w:ascii="宋体" w:hAnsi="宋体" w:eastAsia="宋体" w:cs="宋体"/>
                <w:color w:val="auto"/>
                <w:spacing w:val="8"/>
                <w:sz w:val="21"/>
                <w:szCs w:val="21"/>
                <w:highlight w:val="none"/>
                <w:lang w:eastAsia="zh-CN"/>
              </w:rPr>
              <w:t>交通</w:t>
            </w:r>
            <w:r>
              <w:rPr>
                <w:rFonts w:hint="eastAsia" w:ascii="宋体" w:hAnsi="宋体" w:eastAsia="宋体" w:cs="宋体"/>
                <w:color w:val="auto"/>
                <w:spacing w:val="8"/>
                <w:sz w:val="21"/>
                <w:szCs w:val="21"/>
                <w:highlight w:val="none"/>
              </w:rPr>
              <w:t>工程建设领域质量监督、安全生产监督管理工作提供配套专家技术支持与技术咨询服务。组织行业资深专家（专家数量为：300人</w:t>
            </w:r>
            <w:r>
              <w:rPr>
                <w:rFonts w:hint="eastAsia" w:ascii="宋体" w:hAnsi="宋体" w:cs="宋体"/>
                <w:color w:val="auto"/>
                <w:spacing w:val="8"/>
                <w:sz w:val="21"/>
                <w:szCs w:val="21"/>
                <w:highlight w:val="none"/>
                <w:lang w:val="en-US" w:eastAsia="zh-CN"/>
              </w:rPr>
              <w:t>·</w:t>
            </w:r>
            <w:r>
              <w:rPr>
                <w:rFonts w:hint="eastAsia" w:ascii="宋体" w:hAnsi="宋体" w:eastAsia="宋体" w:cs="宋体"/>
                <w:color w:val="auto"/>
                <w:spacing w:val="8"/>
                <w:sz w:val="21"/>
                <w:szCs w:val="21"/>
                <w:highlight w:val="none"/>
                <w:lang w:eastAsia="zh-CN"/>
              </w:rPr>
              <w:t>日</w:t>
            </w:r>
            <w:r>
              <w:rPr>
                <w:rFonts w:hint="eastAsia" w:ascii="宋体" w:hAnsi="宋体" w:eastAsia="宋体" w:cs="宋体"/>
                <w:color w:val="auto"/>
                <w:spacing w:val="8"/>
                <w:sz w:val="21"/>
                <w:szCs w:val="21"/>
                <w:highlight w:val="none"/>
              </w:rPr>
              <w:t>），配合采购人开展全区</w:t>
            </w:r>
            <w:r>
              <w:rPr>
                <w:rFonts w:hint="eastAsia" w:ascii="宋体" w:hAnsi="宋体" w:eastAsia="宋体" w:cs="宋体"/>
                <w:color w:val="auto"/>
                <w:spacing w:val="8"/>
                <w:sz w:val="21"/>
                <w:szCs w:val="21"/>
                <w:highlight w:val="none"/>
                <w:lang w:eastAsia="zh-CN"/>
              </w:rPr>
              <w:t>交通</w:t>
            </w:r>
            <w:r>
              <w:rPr>
                <w:rFonts w:hint="eastAsia" w:ascii="宋体" w:hAnsi="宋体" w:eastAsia="宋体" w:cs="宋体"/>
                <w:color w:val="auto"/>
                <w:spacing w:val="8"/>
                <w:sz w:val="21"/>
                <w:szCs w:val="21"/>
                <w:highlight w:val="none"/>
              </w:rPr>
              <w:t>工程质量、安全生产常态化监督检查及专项督查工作，承担专家劳务、交通食宿、税费等全部配套费用；结合全年监督检查工作开展情况、行业质量安全现状，统计分析各类监管数据、共性问题，编制</w:t>
            </w:r>
            <w:r>
              <w:rPr>
                <w:rFonts w:hint="eastAsia" w:ascii="宋体" w:hAnsi="宋体" w:cs="宋体"/>
                <w:color w:val="auto"/>
                <w:spacing w:val="8"/>
                <w:sz w:val="21"/>
                <w:szCs w:val="21"/>
                <w:highlight w:val="none"/>
                <w:lang w:eastAsia="zh-CN"/>
              </w:rPr>
              <w:t>《2026年广西交通工程建设领域行业监督检查服务工作总结报告》《2026年交通工程质量监督情况分析与完善建议研究报告》</w:t>
            </w:r>
            <w:r>
              <w:rPr>
                <w:rFonts w:hint="eastAsia" w:ascii="宋体" w:hAnsi="宋体" w:eastAsia="宋体" w:cs="宋体"/>
                <w:color w:val="auto"/>
                <w:spacing w:val="8"/>
                <w:sz w:val="21"/>
                <w:szCs w:val="21"/>
                <w:highlight w:val="none"/>
              </w:rPr>
              <w:t>，剖析行业监管现存问题，并结合行业新形势提出科学化、优化对策。</w:t>
            </w:r>
          </w:p>
          <w:p w14:paraId="6B8AA2EC">
            <w:pPr>
              <w:spacing w:before="107" w:line="327" w:lineRule="auto"/>
              <w:jc w:val="both"/>
              <w:rPr>
                <w:rFonts w:hint="eastAsia" w:ascii="宋体" w:hAnsi="宋体" w:eastAsia="宋体" w:cs="宋体"/>
                <w:color w:val="auto"/>
                <w:szCs w:val="21"/>
                <w:highlight w:val="none"/>
              </w:rPr>
            </w:pPr>
            <w:r>
              <w:rPr>
                <w:rFonts w:hint="eastAsia" w:ascii="宋体" w:hAnsi="宋体" w:eastAsia="宋体" w:cs="宋体"/>
                <w:color w:val="auto"/>
                <w:spacing w:val="8"/>
                <w:sz w:val="21"/>
                <w:szCs w:val="21"/>
                <w:highlight w:val="none"/>
                <w:lang w:val="en-US" w:eastAsia="zh-CN"/>
              </w:rPr>
              <w:t>如需进一步了解详细内容，详见招标文件。</w:t>
            </w:r>
          </w:p>
        </w:tc>
      </w:tr>
    </w:tbl>
    <w:p w14:paraId="5EA0235E">
      <w:pPr>
        <w:spacing w:line="400" w:lineRule="exact"/>
        <w:ind w:firstLine="420" w:firstLineChars="200"/>
        <w:rPr>
          <w:rFonts w:hint="eastAsia" w:ascii="宋体" w:hAnsi="宋体" w:eastAsia="宋体" w:cs="宋体"/>
          <w:bCs/>
          <w:color w:val="auto"/>
          <w:szCs w:val="21"/>
          <w:highlight w:val="none"/>
          <w:lang w:val="en-US" w:eastAsia="zh-CN"/>
        </w:rPr>
      </w:pPr>
    </w:p>
    <w:p w14:paraId="0A7A4AAA">
      <w:pPr>
        <w:spacing w:line="400" w:lineRule="exact"/>
        <w:ind w:firstLine="420" w:firstLineChars="200"/>
        <w:rPr>
          <w:rFonts w:hint="eastAsia" w:ascii="宋体" w:hAnsi="宋体" w:eastAsia="宋体" w:cs="宋体"/>
          <w:bCs/>
          <w:color w:val="auto"/>
          <w:szCs w:val="21"/>
          <w:highlight w:val="none"/>
          <w:lang w:val="en-US" w:eastAsia="zh-CN"/>
        </w:rPr>
      </w:pPr>
      <w:r>
        <w:rPr>
          <w:rFonts w:hint="eastAsia" w:ascii="宋体" w:hAnsi="宋体" w:eastAsia="宋体" w:cs="宋体"/>
          <w:bCs/>
          <w:color w:val="auto"/>
          <w:szCs w:val="21"/>
          <w:highlight w:val="none"/>
          <w:lang w:val="en-US" w:eastAsia="zh-CN"/>
        </w:rPr>
        <w:t>合同履行期限：</w:t>
      </w:r>
    </w:p>
    <w:p w14:paraId="442737A2">
      <w:pPr>
        <w:spacing w:line="400" w:lineRule="exact"/>
        <w:ind w:firstLine="420" w:firstLineChars="200"/>
        <w:rPr>
          <w:rFonts w:hint="eastAsia" w:ascii="宋体" w:hAnsi="宋体" w:eastAsia="宋体" w:cs="宋体"/>
          <w:bCs/>
          <w:color w:val="auto"/>
          <w:szCs w:val="21"/>
          <w:highlight w:val="none"/>
          <w:lang w:val="en-US" w:eastAsia="zh-CN"/>
        </w:rPr>
      </w:pPr>
      <w:r>
        <w:rPr>
          <w:rFonts w:hint="eastAsia" w:ascii="宋体" w:hAnsi="宋体" w:eastAsia="宋体" w:cs="宋体"/>
          <w:bCs/>
          <w:color w:val="auto"/>
          <w:szCs w:val="21"/>
          <w:highlight w:val="none"/>
          <w:lang w:val="en-US" w:eastAsia="zh-CN"/>
        </w:rPr>
        <w:t>（1）GLTLJD1 标段/GLTLJD2 标段/GLTLJD3 标段/GLTLJD4 标段/SYJD1 标段/SYJD2 标段合同履行期限：</w:t>
      </w:r>
    </w:p>
    <w:p w14:paraId="28BDAA77">
      <w:pPr>
        <w:spacing w:line="400" w:lineRule="exact"/>
        <w:ind w:firstLine="420" w:firstLineChars="200"/>
        <w:rPr>
          <w:rFonts w:hint="eastAsia" w:ascii="宋体" w:hAnsi="宋体" w:eastAsia="宋体" w:cs="宋体"/>
          <w:bCs/>
          <w:color w:val="auto"/>
          <w:szCs w:val="21"/>
          <w:highlight w:val="none"/>
          <w:lang w:val="en-US" w:eastAsia="zh-CN"/>
        </w:rPr>
      </w:pPr>
      <w:r>
        <w:rPr>
          <w:rFonts w:hint="eastAsia" w:ascii="宋体" w:hAnsi="宋体" w:eastAsia="宋体" w:cs="宋体"/>
          <w:bCs/>
          <w:color w:val="auto"/>
          <w:szCs w:val="21"/>
          <w:highlight w:val="none"/>
          <w:lang w:val="en-US" w:eastAsia="zh-CN"/>
        </w:rPr>
        <w:t>服务期为合同签订日后12个月以内，中标人按照采购人的检测计划开展检测工作，现场检测结束后7日内向采购人提交具体检测报告（具有龄期要求的特殊试验除外），并于每月25日向采购人提交上月20日至当月20日期间的检测数据及检测工作实施情况。合同要求的检测工作全部完成后，中标人须在现场检测结束后10日内（根据采购人要求的格式和内容）提交总体检测分析报告。</w:t>
      </w:r>
    </w:p>
    <w:p w14:paraId="16561FC8">
      <w:pPr>
        <w:spacing w:line="400" w:lineRule="exact"/>
        <w:ind w:firstLine="420" w:firstLineChars="200"/>
        <w:rPr>
          <w:rFonts w:hint="default" w:ascii="宋体" w:hAnsi="宋体" w:eastAsia="宋体" w:cs="宋体"/>
          <w:bCs/>
          <w:color w:val="auto"/>
          <w:szCs w:val="21"/>
          <w:highlight w:val="none"/>
          <w:lang w:val="en-US" w:eastAsia="zh-CN"/>
        </w:rPr>
      </w:pPr>
      <w:r>
        <w:rPr>
          <w:rFonts w:hint="eastAsia" w:ascii="宋体" w:hAnsi="宋体" w:eastAsia="宋体" w:cs="宋体"/>
          <w:bCs/>
          <w:color w:val="auto"/>
          <w:szCs w:val="21"/>
          <w:highlight w:val="none"/>
          <w:lang w:val="en-US" w:eastAsia="zh-CN"/>
        </w:rPr>
        <w:t>（2）</w:t>
      </w:r>
      <w:r>
        <w:rPr>
          <w:rFonts w:hint="eastAsia" w:ascii="宋体" w:hAnsi="宋体" w:eastAsia="宋体" w:cs="宋体"/>
          <w:i w:val="0"/>
          <w:iCs w:val="0"/>
          <w:color w:val="auto"/>
          <w:kern w:val="0"/>
          <w:sz w:val="21"/>
          <w:szCs w:val="21"/>
          <w:highlight w:val="none"/>
          <w:u w:val="none"/>
          <w:lang w:val="en-US" w:eastAsia="zh-CN" w:bidi="ar"/>
        </w:rPr>
        <w:t>JSZC标段</w:t>
      </w:r>
      <w:r>
        <w:rPr>
          <w:rFonts w:hint="eastAsia" w:ascii="宋体" w:hAnsi="宋体" w:eastAsia="宋体" w:cs="宋体"/>
          <w:bCs/>
          <w:color w:val="auto"/>
          <w:szCs w:val="21"/>
          <w:highlight w:val="none"/>
          <w:lang w:val="en-US" w:eastAsia="zh-CN"/>
        </w:rPr>
        <w:t>合同履行期限：服务期为合同签订日后12个月以内，技术支持中标人需在采购人提出需求后3日内安排相应专家提供技术支持服务。</w:t>
      </w:r>
    </w:p>
    <w:p w14:paraId="6A0F3ECB">
      <w:pPr>
        <w:spacing w:line="400" w:lineRule="exact"/>
        <w:ind w:firstLine="422" w:firstLineChars="200"/>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本项目（否）接受联合体投标。</w:t>
      </w:r>
    </w:p>
    <w:p w14:paraId="38B41072">
      <w:pPr>
        <w:spacing w:line="400" w:lineRule="exact"/>
        <w:rPr>
          <w:rFonts w:hint="eastAsia" w:ascii="宋体" w:hAnsi="宋体" w:eastAsia="宋体" w:cs="宋体"/>
          <w:b/>
          <w:bCs/>
          <w:color w:val="auto"/>
          <w:sz w:val="24"/>
          <w:highlight w:val="none"/>
          <w:lang w:eastAsia="zh-CN"/>
        </w:rPr>
      </w:pPr>
      <w:bookmarkStart w:id="15" w:name="_Toc28359080"/>
      <w:bookmarkStart w:id="16" w:name="_Toc28359003"/>
      <w:bookmarkStart w:id="17" w:name="_Toc35393622"/>
      <w:bookmarkStart w:id="18" w:name="_Toc35393791"/>
      <w:r>
        <w:rPr>
          <w:rFonts w:hint="eastAsia" w:ascii="宋体" w:hAnsi="宋体" w:eastAsia="宋体" w:cs="宋体"/>
          <w:b/>
          <w:bCs/>
          <w:color w:val="auto"/>
          <w:sz w:val="24"/>
          <w:highlight w:val="none"/>
        </w:rPr>
        <w:t>二、申请人的资格要求</w:t>
      </w:r>
      <w:bookmarkEnd w:id="15"/>
      <w:bookmarkEnd w:id="16"/>
      <w:bookmarkEnd w:id="17"/>
      <w:bookmarkEnd w:id="18"/>
      <w:r>
        <w:rPr>
          <w:rFonts w:hint="eastAsia" w:ascii="宋体" w:hAnsi="宋体" w:eastAsia="宋体" w:cs="宋体"/>
          <w:b/>
          <w:bCs/>
          <w:color w:val="auto"/>
          <w:sz w:val="24"/>
          <w:highlight w:val="none"/>
          <w:lang w:eastAsia="zh-CN"/>
        </w:rPr>
        <w:t>：</w:t>
      </w:r>
    </w:p>
    <w:p w14:paraId="192FAB29">
      <w:pPr>
        <w:spacing w:line="400" w:lineRule="exact"/>
        <w:ind w:firstLine="420" w:firstLineChars="200"/>
        <w:rPr>
          <w:rFonts w:hint="eastAsia" w:ascii="宋体" w:hAnsi="宋体" w:eastAsia="宋体" w:cs="宋体"/>
          <w:color w:val="auto"/>
          <w:szCs w:val="21"/>
          <w:highlight w:val="none"/>
        </w:rPr>
      </w:pPr>
      <w:bookmarkStart w:id="19" w:name="_Hlk51746371"/>
      <w:r>
        <w:rPr>
          <w:rFonts w:hint="eastAsia" w:ascii="宋体" w:hAnsi="宋体" w:eastAsia="宋体" w:cs="宋体"/>
          <w:color w:val="auto"/>
          <w:szCs w:val="21"/>
          <w:highlight w:val="none"/>
        </w:rPr>
        <w:t>1、满足《中华人民共和国政府采购法》第二十二条规定；</w:t>
      </w:r>
    </w:p>
    <w:p w14:paraId="36B45E24">
      <w:pPr>
        <w:spacing w:line="400" w:lineRule="exact"/>
        <w:ind w:firstLine="420" w:firstLineChars="200"/>
        <w:rPr>
          <w:rFonts w:hint="eastAsia" w:ascii="宋体" w:hAnsi="宋体" w:eastAsia="宋体" w:cs="宋体"/>
          <w:color w:val="auto"/>
          <w:szCs w:val="21"/>
          <w:highlight w:val="none"/>
        </w:rPr>
      </w:pPr>
      <w:bookmarkStart w:id="20" w:name="_Toc28359004"/>
      <w:bookmarkStart w:id="21" w:name="_Toc28359081"/>
      <w:r>
        <w:rPr>
          <w:rFonts w:hint="eastAsia" w:ascii="宋体" w:hAnsi="宋体" w:eastAsia="宋体" w:cs="宋体"/>
          <w:color w:val="auto"/>
          <w:szCs w:val="21"/>
          <w:highlight w:val="none"/>
        </w:rPr>
        <w:t>2、落实政府采购政策需满足的资格要求</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rPr>
        <w:t>无；</w:t>
      </w:r>
    </w:p>
    <w:p w14:paraId="688BDA8F">
      <w:pPr>
        <w:spacing w:line="400" w:lineRule="exact"/>
        <w:ind w:firstLine="420" w:firstLineChars="200"/>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rPr>
        <w:t>3、本项目的特定资格要求</w:t>
      </w:r>
      <w:r>
        <w:rPr>
          <w:rFonts w:hint="eastAsia" w:ascii="宋体" w:hAnsi="宋体" w:eastAsia="宋体" w:cs="宋体"/>
          <w:color w:val="auto"/>
          <w:szCs w:val="21"/>
          <w:highlight w:val="none"/>
          <w:lang w:eastAsia="zh-CN"/>
        </w:rPr>
        <w:t>：</w:t>
      </w:r>
    </w:p>
    <w:p w14:paraId="083EA449">
      <w:pPr>
        <w:spacing w:line="400" w:lineRule="exact"/>
        <w:ind w:firstLine="420" w:firstLineChars="200"/>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rPr>
        <w:t>（1）资质要求</w:t>
      </w:r>
      <w:r>
        <w:rPr>
          <w:rFonts w:hint="eastAsia" w:ascii="宋体" w:hAnsi="宋体" w:eastAsia="宋体" w:cs="宋体"/>
          <w:color w:val="auto"/>
          <w:szCs w:val="21"/>
          <w:highlight w:val="none"/>
          <w:lang w:eastAsia="zh-CN"/>
        </w:rPr>
        <w:t>：</w:t>
      </w:r>
    </w:p>
    <w:p w14:paraId="1E9187EC">
      <w:pPr>
        <w:spacing w:line="400" w:lineRule="exact"/>
        <w:ind w:firstLine="422" w:firstLineChars="200"/>
        <w:rPr>
          <w:rFonts w:hint="eastAsia" w:ascii="宋体" w:hAnsi="宋体" w:eastAsia="宋体" w:cs="宋体"/>
          <w:b/>
          <w:bCs/>
          <w:color w:val="auto"/>
          <w:szCs w:val="21"/>
          <w:highlight w:val="none"/>
          <w:lang w:eastAsia="zh-CN"/>
        </w:rPr>
      </w:pPr>
      <w:r>
        <w:rPr>
          <w:rFonts w:hint="eastAsia" w:ascii="宋体" w:hAnsi="宋体" w:eastAsia="宋体" w:cs="宋体"/>
          <w:b/>
          <w:bCs/>
          <w:color w:val="auto"/>
          <w:szCs w:val="21"/>
          <w:highlight w:val="none"/>
          <w:lang w:eastAsia="zh-CN"/>
        </w:rPr>
        <w:t>①</w:t>
      </w:r>
      <w:r>
        <w:rPr>
          <w:rFonts w:hint="eastAsia" w:ascii="宋体" w:hAnsi="宋体" w:eastAsia="宋体" w:cs="宋体"/>
          <w:b/>
          <w:bCs/>
          <w:color w:val="auto"/>
          <w:szCs w:val="21"/>
          <w:highlight w:val="none"/>
        </w:rPr>
        <w:t>GLTLJD1标段、GLTLJD2标段、GLTLJD3、GLTLJD4标段的资质要求</w:t>
      </w:r>
      <w:r>
        <w:rPr>
          <w:rFonts w:hint="eastAsia" w:ascii="宋体" w:hAnsi="宋体" w:eastAsia="宋体" w:cs="宋体"/>
          <w:b/>
          <w:bCs/>
          <w:color w:val="auto"/>
          <w:szCs w:val="21"/>
          <w:highlight w:val="none"/>
          <w:lang w:eastAsia="zh-CN"/>
        </w:rPr>
        <w:t>：</w:t>
      </w:r>
    </w:p>
    <w:p w14:paraId="29D25F23">
      <w:pPr>
        <w:spacing w:line="400" w:lineRule="exact"/>
        <w:ind w:firstLine="420" w:firstLineChars="200"/>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lang w:eastAsia="zh-CN"/>
        </w:rPr>
        <w:t>（一）符合以下任一种资质条件：</w:t>
      </w:r>
    </w:p>
    <w:p w14:paraId="5D3981BD">
      <w:pPr>
        <w:spacing w:line="400" w:lineRule="exact"/>
        <w:ind w:firstLine="420" w:firstLineChars="200"/>
        <w:rPr>
          <w:rFonts w:hint="eastAsia" w:ascii="宋体" w:hAnsi="宋体" w:eastAsia="宋体" w:cs="宋体"/>
          <w:color w:val="auto"/>
          <w:szCs w:val="21"/>
          <w:highlight w:val="none"/>
          <w:lang w:eastAsia="zh-CN"/>
        </w:rPr>
      </w:pPr>
      <w:r>
        <w:rPr>
          <w:rFonts w:hint="eastAsia" w:ascii="宋体" w:hAnsi="宋体" w:cs="宋体"/>
          <w:color w:val="auto"/>
          <w:szCs w:val="21"/>
          <w:highlight w:val="none"/>
          <w:lang w:val="en-US" w:eastAsia="zh-CN"/>
        </w:rPr>
        <w:t>1.</w:t>
      </w:r>
      <w:r>
        <w:rPr>
          <w:rFonts w:hint="eastAsia" w:ascii="宋体" w:hAnsi="宋体" w:eastAsia="宋体" w:cs="宋体"/>
          <w:color w:val="auto"/>
          <w:szCs w:val="21"/>
          <w:highlight w:val="none"/>
          <w:lang w:eastAsia="zh-CN"/>
        </w:rPr>
        <w:t>具备有效的公路水运工程质量检测机构资质证书（公路工程甲级），或公路水运工程试验检测机构等级证书（公路工程综合甲级）；</w:t>
      </w:r>
    </w:p>
    <w:p w14:paraId="0B43F7D1">
      <w:pPr>
        <w:spacing w:line="400" w:lineRule="exact"/>
        <w:ind w:firstLine="420" w:firstLineChars="200"/>
        <w:rPr>
          <w:rFonts w:hint="eastAsia" w:ascii="宋体" w:hAnsi="宋体" w:eastAsia="宋体" w:cs="宋体"/>
          <w:color w:val="auto"/>
          <w:szCs w:val="21"/>
          <w:highlight w:val="none"/>
          <w:lang w:eastAsia="zh-CN"/>
        </w:rPr>
      </w:pPr>
      <w:r>
        <w:rPr>
          <w:rFonts w:hint="eastAsia" w:ascii="宋体" w:hAnsi="宋体" w:cs="宋体"/>
          <w:color w:val="auto"/>
          <w:szCs w:val="21"/>
          <w:highlight w:val="none"/>
          <w:lang w:val="en-US" w:eastAsia="zh-CN"/>
        </w:rPr>
        <w:t>2.</w:t>
      </w:r>
      <w:r>
        <w:rPr>
          <w:rFonts w:hint="eastAsia" w:ascii="宋体" w:hAnsi="宋体" w:eastAsia="宋体" w:cs="宋体"/>
          <w:color w:val="auto"/>
          <w:szCs w:val="21"/>
          <w:highlight w:val="none"/>
          <w:lang w:eastAsia="zh-CN"/>
        </w:rPr>
        <w:t>同时具备有效的公路水运工程质量检测机构资质证书（公路工程乙级</w:t>
      </w:r>
      <w:r>
        <w:rPr>
          <w:rFonts w:hint="eastAsia" w:ascii="宋体" w:hAnsi="宋体" w:cs="宋体"/>
          <w:color w:val="auto"/>
          <w:szCs w:val="21"/>
          <w:highlight w:val="none"/>
          <w:lang w:val="en-US" w:eastAsia="zh-CN"/>
        </w:rPr>
        <w:t>及</w:t>
      </w:r>
      <w:r>
        <w:rPr>
          <w:rFonts w:hint="eastAsia" w:ascii="宋体" w:hAnsi="宋体" w:eastAsia="宋体" w:cs="宋体"/>
          <w:color w:val="auto"/>
          <w:szCs w:val="21"/>
          <w:highlight w:val="none"/>
          <w:lang w:eastAsia="zh-CN"/>
        </w:rPr>
        <w:t>桥梁隧道工程专项），或同时具备有效的公路水运工程试验检测机构等级证书（公路工程综合乙级</w:t>
      </w:r>
      <w:r>
        <w:rPr>
          <w:rFonts w:hint="eastAsia" w:ascii="宋体" w:hAnsi="宋体" w:cs="宋体"/>
          <w:color w:val="auto"/>
          <w:szCs w:val="21"/>
          <w:highlight w:val="none"/>
          <w:lang w:val="en-US" w:eastAsia="zh-CN"/>
        </w:rPr>
        <w:t>及</w:t>
      </w:r>
      <w:r>
        <w:rPr>
          <w:rFonts w:hint="eastAsia" w:ascii="宋体" w:hAnsi="宋体" w:eastAsia="宋体" w:cs="宋体"/>
          <w:color w:val="auto"/>
          <w:szCs w:val="21"/>
          <w:highlight w:val="none"/>
          <w:lang w:eastAsia="zh-CN"/>
        </w:rPr>
        <w:t>桥梁隧道工程专项）；</w:t>
      </w:r>
    </w:p>
    <w:p w14:paraId="22436F3D">
      <w:pPr>
        <w:spacing w:line="400" w:lineRule="exact"/>
        <w:ind w:firstLine="420" w:firstLineChars="200"/>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lang w:eastAsia="zh-CN"/>
        </w:rPr>
        <w:t>（二）具备行政主管部门核发的有效《检验检测机构资质认定证书》（简称 CMA 证书）。</w:t>
      </w:r>
    </w:p>
    <w:p w14:paraId="46FA2C9B">
      <w:pPr>
        <w:spacing w:line="400" w:lineRule="exact"/>
        <w:ind w:firstLine="422" w:firstLineChars="200"/>
        <w:rPr>
          <w:rFonts w:hint="eastAsia" w:ascii="宋体" w:hAnsi="宋体" w:eastAsia="宋体" w:cs="宋体"/>
          <w:b/>
          <w:bCs/>
          <w:color w:val="auto"/>
          <w:szCs w:val="21"/>
          <w:highlight w:val="none"/>
          <w:lang w:eastAsia="zh-CN"/>
        </w:rPr>
      </w:pPr>
      <w:r>
        <w:rPr>
          <w:rFonts w:hint="eastAsia" w:ascii="宋体" w:hAnsi="宋体" w:eastAsia="宋体" w:cs="宋体"/>
          <w:b/>
          <w:bCs/>
          <w:color w:val="auto"/>
          <w:szCs w:val="21"/>
          <w:highlight w:val="none"/>
          <w:lang w:eastAsia="zh-CN"/>
        </w:rPr>
        <w:t>②</w:t>
      </w:r>
      <w:r>
        <w:rPr>
          <w:rFonts w:hint="eastAsia" w:ascii="宋体" w:hAnsi="宋体" w:eastAsia="宋体" w:cs="宋体"/>
          <w:b/>
          <w:bCs/>
          <w:color w:val="auto"/>
          <w:szCs w:val="21"/>
          <w:highlight w:val="none"/>
        </w:rPr>
        <w:t>SYJD1标段/SYJD2标段的资质要求</w:t>
      </w:r>
      <w:r>
        <w:rPr>
          <w:rFonts w:hint="eastAsia" w:ascii="宋体" w:hAnsi="宋体" w:eastAsia="宋体" w:cs="宋体"/>
          <w:b/>
          <w:bCs/>
          <w:color w:val="auto"/>
          <w:szCs w:val="21"/>
          <w:highlight w:val="none"/>
          <w:lang w:eastAsia="zh-CN"/>
        </w:rPr>
        <w:t>：</w:t>
      </w:r>
    </w:p>
    <w:p w14:paraId="2C6E0902">
      <w:pPr>
        <w:spacing w:line="400" w:lineRule="exact"/>
        <w:ind w:firstLine="420" w:firstLineChars="200"/>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lang w:eastAsia="zh-CN"/>
        </w:rPr>
        <w:t>（一）</w:t>
      </w:r>
      <w:r>
        <w:rPr>
          <w:rFonts w:hint="eastAsia" w:ascii="宋体" w:hAnsi="宋体" w:cs="宋体"/>
          <w:color w:val="auto"/>
          <w:szCs w:val="21"/>
          <w:highlight w:val="none"/>
          <w:lang w:val="en-US" w:eastAsia="zh-CN"/>
        </w:rPr>
        <w:t>同时具备有效的公路水运工程试验检测机构等级证书（水运工程材料乙级及以上、水运工程结构乙级及以上），或公路水运工程质量检测机构资质证书（水运工程材料类乙级及以上、水运工程结构类乙级及以上）</w:t>
      </w:r>
    </w:p>
    <w:p w14:paraId="1C1BFAD0">
      <w:pPr>
        <w:spacing w:line="400" w:lineRule="exact"/>
        <w:ind w:firstLine="420" w:firstLineChars="200"/>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lang w:eastAsia="zh-CN"/>
        </w:rPr>
        <w:t>（二）具备行政主管部门核发的有效《检验检测机构资质认定证书》（简称 CMA 证书）。</w:t>
      </w:r>
    </w:p>
    <w:p w14:paraId="74979ECB">
      <w:pPr>
        <w:spacing w:line="400" w:lineRule="exact"/>
        <w:ind w:firstLine="422" w:firstLineChars="200"/>
        <w:rPr>
          <w:rFonts w:hint="eastAsia" w:ascii="宋体" w:hAnsi="宋体" w:eastAsia="宋体" w:cs="宋体"/>
          <w:b/>
          <w:bCs/>
          <w:color w:val="auto"/>
          <w:szCs w:val="21"/>
          <w:highlight w:val="none"/>
        </w:rPr>
      </w:pPr>
      <w:r>
        <w:rPr>
          <w:rFonts w:hint="eastAsia" w:ascii="宋体" w:hAnsi="宋体" w:eastAsia="宋体" w:cs="宋体"/>
          <w:b/>
          <w:bCs/>
          <w:i w:val="0"/>
          <w:iCs w:val="0"/>
          <w:color w:val="auto"/>
          <w:kern w:val="0"/>
          <w:sz w:val="21"/>
          <w:szCs w:val="21"/>
          <w:highlight w:val="none"/>
          <w:u w:val="none"/>
          <w:lang w:val="en-US" w:eastAsia="zh-CN" w:bidi="ar"/>
        </w:rPr>
        <w:t>③技术支持标段</w:t>
      </w:r>
      <w:r>
        <w:rPr>
          <w:rFonts w:hint="eastAsia" w:ascii="宋体" w:hAnsi="宋体" w:eastAsia="宋体" w:cs="宋体"/>
          <w:b/>
          <w:bCs/>
          <w:color w:val="auto"/>
          <w:szCs w:val="21"/>
          <w:highlight w:val="none"/>
        </w:rPr>
        <w:t>的资质要求</w:t>
      </w:r>
      <w:r>
        <w:rPr>
          <w:rFonts w:hint="eastAsia" w:ascii="宋体" w:hAnsi="宋体" w:eastAsia="宋体" w:cs="宋体"/>
          <w:b/>
          <w:bCs/>
          <w:color w:val="auto"/>
          <w:szCs w:val="21"/>
          <w:highlight w:val="none"/>
          <w:lang w:eastAsia="zh-CN"/>
        </w:rPr>
        <w:t>：</w:t>
      </w:r>
      <w:r>
        <w:rPr>
          <w:rFonts w:hint="eastAsia" w:ascii="宋体" w:hAnsi="宋体" w:eastAsia="宋体" w:cs="宋体"/>
          <w:b/>
          <w:bCs/>
          <w:color w:val="auto"/>
          <w:szCs w:val="21"/>
          <w:highlight w:val="none"/>
          <w:lang w:val="en-US" w:eastAsia="zh-CN"/>
        </w:rPr>
        <w:t>无</w:t>
      </w:r>
      <w:r>
        <w:rPr>
          <w:rFonts w:hint="eastAsia" w:ascii="宋体" w:hAnsi="宋体" w:eastAsia="宋体" w:cs="宋体"/>
          <w:b/>
          <w:bCs/>
          <w:color w:val="auto"/>
          <w:szCs w:val="21"/>
          <w:highlight w:val="none"/>
        </w:rPr>
        <w:t>特定</w:t>
      </w:r>
      <w:r>
        <w:rPr>
          <w:rFonts w:hint="eastAsia" w:ascii="宋体" w:hAnsi="宋体" w:eastAsia="宋体" w:cs="宋体"/>
          <w:b/>
          <w:bCs/>
          <w:color w:val="auto"/>
          <w:szCs w:val="21"/>
          <w:highlight w:val="none"/>
          <w:lang w:val="en-US" w:eastAsia="zh-CN"/>
        </w:rPr>
        <w:t>资质</w:t>
      </w:r>
      <w:r>
        <w:rPr>
          <w:rFonts w:hint="eastAsia" w:ascii="宋体" w:hAnsi="宋体" w:eastAsia="宋体" w:cs="宋体"/>
          <w:b/>
          <w:bCs/>
          <w:color w:val="auto"/>
          <w:szCs w:val="21"/>
          <w:highlight w:val="none"/>
        </w:rPr>
        <w:t>要求</w:t>
      </w:r>
      <w:r>
        <w:rPr>
          <w:rFonts w:hint="eastAsia" w:ascii="宋体" w:hAnsi="宋体" w:eastAsia="宋体" w:cs="宋体"/>
          <w:b/>
          <w:bCs/>
          <w:color w:val="auto"/>
          <w:szCs w:val="21"/>
          <w:highlight w:val="none"/>
          <w:lang w:eastAsia="zh-CN"/>
        </w:rPr>
        <w:t>。</w:t>
      </w:r>
    </w:p>
    <w:p w14:paraId="302A5C4B">
      <w:pPr>
        <w:spacing w:line="40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w:t>
      </w:r>
      <w:r>
        <w:rPr>
          <w:rFonts w:hint="eastAsia" w:ascii="宋体" w:hAnsi="宋体" w:cs="宋体"/>
          <w:color w:val="auto"/>
          <w:szCs w:val="21"/>
          <w:highlight w:val="none"/>
          <w:lang w:val="en-US" w:eastAsia="zh-CN"/>
        </w:rPr>
        <w:t>2</w:t>
      </w:r>
      <w:r>
        <w:rPr>
          <w:rFonts w:hint="eastAsia" w:ascii="宋体" w:hAnsi="宋体" w:eastAsia="宋体" w:cs="宋体"/>
          <w:color w:val="auto"/>
          <w:szCs w:val="21"/>
          <w:highlight w:val="none"/>
        </w:rPr>
        <w:t>）本项目(☑不允许；☐允许）分包。</w:t>
      </w:r>
    </w:p>
    <w:p w14:paraId="5B6F5543">
      <w:pPr>
        <w:spacing w:line="40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w:t>
      </w:r>
      <w:r>
        <w:rPr>
          <w:rFonts w:hint="eastAsia" w:ascii="宋体" w:hAnsi="宋体" w:cs="宋体"/>
          <w:color w:val="auto"/>
          <w:szCs w:val="21"/>
          <w:highlight w:val="none"/>
          <w:lang w:val="en-US" w:eastAsia="zh-CN"/>
        </w:rPr>
        <w:t>3</w:t>
      </w:r>
      <w:r>
        <w:rPr>
          <w:rFonts w:hint="eastAsia" w:ascii="宋体" w:hAnsi="宋体" w:eastAsia="宋体" w:cs="宋体"/>
          <w:color w:val="auto"/>
          <w:szCs w:val="21"/>
          <w:highlight w:val="none"/>
        </w:rPr>
        <w:t>）本项目(☑不接受；☐接受）联合体投标。</w:t>
      </w:r>
    </w:p>
    <w:p w14:paraId="4D0AA52E">
      <w:pPr>
        <w:keepNext w:val="0"/>
        <w:keepLines w:val="0"/>
        <w:pageBreakBefore w:val="0"/>
        <w:widowControl w:val="0"/>
        <w:kinsoku/>
        <w:wordWrap w:val="0"/>
        <w:overflowPunct/>
        <w:topLinePunct w:val="0"/>
        <w:autoSpaceDE/>
        <w:autoSpaceDN/>
        <w:bidi w:val="0"/>
        <w:adjustRightInd/>
        <w:snapToGrid/>
        <w:spacing w:line="400" w:lineRule="exact"/>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w:t>
      </w:r>
      <w:r>
        <w:rPr>
          <w:rFonts w:hint="eastAsia" w:ascii="宋体" w:hAnsi="宋体" w:cs="宋体"/>
          <w:color w:val="auto"/>
          <w:szCs w:val="21"/>
          <w:highlight w:val="none"/>
          <w:lang w:val="en-US" w:eastAsia="zh-CN"/>
        </w:rPr>
        <w:t>4</w:t>
      </w:r>
      <w:r>
        <w:rPr>
          <w:rFonts w:hint="eastAsia" w:ascii="宋体" w:hAnsi="宋体" w:eastAsia="宋体" w:cs="宋体"/>
          <w:color w:val="auto"/>
          <w:szCs w:val="21"/>
          <w:highlight w:val="none"/>
        </w:rPr>
        <w:t>）每个投标人可对任意1个或多个标段进行投标，但在GLTLJD1/GLTLJD2/GLTLJD3/GLTLJD4标段中仅允许最多中标1个标段，在SYJD1</w:t>
      </w:r>
      <w:r>
        <w:rPr>
          <w:rFonts w:hint="eastAsia" w:ascii="宋体" w:hAnsi="宋体" w:eastAsia="宋体" w:cs="宋体"/>
          <w:color w:val="auto"/>
          <w:szCs w:val="21"/>
          <w:highlight w:val="none"/>
          <w:lang w:val="en-US" w:eastAsia="zh-CN"/>
        </w:rPr>
        <w:t>/</w:t>
      </w:r>
      <w:r>
        <w:rPr>
          <w:rFonts w:hint="eastAsia" w:ascii="宋体" w:hAnsi="宋体" w:eastAsia="宋体" w:cs="宋体"/>
          <w:color w:val="auto"/>
          <w:szCs w:val="21"/>
          <w:highlight w:val="none"/>
        </w:rPr>
        <w:t>SYJD2标段中仅允许最多中标1个标段，即每个投标人最多可中</w:t>
      </w:r>
      <w:r>
        <w:rPr>
          <w:rFonts w:hint="eastAsia" w:ascii="宋体" w:hAnsi="宋体" w:eastAsia="宋体" w:cs="宋体"/>
          <w:color w:val="auto"/>
          <w:szCs w:val="21"/>
          <w:highlight w:val="none"/>
          <w:lang w:val="en-US" w:eastAsia="zh-CN"/>
        </w:rPr>
        <w:t>3</w:t>
      </w:r>
      <w:r>
        <w:rPr>
          <w:rFonts w:hint="eastAsia" w:ascii="宋体" w:hAnsi="宋体" w:eastAsia="宋体" w:cs="宋体"/>
          <w:color w:val="auto"/>
          <w:szCs w:val="21"/>
          <w:highlight w:val="none"/>
        </w:rPr>
        <w:t>个标段且分属于公路铁路、水运</w:t>
      </w:r>
      <w:r>
        <w:rPr>
          <w:rFonts w:hint="eastAsia" w:ascii="宋体" w:hAnsi="宋体" w:eastAsia="宋体" w:cs="宋体"/>
          <w:color w:val="auto"/>
          <w:szCs w:val="21"/>
          <w:highlight w:val="none"/>
          <w:lang w:eastAsia="zh-CN"/>
        </w:rPr>
        <w:t>、</w:t>
      </w:r>
      <w:r>
        <w:rPr>
          <w:rFonts w:hint="eastAsia" w:ascii="宋体" w:hAnsi="宋体" w:eastAsia="宋体" w:cs="宋体"/>
          <w:i w:val="0"/>
          <w:iCs w:val="0"/>
          <w:color w:val="auto"/>
          <w:kern w:val="0"/>
          <w:sz w:val="21"/>
          <w:szCs w:val="21"/>
          <w:highlight w:val="none"/>
          <w:u w:val="none"/>
          <w:lang w:val="en-US" w:eastAsia="zh-CN" w:bidi="ar"/>
        </w:rPr>
        <w:t>技术支持</w:t>
      </w:r>
      <w:r>
        <w:rPr>
          <w:rFonts w:hint="eastAsia" w:ascii="宋体" w:hAnsi="宋体" w:eastAsia="宋体" w:cs="宋体"/>
          <w:color w:val="auto"/>
          <w:kern w:val="0"/>
          <w:szCs w:val="21"/>
          <w:highlight w:val="none"/>
          <w:lang w:val="en-US" w:eastAsia="zh-CN"/>
        </w:rPr>
        <w:t>三</w:t>
      </w:r>
      <w:r>
        <w:rPr>
          <w:rFonts w:hint="eastAsia" w:ascii="宋体" w:hAnsi="宋体" w:eastAsia="宋体" w:cs="宋体"/>
          <w:color w:val="auto"/>
          <w:szCs w:val="21"/>
          <w:highlight w:val="none"/>
        </w:rPr>
        <w:t>种类型。</w:t>
      </w:r>
    </w:p>
    <w:bookmarkEnd w:id="19"/>
    <w:p w14:paraId="00685963">
      <w:pPr>
        <w:spacing w:line="400" w:lineRule="exact"/>
        <w:rPr>
          <w:rFonts w:hint="eastAsia" w:ascii="宋体" w:hAnsi="宋体" w:eastAsia="宋体" w:cs="宋体"/>
          <w:b/>
          <w:bCs/>
          <w:color w:val="auto"/>
          <w:sz w:val="24"/>
          <w:highlight w:val="none"/>
        </w:rPr>
      </w:pPr>
      <w:bookmarkStart w:id="22" w:name="_Toc35393623"/>
      <w:bookmarkStart w:id="23" w:name="_Toc35393792"/>
      <w:r>
        <w:rPr>
          <w:rFonts w:hint="eastAsia" w:ascii="宋体" w:hAnsi="宋体" w:eastAsia="宋体" w:cs="宋体"/>
          <w:b/>
          <w:bCs/>
          <w:color w:val="auto"/>
          <w:sz w:val="24"/>
          <w:highlight w:val="none"/>
        </w:rPr>
        <w:t>三、获取招标文件</w:t>
      </w:r>
      <w:bookmarkEnd w:id="20"/>
      <w:bookmarkEnd w:id="21"/>
      <w:bookmarkEnd w:id="22"/>
      <w:bookmarkEnd w:id="23"/>
    </w:p>
    <w:p w14:paraId="33E8E5A7">
      <w:pPr>
        <w:spacing w:line="400" w:lineRule="exact"/>
        <w:ind w:firstLine="420" w:firstLineChars="200"/>
        <w:rPr>
          <w:rFonts w:hint="eastAsia" w:ascii="宋体" w:hAnsi="宋体" w:eastAsia="宋体" w:cs="宋体"/>
          <w:bCs/>
          <w:color w:val="auto"/>
          <w:kern w:val="0"/>
          <w:szCs w:val="21"/>
          <w:highlight w:val="none"/>
        </w:rPr>
      </w:pPr>
      <w:r>
        <w:rPr>
          <w:rFonts w:hint="eastAsia" w:ascii="宋体" w:hAnsi="宋体" w:eastAsia="宋体" w:cs="宋体"/>
          <w:bCs/>
          <w:color w:val="auto"/>
          <w:kern w:val="0"/>
          <w:szCs w:val="21"/>
          <w:highlight w:val="none"/>
        </w:rPr>
        <w:t>时间</w:t>
      </w:r>
      <w:r>
        <w:rPr>
          <w:rFonts w:hint="eastAsia" w:ascii="宋体" w:hAnsi="宋体" w:eastAsia="宋体" w:cs="宋体"/>
          <w:bCs/>
          <w:color w:val="auto"/>
          <w:kern w:val="0"/>
          <w:szCs w:val="21"/>
          <w:highlight w:val="none"/>
          <w:lang w:eastAsia="zh-CN"/>
        </w:rPr>
        <w:t>：</w:t>
      </w:r>
      <w:r>
        <w:rPr>
          <w:rFonts w:hint="eastAsia" w:ascii="宋体" w:hAnsi="宋体" w:eastAsia="宋体" w:cs="宋体"/>
          <w:color w:val="auto"/>
          <w:highlight w:val="none"/>
          <w:lang w:eastAsia="zh-CN"/>
        </w:rPr>
        <w:t>2026年</w:t>
      </w:r>
      <w:r>
        <w:rPr>
          <w:rFonts w:hint="eastAsia" w:ascii="宋体" w:hAnsi="宋体" w:cs="宋体"/>
          <w:color w:val="auto"/>
          <w:highlight w:val="none"/>
          <w:lang w:val="en-US" w:eastAsia="zh-CN"/>
        </w:rPr>
        <w:t>6</w:t>
      </w:r>
      <w:r>
        <w:rPr>
          <w:rFonts w:hint="eastAsia" w:ascii="宋体" w:hAnsi="宋体" w:eastAsia="宋体" w:cs="宋体"/>
          <w:color w:val="auto"/>
          <w:highlight w:val="none"/>
          <w:lang w:eastAsia="zh-CN"/>
        </w:rPr>
        <w:t>月</w:t>
      </w:r>
      <w:r>
        <w:rPr>
          <w:rFonts w:hint="eastAsia" w:ascii="宋体" w:hAnsi="宋体" w:cs="宋体"/>
          <w:color w:val="auto"/>
          <w:highlight w:val="none"/>
          <w:lang w:val="en-US" w:eastAsia="zh-CN"/>
        </w:rPr>
        <w:t>16</w:t>
      </w:r>
      <w:r>
        <w:rPr>
          <w:rFonts w:hint="eastAsia" w:ascii="宋体" w:hAnsi="宋体" w:eastAsia="宋体" w:cs="宋体"/>
          <w:color w:val="auto"/>
          <w:highlight w:val="none"/>
          <w:lang w:eastAsia="zh-CN"/>
        </w:rPr>
        <w:t>日</w:t>
      </w:r>
      <w:r>
        <w:rPr>
          <w:rFonts w:hint="eastAsia" w:ascii="宋体" w:hAnsi="宋体" w:eastAsia="宋体" w:cs="宋体"/>
          <w:color w:val="auto"/>
          <w:szCs w:val="21"/>
          <w:highlight w:val="none"/>
        </w:rPr>
        <w:t>至</w:t>
      </w:r>
      <w:r>
        <w:rPr>
          <w:rFonts w:hint="eastAsia" w:ascii="宋体" w:hAnsi="宋体" w:eastAsia="宋体" w:cs="宋体"/>
          <w:color w:val="auto"/>
          <w:highlight w:val="none"/>
          <w:lang w:eastAsia="zh-CN"/>
        </w:rPr>
        <w:t>2026年</w:t>
      </w:r>
      <w:r>
        <w:rPr>
          <w:rFonts w:hint="eastAsia" w:ascii="宋体" w:hAnsi="宋体" w:cs="宋体"/>
          <w:color w:val="auto"/>
          <w:highlight w:val="none"/>
          <w:lang w:val="en-US" w:eastAsia="zh-CN"/>
        </w:rPr>
        <w:t>6</w:t>
      </w:r>
      <w:r>
        <w:rPr>
          <w:rFonts w:hint="eastAsia" w:ascii="宋体" w:hAnsi="宋体" w:eastAsia="宋体" w:cs="宋体"/>
          <w:color w:val="auto"/>
          <w:highlight w:val="none"/>
          <w:lang w:eastAsia="zh-CN"/>
        </w:rPr>
        <w:t>月</w:t>
      </w:r>
      <w:r>
        <w:rPr>
          <w:rFonts w:hint="eastAsia" w:ascii="宋体" w:hAnsi="宋体" w:cs="宋体"/>
          <w:color w:val="auto"/>
          <w:highlight w:val="none"/>
          <w:lang w:val="en-US" w:eastAsia="zh-CN"/>
        </w:rPr>
        <w:t>24</w:t>
      </w:r>
      <w:r>
        <w:rPr>
          <w:rFonts w:hint="eastAsia" w:ascii="宋体" w:hAnsi="宋体" w:eastAsia="宋体" w:cs="宋体"/>
          <w:color w:val="auto"/>
          <w:highlight w:val="none"/>
          <w:lang w:eastAsia="zh-CN"/>
        </w:rPr>
        <w:t>日</w:t>
      </w:r>
      <w:r>
        <w:rPr>
          <w:rFonts w:hint="eastAsia" w:ascii="宋体" w:hAnsi="宋体" w:eastAsia="宋体" w:cs="宋体"/>
          <w:color w:val="auto"/>
          <w:szCs w:val="21"/>
          <w:highlight w:val="none"/>
        </w:rPr>
        <w:t>，每天上午00:00-12:00；下午12:</w:t>
      </w:r>
      <w:r>
        <w:rPr>
          <w:rFonts w:hint="eastAsia" w:ascii="宋体" w:hAnsi="宋体" w:eastAsia="宋体" w:cs="宋体"/>
          <w:color w:val="auto"/>
          <w:highlight w:val="none"/>
        </w:rPr>
        <w:t>00</w:t>
      </w:r>
      <w:r>
        <w:rPr>
          <w:rFonts w:hint="eastAsia" w:ascii="宋体" w:hAnsi="宋体" w:eastAsia="宋体" w:cs="宋体"/>
          <w:color w:val="auto"/>
          <w:szCs w:val="21"/>
          <w:highlight w:val="none"/>
        </w:rPr>
        <w:t>-23:</w:t>
      </w:r>
      <w:r>
        <w:rPr>
          <w:rFonts w:hint="eastAsia" w:ascii="宋体" w:hAnsi="宋体" w:eastAsia="宋体" w:cs="宋体"/>
          <w:color w:val="auto"/>
          <w:highlight w:val="none"/>
        </w:rPr>
        <w:t>59</w:t>
      </w:r>
      <w:r>
        <w:rPr>
          <w:rFonts w:hint="eastAsia" w:ascii="宋体" w:hAnsi="宋体" w:cs="宋体"/>
          <w:color w:val="auto"/>
          <w:highlight w:val="none"/>
          <w:lang w:val="en-US" w:eastAsia="zh-CN"/>
        </w:rPr>
        <w:t>:59</w:t>
      </w:r>
      <w:r>
        <w:rPr>
          <w:rFonts w:hint="eastAsia" w:ascii="宋体" w:hAnsi="宋体" w:eastAsia="宋体" w:cs="宋体"/>
          <w:color w:val="auto"/>
          <w:szCs w:val="21"/>
          <w:highlight w:val="none"/>
        </w:rPr>
        <w:t>（北京时间，法定节假日除外）。</w:t>
      </w:r>
    </w:p>
    <w:p w14:paraId="197601D9">
      <w:pPr>
        <w:spacing w:line="400" w:lineRule="exact"/>
        <w:ind w:firstLine="420" w:firstLineChars="200"/>
        <w:rPr>
          <w:rFonts w:hint="eastAsia" w:ascii="宋体" w:hAnsi="宋体" w:eastAsia="宋体" w:cs="宋体"/>
          <w:bCs/>
          <w:color w:val="auto"/>
          <w:kern w:val="0"/>
          <w:szCs w:val="21"/>
          <w:highlight w:val="none"/>
        </w:rPr>
      </w:pPr>
      <w:r>
        <w:rPr>
          <w:rFonts w:hint="eastAsia" w:ascii="宋体" w:hAnsi="宋体" w:eastAsia="宋体" w:cs="宋体"/>
          <w:bCs/>
          <w:color w:val="auto"/>
          <w:kern w:val="0"/>
          <w:szCs w:val="21"/>
          <w:highlight w:val="none"/>
        </w:rPr>
        <w:t>地点</w:t>
      </w:r>
      <w:r>
        <w:rPr>
          <w:rFonts w:hint="eastAsia" w:ascii="宋体" w:hAnsi="宋体" w:eastAsia="宋体" w:cs="宋体"/>
          <w:bCs/>
          <w:color w:val="auto"/>
          <w:kern w:val="0"/>
          <w:szCs w:val="21"/>
          <w:highlight w:val="none"/>
          <w:lang w:eastAsia="zh-CN"/>
        </w:rPr>
        <w:t>：</w:t>
      </w:r>
      <w:r>
        <w:rPr>
          <w:rFonts w:hint="eastAsia" w:ascii="宋体" w:hAnsi="宋体" w:eastAsia="宋体" w:cs="宋体"/>
          <w:bCs/>
          <w:color w:val="auto"/>
          <w:kern w:val="0"/>
          <w:szCs w:val="21"/>
          <w:highlight w:val="none"/>
        </w:rPr>
        <w:t>“广西政府采购云”平台（https://www.gcy.zfcg.gxzf.gov.cn）</w:t>
      </w:r>
    </w:p>
    <w:p w14:paraId="6224DD65">
      <w:pPr>
        <w:spacing w:line="400" w:lineRule="exact"/>
        <w:ind w:firstLine="420" w:firstLineChars="200"/>
        <w:rPr>
          <w:rFonts w:hint="eastAsia" w:ascii="宋体" w:hAnsi="宋体" w:eastAsia="宋体" w:cs="宋体"/>
          <w:bCs/>
          <w:color w:val="auto"/>
          <w:kern w:val="0"/>
          <w:szCs w:val="21"/>
          <w:highlight w:val="none"/>
        </w:rPr>
      </w:pPr>
      <w:r>
        <w:rPr>
          <w:rFonts w:hint="eastAsia" w:ascii="宋体" w:hAnsi="宋体" w:eastAsia="宋体" w:cs="宋体"/>
          <w:bCs/>
          <w:color w:val="auto"/>
          <w:kern w:val="0"/>
          <w:szCs w:val="21"/>
          <w:highlight w:val="none"/>
        </w:rPr>
        <w:t>方式</w:t>
      </w:r>
      <w:r>
        <w:rPr>
          <w:rFonts w:hint="eastAsia" w:ascii="宋体" w:hAnsi="宋体" w:eastAsia="宋体" w:cs="宋体"/>
          <w:bCs/>
          <w:color w:val="auto"/>
          <w:kern w:val="0"/>
          <w:szCs w:val="21"/>
          <w:highlight w:val="none"/>
          <w:lang w:eastAsia="zh-CN"/>
        </w:rPr>
        <w:t>：</w:t>
      </w:r>
      <w:r>
        <w:rPr>
          <w:rFonts w:hint="eastAsia" w:ascii="宋体" w:hAnsi="宋体" w:eastAsia="宋体" w:cs="宋体"/>
          <w:bCs/>
          <w:color w:val="auto"/>
          <w:kern w:val="0"/>
          <w:szCs w:val="21"/>
          <w:highlight w:val="none"/>
        </w:rPr>
        <w:t>网上下载。本项目不发放纸质文件，供应商应自行在</w:t>
      </w:r>
      <w:r>
        <w:rPr>
          <w:rFonts w:hint="eastAsia" w:ascii="宋体" w:hAnsi="宋体" w:eastAsia="宋体" w:cs="宋体"/>
          <w:bCs/>
          <w:color w:val="auto"/>
          <w:kern w:val="0"/>
          <w:szCs w:val="21"/>
          <w:highlight w:val="none"/>
        </w:rPr>
        <w:fldChar w:fldCharType="begin"/>
      </w:r>
      <w:r>
        <w:rPr>
          <w:rFonts w:hint="eastAsia" w:ascii="宋体" w:hAnsi="宋体" w:eastAsia="宋体" w:cs="宋体"/>
          <w:bCs/>
          <w:color w:val="auto"/>
          <w:kern w:val="0"/>
          <w:szCs w:val="21"/>
          <w:highlight w:val="none"/>
        </w:rPr>
        <w:instrText xml:space="preserve"> HYPERLINK "" </w:instrText>
      </w:r>
      <w:r>
        <w:rPr>
          <w:rFonts w:hint="eastAsia" w:ascii="宋体" w:hAnsi="宋体" w:eastAsia="宋体" w:cs="宋体"/>
          <w:bCs/>
          <w:color w:val="auto"/>
          <w:kern w:val="0"/>
          <w:szCs w:val="21"/>
          <w:highlight w:val="none"/>
        </w:rPr>
        <w:fldChar w:fldCharType="separate"/>
      </w:r>
      <w:r>
        <w:rPr>
          <w:rFonts w:hint="eastAsia" w:ascii="宋体" w:hAnsi="宋体" w:eastAsia="宋体" w:cs="宋体"/>
          <w:bCs/>
          <w:color w:val="auto"/>
          <w:kern w:val="0"/>
          <w:szCs w:val="21"/>
          <w:highlight w:val="none"/>
        </w:rPr>
        <w:fldChar w:fldCharType="end"/>
      </w:r>
      <w:r>
        <w:rPr>
          <w:rFonts w:hint="eastAsia" w:ascii="宋体" w:hAnsi="宋体" w:eastAsia="宋体" w:cs="宋体"/>
          <w:bCs/>
          <w:color w:val="auto"/>
          <w:kern w:val="0"/>
          <w:szCs w:val="21"/>
          <w:highlight w:val="none"/>
        </w:rPr>
        <w:t>“广西政府采购云”平台（https://www.gcy.zfcg.gxzf.gov.cn）下载招标文件（操作路径</w:t>
      </w:r>
      <w:r>
        <w:rPr>
          <w:rFonts w:hint="eastAsia" w:ascii="宋体" w:hAnsi="宋体" w:eastAsia="宋体" w:cs="宋体"/>
          <w:bCs/>
          <w:color w:val="auto"/>
          <w:kern w:val="0"/>
          <w:szCs w:val="21"/>
          <w:highlight w:val="none"/>
          <w:lang w:eastAsia="zh-CN"/>
        </w:rPr>
        <w:t>：</w:t>
      </w:r>
      <w:r>
        <w:rPr>
          <w:rFonts w:hint="eastAsia" w:ascii="宋体" w:hAnsi="宋体" w:eastAsia="宋体" w:cs="宋体"/>
          <w:bCs/>
          <w:color w:val="auto"/>
          <w:kern w:val="0"/>
          <w:szCs w:val="21"/>
          <w:highlight w:val="none"/>
        </w:rPr>
        <w:t>登录“广西政府采购云”平台－项目采购－获取采购文件－找到本项目－点击“申请获取采购文件”），电子投标文件制作需要基于“广西政府采购云”平台获取的招标文件编制。</w:t>
      </w:r>
    </w:p>
    <w:p w14:paraId="12AE103E">
      <w:pPr>
        <w:spacing w:line="400" w:lineRule="exact"/>
        <w:ind w:firstLine="420" w:firstLineChars="200"/>
        <w:rPr>
          <w:rFonts w:hint="eastAsia" w:ascii="宋体" w:hAnsi="宋体" w:eastAsia="宋体" w:cs="宋体"/>
          <w:color w:val="auto"/>
          <w:szCs w:val="21"/>
          <w:highlight w:val="none"/>
        </w:rPr>
      </w:pPr>
      <w:r>
        <w:rPr>
          <w:rFonts w:hint="eastAsia" w:ascii="宋体" w:hAnsi="宋体" w:eastAsia="宋体" w:cs="宋体"/>
          <w:bCs/>
          <w:color w:val="auto"/>
          <w:kern w:val="0"/>
          <w:szCs w:val="21"/>
          <w:highlight w:val="none"/>
        </w:rPr>
        <w:t>售价</w:t>
      </w:r>
      <w:r>
        <w:rPr>
          <w:rFonts w:hint="eastAsia" w:ascii="宋体" w:hAnsi="宋体" w:eastAsia="宋体" w:cs="宋体"/>
          <w:bCs/>
          <w:color w:val="auto"/>
          <w:kern w:val="0"/>
          <w:szCs w:val="21"/>
          <w:highlight w:val="none"/>
          <w:lang w:eastAsia="zh-CN"/>
        </w:rPr>
        <w:t>：</w:t>
      </w:r>
      <w:r>
        <w:rPr>
          <w:rFonts w:hint="eastAsia" w:ascii="宋体" w:hAnsi="宋体" w:eastAsia="宋体" w:cs="宋体"/>
          <w:bCs/>
          <w:color w:val="auto"/>
          <w:kern w:val="0"/>
          <w:szCs w:val="21"/>
          <w:highlight w:val="none"/>
        </w:rPr>
        <w:t>0元。</w:t>
      </w:r>
    </w:p>
    <w:p w14:paraId="5B8B12B5">
      <w:pPr>
        <w:spacing w:line="400" w:lineRule="exact"/>
        <w:rPr>
          <w:rFonts w:hint="eastAsia" w:ascii="宋体" w:hAnsi="宋体" w:eastAsia="宋体" w:cs="宋体"/>
          <w:b/>
          <w:bCs/>
          <w:color w:val="auto"/>
          <w:sz w:val="24"/>
          <w:highlight w:val="none"/>
        </w:rPr>
      </w:pPr>
      <w:bookmarkStart w:id="24" w:name="_Toc28359005"/>
      <w:bookmarkStart w:id="25" w:name="_Toc28359082"/>
      <w:bookmarkStart w:id="26" w:name="_Toc35393624"/>
      <w:bookmarkStart w:id="27" w:name="_Toc35393793"/>
      <w:r>
        <w:rPr>
          <w:rFonts w:hint="eastAsia" w:ascii="宋体" w:hAnsi="宋体" w:eastAsia="宋体" w:cs="宋体"/>
          <w:b/>
          <w:bCs/>
          <w:color w:val="auto"/>
          <w:sz w:val="24"/>
          <w:highlight w:val="none"/>
        </w:rPr>
        <w:t>四、提交投标文件</w:t>
      </w:r>
      <w:bookmarkEnd w:id="24"/>
      <w:bookmarkEnd w:id="25"/>
      <w:r>
        <w:rPr>
          <w:rFonts w:hint="eastAsia" w:ascii="宋体" w:hAnsi="宋体" w:eastAsia="宋体" w:cs="宋体"/>
          <w:b/>
          <w:bCs/>
          <w:color w:val="auto"/>
          <w:sz w:val="24"/>
          <w:highlight w:val="none"/>
        </w:rPr>
        <w:t>截止时间、开标时间和地点</w:t>
      </w:r>
      <w:bookmarkEnd w:id="26"/>
      <w:bookmarkEnd w:id="27"/>
    </w:p>
    <w:p w14:paraId="4AE1E6DB">
      <w:pPr>
        <w:spacing w:line="400" w:lineRule="exact"/>
        <w:ind w:firstLine="420" w:firstLineChars="200"/>
        <w:rPr>
          <w:rFonts w:hint="eastAsia" w:ascii="宋体" w:hAnsi="宋体" w:eastAsia="宋体" w:cs="宋体"/>
          <w:color w:val="auto"/>
          <w:szCs w:val="21"/>
          <w:highlight w:val="none"/>
        </w:rPr>
      </w:pPr>
      <w:bookmarkStart w:id="28" w:name="_Toc28359084"/>
      <w:bookmarkStart w:id="29" w:name="_Toc35393794"/>
      <w:bookmarkStart w:id="30" w:name="_Toc28359007"/>
      <w:bookmarkStart w:id="31" w:name="_Toc35393625"/>
      <w:r>
        <w:rPr>
          <w:rFonts w:hint="eastAsia" w:ascii="宋体" w:hAnsi="宋体" w:eastAsia="宋体" w:cs="宋体"/>
          <w:color w:val="auto"/>
          <w:szCs w:val="21"/>
          <w:highlight w:val="none"/>
        </w:rPr>
        <w:t>1、</w:t>
      </w:r>
      <w:r>
        <w:rPr>
          <w:rFonts w:hint="eastAsia" w:ascii="宋体" w:hAnsi="宋体" w:eastAsia="宋体" w:cs="宋体"/>
          <w:color w:val="auto"/>
          <w:szCs w:val="21"/>
          <w:highlight w:val="none"/>
          <w:lang w:bidi="ar"/>
        </w:rPr>
        <w:t>截止时间</w:t>
      </w:r>
      <w:r>
        <w:rPr>
          <w:rFonts w:hint="eastAsia" w:ascii="宋体" w:hAnsi="宋体" w:eastAsia="宋体" w:cs="宋体"/>
          <w:color w:val="auto"/>
          <w:szCs w:val="21"/>
          <w:highlight w:val="none"/>
          <w:lang w:eastAsia="zh-CN"/>
        </w:rPr>
        <w:t>：2026年</w:t>
      </w:r>
      <w:r>
        <w:rPr>
          <w:rFonts w:hint="eastAsia" w:ascii="宋体" w:hAnsi="宋体" w:cs="宋体"/>
          <w:color w:val="auto"/>
          <w:szCs w:val="21"/>
          <w:highlight w:val="none"/>
          <w:lang w:val="en-US" w:eastAsia="zh-CN"/>
        </w:rPr>
        <w:t>7</w:t>
      </w:r>
      <w:r>
        <w:rPr>
          <w:rFonts w:hint="eastAsia" w:ascii="宋体" w:hAnsi="宋体" w:eastAsia="宋体" w:cs="宋体"/>
          <w:color w:val="auto"/>
          <w:szCs w:val="21"/>
          <w:highlight w:val="none"/>
          <w:lang w:eastAsia="zh-CN"/>
        </w:rPr>
        <w:t>月</w:t>
      </w:r>
      <w:r>
        <w:rPr>
          <w:rFonts w:hint="eastAsia" w:ascii="宋体" w:hAnsi="宋体" w:cs="宋体"/>
          <w:color w:val="auto"/>
          <w:szCs w:val="21"/>
          <w:highlight w:val="none"/>
          <w:lang w:val="en-US" w:eastAsia="zh-CN"/>
        </w:rPr>
        <w:t>7</w:t>
      </w:r>
      <w:r>
        <w:rPr>
          <w:rFonts w:hint="eastAsia" w:ascii="宋体" w:hAnsi="宋体" w:eastAsia="宋体" w:cs="宋体"/>
          <w:color w:val="auto"/>
          <w:szCs w:val="21"/>
          <w:highlight w:val="none"/>
          <w:lang w:eastAsia="zh-CN"/>
        </w:rPr>
        <w:t>日</w:t>
      </w:r>
      <w:r>
        <w:rPr>
          <w:rFonts w:hint="eastAsia" w:ascii="宋体" w:hAnsi="宋体" w:eastAsia="宋体" w:cs="宋体"/>
          <w:color w:val="auto"/>
          <w:szCs w:val="21"/>
          <w:highlight w:val="none"/>
        </w:rPr>
        <w:t>9时30分（北京时间）</w:t>
      </w:r>
    </w:p>
    <w:p w14:paraId="36C79A74">
      <w:pPr>
        <w:spacing w:line="40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2、地点</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lang w:bidi="ar"/>
        </w:rPr>
        <w:t>本项目将在“广西政府采购云”平台电子开标大厅解密、开标。</w:t>
      </w:r>
    </w:p>
    <w:p w14:paraId="4A530144">
      <w:pPr>
        <w:spacing w:line="400" w:lineRule="exact"/>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五、公告期限</w:t>
      </w:r>
      <w:bookmarkEnd w:id="28"/>
      <w:bookmarkEnd w:id="29"/>
      <w:bookmarkEnd w:id="30"/>
      <w:bookmarkEnd w:id="31"/>
    </w:p>
    <w:p w14:paraId="04A7E3EF">
      <w:pPr>
        <w:spacing w:line="400" w:lineRule="exact"/>
        <w:ind w:firstLine="420" w:firstLineChars="200"/>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自本公告发布之日起5个工作日。</w:t>
      </w:r>
    </w:p>
    <w:p w14:paraId="54F5BFA1">
      <w:pPr>
        <w:spacing w:line="400" w:lineRule="exact"/>
        <w:rPr>
          <w:rFonts w:hint="eastAsia" w:ascii="宋体" w:hAnsi="宋体" w:eastAsia="宋体" w:cs="宋体"/>
          <w:b/>
          <w:bCs/>
          <w:color w:val="auto"/>
          <w:sz w:val="24"/>
          <w:highlight w:val="none"/>
        </w:rPr>
      </w:pPr>
      <w:bookmarkStart w:id="32" w:name="_Toc35393795"/>
      <w:bookmarkStart w:id="33" w:name="_Toc35393626"/>
      <w:r>
        <w:rPr>
          <w:rFonts w:hint="eastAsia" w:ascii="宋体" w:hAnsi="宋体" w:eastAsia="宋体" w:cs="宋体"/>
          <w:b/>
          <w:bCs/>
          <w:color w:val="auto"/>
          <w:sz w:val="24"/>
          <w:highlight w:val="none"/>
        </w:rPr>
        <w:t>六、其他补充事宜</w:t>
      </w:r>
      <w:bookmarkEnd w:id="32"/>
      <w:bookmarkEnd w:id="33"/>
    </w:p>
    <w:p w14:paraId="541CA71A">
      <w:pPr>
        <w:spacing w:line="400" w:lineRule="exact"/>
        <w:ind w:firstLine="420" w:firstLineChars="200"/>
        <w:rPr>
          <w:rFonts w:hint="eastAsia" w:ascii="宋体" w:hAnsi="宋体" w:eastAsia="宋体" w:cs="宋体"/>
          <w:color w:val="auto"/>
          <w:kern w:val="0"/>
          <w:szCs w:val="21"/>
          <w:highlight w:val="none"/>
        </w:rPr>
      </w:pPr>
      <w:bookmarkStart w:id="34" w:name="_Hlk37429674"/>
      <w:r>
        <w:rPr>
          <w:rFonts w:hint="eastAsia" w:ascii="宋体" w:hAnsi="宋体" w:eastAsia="宋体" w:cs="宋体"/>
          <w:color w:val="auto"/>
          <w:kern w:val="0"/>
          <w:szCs w:val="21"/>
          <w:highlight w:val="none"/>
        </w:rPr>
        <w:t>1、投标保证金（人民币）</w:t>
      </w:r>
      <w:r>
        <w:rPr>
          <w:rFonts w:hint="eastAsia" w:ascii="宋体" w:hAnsi="宋体" w:eastAsia="宋体" w:cs="宋体"/>
          <w:color w:val="auto"/>
          <w:kern w:val="0"/>
          <w:szCs w:val="21"/>
          <w:highlight w:val="none"/>
          <w:lang w:eastAsia="zh-CN"/>
        </w:rPr>
        <w:t>：</w:t>
      </w:r>
      <w:r>
        <w:rPr>
          <w:rFonts w:hint="eastAsia" w:ascii="宋体" w:hAnsi="宋体" w:eastAsia="宋体" w:cs="宋体"/>
          <w:color w:val="auto"/>
          <w:szCs w:val="21"/>
          <w:highlight w:val="none"/>
          <w:lang w:eastAsia="zh-CN"/>
        </w:rPr>
        <w:t>GLTLJD1标段</w:t>
      </w:r>
      <w:r>
        <w:rPr>
          <w:rFonts w:hint="eastAsia" w:ascii="宋体" w:hAnsi="宋体" w:eastAsia="宋体" w:cs="宋体"/>
          <w:color w:val="auto"/>
          <w:szCs w:val="21"/>
          <w:highlight w:val="none"/>
          <w:lang w:val="en-US" w:eastAsia="zh-CN"/>
        </w:rPr>
        <w:t>1</w:t>
      </w:r>
      <w:r>
        <w:rPr>
          <w:rFonts w:hint="eastAsia" w:ascii="宋体" w:hAnsi="宋体" w:cs="宋体"/>
          <w:color w:val="auto"/>
          <w:szCs w:val="21"/>
          <w:highlight w:val="none"/>
          <w:lang w:val="en-US" w:eastAsia="zh-CN"/>
        </w:rPr>
        <w:t>1</w:t>
      </w:r>
      <w:r>
        <w:rPr>
          <w:rFonts w:hint="eastAsia" w:ascii="宋体" w:hAnsi="宋体" w:eastAsia="宋体" w:cs="宋体"/>
          <w:color w:val="auto"/>
          <w:szCs w:val="21"/>
          <w:highlight w:val="none"/>
          <w:lang w:val="en-US" w:eastAsia="zh-CN"/>
        </w:rPr>
        <w:t>000.00</w:t>
      </w:r>
      <w:r>
        <w:rPr>
          <w:rFonts w:hint="eastAsia" w:ascii="宋体" w:hAnsi="宋体" w:eastAsia="宋体" w:cs="宋体"/>
          <w:color w:val="auto"/>
          <w:szCs w:val="21"/>
          <w:highlight w:val="none"/>
        </w:rPr>
        <w:t>元，</w:t>
      </w:r>
      <w:r>
        <w:rPr>
          <w:rFonts w:hint="eastAsia" w:ascii="宋体" w:hAnsi="宋体" w:eastAsia="宋体" w:cs="宋体"/>
          <w:color w:val="auto"/>
          <w:szCs w:val="21"/>
          <w:highlight w:val="none"/>
          <w:lang w:eastAsia="zh-CN"/>
        </w:rPr>
        <w:t>GLTLJD2标段</w:t>
      </w:r>
      <w:r>
        <w:rPr>
          <w:rFonts w:hint="eastAsia" w:ascii="宋体" w:hAnsi="宋体" w:eastAsia="宋体" w:cs="宋体"/>
          <w:color w:val="auto"/>
          <w:szCs w:val="21"/>
          <w:highlight w:val="none"/>
          <w:lang w:val="en-US" w:eastAsia="zh-CN"/>
        </w:rPr>
        <w:t>1</w:t>
      </w:r>
      <w:r>
        <w:rPr>
          <w:rFonts w:hint="eastAsia" w:ascii="宋体" w:hAnsi="宋体" w:cs="宋体"/>
          <w:color w:val="auto"/>
          <w:szCs w:val="21"/>
          <w:highlight w:val="none"/>
          <w:lang w:val="en-US" w:eastAsia="zh-CN"/>
        </w:rPr>
        <w:t>2</w:t>
      </w:r>
      <w:r>
        <w:rPr>
          <w:rFonts w:hint="eastAsia" w:ascii="宋体" w:hAnsi="宋体" w:eastAsia="宋体" w:cs="宋体"/>
          <w:color w:val="auto"/>
          <w:szCs w:val="21"/>
          <w:highlight w:val="none"/>
          <w:lang w:val="en-US" w:eastAsia="zh-CN"/>
        </w:rPr>
        <w:t>000.00</w:t>
      </w:r>
      <w:r>
        <w:rPr>
          <w:rFonts w:hint="eastAsia" w:ascii="宋体" w:hAnsi="宋体" w:eastAsia="宋体" w:cs="宋体"/>
          <w:color w:val="auto"/>
          <w:szCs w:val="21"/>
          <w:highlight w:val="none"/>
        </w:rPr>
        <w:t>元，</w:t>
      </w:r>
      <w:r>
        <w:rPr>
          <w:rFonts w:hint="eastAsia" w:ascii="宋体" w:hAnsi="宋体" w:eastAsia="宋体" w:cs="宋体"/>
          <w:color w:val="auto"/>
          <w:szCs w:val="21"/>
          <w:highlight w:val="none"/>
          <w:lang w:eastAsia="zh-CN"/>
        </w:rPr>
        <w:t>GLTLJD3标段</w:t>
      </w:r>
      <w:r>
        <w:rPr>
          <w:rFonts w:hint="eastAsia" w:ascii="宋体" w:hAnsi="宋体" w:eastAsia="宋体" w:cs="宋体"/>
          <w:color w:val="auto"/>
          <w:szCs w:val="21"/>
          <w:highlight w:val="none"/>
          <w:lang w:val="en-US" w:eastAsia="zh-CN"/>
        </w:rPr>
        <w:t>1</w:t>
      </w:r>
      <w:r>
        <w:rPr>
          <w:rFonts w:hint="eastAsia" w:ascii="宋体" w:hAnsi="宋体" w:cs="宋体"/>
          <w:color w:val="auto"/>
          <w:szCs w:val="21"/>
          <w:highlight w:val="none"/>
          <w:lang w:val="en-US" w:eastAsia="zh-CN"/>
        </w:rPr>
        <w:t>3</w:t>
      </w:r>
      <w:r>
        <w:rPr>
          <w:rFonts w:hint="eastAsia" w:ascii="宋体" w:hAnsi="宋体" w:eastAsia="宋体" w:cs="宋体"/>
          <w:color w:val="auto"/>
          <w:szCs w:val="21"/>
          <w:highlight w:val="none"/>
          <w:lang w:val="en-US" w:eastAsia="zh-CN"/>
        </w:rPr>
        <w:t>000.00</w:t>
      </w:r>
      <w:r>
        <w:rPr>
          <w:rFonts w:hint="eastAsia" w:ascii="宋体" w:hAnsi="宋体" w:eastAsia="宋体" w:cs="宋体"/>
          <w:color w:val="auto"/>
          <w:szCs w:val="21"/>
          <w:highlight w:val="none"/>
        </w:rPr>
        <w:t>元，</w:t>
      </w:r>
      <w:r>
        <w:rPr>
          <w:rFonts w:hint="eastAsia" w:ascii="宋体" w:hAnsi="宋体" w:eastAsia="宋体" w:cs="宋体"/>
          <w:color w:val="auto"/>
          <w:szCs w:val="21"/>
          <w:highlight w:val="none"/>
          <w:lang w:eastAsia="zh-CN"/>
        </w:rPr>
        <w:t>GLTLJD4标段</w:t>
      </w:r>
      <w:r>
        <w:rPr>
          <w:rFonts w:hint="eastAsia" w:ascii="宋体" w:hAnsi="宋体" w:eastAsia="宋体" w:cs="宋体"/>
          <w:color w:val="auto"/>
          <w:szCs w:val="21"/>
          <w:highlight w:val="none"/>
          <w:lang w:val="en-US" w:eastAsia="zh-CN"/>
        </w:rPr>
        <w:t>1</w:t>
      </w:r>
      <w:r>
        <w:rPr>
          <w:rFonts w:hint="eastAsia" w:ascii="宋体" w:hAnsi="宋体" w:cs="宋体"/>
          <w:color w:val="auto"/>
          <w:szCs w:val="21"/>
          <w:highlight w:val="none"/>
          <w:lang w:val="en-US" w:eastAsia="zh-CN"/>
        </w:rPr>
        <w:t>4</w:t>
      </w:r>
      <w:r>
        <w:rPr>
          <w:rFonts w:hint="eastAsia" w:ascii="宋体" w:hAnsi="宋体" w:eastAsia="宋体" w:cs="宋体"/>
          <w:color w:val="auto"/>
          <w:szCs w:val="21"/>
          <w:highlight w:val="none"/>
          <w:lang w:val="en-US" w:eastAsia="zh-CN"/>
        </w:rPr>
        <w:t>000.00</w:t>
      </w:r>
      <w:r>
        <w:rPr>
          <w:rFonts w:hint="eastAsia" w:ascii="宋体" w:hAnsi="宋体" w:eastAsia="宋体" w:cs="宋体"/>
          <w:color w:val="auto"/>
          <w:szCs w:val="21"/>
          <w:highlight w:val="none"/>
        </w:rPr>
        <w:t>元，</w:t>
      </w:r>
      <w:r>
        <w:rPr>
          <w:rFonts w:hint="eastAsia" w:ascii="宋体" w:hAnsi="宋体" w:eastAsia="宋体" w:cs="宋体"/>
          <w:color w:val="auto"/>
          <w:szCs w:val="21"/>
          <w:highlight w:val="none"/>
          <w:lang w:eastAsia="zh-CN"/>
        </w:rPr>
        <w:t>SYJD1标段</w:t>
      </w:r>
      <w:r>
        <w:rPr>
          <w:rFonts w:hint="eastAsia" w:ascii="宋体" w:hAnsi="宋体" w:eastAsia="宋体" w:cs="宋体"/>
          <w:color w:val="auto"/>
          <w:szCs w:val="21"/>
          <w:highlight w:val="none"/>
          <w:lang w:val="en-US" w:eastAsia="zh-CN"/>
        </w:rPr>
        <w:t>5</w:t>
      </w:r>
      <w:r>
        <w:rPr>
          <w:rFonts w:hint="eastAsia" w:ascii="宋体" w:hAnsi="宋体" w:cs="宋体"/>
          <w:color w:val="auto"/>
          <w:szCs w:val="21"/>
          <w:highlight w:val="none"/>
          <w:lang w:val="en-US" w:eastAsia="zh-CN"/>
        </w:rPr>
        <w:t>1</w:t>
      </w:r>
      <w:r>
        <w:rPr>
          <w:rFonts w:hint="eastAsia" w:ascii="宋体" w:hAnsi="宋体" w:eastAsia="宋体" w:cs="宋体"/>
          <w:color w:val="auto"/>
          <w:szCs w:val="21"/>
          <w:highlight w:val="none"/>
          <w:lang w:val="en-US" w:eastAsia="zh-CN"/>
        </w:rPr>
        <w:t>00.00</w:t>
      </w:r>
      <w:r>
        <w:rPr>
          <w:rFonts w:hint="eastAsia" w:ascii="宋体" w:hAnsi="宋体" w:eastAsia="宋体" w:cs="宋体"/>
          <w:color w:val="auto"/>
          <w:szCs w:val="21"/>
          <w:highlight w:val="none"/>
        </w:rPr>
        <w:t>元，</w:t>
      </w:r>
      <w:r>
        <w:rPr>
          <w:rFonts w:hint="eastAsia" w:ascii="宋体" w:hAnsi="宋体" w:eastAsia="宋体" w:cs="宋体"/>
          <w:color w:val="auto"/>
          <w:szCs w:val="21"/>
          <w:highlight w:val="none"/>
          <w:lang w:eastAsia="zh-CN"/>
        </w:rPr>
        <w:t>SYJD2标段</w:t>
      </w:r>
      <w:r>
        <w:rPr>
          <w:rFonts w:hint="eastAsia" w:ascii="宋体" w:hAnsi="宋体" w:eastAsia="宋体" w:cs="宋体"/>
          <w:color w:val="auto"/>
          <w:szCs w:val="21"/>
          <w:highlight w:val="none"/>
          <w:lang w:val="en-US" w:eastAsia="zh-CN"/>
        </w:rPr>
        <w:t>5</w:t>
      </w:r>
      <w:r>
        <w:rPr>
          <w:rFonts w:hint="eastAsia" w:ascii="宋体" w:hAnsi="宋体" w:cs="宋体"/>
          <w:color w:val="auto"/>
          <w:szCs w:val="21"/>
          <w:highlight w:val="none"/>
          <w:lang w:val="en-US" w:eastAsia="zh-CN"/>
        </w:rPr>
        <w:t>2</w:t>
      </w:r>
      <w:r>
        <w:rPr>
          <w:rFonts w:hint="eastAsia" w:ascii="宋体" w:hAnsi="宋体" w:eastAsia="宋体" w:cs="宋体"/>
          <w:color w:val="auto"/>
          <w:szCs w:val="21"/>
          <w:highlight w:val="none"/>
          <w:lang w:val="en-US" w:eastAsia="zh-CN"/>
        </w:rPr>
        <w:t>00.00</w:t>
      </w:r>
      <w:r>
        <w:rPr>
          <w:rFonts w:hint="eastAsia" w:ascii="宋体" w:hAnsi="宋体" w:eastAsia="宋体" w:cs="宋体"/>
          <w:color w:val="auto"/>
          <w:szCs w:val="21"/>
          <w:highlight w:val="none"/>
        </w:rPr>
        <w:t>元</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lang w:val="en-US" w:eastAsia="zh-CN"/>
        </w:rPr>
        <w:t>JSZC标段2000.00元</w:t>
      </w:r>
      <w:r>
        <w:rPr>
          <w:rFonts w:hint="eastAsia" w:ascii="宋体" w:hAnsi="宋体" w:eastAsia="宋体" w:cs="宋体"/>
          <w:color w:val="auto"/>
          <w:kern w:val="0"/>
          <w:szCs w:val="21"/>
          <w:highlight w:val="none"/>
        </w:rPr>
        <w:t>。</w:t>
      </w:r>
    </w:p>
    <w:p w14:paraId="1DCE17A5">
      <w:pPr>
        <w:spacing w:line="400" w:lineRule="exact"/>
        <w:ind w:firstLine="420" w:firstLineChars="200"/>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2、单位负责人为同一人或者存在直接控股、管理关系的不同供应商，不得参加本项目同一合同项下的政府采购活动。为本项目提供整体设计、规范编制或者项目管理、监理、检测等服务的供应商，不得再参加本项目的采购活动。</w:t>
      </w:r>
    </w:p>
    <w:p w14:paraId="41DD60EB">
      <w:pPr>
        <w:spacing w:line="400" w:lineRule="exact"/>
        <w:ind w:firstLine="420" w:firstLineChars="200"/>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3、根据财政部《关于在政府采购活动中查询及使用信用记录有关问题的通知》（财库〔2016〕125号）的规定，对在“信用中国”网站（www.creditchina.gov.cn）、中国政府采购网（www.ccgp.gov.cn）被列入失信被执行人、</w:t>
      </w:r>
      <w:r>
        <w:rPr>
          <w:rFonts w:hint="eastAsia" w:ascii="宋体" w:hAnsi="宋体" w:eastAsia="宋体" w:cs="宋体"/>
          <w:color w:val="auto"/>
          <w:kern w:val="0"/>
          <w:szCs w:val="21"/>
          <w:highlight w:val="none"/>
          <w:lang w:eastAsia="zh-CN"/>
        </w:rPr>
        <w:t>重大税收违法失信主体名单</w:t>
      </w:r>
      <w:r>
        <w:rPr>
          <w:rFonts w:hint="eastAsia" w:ascii="宋体" w:hAnsi="宋体" w:eastAsia="宋体" w:cs="宋体"/>
          <w:color w:val="auto"/>
          <w:kern w:val="0"/>
          <w:szCs w:val="21"/>
          <w:highlight w:val="none"/>
        </w:rPr>
        <w:t>、政府采购严重违法失信行为记录名单及其他不符合《中华人民共和国政府采购法》第二十二条规定条件的供应商，不得参与政府采购活动。</w:t>
      </w:r>
    </w:p>
    <w:p w14:paraId="61DA1186">
      <w:pPr>
        <w:spacing w:line="400" w:lineRule="exact"/>
        <w:ind w:firstLine="420" w:firstLineChars="200"/>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4、本项目是政府购买项目，公益一类事业单位、使用事业编制且由财政拨款保障的群团组织，不得参加本项目的采购活动。</w:t>
      </w:r>
    </w:p>
    <w:p w14:paraId="1A1B25CC">
      <w:pPr>
        <w:pStyle w:val="2"/>
        <w:ind w:firstLine="420" w:firstLineChars="200"/>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5、未被列入国家铁路局《铁路工程建设失信行为认定记录公布管理办法》“黑名单”且在公布期的投标人及其项目主要人员。</w:t>
      </w:r>
    </w:p>
    <w:p w14:paraId="0CDD7431">
      <w:pPr>
        <w:pStyle w:val="2"/>
        <w:ind w:firstLine="420" w:firstLineChars="200"/>
        <w:rPr>
          <w:rFonts w:hint="eastAsia" w:ascii="宋体" w:hAnsi="宋体" w:eastAsia="宋体" w:cs="宋体"/>
          <w:color w:val="auto"/>
          <w:kern w:val="0"/>
          <w:sz w:val="21"/>
          <w:szCs w:val="21"/>
          <w:highlight w:val="none"/>
          <w:lang w:val="en-US" w:eastAsia="zh-CN" w:bidi="ar-SA"/>
        </w:rPr>
      </w:pPr>
      <w:r>
        <w:rPr>
          <w:rFonts w:hint="eastAsia" w:ascii="宋体" w:hAnsi="宋体" w:cs="宋体"/>
          <w:color w:val="auto"/>
          <w:kern w:val="0"/>
          <w:sz w:val="21"/>
          <w:szCs w:val="21"/>
          <w:highlight w:val="none"/>
          <w:lang w:val="en-US" w:eastAsia="zh-CN" w:bidi="ar-SA"/>
        </w:rPr>
        <w:t>6</w:t>
      </w:r>
      <w:r>
        <w:rPr>
          <w:rFonts w:hint="eastAsia" w:ascii="宋体" w:hAnsi="宋体" w:eastAsia="宋体" w:cs="宋体"/>
          <w:color w:val="auto"/>
          <w:kern w:val="0"/>
          <w:sz w:val="21"/>
          <w:szCs w:val="21"/>
          <w:highlight w:val="none"/>
          <w:lang w:val="en-US" w:eastAsia="zh-CN" w:bidi="ar-SA"/>
        </w:rPr>
        <w:t>.不存在被交通运输部和广西交通运输厅取消投标资格或禁止进入公路建设市场且处罚期未满的情形。</w:t>
      </w:r>
    </w:p>
    <w:p w14:paraId="01F4B81C">
      <w:pPr>
        <w:spacing w:line="400" w:lineRule="exact"/>
        <w:ind w:firstLine="420" w:firstLineChars="200"/>
        <w:rPr>
          <w:rFonts w:hint="eastAsia" w:ascii="宋体" w:hAnsi="宋体" w:eastAsia="宋体" w:cs="宋体"/>
          <w:color w:val="auto"/>
          <w:kern w:val="0"/>
          <w:szCs w:val="21"/>
          <w:highlight w:val="none"/>
        </w:rPr>
      </w:pPr>
      <w:r>
        <w:rPr>
          <w:rFonts w:hint="eastAsia" w:ascii="宋体" w:hAnsi="宋体" w:cs="宋体"/>
          <w:color w:val="auto"/>
          <w:kern w:val="0"/>
          <w:szCs w:val="21"/>
          <w:highlight w:val="none"/>
          <w:lang w:val="en-US" w:eastAsia="zh-CN"/>
        </w:rPr>
        <w:t>7</w:t>
      </w:r>
      <w:r>
        <w:rPr>
          <w:rFonts w:hint="eastAsia" w:ascii="宋体" w:hAnsi="宋体" w:eastAsia="宋体" w:cs="宋体"/>
          <w:color w:val="auto"/>
          <w:kern w:val="0"/>
          <w:szCs w:val="21"/>
          <w:highlight w:val="none"/>
        </w:rPr>
        <w:t>、网上查询地址</w:t>
      </w:r>
      <w:r>
        <w:rPr>
          <w:rFonts w:hint="eastAsia" w:ascii="宋体" w:hAnsi="宋体" w:eastAsia="宋体" w:cs="宋体"/>
          <w:color w:val="auto"/>
          <w:kern w:val="0"/>
          <w:szCs w:val="21"/>
          <w:highlight w:val="none"/>
          <w:lang w:eastAsia="zh-CN"/>
        </w:rPr>
        <w:t>：</w:t>
      </w:r>
      <w:r>
        <w:rPr>
          <w:rFonts w:hint="eastAsia" w:ascii="宋体" w:hAnsi="宋体" w:eastAsia="宋体" w:cs="宋体"/>
          <w:color w:val="auto"/>
          <w:kern w:val="0"/>
          <w:szCs w:val="21"/>
          <w:highlight w:val="none"/>
        </w:rPr>
        <w:t>中国政府采购网、广西政府采购网、广西壮族自治区公共资源交易中心网。</w:t>
      </w:r>
    </w:p>
    <w:p w14:paraId="614658F6">
      <w:pPr>
        <w:spacing w:line="400" w:lineRule="exact"/>
        <w:ind w:firstLine="420" w:firstLineChars="200"/>
        <w:rPr>
          <w:rFonts w:hint="eastAsia" w:ascii="宋体" w:hAnsi="宋体" w:eastAsia="宋体" w:cs="宋体"/>
          <w:color w:val="auto"/>
          <w:kern w:val="0"/>
          <w:szCs w:val="21"/>
          <w:highlight w:val="none"/>
          <w:lang w:eastAsia="zh-CN"/>
        </w:rPr>
      </w:pPr>
      <w:r>
        <w:rPr>
          <w:rFonts w:hint="eastAsia" w:ascii="宋体" w:hAnsi="宋体" w:cs="宋体"/>
          <w:color w:val="auto"/>
          <w:kern w:val="0"/>
          <w:szCs w:val="21"/>
          <w:highlight w:val="none"/>
          <w:lang w:val="en-US" w:eastAsia="zh-CN"/>
        </w:rPr>
        <w:t>8</w:t>
      </w:r>
      <w:r>
        <w:rPr>
          <w:rFonts w:hint="eastAsia" w:ascii="宋体" w:hAnsi="宋体" w:eastAsia="宋体" w:cs="宋体"/>
          <w:color w:val="auto"/>
          <w:kern w:val="0"/>
          <w:szCs w:val="21"/>
          <w:highlight w:val="none"/>
        </w:rPr>
        <w:t>、本项目需要落实的政府采购政策</w:t>
      </w:r>
      <w:r>
        <w:rPr>
          <w:rFonts w:hint="eastAsia" w:ascii="宋体" w:hAnsi="宋体" w:eastAsia="宋体" w:cs="宋体"/>
          <w:color w:val="auto"/>
          <w:kern w:val="0"/>
          <w:szCs w:val="21"/>
          <w:highlight w:val="none"/>
          <w:lang w:eastAsia="zh-CN"/>
        </w:rPr>
        <w:t>：</w:t>
      </w:r>
    </w:p>
    <w:p w14:paraId="2ABDFCDC">
      <w:pPr>
        <w:spacing w:line="400" w:lineRule="exact"/>
        <w:ind w:firstLine="420" w:firstLineChars="200"/>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（1）政府采购促进中小企业发展。</w:t>
      </w:r>
    </w:p>
    <w:p w14:paraId="6200CD94">
      <w:pPr>
        <w:spacing w:line="400" w:lineRule="exact"/>
        <w:ind w:firstLine="420" w:firstLineChars="200"/>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（2）政府采购促进残疾人就业政策。</w:t>
      </w:r>
    </w:p>
    <w:p w14:paraId="622130B8">
      <w:pPr>
        <w:spacing w:line="400" w:lineRule="exact"/>
        <w:ind w:firstLine="420" w:firstLineChars="200"/>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（3）政府采购支持监狱企业发展。</w:t>
      </w:r>
    </w:p>
    <w:p w14:paraId="4C755436">
      <w:pPr>
        <w:widowControl/>
        <w:spacing w:line="400" w:lineRule="exact"/>
        <w:ind w:firstLine="420" w:firstLineChars="200"/>
        <w:rPr>
          <w:rFonts w:hint="eastAsia" w:ascii="宋体" w:hAnsi="宋体" w:eastAsia="宋体" w:cs="宋体"/>
          <w:color w:val="auto"/>
          <w:szCs w:val="21"/>
          <w:highlight w:val="none"/>
          <w:lang w:eastAsia="zh-CN" w:bidi="ar"/>
        </w:rPr>
      </w:pPr>
      <w:r>
        <w:rPr>
          <w:rFonts w:hint="eastAsia" w:ascii="宋体" w:hAnsi="宋体" w:cs="宋体"/>
          <w:color w:val="auto"/>
          <w:szCs w:val="21"/>
          <w:highlight w:val="none"/>
          <w:lang w:val="en-US" w:eastAsia="zh-CN" w:bidi="ar"/>
        </w:rPr>
        <w:t>9</w:t>
      </w:r>
      <w:r>
        <w:rPr>
          <w:rFonts w:hint="eastAsia" w:ascii="宋体" w:hAnsi="宋体" w:eastAsia="宋体" w:cs="宋体"/>
          <w:color w:val="auto"/>
          <w:szCs w:val="21"/>
          <w:highlight w:val="none"/>
          <w:lang w:bidi="ar"/>
        </w:rPr>
        <w:t>、投标注意事项</w:t>
      </w:r>
      <w:r>
        <w:rPr>
          <w:rFonts w:hint="eastAsia" w:ascii="宋体" w:hAnsi="宋体" w:eastAsia="宋体" w:cs="宋体"/>
          <w:color w:val="auto"/>
          <w:szCs w:val="21"/>
          <w:highlight w:val="none"/>
          <w:lang w:eastAsia="zh-CN" w:bidi="ar"/>
        </w:rPr>
        <w:t>：</w:t>
      </w:r>
    </w:p>
    <w:p w14:paraId="15DE350D">
      <w:pPr>
        <w:widowControl/>
        <w:spacing w:line="400" w:lineRule="exact"/>
        <w:ind w:firstLine="420" w:firstLineChars="200"/>
        <w:rPr>
          <w:rFonts w:hint="eastAsia" w:ascii="宋体" w:hAnsi="宋体" w:eastAsia="宋体" w:cs="宋体"/>
          <w:bCs/>
          <w:color w:val="auto"/>
          <w:szCs w:val="21"/>
          <w:highlight w:val="none"/>
        </w:rPr>
      </w:pPr>
      <w:r>
        <w:rPr>
          <w:rFonts w:hint="eastAsia" w:ascii="宋体" w:hAnsi="宋体" w:eastAsia="宋体" w:cs="宋体"/>
          <w:color w:val="auto"/>
          <w:szCs w:val="21"/>
          <w:highlight w:val="none"/>
          <w:lang w:bidi="ar"/>
        </w:rPr>
        <w:t>（1）投标文件提交方式</w:t>
      </w:r>
      <w:r>
        <w:rPr>
          <w:rFonts w:hint="eastAsia" w:ascii="宋体" w:hAnsi="宋体" w:eastAsia="宋体" w:cs="宋体"/>
          <w:color w:val="auto"/>
          <w:szCs w:val="21"/>
          <w:highlight w:val="none"/>
          <w:lang w:eastAsia="zh-CN" w:bidi="ar"/>
        </w:rPr>
        <w:t>：</w:t>
      </w:r>
      <w:r>
        <w:rPr>
          <w:rFonts w:hint="eastAsia" w:ascii="宋体" w:hAnsi="宋体" w:eastAsia="宋体" w:cs="宋体"/>
          <w:color w:val="auto"/>
          <w:szCs w:val="21"/>
          <w:highlight w:val="none"/>
          <w:lang w:bidi="ar"/>
        </w:rPr>
        <w:t>本项目为全流程电子化政府采购项目，通过“广西政府采购云”平台（https://www.gcy.zfcg.gxzf.gov.cn）实行在线电子投标，供应商应先安装“广西政府采购云电子交易客户端”（请自行前往“广西政府采购云”平台进行下载），并按照本项目招标文件和“广西政府采购云”平台的要求编制、加密后在投标截止时间前通过网络上传至“广西政府采购云”平台，</w:t>
      </w:r>
      <w:r>
        <w:rPr>
          <w:rFonts w:hint="eastAsia" w:ascii="宋体" w:hAnsi="宋体" w:eastAsia="宋体" w:cs="宋体"/>
          <w:b/>
          <w:color w:val="auto"/>
          <w:szCs w:val="21"/>
          <w:highlight w:val="none"/>
          <w:lang w:bidi="ar"/>
        </w:rPr>
        <w:t>供应商在“广西政府采购云”平台提交电子版投标文件时，请填写参加远程开标活动经办人联系方式。</w:t>
      </w:r>
    </w:p>
    <w:p w14:paraId="2183FE86">
      <w:pPr>
        <w:widowControl/>
        <w:spacing w:line="400" w:lineRule="exact"/>
        <w:ind w:firstLine="420" w:firstLineChars="200"/>
        <w:jc w:val="left"/>
        <w:rPr>
          <w:rFonts w:hint="eastAsia" w:ascii="宋体" w:hAnsi="宋体" w:eastAsia="宋体" w:cs="宋体"/>
          <w:color w:val="auto"/>
          <w:szCs w:val="21"/>
          <w:highlight w:val="none"/>
          <w:lang w:bidi="ar"/>
        </w:rPr>
      </w:pPr>
      <w:r>
        <w:rPr>
          <w:rFonts w:hint="eastAsia" w:ascii="宋体" w:hAnsi="宋体" w:eastAsia="宋体" w:cs="宋体"/>
          <w:color w:val="auto"/>
          <w:szCs w:val="21"/>
          <w:highlight w:val="none"/>
          <w:lang w:bidi="ar"/>
        </w:rPr>
        <w:t>（2）供应商应及时熟悉掌握电子标系统操作指南（见广西政府采购云电子卖场首页右上角—服务中心—帮助文档—项目采购）</w:t>
      </w:r>
      <w:r>
        <w:rPr>
          <w:rFonts w:hint="eastAsia" w:ascii="宋体" w:hAnsi="宋体" w:eastAsia="宋体" w:cs="宋体"/>
          <w:color w:val="auto"/>
          <w:szCs w:val="21"/>
          <w:highlight w:val="none"/>
          <w:lang w:eastAsia="zh-CN" w:bidi="ar"/>
        </w:rPr>
        <w:t>：</w:t>
      </w:r>
      <w:r>
        <w:rPr>
          <w:rFonts w:hint="eastAsia" w:ascii="宋体" w:hAnsi="宋体" w:eastAsia="宋体" w:cs="宋体"/>
          <w:color w:val="auto"/>
          <w:szCs w:val="21"/>
          <w:highlight w:val="none"/>
          <w:lang w:bidi="ar"/>
        </w:rPr>
        <w:fldChar w:fldCharType="begin"/>
      </w:r>
      <w:r>
        <w:rPr>
          <w:rFonts w:hint="eastAsia" w:ascii="宋体" w:hAnsi="宋体" w:eastAsia="宋体" w:cs="宋体"/>
          <w:color w:val="auto"/>
          <w:szCs w:val="21"/>
          <w:highlight w:val="none"/>
          <w:lang w:bidi="ar"/>
        </w:rPr>
        <w:instrText xml:space="preserve"> HYPERLINK "https://service.zcygov.cn/#/knowledges/tree?tag=AG1DtGwBFdiHxlNdhY0r" </w:instrText>
      </w:r>
      <w:r>
        <w:rPr>
          <w:rFonts w:hint="eastAsia" w:ascii="宋体" w:hAnsi="宋体" w:eastAsia="宋体" w:cs="宋体"/>
          <w:color w:val="auto"/>
          <w:szCs w:val="21"/>
          <w:highlight w:val="none"/>
          <w:lang w:bidi="ar"/>
        </w:rPr>
        <w:fldChar w:fldCharType="separate"/>
      </w:r>
      <w:r>
        <w:rPr>
          <w:rFonts w:hint="eastAsia" w:ascii="宋体" w:hAnsi="宋体" w:eastAsia="宋体" w:cs="宋体"/>
          <w:color w:val="auto"/>
          <w:highlight w:val="none"/>
          <w:lang w:bidi="ar"/>
        </w:rPr>
        <w:t>https://service.zcygov.cn/#/knowledges/tree?tag=AG1DtGwBFdiHxlNdhY0r</w:t>
      </w:r>
      <w:r>
        <w:rPr>
          <w:rFonts w:hint="eastAsia" w:ascii="宋体" w:hAnsi="宋体" w:eastAsia="宋体" w:cs="宋体"/>
          <w:color w:val="auto"/>
          <w:szCs w:val="21"/>
          <w:highlight w:val="none"/>
          <w:lang w:bidi="ar"/>
        </w:rPr>
        <w:fldChar w:fldCharType="end"/>
      </w:r>
      <w:r>
        <w:rPr>
          <w:rFonts w:hint="eastAsia" w:ascii="宋体" w:hAnsi="宋体" w:eastAsia="宋体" w:cs="宋体"/>
          <w:color w:val="auto"/>
          <w:szCs w:val="21"/>
          <w:highlight w:val="none"/>
          <w:lang w:bidi="ar"/>
        </w:rPr>
        <w:t>；及时完成CA申领和绑定（见广西壮族自治区政府采购网—办事服务—下载专区-广西政府采购云CA证书办理操作指南）。</w:t>
      </w:r>
    </w:p>
    <w:p w14:paraId="080C151D">
      <w:pPr>
        <w:widowControl/>
        <w:spacing w:line="40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lang w:bidi="ar"/>
        </w:rPr>
        <w:t>（3）未进行网上注册并办理数字证书（CA认证）的供应商将无法参与本项目政府采购活动，潜在供应商应当在投标截止时间前，完成电子交易平台上的CA数字证书办理及投标文件的提交。完成CA数字证书办理预计7日左右，投标人只需办理其中一家CA数字证书及签章，建议各投标人抓紧时间办理。</w:t>
      </w:r>
    </w:p>
    <w:p w14:paraId="4441F8D7">
      <w:pPr>
        <w:widowControl/>
        <w:spacing w:line="40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lang w:bidi="ar"/>
        </w:rPr>
        <w:t>（4）为确保网上操作合法、有效和安全，请投标人确保在电子投标过程中能够对相关数据电文进行加密和使用电子签章，妥善保管CA数字证书并使用有效的CA数字证书参与整个采购活动。</w:t>
      </w:r>
    </w:p>
    <w:p w14:paraId="66DF768E">
      <w:pPr>
        <w:spacing w:line="400" w:lineRule="exact"/>
        <w:ind w:firstLine="422" w:firstLineChars="200"/>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lang w:bidi="ar"/>
        </w:rPr>
        <w:t>注</w:t>
      </w:r>
      <w:r>
        <w:rPr>
          <w:rFonts w:hint="eastAsia" w:ascii="宋体" w:hAnsi="宋体" w:eastAsia="宋体" w:cs="宋体"/>
          <w:b/>
          <w:bCs/>
          <w:color w:val="auto"/>
          <w:szCs w:val="21"/>
          <w:highlight w:val="none"/>
          <w:lang w:eastAsia="zh-CN" w:bidi="ar"/>
        </w:rPr>
        <w:t>：</w:t>
      </w:r>
      <w:r>
        <w:rPr>
          <w:rFonts w:hint="eastAsia" w:ascii="宋体" w:hAnsi="宋体" w:eastAsia="宋体" w:cs="宋体"/>
          <w:b/>
          <w:bCs/>
          <w:color w:val="auto"/>
          <w:szCs w:val="21"/>
          <w:highlight w:val="none"/>
          <w:lang w:bidi="ar"/>
        </w:rPr>
        <w:t>投标人应当在投标截止时间前完成电子投标文件的上传、递交，投标截止时间前可以补充、修改或者撤回投标文件。补充或者修改投标文件的，应当先行撤回原文件，补充、修改后重新上传、递交。投标截止时间前未完成上传、递交的，视为撤回投标文件。投标截止时间以后上传递交的投标文件，“广西政府采购云”平台将予以拒收。</w:t>
      </w:r>
    </w:p>
    <w:p w14:paraId="29883B59">
      <w:pPr>
        <w:snapToGrid w:val="0"/>
        <w:spacing w:line="400" w:lineRule="exact"/>
        <w:ind w:firstLine="420" w:firstLineChars="200"/>
        <w:rPr>
          <w:rFonts w:hint="eastAsia" w:ascii="宋体" w:hAnsi="宋体" w:eastAsia="宋体" w:cs="宋体"/>
          <w:color w:val="auto"/>
          <w:kern w:val="0"/>
          <w:szCs w:val="21"/>
          <w:highlight w:val="none"/>
        </w:rPr>
      </w:pPr>
      <w:r>
        <w:rPr>
          <w:rFonts w:hint="eastAsia" w:ascii="宋体" w:hAnsi="宋体" w:cs="宋体"/>
          <w:color w:val="auto"/>
          <w:kern w:val="0"/>
          <w:szCs w:val="21"/>
          <w:highlight w:val="none"/>
          <w:lang w:val="en-US" w:eastAsia="zh-CN" w:bidi="ar"/>
        </w:rPr>
        <w:t>10</w:t>
      </w:r>
      <w:r>
        <w:rPr>
          <w:rFonts w:hint="eastAsia" w:ascii="宋体" w:hAnsi="宋体" w:eastAsia="宋体" w:cs="宋体"/>
          <w:color w:val="auto"/>
          <w:kern w:val="0"/>
          <w:szCs w:val="21"/>
          <w:highlight w:val="none"/>
          <w:lang w:bidi="ar"/>
        </w:rPr>
        <w:t>、CA证书在线解密</w:t>
      </w:r>
      <w:r>
        <w:rPr>
          <w:rFonts w:hint="eastAsia" w:ascii="宋体" w:hAnsi="宋体" w:eastAsia="宋体" w:cs="宋体"/>
          <w:color w:val="auto"/>
          <w:kern w:val="0"/>
          <w:szCs w:val="21"/>
          <w:highlight w:val="none"/>
          <w:lang w:eastAsia="zh-CN" w:bidi="ar"/>
        </w:rPr>
        <w:t>：</w:t>
      </w:r>
      <w:r>
        <w:rPr>
          <w:rFonts w:hint="eastAsia" w:ascii="宋体" w:hAnsi="宋体" w:eastAsia="宋体" w:cs="宋体"/>
          <w:color w:val="auto"/>
          <w:kern w:val="0"/>
          <w:szCs w:val="21"/>
          <w:highlight w:val="none"/>
          <w:lang w:bidi="ar"/>
        </w:rPr>
        <w:t>供应商投标时，需携带制作投标文件时用来加密的有效数字证书（CA认证）登录“广西政府采购云”平台电子开标大厅现场按规定时间对加密的投标文件进行解密，否则后果自负。</w:t>
      </w:r>
    </w:p>
    <w:p w14:paraId="548E9E52">
      <w:pPr>
        <w:spacing w:line="400" w:lineRule="exact"/>
        <w:ind w:firstLine="420" w:firstLineChars="200"/>
        <w:rPr>
          <w:rFonts w:hint="eastAsia" w:ascii="宋体" w:hAnsi="宋体" w:eastAsia="宋体" w:cs="宋体"/>
          <w:color w:val="auto"/>
          <w:kern w:val="0"/>
          <w:szCs w:val="21"/>
          <w:highlight w:val="none"/>
        </w:rPr>
      </w:pPr>
      <w:r>
        <w:rPr>
          <w:rFonts w:hint="eastAsia" w:ascii="宋体" w:hAnsi="宋体" w:cs="宋体"/>
          <w:color w:val="auto"/>
          <w:kern w:val="0"/>
          <w:szCs w:val="21"/>
          <w:highlight w:val="none"/>
          <w:lang w:val="en-US" w:eastAsia="zh-CN"/>
        </w:rPr>
        <w:t>11</w:t>
      </w:r>
      <w:r>
        <w:rPr>
          <w:rFonts w:hint="eastAsia" w:ascii="宋体" w:hAnsi="宋体" w:eastAsia="宋体" w:cs="宋体"/>
          <w:color w:val="auto"/>
          <w:kern w:val="0"/>
          <w:szCs w:val="21"/>
          <w:highlight w:val="none"/>
        </w:rPr>
        <w:t>、若对项目采购电子交易系统操作有疑问，可登录“广西政府采购云”平台（https://www.gcy.zfcg.gxzf.gov.cn），点击右侧咨询小采，获取采小蜜智能服务管家帮助，或拨打广西政府采购云服务热线95763获取热线服务帮助。</w:t>
      </w:r>
    </w:p>
    <w:bookmarkEnd w:id="34"/>
    <w:p w14:paraId="20FC7D86">
      <w:pPr>
        <w:spacing w:line="400" w:lineRule="exact"/>
        <w:rPr>
          <w:rFonts w:hint="eastAsia" w:ascii="宋体" w:hAnsi="宋体" w:eastAsia="宋体" w:cs="宋体"/>
          <w:b/>
          <w:bCs/>
          <w:color w:val="auto"/>
          <w:sz w:val="24"/>
          <w:highlight w:val="none"/>
        </w:rPr>
      </w:pPr>
      <w:bookmarkStart w:id="35" w:name="_Toc35393796"/>
      <w:bookmarkStart w:id="36" w:name="_Toc35393627"/>
      <w:bookmarkStart w:id="37" w:name="_Toc28359085"/>
      <w:bookmarkStart w:id="38" w:name="_Toc28359008"/>
      <w:r>
        <w:rPr>
          <w:rFonts w:hint="eastAsia" w:ascii="宋体" w:hAnsi="宋体" w:eastAsia="宋体" w:cs="宋体"/>
          <w:b/>
          <w:bCs/>
          <w:color w:val="auto"/>
          <w:sz w:val="24"/>
          <w:highlight w:val="none"/>
        </w:rPr>
        <w:t>七、对本次招标提出询问，请按以下方式联系。</w:t>
      </w:r>
      <w:bookmarkEnd w:id="35"/>
      <w:bookmarkEnd w:id="36"/>
      <w:bookmarkEnd w:id="37"/>
      <w:bookmarkEnd w:id="38"/>
    </w:p>
    <w:p w14:paraId="03FE401B">
      <w:pPr>
        <w:spacing w:line="400" w:lineRule="exact"/>
        <w:ind w:firstLine="567" w:firstLineChars="27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1.采购人信息</w:t>
      </w:r>
    </w:p>
    <w:p w14:paraId="6D8D8649">
      <w:pPr>
        <w:spacing w:line="400" w:lineRule="exact"/>
        <w:ind w:firstLine="567" w:firstLineChars="270"/>
        <w:jc w:val="left"/>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rPr>
        <w:t>名称</w:t>
      </w:r>
      <w:r>
        <w:rPr>
          <w:rFonts w:hint="eastAsia" w:ascii="宋体" w:hAnsi="宋体" w:eastAsia="宋体" w:cs="宋体"/>
          <w:color w:val="auto"/>
          <w:szCs w:val="21"/>
          <w:highlight w:val="none"/>
          <w:lang w:eastAsia="zh-CN"/>
        </w:rPr>
        <w:t>：</w:t>
      </w:r>
      <w:r>
        <w:rPr>
          <w:rFonts w:hint="eastAsia" w:ascii="宋体" w:hAnsi="宋体" w:eastAsia="宋体" w:cs="宋体"/>
          <w:color w:val="auto"/>
          <w:highlight w:val="none"/>
          <w:lang w:eastAsia="zh-CN"/>
        </w:rPr>
        <w:t>广西壮族自治区交通运输综合行政执法局</w:t>
      </w:r>
    </w:p>
    <w:p w14:paraId="5000917C">
      <w:pPr>
        <w:spacing w:line="400" w:lineRule="exact"/>
        <w:ind w:firstLine="567" w:firstLineChars="270"/>
        <w:jc w:val="left"/>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rPr>
        <w:t>地址</w:t>
      </w:r>
      <w:r>
        <w:rPr>
          <w:rFonts w:hint="eastAsia" w:ascii="宋体" w:hAnsi="宋体" w:eastAsia="宋体" w:cs="宋体"/>
          <w:color w:val="auto"/>
          <w:szCs w:val="21"/>
          <w:highlight w:val="none"/>
          <w:lang w:eastAsia="zh-CN"/>
        </w:rPr>
        <w:t>：广西南宁市滨湖路66号</w:t>
      </w:r>
    </w:p>
    <w:p w14:paraId="6C3F5E00">
      <w:pPr>
        <w:spacing w:line="400" w:lineRule="exact"/>
        <w:ind w:firstLine="567" w:firstLineChars="270"/>
        <w:jc w:val="left"/>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lang w:eastAsia="zh-CN"/>
        </w:rPr>
        <w:t>项目联系人：梁毅</w:t>
      </w:r>
    </w:p>
    <w:p w14:paraId="26D220C3">
      <w:pPr>
        <w:spacing w:line="400" w:lineRule="exact"/>
        <w:ind w:firstLine="567" w:firstLineChars="270"/>
        <w:jc w:val="left"/>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lang w:eastAsia="zh-CN"/>
        </w:rPr>
        <w:t>项目联系方式：0771-2115456</w:t>
      </w:r>
    </w:p>
    <w:p w14:paraId="3E6D1DF2">
      <w:pPr>
        <w:spacing w:line="400" w:lineRule="exact"/>
        <w:ind w:firstLine="567" w:firstLineChars="270"/>
        <w:jc w:val="left"/>
        <w:rPr>
          <w:rFonts w:hint="eastAsia" w:ascii="宋体" w:hAnsi="宋体" w:eastAsia="宋体" w:cs="宋体"/>
          <w:color w:val="auto"/>
          <w:szCs w:val="21"/>
          <w:highlight w:val="none"/>
        </w:rPr>
      </w:pPr>
      <w:bookmarkStart w:id="39" w:name="_Toc28359009"/>
      <w:bookmarkStart w:id="40" w:name="_Toc28359086"/>
      <w:r>
        <w:rPr>
          <w:rFonts w:hint="eastAsia" w:ascii="宋体" w:hAnsi="宋体" w:eastAsia="宋体" w:cs="宋体"/>
          <w:color w:val="auto"/>
          <w:szCs w:val="21"/>
          <w:highlight w:val="none"/>
        </w:rPr>
        <w:t>2.采购代理机构信息</w:t>
      </w:r>
      <w:bookmarkEnd w:id="39"/>
      <w:bookmarkEnd w:id="40"/>
    </w:p>
    <w:p w14:paraId="7E2C3D48">
      <w:pPr>
        <w:spacing w:line="400" w:lineRule="exact"/>
        <w:ind w:firstLine="567" w:firstLineChars="270"/>
        <w:rPr>
          <w:rFonts w:hint="eastAsia" w:ascii="宋体" w:hAnsi="宋体" w:eastAsia="宋体" w:cs="宋体"/>
          <w:color w:val="auto"/>
          <w:szCs w:val="21"/>
          <w:highlight w:val="none"/>
        </w:rPr>
      </w:pPr>
      <w:r>
        <w:rPr>
          <w:rFonts w:hint="eastAsia" w:ascii="宋体" w:hAnsi="宋体" w:eastAsia="宋体" w:cs="宋体"/>
          <w:color w:val="auto"/>
          <w:szCs w:val="21"/>
          <w:highlight w:val="none"/>
        </w:rPr>
        <w:t>名称</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rPr>
        <w:t>广西科文招标有限公司</w:t>
      </w:r>
    </w:p>
    <w:p w14:paraId="3C5A2E47">
      <w:pPr>
        <w:spacing w:line="400" w:lineRule="exact"/>
        <w:ind w:firstLine="567" w:firstLineChars="270"/>
        <w:rPr>
          <w:rFonts w:hint="eastAsia" w:ascii="宋体" w:hAnsi="宋体" w:eastAsia="宋体" w:cs="宋体"/>
          <w:color w:val="auto"/>
          <w:szCs w:val="21"/>
          <w:highlight w:val="none"/>
        </w:rPr>
      </w:pPr>
      <w:r>
        <w:rPr>
          <w:rFonts w:hint="eastAsia" w:ascii="宋体" w:hAnsi="宋体" w:eastAsia="宋体" w:cs="宋体"/>
          <w:color w:val="auto"/>
          <w:szCs w:val="21"/>
          <w:highlight w:val="none"/>
        </w:rPr>
        <w:t>地　址</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rPr>
        <w:t>广西南宁市民族大道141号中鼎万象东方D区</w:t>
      </w:r>
      <w:r>
        <w:rPr>
          <w:rFonts w:hint="eastAsia" w:ascii="宋体" w:hAnsi="宋体" w:eastAsia="宋体" w:cs="宋体"/>
          <w:color w:val="auto"/>
          <w:highlight w:val="none"/>
        </w:rPr>
        <w:t>五</w:t>
      </w:r>
      <w:r>
        <w:rPr>
          <w:rFonts w:hint="eastAsia" w:ascii="宋体" w:hAnsi="宋体" w:eastAsia="宋体" w:cs="宋体"/>
          <w:color w:val="auto"/>
          <w:szCs w:val="21"/>
          <w:highlight w:val="none"/>
        </w:rPr>
        <w:t>层</w:t>
      </w:r>
    </w:p>
    <w:p w14:paraId="34875794">
      <w:pPr>
        <w:spacing w:line="400" w:lineRule="exact"/>
        <w:ind w:firstLine="567" w:firstLineChars="270"/>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lang w:eastAsia="zh-CN"/>
        </w:rPr>
        <w:t>项目联系人：</w:t>
      </w:r>
      <w:r>
        <w:rPr>
          <w:rFonts w:hint="eastAsia" w:ascii="宋体" w:hAnsi="宋体" w:eastAsia="宋体" w:cs="宋体"/>
          <w:color w:val="auto"/>
          <w:szCs w:val="21"/>
          <w:highlight w:val="none"/>
        </w:rPr>
        <w:t>王工、</w:t>
      </w:r>
      <w:r>
        <w:rPr>
          <w:rFonts w:hint="eastAsia" w:ascii="宋体" w:hAnsi="宋体" w:eastAsia="宋体" w:cs="宋体"/>
          <w:color w:val="auto"/>
          <w:szCs w:val="21"/>
          <w:highlight w:val="none"/>
          <w:lang w:eastAsia="zh-CN"/>
        </w:rPr>
        <w:t>李工</w:t>
      </w:r>
    </w:p>
    <w:p w14:paraId="70C94C30">
      <w:pPr>
        <w:spacing w:line="400" w:lineRule="exact"/>
        <w:ind w:firstLine="567" w:firstLineChars="270"/>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rPr>
        <w:t>联系方式</w:t>
      </w:r>
      <w:bookmarkStart w:id="41" w:name="_Toc28359010"/>
      <w:bookmarkStart w:id="42" w:name="_Toc28359087"/>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lang w:val="en-US" w:eastAsia="zh-CN"/>
        </w:rPr>
        <w:t>0771-2026103、</w:t>
      </w:r>
      <w:r>
        <w:rPr>
          <w:rFonts w:hint="eastAsia" w:ascii="宋体" w:hAnsi="宋体" w:eastAsia="宋体" w:cs="宋体"/>
          <w:color w:val="auto"/>
          <w:szCs w:val="21"/>
          <w:highlight w:val="none"/>
          <w:lang w:eastAsia="zh-CN"/>
        </w:rPr>
        <w:t>19017113082</w:t>
      </w:r>
    </w:p>
    <w:p w14:paraId="003EF0FC">
      <w:pPr>
        <w:spacing w:line="400" w:lineRule="exact"/>
        <w:ind w:firstLine="567" w:firstLineChars="270"/>
        <w:rPr>
          <w:rFonts w:hint="eastAsia" w:ascii="宋体" w:hAnsi="宋体" w:eastAsia="宋体" w:cs="宋体"/>
          <w:color w:val="auto"/>
          <w:szCs w:val="21"/>
          <w:highlight w:val="none"/>
          <w:u w:val="single"/>
        </w:rPr>
      </w:pPr>
      <w:r>
        <w:rPr>
          <w:rFonts w:hint="eastAsia" w:ascii="宋体" w:hAnsi="宋体" w:eastAsia="宋体" w:cs="宋体"/>
          <w:color w:val="auto"/>
          <w:szCs w:val="21"/>
          <w:highlight w:val="none"/>
        </w:rPr>
        <w:t>3.项目联系方式</w:t>
      </w:r>
      <w:bookmarkEnd w:id="41"/>
      <w:bookmarkEnd w:id="42"/>
    </w:p>
    <w:p w14:paraId="4DD30B07">
      <w:pPr>
        <w:pStyle w:val="24"/>
        <w:spacing w:line="400" w:lineRule="exact"/>
        <w:ind w:firstLine="567" w:firstLineChars="270"/>
        <w:rPr>
          <w:rFonts w:hint="eastAsia" w:ascii="宋体" w:hAnsi="宋体" w:eastAsia="宋体" w:cs="宋体"/>
          <w:color w:val="auto"/>
          <w:sz w:val="21"/>
          <w:highlight w:val="none"/>
          <w:lang w:eastAsia="zh-CN"/>
        </w:rPr>
      </w:pPr>
      <w:r>
        <w:rPr>
          <w:rFonts w:hint="eastAsia" w:ascii="宋体" w:hAnsi="宋体" w:eastAsia="宋体" w:cs="宋体"/>
          <w:color w:val="auto"/>
          <w:sz w:val="21"/>
          <w:highlight w:val="none"/>
        </w:rPr>
        <w:t>项目联系人</w:t>
      </w:r>
      <w:r>
        <w:rPr>
          <w:rFonts w:hint="eastAsia" w:ascii="宋体" w:hAnsi="宋体" w:eastAsia="宋体" w:cs="宋体"/>
          <w:color w:val="auto"/>
          <w:sz w:val="21"/>
          <w:highlight w:val="none"/>
          <w:lang w:eastAsia="zh-CN"/>
        </w:rPr>
        <w:t>：</w:t>
      </w:r>
      <w:r>
        <w:rPr>
          <w:rFonts w:hint="eastAsia" w:hAnsi="宋体" w:eastAsia="宋体" w:cs="宋体"/>
          <w:color w:val="auto"/>
          <w:sz w:val="21"/>
          <w:highlight w:val="none"/>
          <w:lang w:eastAsia="zh-CN"/>
        </w:rPr>
        <w:t>王工、李工</w:t>
      </w:r>
    </w:p>
    <w:p w14:paraId="3E00CCA4">
      <w:pPr>
        <w:spacing w:line="400" w:lineRule="exact"/>
        <w:ind w:firstLine="567" w:firstLineChars="270"/>
        <w:rPr>
          <w:rFonts w:hint="eastAsia" w:ascii="宋体" w:hAnsi="宋体" w:eastAsia="宋体" w:cs="宋体"/>
          <w:color w:val="auto"/>
          <w:szCs w:val="21"/>
          <w:highlight w:val="none"/>
          <w:u w:val="single"/>
          <w:lang w:eastAsia="zh-CN"/>
        </w:rPr>
      </w:pPr>
      <w:r>
        <w:rPr>
          <w:rFonts w:hint="eastAsia" w:ascii="宋体" w:hAnsi="宋体" w:eastAsia="宋体" w:cs="宋体"/>
          <w:color w:val="auto"/>
          <w:szCs w:val="21"/>
          <w:highlight w:val="none"/>
        </w:rPr>
        <w:t>电　话</w:t>
      </w:r>
      <w:r>
        <w:rPr>
          <w:rFonts w:hint="eastAsia" w:ascii="宋体" w:hAnsi="宋体" w:eastAsia="宋体" w:cs="宋体"/>
          <w:color w:val="auto"/>
          <w:szCs w:val="21"/>
          <w:highlight w:val="none"/>
          <w:lang w:eastAsia="zh-CN"/>
        </w:rPr>
        <w:t>：0771-2026103、19017113082</w:t>
      </w:r>
    </w:p>
    <w:p w14:paraId="44C60386">
      <w:pPr>
        <w:spacing w:line="400" w:lineRule="exact"/>
        <w:jc w:val="right"/>
        <w:rPr>
          <w:rFonts w:hint="eastAsia" w:ascii="宋体" w:hAnsi="宋体" w:eastAsia="宋体" w:cs="宋体"/>
          <w:color w:val="auto"/>
          <w:szCs w:val="21"/>
          <w:highlight w:val="none"/>
        </w:rPr>
      </w:pPr>
      <w:r>
        <w:rPr>
          <w:rFonts w:hint="eastAsia" w:ascii="宋体" w:hAnsi="宋体" w:eastAsia="宋体" w:cs="宋体"/>
          <w:color w:val="auto"/>
          <w:szCs w:val="21"/>
          <w:highlight w:val="none"/>
        </w:rPr>
        <w:t>广西科文招标有限公司</w:t>
      </w:r>
      <w:bookmarkEnd w:id="9"/>
    </w:p>
    <w:p w14:paraId="6227C822">
      <w:pPr>
        <w:spacing w:line="400" w:lineRule="exact"/>
        <w:jc w:val="right"/>
        <w:rPr>
          <w:rFonts w:hint="eastAsia" w:ascii="宋体" w:hAnsi="宋体" w:eastAsia="宋体" w:cs="宋体"/>
          <w:color w:val="auto"/>
          <w:szCs w:val="21"/>
          <w:highlight w:val="none"/>
        </w:rPr>
      </w:pPr>
      <w:r>
        <w:rPr>
          <w:rFonts w:hint="eastAsia" w:ascii="宋体" w:hAnsi="宋体" w:eastAsia="宋体" w:cs="宋体"/>
          <w:color w:val="auto"/>
          <w:highlight w:val="none"/>
          <w:lang w:eastAsia="zh-CN"/>
        </w:rPr>
        <w:t>2026年</w:t>
      </w:r>
      <w:r>
        <w:rPr>
          <w:rFonts w:hint="eastAsia" w:ascii="宋体" w:hAnsi="宋体" w:cs="宋体"/>
          <w:color w:val="auto"/>
          <w:highlight w:val="none"/>
          <w:lang w:val="en-US" w:eastAsia="zh-CN"/>
        </w:rPr>
        <w:t>6</w:t>
      </w:r>
      <w:r>
        <w:rPr>
          <w:rFonts w:hint="eastAsia" w:ascii="宋体" w:hAnsi="宋体" w:eastAsia="宋体" w:cs="宋体"/>
          <w:color w:val="auto"/>
          <w:highlight w:val="none"/>
          <w:lang w:eastAsia="zh-CN"/>
        </w:rPr>
        <w:t>月</w:t>
      </w:r>
      <w:r>
        <w:rPr>
          <w:rFonts w:hint="eastAsia" w:ascii="宋体" w:hAnsi="宋体" w:cs="宋体"/>
          <w:color w:val="auto"/>
          <w:highlight w:val="none"/>
          <w:lang w:val="en-US" w:eastAsia="zh-CN"/>
        </w:rPr>
        <w:t>16</w:t>
      </w:r>
      <w:r>
        <w:rPr>
          <w:rFonts w:hint="eastAsia" w:ascii="宋体" w:hAnsi="宋体" w:eastAsia="宋体" w:cs="宋体"/>
          <w:color w:val="auto"/>
          <w:highlight w:val="none"/>
          <w:lang w:eastAsia="zh-CN"/>
        </w:rPr>
        <w:t>日</w:t>
      </w:r>
    </w:p>
    <w:p w14:paraId="32E7F6FB">
      <w:pPr>
        <w:snapToGrid w:val="0"/>
        <w:spacing w:line="320" w:lineRule="exact"/>
        <w:rPr>
          <w:rFonts w:hint="eastAsia" w:ascii="宋体" w:hAnsi="宋体" w:eastAsia="宋体" w:cs="宋体"/>
          <w:color w:val="auto"/>
          <w:sz w:val="24"/>
          <w:szCs w:val="20"/>
          <w:highlight w:val="none"/>
        </w:rPr>
      </w:pPr>
      <w:r>
        <w:rPr>
          <w:rFonts w:hint="eastAsia" w:ascii="宋体" w:hAnsi="宋体" w:eastAsia="宋体" w:cs="宋体"/>
          <w:color w:val="auto"/>
          <w:sz w:val="24"/>
          <w:szCs w:val="20"/>
          <w:highlight w:val="none"/>
        </w:rPr>
        <w:br w:type="page"/>
      </w:r>
    </w:p>
    <w:p w14:paraId="13CC11BA">
      <w:pPr>
        <w:pStyle w:val="3"/>
        <w:jc w:val="center"/>
        <w:rPr>
          <w:rFonts w:hint="eastAsia" w:ascii="宋体" w:hAnsi="宋体" w:eastAsia="宋体" w:cs="宋体"/>
          <w:color w:val="auto"/>
          <w:highlight w:val="none"/>
        </w:rPr>
      </w:pPr>
      <w:bookmarkStart w:id="43" w:name="_Toc74320801"/>
      <w:r>
        <w:rPr>
          <w:rFonts w:hint="eastAsia" w:ascii="宋体" w:hAnsi="宋体" w:eastAsia="宋体" w:cs="宋体"/>
          <w:color w:val="auto"/>
          <w:highlight w:val="none"/>
        </w:rPr>
        <w:t>第二章</w:t>
      </w:r>
      <w:r>
        <w:rPr>
          <w:rFonts w:hint="eastAsia" w:ascii="宋体" w:hAnsi="宋体" w:eastAsia="宋体" w:cs="宋体"/>
          <w:color w:val="auto"/>
          <w:highlight w:val="none"/>
          <w:lang w:val="en-US" w:eastAsia="zh-CN"/>
        </w:rPr>
        <w:t xml:space="preserve"> </w:t>
      </w:r>
      <w:r>
        <w:rPr>
          <w:rFonts w:hint="eastAsia" w:ascii="宋体" w:hAnsi="宋体" w:eastAsia="宋体" w:cs="宋体"/>
          <w:color w:val="auto"/>
          <w:highlight w:val="none"/>
        </w:rPr>
        <w:t>采购需求</w:t>
      </w:r>
      <w:bookmarkEnd w:id="43"/>
    </w:p>
    <w:p w14:paraId="4B99BBA3">
      <w:pPr>
        <w:spacing w:line="360" w:lineRule="auto"/>
        <w:jc w:val="left"/>
        <w:rPr>
          <w:rFonts w:hint="eastAsia" w:ascii="宋体" w:hAnsi="宋体" w:eastAsia="宋体" w:cs="宋体"/>
          <w:b/>
          <w:color w:val="auto"/>
          <w:szCs w:val="21"/>
          <w:highlight w:val="none"/>
          <w:lang w:eastAsia="zh-CN"/>
        </w:rPr>
      </w:pPr>
      <w:bookmarkStart w:id="44" w:name="_Toc254970490"/>
      <w:bookmarkStart w:id="45" w:name="_Toc254970631"/>
      <w:r>
        <w:rPr>
          <w:rFonts w:hint="eastAsia" w:ascii="宋体" w:hAnsi="宋体" w:eastAsia="宋体" w:cs="宋体"/>
          <w:b/>
          <w:color w:val="auto"/>
          <w:szCs w:val="21"/>
          <w:highlight w:val="none"/>
        </w:rPr>
        <w:t>说明</w:t>
      </w:r>
      <w:r>
        <w:rPr>
          <w:rFonts w:hint="eastAsia" w:ascii="宋体" w:hAnsi="宋体" w:eastAsia="宋体" w:cs="宋体"/>
          <w:b/>
          <w:color w:val="auto"/>
          <w:szCs w:val="21"/>
          <w:highlight w:val="none"/>
          <w:lang w:eastAsia="zh-CN"/>
        </w:rPr>
        <w:t>：</w:t>
      </w:r>
    </w:p>
    <w:p w14:paraId="276C0633">
      <w:pPr>
        <w:spacing w:line="360" w:lineRule="exact"/>
        <w:ind w:left="-10" w:leftChars="-5" w:right="2" w:rightChars="1" w:firstLine="422" w:firstLineChars="200"/>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1、采购需求中如出现品牌、型号或者生产厂家等均仅起参考作用，不属于指定品牌、型号或者生产厂家的情形，投标人可参照或者选用其他相当的品牌、型号或者生产供应商替代。但投标人的产品实质上应相当于或优于本需求中的技术要求。</w:t>
      </w:r>
    </w:p>
    <w:p w14:paraId="69E15BA3">
      <w:pPr>
        <w:spacing w:line="360" w:lineRule="exact"/>
        <w:ind w:left="-10" w:leftChars="-5" w:right="2" w:rightChars="1" w:firstLine="422" w:firstLineChars="200"/>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2、如投标人投标产品存在侵犯他人的知识产权或者专利成果行为的，由投标人自行承担相应法律责任。</w:t>
      </w:r>
    </w:p>
    <w:p w14:paraId="1B693B34">
      <w:pPr>
        <w:spacing w:line="360" w:lineRule="exact"/>
        <w:ind w:left="-10" w:leftChars="-5" w:right="2" w:rightChars="1" w:firstLine="422" w:firstLineChars="200"/>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3、“实质性要求”是指招标文件中已经指明不满足则投标无效的条款，或者不能负偏离的条款，或者采购需求中带“▲”的条款。</w:t>
      </w:r>
    </w:p>
    <w:bookmarkEnd w:id="44"/>
    <w:bookmarkEnd w:id="45"/>
    <w:p w14:paraId="42122FAE">
      <w:pPr>
        <w:spacing w:line="360" w:lineRule="exact"/>
        <w:ind w:right="2" w:rightChars="1" w:firstLine="422" w:firstLineChars="200"/>
        <w:outlineLvl w:val="1"/>
        <w:rPr>
          <w:rFonts w:hint="eastAsia" w:ascii="宋体" w:hAnsi="宋体" w:eastAsia="宋体" w:cs="宋体"/>
          <w:b/>
          <w:bCs/>
          <w:color w:val="auto"/>
          <w:szCs w:val="21"/>
          <w:highlight w:val="none"/>
        </w:rPr>
      </w:pPr>
      <w:bookmarkStart w:id="46" w:name="_Toc74320802"/>
      <w:r>
        <w:rPr>
          <w:rFonts w:hint="eastAsia" w:ascii="宋体" w:hAnsi="宋体" w:eastAsia="宋体" w:cs="宋体"/>
          <w:b/>
          <w:bCs/>
          <w:color w:val="auto"/>
          <w:szCs w:val="21"/>
          <w:highlight w:val="none"/>
          <w:lang w:val="en-US" w:eastAsia="zh-CN"/>
        </w:rPr>
        <w:t>4、</w:t>
      </w:r>
      <w:r>
        <w:rPr>
          <w:rFonts w:hint="eastAsia" w:ascii="宋体" w:hAnsi="宋体" w:eastAsia="宋体" w:cs="宋体"/>
          <w:b/>
          <w:bCs/>
          <w:color w:val="auto"/>
          <w:szCs w:val="21"/>
          <w:highlight w:val="none"/>
        </w:rPr>
        <w:t>所属行业</w:t>
      </w:r>
      <w:r>
        <w:rPr>
          <w:rFonts w:hint="eastAsia" w:ascii="宋体" w:hAnsi="宋体" w:eastAsia="宋体" w:cs="宋体"/>
          <w:b/>
          <w:bCs/>
          <w:color w:val="auto"/>
          <w:szCs w:val="21"/>
          <w:highlight w:val="none"/>
          <w:lang w:eastAsia="zh-CN"/>
        </w:rPr>
        <w:t>：</w:t>
      </w:r>
      <w:r>
        <w:rPr>
          <w:rFonts w:hint="eastAsia" w:ascii="宋体" w:hAnsi="宋体" w:eastAsia="宋体" w:cs="宋体"/>
          <w:b/>
          <w:bCs/>
          <w:color w:val="auto"/>
          <w:szCs w:val="21"/>
          <w:highlight w:val="none"/>
        </w:rPr>
        <w:t>其他未列明行业</w:t>
      </w:r>
    </w:p>
    <w:p w14:paraId="22828A87">
      <w:pPr>
        <w:numPr>
          <w:ilvl w:val="0"/>
          <w:numId w:val="0"/>
        </w:numPr>
        <w:spacing w:line="360" w:lineRule="exact"/>
        <w:ind w:right="2" w:rightChars="1" w:firstLine="0" w:firstLineChars="0"/>
        <w:outlineLvl w:val="9"/>
        <w:rPr>
          <w:rFonts w:hint="eastAsia" w:ascii="宋体" w:hAnsi="宋体" w:eastAsia="宋体" w:cs="宋体"/>
          <w:b/>
          <w:bCs/>
          <w:color w:val="auto"/>
          <w:szCs w:val="21"/>
          <w:highlight w:val="none"/>
          <w:lang w:val="en-US" w:eastAsia="zh-CN"/>
        </w:rPr>
      </w:pPr>
      <w:r>
        <w:rPr>
          <w:rFonts w:hint="eastAsia" w:ascii="宋体" w:hAnsi="宋体" w:eastAsia="宋体" w:cs="宋体"/>
          <w:b/>
          <w:bCs/>
          <w:color w:val="auto"/>
          <w:szCs w:val="21"/>
          <w:highlight w:val="none"/>
          <w:lang w:val="en-US" w:eastAsia="zh-CN"/>
        </w:rPr>
        <w:t>GLTLJD1标段/GLTLJD2标段/GLTLJD3标段/GLTLJD4标段</w:t>
      </w:r>
    </w:p>
    <w:tbl>
      <w:tblPr>
        <w:tblStyle w:val="45"/>
        <w:tblW w:w="918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9"/>
        <w:gridCol w:w="736"/>
        <w:gridCol w:w="453"/>
        <w:gridCol w:w="705"/>
        <w:gridCol w:w="6582"/>
      </w:tblGrid>
      <w:tr w14:paraId="65D4A8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9185" w:type="dxa"/>
            <w:gridSpan w:val="5"/>
            <w:noWrap w:val="0"/>
            <w:vAlign w:val="center"/>
          </w:tcPr>
          <w:p w14:paraId="7C4589E9">
            <w:pPr>
              <w:spacing w:line="360" w:lineRule="exact"/>
              <w:rPr>
                <w:rFonts w:hint="eastAsia" w:ascii="宋体" w:hAnsi="宋体" w:eastAsia="宋体" w:cs="宋体"/>
                <w:color w:val="auto"/>
                <w:szCs w:val="21"/>
                <w:highlight w:val="none"/>
              </w:rPr>
            </w:pPr>
            <w:bookmarkStart w:id="47" w:name="_Toc96502197"/>
            <w:r>
              <w:rPr>
                <w:rFonts w:hint="eastAsia" w:ascii="宋体" w:hAnsi="宋体" w:eastAsia="宋体" w:cs="宋体"/>
                <w:b/>
                <w:bCs/>
                <w:color w:val="auto"/>
                <w:szCs w:val="21"/>
                <w:highlight w:val="none"/>
              </w:rPr>
              <w:t>一、项目要求及技术需求</w:t>
            </w:r>
            <w:bookmarkEnd w:id="47"/>
          </w:p>
        </w:tc>
      </w:tr>
      <w:tr w14:paraId="158E4E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709" w:type="dxa"/>
            <w:noWrap w:val="0"/>
            <w:vAlign w:val="center"/>
          </w:tcPr>
          <w:p w14:paraId="7BE5417A">
            <w:pPr>
              <w:spacing w:line="360" w:lineRule="exact"/>
              <w:jc w:val="center"/>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标项</w:t>
            </w:r>
          </w:p>
        </w:tc>
        <w:tc>
          <w:tcPr>
            <w:tcW w:w="1189" w:type="dxa"/>
            <w:gridSpan w:val="2"/>
            <w:noWrap w:val="0"/>
            <w:vAlign w:val="center"/>
          </w:tcPr>
          <w:p w14:paraId="1CD4F6C2">
            <w:pPr>
              <w:spacing w:line="360" w:lineRule="exact"/>
              <w:jc w:val="center"/>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标的名称</w:t>
            </w:r>
          </w:p>
        </w:tc>
        <w:tc>
          <w:tcPr>
            <w:tcW w:w="705" w:type="dxa"/>
            <w:noWrap w:val="0"/>
            <w:vAlign w:val="center"/>
          </w:tcPr>
          <w:p w14:paraId="4514B5E4">
            <w:pPr>
              <w:spacing w:line="360" w:lineRule="exact"/>
              <w:jc w:val="center"/>
              <w:rPr>
                <w:rFonts w:hint="eastAsia" w:ascii="宋体" w:hAnsi="宋体" w:eastAsia="宋体" w:cs="宋体"/>
                <w:b/>
                <w:bCs/>
                <w:color w:val="auto"/>
                <w:szCs w:val="21"/>
                <w:highlight w:val="none"/>
              </w:rPr>
            </w:pPr>
            <w:bookmarkStart w:id="48" w:name="_Toc96502200"/>
            <w:r>
              <w:rPr>
                <w:rFonts w:hint="eastAsia" w:ascii="宋体" w:hAnsi="宋体" w:eastAsia="宋体" w:cs="宋体"/>
                <w:b/>
                <w:bCs/>
                <w:color w:val="auto"/>
                <w:szCs w:val="21"/>
                <w:highlight w:val="none"/>
              </w:rPr>
              <w:t>数量</w:t>
            </w:r>
            <w:bookmarkEnd w:id="48"/>
          </w:p>
        </w:tc>
        <w:tc>
          <w:tcPr>
            <w:tcW w:w="6582" w:type="dxa"/>
            <w:noWrap w:val="0"/>
            <w:vAlign w:val="center"/>
          </w:tcPr>
          <w:p w14:paraId="49E0BC4B">
            <w:pPr>
              <w:spacing w:line="360" w:lineRule="exact"/>
              <w:jc w:val="center"/>
              <w:rPr>
                <w:rFonts w:hint="eastAsia" w:ascii="宋体" w:hAnsi="宋体" w:eastAsia="宋体" w:cs="宋体"/>
                <w:b/>
                <w:bCs/>
                <w:color w:val="auto"/>
                <w:szCs w:val="21"/>
                <w:highlight w:val="none"/>
              </w:rPr>
            </w:pPr>
            <w:bookmarkStart w:id="49" w:name="_Toc96502201"/>
            <w:r>
              <w:rPr>
                <w:rFonts w:hint="eastAsia" w:ascii="宋体" w:hAnsi="宋体" w:eastAsia="宋体" w:cs="宋体"/>
                <w:b/>
                <w:bCs/>
                <w:color w:val="auto"/>
                <w:szCs w:val="21"/>
                <w:highlight w:val="none"/>
              </w:rPr>
              <w:t>项目要求及技术需求</w:t>
            </w:r>
            <w:bookmarkEnd w:id="49"/>
          </w:p>
        </w:tc>
      </w:tr>
      <w:tr w14:paraId="415277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709" w:type="dxa"/>
            <w:noWrap w:val="0"/>
            <w:vAlign w:val="center"/>
          </w:tcPr>
          <w:p w14:paraId="25AABBA1">
            <w:pPr>
              <w:spacing w:line="360" w:lineRule="exact"/>
              <w:jc w:val="center"/>
              <w:rPr>
                <w:rFonts w:hint="eastAsia" w:ascii="宋体" w:hAnsi="宋体" w:eastAsia="宋体" w:cs="宋体"/>
                <w:color w:val="auto"/>
                <w:szCs w:val="21"/>
                <w:highlight w:val="none"/>
              </w:rPr>
            </w:pPr>
            <w:r>
              <w:rPr>
                <w:rFonts w:hint="eastAsia" w:ascii="宋体" w:hAnsi="宋体" w:eastAsia="宋体" w:cs="宋体"/>
                <w:bCs/>
                <w:color w:val="auto"/>
                <w:szCs w:val="21"/>
                <w:highlight w:val="none"/>
                <w:lang w:eastAsia="zh-CN"/>
              </w:rPr>
              <w:t>GLTLJD1</w:t>
            </w:r>
          </w:p>
        </w:tc>
        <w:tc>
          <w:tcPr>
            <w:tcW w:w="1189" w:type="dxa"/>
            <w:gridSpan w:val="2"/>
            <w:noWrap w:val="0"/>
            <w:vAlign w:val="center"/>
          </w:tcPr>
          <w:p w14:paraId="76135EA2">
            <w:pPr>
              <w:spacing w:line="360" w:lineRule="exact"/>
              <w:jc w:val="center"/>
              <w:rPr>
                <w:rFonts w:hint="eastAsia" w:ascii="宋体" w:hAnsi="宋体" w:eastAsia="宋体" w:cs="宋体"/>
                <w:color w:val="auto"/>
                <w:szCs w:val="21"/>
                <w:highlight w:val="none"/>
                <w:lang w:eastAsia="zh-CN"/>
              </w:rPr>
            </w:pPr>
            <w:r>
              <w:rPr>
                <w:rFonts w:hint="eastAsia" w:ascii="宋体" w:hAnsi="宋体" w:eastAsia="宋体" w:cs="宋体"/>
                <w:bCs/>
                <w:color w:val="auto"/>
                <w:szCs w:val="21"/>
                <w:highlight w:val="none"/>
                <w:lang w:eastAsia="zh-CN"/>
              </w:rPr>
              <w:t>GLTLJD1：公路、铁路工程质量监督检测</w:t>
            </w:r>
          </w:p>
        </w:tc>
        <w:tc>
          <w:tcPr>
            <w:tcW w:w="705" w:type="dxa"/>
            <w:noWrap w:val="0"/>
            <w:vAlign w:val="center"/>
          </w:tcPr>
          <w:p w14:paraId="2AE4EB1E">
            <w:pPr>
              <w:spacing w:line="36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1项</w:t>
            </w:r>
          </w:p>
        </w:tc>
        <w:tc>
          <w:tcPr>
            <w:tcW w:w="6582" w:type="dxa"/>
            <w:vMerge w:val="restart"/>
            <w:noWrap w:val="0"/>
            <w:vAlign w:val="center"/>
          </w:tcPr>
          <w:p w14:paraId="4002BAE3">
            <w:pPr>
              <w:widowControl/>
              <w:wordWrap w:val="0"/>
              <w:spacing w:line="360" w:lineRule="exact"/>
              <w:ind w:firstLine="420" w:firstLineChars="200"/>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rPr>
              <w:t>GLTLJD1标段/GLTLJD2标段/GLTLJD3标段/GLTLJD4标段</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rPr>
              <w:t>公路、铁路工程质量监督检测</w:t>
            </w:r>
            <w:r>
              <w:rPr>
                <w:rFonts w:hint="eastAsia" w:ascii="宋体" w:hAnsi="宋体" w:eastAsia="宋体" w:cs="宋体"/>
                <w:color w:val="auto"/>
                <w:szCs w:val="21"/>
                <w:highlight w:val="none"/>
                <w:lang w:eastAsia="zh-CN"/>
              </w:rPr>
              <w:t>工作。</w:t>
            </w:r>
          </w:p>
          <w:p w14:paraId="3838129F">
            <w:pPr>
              <w:widowControl/>
              <w:wordWrap w:val="0"/>
              <w:spacing w:line="360" w:lineRule="exact"/>
              <w:ind w:firstLine="422" w:firstLineChars="200"/>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lang w:eastAsia="zh-CN"/>
              </w:rPr>
              <w:t>一</w:t>
            </w:r>
            <w:r>
              <w:rPr>
                <w:rFonts w:hint="eastAsia" w:ascii="宋体" w:hAnsi="宋体" w:eastAsia="宋体" w:cs="宋体"/>
                <w:b/>
                <w:bCs/>
                <w:color w:val="auto"/>
                <w:szCs w:val="21"/>
                <w:highlight w:val="none"/>
              </w:rPr>
              <w:t>、技术要求</w:t>
            </w:r>
          </w:p>
          <w:p w14:paraId="5610C357">
            <w:pPr>
              <w:widowControl/>
              <w:wordWrap w:val="0"/>
              <w:spacing w:line="360" w:lineRule="exact"/>
              <w:ind w:firstLine="420" w:firstLineChars="200"/>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rPr>
              <w:t>1.需实现的功能、目标及应用场景</w:t>
            </w:r>
            <w:r>
              <w:rPr>
                <w:rFonts w:hint="eastAsia" w:ascii="宋体" w:hAnsi="宋体" w:eastAsia="宋体" w:cs="宋体"/>
                <w:color w:val="auto"/>
                <w:szCs w:val="21"/>
                <w:highlight w:val="none"/>
                <w:lang w:eastAsia="zh-CN"/>
              </w:rPr>
              <w:t>。</w:t>
            </w:r>
          </w:p>
          <w:p w14:paraId="40DFCF1E">
            <w:pPr>
              <w:widowControl/>
              <w:wordWrap w:val="0"/>
              <w:spacing w:line="36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满足招标文件要求，验收达到合格标准。</w:t>
            </w:r>
          </w:p>
          <w:p w14:paraId="4835E254">
            <w:pPr>
              <w:widowControl/>
              <w:wordWrap w:val="0"/>
              <w:spacing w:line="360" w:lineRule="exact"/>
              <w:ind w:firstLine="420" w:firstLineChars="200"/>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rPr>
              <w:t>2.需执行的国家相关标准、行业标准、地方标准或者其他标准、规范</w:t>
            </w:r>
            <w:r>
              <w:rPr>
                <w:rFonts w:hint="eastAsia" w:ascii="宋体" w:hAnsi="宋体" w:eastAsia="宋体" w:cs="宋体"/>
                <w:color w:val="auto"/>
                <w:szCs w:val="21"/>
                <w:highlight w:val="none"/>
                <w:lang w:eastAsia="zh-CN"/>
              </w:rPr>
              <w:t>。</w:t>
            </w:r>
          </w:p>
          <w:p w14:paraId="18A8D695">
            <w:pPr>
              <w:widowControl/>
              <w:wordWrap w:val="0"/>
              <w:spacing w:line="360" w:lineRule="exact"/>
              <w:ind w:firstLine="420" w:firstLineChars="200"/>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rPr>
              <w:t>本项目应执行的国家相关标准、行业标准、地方标准或者其他标准、规范为</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rPr>
              <w:t>详见技术指标要求</w:t>
            </w:r>
            <w:r>
              <w:rPr>
                <w:rFonts w:hint="eastAsia" w:ascii="宋体" w:hAnsi="宋体" w:eastAsia="宋体" w:cs="宋体"/>
                <w:color w:val="auto"/>
                <w:szCs w:val="21"/>
                <w:highlight w:val="none"/>
                <w:lang w:eastAsia="zh-CN"/>
              </w:rPr>
              <w:t>。</w:t>
            </w:r>
          </w:p>
          <w:p w14:paraId="01F3D9D2">
            <w:pPr>
              <w:widowControl/>
              <w:wordWrap w:val="0"/>
              <w:spacing w:line="360" w:lineRule="exact"/>
              <w:ind w:firstLine="420" w:firstLineChars="200"/>
              <w:rPr>
                <w:rFonts w:hint="default"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3</w:t>
            </w:r>
            <w:r>
              <w:rPr>
                <w:rFonts w:hint="eastAsia" w:ascii="宋体" w:hAnsi="宋体" w:eastAsia="宋体" w:cs="宋体"/>
                <w:color w:val="auto"/>
                <w:szCs w:val="21"/>
                <w:highlight w:val="none"/>
              </w:rPr>
              <w:t>.核心产品</w:t>
            </w:r>
            <w:r>
              <w:rPr>
                <w:rFonts w:hint="eastAsia" w:ascii="宋体" w:hAnsi="宋体" w:cs="宋体"/>
                <w:color w:val="auto"/>
                <w:szCs w:val="21"/>
                <w:highlight w:val="none"/>
                <w:lang w:eastAsia="zh-CN"/>
              </w:rPr>
              <w:t>：</w:t>
            </w:r>
            <w:r>
              <w:rPr>
                <w:rFonts w:hint="eastAsia" w:ascii="宋体" w:hAnsi="宋体" w:cs="宋体"/>
                <w:color w:val="auto"/>
                <w:szCs w:val="21"/>
                <w:highlight w:val="none"/>
                <w:lang w:val="en-US" w:eastAsia="zh-CN"/>
              </w:rPr>
              <w:t>无。</w:t>
            </w:r>
          </w:p>
          <w:p w14:paraId="695405C6">
            <w:pPr>
              <w:widowControl/>
              <w:wordWrap w:val="0"/>
              <w:spacing w:line="360" w:lineRule="exact"/>
              <w:ind w:firstLine="420" w:firstLineChars="200"/>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lang w:val="en-US" w:eastAsia="zh-CN"/>
              </w:rPr>
              <w:t>4</w:t>
            </w:r>
            <w:r>
              <w:rPr>
                <w:rFonts w:hint="eastAsia" w:ascii="宋体" w:hAnsi="宋体" w:eastAsia="宋体" w:cs="宋体"/>
                <w:color w:val="auto"/>
                <w:szCs w:val="21"/>
                <w:highlight w:val="none"/>
              </w:rPr>
              <w:t>.</w:t>
            </w:r>
            <w:r>
              <w:rPr>
                <w:rFonts w:hint="eastAsia" w:ascii="宋体" w:hAnsi="宋体" w:eastAsia="宋体" w:cs="宋体"/>
                <w:color w:val="auto"/>
                <w:szCs w:val="21"/>
                <w:highlight w:val="none"/>
                <w:lang w:eastAsia="zh-CN"/>
              </w:rPr>
              <w:t>工作</w:t>
            </w:r>
            <w:r>
              <w:rPr>
                <w:rFonts w:hint="eastAsia" w:ascii="宋体" w:hAnsi="宋体" w:eastAsia="宋体" w:cs="宋体"/>
                <w:color w:val="auto"/>
                <w:szCs w:val="21"/>
                <w:highlight w:val="none"/>
              </w:rPr>
              <w:t>内容和标准</w:t>
            </w:r>
          </w:p>
          <w:p w14:paraId="267AC752">
            <w:pPr>
              <w:widowControl/>
              <w:wordWrap w:val="0"/>
              <w:spacing w:line="36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4</w:t>
            </w:r>
            <w:r>
              <w:rPr>
                <w:rFonts w:hint="eastAsia" w:ascii="宋体" w:hAnsi="宋体" w:eastAsia="宋体" w:cs="宋体"/>
                <w:color w:val="auto"/>
                <w:szCs w:val="21"/>
                <w:highlight w:val="none"/>
              </w:rPr>
              <w:t>.1基本情况</w:t>
            </w:r>
          </w:p>
          <w:p w14:paraId="4246323B">
            <w:pPr>
              <w:widowControl/>
              <w:wordWrap w:val="0"/>
              <w:spacing w:line="36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根据《公路水运工程质量监督管理规定》（交通运输部令2017年第28号）《铁路建设工程质量监督管理规定》（交通运输部令2021年第35号）要求，</w:t>
            </w:r>
            <w:r>
              <w:rPr>
                <w:rFonts w:hint="eastAsia" w:ascii="宋体" w:hAnsi="宋体" w:eastAsia="宋体" w:cs="宋体"/>
                <w:color w:val="auto"/>
                <w:szCs w:val="21"/>
                <w:highlight w:val="none"/>
                <w:lang w:eastAsia="zh-CN"/>
              </w:rPr>
              <w:t>为加强公路、地方铁路工程质量监督向社会采购监督检测服务</w:t>
            </w:r>
            <w:r>
              <w:rPr>
                <w:rFonts w:hint="eastAsia" w:ascii="宋体" w:hAnsi="宋体" w:eastAsia="宋体" w:cs="宋体"/>
                <w:color w:val="auto"/>
                <w:szCs w:val="21"/>
                <w:highlight w:val="none"/>
              </w:rPr>
              <w:t>，内容包括主要工程原材料、半成品、工程实体质量等试验检测工作。</w:t>
            </w:r>
            <w:r>
              <w:rPr>
                <w:rFonts w:hint="eastAsia" w:ascii="宋体" w:hAnsi="宋体" w:eastAsia="宋体" w:cs="宋体"/>
                <w:color w:val="auto"/>
                <w:szCs w:val="21"/>
                <w:highlight w:val="none"/>
                <w:lang w:eastAsia="zh-CN"/>
              </w:rPr>
              <w:t>该监督检测服务</w:t>
            </w:r>
            <w:r>
              <w:rPr>
                <w:rFonts w:hint="eastAsia" w:ascii="宋体" w:hAnsi="宋体" w:eastAsia="宋体" w:cs="宋体"/>
                <w:color w:val="auto"/>
                <w:szCs w:val="21"/>
                <w:highlight w:val="none"/>
              </w:rPr>
              <w:t>覆盖自治区范围内在建公路、地方铁路工程建设项目。</w:t>
            </w:r>
          </w:p>
          <w:p w14:paraId="690DCD87">
            <w:pPr>
              <w:widowControl/>
              <w:wordWrap w:val="0"/>
              <w:spacing w:line="36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w:t>
            </w:r>
            <w:r>
              <w:rPr>
                <w:rFonts w:hint="eastAsia" w:ascii="宋体" w:hAnsi="宋体" w:eastAsia="宋体" w:cs="宋体"/>
                <w:color w:val="auto"/>
                <w:szCs w:val="21"/>
                <w:highlight w:val="none"/>
                <w:lang w:val="en-US" w:eastAsia="zh-CN"/>
              </w:rPr>
              <w:t>4</w:t>
            </w:r>
            <w:r>
              <w:rPr>
                <w:rFonts w:hint="eastAsia" w:ascii="宋体" w:hAnsi="宋体" w:eastAsia="宋体" w:cs="宋体"/>
                <w:color w:val="auto"/>
                <w:szCs w:val="21"/>
                <w:highlight w:val="none"/>
              </w:rPr>
              <w:t>.2基本要求</w:t>
            </w:r>
          </w:p>
          <w:p w14:paraId="1CC8B975">
            <w:pPr>
              <w:widowControl/>
              <w:wordWrap w:val="0"/>
              <w:spacing w:line="36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4</w:t>
            </w:r>
            <w:r>
              <w:rPr>
                <w:rFonts w:hint="eastAsia" w:ascii="宋体" w:hAnsi="宋体" w:eastAsia="宋体" w:cs="宋体"/>
                <w:color w:val="auto"/>
                <w:szCs w:val="21"/>
                <w:highlight w:val="none"/>
              </w:rPr>
              <w:t>.2.1本服务标采用抽检方式，如重点时段、重大节假日等情况采购人需要更改取样地点与现场试验的要求，或更改检测数量，检测单位（</w:t>
            </w:r>
            <w:r>
              <w:rPr>
                <w:rFonts w:hint="eastAsia" w:ascii="宋体" w:hAnsi="宋体" w:eastAsia="宋体" w:cs="宋体"/>
                <w:color w:val="auto"/>
                <w:szCs w:val="21"/>
                <w:highlight w:val="none"/>
                <w:lang w:eastAsia="zh-CN"/>
              </w:rPr>
              <w:t>中标人</w:t>
            </w:r>
            <w:r>
              <w:rPr>
                <w:rFonts w:hint="eastAsia" w:ascii="宋体" w:hAnsi="宋体" w:eastAsia="宋体" w:cs="宋体"/>
                <w:color w:val="auto"/>
                <w:szCs w:val="21"/>
                <w:highlight w:val="none"/>
              </w:rPr>
              <w:t>）应积极配合并安排实施，具体抽检的工程建设项目及地点由采购人确定。</w:t>
            </w:r>
          </w:p>
          <w:p w14:paraId="73669498">
            <w:pPr>
              <w:widowControl/>
              <w:wordWrap w:val="0"/>
              <w:spacing w:line="36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4</w:t>
            </w:r>
            <w:r>
              <w:rPr>
                <w:rFonts w:hint="eastAsia" w:ascii="宋体" w:hAnsi="宋体" w:eastAsia="宋体" w:cs="宋体"/>
                <w:color w:val="auto"/>
                <w:szCs w:val="21"/>
                <w:highlight w:val="none"/>
              </w:rPr>
              <w:t>.2.2中标人在实施检测服务时，应自备车辆，检测服务的人员、车辆、仪器设备等一切费用包含在投标报价中。实施检测服务前应就具体工程建设项目检测服务向采购人提交具体的质量检测方案，经采购人审查批准后，并以此作为工作依据。</w:t>
            </w:r>
          </w:p>
          <w:p w14:paraId="1DFECE6B">
            <w:pPr>
              <w:widowControl/>
              <w:wordWrap w:val="0"/>
              <w:spacing w:line="36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4</w:t>
            </w:r>
            <w:r>
              <w:rPr>
                <w:rFonts w:hint="eastAsia" w:ascii="宋体" w:hAnsi="宋体" w:eastAsia="宋体" w:cs="宋体"/>
                <w:color w:val="auto"/>
                <w:szCs w:val="21"/>
                <w:highlight w:val="none"/>
              </w:rPr>
              <w:t>.2.3检测服务的内容，应按采购人确定的执行，若需要调整，应经采购人同意。</w:t>
            </w:r>
          </w:p>
          <w:p w14:paraId="53C54DE9">
            <w:pPr>
              <w:widowControl/>
              <w:wordWrap w:val="0"/>
              <w:spacing w:line="36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4</w:t>
            </w:r>
            <w:r>
              <w:rPr>
                <w:rFonts w:hint="eastAsia" w:ascii="宋体" w:hAnsi="宋体" w:eastAsia="宋体" w:cs="宋体"/>
                <w:color w:val="auto"/>
                <w:szCs w:val="21"/>
                <w:highlight w:val="none"/>
              </w:rPr>
              <w:t>.2.4检测服务过程中应认真记录每日工作内容，保存原始记录资料与数据，以供采购人检查和分析。</w:t>
            </w:r>
          </w:p>
          <w:p w14:paraId="3EB1E16F">
            <w:pPr>
              <w:widowControl/>
              <w:wordWrap w:val="0"/>
              <w:spacing w:line="36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4</w:t>
            </w:r>
            <w:r>
              <w:rPr>
                <w:rFonts w:hint="eastAsia" w:ascii="宋体" w:hAnsi="宋体" w:eastAsia="宋体" w:cs="宋体"/>
                <w:color w:val="auto"/>
                <w:szCs w:val="21"/>
                <w:highlight w:val="none"/>
              </w:rPr>
              <w:t>.2.5如采购人需要更改取样地点或更改工程检测的内容和数量或进行现场试验等要求，中标人应积极配合并安排实施。中标人应优先完成采购人分配的检测任务及检测项目。如后期需要增加检测项目（或单价）的，由采购人和中标人签订补充协议进行约定。</w:t>
            </w:r>
          </w:p>
          <w:p w14:paraId="78F5735C">
            <w:pPr>
              <w:widowControl/>
              <w:wordWrap w:val="0"/>
              <w:spacing w:line="36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4</w:t>
            </w:r>
            <w:r>
              <w:rPr>
                <w:rFonts w:hint="eastAsia" w:ascii="宋体" w:hAnsi="宋体" w:eastAsia="宋体" w:cs="宋体"/>
                <w:color w:val="auto"/>
                <w:szCs w:val="21"/>
                <w:highlight w:val="none"/>
              </w:rPr>
              <w:t>.2.6中标人在进行外业检测时，应采取有效的安全、保卫和环境保护措施，若对原有道路、桥梁、构造物或地上附着物造成损坏或损伤，应负相应责任。</w:t>
            </w:r>
          </w:p>
          <w:p w14:paraId="4340EC5E">
            <w:pPr>
              <w:widowControl/>
              <w:wordWrap w:val="0"/>
              <w:spacing w:line="36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4</w:t>
            </w:r>
            <w:r>
              <w:rPr>
                <w:rFonts w:hint="eastAsia" w:ascii="宋体" w:hAnsi="宋体" w:eastAsia="宋体" w:cs="宋体"/>
                <w:color w:val="auto"/>
                <w:szCs w:val="21"/>
                <w:highlight w:val="none"/>
              </w:rPr>
              <w:t>.2.7检测工作应按实施检测项目的工程设计文件及国家现行的相关规范、规程、标准等有关要求进行。</w:t>
            </w:r>
          </w:p>
          <w:p w14:paraId="20E00533">
            <w:pPr>
              <w:widowControl/>
              <w:wordWrap w:val="0"/>
              <w:spacing w:line="36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4</w:t>
            </w:r>
            <w:r>
              <w:rPr>
                <w:rFonts w:hint="eastAsia" w:ascii="宋体" w:hAnsi="宋体" w:eastAsia="宋体" w:cs="宋体"/>
                <w:color w:val="auto"/>
                <w:szCs w:val="21"/>
                <w:highlight w:val="none"/>
              </w:rPr>
              <w:t>.2.8如设计单位提供的质量技术标准要求存在违反国家现行相关标准、规范、规则、规程、条例、规定或明显不切实际或造成不必要浪费的，要及时向采购人汇报，由采购人进行协调，由采购人协商设计单位按质量技术标准要求改正。</w:t>
            </w:r>
          </w:p>
          <w:p w14:paraId="2D4A04D9">
            <w:pPr>
              <w:widowControl/>
              <w:wordWrap w:val="0"/>
              <w:spacing w:line="36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4</w:t>
            </w:r>
            <w:r>
              <w:rPr>
                <w:rFonts w:hint="eastAsia" w:ascii="宋体" w:hAnsi="宋体" w:eastAsia="宋体" w:cs="宋体"/>
                <w:color w:val="auto"/>
                <w:szCs w:val="21"/>
                <w:highlight w:val="none"/>
              </w:rPr>
              <w:t>.2.</w:t>
            </w:r>
            <w:r>
              <w:rPr>
                <w:rFonts w:hint="eastAsia" w:ascii="宋体" w:hAnsi="宋体" w:eastAsia="宋体" w:cs="宋体"/>
                <w:color w:val="auto"/>
                <w:szCs w:val="21"/>
                <w:highlight w:val="none"/>
                <w:lang w:val="en-US" w:eastAsia="zh-CN"/>
              </w:rPr>
              <w:t>9</w:t>
            </w:r>
            <w:r>
              <w:rPr>
                <w:rFonts w:hint="eastAsia" w:ascii="宋体" w:hAnsi="宋体" w:eastAsia="宋体" w:cs="宋体"/>
                <w:color w:val="auto"/>
                <w:szCs w:val="21"/>
                <w:highlight w:val="none"/>
              </w:rPr>
              <w:t>采购人因投诉举报等事项要求开展的相关检测，若需要开展合同以外的检测事项，中标人应全力配合，相关检测费用由采购人和中标人协商确定，相应费用通过变更原合同事项实现支付，合同总金额保持不变。</w:t>
            </w:r>
          </w:p>
          <w:p w14:paraId="378C86F9">
            <w:pPr>
              <w:widowControl/>
              <w:wordWrap w:val="0"/>
              <w:spacing w:line="36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4</w:t>
            </w:r>
            <w:r>
              <w:rPr>
                <w:rFonts w:hint="eastAsia" w:ascii="宋体" w:hAnsi="宋体" w:eastAsia="宋体" w:cs="宋体"/>
                <w:color w:val="auto"/>
                <w:szCs w:val="21"/>
                <w:highlight w:val="none"/>
              </w:rPr>
              <w:t>.2.1</w:t>
            </w:r>
            <w:r>
              <w:rPr>
                <w:rFonts w:hint="eastAsia" w:ascii="宋体" w:hAnsi="宋体" w:eastAsia="宋体" w:cs="宋体"/>
                <w:color w:val="auto"/>
                <w:szCs w:val="21"/>
                <w:highlight w:val="none"/>
                <w:lang w:val="en-US" w:eastAsia="zh-CN"/>
              </w:rPr>
              <w:t>0</w:t>
            </w:r>
            <w:r>
              <w:rPr>
                <w:rFonts w:hint="eastAsia" w:ascii="宋体" w:hAnsi="宋体" w:eastAsia="宋体" w:cs="宋体"/>
                <w:color w:val="auto"/>
                <w:szCs w:val="21"/>
                <w:highlight w:val="none"/>
              </w:rPr>
              <w:t>采购人可以根据工程建设实际需要抽取原材，再以盲样的形式移交给中标人进行试验，中标人不得拒绝并按照规定开展试验、出具检测报告。</w:t>
            </w:r>
          </w:p>
          <w:p w14:paraId="56D98DCD">
            <w:pPr>
              <w:widowControl/>
              <w:wordWrap w:val="0"/>
              <w:spacing w:line="36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w:t>
            </w:r>
            <w:r>
              <w:rPr>
                <w:rFonts w:hint="eastAsia" w:ascii="宋体" w:hAnsi="宋体" w:eastAsia="宋体" w:cs="宋体"/>
                <w:color w:val="auto"/>
                <w:szCs w:val="21"/>
                <w:highlight w:val="none"/>
                <w:lang w:val="en-US" w:eastAsia="zh-CN"/>
              </w:rPr>
              <w:t>4</w:t>
            </w:r>
            <w:r>
              <w:rPr>
                <w:rFonts w:hint="eastAsia" w:ascii="宋体" w:hAnsi="宋体" w:eastAsia="宋体" w:cs="宋体"/>
                <w:color w:val="auto"/>
                <w:szCs w:val="21"/>
                <w:highlight w:val="none"/>
              </w:rPr>
              <w:t>.3服务内容</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rPr>
              <w:t>详见附表1《公路、铁路工程质量监督服务一览表》。（备注</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rPr>
              <w:t>该表中数量为预估计，最终结算以实际完成数量及合同中《投标报价明细表》为依据）。</w:t>
            </w:r>
          </w:p>
          <w:p w14:paraId="35C638F6">
            <w:pPr>
              <w:widowControl/>
              <w:wordWrap w:val="0"/>
              <w:spacing w:line="36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w:t>
            </w:r>
            <w:r>
              <w:rPr>
                <w:rFonts w:hint="eastAsia" w:ascii="宋体" w:hAnsi="宋体" w:eastAsia="宋体" w:cs="宋体"/>
                <w:color w:val="auto"/>
                <w:szCs w:val="21"/>
                <w:highlight w:val="none"/>
                <w:lang w:val="en-US" w:eastAsia="zh-CN"/>
              </w:rPr>
              <w:t>4</w:t>
            </w:r>
            <w:r>
              <w:rPr>
                <w:rFonts w:hint="eastAsia" w:ascii="宋体" w:hAnsi="宋体" w:eastAsia="宋体" w:cs="宋体"/>
                <w:color w:val="auto"/>
                <w:szCs w:val="21"/>
                <w:highlight w:val="none"/>
              </w:rPr>
              <w:t>.4项目实施人员数量</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rPr>
              <w:t>详见附表</w:t>
            </w:r>
            <w:r>
              <w:rPr>
                <w:rFonts w:hint="eastAsia" w:ascii="宋体" w:hAnsi="宋体" w:eastAsia="宋体" w:cs="宋体"/>
                <w:color w:val="auto"/>
                <w:szCs w:val="21"/>
                <w:highlight w:val="none"/>
                <w:lang w:val="en-US" w:eastAsia="zh-CN"/>
              </w:rPr>
              <w:t>2</w:t>
            </w:r>
            <w:r>
              <w:rPr>
                <w:rFonts w:hint="eastAsia" w:ascii="宋体" w:hAnsi="宋体" w:eastAsia="宋体" w:cs="宋体"/>
                <w:color w:val="auto"/>
                <w:szCs w:val="21"/>
                <w:highlight w:val="none"/>
              </w:rPr>
              <w:t>《公路、铁路监督</w:t>
            </w:r>
            <w:r>
              <w:rPr>
                <w:rFonts w:hint="eastAsia" w:ascii="宋体" w:hAnsi="宋体" w:eastAsia="宋体" w:cs="宋体"/>
                <w:color w:val="auto"/>
                <w:szCs w:val="21"/>
                <w:highlight w:val="none"/>
                <w:lang w:val="en-US" w:eastAsia="zh-CN"/>
              </w:rPr>
              <w:t>检测</w:t>
            </w:r>
            <w:r>
              <w:rPr>
                <w:rFonts w:hint="eastAsia" w:ascii="宋体" w:hAnsi="宋体" w:eastAsia="宋体" w:cs="宋体"/>
                <w:color w:val="auto"/>
                <w:szCs w:val="21"/>
                <w:highlight w:val="none"/>
              </w:rPr>
              <w:t>项目实施人员最低数量要求表》。</w:t>
            </w:r>
          </w:p>
          <w:p w14:paraId="2BA8076A">
            <w:pPr>
              <w:widowControl/>
              <w:wordWrap w:val="0"/>
              <w:spacing w:line="36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w:t>
            </w:r>
            <w:r>
              <w:rPr>
                <w:rFonts w:hint="eastAsia" w:ascii="宋体" w:hAnsi="宋体" w:eastAsia="宋体" w:cs="宋体"/>
                <w:color w:val="auto"/>
                <w:szCs w:val="21"/>
                <w:highlight w:val="none"/>
                <w:lang w:val="en-US" w:eastAsia="zh-CN"/>
              </w:rPr>
              <w:t>4</w:t>
            </w:r>
            <w:r>
              <w:rPr>
                <w:rFonts w:hint="eastAsia" w:ascii="宋体" w:hAnsi="宋体" w:eastAsia="宋体" w:cs="宋体"/>
                <w:color w:val="auto"/>
                <w:szCs w:val="21"/>
                <w:highlight w:val="none"/>
              </w:rPr>
              <w:t>.5检测要求</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rPr>
              <w:t>试验检测的方法及判定依据须符合现行有关公路工程技术规范、规程、质量标准等（如有更新替代，按检测服务期间有效的执行）。中标人须对检测结果的真实、可靠、保密负责，不得向第三方泄露检测结果。中标人须将检测发现的问题在三个工作日内向采购人报告。中标人须向采购人提供检测结果分析报告。若中标人存在提供虚假数据或结果的，视为违约，除按合同没收履约保证金外，将中标人和相关检测人员的失信行为报告相关信用评价部门。</w:t>
            </w:r>
          </w:p>
        </w:tc>
      </w:tr>
      <w:tr w14:paraId="4D5150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709" w:type="dxa"/>
            <w:noWrap w:val="0"/>
            <w:vAlign w:val="center"/>
          </w:tcPr>
          <w:p w14:paraId="03BF414F">
            <w:pPr>
              <w:spacing w:line="360" w:lineRule="exact"/>
              <w:jc w:val="center"/>
              <w:rPr>
                <w:rFonts w:hint="eastAsia" w:ascii="宋体" w:hAnsi="宋体" w:eastAsia="宋体" w:cs="宋体"/>
                <w:color w:val="auto"/>
                <w:szCs w:val="21"/>
                <w:highlight w:val="none"/>
              </w:rPr>
            </w:pPr>
            <w:bookmarkStart w:id="50" w:name="_Toc96502210"/>
            <w:r>
              <w:rPr>
                <w:rFonts w:hint="eastAsia" w:ascii="宋体" w:hAnsi="宋体" w:eastAsia="宋体" w:cs="宋体"/>
                <w:bCs/>
                <w:color w:val="auto"/>
                <w:szCs w:val="21"/>
                <w:highlight w:val="none"/>
                <w:lang w:eastAsia="zh-CN"/>
              </w:rPr>
              <w:t>GLTLJD</w:t>
            </w:r>
            <w:r>
              <w:rPr>
                <w:rFonts w:hint="eastAsia" w:ascii="宋体" w:hAnsi="宋体" w:eastAsia="宋体" w:cs="宋体"/>
                <w:bCs/>
                <w:color w:val="auto"/>
                <w:szCs w:val="21"/>
                <w:highlight w:val="none"/>
                <w:lang w:val="en-US" w:eastAsia="zh-CN"/>
              </w:rPr>
              <w:t>2</w:t>
            </w:r>
          </w:p>
        </w:tc>
        <w:tc>
          <w:tcPr>
            <w:tcW w:w="1189" w:type="dxa"/>
            <w:gridSpan w:val="2"/>
            <w:noWrap w:val="0"/>
            <w:vAlign w:val="center"/>
          </w:tcPr>
          <w:p w14:paraId="20B9B1A7">
            <w:pPr>
              <w:spacing w:line="360" w:lineRule="exact"/>
              <w:jc w:val="center"/>
              <w:rPr>
                <w:rFonts w:hint="eastAsia" w:ascii="宋体" w:hAnsi="宋体" w:eastAsia="宋体" w:cs="宋体"/>
                <w:color w:val="auto"/>
                <w:szCs w:val="21"/>
                <w:highlight w:val="none"/>
                <w:lang w:eastAsia="zh-CN"/>
              </w:rPr>
            </w:pPr>
            <w:r>
              <w:rPr>
                <w:rFonts w:hint="eastAsia" w:ascii="宋体" w:hAnsi="宋体" w:eastAsia="宋体" w:cs="宋体"/>
                <w:bCs/>
                <w:color w:val="auto"/>
                <w:szCs w:val="21"/>
                <w:highlight w:val="none"/>
                <w:lang w:eastAsia="zh-CN"/>
              </w:rPr>
              <w:t>GLTLJD2：公路、铁路工程质量监督检测</w:t>
            </w:r>
          </w:p>
        </w:tc>
        <w:tc>
          <w:tcPr>
            <w:tcW w:w="705" w:type="dxa"/>
            <w:noWrap w:val="0"/>
            <w:vAlign w:val="center"/>
          </w:tcPr>
          <w:p w14:paraId="68E4C8CF">
            <w:pPr>
              <w:spacing w:line="36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1项</w:t>
            </w:r>
          </w:p>
        </w:tc>
        <w:tc>
          <w:tcPr>
            <w:tcW w:w="6582" w:type="dxa"/>
            <w:vMerge w:val="continue"/>
            <w:noWrap w:val="0"/>
            <w:vAlign w:val="center"/>
          </w:tcPr>
          <w:p w14:paraId="2ED2009D">
            <w:pPr>
              <w:spacing w:line="360" w:lineRule="exact"/>
              <w:rPr>
                <w:rFonts w:hint="eastAsia" w:ascii="宋体" w:hAnsi="宋体" w:eastAsia="宋体" w:cs="宋体"/>
                <w:color w:val="auto"/>
                <w:szCs w:val="21"/>
                <w:highlight w:val="none"/>
              </w:rPr>
            </w:pPr>
          </w:p>
        </w:tc>
      </w:tr>
      <w:tr w14:paraId="7B5E88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709" w:type="dxa"/>
            <w:noWrap w:val="0"/>
            <w:vAlign w:val="center"/>
          </w:tcPr>
          <w:p w14:paraId="0BC7EC6B">
            <w:pPr>
              <w:spacing w:line="360" w:lineRule="exact"/>
              <w:jc w:val="center"/>
              <w:rPr>
                <w:rFonts w:hint="eastAsia" w:ascii="宋体" w:hAnsi="宋体" w:eastAsia="宋体" w:cs="宋体"/>
                <w:color w:val="auto"/>
                <w:szCs w:val="21"/>
                <w:highlight w:val="none"/>
              </w:rPr>
            </w:pPr>
            <w:r>
              <w:rPr>
                <w:rFonts w:hint="eastAsia" w:ascii="宋体" w:hAnsi="宋体" w:eastAsia="宋体" w:cs="宋体"/>
                <w:bCs/>
                <w:color w:val="auto"/>
                <w:szCs w:val="21"/>
                <w:highlight w:val="none"/>
                <w:lang w:eastAsia="zh-CN"/>
              </w:rPr>
              <w:t>GLTLJD</w:t>
            </w:r>
            <w:r>
              <w:rPr>
                <w:rFonts w:hint="eastAsia" w:ascii="宋体" w:hAnsi="宋体" w:eastAsia="宋体" w:cs="宋体"/>
                <w:bCs/>
                <w:color w:val="auto"/>
                <w:szCs w:val="21"/>
                <w:highlight w:val="none"/>
                <w:lang w:val="en-US" w:eastAsia="zh-CN"/>
              </w:rPr>
              <w:t>3</w:t>
            </w:r>
          </w:p>
        </w:tc>
        <w:tc>
          <w:tcPr>
            <w:tcW w:w="1189" w:type="dxa"/>
            <w:gridSpan w:val="2"/>
            <w:noWrap w:val="0"/>
            <w:vAlign w:val="center"/>
          </w:tcPr>
          <w:p w14:paraId="4190DE18">
            <w:pPr>
              <w:spacing w:line="360" w:lineRule="exact"/>
              <w:jc w:val="center"/>
              <w:rPr>
                <w:rFonts w:hint="eastAsia" w:ascii="宋体" w:hAnsi="宋体" w:eastAsia="宋体" w:cs="宋体"/>
                <w:color w:val="auto"/>
                <w:szCs w:val="21"/>
                <w:highlight w:val="none"/>
                <w:lang w:eastAsia="zh-CN"/>
              </w:rPr>
            </w:pPr>
            <w:r>
              <w:rPr>
                <w:rFonts w:hint="eastAsia" w:ascii="宋体" w:hAnsi="宋体" w:eastAsia="宋体" w:cs="宋体"/>
                <w:bCs/>
                <w:color w:val="auto"/>
                <w:szCs w:val="21"/>
                <w:highlight w:val="none"/>
                <w:lang w:eastAsia="zh-CN"/>
              </w:rPr>
              <w:t>GLTLJD3：公路、铁路工程质量监督检测</w:t>
            </w:r>
          </w:p>
        </w:tc>
        <w:tc>
          <w:tcPr>
            <w:tcW w:w="705" w:type="dxa"/>
            <w:noWrap w:val="0"/>
            <w:vAlign w:val="center"/>
          </w:tcPr>
          <w:p w14:paraId="6EEABE81">
            <w:pPr>
              <w:spacing w:line="36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1项</w:t>
            </w:r>
          </w:p>
        </w:tc>
        <w:tc>
          <w:tcPr>
            <w:tcW w:w="6582" w:type="dxa"/>
            <w:vMerge w:val="continue"/>
            <w:noWrap w:val="0"/>
            <w:vAlign w:val="center"/>
          </w:tcPr>
          <w:p w14:paraId="2E6FB720">
            <w:pPr>
              <w:spacing w:line="360" w:lineRule="exact"/>
              <w:rPr>
                <w:rFonts w:hint="eastAsia" w:ascii="宋体" w:hAnsi="宋体" w:eastAsia="宋体" w:cs="宋体"/>
                <w:color w:val="auto"/>
                <w:szCs w:val="21"/>
                <w:highlight w:val="none"/>
              </w:rPr>
            </w:pPr>
          </w:p>
        </w:tc>
      </w:tr>
      <w:tr w14:paraId="0F35C3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0" w:hRule="atLeast"/>
          <w:jc w:val="center"/>
        </w:trPr>
        <w:tc>
          <w:tcPr>
            <w:tcW w:w="709" w:type="dxa"/>
            <w:noWrap w:val="0"/>
            <w:vAlign w:val="center"/>
          </w:tcPr>
          <w:p w14:paraId="3A06CC66">
            <w:pPr>
              <w:spacing w:line="360" w:lineRule="exact"/>
              <w:jc w:val="center"/>
              <w:rPr>
                <w:rFonts w:hint="eastAsia" w:ascii="宋体" w:hAnsi="宋体" w:eastAsia="宋体" w:cs="宋体"/>
                <w:color w:val="auto"/>
                <w:szCs w:val="21"/>
                <w:highlight w:val="none"/>
              </w:rPr>
            </w:pPr>
            <w:r>
              <w:rPr>
                <w:rFonts w:hint="eastAsia" w:ascii="宋体" w:hAnsi="宋体" w:eastAsia="宋体" w:cs="宋体"/>
                <w:bCs/>
                <w:color w:val="auto"/>
                <w:szCs w:val="21"/>
                <w:highlight w:val="none"/>
                <w:lang w:eastAsia="zh-CN"/>
              </w:rPr>
              <w:t>GLTLJD</w:t>
            </w:r>
            <w:r>
              <w:rPr>
                <w:rFonts w:hint="eastAsia" w:ascii="宋体" w:hAnsi="宋体" w:eastAsia="宋体" w:cs="宋体"/>
                <w:bCs/>
                <w:color w:val="auto"/>
                <w:szCs w:val="21"/>
                <w:highlight w:val="none"/>
                <w:lang w:val="en-US" w:eastAsia="zh-CN"/>
              </w:rPr>
              <w:t>4</w:t>
            </w:r>
          </w:p>
        </w:tc>
        <w:tc>
          <w:tcPr>
            <w:tcW w:w="1189" w:type="dxa"/>
            <w:gridSpan w:val="2"/>
            <w:noWrap w:val="0"/>
            <w:vAlign w:val="center"/>
          </w:tcPr>
          <w:p w14:paraId="589ED6BF">
            <w:pPr>
              <w:spacing w:line="360" w:lineRule="exact"/>
              <w:jc w:val="center"/>
              <w:rPr>
                <w:rFonts w:hint="eastAsia" w:ascii="宋体" w:hAnsi="宋体" w:eastAsia="宋体" w:cs="宋体"/>
                <w:color w:val="auto"/>
                <w:szCs w:val="21"/>
                <w:highlight w:val="none"/>
                <w:lang w:eastAsia="zh-CN"/>
              </w:rPr>
            </w:pPr>
            <w:r>
              <w:rPr>
                <w:rFonts w:hint="eastAsia" w:ascii="宋体" w:hAnsi="宋体" w:eastAsia="宋体" w:cs="宋体"/>
                <w:bCs/>
                <w:color w:val="auto"/>
                <w:szCs w:val="21"/>
                <w:highlight w:val="none"/>
                <w:lang w:eastAsia="zh-CN"/>
              </w:rPr>
              <w:t>GLTLJD4：公路、铁路工程质量监督检测</w:t>
            </w:r>
          </w:p>
        </w:tc>
        <w:tc>
          <w:tcPr>
            <w:tcW w:w="705" w:type="dxa"/>
            <w:noWrap w:val="0"/>
            <w:vAlign w:val="center"/>
          </w:tcPr>
          <w:p w14:paraId="488C87B3">
            <w:pPr>
              <w:spacing w:line="36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1项</w:t>
            </w:r>
          </w:p>
        </w:tc>
        <w:tc>
          <w:tcPr>
            <w:tcW w:w="6582" w:type="dxa"/>
            <w:vMerge w:val="continue"/>
            <w:noWrap w:val="0"/>
            <w:vAlign w:val="center"/>
          </w:tcPr>
          <w:p w14:paraId="49C8A4C5">
            <w:pPr>
              <w:spacing w:line="360" w:lineRule="exact"/>
              <w:rPr>
                <w:rFonts w:hint="eastAsia" w:ascii="宋体" w:hAnsi="宋体" w:eastAsia="宋体" w:cs="宋体"/>
                <w:color w:val="auto"/>
                <w:szCs w:val="21"/>
                <w:highlight w:val="none"/>
              </w:rPr>
            </w:pPr>
          </w:p>
        </w:tc>
      </w:tr>
      <w:tr w14:paraId="23EE94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9185" w:type="dxa"/>
            <w:gridSpan w:val="5"/>
            <w:noWrap w:val="0"/>
            <w:vAlign w:val="center"/>
          </w:tcPr>
          <w:p w14:paraId="3812BB51">
            <w:pPr>
              <w:spacing w:line="360" w:lineRule="exact"/>
              <w:rPr>
                <w:rFonts w:hint="eastAsia" w:ascii="宋体" w:hAnsi="宋体" w:eastAsia="宋体" w:cs="宋体"/>
                <w:color w:val="auto"/>
                <w:szCs w:val="21"/>
                <w:highlight w:val="none"/>
              </w:rPr>
            </w:pPr>
            <w:r>
              <w:rPr>
                <w:rFonts w:hint="eastAsia" w:ascii="宋体" w:hAnsi="宋体" w:eastAsia="宋体" w:cs="宋体"/>
                <w:b/>
                <w:bCs/>
                <w:color w:val="auto"/>
                <w:szCs w:val="21"/>
                <w:highlight w:val="none"/>
              </w:rPr>
              <w:t>二、商务要求表</w:t>
            </w:r>
            <w:bookmarkEnd w:id="50"/>
          </w:p>
        </w:tc>
      </w:tr>
      <w:tr w14:paraId="0593D9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445" w:type="dxa"/>
            <w:gridSpan w:val="2"/>
            <w:noWrap w:val="0"/>
            <w:vAlign w:val="center"/>
          </w:tcPr>
          <w:p w14:paraId="7DE8E6F0">
            <w:pPr>
              <w:spacing w:line="360" w:lineRule="exact"/>
              <w:jc w:val="center"/>
              <w:rPr>
                <w:rFonts w:hint="eastAsia" w:ascii="宋体" w:hAnsi="宋体" w:eastAsia="宋体" w:cs="宋体"/>
                <w:b w:val="0"/>
                <w:bCs w:val="0"/>
                <w:color w:val="auto"/>
                <w:sz w:val="21"/>
                <w:szCs w:val="21"/>
                <w:highlight w:val="none"/>
              </w:rPr>
            </w:pPr>
            <w:r>
              <w:rPr>
                <w:rFonts w:hint="eastAsia" w:ascii="宋体" w:hAnsi="宋体" w:eastAsia="宋体" w:cs="宋体"/>
                <w:color w:val="auto"/>
                <w:sz w:val="21"/>
                <w:szCs w:val="21"/>
                <w:highlight w:val="none"/>
              </w:rPr>
              <w:t>▲</w:t>
            </w:r>
            <w:r>
              <w:rPr>
                <w:rFonts w:hint="eastAsia" w:ascii="宋体" w:hAnsi="宋体" w:eastAsia="宋体" w:cs="宋体"/>
                <w:b w:val="0"/>
                <w:bCs w:val="0"/>
                <w:color w:val="auto"/>
                <w:sz w:val="21"/>
                <w:szCs w:val="21"/>
                <w:highlight w:val="none"/>
              </w:rPr>
              <w:t>投标报价要求</w:t>
            </w:r>
          </w:p>
        </w:tc>
        <w:tc>
          <w:tcPr>
            <w:tcW w:w="7740" w:type="dxa"/>
            <w:gridSpan w:val="3"/>
            <w:noWrap w:val="0"/>
            <w:vAlign w:val="center"/>
          </w:tcPr>
          <w:p w14:paraId="4CF92194">
            <w:pPr>
              <w:spacing w:line="36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本次报价包括人工、设备、原料、资料、现场取样、检测、校正、编制报告、培训、技术指导、税金等完成本项目所需要的一切费用。对于本文件中明确列明必须报价的服务，投标人应分别报价。对于本文件中未列明，而投标人认为必需的费用也需列入总报价。在合同实施时，采购人将不予支付中标人没有列入的项目费用，并认为此项目的费用已包括在投标总报价中。</w:t>
            </w:r>
          </w:p>
        </w:tc>
      </w:tr>
      <w:tr w14:paraId="118502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445" w:type="dxa"/>
            <w:gridSpan w:val="2"/>
            <w:noWrap w:val="0"/>
            <w:vAlign w:val="center"/>
          </w:tcPr>
          <w:p w14:paraId="5E39171F">
            <w:pPr>
              <w:spacing w:line="360" w:lineRule="exact"/>
              <w:rPr>
                <w:rFonts w:hint="eastAsia" w:ascii="宋体" w:hAnsi="宋体" w:eastAsia="宋体" w:cs="宋体"/>
                <w:b w:val="0"/>
                <w:bCs w:val="0"/>
                <w:color w:val="auto"/>
                <w:sz w:val="21"/>
                <w:szCs w:val="21"/>
                <w:highlight w:val="none"/>
              </w:rPr>
            </w:pPr>
            <w:r>
              <w:rPr>
                <w:rFonts w:hint="eastAsia" w:ascii="宋体" w:hAnsi="宋体" w:eastAsia="宋体" w:cs="宋体"/>
                <w:color w:val="auto"/>
                <w:sz w:val="21"/>
                <w:szCs w:val="21"/>
                <w:highlight w:val="none"/>
              </w:rPr>
              <w:t>▲</w:t>
            </w:r>
            <w:r>
              <w:rPr>
                <w:rFonts w:hint="eastAsia" w:ascii="宋体" w:hAnsi="宋体" w:eastAsia="宋体" w:cs="宋体"/>
                <w:b w:val="0"/>
                <w:bCs w:val="0"/>
                <w:color w:val="auto"/>
                <w:spacing w:val="3"/>
                <w:sz w:val="21"/>
                <w:szCs w:val="21"/>
                <w:highlight w:val="none"/>
              </w:rPr>
              <w:t>合同签订日期</w:t>
            </w:r>
          </w:p>
        </w:tc>
        <w:tc>
          <w:tcPr>
            <w:tcW w:w="7740" w:type="dxa"/>
            <w:gridSpan w:val="3"/>
            <w:noWrap w:val="0"/>
            <w:vAlign w:val="center"/>
          </w:tcPr>
          <w:p w14:paraId="5BC340EA">
            <w:pPr>
              <w:spacing w:line="36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中标通知书发出后25日内</w:t>
            </w:r>
          </w:p>
        </w:tc>
      </w:tr>
      <w:tr w14:paraId="2DB1E6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445" w:type="dxa"/>
            <w:gridSpan w:val="2"/>
            <w:noWrap w:val="0"/>
            <w:vAlign w:val="center"/>
          </w:tcPr>
          <w:p w14:paraId="14040A1C">
            <w:pPr>
              <w:spacing w:line="360" w:lineRule="exact"/>
              <w:rPr>
                <w:rFonts w:hint="eastAsia" w:ascii="宋体" w:hAnsi="宋体" w:eastAsia="宋体" w:cs="宋体"/>
                <w:b w:val="0"/>
                <w:bCs w:val="0"/>
                <w:color w:val="auto"/>
                <w:sz w:val="21"/>
                <w:szCs w:val="21"/>
                <w:highlight w:val="none"/>
                <w:lang w:eastAsia="zh-CN"/>
              </w:rPr>
            </w:pPr>
            <w:r>
              <w:rPr>
                <w:rFonts w:hint="eastAsia" w:ascii="宋体" w:hAnsi="宋体" w:eastAsia="宋体" w:cs="宋体"/>
                <w:color w:val="auto"/>
                <w:sz w:val="21"/>
                <w:szCs w:val="21"/>
                <w:highlight w:val="none"/>
              </w:rPr>
              <w:t>▲</w:t>
            </w:r>
            <w:r>
              <w:rPr>
                <w:rFonts w:hint="eastAsia" w:ascii="宋体" w:hAnsi="宋体" w:eastAsia="宋体" w:cs="宋体"/>
                <w:b w:val="0"/>
                <w:bCs w:val="0"/>
                <w:color w:val="auto"/>
                <w:spacing w:val="8"/>
                <w:sz w:val="21"/>
                <w:szCs w:val="21"/>
                <w:highlight w:val="none"/>
                <w:lang w:eastAsia="zh-CN"/>
              </w:rPr>
              <w:t>合同履行期限</w:t>
            </w:r>
          </w:p>
        </w:tc>
        <w:tc>
          <w:tcPr>
            <w:tcW w:w="7740" w:type="dxa"/>
            <w:gridSpan w:val="3"/>
            <w:noWrap w:val="0"/>
            <w:vAlign w:val="center"/>
          </w:tcPr>
          <w:p w14:paraId="79BC782B">
            <w:pPr>
              <w:spacing w:line="360" w:lineRule="exact"/>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服务期为合同签订日后12个月以内，中标人按照采购人的检测计划开展检测工作，现场检测结束后</w:t>
            </w:r>
            <w:r>
              <w:rPr>
                <w:rFonts w:hint="eastAsia" w:ascii="宋体" w:hAnsi="宋体" w:cs="宋体"/>
                <w:color w:val="auto"/>
                <w:sz w:val="21"/>
                <w:szCs w:val="21"/>
                <w:highlight w:val="none"/>
                <w:lang w:val="en-US" w:eastAsia="zh-CN"/>
              </w:rPr>
              <w:t>7</w:t>
            </w:r>
            <w:r>
              <w:rPr>
                <w:rFonts w:hint="eastAsia" w:ascii="宋体" w:hAnsi="宋体" w:eastAsia="宋体" w:cs="宋体"/>
                <w:color w:val="auto"/>
                <w:sz w:val="21"/>
                <w:szCs w:val="21"/>
                <w:highlight w:val="none"/>
                <w:lang w:val="en-US" w:eastAsia="zh-CN"/>
              </w:rPr>
              <w:t>日内向采购人提交具体检测报告（具有龄期要求的特殊试验除外），并于每月25日向采购人提交上月20日至当月20日期间的检测数据及检测工作实施情况。合同要求的检测工作全部完成后，中标人须在现场检测结束后10日内（根据采购人要求的格式和内容）提交总体检测分析报告。</w:t>
            </w:r>
          </w:p>
        </w:tc>
      </w:tr>
      <w:tr w14:paraId="73CA17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445" w:type="dxa"/>
            <w:gridSpan w:val="2"/>
            <w:noWrap w:val="0"/>
            <w:vAlign w:val="center"/>
          </w:tcPr>
          <w:p w14:paraId="14CFD620">
            <w:pPr>
              <w:spacing w:line="360" w:lineRule="exact"/>
              <w:rPr>
                <w:rFonts w:hint="eastAsia" w:ascii="宋体" w:hAnsi="宋体" w:eastAsia="宋体" w:cs="宋体"/>
                <w:b w:val="0"/>
                <w:bCs w:val="0"/>
                <w:color w:val="auto"/>
                <w:sz w:val="21"/>
                <w:szCs w:val="21"/>
                <w:highlight w:val="none"/>
              </w:rPr>
            </w:pPr>
            <w:r>
              <w:rPr>
                <w:rFonts w:hint="eastAsia" w:ascii="宋体" w:hAnsi="宋体" w:eastAsia="宋体" w:cs="宋体"/>
                <w:color w:val="auto"/>
                <w:sz w:val="21"/>
                <w:szCs w:val="21"/>
                <w:highlight w:val="none"/>
              </w:rPr>
              <w:t>▲</w:t>
            </w:r>
            <w:r>
              <w:rPr>
                <w:rFonts w:hint="eastAsia" w:ascii="宋体" w:hAnsi="宋体" w:eastAsia="宋体" w:cs="宋体"/>
                <w:b w:val="0"/>
                <w:bCs w:val="0"/>
                <w:color w:val="auto"/>
                <w:spacing w:val="6"/>
                <w:sz w:val="21"/>
                <w:szCs w:val="21"/>
                <w:highlight w:val="none"/>
              </w:rPr>
              <w:t>服务地点</w:t>
            </w:r>
          </w:p>
        </w:tc>
        <w:tc>
          <w:tcPr>
            <w:tcW w:w="7740" w:type="dxa"/>
            <w:gridSpan w:val="3"/>
            <w:noWrap w:val="0"/>
            <w:vAlign w:val="center"/>
          </w:tcPr>
          <w:p w14:paraId="72C20DAA">
            <w:pPr>
              <w:spacing w:line="360" w:lineRule="exact"/>
              <w:jc w:val="left"/>
              <w:rPr>
                <w:rFonts w:hint="eastAsia" w:ascii="宋体" w:hAnsi="宋体" w:eastAsia="宋体" w:cs="宋体"/>
                <w:bCs/>
                <w:color w:val="auto"/>
                <w:sz w:val="21"/>
                <w:szCs w:val="21"/>
                <w:highlight w:val="none"/>
              </w:rPr>
            </w:pPr>
            <w:r>
              <w:rPr>
                <w:rFonts w:hint="eastAsia" w:ascii="宋体" w:hAnsi="宋体" w:eastAsia="宋体" w:cs="宋体"/>
                <w:color w:val="auto"/>
                <w:sz w:val="21"/>
                <w:szCs w:val="21"/>
                <w:highlight w:val="none"/>
              </w:rPr>
              <w:t>广西区内采购人指定地点</w:t>
            </w:r>
          </w:p>
        </w:tc>
      </w:tr>
      <w:tr w14:paraId="508F28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445" w:type="dxa"/>
            <w:gridSpan w:val="2"/>
            <w:noWrap w:val="0"/>
            <w:vAlign w:val="center"/>
          </w:tcPr>
          <w:p w14:paraId="582392C1">
            <w:pPr>
              <w:spacing w:line="360" w:lineRule="exact"/>
              <w:jc w:val="center"/>
              <w:rPr>
                <w:rFonts w:hint="eastAsia" w:ascii="宋体" w:hAnsi="宋体" w:eastAsia="宋体" w:cs="宋体"/>
                <w:b w:val="0"/>
                <w:bCs w:val="0"/>
                <w:color w:val="auto"/>
                <w:sz w:val="21"/>
                <w:szCs w:val="21"/>
                <w:highlight w:val="none"/>
              </w:rPr>
            </w:pPr>
            <w:r>
              <w:rPr>
                <w:rFonts w:hint="eastAsia" w:ascii="宋体" w:hAnsi="宋体" w:eastAsia="宋体" w:cs="宋体"/>
                <w:color w:val="auto"/>
                <w:sz w:val="21"/>
                <w:szCs w:val="21"/>
                <w:highlight w:val="none"/>
              </w:rPr>
              <w:t>▲</w:t>
            </w:r>
            <w:r>
              <w:rPr>
                <w:rFonts w:hint="eastAsia" w:ascii="宋体" w:hAnsi="宋体" w:eastAsia="宋体" w:cs="宋体"/>
                <w:b w:val="0"/>
                <w:bCs w:val="0"/>
                <w:color w:val="auto"/>
                <w:spacing w:val="4"/>
                <w:sz w:val="21"/>
                <w:szCs w:val="21"/>
                <w:highlight w:val="none"/>
              </w:rPr>
              <w:t>付款方式、时间及条件</w:t>
            </w:r>
          </w:p>
        </w:tc>
        <w:tc>
          <w:tcPr>
            <w:tcW w:w="7740" w:type="dxa"/>
            <w:gridSpan w:val="3"/>
            <w:noWrap w:val="0"/>
            <w:vAlign w:val="center"/>
          </w:tcPr>
          <w:p w14:paraId="5B679941">
            <w:pPr>
              <w:spacing w:line="360" w:lineRule="exact"/>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中标人须严格按照采购人的检测计划开展检测工作，采购人结合实际完成工作量分阶段支付款项，具体安排如下：</w:t>
            </w:r>
          </w:p>
          <w:p w14:paraId="69CA7BFB">
            <w:pPr>
              <w:spacing w:line="360" w:lineRule="exact"/>
              <w:jc w:val="left"/>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1.</w:t>
            </w:r>
            <w:r>
              <w:rPr>
                <w:rFonts w:hint="eastAsia" w:ascii="宋体" w:hAnsi="宋体" w:eastAsia="宋体" w:cs="宋体"/>
                <w:color w:val="auto"/>
                <w:sz w:val="21"/>
                <w:szCs w:val="21"/>
                <w:highlight w:val="none"/>
              </w:rPr>
              <w:t>预付款：合同签订生效之日起 20 个工作日内，支付合同总金额的 25%；</w:t>
            </w:r>
          </w:p>
          <w:p w14:paraId="792E540F">
            <w:pPr>
              <w:spacing w:line="360" w:lineRule="exact"/>
              <w:jc w:val="left"/>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2.</w:t>
            </w:r>
            <w:r>
              <w:rPr>
                <w:rFonts w:hint="eastAsia" w:ascii="宋体" w:hAnsi="宋体" w:eastAsia="宋体" w:cs="宋体"/>
                <w:color w:val="auto"/>
                <w:sz w:val="21"/>
                <w:szCs w:val="21"/>
                <w:highlight w:val="none"/>
              </w:rPr>
              <w:t>第一期进度款：2026 年 9 月</w:t>
            </w:r>
            <w:r>
              <w:rPr>
                <w:rFonts w:hint="eastAsia" w:ascii="宋体" w:hAnsi="宋体" w:cs="宋体"/>
                <w:color w:val="auto"/>
                <w:sz w:val="21"/>
                <w:szCs w:val="21"/>
                <w:highlight w:val="none"/>
                <w:lang w:val="en-US" w:eastAsia="zh-CN"/>
              </w:rPr>
              <w:t>底前</w:t>
            </w:r>
            <w:r>
              <w:rPr>
                <w:rFonts w:hint="eastAsia" w:ascii="宋体" w:hAnsi="宋体" w:eastAsia="宋体" w:cs="宋体"/>
                <w:color w:val="auto"/>
                <w:sz w:val="21"/>
                <w:szCs w:val="21"/>
                <w:highlight w:val="none"/>
              </w:rPr>
              <w:t>，</w:t>
            </w:r>
            <w:r>
              <w:rPr>
                <w:rFonts w:hint="eastAsia" w:ascii="宋体" w:hAnsi="宋体" w:cs="宋体"/>
                <w:color w:val="auto"/>
                <w:sz w:val="21"/>
                <w:szCs w:val="21"/>
                <w:highlight w:val="none"/>
                <w:lang w:val="en-US" w:eastAsia="zh-CN"/>
              </w:rPr>
              <w:t>由中标人提供进度款支付申请后，采购人审核无误，</w:t>
            </w:r>
            <w:r>
              <w:rPr>
                <w:rFonts w:hint="eastAsia" w:ascii="宋体" w:hAnsi="宋体" w:eastAsia="宋体" w:cs="宋体"/>
                <w:color w:val="auto"/>
                <w:sz w:val="21"/>
                <w:szCs w:val="21"/>
                <w:highlight w:val="none"/>
              </w:rPr>
              <w:t>支付合同总金额的 10%；</w:t>
            </w:r>
          </w:p>
          <w:p w14:paraId="4135980B">
            <w:pPr>
              <w:spacing w:line="360" w:lineRule="exact"/>
              <w:jc w:val="left"/>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3.</w:t>
            </w:r>
            <w:r>
              <w:rPr>
                <w:rFonts w:hint="eastAsia" w:ascii="宋体" w:hAnsi="宋体" w:eastAsia="宋体" w:cs="宋体"/>
                <w:color w:val="auto"/>
                <w:sz w:val="21"/>
                <w:szCs w:val="21"/>
                <w:highlight w:val="none"/>
              </w:rPr>
              <w:t>第二期进度款：2027 年 3 月</w:t>
            </w:r>
            <w:r>
              <w:rPr>
                <w:rFonts w:hint="eastAsia" w:ascii="宋体" w:hAnsi="宋体" w:cs="宋体"/>
                <w:color w:val="auto"/>
                <w:sz w:val="21"/>
                <w:szCs w:val="21"/>
                <w:highlight w:val="none"/>
                <w:lang w:val="en-US" w:eastAsia="zh-CN"/>
              </w:rPr>
              <w:t>底前</w:t>
            </w:r>
            <w:r>
              <w:rPr>
                <w:rFonts w:hint="eastAsia" w:ascii="宋体" w:hAnsi="宋体" w:eastAsia="宋体" w:cs="宋体"/>
                <w:color w:val="auto"/>
                <w:sz w:val="21"/>
                <w:szCs w:val="21"/>
                <w:highlight w:val="none"/>
              </w:rPr>
              <w:t>，</w:t>
            </w:r>
            <w:r>
              <w:rPr>
                <w:rFonts w:hint="eastAsia" w:ascii="宋体" w:hAnsi="宋体" w:cs="宋体"/>
                <w:color w:val="auto"/>
                <w:sz w:val="21"/>
                <w:szCs w:val="21"/>
                <w:highlight w:val="none"/>
                <w:lang w:val="en-US" w:eastAsia="zh-CN"/>
              </w:rPr>
              <w:t>由中标人提供进度款支付申请后，采购人审核无误，</w:t>
            </w:r>
            <w:r>
              <w:rPr>
                <w:rFonts w:hint="eastAsia" w:ascii="宋体" w:hAnsi="宋体" w:eastAsia="宋体" w:cs="宋体"/>
                <w:color w:val="auto"/>
                <w:sz w:val="21"/>
                <w:szCs w:val="21"/>
                <w:highlight w:val="none"/>
              </w:rPr>
              <w:t>支付合同总金额的 30%；</w:t>
            </w:r>
          </w:p>
          <w:p w14:paraId="43548A68">
            <w:pPr>
              <w:spacing w:line="360" w:lineRule="exact"/>
              <w:jc w:val="left"/>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4.尾款：项目履约期满，中标人提交完整验收资料，采购人审核无误后，支付合同剩余款项（合同总金额的 35%）</w:t>
            </w:r>
            <w:r>
              <w:rPr>
                <w:rFonts w:hint="eastAsia" w:ascii="宋体" w:hAnsi="宋体" w:eastAsia="宋体" w:cs="宋体"/>
                <w:color w:val="auto"/>
                <w:sz w:val="21"/>
                <w:szCs w:val="21"/>
                <w:highlight w:val="none"/>
              </w:rPr>
              <w:t>。</w:t>
            </w:r>
          </w:p>
          <w:p w14:paraId="181A886D">
            <w:pPr>
              <w:spacing w:line="360" w:lineRule="exact"/>
              <w:jc w:val="left"/>
              <w:rPr>
                <w:rFonts w:hint="eastAsia" w:ascii="宋体" w:hAnsi="宋体" w:eastAsia="宋体" w:cs="宋体"/>
                <w:bCs/>
                <w:color w:val="auto"/>
                <w:sz w:val="21"/>
                <w:szCs w:val="21"/>
                <w:highlight w:val="none"/>
              </w:rPr>
            </w:pPr>
            <w:r>
              <w:rPr>
                <w:rFonts w:hint="eastAsia" w:ascii="宋体" w:hAnsi="宋体" w:cs="宋体"/>
                <w:color w:val="auto"/>
                <w:sz w:val="21"/>
                <w:szCs w:val="21"/>
                <w:highlight w:val="none"/>
                <w:lang w:val="en-US" w:eastAsia="zh-CN"/>
              </w:rPr>
              <w:t>5.</w:t>
            </w:r>
            <w:r>
              <w:rPr>
                <w:rFonts w:hint="eastAsia" w:ascii="宋体" w:hAnsi="宋体" w:eastAsia="宋体" w:cs="宋体"/>
                <w:color w:val="auto"/>
                <w:sz w:val="21"/>
                <w:szCs w:val="21"/>
                <w:highlight w:val="none"/>
              </w:rPr>
              <w:t>所有款项支付前，中标人需提交等额增值税发票，未按要求提供发票的，采购人可暂缓支付，不承担逾期付款责任。</w:t>
            </w:r>
          </w:p>
        </w:tc>
      </w:tr>
      <w:tr w14:paraId="04E1A8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445" w:type="dxa"/>
            <w:gridSpan w:val="2"/>
            <w:noWrap w:val="0"/>
            <w:vAlign w:val="center"/>
          </w:tcPr>
          <w:p w14:paraId="6C095A99">
            <w:pPr>
              <w:spacing w:line="360" w:lineRule="exact"/>
              <w:jc w:val="center"/>
              <w:rPr>
                <w:rFonts w:hint="eastAsia" w:ascii="宋体" w:hAnsi="宋体" w:eastAsia="宋体" w:cs="宋体"/>
                <w:b w:val="0"/>
                <w:bCs w:val="0"/>
                <w:color w:val="auto"/>
                <w:sz w:val="21"/>
                <w:szCs w:val="21"/>
                <w:highlight w:val="none"/>
              </w:rPr>
            </w:pPr>
            <w:bookmarkStart w:id="51" w:name="_Toc24005"/>
            <w:bookmarkStart w:id="52" w:name="_Toc96590515"/>
            <w:r>
              <w:rPr>
                <w:rFonts w:hint="eastAsia" w:ascii="宋体" w:hAnsi="宋体" w:eastAsia="宋体" w:cs="宋体"/>
                <w:color w:val="auto"/>
                <w:sz w:val="21"/>
                <w:szCs w:val="21"/>
                <w:highlight w:val="none"/>
              </w:rPr>
              <w:t>▲</w:t>
            </w:r>
            <w:r>
              <w:rPr>
                <w:rFonts w:hint="eastAsia" w:ascii="宋体" w:hAnsi="宋体" w:eastAsia="宋体" w:cs="宋体"/>
                <w:b w:val="0"/>
                <w:bCs w:val="0"/>
                <w:color w:val="auto"/>
                <w:spacing w:val="2"/>
                <w:sz w:val="21"/>
                <w:szCs w:val="21"/>
                <w:highlight w:val="none"/>
              </w:rPr>
              <w:t>履约保证金</w:t>
            </w:r>
          </w:p>
        </w:tc>
        <w:tc>
          <w:tcPr>
            <w:tcW w:w="7740" w:type="dxa"/>
            <w:gridSpan w:val="3"/>
            <w:noWrap w:val="0"/>
            <w:vAlign w:val="center"/>
          </w:tcPr>
          <w:p w14:paraId="5ECDE289">
            <w:pPr>
              <w:spacing w:line="360" w:lineRule="exact"/>
              <w:jc w:val="left"/>
              <w:rPr>
                <w:rStyle w:val="53"/>
                <w:rFonts w:hint="eastAsia" w:ascii="宋体" w:hAnsi="宋体" w:eastAsia="宋体" w:cs="宋体"/>
                <w:color w:val="auto"/>
                <w:sz w:val="21"/>
                <w:szCs w:val="21"/>
                <w:highlight w:val="none"/>
              </w:rPr>
            </w:pPr>
            <w:r>
              <w:rPr>
                <w:rStyle w:val="53"/>
                <w:rFonts w:hint="eastAsia" w:ascii="宋体" w:hAnsi="宋体" w:eastAsia="宋体" w:cs="宋体"/>
                <w:color w:val="auto"/>
                <w:sz w:val="21"/>
                <w:szCs w:val="21"/>
                <w:highlight w:val="none"/>
              </w:rPr>
              <w:t>履约保证金的金额</w:t>
            </w:r>
            <w:r>
              <w:rPr>
                <w:rStyle w:val="53"/>
                <w:rFonts w:hint="eastAsia" w:ascii="宋体" w:hAnsi="宋体" w:eastAsia="宋体" w:cs="宋体"/>
                <w:color w:val="auto"/>
                <w:sz w:val="21"/>
                <w:szCs w:val="21"/>
                <w:highlight w:val="none"/>
                <w:lang w:eastAsia="zh-CN"/>
              </w:rPr>
              <w:t>：</w:t>
            </w:r>
            <w:r>
              <w:rPr>
                <w:rStyle w:val="53"/>
                <w:rFonts w:hint="eastAsia" w:ascii="宋体" w:hAnsi="宋体" w:eastAsia="宋体" w:cs="宋体"/>
                <w:color w:val="auto"/>
                <w:sz w:val="21"/>
                <w:szCs w:val="21"/>
                <w:highlight w:val="none"/>
              </w:rPr>
              <w:t>合同金额5%（如果中标人为中小企业的，收取的履约保证金为合同金额的2%）；</w:t>
            </w:r>
          </w:p>
          <w:p w14:paraId="077E5FC1">
            <w:pPr>
              <w:spacing w:line="360" w:lineRule="exact"/>
              <w:jc w:val="left"/>
              <w:rPr>
                <w:rStyle w:val="53"/>
                <w:rFonts w:hint="eastAsia" w:ascii="宋体" w:hAnsi="宋体" w:eastAsia="宋体" w:cs="宋体"/>
                <w:color w:val="auto"/>
                <w:sz w:val="21"/>
                <w:szCs w:val="21"/>
                <w:highlight w:val="none"/>
              </w:rPr>
            </w:pPr>
            <w:r>
              <w:rPr>
                <w:rStyle w:val="53"/>
                <w:rFonts w:hint="eastAsia" w:ascii="宋体" w:hAnsi="宋体" w:eastAsia="宋体" w:cs="宋体"/>
                <w:color w:val="auto"/>
                <w:sz w:val="21"/>
                <w:szCs w:val="21"/>
                <w:highlight w:val="none"/>
              </w:rPr>
              <w:t>履约保证金的形式</w:t>
            </w:r>
            <w:r>
              <w:rPr>
                <w:rStyle w:val="53"/>
                <w:rFonts w:hint="eastAsia" w:ascii="宋体" w:hAnsi="宋体" w:eastAsia="宋体" w:cs="宋体"/>
                <w:color w:val="auto"/>
                <w:sz w:val="21"/>
                <w:szCs w:val="21"/>
                <w:highlight w:val="none"/>
                <w:lang w:eastAsia="zh-CN"/>
              </w:rPr>
              <w:t>：</w:t>
            </w:r>
            <w:r>
              <w:rPr>
                <w:rStyle w:val="53"/>
                <w:rFonts w:hint="eastAsia" w:ascii="宋体" w:hAnsi="宋体" w:eastAsia="宋体" w:cs="宋体"/>
                <w:color w:val="auto"/>
                <w:sz w:val="21"/>
                <w:szCs w:val="21"/>
                <w:highlight w:val="none"/>
              </w:rPr>
              <w:t>中标人可以选择电汇、转账、支票、汇票、本票、保险、保函等形式缴纳或提交。</w:t>
            </w:r>
          </w:p>
          <w:p w14:paraId="7B6ED12A">
            <w:pPr>
              <w:spacing w:line="360" w:lineRule="exact"/>
              <w:jc w:val="left"/>
              <w:rPr>
                <w:rStyle w:val="53"/>
                <w:rFonts w:hint="eastAsia" w:ascii="宋体" w:hAnsi="宋体" w:eastAsia="宋体" w:cs="宋体"/>
                <w:color w:val="auto"/>
                <w:sz w:val="21"/>
                <w:szCs w:val="21"/>
                <w:highlight w:val="none"/>
                <w:lang w:eastAsia="zh-CN"/>
              </w:rPr>
            </w:pPr>
            <w:r>
              <w:rPr>
                <w:rStyle w:val="53"/>
                <w:rFonts w:hint="eastAsia" w:ascii="宋体" w:hAnsi="宋体" w:eastAsia="宋体" w:cs="宋体"/>
                <w:color w:val="auto"/>
                <w:sz w:val="21"/>
                <w:szCs w:val="21"/>
                <w:highlight w:val="none"/>
              </w:rPr>
              <w:t>保证金缴纳的账号信息</w:t>
            </w:r>
            <w:r>
              <w:rPr>
                <w:rStyle w:val="53"/>
                <w:rFonts w:hint="eastAsia" w:ascii="宋体" w:hAnsi="宋体" w:eastAsia="宋体" w:cs="宋体"/>
                <w:color w:val="auto"/>
                <w:sz w:val="21"/>
                <w:szCs w:val="21"/>
                <w:highlight w:val="none"/>
                <w:lang w:eastAsia="zh-CN"/>
              </w:rPr>
              <w:t>：</w:t>
            </w:r>
          </w:p>
          <w:p w14:paraId="491D3B4A">
            <w:pPr>
              <w:spacing w:line="360" w:lineRule="exact"/>
              <w:jc w:val="left"/>
              <w:rPr>
                <w:rStyle w:val="53"/>
                <w:rFonts w:hint="eastAsia" w:ascii="宋体" w:hAnsi="宋体" w:eastAsia="宋体" w:cs="宋体"/>
                <w:color w:val="auto"/>
                <w:sz w:val="21"/>
                <w:szCs w:val="21"/>
                <w:highlight w:val="none"/>
              </w:rPr>
            </w:pPr>
            <w:r>
              <w:rPr>
                <w:rStyle w:val="53"/>
                <w:rFonts w:hint="eastAsia" w:ascii="宋体" w:hAnsi="宋体" w:eastAsia="宋体" w:cs="宋体"/>
                <w:color w:val="auto"/>
                <w:sz w:val="21"/>
                <w:szCs w:val="21"/>
                <w:highlight w:val="none"/>
              </w:rPr>
              <w:t>户名</w:t>
            </w:r>
            <w:r>
              <w:rPr>
                <w:rStyle w:val="53"/>
                <w:rFonts w:hint="eastAsia" w:ascii="宋体" w:hAnsi="宋体" w:eastAsia="宋体" w:cs="宋体"/>
                <w:color w:val="auto"/>
                <w:sz w:val="21"/>
                <w:szCs w:val="21"/>
                <w:highlight w:val="none"/>
                <w:lang w:eastAsia="zh-CN"/>
              </w:rPr>
              <w:t>：</w:t>
            </w:r>
            <w:r>
              <w:rPr>
                <w:rStyle w:val="53"/>
                <w:rFonts w:hint="eastAsia" w:ascii="宋体" w:hAnsi="宋体" w:eastAsia="宋体" w:cs="宋体"/>
                <w:color w:val="auto"/>
                <w:sz w:val="21"/>
                <w:szCs w:val="21"/>
                <w:highlight w:val="none"/>
              </w:rPr>
              <w:t>广西壮族自治区交通运输综合行政执法局</w:t>
            </w:r>
          </w:p>
          <w:p w14:paraId="4A12FEB7">
            <w:pPr>
              <w:spacing w:line="360" w:lineRule="exact"/>
              <w:jc w:val="left"/>
              <w:rPr>
                <w:rStyle w:val="53"/>
                <w:rFonts w:hint="eastAsia" w:ascii="宋体" w:hAnsi="宋体" w:eastAsia="宋体" w:cs="宋体"/>
                <w:color w:val="auto"/>
                <w:sz w:val="21"/>
                <w:szCs w:val="21"/>
                <w:highlight w:val="none"/>
              </w:rPr>
            </w:pPr>
            <w:r>
              <w:rPr>
                <w:rStyle w:val="53"/>
                <w:rFonts w:hint="eastAsia" w:ascii="宋体" w:hAnsi="宋体" w:eastAsia="宋体" w:cs="宋体"/>
                <w:color w:val="auto"/>
                <w:sz w:val="21"/>
                <w:szCs w:val="21"/>
                <w:highlight w:val="none"/>
              </w:rPr>
              <w:t>账号</w:t>
            </w:r>
            <w:r>
              <w:rPr>
                <w:rStyle w:val="53"/>
                <w:rFonts w:hint="eastAsia" w:ascii="宋体" w:hAnsi="宋体" w:eastAsia="宋体" w:cs="宋体"/>
                <w:color w:val="auto"/>
                <w:sz w:val="21"/>
                <w:szCs w:val="21"/>
                <w:highlight w:val="none"/>
                <w:lang w:eastAsia="zh-CN"/>
              </w:rPr>
              <w:t>：</w:t>
            </w:r>
            <w:r>
              <w:rPr>
                <w:rStyle w:val="53"/>
                <w:rFonts w:hint="eastAsia" w:ascii="宋体" w:hAnsi="宋体" w:eastAsia="宋体" w:cs="宋体"/>
                <w:color w:val="auto"/>
                <w:sz w:val="21"/>
                <w:szCs w:val="21"/>
                <w:highlight w:val="none"/>
              </w:rPr>
              <w:t>451060309013000948504</w:t>
            </w:r>
          </w:p>
          <w:p w14:paraId="414AFF84">
            <w:pPr>
              <w:spacing w:line="360" w:lineRule="exact"/>
              <w:jc w:val="left"/>
              <w:rPr>
                <w:rStyle w:val="53"/>
                <w:rFonts w:hint="eastAsia" w:ascii="宋体" w:hAnsi="宋体" w:eastAsia="宋体" w:cs="宋体"/>
                <w:color w:val="auto"/>
                <w:sz w:val="21"/>
                <w:szCs w:val="21"/>
                <w:highlight w:val="none"/>
              </w:rPr>
            </w:pPr>
            <w:r>
              <w:rPr>
                <w:rStyle w:val="53"/>
                <w:rFonts w:hint="eastAsia" w:ascii="宋体" w:hAnsi="宋体" w:eastAsia="宋体" w:cs="宋体"/>
                <w:color w:val="auto"/>
                <w:sz w:val="21"/>
                <w:szCs w:val="21"/>
                <w:highlight w:val="none"/>
              </w:rPr>
              <w:t>开户行</w:t>
            </w:r>
            <w:r>
              <w:rPr>
                <w:rStyle w:val="53"/>
                <w:rFonts w:hint="eastAsia" w:ascii="宋体" w:hAnsi="宋体" w:eastAsia="宋体" w:cs="宋体"/>
                <w:color w:val="auto"/>
                <w:sz w:val="21"/>
                <w:szCs w:val="21"/>
                <w:highlight w:val="none"/>
                <w:lang w:eastAsia="zh-CN"/>
              </w:rPr>
              <w:t>：</w:t>
            </w:r>
            <w:r>
              <w:rPr>
                <w:rStyle w:val="53"/>
                <w:rFonts w:hint="eastAsia" w:ascii="宋体" w:hAnsi="宋体" w:eastAsia="宋体" w:cs="宋体"/>
                <w:color w:val="auto"/>
                <w:sz w:val="21"/>
                <w:szCs w:val="21"/>
                <w:highlight w:val="none"/>
              </w:rPr>
              <w:t>交通银行南宁金源支行</w:t>
            </w:r>
          </w:p>
          <w:p w14:paraId="679F4709">
            <w:pPr>
              <w:spacing w:line="360" w:lineRule="exact"/>
              <w:jc w:val="left"/>
              <w:rPr>
                <w:rStyle w:val="53"/>
                <w:rFonts w:hint="eastAsia" w:ascii="宋体" w:hAnsi="宋体" w:eastAsia="宋体" w:cs="宋体"/>
                <w:color w:val="auto"/>
                <w:sz w:val="21"/>
                <w:szCs w:val="21"/>
                <w:highlight w:val="none"/>
              </w:rPr>
            </w:pPr>
            <w:r>
              <w:rPr>
                <w:rStyle w:val="53"/>
                <w:rFonts w:hint="eastAsia" w:ascii="宋体" w:hAnsi="宋体" w:eastAsia="宋体" w:cs="宋体"/>
                <w:color w:val="auto"/>
                <w:sz w:val="21"/>
                <w:szCs w:val="21"/>
                <w:highlight w:val="none"/>
              </w:rPr>
              <w:t>行号</w:t>
            </w:r>
            <w:r>
              <w:rPr>
                <w:rStyle w:val="53"/>
                <w:rFonts w:hint="eastAsia" w:ascii="宋体" w:hAnsi="宋体" w:eastAsia="宋体" w:cs="宋体"/>
                <w:color w:val="auto"/>
                <w:sz w:val="21"/>
                <w:szCs w:val="21"/>
                <w:highlight w:val="none"/>
                <w:lang w:eastAsia="zh-CN"/>
              </w:rPr>
              <w:t>：</w:t>
            </w:r>
            <w:r>
              <w:rPr>
                <w:rStyle w:val="53"/>
                <w:rFonts w:hint="eastAsia" w:ascii="宋体" w:hAnsi="宋体" w:eastAsia="宋体" w:cs="宋体"/>
                <w:color w:val="auto"/>
                <w:sz w:val="21"/>
                <w:szCs w:val="21"/>
                <w:highlight w:val="none"/>
              </w:rPr>
              <w:t>301611000373</w:t>
            </w:r>
          </w:p>
          <w:p w14:paraId="525792B0">
            <w:pPr>
              <w:spacing w:line="360" w:lineRule="exact"/>
              <w:jc w:val="left"/>
              <w:rPr>
                <w:rStyle w:val="53"/>
                <w:rFonts w:hint="eastAsia" w:ascii="宋体" w:hAnsi="宋体" w:eastAsia="宋体" w:cs="宋体"/>
                <w:color w:val="auto"/>
                <w:sz w:val="21"/>
                <w:szCs w:val="21"/>
                <w:highlight w:val="none"/>
              </w:rPr>
            </w:pPr>
            <w:r>
              <w:rPr>
                <w:rStyle w:val="53"/>
                <w:rFonts w:hint="eastAsia" w:ascii="宋体" w:hAnsi="宋体" w:eastAsia="宋体" w:cs="宋体"/>
                <w:color w:val="auto"/>
                <w:sz w:val="21"/>
                <w:szCs w:val="21"/>
                <w:highlight w:val="none"/>
              </w:rPr>
              <w:t>备注</w:t>
            </w:r>
            <w:r>
              <w:rPr>
                <w:rStyle w:val="53"/>
                <w:rFonts w:hint="eastAsia" w:ascii="宋体" w:hAnsi="宋体" w:eastAsia="宋体" w:cs="宋体"/>
                <w:color w:val="auto"/>
                <w:sz w:val="21"/>
                <w:szCs w:val="21"/>
                <w:highlight w:val="none"/>
                <w:lang w:eastAsia="zh-CN"/>
              </w:rPr>
              <w:t>：</w:t>
            </w:r>
            <w:r>
              <w:rPr>
                <w:rStyle w:val="53"/>
                <w:rFonts w:hint="eastAsia" w:ascii="宋体" w:hAnsi="宋体" w:eastAsia="宋体" w:cs="宋体"/>
                <w:color w:val="auto"/>
                <w:sz w:val="21"/>
                <w:szCs w:val="21"/>
                <w:highlight w:val="none"/>
              </w:rPr>
              <w:t>中标人在签订合同之前，足额提交履约保证金。未提交履约保证金的，不予签订合同。履约保证金自项目验收合格后，待中标人履行完质保义务后无息退还。</w:t>
            </w:r>
          </w:p>
        </w:tc>
      </w:tr>
      <w:tr w14:paraId="41CC69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445" w:type="dxa"/>
            <w:gridSpan w:val="2"/>
            <w:noWrap w:val="0"/>
            <w:vAlign w:val="center"/>
          </w:tcPr>
          <w:p w14:paraId="2368206F">
            <w:pPr>
              <w:spacing w:line="360" w:lineRule="exact"/>
              <w:jc w:val="center"/>
              <w:rPr>
                <w:rFonts w:hint="eastAsia" w:ascii="宋体" w:hAnsi="宋体" w:eastAsia="宋体" w:cs="宋体"/>
                <w:b w:val="0"/>
                <w:bCs w:val="0"/>
                <w:color w:val="auto"/>
                <w:spacing w:val="2"/>
                <w:sz w:val="21"/>
                <w:szCs w:val="21"/>
                <w:highlight w:val="none"/>
              </w:rPr>
            </w:pPr>
            <w:r>
              <w:rPr>
                <w:rFonts w:hint="eastAsia" w:ascii="宋体" w:hAnsi="宋体" w:eastAsia="宋体" w:cs="宋体"/>
                <w:color w:val="auto"/>
                <w:sz w:val="21"/>
                <w:szCs w:val="21"/>
                <w:highlight w:val="none"/>
              </w:rPr>
              <w:t>▲</w:t>
            </w:r>
            <w:r>
              <w:rPr>
                <w:rFonts w:hint="eastAsia" w:ascii="宋体" w:hAnsi="宋体" w:eastAsia="宋体" w:cs="宋体"/>
                <w:b w:val="0"/>
                <w:bCs w:val="0"/>
                <w:color w:val="auto"/>
                <w:spacing w:val="3"/>
                <w:sz w:val="21"/>
                <w:szCs w:val="21"/>
                <w:highlight w:val="none"/>
              </w:rPr>
              <w:t>服务要求</w:t>
            </w:r>
          </w:p>
        </w:tc>
        <w:tc>
          <w:tcPr>
            <w:tcW w:w="7740" w:type="dxa"/>
            <w:gridSpan w:val="3"/>
            <w:noWrap w:val="0"/>
            <w:vAlign w:val="center"/>
          </w:tcPr>
          <w:p w14:paraId="7231EFCC">
            <w:pPr>
              <w:spacing w:line="360" w:lineRule="exact"/>
              <w:jc w:val="left"/>
              <w:rPr>
                <w:rStyle w:val="53"/>
                <w:rFonts w:hint="eastAsia" w:ascii="宋体" w:hAnsi="宋体" w:eastAsia="宋体" w:cs="宋体"/>
                <w:color w:val="auto"/>
                <w:sz w:val="21"/>
                <w:szCs w:val="21"/>
                <w:highlight w:val="none"/>
              </w:rPr>
            </w:pPr>
            <w:r>
              <w:rPr>
                <w:rStyle w:val="53"/>
                <w:rFonts w:hint="eastAsia" w:ascii="宋体" w:hAnsi="宋体" w:eastAsia="宋体" w:cs="宋体"/>
                <w:color w:val="auto"/>
                <w:sz w:val="21"/>
                <w:szCs w:val="21"/>
                <w:highlight w:val="none"/>
              </w:rPr>
              <w:t>1</w:t>
            </w:r>
            <w:r>
              <w:rPr>
                <w:rStyle w:val="53"/>
                <w:rFonts w:hint="eastAsia" w:ascii="宋体" w:hAnsi="宋体" w:eastAsia="宋体" w:cs="宋体"/>
                <w:color w:val="auto"/>
                <w:sz w:val="21"/>
                <w:szCs w:val="21"/>
                <w:highlight w:val="none"/>
                <w:lang w:val="en-US" w:eastAsia="zh-CN"/>
              </w:rPr>
              <w:t xml:space="preserve">. </w:t>
            </w:r>
            <w:r>
              <w:rPr>
                <w:rStyle w:val="53"/>
                <w:rFonts w:hint="eastAsia" w:ascii="宋体" w:hAnsi="宋体" w:eastAsia="宋体" w:cs="宋体"/>
                <w:color w:val="auto"/>
                <w:sz w:val="21"/>
                <w:szCs w:val="21"/>
                <w:highlight w:val="none"/>
              </w:rPr>
              <w:t>响应时间</w:t>
            </w:r>
            <w:r>
              <w:rPr>
                <w:rStyle w:val="53"/>
                <w:rFonts w:hint="eastAsia" w:ascii="宋体" w:hAnsi="宋体" w:eastAsia="宋体" w:cs="宋体"/>
                <w:color w:val="auto"/>
                <w:sz w:val="21"/>
                <w:szCs w:val="21"/>
                <w:highlight w:val="none"/>
                <w:lang w:eastAsia="zh-CN"/>
              </w:rPr>
              <w:t>：</w:t>
            </w:r>
            <w:r>
              <w:rPr>
                <w:rStyle w:val="53"/>
                <w:rFonts w:hint="eastAsia" w:ascii="宋体" w:hAnsi="宋体" w:eastAsia="宋体" w:cs="宋体"/>
                <w:color w:val="auto"/>
                <w:sz w:val="21"/>
                <w:szCs w:val="21"/>
                <w:highlight w:val="none"/>
              </w:rPr>
              <w:t>接到检测服务要求后6小时内响应，48小时内到达检测现场，出现2次不能够及时响应情况，将视为不能满足工作要求，采购人有权追究违约责任，一切后果由中标人自行承担。</w:t>
            </w:r>
          </w:p>
          <w:p w14:paraId="732DF37E">
            <w:pPr>
              <w:spacing w:line="360" w:lineRule="exact"/>
              <w:jc w:val="left"/>
              <w:rPr>
                <w:rStyle w:val="53"/>
                <w:rFonts w:hint="eastAsia" w:ascii="宋体" w:hAnsi="宋体" w:eastAsia="宋体" w:cs="宋体"/>
                <w:color w:val="auto"/>
                <w:sz w:val="21"/>
                <w:szCs w:val="21"/>
                <w:highlight w:val="none"/>
                <w:lang w:eastAsia="zh-CN"/>
              </w:rPr>
            </w:pPr>
            <w:r>
              <w:rPr>
                <w:rStyle w:val="53"/>
                <w:rFonts w:hint="eastAsia" w:ascii="宋体" w:hAnsi="宋体" w:eastAsia="宋体" w:cs="宋体"/>
                <w:color w:val="auto"/>
                <w:sz w:val="21"/>
                <w:szCs w:val="21"/>
                <w:highlight w:val="none"/>
                <w:lang w:val="en-US" w:eastAsia="zh-CN"/>
              </w:rPr>
              <w:t xml:space="preserve">2. </w:t>
            </w:r>
            <w:r>
              <w:rPr>
                <w:rStyle w:val="53"/>
                <w:rFonts w:hint="eastAsia" w:ascii="宋体" w:hAnsi="宋体" w:eastAsia="宋体" w:cs="宋体"/>
                <w:color w:val="auto"/>
                <w:sz w:val="21"/>
                <w:szCs w:val="21"/>
                <w:highlight w:val="none"/>
              </w:rPr>
              <w:t>递交报告的时间</w:t>
            </w:r>
            <w:r>
              <w:rPr>
                <w:rStyle w:val="53"/>
                <w:rFonts w:hint="eastAsia" w:ascii="宋体" w:hAnsi="宋体" w:eastAsia="宋体" w:cs="宋体"/>
                <w:color w:val="auto"/>
                <w:sz w:val="21"/>
                <w:szCs w:val="21"/>
                <w:highlight w:val="none"/>
                <w:lang w:eastAsia="zh-CN"/>
              </w:rPr>
              <w:t>：</w:t>
            </w:r>
          </w:p>
          <w:p w14:paraId="6E2C55A7">
            <w:pPr>
              <w:spacing w:line="360" w:lineRule="exact"/>
              <w:jc w:val="left"/>
              <w:rPr>
                <w:rStyle w:val="53"/>
                <w:rFonts w:hint="eastAsia" w:ascii="宋体" w:hAnsi="宋体" w:eastAsia="宋体" w:cs="宋体"/>
                <w:color w:val="auto"/>
                <w:sz w:val="21"/>
                <w:szCs w:val="21"/>
                <w:highlight w:val="none"/>
              </w:rPr>
            </w:pPr>
            <w:r>
              <w:rPr>
                <w:rStyle w:val="53"/>
                <w:rFonts w:hint="eastAsia" w:ascii="宋体" w:hAnsi="宋体" w:eastAsia="宋体" w:cs="宋体"/>
                <w:color w:val="auto"/>
                <w:sz w:val="21"/>
                <w:szCs w:val="21"/>
                <w:highlight w:val="none"/>
                <w:lang w:val="en-US" w:eastAsia="zh-CN"/>
              </w:rPr>
              <w:t xml:space="preserve">2.1 </w:t>
            </w:r>
            <w:r>
              <w:rPr>
                <w:rStyle w:val="53"/>
                <w:rFonts w:hint="eastAsia" w:ascii="宋体" w:hAnsi="宋体" w:eastAsia="宋体" w:cs="宋体"/>
                <w:color w:val="auto"/>
                <w:sz w:val="21"/>
                <w:szCs w:val="21"/>
                <w:highlight w:val="none"/>
              </w:rPr>
              <w:t>中标人按照采购人的检测计划开展检测工作，现场检测结束后</w:t>
            </w:r>
            <w:r>
              <w:rPr>
                <w:rStyle w:val="53"/>
                <w:rFonts w:hint="eastAsia" w:ascii="宋体" w:hAnsi="宋体" w:cs="宋体"/>
                <w:color w:val="auto"/>
                <w:sz w:val="21"/>
                <w:szCs w:val="21"/>
                <w:highlight w:val="none"/>
                <w:lang w:val="en-US" w:eastAsia="zh-CN"/>
              </w:rPr>
              <w:t>7</w:t>
            </w:r>
            <w:r>
              <w:rPr>
                <w:rStyle w:val="53"/>
                <w:rFonts w:hint="eastAsia" w:ascii="宋体" w:hAnsi="宋体" w:eastAsia="宋体" w:cs="宋体"/>
                <w:color w:val="auto"/>
                <w:sz w:val="21"/>
                <w:szCs w:val="21"/>
                <w:highlight w:val="none"/>
              </w:rPr>
              <w:t>日内向采购人提交具体检测报告，并于每月25日向采购人提交上月20日至当月20日期间的检测数据及检测工作实施情况。合同要求的检测工作全部完成后，中标人须在现场检测结束后10日内向采购人提交总体检测分析报告。</w:t>
            </w:r>
          </w:p>
          <w:p w14:paraId="19BFE606">
            <w:pPr>
              <w:spacing w:line="360" w:lineRule="exact"/>
              <w:jc w:val="left"/>
              <w:rPr>
                <w:rStyle w:val="53"/>
                <w:rFonts w:hint="eastAsia" w:ascii="宋体" w:hAnsi="宋体" w:eastAsia="宋体" w:cs="宋体"/>
                <w:color w:val="auto"/>
                <w:sz w:val="21"/>
                <w:szCs w:val="21"/>
                <w:highlight w:val="none"/>
              </w:rPr>
            </w:pPr>
            <w:r>
              <w:rPr>
                <w:rStyle w:val="53"/>
                <w:rFonts w:hint="eastAsia" w:ascii="宋体" w:hAnsi="宋体" w:eastAsia="宋体" w:cs="宋体"/>
                <w:color w:val="auto"/>
                <w:sz w:val="21"/>
                <w:szCs w:val="21"/>
                <w:highlight w:val="none"/>
                <w:lang w:val="en-US" w:eastAsia="zh-CN"/>
              </w:rPr>
              <w:t xml:space="preserve">2.2 </w:t>
            </w:r>
            <w:r>
              <w:rPr>
                <w:rStyle w:val="53"/>
                <w:rFonts w:hint="eastAsia" w:ascii="宋体" w:hAnsi="宋体" w:eastAsia="宋体" w:cs="宋体"/>
                <w:color w:val="auto"/>
                <w:sz w:val="21"/>
                <w:szCs w:val="21"/>
                <w:highlight w:val="none"/>
              </w:rPr>
              <w:t>为协助完善监督检查工作，公路、铁路工程质量监督服务1标段的中标人需作为牵头人，组织其他标段中标单位协作汇总各个标段的检测情况，并出具季度、年度质检分析报告及相关内业资料整理。</w:t>
            </w:r>
          </w:p>
          <w:p w14:paraId="0DCD251A">
            <w:pPr>
              <w:spacing w:line="360" w:lineRule="exact"/>
              <w:jc w:val="left"/>
              <w:rPr>
                <w:rStyle w:val="53"/>
                <w:rFonts w:hint="eastAsia" w:ascii="宋体" w:hAnsi="宋体" w:eastAsia="宋体" w:cs="宋体"/>
                <w:color w:val="auto"/>
                <w:sz w:val="21"/>
                <w:szCs w:val="21"/>
                <w:highlight w:val="none"/>
                <w:lang w:eastAsia="zh-CN"/>
              </w:rPr>
            </w:pPr>
            <w:r>
              <w:rPr>
                <w:rStyle w:val="53"/>
                <w:rFonts w:hint="eastAsia" w:ascii="宋体" w:hAnsi="宋体" w:eastAsia="宋体" w:cs="宋体"/>
                <w:color w:val="auto"/>
                <w:sz w:val="21"/>
                <w:szCs w:val="21"/>
                <w:highlight w:val="none"/>
                <w:lang w:val="en-US" w:eastAsia="zh-CN"/>
              </w:rPr>
              <w:t xml:space="preserve">3 </w:t>
            </w:r>
            <w:r>
              <w:rPr>
                <w:rStyle w:val="53"/>
                <w:rFonts w:hint="eastAsia" w:ascii="宋体" w:hAnsi="宋体" w:eastAsia="宋体" w:cs="宋体"/>
                <w:color w:val="auto"/>
                <w:sz w:val="21"/>
                <w:szCs w:val="21"/>
                <w:highlight w:val="none"/>
              </w:rPr>
              <w:t>为使采购人充分了解投标人的服务能力，投标人在投标文件中须提供检测计划及项目实施方案，它们应包含</w:t>
            </w:r>
            <w:r>
              <w:rPr>
                <w:rStyle w:val="53"/>
                <w:rFonts w:hint="eastAsia" w:ascii="宋体" w:hAnsi="宋体" w:eastAsia="宋体" w:cs="宋体"/>
                <w:color w:val="auto"/>
                <w:sz w:val="21"/>
                <w:szCs w:val="21"/>
                <w:highlight w:val="none"/>
                <w:lang w:eastAsia="zh-CN"/>
              </w:rPr>
              <w:t>：</w:t>
            </w:r>
          </w:p>
          <w:p w14:paraId="33D262DE">
            <w:pPr>
              <w:spacing w:line="360" w:lineRule="exact"/>
              <w:jc w:val="left"/>
              <w:rPr>
                <w:rStyle w:val="53"/>
                <w:rFonts w:hint="eastAsia" w:ascii="宋体" w:hAnsi="宋体" w:eastAsia="宋体" w:cs="宋体"/>
                <w:color w:val="auto"/>
                <w:sz w:val="21"/>
                <w:szCs w:val="21"/>
                <w:highlight w:val="none"/>
              </w:rPr>
            </w:pPr>
            <w:r>
              <w:rPr>
                <w:rStyle w:val="53"/>
                <w:rFonts w:hint="eastAsia" w:ascii="宋体" w:hAnsi="宋体" w:eastAsia="宋体" w:cs="宋体"/>
                <w:color w:val="auto"/>
                <w:sz w:val="21"/>
                <w:szCs w:val="21"/>
                <w:highlight w:val="none"/>
                <w:lang w:val="en-US" w:eastAsia="zh-CN"/>
              </w:rPr>
              <w:t xml:space="preserve">3.1 </w:t>
            </w:r>
            <w:r>
              <w:rPr>
                <w:rStyle w:val="53"/>
                <w:rFonts w:hint="eastAsia" w:ascii="宋体" w:hAnsi="宋体" w:eastAsia="宋体" w:cs="宋体"/>
                <w:color w:val="auto"/>
                <w:sz w:val="21"/>
                <w:szCs w:val="21"/>
                <w:highlight w:val="none"/>
              </w:rPr>
              <w:t>相关人员到位承诺书及人员资格及职称介绍及相关材料证明；</w:t>
            </w:r>
          </w:p>
          <w:p w14:paraId="4EDE6317">
            <w:pPr>
              <w:spacing w:line="360" w:lineRule="exact"/>
              <w:jc w:val="left"/>
              <w:rPr>
                <w:rStyle w:val="53"/>
                <w:rFonts w:hint="eastAsia" w:ascii="宋体" w:hAnsi="宋体" w:eastAsia="宋体" w:cs="宋体"/>
                <w:color w:val="auto"/>
                <w:sz w:val="21"/>
                <w:szCs w:val="21"/>
                <w:highlight w:val="none"/>
              </w:rPr>
            </w:pPr>
            <w:r>
              <w:rPr>
                <w:rStyle w:val="53"/>
                <w:rFonts w:hint="eastAsia" w:ascii="宋体" w:hAnsi="宋体" w:eastAsia="宋体" w:cs="宋体"/>
                <w:color w:val="auto"/>
                <w:sz w:val="21"/>
                <w:szCs w:val="21"/>
                <w:highlight w:val="none"/>
                <w:lang w:val="en-US" w:eastAsia="zh-CN"/>
              </w:rPr>
              <w:t xml:space="preserve">3.2 </w:t>
            </w:r>
            <w:r>
              <w:rPr>
                <w:rStyle w:val="53"/>
                <w:rFonts w:hint="eastAsia" w:ascii="宋体" w:hAnsi="宋体" w:eastAsia="宋体" w:cs="宋体"/>
                <w:color w:val="auto"/>
                <w:sz w:val="21"/>
                <w:szCs w:val="21"/>
                <w:highlight w:val="none"/>
              </w:rPr>
              <w:t>关于本项目的具体检测工作计划，递交检测报告的时间承诺；</w:t>
            </w:r>
          </w:p>
          <w:p w14:paraId="6E50FAA7">
            <w:pPr>
              <w:spacing w:line="360" w:lineRule="exact"/>
              <w:jc w:val="left"/>
              <w:rPr>
                <w:rStyle w:val="53"/>
                <w:rFonts w:hint="eastAsia" w:ascii="宋体" w:hAnsi="宋体" w:eastAsia="宋体" w:cs="宋体"/>
                <w:color w:val="auto"/>
                <w:sz w:val="21"/>
                <w:szCs w:val="21"/>
                <w:highlight w:val="none"/>
              </w:rPr>
            </w:pPr>
            <w:r>
              <w:rPr>
                <w:rStyle w:val="53"/>
                <w:rFonts w:hint="eastAsia" w:ascii="宋体" w:hAnsi="宋体" w:eastAsia="宋体" w:cs="宋体"/>
                <w:color w:val="auto"/>
                <w:sz w:val="21"/>
                <w:szCs w:val="21"/>
                <w:highlight w:val="none"/>
                <w:lang w:val="en-US" w:eastAsia="zh-CN"/>
              </w:rPr>
              <w:t xml:space="preserve">3.3 </w:t>
            </w:r>
            <w:r>
              <w:rPr>
                <w:rStyle w:val="53"/>
                <w:rFonts w:hint="eastAsia" w:ascii="宋体" w:hAnsi="宋体" w:eastAsia="宋体" w:cs="宋体"/>
                <w:color w:val="auto"/>
                <w:sz w:val="21"/>
                <w:szCs w:val="21"/>
                <w:highlight w:val="none"/>
              </w:rPr>
              <w:t>技术方案、实施安排和质量保障措施；包括现场检测的人员安排及采用的设备和交通工具，检测及检测后各个工作环节和程序中运用的技术措施和实施安排；各个工作环节的质量保证措施；</w:t>
            </w:r>
          </w:p>
          <w:p w14:paraId="572451A3">
            <w:pPr>
              <w:spacing w:line="360" w:lineRule="exact"/>
              <w:jc w:val="left"/>
              <w:rPr>
                <w:rStyle w:val="53"/>
                <w:rFonts w:hint="eastAsia" w:ascii="宋体" w:hAnsi="宋体" w:eastAsia="宋体" w:cs="宋体"/>
                <w:color w:val="auto"/>
                <w:sz w:val="21"/>
                <w:szCs w:val="21"/>
                <w:highlight w:val="none"/>
              </w:rPr>
            </w:pPr>
            <w:r>
              <w:rPr>
                <w:rStyle w:val="53"/>
                <w:rFonts w:hint="eastAsia" w:ascii="宋体" w:hAnsi="宋体" w:eastAsia="宋体" w:cs="宋体"/>
                <w:color w:val="auto"/>
                <w:sz w:val="21"/>
                <w:szCs w:val="21"/>
                <w:highlight w:val="none"/>
                <w:lang w:val="en-US" w:eastAsia="zh-CN"/>
              </w:rPr>
              <w:t xml:space="preserve">3.4 </w:t>
            </w:r>
            <w:r>
              <w:rPr>
                <w:rStyle w:val="53"/>
                <w:rFonts w:hint="eastAsia" w:ascii="宋体" w:hAnsi="宋体" w:eastAsia="宋体" w:cs="宋体"/>
                <w:color w:val="auto"/>
                <w:sz w:val="21"/>
                <w:szCs w:val="21"/>
                <w:highlight w:val="none"/>
              </w:rPr>
              <w:t>服务保障及相关管理措施。</w:t>
            </w:r>
          </w:p>
        </w:tc>
      </w:tr>
      <w:tr w14:paraId="07262A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445" w:type="dxa"/>
            <w:gridSpan w:val="2"/>
            <w:noWrap w:val="0"/>
            <w:vAlign w:val="center"/>
          </w:tcPr>
          <w:p w14:paraId="42115727">
            <w:pPr>
              <w:spacing w:line="360" w:lineRule="exact"/>
              <w:jc w:val="center"/>
              <w:rPr>
                <w:rFonts w:hint="eastAsia" w:ascii="宋体" w:hAnsi="宋体" w:eastAsia="宋体" w:cs="宋体"/>
                <w:b w:val="0"/>
                <w:bCs w:val="0"/>
                <w:color w:val="auto"/>
                <w:spacing w:val="3"/>
                <w:sz w:val="21"/>
                <w:szCs w:val="21"/>
                <w:highlight w:val="none"/>
              </w:rPr>
            </w:pPr>
            <w:r>
              <w:rPr>
                <w:rFonts w:hint="eastAsia" w:ascii="宋体" w:hAnsi="宋体" w:eastAsia="宋体" w:cs="宋体"/>
                <w:color w:val="auto"/>
                <w:sz w:val="21"/>
                <w:szCs w:val="21"/>
                <w:highlight w:val="none"/>
              </w:rPr>
              <w:t>▲</w:t>
            </w:r>
            <w:r>
              <w:rPr>
                <w:rFonts w:hint="eastAsia" w:ascii="宋体" w:hAnsi="宋体" w:eastAsia="宋体" w:cs="宋体"/>
                <w:b w:val="0"/>
                <w:bCs w:val="0"/>
                <w:color w:val="auto"/>
                <w:spacing w:val="9"/>
                <w:sz w:val="21"/>
                <w:szCs w:val="21"/>
                <w:highlight w:val="none"/>
              </w:rPr>
              <w:t>知识产权</w:t>
            </w:r>
          </w:p>
        </w:tc>
        <w:tc>
          <w:tcPr>
            <w:tcW w:w="7740" w:type="dxa"/>
            <w:gridSpan w:val="3"/>
            <w:noWrap w:val="0"/>
            <w:vAlign w:val="center"/>
          </w:tcPr>
          <w:p w14:paraId="509AC7FD">
            <w:pPr>
              <w:spacing w:line="360" w:lineRule="exact"/>
              <w:jc w:val="left"/>
              <w:rPr>
                <w:rStyle w:val="53"/>
                <w:rFonts w:hint="eastAsia" w:ascii="宋体" w:hAnsi="宋体" w:eastAsia="宋体" w:cs="宋体"/>
                <w:color w:val="auto"/>
                <w:sz w:val="21"/>
                <w:szCs w:val="21"/>
                <w:highlight w:val="none"/>
              </w:rPr>
            </w:pPr>
            <w:r>
              <w:rPr>
                <w:rStyle w:val="53"/>
                <w:rFonts w:hint="eastAsia" w:ascii="宋体" w:hAnsi="宋体" w:eastAsia="宋体" w:cs="宋体"/>
                <w:color w:val="auto"/>
                <w:sz w:val="21"/>
                <w:szCs w:val="21"/>
                <w:highlight w:val="none"/>
              </w:rPr>
              <w:t>采购人在中华人民共和国境内使用中标人提供的产品及服务时免受第三方提出的</w:t>
            </w:r>
          </w:p>
          <w:p w14:paraId="17158FAF">
            <w:pPr>
              <w:spacing w:line="360" w:lineRule="exact"/>
              <w:jc w:val="left"/>
              <w:rPr>
                <w:rStyle w:val="53"/>
                <w:rFonts w:hint="eastAsia" w:ascii="宋体" w:hAnsi="宋体" w:eastAsia="宋体" w:cs="宋体"/>
                <w:color w:val="auto"/>
                <w:sz w:val="21"/>
                <w:szCs w:val="21"/>
                <w:highlight w:val="none"/>
              </w:rPr>
            </w:pPr>
            <w:r>
              <w:rPr>
                <w:rStyle w:val="53"/>
                <w:rFonts w:hint="eastAsia" w:ascii="宋体" w:hAnsi="宋体" w:eastAsia="宋体" w:cs="宋体"/>
                <w:color w:val="auto"/>
                <w:sz w:val="21"/>
                <w:szCs w:val="21"/>
                <w:highlight w:val="none"/>
              </w:rPr>
              <w:t>侵犯其专利权或其它知识产权的起诉。如果第三方提出侵权指控，中标人应承担由此而引起的一切法律责任和费用。</w:t>
            </w:r>
          </w:p>
        </w:tc>
      </w:tr>
      <w:tr w14:paraId="6ADAC5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445" w:type="dxa"/>
            <w:gridSpan w:val="2"/>
            <w:noWrap w:val="0"/>
            <w:vAlign w:val="center"/>
          </w:tcPr>
          <w:p w14:paraId="679ECF0D">
            <w:pPr>
              <w:spacing w:line="360" w:lineRule="exact"/>
              <w:jc w:val="center"/>
              <w:rPr>
                <w:rFonts w:hint="eastAsia" w:ascii="宋体" w:hAnsi="宋体" w:eastAsia="宋体" w:cs="宋体"/>
                <w:b w:val="0"/>
                <w:bCs w:val="0"/>
                <w:color w:val="auto"/>
                <w:spacing w:val="9"/>
                <w:sz w:val="21"/>
                <w:szCs w:val="21"/>
                <w:highlight w:val="none"/>
              </w:rPr>
            </w:pPr>
            <w:r>
              <w:rPr>
                <w:rFonts w:hint="eastAsia" w:ascii="宋体" w:hAnsi="宋体" w:eastAsia="宋体" w:cs="宋体"/>
                <w:color w:val="auto"/>
                <w:sz w:val="21"/>
                <w:szCs w:val="21"/>
                <w:highlight w:val="none"/>
              </w:rPr>
              <w:t>▲</w:t>
            </w:r>
            <w:r>
              <w:rPr>
                <w:rFonts w:hint="eastAsia" w:ascii="宋体" w:hAnsi="宋体" w:eastAsia="宋体" w:cs="宋体"/>
                <w:b w:val="0"/>
                <w:bCs w:val="0"/>
                <w:color w:val="auto"/>
                <w:spacing w:val="3"/>
                <w:sz w:val="21"/>
                <w:szCs w:val="21"/>
                <w:highlight w:val="none"/>
              </w:rPr>
              <w:t>验收标准及要求</w:t>
            </w:r>
          </w:p>
        </w:tc>
        <w:tc>
          <w:tcPr>
            <w:tcW w:w="7740" w:type="dxa"/>
            <w:gridSpan w:val="3"/>
            <w:noWrap w:val="0"/>
            <w:vAlign w:val="center"/>
          </w:tcPr>
          <w:p w14:paraId="26112EB6">
            <w:pPr>
              <w:spacing w:line="360" w:lineRule="exact"/>
              <w:jc w:val="left"/>
              <w:rPr>
                <w:rStyle w:val="53"/>
                <w:rFonts w:hint="eastAsia" w:ascii="宋体" w:hAnsi="宋体" w:eastAsia="宋体" w:cs="宋体"/>
                <w:color w:val="auto"/>
                <w:sz w:val="21"/>
                <w:szCs w:val="21"/>
                <w:highlight w:val="none"/>
              </w:rPr>
            </w:pPr>
            <w:r>
              <w:rPr>
                <w:rStyle w:val="53"/>
                <w:rFonts w:hint="eastAsia" w:ascii="宋体" w:hAnsi="宋体" w:eastAsia="宋体" w:cs="宋体"/>
                <w:color w:val="auto"/>
                <w:sz w:val="21"/>
                <w:szCs w:val="21"/>
                <w:highlight w:val="none"/>
                <w:lang w:val="en-US" w:eastAsia="zh-CN"/>
              </w:rPr>
              <w:t xml:space="preserve">1. </w:t>
            </w:r>
            <w:r>
              <w:rPr>
                <w:rStyle w:val="53"/>
                <w:rFonts w:hint="eastAsia" w:ascii="宋体" w:hAnsi="宋体" w:eastAsia="宋体" w:cs="宋体"/>
                <w:color w:val="auto"/>
                <w:sz w:val="21"/>
                <w:szCs w:val="21"/>
                <w:highlight w:val="none"/>
              </w:rPr>
              <w:t>按国家行业标准及有关规定、招标文件、投标文件以及合同的相关条款进行验收。</w:t>
            </w:r>
          </w:p>
          <w:p w14:paraId="43568C22">
            <w:pPr>
              <w:spacing w:line="360" w:lineRule="exact"/>
              <w:jc w:val="left"/>
              <w:rPr>
                <w:rStyle w:val="53"/>
                <w:rFonts w:hint="eastAsia" w:ascii="宋体" w:hAnsi="宋体" w:eastAsia="宋体" w:cs="宋体"/>
                <w:color w:val="auto"/>
                <w:sz w:val="21"/>
                <w:szCs w:val="21"/>
                <w:highlight w:val="none"/>
              </w:rPr>
            </w:pPr>
            <w:r>
              <w:rPr>
                <w:rStyle w:val="53"/>
                <w:rFonts w:hint="eastAsia" w:ascii="宋体" w:hAnsi="宋体" w:eastAsia="宋体" w:cs="宋体"/>
                <w:color w:val="auto"/>
                <w:sz w:val="21"/>
                <w:szCs w:val="21"/>
                <w:highlight w:val="none"/>
                <w:lang w:val="en-US" w:eastAsia="zh-CN"/>
              </w:rPr>
              <w:t xml:space="preserve">2. </w:t>
            </w:r>
            <w:r>
              <w:rPr>
                <w:rStyle w:val="53"/>
                <w:rFonts w:hint="eastAsia" w:ascii="宋体" w:hAnsi="宋体" w:eastAsia="宋体" w:cs="宋体"/>
                <w:color w:val="auto"/>
                <w:sz w:val="21"/>
                <w:szCs w:val="21"/>
                <w:highlight w:val="none"/>
              </w:rPr>
              <w:t>验收过程中所产生的一切费用均由中标人承担。报价时应考虑相关费用。</w:t>
            </w:r>
          </w:p>
        </w:tc>
      </w:tr>
      <w:tr w14:paraId="03BF0E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445" w:type="dxa"/>
            <w:gridSpan w:val="2"/>
            <w:noWrap w:val="0"/>
            <w:vAlign w:val="center"/>
          </w:tcPr>
          <w:p w14:paraId="6F56A225">
            <w:pPr>
              <w:spacing w:line="360" w:lineRule="exact"/>
              <w:jc w:val="center"/>
              <w:rPr>
                <w:rFonts w:hint="eastAsia" w:ascii="宋体" w:hAnsi="宋体" w:eastAsia="宋体" w:cs="宋体"/>
                <w:b w:val="0"/>
                <w:bCs w:val="0"/>
                <w:color w:val="auto"/>
                <w:spacing w:val="3"/>
                <w:sz w:val="21"/>
                <w:szCs w:val="21"/>
                <w:highlight w:val="none"/>
              </w:rPr>
            </w:pPr>
            <w:r>
              <w:rPr>
                <w:rFonts w:hint="eastAsia" w:ascii="宋体" w:hAnsi="宋体" w:eastAsia="宋体" w:cs="宋体"/>
                <w:b w:val="0"/>
                <w:bCs w:val="0"/>
                <w:color w:val="auto"/>
                <w:spacing w:val="3"/>
                <w:sz w:val="21"/>
                <w:szCs w:val="21"/>
                <w:highlight w:val="none"/>
              </w:rPr>
              <w:t>其他要求</w:t>
            </w:r>
          </w:p>
        </w:tc>
        <w:tc>
          <w:tcPr>
            <w:tcW w:w="7740" w:type="dxa"/>
            <w:gridSpan w:val="3"/>
            <w:noWrap w:val="0"/>
            <w:vAlign w:val="center"/>
          </w:tcPr>
          <w:p w14:paraId="565BB2B0">
            <w:pPr>
              <w:spacing w:line="360" w:lineRule="exact"/>
              <w:jc w:val="left"/>
              <w:rPr>
                <w:rStyle w:val="53"/>
                <w:rFonts w:hint="eastAsia" w:ascii="宋体" w:hAnsi="宋体" w:eastAsia="宋体" w:cs="宋体"/>
                <w:color w:val="auto"/>
                <w:sz w:val="21"/>
                <w:szCs w:val="21"/>
                <w:highlight w:val="none"/>
                <w:lang w:val="en-US" w:eastAsia="zh-CN"/>
              </w:rPr>
            </w:pPr>
            <w:r>
              <w:rPr>
                <w:rStyle w:val="53"/>
                <w:rFonts w:hint="eastAsia" w:ascii="宋体" w:hAnsi="宋体" w:eastAsia="宋体" w:cs="宋体"/>
                <w:color w:val="auto"/>
                <w:sz w:val="21"/>
                <w:szCs w:val="21"/>
                <w:highlight w:val="none"/>
                <w:lang w:val="en-US" w:eastAsia="zh-CN"/>
              </w:rPr>
              <w:t>1. 对质检投诉、举报、对事故分析调查需要检测的情形等未列明的实际可能涉及的工作以实际工作内容为准。</w:t>
            </w:r>
          </w:p>
          <w:p w14:paraId="1268E96D">
            <w:pPr>
              <w:spacing w:line="360" w:lineRule="exact"/>
              <w:jc w:val="left"/>
              <w:rPr>
                <w:rStyle w:val="53"/>
                <w:rFonts w:hint="eastAsia" w:ascii="宋体" w:hAnsi="宋体" w:eastAsia="宋体" w:cs="宋体"/>
                <w:color w:val="auto"/>
                <w:sz w:val="21"/>
                <w:szCs w:val="21"/>
                <w:highlight w:val="none"/>
                <w:lang w:val="en-US" w:eastAsia="zh-CN"/>
              </w:rPr>
            </w:pPr>
            <w:r>
              <w:rPr>
                <w:rStyle w:val="53"/>
                <w:rFonts w:hint="eastAsia" w:ascii="宋体" w:hAnsi="宋体" w:eastAsia="宋体" w:cs="宋体"/>
                <w:color w:val="auto"/>
                <w:sz w:val="21"/>
                <w:szCs w:val="21"/>
                <w:highlight w:val="none"/>
                <w:lang w:val="en-US" w:eastAsia="zh-CN"/>
              </w:rPr>
              <w:t>2. 其他未尽事宜由采购人和中标人在采购合同中详细约定。</w:t>
            </w:r>
          </w:p>
          <w:p w14:paraId="150C14A5">
            <w:pPr>
              <w:spacing w:line="360" w:lineRule="exact"/>
              <w:jc w:val="left"/>
              <w:rPr>
                <w:rStyle w:val="53"/>
                <w:rFonts w:hint="eastAsia" w:ascii="宋体" w:hAnsi="宋体" w:eastAsia="宋体" w:cs="宋体"/>
                <w:color w:val="auto"/>
                <w:sz w:val="21"/>
                <w:szCs w:val="21"/>
                <w:highlight w:val="none"/>
                <w:lang w:val="en-US" w:eastAsia="zh-CN"/>
              </w:rPr>
            </w:pPr>
            <w:r>
              <w:rPr>
                <w:rStyle w:val="53"/>
                <w:rFonts w:hint="eastAsia" w:ascii="宋体" w:hAnsi="宋体" w:eastAsia="宋体" w:cs="宋体"/>
                <w:color w:val="auto"/>
                <w:sz w:val="21"/>
                <w:szCs w:val="21"/>
                <w:highlight w:val="none"/>
                <w:lang w:val="en-US" w:eastAsia="zh-CN"/>
              </w:rPr>
              <w:t>3. 中标人必须自行为其投标产品侵犯其他投标人或专利人的专利成果承担相应法律责任；同时，具有产品专利的投标人应在其投标文件中提供与其自有产品专利相关的有效证明材料，否则，不能就其产品的专利在本项目采购过程中被侵权问题提出异议。</w:t>
            </w:r>
          </w:p>
          <w:p w14:paraId="63516D59">
            <w:pPr>
              <w:spacing w:line="360" w:lineRule="exact"/>
              <w:jc w:val="left"/>
              <w:rPr>
                <w:rStyle w:val="53"/>
                <w:rFonts w:hint="eastAsia" w:ascii="宋体" w:hAnsi="宋体" w:eastAsia="宋体" w:cs="宋体"/>
                <w:color w:val="auto"/>
                <w:sz w:val="21"/>
                <w:szCs w:val="21"/>
                <w:highlight w:val="none"/>
                <w:lang w:val="en-US" w:eastAsia="zh-CN"/>
              </w:rPr>
            </w:pPr>
            <w:r>
              <w:rPr>
                <w:rStyle w:val="53"/>
                <w:rFonts w:hint="eastAsia" w:ascii="宋体" w:hAnsi="宋体" w:eastAsia="宋体" w:cs="宋体"/>
                <w:color w:val="auto"/>
                <w:sz w:val="21"/>
                <w:szCs w:val="21"/>
                <w:highlight w:val="none"/>
                <w:lang w:val="en-US" w:eastAsia="zh-CN"/>
              </w:rPr>
              <w:t>4. 开始现场检测工作前，采购人组织中标人召开检测工作会议，中标人应按照采购人要求开展检测及数据采集、整理、分析等工作，服从采购人管理。</w:t>
            </w:r>
          </w:p>
        </w:tc>
      </w:tr>
    </w:tbl>
    <w:p w14:paraId="341B69B8">
      <w:pPr>
        <w:spacing w:line="360" w:lineRule="exact"/>
        <w:ind w:right="2" w:rightChars="1"/>
        <w:outlineLvl w:val="1"/>
        <w:rPr>
          <w:rFonts w:hint="eastAsia" w:ascii="宋体" w:hAnsi="宋体" w:eastAsia="宋体" w:cs="宋体"/>
          <w:b/>
          <w:bCs/>
          <w:color w:val="auto"/>
          <w:szCs w:val="21"/>
          <w:highlight w:val="none"/>
        </w:rPr>
      </w:pPr>
      <w:r>
        <w:rPr>
          <w:rFonts w:hint="eastAsia" w:ascii="宋体" w:hAnsi="宋体" w:eastAsia="宋体" w:cs="宋体"/>
          <w:color w:val="auto"/>
          <w:highlight w:val="none"/>
        </w:rPr>
        <w:br w:type="page"/>
      </w:r>
      <w:r>
        <w:rPr>
          <w:rFonts w:hint="eastAsia" w:ascii="宋体" w:hAnsi="宋体" w:eastAsia="宋体" w:cs="宋体"/>
          <w:b/>
          <w:bCs/>
          <w:color w:val="auto"/>
          <w:szCs w:val="21"/>
          <w:highlight w:val="none"/>
        </w:rPr>
        <w:t>所属行业</w:t>
      </w:r>
      <w:r>
        <w:rPr>
          <w:rFonts w:hint="eastAsia" w:ascii="宋体" w:hAnsi="宋体" w:eastAsia="宋体" w:cs="宋体"/>
          <w:b/>
          <w:bCs/>
          <w:color w:val="auto"/>
          <w:szCs w:val="21"/>
          <w:highlight w:val="none"/>
          <w:lang w:eastAsia="zh-CN"/>
        </w:rPr>
        <w:t>：</w:t>
      </w:r>
      <w:r>
        <w:rPr>
          <w:rFonts w:hint="eastAsia" w:ascii="宋体" w:hAnsi="宋体" w:eastAsia="宋体" w:cs="宋体"/>
          <w:b/>
          <w:bCs/>
          <w:color w:val="auto"/>
          <w:szCs w:val="21"/>
          <w:highlight w:val="none"/>
        </w:rPr>
        <w:t>其他未列明行业</w:t>
      </w:r>
    </w:p>
    <w:p w14:paraId="68A78360">
      <w:pPr>
        <w:pStyle w:val="2"/>
        <w:rPr>
          <w:rFonts w:hint="eastAsia" w:ascii="宋体" w:hAnsi="宋体" w:eastAsia="宋体" w:cs="宋体"/>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SYJD1标段/SYJD2标段</w:t>
      </w:r>
    </w:p>
    <w:tbl>
      <w:tblPr>
        <w:tblStyle w:val="45"/>
        <w:tblW w:w="918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9"/>
        <w:gridCol w:w="736"/>
        <w:gridCol w:w="453"/>
        <w:gridCol w:w="705"/>
        <w:gridCol w:w="6582"/>
      </w:tblGrid>
      <w:tr w14:paraId="095B62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185" w:type="dxa"/>
            <w:gridSpan w:val="5"/>
            <w:noWrap w:val="0"/>
            <w:vAlign w:val="center"/>
          </w:tcPr>
          <w:p w14:paraId="7800C7E1">
            <w:pPr>
              <w:spacing w:line="360" w:lineRule="exact"/>
              <w:rPr>
                <w:rFonts w:hint="eastAsia" w:ascii="宋体" w:hAnsi="宋体" w:eastAsia="宋体" w:cs="宋体"/>
                <w:color w:val="auto"/>
                <w:szCs w:val="21"/>
                <w:highlight w:val="none"/>
              </w:rPr>
            </w:pPr>
            <w:r>
              <w:rPr>
                <w:rFonts w:hint="eastAsia" w:ascii="宋体" w:hAnsi="宋体" w:eastAsia="宋体" w:cs="宋体"/>
                <w:b/>
                <w:bCs/>
                <w:color w:val="auto"/>
                <w:szCs w:val="21"/>
                <w:highlight w:val="none"/>
              </w:rPr>
              <w:t>一、项目要求及技术需求</w:t>
            </w:r>
          </w:p>
        </w:tc>
      </w:tr>
      <w:tr w14:paraId="284B47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09" w:type="dxa"/>
            <w:noWrap w:val="0"/>
            <w:vAlign w:val="center"/>
          </w:tcPr>
          <w:p w14:paraId="4B5E6743">
            <w:pPr>
              <w:spacing w:line="360" w:lineRule="exact"/>
              <w:jc w:val="center"/>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标项</w:t>
            </w:r>
          </w:p>
        </w:tc>
        <w:tc>
          <w:tcPr>
            <w:tcW w:w="1189" w:type="dxa"/>
            <w:gridSpan w:val="2"/>
            <w:noWrap w:val="0"/>
            <w:vAlign w:val="center"/>
          </w:tcPr>
          <w:p w14:paraId="5BFE23C4">
            <w:pPr>
              <w:spacing w:line="360" w:lineRule="exact"/>
              <w:jc w:val="center"/>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标的名称</w:t>
            </w:r>
          </w:p>
        </w:tc>
        <w:tc>
          <w:tcPr>
            <w:tcW w:w="705" w:type="dxa"/>
            <w:noWrap w:val="0"/>
            <w:vAlign w:val="center"/>
          </w:tcPr>
          <w:p w14:paraId="6F5A8E06">
            <w:pPr>
              <w:spacing w:line="360" w:lineRule="exact"/>
              <w:jc w:val="center"/>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数量</w:t>
            </w:r>
          </w:p>
        </w:tc>
        <w:tc>
          <w:tcPr>
            <w:tcW w:w="6582" w:type="dxa"/>
            <w:noWrap w:val="0"/>
            <w:vAlign w:val="center"/>
          </w:tcPr>
          <w:p w14:paraId="4D06B6BC">
            <w:pPr>
              <w:spacing w:line="360" w:lineRule="exact"/>
              <w:jc w:val="center"/>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项目要求及技术需求</w:t>
            </w:r>
          </w:p>
        </w:tc>
      </w:tr>
      <w:tr w14:paraId="16B041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9" w:hRule="atLeast"/>
          <w:jc w:val="center"/>
        </w:trPr>
        <w:tc>
          <w:tcPr>
            <w:tcW w:w="709" w:type="dxa"/>
            <w:noWrap w:val="0"/>
            <w:vAlign w:val="center"/>
          </w:tcPr>
          <w:p w14:paraId="1CB42573">
            <w:pPr>
              <w:spacing w:line="360" w:lineRule="exact"/>
              <w:jc w:val="center"/>
              <w:rPr>
                <w:rFonts w:hint="eastAsia" w:ascii="宋体" w:hAnsi="宋体" w:eastAsia="宋体" w:cs="宋体"/>
                <w:color w:val="auto"/>
                <w:szCs w:val="21"/>
                <w:highlight w:val="none"/>
              </w:rPr>
            </w:pPr>
            <w:r>
              <w:rPr>
                <w:rFonts w:hint="eastAsia" w:ascii="宋体" w:hAnsi="宋体" w:eastAsia="宋体" w:cs="宋体"/>
                <w:bCs/>
                <w:color w:val="auto"/>
                <w:szCs w:val="21"/>
                <w:highlight w:val="none"/>
                <w:lang w:eastAsia="zh-CN"/>
              </w:rPr>
              <w:t>SYJD1</w:t>
            </w:r>
          </w:p>
        </w:tc>
        <w:tc>
          <w:tcPr>
            <w:tcW w:w="1189" w:type="dxa"/>
            <w:gridSpan w:val="2"/>
            <w:noWrap w:val="0"/>
            <w:vAlign w:val="center"/>
          </w:tcPr>
          <w:p w14:paraId="609FB550">
            <w:pPr>
              <w:spacing w:line="360" w:lineRule="exact"/>
              <w:jc w:val="center"/>
              <w:rPr>
                <w:rFonts w:hint="eastAsia" w:ascii="宋体" w:hAnsi="宋体" w:eastAsia="宋体" w:cs="宋体"/>
                <w:bCs/>
                <w:color w:val="auto"/>
                <w:szCs w:val="21"/>
                <w:highlight w:val="none"/>
                <w:lang w:eastAsia="zh-CN"/>
              </w:rPr>
            </w:pPr>
            <w:r>
              <w:rPr>
                <w:rFonts w:hint="eastAsia" w:ascii="宋体" w:hAnsi="宋体" w:eastAsia="宋体" w:cs="宋体"/>
                <w:bCs/>
                <w:color w:val="auto"/>
                <w:szCs w:val="21"/>
                <w:highlight w:val="none"/>
                <w:lang w:eastAsia="zh-CN"/>
              </w:rPr>
              <w:t>SYJD1：水运工程质量监督检测</w:t>
            </w:r>
          </w:p>
        </w:tc>
        <w:tc>
          <w:tcPr>
            <w:tcW w:w="705" w:type="dxa"/>
            <w:noWrap w:val="0"/>
            <w:vAlign w:val="center"/>
          </w:tcPr>
          <w:p w14:paraId="006B5322">
            <w:pPr>
              <w:spacing w:line="36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1项</w:t>
            </w:r>
          </w:p>
        </w:tc>
        <w:tc>
          <w:tcPr>
            <w:tcW w:w="6582" w:type="dxa"/>
            <w:vMerge w:val="restart"/>
            <w:noWrap w:val="0"/>
            <w:vAlign w:val="center"/>
          </w:tcPr>
          <w:p w14:paraId="5E939A43">
            <w:pPr>
              <w:spacing w:line="36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rPr>
              <w:t>SYJD1标段、SYJD2标段</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rPr>
              <w:t>水运工程质量监督检测</w:t>
            </w:r>
            <w:r>
              <w:rPr>
                <w:rFonts w:hint="eastAsia" w:ascii="宋体" w:hAnsi="宋体" w:eastAsia="宋体" w:cs="宋体"/>
                <w:color w:val="auto"/>
                <w:szCs w:val="21"/>
                <w:highlight w:val="none"/>
                <w:lang w:eastAsia="zh-CN"/>
              </w:rPr>
              <w:t>工作。</w:t>
            </w:r>
          </w:p>
          <w:p w14:paraId="661630C2">
            <w:pPr>
              <w:keepNext w:val="0"/>
              <w:keepLines w:val="0"/>
              <w:pageBreakBefore w:val="0"/>
              <w:widowControl w:val="0"/>
              <w:kinsoku/>
              <w:wordWrap/>
              <w:overflowPunct/>
              <w:topLinePunct w:val="0"/>
              <w:autoSpaceDE/>
              <w:autoSpaceDN/>
              <w:bidi w:val="0"/>
              <w:adjustRightInd/>
              <w:snapToGrid/>
              <w:spacing w:line="360" w:lineRule="exact"/>
              <w:ind w:firstLine="422" w:firstLineChars="200"/>
              <w:textAlignment w:val="auto"/>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lang w:eastAsia="zh-CN"/>
              </w:rPr>
              <w:t>一</w:t>
            </w:r>
            <w:r>
              <w:rPr>
                <w:rFonts w:hint="eastAsia" w:ascii="宋体" w:hAnsi="宋体" w:eastAsia="宋体" w:cs="宋体"/>
                <w:b/>
                <w:bCs/>
                <w:color w:val="auto"/>
                <w:szCs w:val="21"/>
                <w:highlight w:val="none"/>
              </w:rPr>
              <w:t>、技术要求</w:t>
            </w:r>
          </w:p>
          <w:p w14:paraId="673F6D9F">
            <w:pPr>
              <w:keepNext w:val="0"/>
              <w:keepLines w:val="0"/>
              <w:pageBreakBefore w:val="0"/>
              <w:widowControl w:val="0"/>
              <w:kinsoku/>
              <w:wordWrap/>
              <w:overflowPunct/>
              <w:topLinePunct w:val="0"/>
              <w:autoSpaceDE/>
              <w:autoSpaceDN/>
              <w:bidi w:val="0"/>
              <w:adjustRightInd/>
              <w:snapToGrid/>
              <w:spacing w:line="360" w:lineRule="exact"/>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1.需实现的功能、目标及应用场景</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rPr>
              <w:t>满足招标文件要求，验收达到合格标准。</w:t>
            </w:r>
          </w:p>
          <w:p w14:paraId="433AB8E4">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firstLine="420" w:firstLineChars="200"/>
              <w:textAlignment w:val="auto"/>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lang w:val="en-US" w:eastAsia="zh-CN"/>
              </w:rPr>
              <w:t>2.</w:t>
            </w:r>
            <w:r>
              <w:rPr>
                <w:rFonts w:hint="eastAsia" w:ascii="宋体" w:hAnsi="宋体" w:eastAsia="宋体" w:cs="宋体"/>
                <w:color w:val="auto"/>
                <w:szCs w:val="21"/>
                <w:highlight w:val="none"/>
              </w:rPr>
              <w:t>需执行的国家相关标准、行业标准、地方标准或者其他标准、规范</w:t>
            </w:r>
            <w:r>
              <w:rPr>
                <w:rFonts w:hint="eastAsia" w:ascii="宋体" w:hAnsi="宋体" w:eastAsia="宋体" w:cs="宋体"/>
                <w:color w:val="auto"/>
                <w:szCs w:val="21"/>
                <w:highlight w:val="none"/>
                <w:lang w:eastAsia="zh-CN"/>
              </w:rPr>
              <w:t>。本项目应执行的国家相关标准、行业标准、地方标准或者其他标准、规范为：详见技术指标要求。</w:t>
            </w:r>
          </w:p>
          <w:p w14:paraId="148F9602">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firstLine="420" w:firstLineChars="200"/>
              <w:textAlignment w:val="auto"/>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lang w:val="en-US" w:eastAsia="zh-CN"/>
              </w:rPr>
              <w:t>3</w:t>
            </w:r>
            <w:r>
              <w:rPr>
                <w:rFonts w:hint="eastAsia" w:ascii="宋体" w:hAnsi="宋体" w:eastAsia="宋体" w:cs="宋体"/>
                <w:color w:val="auto"/>
                <w:szCs w:val="21"/>
                <w:highlight w:val="none"/>
                <w:lang w:eastAsia="zh-CN"/>
              </w:rPr>
              <w:t>.核心产品：</w:t>
            </w:r>
            <w:r>
              <w:rPr>
                <w:rFonts w:hint="eastAsia" w:ascii="宋体" w:hAnsi="宋体" w:cs="宋体"/>
                <w:color w:val="auto"/>
                <w:szCs w:val="21"/>
                <w:highlight w:val="none"/>
                <w:lang w:val="en-US" w:eastAsia="zh-CN"/>
              </w:rPr>
              <w:t>无</w:t>
            </w:r>
            <w:r>
              <w:rPr>
                <w:rFonts w:hint="eastAsia" w:ascii="宋体" w:hAnsi="宋体" w:eastAsia="宋体" w:cs="宋体"/>
                <w:color w:val="auto"/>
                <w:szCs w:val="21"/>
                <w:highlight w:val="none"/>
                <w:lang w:eastAsia="zh-CN"/>
              </w:rPr>
              <w:t>。</w:t>
            </w:r>
          </w:p>
          <w:p w14:paraId="33AC09E5">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firstLine="420" w:firstLineChars="200"/>
              <w:textAlignment w:val="auto"/>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lang w:val="en-US" w:eastAsia="zh-CN"/>
              </w:rPr>
              <w:t>4</w:t>
            </w:r>
            <w:r>
              <w:rPr>
                <w:rFonts w:hint="eastAsia" w:ascii="宋体" w:hAnsi="宋体" w:eastAsia="宋体" w:cs="宋体"/>
                <w:color w:val="auto"/>
                <w:szCs w:val="21"/>
                <w:highlight w:val="none"/>
                <w:lang w:eastAsia="zh-CN"/>
              </w:rPr>
              <w:t>.工作内容和标准</w:t>
            </w:r>
          </w:p>
          <w:p w14:paraId="044B388F">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firstLine="420" w:firstLineChars="200"/>
              <w:textAlignment w:val="auto"/>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lang w:val="en-US" w:eastAsia="zh-CN"/>
              </w:rPr>
              <w:t>4</w:t>
            </w:r>
            <w:r>
              <w:rPr>
                <w:rFonts w:hint="eastAsia" w:ascii="宋体" w:hAnsi="宋体" w:eastAsia="宋体" w:cs="宋体"/>
                <w:color w:val="auto"/>
                <w:szCs w:val="21"/>
                <w:highlight w:val="none"/>
                <w:lang w:eastAsia="zh-CN"/>
              </w:rPr>
              <w:t>.1基本情况</w:t>
            </w:r>
          </w:p>
          <w:p w14:paraId="06D0DDBB">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firstLine="420" w:firstLineChars="200"/>
              <w:textAlignment w:val="auto"/>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lang w:eastAsia="zh-CN"/>
              </w:rPr>
              <w:t>根据《公路水运工程质量监督管理规定》（交通运输部令2017年第28号）要求，为加强水运工程质量监督向社会采购监督检测服务，内容包括主要工程原材料、半成品、工程实体质量等试验检测工作。该监督检测服务覆盖自治区范围内在建水运工程建设项目。</w:t>
            </w:r>
          </w:p>
          <w:p w14:paraId="05E7C22C">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firstLine="420" w:firstLineChars="200"/>
              <w:textAlignment w:val="auto"/>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lang w:val="en-US" w:eastAsia="zh-CN"/>
              </w:rPr>
              <w:t>4</w:t>
            </w:r>
            <w:r>
              <w:rPr>
                <w:rFonts w:hint="eastAsia" w:ascii="宋体" w:hAnsi="宋体" w:eastAsia="宋体" w:cs="宋体"/>
                <w:color w:val="auto"/>
                <w:szCs w:val="21"/>
                <w:highlight w:val="none"/>
                <w:lang w:eastAsia="zh-CN"/>
              </w:rPr>
              <w:t>.2基本要求</w:t>
            </w:r>
          </w:p>
          <w:p w14:paraId="43657BE3">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firstLine="420" w:firstLineChars="200"/>
              <w:textAlignment w:val="auto"/>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lang w:val="en-US" w:eastAsia="zh-CN"/>
              </w:rPr>
              <w:t>4</w:t>
            </w:r>
            <w:r>
              <w:rPr>
                <w:rFonts w:hint="eastAsia" w:ascii="宋体" w:hAnsi="宋体" w:eastAsia="宋体" w:cs="宋体"/>
                <w:color w:val="auto"/>
                <w:szCs w:val="21"/>
                <w:highlight w:val="none"/>
                <w:lang w:eastAsia="zh-CN"/>
              </w:rPr>
              <w:t>.2.1本服务标采用抽检方式，如重点时段、重大节假日等情况采购人需要更改取样地点与现场试验的要求，或更改检测数量，检测单位（中标人）应积极配合并安排实施，具体抽检的工程建设项目及地点由采购人确定。</w:t>
            </w:r>
          </w:p>
          <w:p w14:paraId="715CE434">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firstLine="420" w:firstLineChars="200"/>
              <w:textAlignment w:val="auto"/>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lang w:val="en-US" w:eastAsia="zh-CN"/>
              </w:rPr>
              <w:t>4</w:t>
            </w:r>
            <w:r>
              <w:rPr>
                <w:rFonts w:hint="eastAsia" w:ascii="宋体" w:hAnsi="宋体" w:eastAsia="宋体" w:cs="宋体"/>
                <w:color w:val="auto"/>
                <w:szCs w:val="21"/>
                <w:highlight w:val="none"/>
                <w:lang w:eastAsia="zh-CN"/>
              </w:rPr>
              <w:t>.2.2中标人在实施检测服务时，应自备车辆，检测服务的人员、车辆、仪器设备等一切费用包含在投标报价中。实施检测服务前应就具体工程建设项目检测服务向采购人提交具体的质量检测方案，经采购人审查批准后，并以此作为工作依据。</w:t>
            </w:r>
          </w:p>
          <w:p w14:paraId="39026D71">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firstLine="420" w:firstLineChars="200"/>
              <w:textAlignment w:val="auto"/>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lang w:val="en-US" w:eastAsia="zh-CN"/>
              </w:rPr>
              <w:t>4</w:t>
            </w:r>
            <w:r>
              <w:rPr>
                <w:rFonts w:hint="eastAsia" w:ascii="宋体" w:hAnsi="宋体" w:eastAsia="宋体" w:cs="宋体"/>
                <w:color w:val="auto"/>
                <w:szCs w:val="21"/>
                <w:highlight w:val="none"/>
                <w:lang w:eastAsia="zh-CN"/>
              </w:rPr>
              <w:t>.2.3检测服务的内容，应按采购人确定的执行，若需要调整，应经采购人同意。</w:t>
            </w:r>
          </w:p>
          <w:p w14:paraId="5CFE9157">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firstLine="420" w:firstLineChars="200"/>
              <w:textAlignment w:val="auto"/>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lang w:val="en-US" w:eastAsia="zh-CN"/>
              </w:rPr>
              <w:t>4</w:t>
            </w:r>
            <w:r>
              <w:rPr>
                <w:rFonts w:hint="eastAsia" w:ascii="宋体" w:hAnsi="宋体" w:eastAsia="宋体" w:cs="宋体"/>
                <w:color w:val="auto"/>
                <w:szCs w:val="21"/>
                <w:highlight w:val="none"/>
                <w:lang w:eastAsia="zh-CN"/>
              </w:rPr>
              <w:t>.2.4按采购人要求的时间安排开展检测。检测服务过程中应认真记录每日工作内容，保存原始记录资料与数据，以供采购人检查和分析。</w:t>
            </w:r>
          </w:p>
          <w:p w14:paraId="73787B2D">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firstLine="420" w:firstLineChars="200"/>
              <w:textAlignment w:val="auto"/>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lang w:val="en-US" w:eastAsia="zh-CN"/>
              </w:rPr>
              <w:t>4</w:t>
            </w:r>
            <w:r>
              <w:rPr>
                <w:rFonts w:hint="eastAsia" w:ascii="宋体" w:hAnsi="宋体" w:eastAsia="宋体" w:cs="宋体"/>
                <w:color w:val="auto"/>
                <w:szCs w:val="21"/>
                <w:highlight w:val="none"/>
                <w:lang w:eastAsia="zh-CN"/>
              </w:rPr>
              <w:t>.2.5如采购人需要更改取样地点或更改工程检测的内容和数量或进行现场试验等要求，中标人应积极配合并安排实施。中标人应优先完成采购人分配的检测任务及检测项目。如后期需要增加检测项目（或单价）的，由采购人和中标人签订补充协议进行约定。</w:t>
            </w:r>
          </w:p>
          <w:p w14:paraId="314C749B">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firstLine="420" w:firstLineChars="200"/>
              <w:textAlignment w:val="auto"/>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lang w:val="en-US" w:eastAsia="zh-CN"/>
              </w:rPr>
              <w:t>4</w:t>
            </w:r>
            <w:r>
              <w:rPr>
                <w:rFonts w:hint="eastAsia" w:ascii="宋体" w:hAnsi="宋体" w:eastAsia="宋体" w:cs="宋体"/>
                <w:color w:val="auto"/>
                <w:szCs w:val="21"/>
                <w:highlight w:val="none"/>
                <w:lang w:eastAsia="zh-CN"/>
              </w:rPr>
              <w:t>.2.6中标人在进行外业检测时，应采取有效的安全、保卫和环境保护措施，若对原有道路、桥梁、码头、船闸、构造物或地上附着物造成损坏或损伤，应负相应责任。</w:t>
            </w:r>
          </w:p>
          <w:p w14:paraId="7D7DF59B">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firstLine="420" w:firstLineChars="200"/>
              <w:textAlignment w:val="auto"/>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lang w:val="en-US" w:eastAsia="zh-CN"/>
              </w:rPr>
              <w:t>4</w:t>
            </w:r>
            <w:r>
              <w:rPr>
                <w:rFonts w:hint="eastAsia" w:ascii="宋体" w:hAnsi="宋体" w:eastAsia="宋体" w:cs="宋体"/>
                <w:color w:val="auto"/>
                <w:szCs w:val="21"/>
                <w:highlight w:val="none"/>
                <w:lang w:eastAsia="zh-CN"/>
              </w:rPr>
              <w:t>.2.7检测工作应按实施检测项目的工程设计文件及国家现行的相关规范、规程、标准等有关要求进行。</w:t>
            </w:r>
          </w:p>
          <w:p w14:paraId="1CF05DA9">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firstLine="420" w:firstLineChars="200"/>
              <w:textAlignment w:val="auto"/>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lang w:val="en-US" w:eastAsia="zh-CN"/>
              </w:rPr>
              <w:t>4</w:t>
            </w:r>
            <w:r>
              <w:rPr>
                <w:rFonts w:hint="eastAsia" w:ascii="宋体" w:hAnsi="宋体" w:eastAsia="宋体" w:cs="宋体"/>
                <w:color w:val="auto"/>
                <w:szCs w:val="21"/>
                <w:highlight w:val="none"/>
                <w:lang w:eastAsia="zh-CN"/>
              </w:rPr>
              <w:t>.2.8如设计单位提供的质量技术标准要求存在违反国家现行相关标准、规范、规则、规程、条例、规定或明显不切实际或造成不必要浪费的，要及时向采购人汇报，由采购人进行协调，由采购人协商设计单位按质量技术标准要求改正。</w:t>
            </w:r>
          </w:p>
          <w:p w14:paraId="1E90D343">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firstLine="420" w:firstLineChars="200"/>
              <w:textAlignment w:val="auto"/>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lang w:val="en-US" w:eastAsia="zh-CN"/>
              </w:rPr>
              <w:t>4</w:t>
            </w:r>
            <w:r>
              <w:rPr>
                <w:rFonts w:hint="eastAsia" w:ascii="宋体" w:hAnsi="宋体" w:eastAsia="宋体" w:cs="宋体"/>
                <w:color w:val="auto"/>
                <w:szCs w:val="21"/>
                <w:highlight w:val="none"/>
                <w:lang w:eastAsia="zh-CN"/>
              </w:rPr>
              <w:t>.2.</w:t>
            </w:r>
            <w:r>
              <w:rPr>
                <w:rFonts w:hint="eastAsia" w:ascii="宋体" w:hAnsi="宋体" w:eastAsia="宋体" w:cs="宋体"/>
                <w:color w:val="auto"/>
                <w:szCs w:val="21"/>
                <w:highlight w:val="none"/>
                <w:lang w:val="en-US" w:eastAsia="zh-CN"/>
              </w:rPr>
              <w:t>9</w:t>
            </w:r>
            <w:r>
              <w:rPr>
                <w:rFonts w:hint="eastAsia" w:ascii="宋体" w:hAnsi="宋体" w:eastAsia="宋体" w:cs="宋体"/>
                <w:color w:val="auto"/>
                <w:szCs w:val="21"/>
                <w:highlight w:val="none"/>
                <w:lang w:eastAsia="zh-CN"/>
              </w:rPr>
              <w:t>采购人因投诉举报等事项要求开展的相关检测，若需要开展合同以外的检测事项，中标人应全力配合，相关检测费用由采购人和中标人协商确定，相应费用通过变更原合同事项实现支付，合同总金额保持不变。</w:t>
            </w:r>
          </w:p>
          <w:p w14:paraId="77B3AA8A">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firstLine="420" w:firstLineChars="200"/>
              <w:textAlignment w:val="auto"/>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lang w:val="en-US" w:eastAsia="zh-CN"/>
              </w:rPr>
              <w:t>4</w:t>
            </w:r>
            <w:r>
              <w:rPr>
                <w:rFonts w:hint="eastAsia" w:ascii="宋体" w:hAnsi="宋体" w:eastAsia="宋体" w:cs="宋体"/>
                <w:color w:val="auto"/>
                <w:szCs w:val="21"/>
                <w:highlight w:val="none"/>
                <w:lang w:eastAsia="zh-CN"/>
              </w:rPr>
              <w:t>.2.1</w:t>
            </w:r>
            <w:r>
              <w:rPr>
                <w:rFonts w:hint="eastAsia" w:ascii="宋体" w:hAnsi="宋体" w:eastAsia="宋体" w:cs="宋体"/>
                <w:color w:val="auto"/>
                <w:szCs w:val="21"/>
                <w:highlight w:val="none"/>
                <w:lang w:val="en-US" w:eastAsia="zh-CN"/>
              </w:rPr>
              <w:t>0</w:t>
            </w:r>
            <w:r>
              <w:rPr>
                <w:rFonts w:hint="eastAsia" w:ascii="宋体" w:hAnsi="宋体" w:eastAsia="宋体" w:cs="宋体"/>
                <w:color w:val="auto"/>
                <w:szCs w:val="21"/>
                <w:highlight w:val="none"/>
                <w:lang w:eastAsia="zh-CN"/>
              </w:rPr>
              <w:t>采购人可以根据工程建设实际需要抽取原材，再以盲样的形式移交给中标人进行试验，中标人不得拒绝并按照规定开展试验、出具检测报告。</w:t>
            </w:r>
          </w:p>
          <w:p w14:paraId="4EB5F58F">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firstLine="420" w:firstLineChars="200"/>
              <w:textAlignment w:val="auto"/>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lang w:val="en-US" w:eastAsia="zh-CN"/>
              </w:rPr>
              <w:t>4</w:t>
            </w:r>
            <w:r>
              <w:rPr>
                <w:rFonts w:hint="eastAsia" w:ascii="宋体" w:hAnsi="宋体" w:eastAsia="宋体" w:cs="宋体"/>
                <w:color w:val="auto"/>
                <w:szCs w:val="21"/>
                <w:highlight w:val="none"/>
                <w:lang w:eastAsia="zh-CN"/>
              </w:rPr>
              <w:t>.3服务内容：详见附表</w:t>
            </w:r>
            <w:r>
              <w:rPr>
                <w:rFonts w:hint="eastAsia" w:ascii="宋体" w:hAnsi="宋体" w:eastAsia="宋体" w:cs="宋体"/>
                <w:color w:val="auto"/>
                <w:szCs w:val="21"/>
                <w:highlight w:val="none"/>
                <w:lang w:val="en-US" w:eastAsia="zh-CN"/>
              </w:rPr>
              <w:t xml:space="preserve">3 </w:t>
            </w:r>
            <w:r>
              <w:rPr>
                <w:rFonts w:hint="eastAsia" w:ascii="宋体" w:hAnsi="宋体" w:eastAsia="宋体" w:cs="宋体"/>
                <w:color w:val="auto"/>
                <w:szCs w:val="21"/>
                <w:highlight w:val="none"/>
                <w:lang w:eastAsia="zh-CN"/>
              </w:rPr>
              <w:t>《水运工程质量监督检测服务一览表》。（备注：该表中数量为预估计，最终结算以实际完成数量及合同中《投标报价明细表》为依据）。</w:t>
            </w:r>
          </w:p>
          <w:p w14:paraId="7674BEB9">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firstLine="420" w:firstLineChars="200"/>
              <w:textAlignment w:val="auto"/>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lang w:val="en-US" w:eastAsia="zh-CN"/>
              </w:rPr>
              <w:t>4</w:t>
            </w:r>
            <w:r>
              <w:rPr>
                <w:rFonts w:hint="eastAsia" w:ascii="宋体" w:hAnsi="宋体" w:eastAsia="宋体" w:cs="宋体"/>
                <w:color w:val="auto"/>
                <w:szCs w:val="21"/>
                <w:highlight w:val="none"/>
                <w:lang w:eastAsia="zh-CN"/>
              </w:rPr>
              <w:t>.4项目实施人员数量：详见附表</w:t>
            </w:r>
            <w:r>
              <w:rPr>
                <w:rFonts w:hint="eastAsia" w:ascii="宋体" w:hAnsi="宋体" w:eastAsia="宋体" w:cs="宋体"/>
                <w:color w:val="auto"/>
                <w:szCs w:val="21"/>
                <w:highlight w:val="none"/>
                <w:lang w:val="en-US" w:eastAsia="zh-CN"/>
              </w:rPr>
              <w:t xml:space="preserve">4 </w:t>
            </w:r>
            <w:r>
              <w:rPr>
                <w:rFonts w:hint="eastAsia" w:ascii="宋体" w:hAnsi="宋体" w:eastAsia="宋体" w:cs="宋体"/>
                <w:color w:val="auto"/>
                <w:szCs w:val="21"/>
                <w:highlight w:val="none"/>
                <w:lang w:eastAsia="zh-CN"/>
              </w:rPr>
              <w:t>《水运工程质量监督检测项目实施人员最低数量要求表》。</w:t>
            </w:r>
          </w:p>
          <w:p w14:paraId="35BD2DC3">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firstLine="420" w:firstLineChars="200"/>
              <w:textAlignment w:val="auto"/>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lang w:val="en-US" w:eastAsia="zh-CN"/>
              </w:rPr>
              <w:t>4</w:t>
            </w:r>
            <w:r>
              <w:rPr>
                <w:rFonts w:hint="eastAsia" w:ascii="宋体" w:hAnsi="宋体" w:eastAsia="宋体" w:cs="宋体"/>
                <w:color w:val="auto"/>
                <w:szCs w:val="21"/>
                <w:highlight w:val="none"/>
                <w:lang w:eastAsia="zh-CN"/>
              </w:rPr>
              <w:t>.5检测要求：试验检测的方法及判定依据须符合现行有关水运工程技术规范、规程、质量标准等（如有更新替代，按检测服务期间有效的执行）。中标人须对检测结果的真实、可靠、保密负责，不得向第三方泄露检测结果。中标人须将检测发现的问题在三个工作日内向采购人报告。中标人须向采购人提供检测结果分析报告。若中标人存在提供虚假数据或结果的，视为违约，除按合同没收履约保证金外，将中标人和相关检测人员的失信行为报告相关信用评价部门。</w:t>
            </w:r>
          </w:p>
        </w:tc>
      </w:tr>
      <w:tr w14:paraId="0F7AAE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09" w:type="dxa"/>
            <w:noWrap w:val="0"/>
            <w:vAlign w:val="center"/>
          </w:tcPr>
          <w:p w14:paraId="141D9FC3">
            <w:pPr>
              <w:spacing w:line="360" w:lineRule="exact"/>
              <w:jc w:val="center"/>
              <w:rPr>
                <w:rFonts w:hint="eastAsia" w:ascii="宋体" w:hAnsi="宋体" w:eastAsia="宋体" w:cs="宋体"/>
                <w:color w:val="auto"/>
                <w:szCs w:val="21"/>
                <w:highlight w:val="none"/>
              </w:rPr>
            </w:pPr>
            <w:r>
              <w:rPr>
                <w:rFonts w:hint="eastAsia" w:ascii="宋体" w:hAnsi="宋体" w:eastAsia="宋体" w:cs="宋体"/>
                <w:bCs/>
                <w:color w:val="auto"/>
                <w:szCs w:val="21"/>
                <w:highlight w:val="none"/>
                <w:lang w:eastAsia="zh-CN"/>
              </w:rPr>
              <w:t>SYJD</w:t>
            </w:r>
            <w:r>
              <w:rPr>
                <w:rFonts w:hint="eastAsia" w:ascii="宋体" w:hAnsi="宋体" w:eastAsia="宋体" w:cs="宋体"/>
                <w:bCs/>
                <w:color w:val="auto"/>
                <w:szCs w:val="21"/>
                <w:highlight w:val="none"/>
                <w:lang w:val="en-US" w:eastAsia="zh-CN"/>
              </w:rPr>
              <w:t>2</w:t>
            </w:r>
          </w:p>
        </w:tc>
        <w:tc>
          <w:tcPr>
            <w:tcW w:w="1189" w:type="dxa"/>
            <w:gridSpan w:val="2"/>
            <w:noWrap w:val="0"/>
            <w:vAlign w:val="center"/>
          </w:tcPr>
          <w:p w14:paraId="37226EF3">
            <w:pPr>
              <w:spacing w:line="360" w:lineRule="exact"/>
              <w:jc w:val="center"/>
              <w:rPr>
                <w:rFonts w:hint="eastAsia" w:ascii="宋体" w:hAnsi="宋体" w:eastAsia="宋体" w:cs="宋体"/>
                <w:bCs/>
                <w:color w:val="auto"/>
                <w:szCs w:val="21"/>
                <w:highlight w:val="none"/>
                <w:lang w:eastAsia="zh-CN"/>
              </w:rPr>
            </w:pPr>
            <w:r>
              <w:rPr>
                <w:rFonts w:hint="eastAsia" w:ascii="宋体" w:hAnsi="宋体" w:eastAsia="宋体" w:cs="宋体"/>
                <w:bCs/>
                <w:color w:val="auto"/>
                <w:szCs w:val="21"/>
                <w:highlight w:val="none"/>
                <w:lang w:eastAsia="zh-CN"/>
              </w:rPr>
              <w:t>SYJD2：水运工程质量监督检测</w:t>
            </w:r>
          </w:p>
        </w:tc>
        <w:tc>
          <w:tcPr>
            <w:tcW w:w="705" w:type="dxa"/>
            <w:noWrap w:val="0"/>
            <w:vAlign w:val="center"/>
          </w:tcPr>
          <w:p w14:paraId="3EBF1BD5">
            <w:pPr>
              <w:spacing w:line="36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1项</w:t>
            </w:r>
          </w:p>
        </w:tc>
        <w:tc>
          <w:tcPr>
            <w:tcW w:w="6582" w:type="dxa"/>
            <w:vMerge w:val="continue"/>
            <w:noWrap w:val="0"/>
            <w:vAlign w:val="center"/>
          </w:tcPr>
          <w:p w14:paraId="58C7F2EA">
            <w:pPr>
              <w:spacing w:line="360" w:lineRule="exact"/>
              <w:rPr>
                <w:rFonts w:hint="eastAsia" w:ascii="宋体" w:hAnsi="宋体" w:eastAsia="宋体" w:cs="宋体"/>
                <w:color w:val="auto"/>
                <w:szCs w:val="21"/>
                <w:highlight w:val="none"/>
              </w:rPr>
            </w:pPr>
          </w:p>
        </w:tc>
      </w:tr>
      <w:tr w14:paraId="7C7D17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185" w:type="dxa"/>
            <w:gridSpan w:val="5"/>
            <w:noWrap w:val="0"/>
            <w:vAlign w:val="center"/>
          </w:tcPr>
          <w:p w14:paraId="1B77C1AC">
            <w:pPr>
              <w:spacing w:line="360" w:lineRule="exact"/>
              <w:rPr>
                <w:rFonts w:hint="eastAsia" w:ascii="宋体" w:hAnsi="宋体" w:eastAsia="宋体" w:cs="宋体"/>
                <w:color w:val="auto"/>
                <w:szCs w:val="21"/>
                <w:highlight w:val="none"/>
              </w:rPr>
            </w:pPr>
            <w:r>
              <w:rPr>
                <w:rFonts w:hint="eastAsia" w:ascii="宋体" w:hAnsi="宋体" w:eastAsia="宋体" w:cs="宋体"/>
                <w:b/>
                <w:bCs/>
                <w:color w:val="auto"/>
                <w:szCs w:val="21"/>
                <w:highlight w:val="none"/>
              </w:rPr>
              <w:t>二、商务要求表</w:t>
            </w:r>
          </w:p>
        </w:tc>
      </w:tr>
      <w:tr w14:paraId="00227A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45" w:type="dxa"/>
            <w:gridSpan w:val="2"/>
            <w:noWrap w:val="0"/>
            <w:vAlign w:val="center"/>
          </w:tcPr>
          <w:p w14:paraId="3FEEECD1">
            <w:pPr>
              <w:spacing w:line="36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w:t>
            </w:r>
            <w:r>
              <w:rPr>
                <w:rFonts w:hint="eastAsia" w:ascii="宋体" w:hAnsi="宋体" w:eastAsia="宋体" w:cs="宋体"/>
                <w:b w:val="0"/>
                <w:bCs w:val="0"/>
                <w:color w:val="auto"/>
                <w:sz w:val="21"/>
                <w:szCs w:val="21"/>
                <w:highlight w:val="none"/>
              </w:rPr>
              <w:t>投标报价要求</w:t>
            </w:r>
          </w:p>
        </w:tc>
        <w:tc>
          <w:tcPr>
            <w:tcW w:w="7740" w:type="dxa"/>
            <w:gridSpan w:val="3"/>
            <w:noWrap w:val="0"/>
            <w:vAlign w:val="center"/>
          </w:tcPr>
          <w:p w14:paraId="1803D3D7">
            <w:pPr>
              <w:spacing w:line="36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本次报价包括人工、设备、原料、资料、现场取样、检测、校正、编制报告、培训、技术指导、税金等完成本项目所需要的一切费用。对于本文件中明确列明必须报价的服务，投标人应分别报价。对于本文件中未列明，而投标人认为必需的费用也需列入总报价。在合同实施时，采购人将不予支付中标人没有列入的项目费用，并认为此项目的费用已包括在投标总报价中。</w:t>
            </w:r>
          </w:p>
        </w:tc>
      </w:tr>
      <w:tr w14:paraId="78E7A3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45" w:type="dxa"/>
            <w:gridSpan w:val="2"/>
            <w:noWrap w:val="0"/>
            <w:vAlign w:val="center"/>
          </w:tcPr>
          <w:p w14:paraId="00D21A07">
            <w:pPr>
              <w:spacing w:line="36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w:t>
            </w:r>
            <w:r>
              <w:rPr>
                <w:rFonts w:hint="eastAsia" w:ascii="宋体" w:hAnsi="宋体" w:eastAsia="宋体" w:cs="宋体"/>
                <w:b w:val="0"/>
                <w:bCs w:val="0"/>
                <w:color w:val="auto"/>
                <w:spacing w:val="3"/>
                <w:sz w:val="21"/>
                <w:szCs w:val="21"/>
                <w:highlight w:val="none"/>
              </w:rPr>
              <w:t>合同签订日期</w:t>
            </w:r>
          </w:p>
        </w:tc>
        <w:tc>
          <w:tcPr>
            <w:tcW w:w="7740" w:type="dxa"/>
            <w:gridSpan w:val="3"/>
            <w:noWrap w:val="0"/>
            <w:vAlign w:val="center"/>
          </w:tcPr>
          <w:p w14:paraId="4F642D3D">
            <w:pPr>
              <w:spacing w:line="360" w:lineRule="exact"/>
              <w:rPr>
                <w:rFonts w:hint="eastAsia" w:ascii="宋体" w:hAnsi="宋体" w:eastAsia="宋体" w:cs="宋体"/>
                <w:color w:val="auto"/>
                <w:sz w:val="21"/>
                <w:szCs w:val="21"/>
                <w:highlight w:val="none"/>
              </w:rPr>
            </w:pPr>
            <w:r>
              <w:rPr>
                <w:rFonts w:hint="eastAsia" w:ascii="宋体" w:hAnsi="宋体" w:eastAsia="宋体" w:cs="宋体"/>
                <w:color w:val="auto"/>
                <w:spacing w:val="3"/>
                <w:sz w:val="21"/>
                <w:szCs w:val="21"/>
                <w:highlight w:val="none"/>
              </w:rPr>
              <w:t>中标通知书发出后</w:t>
            </w:r>
            <w:r>
              <w:rPr>
                <w:rFonts w:hint="eastAsia" w:ascii="宋体" w:hAnsi="宋体" w:eastAsia="宋体" w:cs="宋体"/>
                <w:color w:val="auto"/>
                <w:spacing w:val="2"/>
                <w:sz w:val="21"/>
                <w:szCs w:val="21"/>
                <w:highlight w:val="none"/>
              </w:rPr>
              <w:t>25日内</w:t>
            </w:r>
          </w:p>
        </w:tc>
      </w:tr>
      <w:tr w14:paraId="0B06D7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45" w:type="dxa"/>
            <w:gridSpan w:val="2"/>
            <w:noWrap w:val="0"/>
            <w:vAlign w:val="center"/>
          </w:tcPr>
          <w:p w14:paraId="528D3872">
            <w:pPr>
              <w:spacing w:line="360" w:lineRule="exact"/>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w:t>
            </w:r>
            <w:r>
              <w:rPr>
                <w:rFonts w:hint="eastAsia" w:ascii="宋体" w:hAnsi="宋体" w:eastAsia="宋体" w:cs="宋体"/>
                <w:b w:val="0"/>
                <w:bCs w:val="0"/>
                <w:color w:val="auto"/>
                <w:spacing w:val="8"/>
                <w:sz w:val="21"/>
                <w:szCs w:val="21"/>
                <w:highlight w:val="none"/>
                <w:lang w:eastAsia="zh-CN"/>
              </w:rPr>
              <w:t>合同履行期限</w:t>
            </w:r>
          </w:p>
        </w:tc>
        <w:tc>
          <w:tcPr>
            <w:tcW w:w="7740" w:type="dxa"/>
            <w:gridSpan w:val="3"/>
            <w:noWrap w:val="0"/>
            <w:vAlign w:val="center"/>
          </w:tcPr>
          <w:p w14:paraId="1B8F9C4B">
            <w:pPr>
              <w:spacing w:line="360" w:lineRule="exact"/>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服务期为合同签订日后12个月以内，中标人按照采购人的检测计划开展检测工作，现场检测结束后</w:t>
            </w:r>
            <w:r>
              <w:rPr>
                <w:rFonts w:hint="eastAsia" w:ascii="宋体" w:hAnsi="宋体" w:cs="宋体"/>
                <w:color w:val="auto"/>
                <w:sz w:val="21"/>
                <w:szCs w:val="21"/>
                <w:highlight w:val="none"/>
                <w:lang w:val="en-US" w:eastAsia="zh-CN"/>
              </w:rPr>
              <w:t>7</w:t>
            </w:r>
            <w:r>
              <w:rPr>
                <w:rFonts w:hint="eastAsia" w:ascii="宋体" w:hAnsi="宋体" w:eastAsia="宋体" w:cs="宋体"/>
                <w:color w:val="auto"/>
                <w:sz w:val="21"/>
                <w:szCs w:val="21"/>
                <w:highlight w:val="none"/>
                <w:lang w:val="en-US" w:eastAsia="zh-CN"/>
              </w:rPr>
              <w:t>日内向采购人提交具体检测报告（具有龄期要求的特殊试验除外），并于每月25日向采购人提交上月20日至当月20日期间的检测数据及检测工作实施情况。合同要求的检测工作全部完成后，中标人须在现场检测结束后10日内（根据采购人要求的格式和内容）提交总体检测分析报告。</w:t>
            </w:r>
          </w:p>
        </w:tc>
      </w:tr>
      <w:tr w14:paraId="1BAEE4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45" w:type="dxa"/>
            <w:gridSpan w:val="2"/>
            <w:noWrap w:val="0"/>
            <w:vAlign w:val="center"/>
          </w:tcPr>
          <w:p w14:paraId="17F0A5FB">
            <w:pPr>
              <w:spacing w:line="36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w:t>
            </w:r>
            <w:r>
              <w:rPr>
                <w:rFonts w:hint="eastAsia" w:ascii="宋体" w:hAnsi="宋体" w:eastAsia="宋体" w:cs="宋体"/>
                <w:b w:val="0"/>
                <w:bCs w:val="0"/>
                <w:color w:val="auto"/>
                <w:spacing w:val="6"/>
                <w:sz w:val="21"/>
                <w:szCs w:val="21"/>
                <w:highlight w:val="none"/>
              </w:rPr>
              <w:t>服务地点</w:t>
            </w:r>
          </w:p>
        </w:tc>
        <w:tc>
          <w:tcPr>
            <w:tcW w:w="7740" w:type="dxa"/>
            <w:gridSpan w:val="3"/>
            <w:noWrap w:val="0"/>
            <w:vAlign w:val="center"/>
          </w:tcPr>
          <w:p w14:paraId="1D11FF78">
            <w:pPr>
              <w:spacing w:line="360" w:lineRule="exact"/>
              <w:jc w:val="left"/>
              <w:rPr>
                <w:rFonts w:hint="eastAsia" w:ascii="宋体" w:hAnsi="宋体" w:eastAsia="宋体" w:cs="宋体"/>
                <w:color w:val="auto"/>
                <w:sz w:val="21"/>
                <w:szCs w:val="21"/>
                <w:highlight w:val="none"/>
              </w:rPr>
            </w:pPr>
            <w:r>
              <w:rPr>
                <w:rFonts w:hint="eastAsia" w:ascii="宋体" w:hAnsi="宋体" w:eastAsia="宋体" w:cs="宋体"/>
                <w:color w:val="auto"/>
                <w:spacing w:val="6"/>
                <w:sz w:val="21"/>
                <w:szCs w:val="21"/>
                <w:highlight w:val="none"/>
              </w:rPr>
              <w:t>广西区内采购人指定地点</w:t>
            </w:r>
          </w:p>
        </w:tc>
      </w:tr>
      <w:tr w14:paraId="0C42C1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45" w:type="dxa"/>
            <w:gridSpan w:val="2"/>
            <w:noWrap w:val="0"/>
            <w:vAlign w:val="center"/>
          </w:tcPr>
          <w:p w14:paraId="11834FD5">
            <w:pPr>
              <w:spacing w:line="36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w:t>
            </w:r>
            <w:r>
              <w:rPr>
                <w:rFonts w:hint="eastAsia" w:ascii="宋体" w:hAnsi="宋体" w:eastAsia="宋体" w:cs="宋体"/>
                <w:b w:val="0"/>
                <w:bCs w:val="0"/>
                <w:color w:val="auto"/>
                <w:spacing w:val="4"/>
                <w:sz w:val="21"/>
                <w:szCs w:val="21"/>
                <w:highlight w:val="none"/>
              </w:rPr>
              <w:t>付款方式、时间及条件</w:t>
            </w:r>
          </w:p>
        </w:tc>
        <w:tc>
          <w:tcPr>
            <w:tcW w:w="7740" w:type="dxa"/>
            <w:gridSpan w:val="3"/>
            <w:noWrap w:val="0"/>
            <w:vAlign w:val="center"/>
          </w:tcPr>
          <w:p w14:paraId="1315126A">
            <w:pPr>
              <w:spacing w:line="360" w:lineRule="exact"/>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中标人须严格按照采购人的检测计划开展检测工作，采购人结合实际完成工作量分阶段支付款项，具体安排如下：</w:t>
            </w:r>
          </w:p>
          <w:p w14:paraId="0DC8146E">
            <w:pPr>
              <w:spacing w:line="360" w:lineRule="exact"/>
              <w:jc w:val="left"/>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1.</w:t>
            </w:r>
            <w:r>
              <w:rPr>
                <w:rFonts w:hint="eastAsia" w:ascii="宋体" w:hAnsi="宋体" w:eastAsia="宋体" w:cs="宋体"/>
                <w:color w:val="auto"/>
                <w:sz w:val="21"/>
                <w:szCs w:val="21"/>
                <w:highlight w:val="none"/>
              </w:rPr>
              <w:t>预付款：合同签订生效之日起 20 个工作日内，支付合同总金额的 25%；</w:t>
            </w:r>
          </w:p>
          <w:p w14:paraId="5AE088B1">
            <w:pPr>
              <w:spacing w:line="360" w:lineRule="exact"/>
              <w:jc w:val="left"/>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2.</w:t>
            </w:r>
            <w:r>
              <w:rPr>
                <w:rFonts w:hint="eastAsia" w:ascii="宋体" w:hAnsi="宋体" w:eastAsia="宋体" w:cs="宋体"/>
                <w:color w:val="auto"/>
                <w:sz w:val="21"/>
                <w:szCs w:val="21"/>
                <w:highlight w:val="none"/>
              </w:rPr>
              <w:t>第一期进度款：2026 年 9 月</w:t>
            </w:r>
            <w:r>
              <w:rPr>
                <w:rFonts w:hint="eastAsia" w:ascii="宋体" w:hAnsi="宋体" w:cs="宋体"/>
                <w:color w:val="auto"/>
                <w:sz w:val="21"/>
                <w:szCs w:val="21"/>
                <w:highlight w:val="none"/>
                <w:lang w:val="en-US" w:eastAsia="zh-CN"/>
              </w:rPr>
              <w:t>底前</w:t>
            </w:r>
            <w:r>
              <w:rPr>
                <w:rFonts w:hint="eastAsia" w:ascii="宋体" w:hAnsi="宋体" w:eastAsia="宋体" w:cs="宋体"/>
                <w:color w:val="auto"/>
                <w:sz w:val="21"/>
                <w:szCs w:val="21"/>
                <w:highlight w:val="none"/>
              </w:rPr>
              <w:t>，</w:t>
            </w:r>
            <w:r>
              <w:rPr>
                <w:rFonts w:hint="eastAsia" w:ascii="宋体" w:hAnsi="宋体" w:cs="宋体"/>
                <w:color w:val="auto"/>
                <w:sz w:val="21"/>
                <w:szCs w:val="21"/>
                <w:highlight w:val="none"/>
                <w:lang w:val="en-US" w:eastAsia="zh-CN"/>
              </w:rPr>
              <w:t>由中标人提供进度款支付申请后，采购人审核无误，</w:t>
            </w:r>
            <w:r>
              <w:rPr>
                <w:rFonts w:hint="eastAsia" w:ascii="宋体" w:hAnsi="宋体" w:eastAsia="宋体" w:cs="宋体"/>
                <w:color w:val="auto"/>
                <w:sz w:val="21"/>
                <w:szCs w:val="21"/>
                <w:highlight w:val="none"/>
              </w:rPr>
              <w:t>支付合同总金额的 10%；</w:t>
            </w:r>
          </w:p>
          <w:p w14:paraId="3D2533F5">
            <w:pPr>
              <w:spacing w:line="360" w:lineRule="exact"/>
              <w:jc w:val="left"/>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3.</w:t>
            </w:r>
            <w:r>
              <w:rPr>
                <w:rFonts w:hint="eastAsia" w:ascii="宋体" w:hAnsi="宋体" w:eastAsia="宋体" w:cs="宋体"/>
                <w:color w:val="auto"/>
                <w:sz w:val="21"/>
                <w:szCs w:val="21"/>
                <w:highlight w:val="none"/>
              </w:rPr>
              <w:t>第二期进度款：2027 年 3 月</w:t>
            </w:r>
            <w:r>
              <w:rPr>
                <w:rFonts w:hint="eastAsia" w:ascii="宋体" w:hAnsi="宋体" w:cs="宋体"/>
                <w:color w:val="auto"/>
                <w:sz w:val="21"/>
                <w:szCs w:val="21"/>
                <w:highlight w:val="none"/>
                <w:lang w:val="en-US" w:eastAsia="zh-CN"/>
              </w:rPr>
              <w:t>底前</w:t>
            </w:r>
            <w:r>
              <w:rPr>
                <w:rFonts w:hint="eastAsia" w:ascii="宋体" w:hAnsi="宋体" w:eastAsia="宋体" w:cs="宋体"/>
                <w:color w:val="auto"/>
                <w:sz w:val="21"/>
                <w:szCs w:val="21"/>
                <w:highlight w:val="none"/>
              </w:rPr>
              <w:t>，</w:t>
            </w:r>
            <w:r>
              <w:rPr>
                <w:rFonts w:hint="eastAsia" w:ascii="宋体" w:hAnsi="宋体" w:cs="宋体"/>
                <w:color w:val="auto"/>
                <w:sz w:val="21"/>
                <w:szCs w:val="21"/>
                <w:highlight w:val="none"/>
                <w:lang w:val="en-US" w:eastAsia="zh-CN"/>
              </w:rPr>
              <w:t>由中标人提供进度款支付申请后，采购人审核无误，</w:t>
            </w:r>
            <w:r>
              <w:rPr>
                <w:rFonts w:hint="eastAsia" w:ascii="宋体" w:hAnsi="宋体" w:eastAsia="宋体" w:cs="宋体"/>
                <w:color w:val="auto"/>
                <w:sz w:val="21"/>
                <w:szCs w:val="21"/>
                <w:highlight w:val="none"/>
              </w:rPr>
              <w:t>支付合同总金额的 30%；</w:t>
            </w:r>
          </w:p>
          <w:p w14:paraId="32F477EB">
            <w:pPr>
              <w:spacing w:line="360" w:lineRule="exact"/>
              <w:jc w:val="left"/>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4.尾款：项目履约期满，中标人提交完整验收资料，采购人审核无误后，支付合同剩余款项（合同总金额的 35%）</w:t>
            </w:r>
            <w:r>
              <w:rPr>
                <w:rFonts w:hint="eastAsia" w:ascii="宋体" w:hAnsi="宋体" w:eastAsia="宋体" w:cs="宋体"/>
                <w:color w:val="auto"/>
                <w:sz w:val="21"/>
                <w:szCs w:val="21"/>
                <w:highlight w:val="none"/>
              </w:rPr>
              <w:t>。</w:t>
            </w:r>
          </w:p>
          <w:p w14:paraId="6388F828">
            <w:pPr>
              <w:spacing w:line="360" w:lineRule="exact"/>
              <w:jc w:val="left"/>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5.</w:t>
            </w:r>
            <w:r>
              <w:rPr>
                <w:rFonts w:hint="eastAsia" w:ascii="宋体" w:hAnsi="宋体" w:eastAsia="宋体" w:cs="宋体"/>
                <w:color w:val="auto"/>
                <w:sz w:val="21"/>
                <w:szCs w:val="21"/>
                <w:highlight w:val="none"/>
              </w:rPr>
              <w:t>所有款项支付前，中标人需提交等额增值税发票，未按要求提供发票的，采购人可暂缓支付，不承担逾期付款责任。</w:t>
            </w:r>
          </w:p>
        </w:tc>
      </w:tr>
      <w:tr w14:paraId="09CA32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45" w:type="dxa"/>
            <w:gridSpan w:val="2"/>
            <w:noWrap w:val="0"/>
            <w:vAlign w:val="center"/>
          </w:tcPr>
          <w:p w14:paraId="6BEB195A">
            <w:pPr>
              <w:spacing w:line="36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w:t>
            </w:r>
            <w:r>
              <w:rPr>
                <w:rFonts w:hint="eastAsia" w:ascii="宋体" w:hAnsi="宋体" w:eastAsia="宋体" w:cs="宋体"/>
                <w:b w:val="0"/>
                <w:bCs w:val="0"/>
                <w:color w:val="auto"/>
                <w:spacing w:val="2"/>
                <w:sz w:val="21"/>
                <w:szCs w:val="21"/>
                <w:highlight w:val="none"/>
              </w:rPr>
              <w:t>履约保证金</w:t>
            </w:r>
          </w:p>
        </w:tc>
        <w:tc>
          <w:tcPr>
            <w:tcW w:w="7740" w:type="dxa"/>
            <w:gridSpan w:val="3"/>
            <w:noWrap w:val="0"/>
            <w:vAlign w:val="center"/>
          </w:tcPr>
          <w:p w14:paraId="6EE6E01C">
            <w:pPr>
              <w:spacing w:line="360" w:lineRule="exact"/>
              <w:jc w:val="left"/>
              <w:rPr>
                <w:rStyle w:val="53"/>
                <w:rFonts w:hint="eastAsia" w:ascii="宋体" w:hAnsi="宋体" w:eastAsia="宋体" w:cs="宋体"/>
                <w:color w:val="auto"/>
                <w:sz w:val="21"/>
                <w:szCs w:val="21"/>
                <w:highlight w:val="none"/>
              </w:rPr>
            </w:pPr>
            <w:r>
              <w:rPr>
                <w:rStyle w:val="53"/>
                <w:rFonts w:hint="eastAsia" w:ascii="宋体" w:hAnsi="宋体" w:eastAsia="宋体" w:cs="宋体"/>
                <w:color w:val="auto"/>
                <w:sz w:val="21"/>
                <w:szCs w:val="21"/>
                <w:highlight w:val="none"/>
              </w:rPr>
              <w:t>履约保证金的金额</w:t>
            </w:r>
            <w:r>
              <w:rPr>
                <w:rStyle w:val="53"/>
                <w:rFonts w:hint="eastAsia" w:ascii="宋体" w:hAnsi="宋体" w:eastAsia="宋体" w:cs="宋体"/>
                <w:color w:val="auto"/>
                <w:sz w:val="21"/>
                <w:szCs w:val="21"/>
                <w:highlight w:val="none"/>
                <w:lang w:eastAsia="zh-CN"/>
              </w:rPr>
              <w:t>：</w:t>
            </w:r>
            <w:r>
              <w:rPr>
                <w:rStyle w:val="53"/>
                <w:rFonts w:hint="eastAsia" w:ascii="宋体" w:hAnsi="宋体" w:eastAsia="宋体" w:cs="宋体"/>
                <w:color w:val="auto"/>
                <w:sz w:val="21"/>
                <w:szCs w:val="21"/>
                <w:highlight w:val="none"/>
              </w:rPr>
              <w:t>合同金额5%（如果中标人为中小企业的，收取的履约保证金为合同金额的2%）；</w:t>
            </w:r>
          </w:p>
          <w:p w14:paraId="23A08101">
            <w:pPr>
              <w:spacing w:line="360" w:lineRule="exact"/>
              <w:jc w:val="left"/>
              <w:rPr>
                <w:rStyle w:val="53"/>
                <w:rFonts w:hint="eastAsia" w:ascii="宋体" w:hAnsi="宋体" w:eastAsia="宋体" w:cs="宋体"/>
                <w:color w:val="auto"/>
                <w:sz w:val="21"/>
                <w:szCs w:val="21"/>
                <w:highlight w:val="none"/>
              </w:rPr>
            </w:pPr>
            <w:r>
              <w:rPr>
                <w:rStyle w:val="53"/>
                <w:rFonts w:hint="eastAsia" w:ascii="宋体" w:hAnsi="宋体" w:eastAsia="宋体" w:cs="宋体"/>
                <w:color w:val="auto"/>
                <w:sz w:val="21"/>
                <w:szCs w:val="21"/>
                <w:highlight w:val="none"/>
              </w:rPr>
              <w:t>履约保证金的形式</w:t>
            </w:r>
            <w:r>
              <w:rPr>
                <w:rStyle w:val="53"/>
                <w:rFonts w:hint="eastAsia" w:ascii="宋体" w:hAnsi="宋体" w:eastAsia="宋体" w:cs="宋体"/>
                <w:color w:val="auto"/>
                <w:sz w:val="21"/>
                <w:szCs w:val="21"/>
                <w:highlight w:val="none"/>
                <w:lang w:eastAsia="zh-CN"/>
              </w:rPr>
              <w:t>：</w:t>
            </w:r>
            <w:r>
              <w:rPr>
                <w:rStyle w:val="53"/>
                <w:rFonts w:hint="eastAsia" w:ascii="宋体" w:hAnsi="宋体" w:eastAsia="宋体" w:cs="宋体"/>
                <w:color w:val="auto"/>
                <w:sz w:val="21"/>
                <w:szCs w:val="21"/>
                <w:highlight w:val="none"/>
              </w:rPr>
              <w:t>中标人可以选择电汇、转账、支票、汇票、本票、保险、保函等形式缴纳或提交。</w:t>
            </w:r>
          </w:p>
          <w:p w14:paraId="0DDCD2D7">
            <w:pPr>
              <w:spacing w:line="360" w:lineRule="exact"/>
              <w:jc w:val="left"/>
              <w:rPr>
                <w:rStyle w:val="53"/>
                <w:rFonts w:hint="eastAsia" w:ascii="宋体" w:hAnsi="宋体" w:eastAsia="宋体" w:cs="宋体"/>
                <w:color w:val="auto"/>
                <w:sz w:val="21"/>
                <w:szCs w:val="21"/>
                <w:highlight w:val="none"/>
                <w:lang w:eastAsia="zh-CN"/>
              </w:rPr>
            </w:pPr>
            <w:r>
              <w:rPr>
                <w:rStyle w:val="53"/>
                <w:rFonts w:hint="eastAsia" w:ascii="宋体" w:hAnsi="宋体" w:eastAsia="宋体" w:cs="宋体"/>
                <w:color w:val="auto"/>
                <w:sz w:val="21"/>
                <w:szCs w:val="21"/>
                <w:highlight w:val="none"/>
              </w:rPr>
              <w:t>保证金缴纳的账号信息</w:t>
            </w:r>
            <w:r>
              <w:rPr>
                <w:rStyle w:val="53"/>
                <w:rFonts w:hint="eastAsia" w:ascii="宋体" w:hAnsi="宋体" w:eastAsia="宋体" w:cs="宋体"/>
                <w:color w:val="auto"/>
                <w:sz w:val="21"/>
                <w:szCs w:val="21"/>
                <w:highlight w:val="none"/>
                <w:lang w:eastAsia="zh-CN"/>
              </w:rPr>
              <w:t>：</w:t>
            </w:r>
          </w:p>
          <w:p w14:paraId="727CFB4E">
            <w:pPr>
              <w:spacing w:line="360" w:lineRule="exact"/>
              <w:jc w:val="left"/>
              <w:rPr>
                <w:rStyle w:val="53"/>
                <w:rFonts w:hint="eastAsia" w:ascii="宋体" w:hAnsi="宋体" w:eastAsia="宋体" w:cs="宋体"/>
                <w:color w:val="auto"/>
                <w:sz w:val="21"/>
                <w:szCs w:val="21"/>
                <w:highlight w:val="none"/>
              </w:rPr>
            </w:pPr>
            <w:r>
              <w:rPr>
                <w:rStyle w:val="53"/>
                <w:rFonts w:hint="eastAsia" w:ascii="宋体" w:hAnsi="宋体" w:eastAsia="宋体" w:cs="宋体"/>
                <w:color w:val="auto"/>
                <w:sz w:val="21"/>
                <w:szCs w:val="21"/>
                <w:highlight w:val="none"/>
              </w:rPr>
              <w:t>户名</w:t>
            </w:r>
            <w:r>
              <w:rPr>
                <w:rStyle w:val="53"/>
                <w:rFonts w:hint="eastAsia" w:ascii="宋体" w:hAnsi="宋体" w:eastAsia="宋体" w:cs="宋体"/>
                <w:color w:val="auto"/>
                <w:sz w:val="21"/>
                <w:szCs w:val="21"/>
                <w:highlight w:val="none"/>
                <w:lang w:eastAsia="zh-CN"/>
              </w:rPr>
              <w:t>：</w:t>
            </w:r>
            <w:r>
              <w:rPr>
                <w:rStyle w:val="53"/>
                <w:rFonts w:hint="eastAsia" w:ascii="宋体" w:hAnsi="宋体" w:eastAsia="宋体" w:cs="宋体"/>
                <w:color w:val="auto"/>
                <w:sz w:val="21"/>
                <w:szCs w:val="21"/>
                <w:highlight w:val="none"/>
              </w:rPr>
              <w:t>广西壮族自治区交通运输综合行政执法局</w:t>
            </w:r>
          </w:p>
          <w:p w14:paraId="238382F4">
            <w:pPr>
              <w:spacing w:line="360" w:lineRule="exact"/>
              <w:jc w:val="left"/>
              <w:rPr>
                <w:rStyle w:val="53"/>
                <w:rFonts w:hint="eastAsia" w:ascii="宋体" w:hAnsi="宋体" w:eastAsia="宋体" w:cs="宋体"/>
                <w:color w:val="auto"/>
                <w:sz w:val="21"/>
                <w:szCs w:val="21"/>
                <w:highlight w:val="none"/>
              </w:rPr>
            </w:pPr>
            <w:r>
              <w:rPr>
                <w:rStyle w:val="53"/>
                <w:rFonts w:hint="eastAsia" w:ascii="宋体" w:hAnsi="宋体" w:eastAsia="宋体" w:cs="宋体"/>
                <w:color w:val="auto"/>
                <w:sz w:val="21"/>
                <w:szCs w:val="21"/>
                <w:highlight w:val="none"/>
              </w:rPr>
              <w:t>账号</w:t>
            </w:r>
            <w:r>
              <w:rPr>
                <w:rStyle w:val="53"/>
                <w:rFonts w:hint="eastAsia" w:ascii="宋体" w:hAnsi="宋体" w:eastAsia="宋体" w:cs="宋体"/>
                <w:color w:val="auto"/>
                <w:sz w:val="21"/>
                <w:szCs w:val="21"/>
                <w:highlight w:val="none"/>
                <w:lang w:eastAsia="zh-CN"/>
              </w:rPr>
              <w:t>：</w:t>
            </w:r>
            <w:r>
              <w:rPr>
                <w:rStyle w:val="53"/>
                <w:rFonts w:hint="eastAsia" w:ascii="宋体" w:hAnsi="宋体" w:eastAsia="宋体" w:cs="宋体"/>
                <w:color w:val="auto"/>
                <w:sz w:val="21"/>
                <w:szCs w:val="21"/>
                <w:highlight w:val="none"/>
              </w:rPr>
              <w:t>451060309013000948504</w:t>
            </w:r>
          </w:p>
          <w:p w14:paraId="60D5AB50">
            <w:pPr>
              <w:spacing w:line="360" w:lineRule="exact"/>
              <w:jc w:val="left"/>
              <w:rPr>
                <w:rStyle w:val="53"/>
                <w:rFonts w:hint="eastAsia" w:ascii="宋体" w:hAnsi="宋体" w:eastAsia="宋体" w:cs="宋体"/>
                <w:color w:val="auto"/>
                <w:sz w:val="21"/>
                <w:szCs w:val="21"/>
                <w:highlight w:val="none"/>
              </w:rPr>
            </w:pPr>
            <w:r>
              <w:rPr>
                <w:rStyle w:val="53"/>
                <w:rFonts w:hint="eastAsia" w:ascii="宋体" w:hAnsi="宋体" w:eastAsia="宋体" w:cs="宋体"/>
                <w:color w:val="auto"/>
                <w:sz w:val="21"/>
                <w:szCs w:val="21"/>
                <w:highlight w:val="none"/>
              </w:rPr>
              <w:t>开户行</w:t>
            </w:r>
            <w:r>
              <w:rPr>
                <w:rStyle w:val="53"/>
                <w:rFonts w:hint="eastAsia" w:ascii="宋体" w:hAnsi="宋体" w:eastAsia="宋体" w:cs="宋体"/>
                <w:color w:val="auto"/>
                <w:sz w:val="21"/>
                <w:szCs w:val="21"/>
                <w:highlight w:val="none"/>
                <w:lang w:eastAsia="zh-CN"/>
              </w:rPr>
              <w:t>：</w:t>
            </w:r>
            <w:r>
              <w:rPr>
                <w:rStyle w:val="53"/>
                <w:rFonts w:hint="eastAsia" w:ascii="宋体" w:hAnsi="宋体" w:eastAsia="宋体" w:cs="宋体"/>
                <w:color w:val="auto"/>
                <w:sz w:val="21"/>
                <w:szCs w:val="21"/>
                <w:highlight w:val="none"/>
              </w:rPr>
              <w:t>交通银行南宁金源支行</w:t>
            </w:r>
          </w:p>
          <w:p w14:paraId="6017E44A">
            <w:pPr>
              <w:spacing w:line="360" w:lineRule="exact"/>
              <w:jc w:val="left"/>
              <w:rPr>
                <w:rStyle w:val="53"/>
                <w:rFonts w:hint="eastAsia" w:ascii="宋体" w:hAnsi="宋体" w:eastAsia="宋体" w:cs="宋体"/>
                <w:color w:val="auto"/>
                <w:sz w:val="21"/>
                <w:szCs w:val="21"/>
                <w:highlight w:val="none"/>
              </w:rPr>
            </w:pPr>
            <w:r>
              <w:rPr>
                <w:rStyle w:val="53"/>
                <w:rFonts w:hint="eastAsia" w:ascii="宋体" w:hAnsi="宋体" w:eastAsia="宋体" w:cs="宋体"/>
                <w:color w:val="auto"/>
                <w:sz w:val="21"/>
                <w:szCs w:val="21"/>
                <w:highlight w:val="none"/>
              </w:rPr>
              <w:t>行号</w:t>
            </w:r>
            <w:r>
              <w:rPr>
                <w:rStyle w:val="53"/>
                <w:rFonts w:hint="eastAsia" w:ascii="宋体" w:hAnsi="宋体" w:eastAsia="宋体" w:cs="宋体"/>
                <w:color w:val="auto"/>
                <w:sz w:val="21"/>
                <w:szCs w:val="21"/>
                <w:highlight w:val="none"/>
                <w:lang w:eastAsia="zh-CN"/>
              </w:rPr>
              <w:t>：</w:t>
            </w:r>
            <w:r>
              <w:rPr>
                <w:rStyle w:val="53"/>
                <w:rFonts w:hint="eastAsia" w:ascii="宋体" w:hAnsi="宋体" w:eastAsia="宋体" w:cs="宋体"/>
                <w:color w:val="auto"/>
                <w:sz w:val="21"/>
                <w:szCs w:val="21"/>
                <w:highlight w:val="none"/>
              </w:rPr>
              <w:t>301611000373</w:t>
            </w:r>
          </w:p>
          <w:p w14:paraId="4CFF8604">
            <w:pPr>
              <w:spacing w:line="360" w:lineRule="exact"/>
              <w:jc w:val="left"/>
              <w:rPr>
                <w:rFonts w:hint="eastAsia" w:ascii="宋体" w:hAnsi="宋体" w:eastAsia="宋体" w:cs="宋体"/>
                <w:color w:val="auto"/>
                <w:sz w:val="21"/>
                <w:szCs w:val="21"/>
                <w:highlight w:val="none"/>
              </w:rPr>
            </w:pPr>
            <w:r>
              <w:rPr>
                <w:rStyle w:val="53"/>
                <w:rFonts w:hint="eastAsia" w:ascii="宋体" w:hAnsi="宋体" w:eastAsia="宋体" w:cs="宋体"/>
                <w:color w:val="auto"/>
                <w:sz w:val="21"/>
                <w:szCs w:val="21"/>
                <w:highlight w:val="none"/>
              </w:rPr>
              <w:t>备注</w:t>
            </w:r>
            <w:r>
              <w:rPr>
                <w:rStyle w:val="53"/>
                <w:rFonts w:hint="eastAsia" w:ascii="宋体" w:hAnsi="宋体" w:eastAsia="宋体" w:cs="宋体"/>
                <w:color w:val="auto"/>
                <w:sz w:val="21"/>
                <w:szCs w:val="21"/>
                <w:highlight w:val="none"/>
                <w:lang w:eastAsia="zh-CN"/>
              </w:rPr>
              <w:t>：</w:t>
            </w:r>
            <w:r>
              <w:rPr>
                <w:rStyle w:val="53"/>
                <w:rFonts w:hint="eastAsia" w:ascii="宋体" w:hAnsi="宋体" w:eastAsia="宋体" w:cs="宋体"/>
                <w:color w:val="auto"/>
                <w:sz w:val="21"/>
                <w:szCs w:val="21"/>
                <w:highlight w:val="none"/>
              </w:rPr>
              <w:t>中标人在签订合同之前，足额提交履约保证金。未提交履约保证金的，不予签订合同。履约保证金自项目验收合格后，待中标人履行完质保义务后无息退还。</w:t>
            </w:r>
          </w:p>
        </w:tc>
      </w:tr>
      <w:tr w14:paraId="3BB006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45" w:type="dxa"/>
            <w:gridSpan w:val="2"/>
            <w:noWrap w:val="0"/>
            <w:vAlign w:val="center"/>
          </w:tcPr>
          <w:p w14:paraId="33D7CB61">
            <w:pPr>
              <w:spacing w:line="36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w:t>
            </w:r>
            <w:r>
              <w:rPr>
                <w:rFonts w:hint="eastAsia" w:ascii="宋体" w:hAnsi="宋体" w:eastAsia="宋体" w:cs="宋体"/>
                <w:b w:val="0"/>
                <w:bCs w:val="0"/>
                <w:color w:val="auto"/>
                <w:spacing w:val="3"/>
                <w:sz w:val="21"/>
                <w:szCs w:val="21"/>
                <w:highlight w:val="none"/>
              </w:rPr>
              <w:t>服务要求</w:t>
            </w:r>
          </w:p>
        </w:tc>
        <w:tc>
          <w:tcPr>
            <w:tcW w:w="7740" w:type="dxa"/>
            <w:gridSpan w:val="3"/>
            <w:noWrap w:val="0"/>
            <w:vAlign w:val="center"/>
          </w:tcPr>
          <w:p w14:paraId="323F0627">
            <w:pPr>
              <w:spacing w:line="360" w:lineRule="exact"/>
              <w:jc w:val="left"/>
              <w:rPr>
                <w:rStyle w:val="53"/>
                <w:rFonts w:hint="eastAsia" w:ascii="宋体" w:hAnsi="宋体" w:eastAsia="宋体" w:cs="宋体"/>
                <w:color w:val="auto"/>
                <w:sz w:val="21"/>
                <w:szCs w:val="21"/>
                <w:highlight w:val="none"/>
              </w:rPr>
            </w:pPr>
            <w:r>
              <w:rPr>
                <w:rStyle w:val="53"/>
                <w:rFonts w:hint="eastAsia" w:ascii="宋体" w:hAnsi="宋体" w:eastAsia="宋体" w:cs="宋体"/>
                <w:color w:val="auto"/>
                <w:sz w:val="21"/>
                <w:szCs w:val="21"/>
                <w:highlight w:val="none"/>
              </w:rPr>
              <w:t>1</w:t>
            </w:r>
            <w:r>
              <w:rPr>
                <w:rStyle w:val="53"/>
                <w:rFonts w:hint="eastAsia" w:ascii="宋体" w:hAnsi="宋体" w:eastAsia="宋体" w:cs="宋体"/>
                <w:color w:val="auto"/>
                <w:sz w:val="21"/>
                <w:szCs w:val="21"/>
                <w:highlight w:val="none"/>
                <w:lang w:val="en-US" w:eastAsia="zh-CN"/>
              </w:rPr>
              <w:t xml:space="preserve">. </w:t>
            </w:r>
            <w:r>
              <w:rPr>
                <w:rStyle w:val="53"/>
                <w:rFonts w:hint="eastAsia" w:ascii="宋体" w:hAnsi="宋体" w:eastAsia="宋体" w:cs="宋体"/>
                <w:color w:val="auto"/>
                <w:sz w:val="21"/>
                <w:szCs w:val="21"/>
                <w:highlight w:val="none"/>
              </w:rPr>
              <w:t>响应时间</w:t>
            </w:r>
            <w:r>
              <w:rPr>
                <w:rStyle w:val="53"/>
                <w:rFonts w:hint="eastAsia" w:ascii="宋体" w:hAnsi="宋体" w:eastAsia="宋体" w:cs="宋体"/>
                <w:color w:val="auto"/>
                <w:sz w:val="21"/>
                <w:szCs w:val="21"/>
                <w:highlight w:val="none"/>
                <w:lang w:eastAsia="zh-CN"/>
              </w:rPr>
              <w:t>：</w:t>
            </w:r>
            <w:r>
              <w:rPr>
                <w:rStyle w:val="53"/>
                <w:rFonts w:hint="eastAsia" w:ascii="宋体" w:hAnsi="宋体" w:eastAsia="宋体" w:cs="宋体"/>
                <w:color w:val="auto"/>
                <w:sz w:val="21"/>
                <w:szCs w:val="21"/>
                <w:highlight w:val="none"/>
              </w:rPr>
              <w:t>接到检测服务要求后6小时内响应，48小时内到达检测现场，出现2次不能够及时响应情况，将视为不能满足工作要求，采购人有权追究违约责任，一切后果由中标人自行承担。</w:t>
            </w:r>
          </w:p>
          <w:p w14:paraId="2CB904E4">
            <w:pPr>
              <w:spacing w:line="360" w:lineRule="exact"/>
              <w:jc w:val="left"/>
              <w:rPr>
                <w:rStyle w:val="53"/>
                <w:rFonts w:hint="eastAsia" w:ascii="宋体" w:hAnsi="宋体" w:eastAsia="宋体" w:cs="宋体"/>
                <w:color w:val="auto"/>
                <w:sz w:val="21"/>
                <w:szCs w:val="21"/>
                <w:highlight w:val="none"/>
                <w:lang w:eastAsia="zh-CN"/>
              </w:rPr>
            </w:pPr>
            <w:r>
              <w:rPr>
                <w:rStyle w:val="53"/>
                <w:rFonts w:hint="eastAsia" w:ascii="宋体" w:hAnsi="宋体" w:eastAsia="宋体" w:cs="宋体"/>
                <w:color w:val="auto"/>
                <w:sz w:val="21"/>
                <w:szCs w:val="21"/>
                <w:highlight w:val="none"/>
                <w:lang w:val="en-US" w:eastAsia="zh-CN"/>
              </w:rPr>
              <w:t xml:space="preserve">2. </w:t>
            </w:r>
            <w:r>
              <w:rPr>
                <w:rStyle w:val="53"/>
                <w:rFonts w:hint="eastAsia" w:ascii="宋体" w:hAnsi="宋体" w:eastAsia="宋体" w:cs="宋体"/>
                <w:color w:val="auto"/>
                <w:sz w:val="21"/>
                <w:szCs w:val="21"/>
                <w:highlight w:val="none"/>
              </w:rPr>
              <w:t>递交报告的时间</w:t>
            </w:r>
            <w:r>
              <w:rPr>
                <w:rStyle w:val="53"/>
                <w:rFonts w:hint="eastAsia" w:ascii="宋体" w:hAnsi="宋体" w:eastAsia="宋体" w:cs="宋体"/>
                <w:color w:val="auto"/>
                <w:sz w:val="21"/>
                <w:szCs w:val="21"/>
                <w:highlight w:val="none"/>
                <w:lang w:eastAsia="zh-CN"/>
              </w:rPr>
              <w:t>：</w:t>
            </w:r>
          </w:p>
          <w:p w14:paraId="07882BF6">
            <w:pPr>
              <w:spacing w:line="360" w:lineRule="exact"/>
              <w:jc w:val="left"/>
              <w:rPr>
                <w:rStyle w:val="53"/>
                <w:rFonts w:hint="eastAsia" w:ascii="宋体" w:hAnsi="宋体" w:eastAsia="宋体" w:cs="宋体"/>
                <w:color w:val="auto"/>
                <w:sz w:val="21"/>
                <w:szCs w:val="21"/>
                <w:highlight w:val="none"/>
              </w:rPr>
            </w:pPr>
            <w:r>
              <w:rPr>
                <w:rStyle w:val="53"/>
                <w:rFonts w:hint="eastAsia" w:ascii="宋体" w:hAnsi="宋体" w:eastAsia="宋体" w:cs="宋体"/>
                <w:color w:val="auto"/>
                <w:sz w:val="21"/>
                <w:szCs w:val="21"/>
                <w:highlight w:val="none"/>
                <w:lang w:val="en-US" w:eastAsia="zh-CN"/>
              </w:rPr>
              <w:t xml:space="preserve">2.1 </w:t>
            </w:r>
            <w:r>
              <w:rPr>
                <w:rStyle w:val="53"/>
                <w:rFonts w:hint="eastAsia" w:ascii="宋体" w:hAnsi="宋体" w:eastAsia="宋体" w:cs="宋体"/>
                <w:color w:val="auto"/>
                <w:sz w:val="21"/>
                <w:szCs w:val="21"/>
                <w:highlight w:val="none"/>
              </w:rPr>
              <w:t>中标人按照采购人的检测计划开展检测工作，现场检测结束后</w:t>
            </w:r>
            <w:r>
              <w:rPr>
                <w:rStyle w:val="53"/>
                <w:rFonts w:hint="eastAsia" w:ascii="宋体" w:hAnsi="宋体" w:cs="宋体"/>
                <w:color w:val="auto"/>
                <w:sz w:val="21"/>
                <w:szCs w:val="21"/>
                <w:highlight w:val="none"/>
                <w:lang w:val="en-US" w:eastAsia="zh-CN"/>
              </w:rPr>
              <w:t>7</w:t>
            </w:r>
            <w:r>
              <w:rPr>
                <w:rStyle w:val="53"/>
                <w:rFonts w:hint="eastAsia" w:ascii="宋体" w:hAnsi="宋体" w:eastAsia="宋体" w:cs="宋体"/>
                <w:color w:val="auto"/>
                <w:sz w:val="21"/>
                <w:szCs w:val="21"/>
                <w:highlight w:val="none"/>
              </w:rPr>
              <w:t>日内向采购人提交具体检测报告，并于每月25日向采购人提交上月20日至当月20日期间的检测数据及检测工作实施情况。合同要求的检测工作全部完成后，中标人须在现场检测结束后10日内向采购人提交总体检测分析报告。</w:t>
            </w:r>
          </w:p>
          <w:p w14:paraId="275A6B97">
            <w:pPr>
              <w:spacing w:line="360" w:lineRule="exact"/>
              <w:jc w:val="left"/>
              <w:rPr>
                <w:rStyle w:val="53"/>
                <w:rFonts w:hint="eastAsia" w:ascii="宋体" w:hAnsi="宋体" w:eastAsia="宋体" w:cs="宋体"/>
                <w:color w:val="auto"/>
                <w:sz w:val="21"/>
                <w:szCs w:val="21"/>
                <w:highlight w:val="none"/>
              </w:rPr>
            </w:pPr>
            <w:r>
              <w:rPr>
                <w:rStyle w:val="53"/>
                <w:rFonts w:hint="eastAsia" w:ascii="宋体" w:hAnsi="宋体" w:eastAsia="宋体" w:cs="宋体"/>
                <w:color w:val="auto"/>
                <w:sz w:val="21"/>
                <w:szCs w:val="21"/>
                <w:highlight w:val="none"/>
                <w:lang w:val="en-US" w:eastAsia="zh-CN"/>
              </w:rPr>
              <w:t xml:space="preserve">2.2 </w:t>
            </w:r>
            <w:r>
              <w:rPr>
                <w:rStyle w:val="53"/>
                <w:rFonts w:hint="eastAsia" w:ascii="宋体" w:hAnsi="宋体" w:eastAsia="宋体" w:cs="宋体"/>
                <w:color w:val="auto"/>
                <w:sz w:val="21"/>
                <w:szCs w:val="21"/>
                <w:highlight w:val="none"/>
              </w:rPr>
              <w:t>为协助完善监督检查工作，公路、铁路工程质量监督服务1标段的中标人需作为牵头人，组织其他标段中标单位协作汇总各个标段的检测情况，并出具季度、年度质检分析报告及相关内业资料整理。</w:t>
            </w:r>
          </w:p>
          <w:p w14:paraId="70A36C95">
            <w:pPr>
              <w:spacing w:line="360" w:lineRule="exact"/>
              <w:jc w:val="left"/>
              <w:rPr>
                <w:rStyle w:val="53"/>
                <w:rFonts w:hint="eastAsia" w:ascii="宋体" w:hAnsi="宋体" w:eastAsia="宋体" w:cs="宋体"/>
                <w:color w:val="auto"/>
                <w:sz w:val="21"/>
                <w:szCs w:val="21"/>
                <w:highlight w:val="none"/>
                <w:lang w:eastAsia="zh-CN"/>
              </w:rPr>
            </w:pPr>
            <w:r>
              <w:rPr>
                <w:rStyle w:val="53"/>
                <w:rFonts w:hint="eastAsia" w:ascii="宋体" w:hAnsi="宋体" w:eastAsia="宋体" w:cs="宋体"/>
                <w:color w:val="auto"/>
                <w:sz w:val="21"/>
                <w:szCs w:val="21"/>
                <w:highlight w:val="none"/>
                <w:lang w:val="en-US" w:eastAsia="zh-CN"/>
              </w:rPr>
              <w:t xml:space="preserve">3 </w:t>
            </w:r>
            <w:r>
              <w:rPr>
                <w:rStyle w:val="53"/>
                <w:rFonts w:hint="eastAsia" w:ascii="宋体" w:hAnsi="宋体" w:eastAsia="宋体" w:cs="宋体"/>
                <w:color w:val="auto"/>
                <w:sz w:val="21"/>
                <w:szCs w:val="21"/>
                <w:highlight w:val="none"/>
              </w:rPr>
              <w:t>为使采购人充分了解投标人的服务能力，投标人在投标文件中须提供检测计划及项目实施方案，它们应包含</w:t>
            </w:r>
            <w:r>
              <w:rPr>
                <w:rStyle w:val="53"/>
                <w:rFonts w:hint="eastAsia" w:ascii="宋体" w:hAnsi="宋体" w:eastAsia="宋体" w:cs="宋体"/>
                <w:color w:val="auto"/>
                <w:sz w:val="21"/>
                <w:szCs w:val="21"/>
                <w:highlight w:val="none"/>
                <w:lang w:eastAsia="zh-CN"/>
              </w:rPr>
              <w:t>：</w:t>
            </w:r>
          </w:p>
          <w:p w14:paraId="4D24FE48">
            <w:pPr>
              <w:spacing w:line="360" w:lineRule="exact"/>
              <w:jc w:val="left"/>
              <w:rPr>
                <w:rStyle w:val="53"/>
                <w:rFonts w:hint="eastAsia" w:ascii="宋体" w:hAnsi="宋体" w:eastAsia="宋体" w:cs="宋体"/>
                <w:color w:val="auto"/>
                <w:sz w:val="21"/>
                <w:szCs w:val="21"/>
                <w:highlight w:val="none"/>
              </w:rPr>
            </w:pPr>
            <w:r>
              <w:rPr>
                <w:rStyle w:val="53"/>
                <w:rFonts w:hint="eastAsia" w:ascii="宋体" w:hAnsi="宋体" w:eastAsia="宋体" w:cs="宋体"/>
                <w:color w:val="auto"/>
                <w:sz w:val="21"/>
                <w:szCs w:val="21"/>
                <w:highlight w:val="none"/>
                <w:lang w:val="en-US" w:eastAsia="zh-CN"/>
              </w:rPr>
              <w:t xml:space="preserve">3.1 </w:t>
            </w:r>
            <w:r>
              <w:rPr>
                <w:rStyle w:val="53"/>
                <w:rFonts w:hint="eastAsia" w:ascii="宋体" w:hAnsi="宋体" w:eastAsia="宋体" w:cs="宋体"/>
                <w:color w:val="auto"/>
                <w:sz w:val="21"/>
                <w:szCs w:val="21"/>
                <w:highlight w:val="none"/>
              </w:rPr>
              <w:t>相关人员到位承诺书及人员资格及职称介绍及相关材料证明；</w:t>
            </w:r>
          </w:p>
          <w:p w14:paraId="37C39E47">
            <w:pPr>
              <w:spacing w:line="360" w:lineRule="exact"/>
              <w:jc w:val="left"/>
              <w:rPr>
                <w:rStyle w:val="53"/>
                <w:rFonts w:hint="eastAsia" w:ascii="宋体" w:hAnsi="宋体" w:eastAsia="宋体" w:cs="宋体"/>
                <w:color w:val="auto"/>
                <w:sz w:val="21"/>
                <w:szCs w:val="21"/>
                <w:highlight w:val="none"/>
              </w:rPr>
            </w:pPr>
            <w:r>
              <w:rPr>
                <w:rStyle w:val="53"/>
                <w:rFonts w:hint="eastAsia" w:ascii="宋体" w:hAnsi="宋体" w:eastAsia="宋体" w:cs="宋体"/>
                <w:color w:val="auto"/>
                <w:sz w:val="21"/>
                <w:szCs w:val="21"/>
                <w:highlight w:val="none"/>
                <w:lang w:val="en-US" w:eastAsia="zh-CN"/>
              </w:rPr>
              <w:t xml:space="preserve">3.2 </w:t>
            </w:r>
            <w:r>
              <w:rPr>
                <w:rStyle w:val="53"/>
                <w:rFonts w:hint="eastAsia" w:ascii="宋体" w:hAnsi="宋体" w:eastAsia="宋体" w:cs="宋体"/>
                <w:color w:val="auto"/>
                <w:sz w:val="21"/>
                <w:szCs w:val="21"/>
                <w:highlight w:val="none"/>
              </w:rPr>
              <w:t>关于本项目的具体检测工作计划，递交检测报告的时间承诺；</w:t>
            </w:r>
          </w:p>
          <w:p w14:paraId="72571B08">
            <w:pPr>
              <w:spacing w:line="360" w:lineRule="exact"/>
              <w:jc w:val="left"/>
              <w:rPr>
                <w:rStyle w:val="53"/>
                <w:rFonts w:hint="eastAsia" w:ascii="宋体" w:hAnsi="宋体" w:eastAsia="宋体" w:cs="宋体"/>
                <w:color w:val="auto"/>
                <w:sz w:val="21"/>
                <w:szCs w:val="21"/>
                <w:highlight w:val="none"/>
              </w:rPr>
            </w:pPr>
            <w:r>
              <w:rPr>
                <w:rStyle w:val="53"/>
                <w:rFonts w:hint="eastAsia" w:ascii="宋体" w:hAnsi="宋体" w:eastAsia="宋体" w:cs="宋体"/>
                <w:color w:val="auto"/>
                <w:sz w:val="21"/>
                <w:szCs w:val="21"/>
                <w:highlight w:val="none"/>
                <w:lang w:val="en-US" w:eastAsia="zh-CN"/>
              </w:rPr>
              <w:t xml:space="preserve">3.3 </w:t>
            </w:r>
            <w:r>
              <w:rPr>
                <w:rStyle w:val="53"/>
                <w:rFonts w:hint="eastAsia" w:ascii="宋体" w:hAnsi="宋体" w:eastAsia="宋体" w:cs="宋体"/>
                <w:color w:val="auto"/>
                <w:sz w:val="21"/>
                <w:szCs w:val="21"/>
                <w:highlight w:val="none"/>
              </w:rPr>
              <w:t>技术方案、实施安排和质量保障措施；包括现场检测的人员安排及采用的设备和交通工具，检测及检测后各个工作环节和程序中运用的技术措施和实施安排；各个工作环节的质量保证措施；</w:t>
            </w:r>
          </w:p>
          <w:p w14:paraId="4E6FE9C7">
            <w:pPr>
              <w:spacing w:line="360" w:lineRule="exact"/>
              <w:jc w:val="left"/>
              <w:rPr>
                <w:rFonts w:hint="eastAsia" w:ascii="宋体" w:hAnsi="宋体" w:eastAsia="宋体" w:cs="宋体"/>
                <w:color w:val="auto"/>
                <w:sz w:val="21"/>
                <w:szCs w:val="21"/>
                <w:highlight w:val="none"/>
              </w:rPr>
            </w:pPr>
            <w:r>
              <w:rPr>
                <w:rStyle w:val="53"/>
                <w:rFonts w:hint="eastAsia" w:ascii="宋体" w:hAnsi="宋体" w:eastAsia="宋体" w:cs="宋体"/>
                <w:color w:val="auto"/>
                <w:sz w:val="21"/>
                <w:szCs w:val="21"/>
                <w:highlight w:val="none"/>
                <w:lang w:val="en-US" w:eastAsia="zh-CN"/>
              </w:rPr>
              <w:t xml:space="preserve">3.4 </w:t>
            </w:r>
            <w:r>
              <w:rPr>
                <w:rStyle w:val="53"/>
                <w:rFonts w:hint="eastAsia" w:ascii="宋体" w:hAnsi="宋体" w:eastAsia="宋体" w:cs="宋体"/>
                <w:color w:val="auto"/>
                <w:sz w:val="21"/>
                <w:szCs w:val="21"/>
                <w:highlight w:val="none"/>
              </w:rPr>
              <w:t>服务保障及相关管理措施。</w:t>
            </w:r>
          </w:p>
        </w:tc>
      </w:tr>
      <w:tr w14:paraId="68EEBD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45" w:type="dxa"/>
            <w:gridSpan w:val="2"/>
            <w:noWrap w:val="0"/>
            <w:vAlign w:val="center"/>
          </w:tcPr>
          <w:p w14:paraId="3697232F">
            <w:pPr>
              <w:spacing w:line="36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w:t>
            </w:r>
            <w:r>
              <w:rPr>
                <w:rFonts w:hint="eastAsia" w:ascii="宋体" w:hAnsi="宋体" w:eastAsia="宋体" w:cs="宋体"/>
                <w:b w:val="0"/>
                <w:bCs w:val="0"/>
                <w:color w:val="auto"/>
                <w:spacing w:val="9"/>
                <w:sz w:val="21"/>
                <w:szCs w:val="21"/>
                <w:highlight w:val="none"/>
              </w:rPr>
              <w:t>知识产权</w:t>
            </w:r>
          </w:p>
        </w:tc>
        <w:tc>
          <w:tcPr>
            <w:tcW w:w="7740" w:type="dxa"/>
            <w:gridSpan w:val="3"/>
            <w:noWrap w:val="0"/>
            <w:vAlign w:val="center"/>
          </w:tcPr>
          <w:p w14:paraId="4E808427">
            <w:pPr>
              <w:spacing w:line="360" w:lineRule="exact"/>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采购人在中华人民共和国境内使用中标人提供的产品及服务时免受第三方提出的侵犯其专利权或其它知识产权的起诉。如果第三方提出侵权指控，中标人应承担由此而引起的一切法律责任和费用。</w:t>
            </w:r>
          </w:p>
        </w:tc>
      </w:tr>
      <w:tr w14:paraId="6530CD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45" w:type="dxa"/>
            <w:gridSpan w:val="2"/>
            <w:noWrap w:val="0"/>
            <w:vAlign w:val="center"/>
          </w:tcPr>
          <w:p w14:paraId="7FC20CD1">
            <w:pPr>
              <w:spacing w:line="36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w:t>
            </w:r>
            <w:r>
              <w:rPr>
                <w:rFonts w:hint="eastAsia" w:ascii="宋体" w:hAnsi="宋体" w:eastAsia="宋体" w:cs="宋体"/>
                <w:b w:val="0"/>
                <w:bCs w:val="0"/>
                <w:color w:val="auto"/>
                <w:spacing w:val="3"/>
                <w:sz w:val="21"/>
                <w:szCs w:val="21"/>
                <w:highlight w:val="none"/>
              </w:rPr>
              <w:t>验收标准及要求</w:t>
            </w:r>
          </w:p>
        </w:tc>
        <w:tc>
          <w:tcPr>
            <w:tcW w:w="7740" w:type="dxa"/>
            <w:gridSpan w:val="3"/>
            <w:noWrap w:val="0"/>
            <w:vAlign w:val="center"/>
          </w:tcPr>
          <w:p w14:paraId="21C48E3E">
            <w:pPr>
              <w:spacing w:line="360" w:lineRule="exact"/>
              <w:jc w:val="left"/>
              <w:rPr>
                <w:rStyle w:val="53"/>
                <w:rFonts w:hint="eastAsia" w:ascii="宋体" w:hAnsi="宋体" w:eastAsia="宋体" w:cs="宋体"/>
                <w:color w:val="auto"/>
                <w:sz w:val="21"/>
                <w:szCs w:val="21"/>
                <w:highlight w:val="none"/>
              </w:rPr>
            </w:pPr>
            <w:r>
              <w:rPr>
                <w:rStyle w:val="53"/>
                <w:rFonts w:hint="eastAsia" w:ascii="宋体" w:hAnsi="宋体" w:eastAsia="宋体" w:cs="宋体"/>
                <w:color w:val="auto"/>
                <w:sz w:val="21"/>
                <w:szCs w:val="21"/>
                <w:highlight w:val="none"/>
                <w:lang w:val="en-US" w:eastAsia="zh-CN"/>
              </w:rPr>
              <w:t xml:space="preserve">1. </w:t>
            </w:r>
            <w:r>
              <w:rPr>
                <w:rStyle w:val="53"/>
                <w:rFonts w:hint="eastAsia" w:ascii="宋体" w:hAnsi="宋体" w:eastAsia="宋体" w:cs="宋体"/>
                <w:color w:val="auto"/>
                <w:sz w:val="21"/>
                <w:szCs w:val="21"/>
                <w:highlight w:val="none"/>
              </w:rPr>
              <w:t>按国家行业标准及有关规定、招标文件、投标文件以及合同的相关条款进行验收。</w:t>
            </w:r>
          </w:p>
          <w:p w14:paraId="3DB6561B">
            <w:pPr>
              <w:spacing w:line="360" w:lineRule="exact"/>
              <w:jc w:val="left"/>
              <w:rPr>
                <w:rFonts w:hint="eastAsia" w:ascii="宋体" w:hAnsi="宋体" w:eastAsia="宋体" w:cs="宋体"/>
                <w:bCs/>
                <w:color w:val="auto"/>
                <w:sz w:val="21"/>
                <w:szCs w:val="21"/>
                <w:highlight w:val="none"/>
              </w:rPr>
            </w:pPr>
            <w:r>
              <w:rPr>
                <w:rStyle w:val="53"/>
                <w:rFonts w:hint="eastAsia" w:ascii="宋体" w:hAnsi="宋体" w:eastAsia="宋体" w:cs="宋体"/>
                <w:color w:val="auto"/>
                <w:sz w:val="21"/>
                <w:szCs w:val="21"/>
                <w:highlight w:val="none"/>
                <w:lang w:val="en-US" w:eastAsia="zh-CN"/>
              </w:rPr>
              <w:t xml:space="preserve">2. </w:t>
            </w:r>
            <w:r>
              <w:rPr>
                <w:rStyle w:val="53"/>
                <w:rFonts w:hint="eastAsia" w:ascii="宋体" w:hAnsi="宋体" w:eastAsia="宋体" w:cs="宋体"/>
                <w:color w:val="auto"/>
                <w:sz w:val="21"/>
                <w:szCs w:val="21"/>
                <w:highlight w:val="none"/>
              </w:rPr>
              <w:t>验收过程中所产生的一切费用均由中标人承担。报价时应考虑相关费用。</w:t>
            </w:r>
          </w:p>
        </w:tc>
      </w:tr>
      <w:tr w14:paraId="5C7F7D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45" w:type="dxa"/>
            <w:gridSpan w:val="2"/>
            <w:noWrap w:val="0"/>
            <w:vAlign w:val="center"/>
          </w:tcPr>
          <w:p w14:paraId="781589FA">
            <w:pPr>
              <w:spacing w:line="360" w:lineRule="exact"/>
              <w:jc w:val="center"/>
              <w:rPr>
                <w:rFonts w:hint="eastAsia" w:ascii="宋体" w:hAnsi="宋体" w:eastAsia="宋体" w:cs="宋体"/>
                <w:color w:val="auto"/>
                <w:sz w:val="21"/>
                <w:szCs w:val="21"/>
                <w:highlight w:val="none"/>
              </w:rPr>
            </w:pPr>
            <w:r>
              <w:rPr>
                <w:rFonts w:hint="eastAsia" w:ascii="宋体" w:hAnsi="宋体" w:eastAsia="宋体" w:cs="宋体"/>
                <w:b w:val="0"/>
                <w:bCs w:val="0"/>
                <w:color w:val="auto"/>
                <w:spacing w:val="3"/>
                <w:sz w:val="21"/>
                <w:szCs w:val="21"/>
                <w:highlight w:val="none"/>
              </w:rPr>
              <w:t>其他要求</w:t>
            </w:r>
          </w:p>
        </w:tc>
        <w:tc>
          <w:tcPr>
            <w:tcW w:w="7740" w:type="dxa"/>
            <w:gridSpan w:val="3"/>
            <w:noWrap w:val="0"/>
            <w:vAlign w:val="center"/>
          </w:tcPr>
          <w:p w14:paraId="4EA9107C">
            <w:pPr>
              <w:spacing w:line="360" w:lineRule="exact"/>
              <w:jc w:val="left"/>
              <w:rPr>
                <w:rStyle w:val="53"/>
                <w:rFonts w:hint="eastAsia" w:ascii="宋体" w:hAnsi="宋体" w:eastAsia="宋体" w:cs="宋体"/>
                <w:color w:val="auto"/>
                <w:sz w:val="21"/>
                <w:szCs w:val="21"/>
                <w:highlight w:val="none"/>
                <w:lang w:val="en-US" w:eastAsia="zh-CN"/>
              </w:rPr>
            </w:pPr>
            <w:r>
              <w:rPr>
                <w:rStyle w:val="53"/>
                <w:rFonts w:hint="eastAsia" w:ascii="宋体" w:hAnsi="宋体" w:eastAsia="宋体" w:cs="宋体"/>
                <w:color w:val="auto"/>
                <w:sz w:val="21"/>
                <w:szCs w:val="21"/>
                <w:highlight w:val="none"/>
                <w:lang w:val="en-US" w:eastAsia="zh-CN"/>
              </w:rPr>
              <w:t>1. 对质检投诉、举报、对事故分析调查需要检测的情形等未列明的实际可能涉及的工作以实际工作内容为准。</w:t>
            </w:r>
          </w:p>
          <w:p w14:paraId="5A6CF8BE">
            <w:pPr>
              <w:spacing w:line="360" w:lineRule="exact"/>
              <w:jc w:val="left"/>
              <w:rPr>
                <w:rStyle w:val="53"/>
                <w:rFonts w:hint="eastAsia" w:ascii="宋体" w:hAnsi="宋体" w:eastAsia="宋体" w:cs="宋体"/>
                <w:color w:val="auto"/>
                <w:sz w:val="21"/>
                <w:szCs w:val="21"/>
                <w:highlight w:val="none"/>
                <w:lang w:val="en-US" w:eastAsia="zh-CN"/>
              </w:rPr>
            </w:pPr>
            <w:r>
              <w:rPr>
                <w:rStyle w:val="53"/>
                <w:rFonts w:hint="eastAsia" w:ascii="宋体" w:hAnsi="宋体" w:eastAsia="宋体" w:cs="宋体"/>
                <w:color w:val="auto"/>
                <w:sz w:val="21"/>
                <w:szCs w:val="21"/>
                <w:highlight w:val="none"/>
                <w:lang w:val="en-US" w:eastAsia="zh-CN"/>
              </w:rPr>
              <w:t>2. 其他未尽事宜由采购人和中标人在采购合同中详细约定。</w:t>
            </w:r>
          </w:p>
          <w:p w14:paraId="6A771E04">
            <w:pPr>
              <w:spacing w:line="360" w:lineRule="exact"/>
              <w:jc w:val="left"/>
              <w:rPr>
                <w:rStyle w:val="53"/>
                <w:rFonts w:hint="eastAsia" w:ascii="宋体" w:hAnsi="宋体" w:eastAsia="宋体" w:cs="宋体"/>
                <w:color w:val="auto"/>
                <w:sz w:val="21"/>
                <w:szCs w:val="21"/>
                <w:highlight w:val="none"/>
                <w:lang w:val="en-US" w:eastAsia="zh-CN"/>
              </w:rPr>
            </w:pPr>
            <w:r>
              <w:rPr>
                <w:rStyle w:val="53"/>
                <w:rFonts w:hint="eastAsia" w:ascii="宋体" w:hAnsi="宋体" w:eastAsia="宋体" w:cs="宋体"/>
                <w:color w:val="auto"/>
                <w:sz w:val="21"/>
                <w:szCs w:val="21"/>
                <w:highlight w:val="none"/>
                <w:lang w:val="en-US" w:eastAsia="zh-CN"/>
              </w:rPr>
              <w:t>3. 中标人必须自行为其投标产品侵犯其他投标人或专利人的专利成果承担相应法律责任；同时，具有产品专利的投标人应在其投标文件中提供与其自有产品专利相关的有效证明材料，否则，不能就其产品的专利在本项目采购过程中被侵权问题提出异议。</w:t>
            </w:r>
          </w:p>
          <w:p w14:paraId="68E56A03">
            <w:pPr>
              <w:spacing w:line="360" w:lineRule="exact"/>
              <w:jc w:val="left"/>
              <w:rPr>
                <w:rFonts w:hint="eastAsia" w:ascii="宋体" w:hAnsi="宋体" w:eastAsia="宋体" w:cs="宋体"/>
                <w:bCs/>
                <w:color w:val="auto"/>
                <w:sz w:val="21"/>
                <w:szCs w:val="21"/>
                <w:highlight w:val="none"/>
              </w:rPr>
            </w:pPr>
            <w:r>
              <w:rPr>
                <w:rStyle w:val="53"/>
                <w:rFonts w:hint="eastAsia" w:ascii="宋体" w:hAnsi="宋体" w:eastAsia="宋体" w:cs="宋体"/>
                <w:color w:val="auto"/>
                <w:sz w:val="21"/>
                <w:szCs w:val="21"/>
                <w:highlight w:val="none"/>
                <w:lang w:val="en-US" w:eastAsia="zh-CN"/>
              </w:rPr>
              <w:t>4. 开始现场检测工作前，采购人组织中标人召开检测工作会议，中标人应按照采购人要求开展检测及数据采集、整理、分析等工作，服从采购人管理。</w:t>
            </w:r>
          </w:p>
        </w:tc>
      </w:tr>
    </w:tbl>
    <w:p w14:paraId="2787A125">
      <w:pPr>
        <w:spacing w:line="360" w:lineRule="exact"/>
        <w:ind w:right="2" w:rightChars="1"/>
        <w:outlineLvl w:val="1"/>
        <w:rPr>
          <w:rFonts w:hint="eastAsia" w:ascii="宋体" w:hAnsi="宋体" w:eastAsia="宋体" w:cs="宋体"/>
          <w:b/>
          <w:bCs/>
          <w:color w:val="auto"/>
          <w:szCs w:val="21"/>
          <w:highlight w:val="none"/>
        </w:rPr>
      </w:pPr>
      <w:r>
        <w:rPr>
          <w:rFonts w:hint="eastAsia" w:ascii="宋体" w:hAnsi="宋体" w:eastAsia="宋体" w:cs="宋体"/>
          <w:color w:val="auto"/>
          <w:sz w:val="21"/>
          <w:szCs w:val="21"/>
          <w:highlight w:val="none"/>
          <w:lang w:val="en-US" w:eastAsia="zh-CN"/>
        </w:rPr>
        <w:br w:type="page"/>
      </w:r>
      <w:r>
        <w:rPr>
          <w:rFonts w:hint="eastAsia" w:ascii="宋体" w:hAnsi="宋体" w:eastAsia="宋体" w:cs="宋体"/>
          <w:b/>
          <w:bCs/>
          <w:color w:val="auto"/>
          <w:szCs w:val="21"/>
          <w:highlight w:val="none"/>
        </w:rPr>
        <w:t>所属行业</w:t>
      </w:r>
      <w:r>
        <w:rPr>
          <w:rFonts w:hint="eastAsia" w:ascii="宋体" w:hAnsi="宋体" w:eastAsia="宋体" w:cs="宋体"/>
          <w:b/>
          <w:bCs/>
          <w:color w:val="auto"/>
          <w:szCs w:val="21"/>
          <w:highlight w:val="none"/>
          <w:lang w:eastAsia="zh-CN"/>
        </w:rPr>
        <w:t>：</w:t>
      </w:r>
      <w:r>
        <w:rPr>
          <w:rFonts w:hint="eastAsia" w:ascii="宋体" w:hAnsi="宋体" w:eastAsia="宋体" w:cs="宋体"/>
          <w:b/>
          <w:bCs/>
          <w:color w:val="auto"/>
          <w:szCs w:val="21"/>
          <w:highlight w:val="none"/>
        </w:rPr>
        <w:t>其他未列明行业</w:t>
      </w:r>
    </w:p>
    <w:p w14:paraId="6E26E637">
      <w:pPr>
        <w:spacing w:line="360" w:lineRule="exact"/>
        <w:ind w:right="2" w:rightChars="1"/>
        <w:outlineLvl w:val="1"/>
        <w:rPr>
          <w:rFonts w:hint="eastAsia" w:ascii="宋体" w:hAnsi="宋体" w:eastAsia="宋体" w:cs="宋体"/>
          <w:b/>
          <w:bCs/>
          <w:color w:val="auto"/>
          <w:szCs w:val="21"/>
          <w:highlight w:val="none"/>
          <w:lang w:val="en-US" w:eastAsia="zh-CN"/>
        </w:rPr>
      </w:pPr>
      <w:r>
        <w:rPr>
          <w:rFonts w:hint="eastAsia" w:ascii="宋体" w:hAnsi="宋体" w:eastAsia="宋体" w:cs="宋体"/>
          <w:color w:val="auto"/>
          <w:highlight w:val="none"/>
          <w:lang w:val="en-US" w:eastAsia="zh-CN"/>
        </w:rPr>
        <w:t>JSZC标段</w:t>
      </w:r>
      <w:r>
        <w:rPr>
          <w:rFonts w:hint="eastAsia" w:ascii="宋体" w:hAnsi="宋体" w:eastAsia="宋体" w:cs="宋体"/>
          <w:b/>
          <w:bCs/>
          <w:color w:val="auto"/>
          <w:szCs w:val="21"/>
          <w:highlight w:val="none"/>
          <w:lang w:val="en-US" w:eastAsia="zh-CN"/>
        </w:rPr>
        <w:t>（技术支持标段）</w:t>
      </w:r>
    </w:p>
    <w:tbl>
      <w:tblPr>
        <w:tblStyle w:val="45"/>
        <w:tblW w:w="918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9"/>
        <w:gridCol w:w="736"/>
        <w:gridCol w:w="453"/>
        <w:gridCol w:w="705"/>
        <w:gridCol w:w="6582"/>
      </w:tblGrid>
      <w:tr w14:paraId="026A22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185" w:type="dxa"/>
            <w:gridSpan w:val="5"/>
            <w:noWrap w:val="0"/>
            <w:vAlign w:val="center"/>
          </w:tcPr>
          <w:p w14:paraId="716880DC">
            <w:pPr>
              <w:spacing w:line="360" w:lineRule="exact"/>
              <w:rPr>
                <w:rFonts w:hint="eastAsia" w:ascii="宋体" w:hAnsi="宋体" w:eastAsia="宋体" w:cs="宋体"/>
                <w:color w:val="auto"/>
                <w:sz w:val="21"/>
                <w:szCs w:val="21"/>
                <w:highlight w:val="none"/>
              </w:rPr>
            </w:pPr>
            <w:r>
              <w:rPr>
                <w:rFonts w:hint="eastAsia" w:ascii="宋体" w:hAnsi="宋体" w:eastAsia="宋体" w:cs="宋体"/>
                <w:b/>
                <w:bCs/>
                <w:color w:val="auto"/>
                <w:sz w:val="21"/>
                <w:szCs w:val="21"/>
                <w:highlight w:val="none"/>
              </w:rPr>
              <w:t>一、项目要求及技术需求</w:t>
            </w:r>
          </w:p>
        </w:tc>
      </w:tr>
      <w:tr w14:paraId="012841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09" w:type="dxa"/>
            <w:noWrap w:val="0"/>
            <w:vAlign w:val="center"/>
          </w:tcPr>
          <w:p w14:paraId="611F2F5E">
            <w:pPr>
              <w:spacing w:line="360" w:lineRule="exact"/>
              <w:jc w:val="center"/>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标项</w:t>
            </w:r>
          </w:p>
        </w:tc>
        <w:tc>
          <w:tcPr>
            <w:tcW w:w="1189" w:type="dxa"/>
            <w:gridSpan w:val="2"/>
            <w:noWrap w:val="0"/>
            <w:vAlign w:val="center"/>
          </w:tcPr>
          <w:p w14:paraId="0DFA70BF">
            <w:pPr>
              <w:spacing w:line="360" w:lineRule="exact"/>
              <w:jc w:val="center"/>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标的名称</w:t>
            </w:r>
          </w:p>
        </w:tc>
        <w:tc>
          <w:tcPr>
            <w:tcW w:w="705" w:type="dxa"/>
            <w:noWrap w:val="0"/>
            <w:vAlign w:val="center"/>
          </w:tcPr>
          <w:p w14:paraId="38D0DC00">
            <w:pPr>
              <w:spacing w:line="360" w:lineRule="exact"/>
              <w:jc w:val="center"/>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数量</w:t>
            </w:r>
          </w:p>
        </w:tc>
        <w:tc>
          <w:tcPr>
            <w:tcW w:w="6582" w:type="dxa"/>
            <w:noWrap w:val="0"/>
            <w:vAlign w:val="center"/>
          </w:tcPr>
          <w:p w14:paraId="6A9766F4">
            <w:pPr>
              <w:spacing w:line="360" w:lineRule="exact"/>
              <w:jc w:val="center"/>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项目要求及技术需求</w:t>
            </w:r>
          </w:p>
        </w:tc>
      </w:tr>
      <w:tr w14:paraId="0A6F0D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1" w:hRule="atLeast"/>
          <w:jc w:val="center"/>
        </w:trPr>
        <w:tc>
          <w:tcPr>
            <w:tcW w:w="709" w:type="dxa"/>
            <w:noWrap w:val="0"/>
            <w:vAlign w:val="center"/>
          </w:tcPr>
          <w:p w14:paraId="7BB3A9B5">
            <w:pPr>
              <w:spacing w:line="360" w:lineRule="exact"/>
              <w:jc w:val="center"/>
              <w:rPr>
                <w:rFonts w:hint="default" w:ascii="宋体" w:hAnsi="宋体" w:eastAsia="宋体" w:cs="宋体"/>
                <w:color w:val="auto"/>
                <w:sz w:val="21"/>
                <w:szCs w:val="21"/>
                <w:highlight w:val="none"/>
                <w:lang w:val="en-US"/>
              </w:rPr>
            </w:pPr>
            <w:r>
              <w:rPr>
                <w:rFonts w:hint="eastAsia" w:ascii="宋体" w:hAnsi="宋体" w:eastAsia="宋体" w:cs="宋体"/>
                <w:color w:val="auto"/>
                <w:sz w:val="21"/>
                <w:szCs w:val="21"/>
                <w:highlight w:val="none"/>
                <w:lang w:val="en-US" w:eastAsia="zh-CN"/>
              </w:rPr>
              <w:t>JSZC</w:t>
            </w:r>
          </w:p>
        </w:tc>
        <w:tc>
          <w:tcPr>
            <w:tcW w:w="1189" w:type="dxa"/>
            <w:gridSpan w:val="2"/>
            <w:noWrap w:val="0"/>
            <w:vAlign w:val="center"/>
          </w:tcPr>
          <w:p w14:paraId="18C00F2B">
            <w:pPr>
              <w:spacing w:line="360" w:lineRule="exact"/>
              <w:jc w:val="center"/>
              <w:rPr>
                <w:rFonts w:hint="default" w:ascii="宋体" w:hAnsi="宋体" w:eastAsia="宋体" w:cs="宋体"/>
                <w:bCs/>
                <w:color w:val="auto"/>
                <w:sz w:val="21"/>
                <w:szCs w:val="21"/>
                <w:highlight w:val="none"/>
                <w:lang w:val="en-US" w:eastAsia="zh-CN"/>
              </w:rPr>
            </w:pPr>
            <w:r>
              <w:rPr>
                <w:rFonts w:hint="eastAsia" w:ascii="宋体" w:hAnsi="宋体" w:eastAsia="宋体" w:cs="宋体"/>
                <w:i w:val="0"/>
                <w:iCs w:val="0"/>
                <w:color w:val="auto"/>
                <w:kern w:val="0"/>
                <w:sz w:val="21"/>
                <w:szCs w:val="21"/>
                <w:highlight w:val="none"/>
                <w:u w:val="none"/>
                <w:lang w:val="en-US" w:eastAsia="zh-CN" w:bidi="ar"/>
              </w:rPr>
              <w:t>JSZC</w:t>
            </w:r>
            <w:r>
              <w:rPr>
                <w:rFonts w:hint="eastAsia" w:ascii="宋体" w:hAnsi="宋体" w:eastAsia="宋体" w:cs="宋体"/>
                <w:color w:val="auto"/>
                <w:kern w:val="0"/>
                <w:sz w:val="21"/>
                <w:szCs w:val="21"/>
                <w:highlight w:val="none"/>
                <w:lang w:val="en-US" w:eastAsia="zh-CN"/>
              </w:rPr>
              <w:t>：</w:t>
            </w:r>
            <w:r>
              <w:rPr>
                <w:rFonts w:hint="eastAsia" w:ascii="宋体" w:hAnsi="宋体" w:eastAsia="宋体" w:cs="宋体"/>
                <w:i w:val="0"/>
                <w:iCs w:val="0"/>
                <w:color w:val="auto"/>
                <w:kern w:val="0"/>
                <w:sz w:val="21"/>
                <w:szCs w:val="21"/>
                <w:highlight w:val="none"/>
                <w:u w:val="none"/>
                <w:lang w:val="en-US" w:eastAsia="zh-CN" w:bidi="ar"/>
              </w:rPr>
              <w:t>技术支持</w:t>
            </w:r>
          </w:p>
        </w:tc>
        <w:tc>
          <w:tcPr>
            <w:tcW w:w="705" w:type="dxa"/>
            <w:noWrap w:val="0"/>
            <w:vAlign w:val="center"/>
          </w:tcPr>
          <w:p w14:paraId="74D6F572">
            <w:pPr>
              <w:spacing w:line="36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1项</w:t>
            </w:r>
          </w:p>
        </w:tc>
        <w:tc>
          <w:tcPr>
            <w:tcW w:w="6582" w:type="dxa"/>
            <w:noWrap w:val="0"/>
            <w:vAlign w:val="center"/>
          </w:tcPr>
          <w:p w14:paraId="5FFF94F8">
            <w:pPr>
              <w:keepNext w:val="0"/>
              <w:keepLines w:val="0"/>
              <w:pageBreakBefore w:val="0"/>
              <w:widowControl w:val="0"/>
              <w:kinsoku/>
              <w:wordWrap/>
              <w:overflowPunct/>
              <w:topLinePunct w:val="0"/>
              <w:autoSpaceDE/>
              <w:autoSpaceDN/>
              <w:bidi w:val="0"/>
              <w:adjustRightInd/>
              <w:snapToGrid/>
              <w:spacing w:line="360" w:lineRule="exact"/>
              <w:ind w:firstLine="422" w:firstLineChars="200"/>
              <w:textAlignment w:val="auto"/>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一、服务概况：</w:t>
            </w:r>
          </w:p>
          <w:p w14:paraId="49773279">
            <w:pPr>
              <w:keepNext w:val="0"/>
              <w:keepLines w:val="0"/>
              <w:pageBreakBefore w:val="0"/>
              <w:widowControl w:val="0"/>
              <w:kinsoku/>
              <w:wordWrap/>
              <w:overflowPunct/>
              <w:topLinePunct w:val="0"/>
              <w:autoSpaceDE/>
              <w:autoSpaceDN/>
              <w:bidi w:val="0"/>
              <w:adjustRightInd/>
              <w:snapToGrid/>
              <w:spacing w:line="360" w:lineRule="exact"/>
              <w:ind w:firstLine="420" w:firstLineChars="200"/>
              <w:textAlignment w:val="auto"/>
              <w:rPr>
                <w:rFonts w:hint="eastAsia" w:ascii="宋体" w:hAnsi="宋体" w:eastAsia="宋体" w:cs="宋体"/>
                <w:color w:val="auto"/>
                <w:sz w:val="21"/>
                <w:szCs w:val="21"/>
                <w:highlight w:val="none"/>
                <w:lang w:eastAsia="zh-CN"/>
              </w:rPr>
            </w:pPr>
            <w:r>
              <w:rPr>
                <w:rFonts w:hint="eastAsia" w:ascii="宋体" w:eastAsia="宋体" w:cs="宋体"/>
                <w:color w:val="auto"/>
                <w:sz w:val="21"/>
                <w:szCs w:val="21"/>
                <w:highlight w:val="none"/>
                <w:lang w:eastAsia="zh-CN"/>
              </w:rPr>
              <w:t>根据《公路水运工程质量事故报告和调查处理办法》</w:t>
            </w:r>
            <w:r>
              <w:rPr>
                <w:rFonts w:hint="eastAsia" w:ascii="宋体" w:cs="宋体"/>
                <w:color w:val="auto"/>
                <w:sz w:val="21"/>
                <w:szCs w:val="21"/>
                <w:highlight w:val="none"/>
                <w:lang w:eastAsia="zh-CN"/>
              </w:rPr>
              <w:t>（交安监规</w:t>
            </w:r>
            <w:r>
              <w:rPr>
                <w:rFonts w:hint="eastAsia" w:ascii="宋体" w:eastAsia="宋体" w:cs="宋体"/>
                <w:color w:val="auto"/>
                <w:sz w:val="21"/>
                <w:szCs w:val="21"/>
                <w:highlight w:val="none"/>
                <w:lang w:eastAsia="zh-CN"/>
              </w:rPr>
              <w:t>〔20</w:t>
            </w:r>
            <w:r>
              <w:rPr>
                <w:rFonts w:hint="eastAsia" w:ascii="宋体" w:cs="宋体"/>
                <w:color w:val="auto"/>
                <w:sz w:val="21"/>
                <w:szCs w:val="21"/>
                <w:highlight w:val="none"/>
                <w:lang w:val="en-US" w:eastAsia="zh-CN"/>
              </w:rPr>
              <w:t>26</w:t>
            </w:r>
            <w:r>
              <w:rPr>
                <w:rFonts w:hint="eastAsia" w:ascii="宋体" w:eastAsia="宋体" w:cs="宋体"/>
                <w:color w:val="auto"/>
                <w:sz w:val="21"/>
                <w:szCs w:val="21"/>
                <w:highlight w:val="none"/>
                <w:lang w:eastAsia="zh-CN"/>
              </w:rPr>
              <w:t>〕</w:t>
            </w:r>
            <w:r>
              <w:rPr>
                <w:rFonts w:hint="eastAsia" w:ascii="宋体" w:cs="宋体"/>
                <w:color w:val="auto"/>
                <w:sz w:val="21"/>
                <w:szCs w:val="21"/>
                <w:highlight w:val="none"/>
                <w:lang w:eastAsia="zh-CN"/>
              </w:rPr>
              <w:t>2号）、</w:t>
            </w:r>
            <w:r>
              <w:rPr>
                <w:rFonts w:hint="eastAsia" w:ascii="宋体" w:eastAsia="宋体" w:cs="宋体"/>
                <w:color w:val="auto"/>
                <w:sz w:val="21"/>
                <w:szCs w:val="21"/>
                <w:highlight w:val="none"/>
                <w:lang w:eastAsia="zh-CN"/>
              </w:rPr>
              <w:t>交通运输部关于印发公路水运工程平安工地建设管理办法的通知》(交安监发〔20</w:t>
            </w:r>
            <w:r>
              <w:rPr>
                <w:rFonts w:hint="eastAsia" w:ascii="宋体" w:cs="宋体"/>
                <w:color w:val="auto"/>
                <w:sz w:val="21"/>
                <w:szCs w:val="21"/>
                <w:highlight w:val="none"/>
                <w:lang w:val="en-US" w:eastAsia="zh-CN"/>
              </w:rPr>
              <w:t>18</w:t>
            </w:r>
            <w:r>
              <w:rPr>
                <w:rFonts w:hint="eastAsia" w:ascii="宋体" w:eastAsia="宋体" w:cs="宋体"/>
                <w:color w:val="auto"/>
                <w:sz w:val="21"/>
                <w:szCs w:val="21"/>
                <w:highlight w:val="none"/>
                <w:lang w:eastAsia="zh-CN"/>
              </w:rPr>
              <w:t>〕43号)文件要求开展相应工作，推动督查检查发现问题隐患销号清零，实现公路领域安全生产事故起数、死亡人数持续同比 “双下降”，贴合全领域服务范围。</w:t>
            </w:r>
          </w:p>
          <w:p w14:paraId="77F20B49">
            <w:pPr>
              <w:snapToGrid w:val="0"/>
              <w:spacing w:line="360" w:lineRule="auto"/>
              <w:ind w:firstLine="422" w:firstLineChars="200"/>
              <w:rPr>
                <w:rFonts w:hint="default" w:ascii="宋体" w:eastAsia="宋体" w:cs="宋体"/>
                <w:b/>
                <w:bCs/>
                <w:color w:val="auto"/>
                <w:sz w:val="21"/>
                <w:szCs w:val="21"/>
                <w:highlight w:val="none"/>
                <w:lang w:val="en-US" w:eastAsia="zh-CN"/>
              </w:rPr>
            </w:pPr>
            <w:r>
              <w:rPr>
                <w:rFonts w:hint="eastAsia" w:ascii="宋体" w:eastAsia="宋体" w:cs="宋体"/>
                <w:b/>
                <w:bCs/>
                <w:color w:val="auto"/>
                <w:sz w:val="21"/>
                <w:szCs w:val="21"/>
                <w:highlight w:val="none"/>
                <w:lang w:eastAsia="zh-CN"/>
              </w:rPr>
              <w:t>二、服务内容</w:t>
            </w:r>
            <w:r>
              <w:rPr>
                <w:rFonts w:hint="eastAsia" w:ascii="宋体" w:eastAsia="宋体" w:cs="宋体"/>
                <w:b/>
                <w:bCs/>
                <w:color w:val="auto"/>
                <w:sz w:val="21"/>
                <w:szCs w:val="21"/>
                <w:highlight w:val="none"/>
                <w:lang w:val="en-US" w:eastAsia="zh-CN"/>
              </w:rPr>
              <w:t>和要求</w:t>
            </w:r>
          </w:p>
          <w:p w14:paraId="0B597976">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firstLine="420" w:firstLineChars="200"/>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1服务内容</w:t>
            </w:r>
            <w:r>
              <w:rPr>
                <w:rFonts w:hint="eastAsia" w:ascii="宋体" w:hAnsi="宋体" w:eastAsia="宋体" w:cs="宋体"/>
                <w:color w:val="auto"/>
                <w:sz w:val="21"/>
                <w:szCs w:val="21"/>
                <w:highlight w:val="none"/>
                <w:lang w:eastAsia="zh-CN"/>
              </w:rPr>
              <w:t>：根据采购人需求委托第三方技术支持单位为全区交通工程建设领域质量监督、安全生产监督管理工作提供配套专家技术支持与技术咨询服务。组织行业资深专家（专家数量为：300人·日），配合采购人开展全区交通工程质量、安全生产常态化监督检查及专项督查工作，承担专家劳务、交通食宿、税费等全部配套费用；结合全年监督检查工作开展情况、行业质量安全现状，统计分析各类监管数据、共性问题，编制</w:t>
            </w:r>
            <w:r>
              <w:rPr>
                <w:rFonts w:hint="eastAsia" w:ascii="宋体" w:hAnsi="宋体" w:cs="宋体"/>
                <w:color w:val="auto"/>
                <w:sz w:val="21"/>
                <w:szCs w:val="21"/>
                <w:highlight w:val="none"/>
                <w:lang w:eastAsia="zh-CN"/>
              </w:rPr>
              <w:t>《2026年广西交通工程建设领域行业监督检查服务工作总结报告》《2026年交通工程质量监督情况分析与完善建议研究报告》</w:t>
            </w:r>
            <w:r>
              <w:rPr>
                <w:rFonts w:hint="eastAsia" w:ascii="宋体" w:hAnsi="宋体" w:eastAsia="宋体" w:cs="宋体"/>
                <w:color w:val="auto"/>
                <w:sz w:val="21"/>
                <w:szCs w:val="21"/>
                <w:highlight w:val="none"/>
                <w:lang w:eastAsia="zh-CN"/>
              </w:rPr>
              <w:t>，剖析行业监管现存问题，并结合行业新形势提出科学化、优化对策</w:t>
            </w:r>
            <w:r>
              <w:rPr>
                <w:rFonts w:hint="eastAsia" w:ascii="宋体" w:hAnsi="宋体" w:cs="宋体"/>
                <w:color w:val="auto"/>
                <w:sz w:val="21"/>
                <w:szCs w:val="21"/>
                <w:highlight w:val="none"/>
                <w:lang w:eastAsia="zh-CN"/>
              </w:rPr>
              <w:t>。</w:t>
            </w:r>
          </w:p>
          <w:p w14:paraId="530F5A8C">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firstLine="420" w:firstLineChars="200"/>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▲2基本要求</w:t>
            </w:r>
          </w:p>
          <w:p w14:paraId="65349C86">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firstLine="420" w:firstLineChars="200"/>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2.1 本项目组织专家咨询服务按需开展服务，采购人可根据工程监督工作实际需求、重点监督时段、专项督查工作等情况，调整专家服务场次、服务人次、服务地点及服务内容，中标人须无条件积极配合并统筹安排落实，具体服务安排由采购人统筹确定。</w:t>
            </w:r>
          </w:p>
          <w:p w14:paraId="480A910C">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firstLine="420" w:firstLineChars="200"/>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2.2 中标人统筹开展专家咨询服务全过程工作，专家往返交通、食宿、会务、劳务、税费、现场办公及人员调配等所有相关费用全部包含在投标总报价内，采购人不再另行支付任何费用。中标人开展服务前须根据采购人工作部署制定专项专家服务实施方案，报采购人审核通过后方可组织实施。</w:t>
            </w:r>
          </w:p>
          <w:p w14:paraId="1BDC7A8E">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firstLine="420" w:firstLineChars="200"/>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2.3 专家技术咨询服务工作内容严格按照采购人工作部署及监督管理工作需求执行，服务内容、服务范围如需调整，须征得采购人书面同意后方可实施。</w:t>
            </w:r>
          </w:p>
          <w:p w14:paraId="495084AE">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firstLine="420" w:firstLineChars="200"/>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2.4 中标人须严格遵照采购人指定时间、工期安排组织专家到场开展技术咨询、质量核查、业务指导等相关服务，服务全过程如实做好服务台账、现场工作记录、专家意见记录等原始资料留存，随时接受采购人核查调取。</w:t>
            </w:r>
          </w:p>
          <w:p w14:paraId="6ACDA4DE">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firstLine="420" w:firstLineChars="200"/>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2.5 采购人根据工程监督工作实际需要变更专家服务地点、调整服务人次、增减咨询服务事项、开展现场技术核查等工作要求时，中标人须第一时间响应并全力组织落实，优先保障采购人下达的各项监督配套专家服务任务。</w:t>
            </w:r>
          </w:p>
          <w:p w14:paraId="1565DB32">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firstLine="420" w:firstLineChars="200"/>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2.6 中标人组织专家开展现场外勤服务期间，须严格落实安全生产、现场文明作业及环境保护相关要求，严守施工现场管理规定，若因服务开展造成现场设施、场地及相关附属物损坏，一切赔偿及修复责任均由中标人自行承担。</w:t>
            </w:r>
          </w:p>
          <w:p w14:paraId="53A087D7">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firstLine="420" w:firstLineChars="200"/>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2.7 所有专家技术咨询、业务指导等服务工作，均严格依据现行国家、行业现行有效工程建设规范、标准、规程、管理办法等相关文件执行。</w:t>
            </w:r>
          </w:p>
          <w:p w14:paraId="641EB40C">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firstLine="420" w:firstLineChars="200"/>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2.8 服务开展过程中，若发现现行工程建设技术标准、管理要求与国家现行法律法规、行业规范存在冲突、不符合实际监管需求或存在不合理内容的，中标人须第一时间如实向采购人书面汇报，由采购人统一统筹协调处置。</w:t>
            </w:r>
          </w:p>
          <w:p w14:paraId="2C1DAAEE">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firstLine="420" w:firstLineChars="200"/>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2.9 中标人须配齐交通工程相关专业资深技术专家、项目统筹管理人员，人员配置结构、从业经验均需满足公路工程质量监督技术咨询工作实际需求，具备充足专业技术服务能力。</w:t>
            </w:r>
          </w:p>
          <w:p w14:paraId="264C179D">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firstLine="420" w:firstLineChars="200"/>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2.10 采购人因工程质量投诉举报、专项督查、问题核查等工作需要，安排合同约定外的专家技术协助、现场核查、技术研判等服务工作的，中标人须全力配合参与，相关服务费用由甲乙双方友好协商确定，费用支付按照合同变更流程执行，原合同固定总价保持不变。</w:t>
            </w:r>
          </w:p>
          <w:p w14:paraId="1694EA3E">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firstLine="420" w:firstLineChars="200"/>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2.11 采购人可根据监督工作需要组织开展隐蔽核查、技术复核等相关工作，委托专家开展匿名技术研判、质量评估等工作，中标人及委派专家不得推诿拒绝，严格按照采购人要求完成相关工作并如实出具专业意见。</w:t>
            </w:r>
          </w:p>
          <w:p w14:paraId="36B8F5B5">
            <w:pPr>
              <w:rPr>
                <w:color w:val="auto"/>
                <w:sz w:val="21"/>
                <w:szCs w:val="21"/>
                <w:highlight w:val="none"/>
              </w:rPr>
            </w:pPr>
          </w:p>
          <w:p w14:paraId="54E4BFCB">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firstLine="420" w:firstLineChars="200"/>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3</w:t>
            </w:r>
            <w:r>
              <w:rPr>
                <w:rFonts w:hint="eastAsia" w:ascii="宋体" w:hAnsi="宋体" w:eastAsia="宋体" w:cs="宋体"/>
                <w:color w:val="auto"/>
                <w:sz w:val="21"/>
                <w:szCs w:val="21"/>
                <w:highlight w:val="none"/>
                <w:lang w:eastAsia="zh-CN"/>
              </w:rPr>
              <w:t xml:space="preserve"> 项目实施人员要求：中标人为本项目投入服务团队，其中项目负责人应具有</w:t>
            </w:r>
            <w:r>
              <w:rPr>
                <w:rFonts w:hint="eastAsia" w:ascii="宋体" w:hAnsi="宋体" w:eastAsia="宋体" w:cs="宋体"/>
                <w:color w:val="auto"/>
                <w:sz w:val="21"/>
                <w:szCs w:val="21"/>
                <w:highlight w:val="none"/>
                <w:lang w:val="en-US" w:eastAsia="zh-CN"/>
              </w:rPr>
              <w:t>工程类</w:t>
            </w:r>
            <w:r>
              <w:rPr>
                <w:rFonts w:hint="eastAsia" w:ascii="宋体" w:hAnsi="宋体" w:eastAsia="宋体" w:cs="宋体"/>
                <w:color w:val="auto"/>
                <w:sz w:val="21"/>
                <w:szCs w:val="21"/>
                <w:highlight w:val="none"/>
                <w:lang w:eastAsia="zh-CN"/>
              </w:rPr>
              <w:t>高级职称，投标文件中提供职称相关佐证材料，项目组人员配备合理、专业分工明确。</w:t>
            </w:r>
          </w:p>
          <w:p w14:paraId="5F0F3436">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firstLine="420" w:firstLineChars="200"/>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4</w:t>
            </w:r>
            <w:r>
              <w:rPr>
                <w:rFonts w:hint="eastAsia" w:ascii="宋体" w:hAnsi="宋体" w:eastAsia="宋体" w:cs="宋体"/>
                <w:color w:val="auto"/>
                <w:sz w:val="21"/>
                <w:szCs w:val="21"/>
                <w:highlight w:val="none"/>
                <w:lang w:eastAsia="zh-CN"/>
              </w:rPr>
              <w:t xml:space="preserve"> 服务管理要求：所有专家提供的技术意见、咨询服务成果均须严格依照现行</w:t>
            </w:r>
            <w:r>
              <w:rPr>
                <w:rFonts w:hint="eastAsia" w:ascii="宋体" w:hAnsi="宋体" w:cs="宋体"/>
                <w:color w:val="auto"/>
                <w:sz w:val="21"/>
                <w:szCs w:val="21"/>
                <w:highlight w:val="none"/>
                <w:lang w:eastAsia="zh-CN"/>
              </w:rPr>
              <w:t>交通</w:t>
            </w:r>
            <w:r>
              <w:rPr>
                <w:rFonts w:hint="eastAsia" w:ascii="宋体" w:hAnsi="宋体" w:eastAsia="宋体" w:cs="宋体"/>
                <w:i w:val="0"/>
                <w:iCs w:val="0"/>
                <w:color w:val="auto"/>
                <w:kern w:val="0"/>
                <w:sz w:val="21"/>
                <w:szCs w:val="21"/>
                <w:highlight w:val="none"/>
                <w:u w:val="none"/>
                <w:lang w:val="en-US" w:eastAsia="zh-CN" w:bidi="ar"/>
              </w:rPr>
              <w:t>工程建设领域</w:t>
            </w:r>
            <w:r>
              <w:rPr>
                <w:rFonts w:hint="eastAsia" w:ascii="宋体" w:hAnsi="宋体" w:eastAsia="宋体" w:cs="宋体"/>
                <w:color w:val="auto"/>
                <w:sz w:val="21"/>
                <w:szCs w:val="21"/>
                <w:highlight w:val="none"/>
                <w:lang w:eastAsia="zh-CN"/>
              </w:rPr>
              <w:t>行业规范、技术标准执行，服务期间中标人及委派专家须严守工作保密纪律，严禁擅自向第三方泄露工程监督资料、现场核查情况及相关技术研判内容。中标人须保证专家服务意见真实客观、专业严谨，同步提交相关服务分析资料。若中标人存在串通出具虚假意见、不实研判结论、隐瞒真实情况等弄虚作假行为的，视为严重违约，若中标人存在提供虚假数据或结果的，视为违约，除按合同没收履约保证金外，将中标人和相关检测人员的失信行为报告相关信用评价部门。</w:t>
            </w:r>
          </w:p>
          <w:p w14:paraId="584E41BF">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firstLine="422" w:firstLineChars="200"/>
              <w:textAlignment w:val="auto"/>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eastAsia="zh-CN"/>
              </w:rPr>
              <w:t>▲</w:t>
            </w:r>
            <w:r>
              <w:rPr>
                <w:rFonts w:hint="eastAsia" w:ascii="宋体" w:hAnsi="宋体" w:eastAsia="宋体" w:cs="宋体"/>
                <w:b/>
                <w:bCs/>
                <w:color w:val="auto"/>
                <w:sz w:val="21"/>
                <w:szCs w:val="21"/>
                <w:highlight w:val="none"/>
                <w:lang w:val="en-US" w:eastAsia="zh-CN"/>
              </w:rPr>
              <w:t>5 成果要求：</w:t>
            </w:r>
            <w:r>
              <w:rPr>
                <w:rFonts w:hint="eastAsia" w:ascii="宋体" w:hAnsi="宋体" w:cs="宋体"/>
                <w:b/>
                <w:bCs/>
                <w:color w:val="auto"/>
                <w:sz w:val="21"/>
                <w:szCs w:val="21"/>
                <w:highlight w:val="none"/>
                <w:lang w:val="en-US" w:eastAsia="zh-CN"/>
              </w:rPr>
              <w:t>《2026年广西交通工程建设领域行业监督检查服务工作总结报告》《2026年交通工程质量监督情况分析与完善建议研究报告》</w:t>
            </w:r>
            <w:r>
              <w:rPr>
                <w:rFonts w:hint="eastAsia" w:ascii="宋体" w:hAnsi="宋体" w:eastAsia="宋体" w:cs="宋体"/>
                <w:b/>
                <w:bCs/>
                <w:color w:val="auto"/>
                <w:sz w:val="21"/>
                <w:szCs w:val="21"/>
                <w:highlight w:val="none"/>
                <w:lang w:val="en-US" w:eastAsia="zh-CN"/>
              </w:rPr>
              <w:t>纸质版5份，并提交电子版报告。</w:t>
            </w:r>
          </w:p>
        </w:tc>
      </w:tr>
      <w:tr w14:paraId="5DAAA8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185" w:type="dxa"/>
            <w:gridSpan w:val="5"/>
            <w:noWrap w:val="0"/>
            <w:vAlign w:val="center"/>
          </w:tcPr>
          <w:p w14:paraId="0596242B">
            <w:pPr>
              <w:spacing w:line="360" w:lineRule="exact"/>
              <w:rPr>
                <w:rFonts w:hint="eastAsia" w:ascii="宋体" w:hAnsi="宋体" w:eastAsia="宋体" w:cs="宋体"/>
                <w:color w:val="auto"/>
                <w:sz w:val="21"/>
                <w:szCs w:val="21"/>
                <w:highlight w:val="none"/>
              </w:rPr>
            </w:pPr>
            <w:r>
              <w:rPr>
                <w:rFonts w:hint="eastAsia" w:ascii="宋体" w:hAnsi="宋体" w:eastAsia="宋体" w:cs="宋体"/>
                <w:b/>
                <w:bCs/>
                <w:color w:val="auto"/>
                <w:sz w:val="21"/>
                <w:szCs w:val="21"/>
                <w:highlight w:val="none"/>
              </w:rPr>
              <w:t>二、商务要求表</w:t>
            </w:r>
          </w:p>
        </w:tc>
      </w:tr>
      <w:tr w14:paraId="524FE6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45" w:type="dxa"/>
            <w:gridSpan w:val="2"/>
            <w:noWrap w:val="0"/>
            <w:vAlign w:val="center"/>
          </w:tcPr>
          <w:p w14:paraId="2D5A3001">
            <w:pPr>
              <w:spacing w:line="36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r>
              <w:rPr>
                <w:rFonts w:hint="eastAsia" w:ascii="宋体" w:hAnsi="宋体" w:eastAsia="宋体" w:cs="宋体"/>
                <w:b w:val="0"/>
                <w:bCs w:val="0"/>
                <w:color w:val="auto"/>
                <w:sz w:val="21"/>
                <w:szCs w:val="21"/>
                <w:highlight w:val="none"/>
              </w:rPr>
              <w:t>投标报价要求</w:t>
            </w:r>
          </w:p>
        </w:tc>
        <w:tc>
          <w:tcPr>
            <w:tcW w:w="7740" w:type="dxa"/>
            <w:gridSpan w:val="3"/>
            <w:noWrap w:val="0"/>
            <w:vAlign w:val="center"/>
          </w:tcPr>
          <w:p w14:paraId="6266A699">
            <w:pPr>
              <w:spacing w:line="36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本次报价是履行合同的最终价格，应包括但不限于项目所有服务内容、资料收集、专家劳务、项目所需投入的人员、技术、交通、差旅、验收等费用、包含各项保险费用和各项税金，所有配套支出均统一包含在总报价内</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合同期内技术服务的数量为</w:t>
            </w:r>
            <w:r>
              <w:rPr>
                <w:rFonts w:hint="eastAsia" w:ascii="宋体" w:hAnsi="宋体" w:eastAsia="宋体" w:cs="宋体"/>
                <w:color w:val="auto"/>
                <w:sz w:val="21"/>
                <w:szCs w:val="21"/>
                <w:highlight w:val="none"/>
                <w:lang w:eastAsia="zh-CN"/>
              </w:rPr>
              <w:t>300人·日</w:t>
            </w:r>
            <w:r>
              <w:rPr>
                <w:rFonts w:hint="eastAsia" w:ascii="宋体" w:hAnsi="宋体" w:eastAsia="宋体" w:cs="宋体"/>
                <w:color w:val="auto"/>
                <w:sz w:val="21"/>
                <w:szCs w:val="21"/>
                <w:highlight w:val="none"/>
                <w:lang w:val="en-US" w:eastAsia="zh-CN"/>
              </w:rPr>
              <w:t>，同时根据合同要求递交技术支持报告</w:t>
            </w:r>
            <w:r>
              <w:rPr>
                <w:rFonts w:hint="eastAsia" w:ascii="宋体" w:hAnsi="宋体" w:eastAsia="宋体" w:cs="宋体"/>
                <w:color w:val="auto"/>
                <w:sz w:val="21"/>
                <w:szCs w:val="21"/>
                <w:highlight w:val="none"/>
              </w:rPr>
              <w:t>。</w:t>
            </w:r>
          </w:p>
        </w:tc>
      </w:tr>
      <w:tr w14:paraId="0773D0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45" w:type="dxa"/>
            <w:gridSpan w:val="2"/>
            <w:noWrap w:val="0"/>
            <w:vAlign w:val="center"/>
          </w:tcPr>
          <w:p w14:paraId="11339CC9">
            <w:pPr>
              <w:spacing w:line="36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r>
              <w:rPr>
                <w:rFonts w:hint="eastAsia" w:ascii="宋体" w:hAnsi="宋体" w:eastAsia="宋体" w:cs="宋体"/>
                <w:b w:val="0"/>
                <w:bCs w:val="0"/>
                <w:color w:val="auto"/>
                <w:spacing w:val="3"/>
                <w:sz w:val="21"/>
                <w:szCs w:val="21"/>
                <w:highlight w:val="none"/>
              </w:rPr>
              <w:t>合同签订日期</w:t>
            </w:r>
          </w:p>
        </w:tc>
        <w:tc>
          <w:tcPr>
            <w:tcW w:w="7740" w:type="dxa"/>
            <w:gridSpan w:val="3"/>
            <w:noWrap w:val="0"/>
            <w:vAlign w:val="center"/>
          </w:tcPr>
          <w:p w14:paraId="10E9AC4B">
            <w:pPr>
              <w:spacing w:line="360" w:lineRule="exact"/>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中标通知书发出后25日内</w:t>
            </w:r>
            <w:r>
              <w:rPr>
                <w:rFonts w:hint="eastAsia" w:ascii="宋体" w:hAnsi="宋体" w:eastAsia="宋体" w:cs="宋体"/>
                <w:color w:val="auto"/>
                <w:sz w:val="21"/>
                <w:szCs w:val="21"/>
                <w:highlight w:val="none"/>
                <w:lang w:eastAsia="zh-CN"/>
              </w:rPr>
              <w:t>。</w:t>
            </w:r>
          </w:p>
        </w:tc>
      </w:tr>
      <w:tr w14:paraId="0E45DC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45" w:type="dxa"/>
            <w:gridSpan w:val="2"/>
            <w:noWrap w:val="0"/>
            <w:vAlign w:val="center"/>
          </w:tcPr>
          <w:p w14:paraId="32648689">
            <w:pPr>
              <w:spacing w:line="360" w:lineRule="exact"/>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w:t>
            </w:r>
            <w:r>
              <w:rPr>
                <w:rFonts w:hint="eastAsia" w:ascii="宋体" w:hAnsi="宋体" w:eastAsia="宋体" w:cs="宋体"/>
                <w:b w:val="0"/>
                <w:bCs w:val="0"/>
                <w:color w:val="auto"/>
                <w:spacing w:val="8"/>
                <w:sz w:val="21"/>
                <w:szCs w:val="21"/>
                <w:highlight w:val="none"/>
                <w:lang w:eastAsia="zh-CN"/>
              </w:rPr>
              <w:t>合同履行期限</w:t>
            </w:r>
          </w:p>
        </w:tc>
        <w:tc>
          <w:tcPr>
            <w:tcW w:w="7740" w:type="dxa"/>
            <w:gridSpan w:val="3"/>
            <w:noWrap w:val="0"/>
            <w:vAlign w:val="center"/>
          </w:tcPr>
          <w:p w14:paraId="0D28C9BA">
            <w:pPr>
              <w:spacing w:line="360" w:lineRule="exact"/>
              <w:jc w:val="left"/>
              <w:rPr>
                <w:rFonts w:hint="default" w:ascii="宋体" w:hAnsi="宋体" w:eastAsia="宋体" w:cs="宋体"/>
                <w:color w:val="auto"/>
                <w:sz w:val="21"/>
                <w:szCs w:val="21"/>
                <w:highlight w:val="none"/>
                <w:lang w:val="en-US"/>
              </w:rPr>
            </w:pPr>
            <w:r>
              <w:rPr>
                <w:rFonts w:hint="default" w:ascii="宋体" w:hAnsi="宋体" w:eastAsia="宋体" w:cs="宋体"/>
                <w:color w:val="auto"/>
                <w:sz w:val="21"/>
                <w:szCs w:val="21"/>
                <w:highlight w:val="none"/>
                <w:lang w:val="en-US" w:eastAsia="zh-CN"/>
              </w:rPr>
              <w:t>服务期为合同签订日后12个月以内，技术支持中标人需在采购人提出需求后</w:t>
            </w:r>
            <w:r>
              <w:rPr>
                <w:rFonts w:hint="eastAsia" w:ascii="宋体" w:hAnsi="宋体" w:cs="宋体"/>
                <w:color w:val="auto"/>
                <w:sz w:val="21"/>
                <w:szCs w:val="21"/>
                <w:highlight w:val="none"/>
                <w:lang w:val="en-US" w:eastAsia="zh-CN"/>
              </w:rPr>
              <w:t>3</w:t>
            </w:r>
            <w:r>
              <w:rPr>
                <w:rFonts w:hint="default" w:ascii="宋体" w:hAnsi="宋体" w:eastAsia="宋体" w:cs="宋体"/>
                <w:color w:val="auto"/>
                <w:sz w:val="21"/>
                <w:szCs w:val="21"/>
                <w:highlight w:val="none"/>
                <w:lang w:val="en-US" w:eastAsia="zh-CN"/>
              </w:rPr>
              <w:t>日内安排相应专家提供技术支持服务。</w:t>
            </w:r>
          </w:p>
        </w:tc>
      </w:tr>
      <w:tr w14:paraId="559155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45" w:type="dxa"/>
            <w:gridSpan w:val="2"/>
            <w:noWrap w:val="0"/>
            <w:vAlign w:val="center"/>
          </w:tcPr>
          <w:p w14:paraId="0AB4B62D">
            <w:pPr>
              <w:spacing w:line="36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r>
              <w:rPr>
                <w:rFonts w:hint="eastAsia" w:ascii="宋体" w:hAnsi="宋体" w:eastAsia="宋体" w:cs="宋体"/>
                <w:b w:val="0"/>
                <w:bCs w:val="0"/>
                <w:color w:val="auto"/>
                <w:spacing w:val="6"/>
                <w:sz w:val="21"/>
                <w:szCs w:val="21"/>
                <w:highlight w:val="none"/>
              </w:rPr>
              <w:t>服务地点</w:t>
            </w:r>
          </w:p>
        </w:tc>
        <w:tc>
          <w:tcPr>
            <w:tcW w:w="7740" w:type="dxa"/>
            <w:gridSpan w:val="3"/>
            <w:noWrap w:val="0"/>
            <w:vAlign w:val="center"/>
          </w:tcPr>
          <w:p w14:paraId="59E55A83">
            <w:pPr>
              <w:spacing w:line="360" w:lineRule="exact"/>
              <w:jc w:val="left"/>
              <w:rPr>
                <w:rFonts w:hint="eastAsia" w:ascii="宋体" w:hAnsi="宋体" w:eastAsia="宋体" w:cs="宋体"/>
                <w:color w:val="auto"/>
                <w:sz w:val="21"/>
                <w:szCs w:val="21"/>
                <w:highlight w:val="none"/>
                <w:lang w:eastAsia="zh-CN"/>
              </w:rPr>
            </w:pPr>
            <w:r>
              <w:rPr>
                <w:rFonts w:hint="eastAsia" w:ascii="宋体" w:hAnsi="宋体" w:eastAsia="宋体" w:cs="宋体"/>
                <w:color w:val="auto"/>
                <w:spacing w:val="6"/>
                <w:sz w:val="21"/>
                <w:szCs w:val="21"/>
                <w:highlight w:val="none"/>
              </w:rPr>
              <w:t>广西区内采购人指定地点</w:t>
            </w:r>
            <w:r>
              <w:rPr>
                <w:rFonts w:hint="eastAsia" w:ascii="宋体" w:hAnsi="宋体" w:eastAsia="宋体" w:cs="宋体"/>
                <w:color w:val="auto"/>
                <w:spacing w:val="6"/>
                <w:sz w:val="21"/>
                <w:szCs w:val="21"/>
                <w:highlight w:val="none"/>
                <w:lang w:eastAsia="zh-CN"/>
              </w:rPr>
              <w:t>。</w:t>
            </w:r>
          </w:p>
        </w:tc>
      </w:tr>
      <w:tr w14:paraId="49B411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45" w:type="dxa"/>
            <w:gridSpan w:val="2"/>
            <w:noWrap w:val="0"/>
            <w:vAlign w:val="center"/>
          </w:tcPr>
          <w:p w14:paraId="63C67922">
            <w:pPr>
              <w:spacing w:line="36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r>
              <w:rPr>
                <w:rFonts w:hint="eastAsia" w:ascii="宋体" w:hAnsi="宋体" w:eastAsia="宋体" w:cs="宋体"/>
                <w:b w:val="0"/>
                <w:bCs w:val="0"/>
                <w:color w:val="auto"/>
                <w:spacing w:val="4"/>
                <w:sz w:val="21"/>
                <w:szCs w:val="21"/>
                <w:highlight w:val="none"/>
              </w:rPr>
              <w:t>付款方式、时间及条件</w:t>
            </w:r>
          </w:p>
        </w:tc>
        <w:tc>
          <w:tcPr>
            <w:tcW w:w="7740" w:type="dxa"/>
            <w:gridSpan w:val="3"/>
            <w:noWrap w:val="0"/>
            <w:vAlign w:val="center"/>
          </w:tcPr>
          <w:p w14:paraId="2BDA03F0">
            <w:pPr>
              <w:spacing w:line="360" w:lineRule="exact"/>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中标人须严格按照采购人的检测计划开展检测工作，采购人结合实际完成工作量分阶段支付款项，具体安排如下：</w:t>
            </w:r>
          </w:p>
          <w:p w14:paraId="24E20503">
            <w:pPr>
              <w:spacing w:line="360" w:lineRule="exact"/>
              <w:jc w:val="left"/>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1.</w:t>
            </w:r>
            <w:r>
              <w:rPr>
                <w:rFonts w:hint="eastAsia" w:ascii="宋体" w:hAnsi="宋体" w:eastAsia="宋体" w:cs="宋体"/>
                <w:color w:val="auto"/>
                <w:sz w:val="21"/>
                <w:szCs w:val="21"/>
                <w:highlight w:val="none"/>
              </w:rPr>
              <w:t>预付款：合同签订生效之日起 20 个工作日内，支付合同总金额的 25%；</w:t>
            </w:r>
          </w:p>
          <w:p w14:paraId="4B3A3F3D">
            <w:pPr>
              <w:spacing w:line="360" w:lineRule="exact"/>
              <w:jc w:val="left"/>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2.</w:t>
            </w:r>
            <w:r>
              <w:rPr>
                <w:rFonts w:hint="eastAsia" w:ascii="宋体" w:hAnsi="宋体" w:eastAsia="宋体" w:cs="宋体"/>
                <w:color w:val="auto"/>
                <w:sz w:val="21"/>
                <w:szCs w:val="21"/>
                <w:highlight w:val="none"/>
              </w:rPr>
              <w:t>第一期进度款：2026 年 9 月</w:t>
            </w:r>
            <w:r>
              <w:rPr>
                <w:rFonts w:hint="eastAsia" w:ascii="宋体" w:hAnsi="宋体" w:cs="宋体"/>
                <w:color w:val="auto"/>
                <w:sz w:val="21"/>
                <w:szCs w:val="21"/>
                <w:highlight w:val="none"/>
                <w:lang w:val="en-US" w:eastAsia="zh-CN"/>
              </w:rPr>
              <w:t>底前</w:t>
            </w:r>
            <w:r>
              <w:rPr>
                <w:rFonts w:hint="eastAsia" w:ascii="宋体" w:hAnsi="宋体" w:eastAsia="宋体" w:cs="宋体"/>
                <w:color w:val="auto"/>
                <w:sz w:val="21"/>
                <w:szCs w:val="21"/>
                <w:highlight w:val="none"/>
              </w:rPr>
              <w:t>，</w:t>
            </w:r>
            <w:r>
              <w:rPr>
                <w:rFonts w:hint="eastAsia" w:ascii="宋体" w:hAnsi="宋体" w:cs="宋体"/>
                <w:color w:val="auto"/>
                <w:sz w:val="21"/>
                <w:szCs w:val="21"/>
                <w:highlight w:val="none"/>
                <w:lang w:val="en-US" w:eastAsia="zh-CN"/>
              </w:rPr>
              <w:t>由中标人提供进度款支付申请后，采购人审核无误，</w:t>
            </w:r>
            <w:r>
              <w:rPr>
                <w:rFonts w:hint="eastAsia" w:ascii="宋体" w:hAnsi="宋体" w:eastAsia="宋体" w:cs="宋体"/>
                <w:color w:val="auto"/>
                <w:sz w:val="21"/>
                <w:szCs w:val="21"/>
                <w:highlight w:val="none"/>
              </w:rPr>
              <w:t>支付合同总金额的 10%；</w:t>
            </w:r>
          </w:p>
          <w:p w14:paraId="168832F7">
            <w:pPr>
              <w:spacing w:line="360" w:lineRule="exact"/>
              <w:jc w:val="left"/>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3.</w:t>
            </w:r>
            <w:r>
              <w:rPr>
                <w:rFonts w:hint="eastAsia" w:ascii="宋体" w:hAnsi="宋体" w:eastAsia="宋体" w:cs="宋体"/>
                <w:color w:val="auto"/>
                <w:sz w:val="21"/>
                <w:szCs w:val="21"/>
                <w:highlight w:val="none"/>
              </w:rPr>
              <w:t>第二期进度款：2027 年 3 月</w:t>
            </w:r>
            <w:r>
              <w:rPr>
                <w:rFonts w:hint="eastAsia" w:ascii="宋体" w:hAnsi="宋体" w:cs="宋体"/>
                <w:color w:val="auto"/>
                <w:sz w:val="21"/>
                <w:szCs w:val="21"/>
                <w:highlight w:val="none"/>
                <w:lang w:val="en-US" w:eastAsia="zh-CN"/>
              </w:rPr>
              <w:t>底前</w:t>
            </w:r>
            <w:r>
              <w:rPr>
                <w:rFonts w:hint="eastAsia" w:ascii="宋体" w:hAnsi="宋体" w:eastAsia="宋体" w:cs="宋体"/>
                <w:color w:val="auto"/>
                <w:sz w:val="21"/>
                <w:szCs w:val="21"/>
                <w:highlight w:val="none"/>
              </w:rPr>
              <w:t>，</w:t>
            </w:r>
            <w:r>
              <w:rPr>
                <w:rFonts w:hint="eastAsia" w:ascii="宋体" w:hAnsi="宋体" w:cs="宋体"/>
                <w:color w:val="auto"/>
                <w:sz w:val="21"/>
                <w:szCs w:val="21"/>
                <w:highlight w:val="none"/>
                <w:lang w:val="en-US" w:eastAsia="zh-CN"/>
              </w:rPr>
              <w:t>由中标人提供进度款支付申请后，采购人审核无误，</w:t>
            </w:r>
            <w:r>
              <w:rPr>
                <w:rFonts w:hint="eastAsia" w:ascii="宋体" w:hAnsi="宋体" w:eastAsia="宋体" w:cs="宋体"/>
                <w:color w:val="auto"/>
                <w:sz w:val="21"/>
                <w:szCs w:val="21"/>
                <w:highlight w:val="none"/>
              </w:rPr>
              <w:t>支付合同总金额的 30%；</w:t>
            </w:r>
          </w:p>
          <w:p w14:paraId="6C955781">
            <w:pPr>
              <w:spacing w:line="360" w:lineRule="exact"/>
              <w:jc w:val="left"/>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4.尾款：项目履约期满，中标人提交完整验收资料，采购人审核无误后，支付合同剩余款项（合同总金额的 35%）</w:t>
            </w:r>
            <w:r>
              <w:rPr>
                <w:rFonts w:hint="eastAsia" w:ascii="宋体" w:hAnsi="宋体" w:eastAsia="宋体" w:cs="宋体"/>
                <w:color w:val="auto"/>
                <w:sz w:val="21"/>
                <w:szCs w:val="21"/>
                <w:highlight w:val="none"/>
              </w:rPr>
              <w:t>。</w:t>
            </w:r>
          </w:p>
          <w:p w14:paraId="1777B5E7">
            <w:pPr>
              <w:spacing w:line="360" w:lineRule="exact"/>
              <w:jc w:val="left"/>
              <w:rPr>
                <w:rFonts w:hint="default"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5.</w:t>
            </w:r>
            <w:r>
              <w:rPr>
                <w:rFonts w:hint="eastAsia" w:ascii="宋体" w:hAnsi="宋体" w:eastAsia="宋体" w:cs="宋体"/>
                <w:color w:val="auto"/>
                <w:sz w:val="21"/>
                <w:szCs w:val="21"/>
                <w:highlight w:val="none"/>
              </w:rPr>
              <w:t>所有款项支付前，中标人需提交等额增值税发票，未按要求提供发票的，采购人可暂缓支付，不承担逾期付款责任。</w:t>
            </w:r>
          </w:p>
        </w:tc>
      </w:tr>
      <w:tr w14:paraId="6D695C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45" w:type="dxa"/>
            <w:gridSpan w:val="2"/>
            <w:shd w:val="clear" w:color="auto" w:fill="auto"/>
            <w:noWrap w:val="0"/>
            <w:vAlign w:val="center"/>
          </w:tcPr>
          <w:p w14:paraId="48F8D8A5">
            <w:pPr>
              <w:spacing w:line="360" w:lineRule="exact"/>
              <w:jc w:val="center"/>
              <w:rPr>
                <w:rFonts w:hint="eastAsia" w:ascii="宋体" w:hAnsi="宋体" w:eastAsia="宋体" w:cs="宋体"/>
                <w:b w:val="0"/>
                <w:bCs w:val="0"/>
                <w:color w:val="auto"/>
                <w:kern w:val="2"/>
                <w:sz w:val="21"/>
                <w:szCs w:val="21"/>
                <w:highlight w:val="none"/>
                <w:lang w:val="en-US" w:eastAsia="zh-CN" w:bidi="ar-SA"/>
              </w:rPr>
            </w:pPr>
            <w:r>
              <w:rPr>
                <w:rFonts w:hint="eastAsia" w:ascii="宋体" w:hAnsi="宋体" w:eastAsia="宋体" w:cs="宋体"/>
                <w:color w:val="auto"/>
                <w:sz w:val="21"/>
                <w:szCs w:val="21"/>
                <w:highlight w:val="none"/>
              </w:rPr>
              <w:t>▲</w:t>
            </w:r>
            <w:r>
              <w:rPr>
                <w:rFonts w:hint="eastAsia" w:ascii="宋体" w:hAnsi="宋体" w:eastAsia="宋体" w:cs="宋体"/>
                <w:b w:val="0"/>
                <w:bCs w:val="0"/>
                <w:color w:val="auto"/>
                <w:spacing w:val="2"/>
                <w:sz w:val="21"/>
                <w:szCs w:val="21"/>
                <w:highlight w:val="none"/>
              </w:rPr>
              <w:t>履约保证金</w:t>
            </w:r>
          </w:p>
        </w:tc>
        <w:tc>
          <w:tcPr>
            <w:tcW w:w="7740" w:type="dxa"/>
            <w:gridSpan w:val="3"/>
            <w:shd w:val="clear" w:color="auto" w:fill="auto"/>
            <w:noWrap w:val="0"/>
            <w:vAlign w:val="center"/>
          </w:tcPr>
          <w:p w14:paraId="2FB392A4">
            <w:pPr>
              <w:spacing w:line="360" w:lineRule="exact"/>
              <w:jc w:val="left"/>
              <w:rPr>
                <w:rStyle w:val="53"/>
                <w:rFonts w:hint="eastAsia" w:ascii="宋体" w:hAnsi="宋体" w:eastAsia="宋体" w:cs="宋体"/>
                <w:color w:val="auto"/>
                <w:sz w:val="21"/>
                <w:szCs w:val="21"/>
                <w:highlight w:val="none"/>
              </w:rPr>
            </w:pPr>
            <w:r>
              <w:rPr>
                <w:rStyle w:val="53"/>
                <w:rFonts w:hint="eastAsia" w:ascii="宋体" w:hAnsi="宋体" w:eastAsia="宋体" w:cs="宋体"/>
                <w:color w:val="auto"/>
                <w:sz w:val="21"/>
                <w:szCs w:val="21"/>
                <w:highlight w:val="none"/>
              </w:rPr>
              <w:t>履约保证金的金额</w:t>
            </w:r>
            <w:r>
              <w:rPr>
                <w:rStyle w:val="53"/>
                <w:rFonts w:hint="eastAsia" w:ascii="宋体" w:hAnsi="宋体" w:eastAsia="宋体" w:cs="宋体"/>
                <w:color w:val="auto"/>
                <w:sz w:val="21"/>
                <w:szCs w:val="21"/>
                <w:highlight w:val="none"/>
                <w:lang w:eastAsia="zh-CN"/>
              </w:rPr>
              <w:t>：</w:t>
            </w:r>
            <w:r>
              <w:rPr>
                <w:rStyle w:val="53"/>
                <w:rFonts w:hint="eastAsia" w:ascii="宋体" w:hAnsi="宋体" w:eastAsia="宋体" w:cs="宋体"/>
                <w:color w:val="auto"/>
                <w:sz w:val="21"/>
                <w:szCs w:val="21"/>
                <w:highlight w:val="none"/>
              </w:rPr>
              <w:t>合同金额5%（如果中标人为中小企业的，收取的履约保证金为合同金额的2%）；</w:t>
            </w:r>
          </w:p>
          <w:p w14:paraId="54EA7DC1">
            <w:pPr>
              <w:spacing w:line="360" w:lineRule="exact"/>
              <w:jc w:val="left"/>
              <w:rPr>
                <w:rStyle w:val="53"/>
                <w:rFonts w:hint="eastAsia" w:ascii="宋体" w:hAnsi="宋体" w:eastAsia="宋体" w:cs="宋体"/>
                <w:color w:val="auto"/>
                <w:sz w:val="21"/>
                <w:szCs w:val="21"/>
                <w:highlight w:val="none"/>
              </w:rPr>
            </w:pPr>
            <w:r>
              <w:rPr>
                <w:rStyle w:val="53"/>
                <w:rFonts w:hint="eastAsia" w:ascii="宋体" w:hAnsi="宋体" w:eastAsia="宋体" w:cs="宋体"/>
                <w:color w:val="auto"/>
                <w:sz w:val="21"/>
                <w:szCs w:val="21"/>
                <w:highlight w:val="none"/>
              </w:rPr>
              <w:t>履约保证金的形式</w:t>
            </w:r>
            <w:r>
              <w:rPr>
                <w:rStyle w:val="53"/>
                <w:rFonts w:hint="eastAsia" w:ascii="宋体" w:hAnsi="宋体" w:eastAsia="宋体" w:cs="宋体"/>
                <w:color w:val="auto"/>
                <w:sz w:val="21"/>
                <w:szCs w:val="21"/>
                <w:highlight w:val="none"/>
                <w:lang w:eastAsia="zh-CN"/>
              </w:rPr>
              <w:t>：</w:t>
            </w:r>
            <w:r>
              <w:rPr>
                <w:rStyle w:val="53"/>
                <w:rFonts w:hint="eastAsia" w:ascii="宋体" w:hAnsi="宋体" w:eastAsia="宋体" w:cs="宋体"/>
                <w:color w:val="auto"/>
                <w:sz w:val="21"/>
                <w:szCs w:val="21"/>
                <w:highlight w:val="none"/>
              </w:rPr>
              <w:t>中标人可以选择电汇、转账、支票、汇票、本票、保险、保函等形式缴纳或提交。</w:t>
            </w:r>
          </w:p>
          <w:p w14:paraId="215C6399">
            <w:pPr>
              <w:spacing w:line="360" w:lineRule="exact"/>
              <w:jc w:val="left"/>
              <w:rPr>
                <w:rStyle w:val="53"/>
                <w:rFonts w:hint="eastAsia" w:ascii="宋体" w:hAnsi="宋体" w:eastAsia="宋体" w:cs="宋体"/>
                <w:color w:val="auto"/>
                <w:sz w:val="21"/>
                <w:szCs w:val="21"/>
                <w:highlight w:val="none"/>
                <w:lang w:eastAsia="zh-CN"/>
              </w:rPr>
            </w:pPr>
            <w:r>
              <w:rPr>
                <w:rStyle w:val="53"/>
                <w:rFonts w:hint="eastAsia" w:ascii="宋体" w:hAnsi="宋体" w:eastAsia="宋体" w:cs="宋体"/>
                <w:color w:val="auto"/>
                <w:sz w:val="21"/>
                <w:szCs w:val="21"/>
                <w:highlight w:val="none"/>
              </w:rPr>
              <w:t>保证金缴纳的账号信息</w:t>
            </w:r>
            <w:r>
              <w:rPr>
                <w:rStyle w:val="53"/>
                <w:rFonts w:hint="eastAsia" w:ascii="宋体" w:hAnsi="宋体" w:eastAsia="宋体" w:cs="宋体"/>
                <w:color w:val="auto"/>
                <w:sz w:val="21"/>
                <w:szCs w:val="21"/>
                <w:highlight w:val="none"/>
                <w:lang w:eastAsia="zh-CN"/>
              </w:rPr>
              <w:t>：</w:t>
            </w:r>
          </w:p>
          <w:p w14:paraId="75DC4557">
            <w:pPr>
              <w:spacing w:line="360" w:lineRule="exact"/>
              <w:jc w:val="left"/>
              <w:rPr>
                <w:rStyle w:val="53"/>
                <w:rFonts w:hint="eastAsia" w:ascii="宋体" w:hAnsi="宋体" w:eastAsia="宋体" w:cs="宋体"/>
                <w:color w:val="auto"/>
                <w:sz w:val="21"/>
                <w:szCs w:val="21"/>
                <w:highlight w:val="none"/>
              </w:rPr>
            </w:pPr>
            <w:r>
              <w:rPr>
                <w:rStyle w:val="53"/>
                <w:rFonts w:hint="eastAsia" w:ascii="宋体" w:hAnsi="宋体" w:eastAsia="宋体" w:cs="宋体"/>
                <w:color w:val="auto"/>
                <w:sz w:val="21"/>
                <w:szCs w:val="21"/>
                <w:highlight w:val="none"/>
              </w:rPr>
              <w:t>户名</w:t>
            </w:r>
            <w:r>
              <w:rPr>
                <w:rStyle w:val="53"/>
                <w:rFonts w:hint="eastAsia" w:ascii="宋体" w:hAnsi="宋体" w:eastAsia="宋体" w:cs="宋体"/>
                <w:color w:val="auto"/>
                <w:sz w:val="21"/>
                <w:szCs w:val="21"/>
                <w:highlight w:val="none"/>
                <w:lang w:eastAsia="zh-CN"/>
              </w:rPr>
              <w:t>：</w:t>
            </w:r>
            <w:r>
              <w:rPr>
                <w:rStyle w:val="53"/>
                <w:rFonts w:hint="eastAsia" w:ascii="宋体" w:hAnsi="宋体" w:eastAsia="宋体" w:cs="宋体"/>
                <w:color w:val="auto"/>
                <w:sz w:val="21"/>
                <w:szCs w:val="21"/>
                <w:highlight w:val="none"/>
              </w:rPr>
              <w:t>广西壮族自治区交通运输综合行政执法局</w:t>
            </w:r>
          </w:p>
          <w:p w14:paraId="2955C6D2">
            <w:pPr>
              <w:spacing w:line="360" w:lineRule="exact"/>
              <w:jc w:val="left"/>
              <w:rPr>
                <w:rStyle w:val="53"/>
                <w:rFonts w:hint="eastAsia" w:ascii="宋体" w:hAnsi="宋体" w:eastAsia="宋体" w:cs="宋体"/>
                <w:color w:val="auto"/>
                <w:sz w:val="21"/>
                <w:szCs w:val="21"/>
                <w:highlight w:val="none"/>
              </w:rPr>
            </w:pPr>
            <w:r>
              <w:rPr>
                <w:rStyle w:val="53"/>
                <w:rFonts w:hint="eastAsia" w:ascii="宋体" w:hAnsi="宋体" w:eastAsia="宋体" w:cs="宋体"/>
                <w:color w:val="auto"/>
                <w:sz w:val="21"/>
                <w:szCs w:val="21"/>
                <w:highlight w:val="none"/>
              </w:rPr>
              <w:t>账号</w:t>
            </w:r>
            <w:r>
              <w:rPr>
                <w:rStyle w:val="53"/>
                <w:rFonts w:hint="eastAsia" w:ascii="宋体" w:hAnsi="宋体" w:eastAsia="宋体" w:cs="宋体"/>
                <w:color w:val="auto"/>
                <w:sz w:val="21"/>
                <w:szCs w:val="21"/>
                <w:highlight w:val="none"/>
                <w:lang w:eastAsia="zh-CN"/>
              </w:rPr>
              <w:t>：</w:t>
            </w:r>
            <w:r>
              <w:rPr>
                <w:rStyle w:val="53"/>
                <w:rFonts w:hint="eastAsia" w:ascii="宋体" w:hAnsi="宋体" w:eastAsia="宋体" w:cs="宋体"/>
                <w:color w:val="auto"/>
                <w:sz w:val="21"/>
                <w:szCs w:val="21"/>
                <w:highlight w:val="none"/>
              </w:rPr>
              <w:t>451060309013000948504</w:t>
            </w:r>
          </w:p>
          <w:p w14:paraId="49D5D864">
            <w:pPr>
              <w:spacing w:line="360" w:lineRule="exact"/>
              <w:jc w:val="left"/>
              <w:rPr>
                <w:rStyle w:val="53"/>
                <w:rFonts w:hint="eastAsia" w:ascii="宋体" w:hAnsi="宋体" w:eastAsia="宋体" w:cs="宋体"/>
                <w:color w:val="auto"/>
                <w:sz w:val="21"/>
                <w:szCs w:val="21"/>
                <w:highlight w:val="none"/>
              </w:rPr>
            </w:pPr>
            <w:r>
              <w:rPr>
                <w:rStyle w:val="53"/>
                <w:rFonts w:hint="eastAsia" w:ascii="宋体" w:hAnsi="宋体" w:eastAsia="宋体" w:cs="宋体"/>
                <w:color w:val="auto"/>
                <w:sz w:val="21"/>
                <w:szCs w:val="21"/>
                <w:highlight w:val="none"/>
              </w:rPr>
              <w:t>开户行</w:t>
            </w:r>
            <w:r>
              <w:rPr>
                <w:rStyle w:val="53"/>
                <w:rFonts w:hint="eastAsia" w:ascii="宋体" w:hAnsi="宋体" w:eastAsia="宋体" w:cs="宋体"/>
                <w:color w:val="auto"/>
                <w:sz w:val="21"/>
                <w:szCs w:val="21"/>
                <w:highlight w:val="none"/>
                <w:lang w:eastAsia="zh-CN"/>
              </w:rPr>
              <w:t>：</w:t>
            </w:r>
            <w:r>
              <w:rPr>
                <w:rStyle w:val="53"/>
                <w:rFonts w:hint="eastAsia" w:ascii="宋体" w:hAnsi="宋体" w:eastAsia="宋体" w:cs="宋体"/>
                <w:color w:val="auto"/>
                <w:sz w:val="21"/>
                <w:szCs w:val="21"/>
                <w:highlight w:val="none"/>
              </w:rPr>
              <w:t>交通银行南宁金源支行</w:t>
            </w:r>
          </w:p>
          <w:p w14:paraId="49A063BD">
            <w:pPr>
              <w:spacing w:line="360" w:lineRule="exact"/>
              <w:jc w:val="left"/>
              <w:rPr>
                <w:rStyle w:val="53"/>
                <w:rFonts w:hint="eastAsia" w:ascii="宋体" w:hAnsi="宋体" w:eastAsia="宋体" w:cs="宋体"/>
                <w:color w:val="auto"/>
                <w:sz w:val="21"/>
                <w:szCs w:val="21"/>
                <w:highlight w:val="none"/>
              </w:rPr>
            </w:pPr>
            <w:r>
              <w:rPr>
                <w:rStyle w:val="53"/>
                <w:rFonts w:hint="eastAsia" w:ascii="宋体" w:hAnsi="宋体" w:eastAsia="宋体" w:cs="宋体"/>
                <w:color w:val="auto"/>
                <w:sz w:val="21"/>
                <w:szCs w:val="21"/>
                <w:highlight w:val="none"/>
              </w:rPr>
              <w:t>行号</w:t>
            </w:r>
            <w:r>
              <w:rPr>
                <w:rStyle w:val="53"/>
                <w:rFonts w:hint="eastAsia" w:ascii="宋体" w:hAnsi="宋体" w:eastAsia="宋体" w:cs="宋体"/>
                <w:color w:val="auto"/>
                <w:sz w:val="21"/>
                <w:szCs w:val="21"/>
                <w:highlight w:val="none"/>
                <w:lang w:eastAsia="zh-CN"/>
              </w:rPr>
              <w:t>：</w:t>
            </w:r>
            <w:r>
              <w:rPr>
                <w:rStyle w:val="53"/>
                <w:rFonts w:hint="eastAsia" w:ascii="宋体" w:hAnsi="宋体" w:eastAsia="宋体" w:cs="宋体"/>
                <w:color w:val="auto"/>
                <w:sz w:val="21"/>
                <w:szCs w:val="21"/>
                <w:highlight w:val="none"/>
              </w:rPr>
              <w:t>301611000373</w:t>
            </w:r>
          </w:p>
          <w:p w14:paraId="6206EBC8">
            <w:pPr>
              <w:spacing w:line="360" w:lineRule="exact"/>
              <w:jc w:val="left"/>
              <w:rPr>
                <w:rFonts w:hint="eastAsia" w:ascii="宋体" w:hAnsi="宋体" w:eastAsia="宋体" w:cs="宋体"/>
                <w:color w:val="auto"/>
                <w:kern w:val="2"/>
                <w:sz w:val="21"/>
                <w:szCs w:val="21"/>
                <w:highlight w:val="none"/>
                <w:lang w:val="en-US" w:eastAsia="zh-CN" w:bidi="ar-SA"/>
              </w:rPr>
            </w:pPr>
            <w:r>
              <w:rPr>
                <w:rStyle w:val="53"/>
                <w:rFonts w:hint="eastAsia" w:ascii="宋体" w:hAnsi="宋体" w:eastAsia="宋体" w:cs="宋体"/>
                <w:color w:val="auto"/>
                <w:sz w:val="21"/>
                <w:szCs w:val="21"/>
                <w:highlight w:val="none"/>
              </w:rPr>
              <w:t>备注</w:t>
            </w:r>
            <w:r>
              <w:rPr>
                <w:rStyle w:val="53"/>
                <w:rFonts w:hint="eastAsia" w:ascii="宋体" w:hAnsi="宋体" w:eastAsia="宋体" w:cs="宋体"/>
                <w:color w:val="auto"/>
                <w:sz w:val="21"/>
                <w:szCs w:val="21"/>
                <w:highlight w:val="none"/>
                <w:lang w:eastAsia="zh-CN"/>
              </w:rPr>
              <w:t>：</w:t>
            </w:r>
            <w:r>
              <w:rPr>
                <w:rStyle w:val="53"/>
                <w:rFonts w:hint="eastAsia" w:ascii="宋体" w:hAnsi="宋体" w:eastAsia="宋体" w:cs="宋体"/>
                <w:color w:val="auto"/>
                <w:sz w:val="21"/>
                <w:szCs w:val="21"/>
                <w:highlight w:val="none"/>
              </w:rPr>
              <w:t>中标人在签订合同之前，足额提交履约保证金。未提交履约保证金的，不予签订合同。履约保证金自项目验收合格后，待中标人履行完质保义务后无息退还。</w:t>
            </w:r>
          </w:p>
        </w:tc>
      </w:tr>
      <w:tr w14:paraId="5239BF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45" w:type="dxa"/>
            <w:gridSpan w:val="2"/>
            <w:noWrap w:val="0"/>
            <w:vAlign w:val="center"/>
          </w:tcPr>
          <w:p w14:paraId="251AEBD9">
            <w:pPr>
              <w:spacing w:line="36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r>
              <w:rPr>
                <w:rFonts w:hint="eastAsia" w:ascii="宋体" w:hAnsi="宋体" w:eastAsia="宋体" w:cs="宋体"/>
                <w:b w:val="0"/>
                <w:bCs w:val="0"/>
                <w:color w:val="auto"/>
                <w:spacing w:val="3"/>
                <w:sz w:val="21"/>
                <w:szCs w:val="21"/>
                <w:highlight w:val="none"/>
              </w:rPr>
              <w:t>服务要求</w:t>
            </w:r>
          </w:p>
        </w:tc>
        <w:tc>
          <w:tcPr>
            <w:tcW w:w="7740" w:type="dxa"/>
            <w:gridSpan w:val="3"/>
            <w:noWrap w:val="0"/>
            <w:vAlign w:val="center"/>
          </w:tcPr>
          <w:p w14:paraId="6C80D1FB">
            <w:pPr>
              <w:spacing w:line="360" w:lineRule="exact"/>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接到采购人</w:t>
            </w:r>
            <w:r>
              <w:rPr>
                <w:rFonts w:hint="eastAsia" w:ascii="宋体" w:hAnsi="宋体" w:eastAsia="宋体" w:cs="宋体"/>
                <w:color w:val="auto"/>
                <w:sz w:val="21"/>
                <w:szCs w:val="21"/>
                <w:highlight w:val="none"/>
                <w:lang w:eastAsia="zh-CN"/>
              </w:rPr>
              <w:t>技术支持需求</w:t>
            </w:r>
            <w:r>
              <w:rPr>
                <w:rFonts w:hint="eastAsia" w:ascii="宋体" w:hAnsi="宋体" w:eastAsia="宋体" w:cs="宋体"/>
                <w:color w:val="auto"/>
                <w:sz w:val="21"/>
                <w:szCs w:val="21"/>
                <w:highlight w:val="none"/>
              </w:rPr>
              <w:t>、现场技术咨询</w:t>
            </w:r>
            <w:r>
              <w:rPr>
                <w:rFonts w:hint="eastAsia" w:ascii="宋体" w:hAnsi="宋体" w:eastAsia="宋体" w:cs="宋体"/>
                <w:color w:val="auto"/>
                <w:sz w:val="21"/>
                <w:szCs w:val="21"/>
                <w:highlight w:val="none"/>
                <w:lang w:val="en-US" w:eastAsia="zh-CN"/>
              </w:rPr>
              <w:t>等</w:t>
            </w:r>
            <w:r>
              <w:rPr>
                <w:rFonts w:hint="eastAsia" w:ascii="宋体" w:hAnsi="宋体" w:eastAsia="宋体" w:cs="宋体"/>
                <w:color w:val="auto"/>
                <w:sz w:val="21"/>
                <w:szCs w:val="21"/>
                <w:highlight w:val="none"/>
              </w:rPr>
              <w:t>要求后6小时内响应，</w:t>
            </w:r>
            <w:r>
              <w:rPr>
                <w:rFonts w:hint="eastAsia" w:ascii="宋体" w:hAnsi="宋体" w:eastAsia="宋体" w:cs="宋体"/>
                <w:color w:val="auto"/>
                <w:sz w:val="21"/>
                <w:szCs w:val="21"/>
                <w:highlight w:val="none"/>
                <w:lang w:val="en-US" w:eastAsia="zh-CN"/>
              </w:rPr>
              <w:t>24</w:t>
            </w:r>
            <w:r>
              <w:rPr>
                <w:rFonts w:hint="eastAsia" w:ascii="宋体" w:hAnsi="宋体" w:eastAsia="宋体" w:cs="宋体"/>
                <w:color w:val="auto"/>
                <w:sz w:val="21"/>
                <w:szCs w:val="21"/>
                <w:highlight w:val="none"/>
              </w:rPr>
              <w:t>小时内调配专家抵达服务现场；出现2次及以上不能够及时响应、不能按时派员到场服务情况，将视为不能满足工作要求，采购人有权追究违约责任，一切后果由中标人自行承担。</w:t>
            </w:r>
          </w:p>
        </w:tc>
      </w:tr>
      <w:tr w14:paraId="6860EF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45" w:type="dxa"/>
            <w:gridSpan w:val="2"/>
            <w:noWrap w:val="0"/>
            <w:vAlign w:val="center"/>
          </w:tcPr>
          <w:p w14:paraId="19A43E1E">
            <w:pPr>
              <w:spacing w:line="36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r>
              <w:rPr>
                <w:rFonts w:hint="eastAsia" w:ascii="宋体" w:hAnsi="宋体" w:eastAsia="宋体" w:cs="宋体"/>
                <w:b w:val="0"/>
                <w:bCs w:val="0"/>
                <w:color w:val="auto"/>
                <w:spacing w:val="9"/>
                <w:sz w:val="21"/>
                <w:szCs w:val="21"/>
                <w:highlight w:val="none"/>
              </w:rPr>
              <w:t>知识产权</w:t>
            </w:r>
          </w:p>
        </w:tc>
        <w:tc>
          <w:tcPr>
            <w:tcW w:w="7740" w:type="dxa"/>
            <w:gridSpan w:val="3"/>
            <w:noWrap w:val="0"/>
            <w:vAlign w:val="center"/>
          </w:tcPr>
          <w:p w14:paraId="4D16456E">
            <w:pPr>
              <w:spacing w:line="360" w:lineRule="exact"/>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采购人在中华人民共和国境内使用中标人提供的产品及服务时免受第三方提出的侵犯其专利权或其它知识产权的起诉。如果第三方提出侵权指控，中标人应承担由此而引起的一切法律责任和费用。</w:t>
            </w:r>
          </w:p>
        </w:tc>
      </w:tr>
      <w:tr w14:paraId="00DA0E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45" w:type="dxa"/>
            <w:gridSpan w:val="2"/>
            <w:noWrap w:val="0"/>
            <w:vAlign w:val="center"/>
          </w:tcPr>
          <w:p w14:paraId="754EAA02">
            <w:pPr>
              <w:spacing w:line="36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r>
              <w:rPr>
                <w:rFonts w:hint="eastAsia" w:ascii="宋体" w:hAnsi="宋体" w:eastAsia="宋体" w:cs="宋体"/>
                <w:b w:val="0"/>
                <w:bCs w:val="0"/>
                <w:color w:val="auto"/>
                <w:spacing w:val="3"/>
                <w:sz w:val="21"/>
                <w:szCs w:val="21"/>
                <w:highlight w:val="none"/>
              </w:rPr>
              <w:t>验收标准及要求</w:t>
            </w:r>
          </w:p>
        </w:tc>
        <w:tc>
          <w:tcPr>
            <w:tcW w:w="7740" w:type="dxa"/>
            <w:gridSpan w:val="3"/>
            <w:noWrap w:val="0"/>
            <w:vAlign w:val="center"/>
          </w:tcPr>
          <w:p w14:paraId="59383773">
            <w:pPr>
              <w:spacing w:line="40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1.</w:t>
            </w:r>
            <w:r>
              <w:rPr>
                <w:rFonts w:hint="eastAsia" w:ascii="宋体" w:hAnsi="宋体" w:eastAsia="宋体" w:cs="宋体"/>
                <w:color w:val="auto"/>
                <w:sz w:val="21"/>
                <w:szCs w:val="21"/>
                <w:highlight w:val="none"/>
                <w:lang w:eastAsia="zh-CN"/>
              </w:rPr>
              <w:t>中标人</w:t>
            </w:r>
            <w:r>
              <w:rPr>
                <w:rFonts w:hint="eastAsia" w:ascii="宋体" w:hAnsi="宋体" w:eastAsia="宋体" w:cs="宋体"/>
                <w:color w:val="auto"/>
                <w:sz w:val="21"/>
                <w:szCs w:val="21"/>
                <w:highlight w:val="none"/>
              </w:rPr>
              <w:t>在</w:t>
            </w:r>
            <w:r>
              <w:rPr>
                <w:rFonts w:hint="eastAsia" w:ascii="宋体" w:hAnsi="宋体" w:eastAsia="宋体" w:cs="宋体"/>
                <w:color w:val="auto"/>
                <w:sz w:val="21"/>
                <w:szCs w:val="21"/>
                <w:highlight w:val="none"/>
                <w:lang w:eastAsia="zh-CN"/>
              </w:rPr>
              <w:t>项目</w:t>
            </w:r>
            <w:r>
              <w:rPr>
                <w:rFonts w:hint="eastAsia" w:ascii="宋体" w:hAnsi="宋体" w:eastAsia="宋体" w:cs="宋体"/>
                <w:color w:val="auto"/>
                <w:sz w:val="21"/>
                <w:szCs w:val="21"/>
                <w:highlight w:val="none"/>
              </w:rPr>
              <w:t>验收时由采购人对</w:t>
            </w:r>
            <w:r>
              <w:rPr>
                <w:rFonts w:hint="eastAsia" w:ascii="宋体" w:hAnsi="宋体" w:eastAsia="宋体" w:cs="宋体"/>
                <w:color w:val="auto"/>
                <w:sz w:val="21"/>
                <w:szCs w:val="21"/>
                <w:highlight w:val="none"/>
                <w:lang w:eastAsia="zh-CN"/>
              </w:rPr>
              <w:t>招标文件</w:t>
            </w:r>
            <w:r>
              <w:rPr>
                <w:rFonts w:hint="eastAsia" w:ascii="宋体" w:hAnsi="宋体" w:eastAsia="宋体" w:cs="宋体"/>
                <w:color w:val="auto"/>
                <w:sz w:val="21"/>
                <w:szCs w:val="21"/>
                <w:highlight w:val="none"/>
              </w:rPr>
              <w:t>的服务需求</w:t>
            </w:r>
            <w:r>
              <w:rPr>
                <w:rFonts w:hint="eastAsia" w:ascii="宋体" w:hAnsi="宋体" w:eastAsia="宋体" w:cs="宋体"/>
                <w:color w:val="auto"/>
                <w:sz w:val="21"/>
                <w:szCs w:val="21"/>
                <w:highlight w:val="none"/>
                <w:lang w:val="en-US" w:eastAsia="zh-CN"/>
              </w:rPr>
              <w:t>及要求</w:t>
            </w:r>
            <w:r>
              <w:rPr>
                <w:rFonts w:hint="eastAsia" w:ascii="宋体" w:hAnsi="宋体" w:eastAsia="宋体" w:cs="宋体"/>
                <w:color w:val="auto"/>
                <w:sz w:val="21"/>
                <w:szCs w:val="21"/>
                <w:highlight w:val="none"/>
              </w:rPr>
              <w:t>全面核对检验，对所有要求出具的证明文件的原件进行核查，如不符合</w:t>
            </w:r>
            <w:r>
              <w:rPr>
                <w:rFonts w:hint="eastAsia" w:ascii="宋体" w:hAnsi="宋体" w:eastAsia="宋体" w:cs="宋体"/>
                <w:color w:val="auto"/>
                <w:sz w:val="21"/>
                <w:szCs w:val="21"/>
                <w:highlight w:val="none"/>
                <w:lang w:eastAsia="zh-CN"/>
              </w:rPr>
              <w:t>招标文件</w:t>
            </w:r>
            <w:r>
              <w:rPr>
                <w:rFonts w:hint="eastAsia" w:ascii="宋体" w:hAnsi="宋体" w:eastAsia="宋体" w:cs="宋体"/>
                <w:color w:val="auto"/>
                <w:sz w:val="21"/>
                <w:szCs w:val="21"/>
                <w:highlight w:val="none"/>
              </w:rPr>
              <w:t>的服务需求</w:t>
            </w:r>
            <w:r>
              <w:rPr>
                <w:rFonts w:hint="eastAsia" w:ascii="宋体" w:hAnsi="宋体" w:eastAsia="宋体" w:cs="宋体"/>
                <w:color w:val="auto"/>
                <w:sz w:val="21"/>
                <w:szCs w:val="21"/>
                <w:highlight w:val="none"/>
                <w:lang w:val="en-US" w:eastAsia="zh-CN"/>
              </w:rPr>
              <w:t>及要求或</w:t>
            </w:r>
            <w:r>
              <w:rPr>
                <w:rFonts w:hint="eastAsia" w:ascii="宋体" w:hAnsi="宋体" w:eastAsia="宋体" w:cs="宋体"/>
                <w:color w:val="auto"/>
                <w:sz w:val="21"/>
                <w:szCs w:val="21"/>
                <w:highlight w:val="none"/>
              </w:rPr>
              <w:t>提供虚假承诺的，按相关规定做不予接受</w:t>
            </w:r>
            <w:r>
              <w:rPr>
                <w:rFonts w:hint="eastAsia" w:ascii="宋体" w:hAnsi="宋体" w:eastAsia="宋体" w:cs="宋体"/>
                <w:color w:val="auto"/>
                <w:sz w:val="21"/>
                <w:szCs w:val="21"/>
                <w:highlight w:val="none"/>
                <w:lang w:val="en-US" w:eastAsia="zh-CN"/>
              </w:rPr>
              <w:t>成果</w:t>
            </w:r>
            <w:r>
              <w:rPr>
                <w:rFonts w:hint="eastAsia" w:ascii="宋体" w:hAnsi="宋体" w:eastAsia="宋体" w:cs="宋体"/>
                <w:color w:val="auto"/>
                <w:sz w:val="21"/>
                <w:szCs w:val="21"/>
                <w:highlight w:val="none"/>
              </w:rPr>
              <w:t>处理及违约处理，</w:t>
            </w:r>
            <w:r>
              <w:rPr>
                <w:rFonts w:hint="eastAsia" w:ascii="宋体" w:hAnsi="宋体" w:eastAsia="宋体" w:cs="宋体"/>
                <w:color w:val="auto"/>
                <w:sz w:val="21"/>
                <w:szCs w:val="21"/>
                <w:highlight w:val="none"/>
                <w:lang w:eastAsia="zh-CN"/>
              </w:rPr>
              <w:t>中标人</w:t>
            </w:r>
            <w:r>
              <w:rPr>
                <w:rFonts w:hint="eastAsia" w:ascii="宋体" w:hAnsi="宋体" w:eastAsia="宋体" w:cs="宋体"/>
                <w:color w:val="auto"/>
                <w:sz w:val="21"/>
                <w:szCs w:val="21"/>
                <w:highlight w:val="none"/>
              </w:rPr>
              <w:t>承担所有责任和费用，采购人保留进一步追究责任的权利。</w:t>
            </w:r>
          </w:p>
          <w:p w14:paraId="38CF9C70">
            <w:pPr>
              <w:spacing w:line="40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w:t>
            </w:r>
            <w:r>
              <w:rPr>
                <w:rFonts w:hint="eastAsia"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rPr>
              <w:t>由采购人组织验收，验收不通过的事项，供应商须在采购人指定的时限内完成。遇特殊情况的，可由双方依据客观事实商议完成时限。</w:t>
            </w:r>
          </w:p>
          <w:p w14:paraId="56465EBE">
            <w:pPr>
              <w:spacing w:line="40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w:t>
            </w:r>
            <w:r>
              <w:rPr>
                <w:rFonts w:hint="eastAsia" w:ascii="宋体" w:hAnsi="宋体" w:eastAsia="宋体" w:cs="宋体"/>
                <w:color w:val="auto"/>
                <w:sz w:val="21"/>
                <w:szCs w:val="21"/>
                <w:highlight w:val="none"/>
                <w:lang w:val="en-US" w:eastAsia="zh-CN"/>
              </w:rPr>
              <w:t>.中标人</w:t>
            </w:r>
            <w:r>
              <w:rPr>
                <w:rFonts w:hint="eastAsia" w:ascii="宋体" w:hAnsi="宋体" w:eastAsia="宋体" w:cs="宋体"/>
                <w:color w:val="auto"/>
                <w:sz w:val="21"/>
                <w:szCs w:val="21"/>
                <w:highlight w:val="none"/>
              </w:rPr>
              <w:t>提交成果经采购人审核确认，项目有其他要求的按其要求。</w:t>
            </w:r>
          </w:p>
          <w:p w14:paraId="1BB01F40">
            <w:pPr>
              <w:spacing w:line="360" w:lineRule="exact"/>
              <w:jc w:val="left"/>
              <w:rPr>
                <w:rFonts w:hint="eastAsia" w:ascii="宋体" w:hAnsi="宋体" w:eastAsia="宋体" w:cs="宋体"/>
                <w:bCs/>
                <w:color w:val="auto"/>
                <w:sz w:val="21"/>
                <w:szCs w:val="21"/>
                <w:highlight w:val="none"/>
              </w:rPr>
            </w:pPr>
            <w:r>
              <w:rPr>
                <w:rFonts w:hint="eastAsia" w:ascii="宋体" w:hAnsi="宋体" w:eastAsia="宋体" w:cs="宋体"/>
                <w:color w:val="auto"/>
                <w:sz w:val="21"/>
                <w:szCs w:val="21"/>
                <w:highlight w:val="none"/>
              </w:rPr>
              <w:t>4</w:t>
            </w:r>
            <w:r>
              <w:rPr>
                <w:rFonts w:hint="eastAsia"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rPr>
              <w:t>其他验收要求按本项目采购合同执行，未尽事宜参照《关于印发广西壮族自治区政府采购项目履约验收管理办法的通知》[桂财采〔2015〕22号]以及《财政部关于进一步加强政府采购需求和履约验收管理的指导意见》[财库〔2016〕205号]规定执行。</w:t>
            </w:r>
          </w:p>
        </w:tc>
      </w:tr>
      <w:tr w14:paraId="041252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45" w:type="dxa"/>
            <w:gridSpan w:val="2"/>
            <w:noWrap w:val="0"/>
            <w:vAlign w:val="center"/>
          </w:tcPr>
          <w:p w14:paraId="005DA73F">
            <w:pPr>
              <w:spacing w:line="360" w:lineRule="exact"/>
              <w:jc w:val="center"/>
              <w:rPr>
                <w:rFonts w:hint="eastAsia" w:ascii="宋体" w:hAnsi="宋体" w:eastAsia="宋体" w:cs="宋体"/>
                <w:color w:val="auto"/>
                <w:sz w:val="21"/>
                <w:szCs w:val="21"/>
                <w:highlight w:val="none"/>
              </w:rPr>
            </w:pPr>
            <w:r>
              <w:rPr>
                <w:rFonts w:hint="eastAsia" w:ascii="宋体" w:hAnsi="宋体" w:eastAsia="宋体" w:cs="宋体"/>
                <w:b w:val="0"/>
                <w:bCs w:val="0"/>
                <w:color w:val="auto"/>
                <w:spacing w:val="3"/>
                <w:sz w:val="21"/>
                <w:szCs w:val="21"/>
                <w:highlight w:val="none"/>
              </w:rPr>
              <w:t>其他要求</w:t>
            </w:r>
          </w:p>
        </w:tc>
        <w:tc>
          <w:tcPr>
            <w:tcW w:w="7740" w:type="dxa"/>
            <w:gridSpan w:val="3"/>
            <w:noWrap w:val="0"/>
            <w:vAlign w:val="center"/>
          </w:tcPr>
          <w:p w14:paraId="0F6545A7">
            <w:pPr>
              <w:spacing w:line="360" w:lineRule="exact"/>
              <w:jc w:val="left"/>
              <w:rPr>
                <w:rStyle w:val="53"/>
                <w:rFonts w:hint="eastAsia" w:ascii="宋体" w:hAnsi="宋体" w:eastAsia="宋体" w:cs="宋体"/>
                <w:color w:val="auto"/>
                <w:sz w:val="21"/>
                <w:szCs w:val="21"/>
                <w:highlight w:val="none"/>
                <w:lang w:val="en-US" w:eastAsia="zh-CN"/>
              </w:rPr>
            </w:pPr>
            <w:r>
              <w:rPr>
                <w:rStyle w:val="53"/>
                <w:rFonts w:hint="eastAsia" w:ascii="宋体" w:hAnsi="宋体" w:eastAsia="宋体" w:cs="宋体"/>
                <w:color w:val="auto"/>
                <w:sz w:val="21"/>
                <w:szCs w:val="21"/>
                <w:highlight w:val="none"/>
                <w:lang w:val="en-US" w:eastAsia="zh-CN"/>
              </w:rPr>
              <w:t>1. 对质检投诉、举报、对事故分析调查需要核查研判的情形等未列明的实际可能涉及的工作以实际工作内容为准。</w:t>
            </w:r>
          </w:p>
          <w:p w14:paraId="14F2ACBD">
            <w:pPr>
              <w:spacing w:line="360" w:lineRule="exact"/>
              <w:jc w:val="left"/>
              <w:rPr>
                <w:rStyle w:val="53"/>
                <w:rFonts w:hint="eastAsia" w:ascii="宋体" w:hAnsi="宋体" w:eastAsia="宋体" w:cs="宋体"/>
                <w:color w:val="auto"/>
                <w:sz w:val="21"/>
                <w:szCs w:val="21"/>
                <w:highlight w:val="none"/>
                <w:lang w:val="en-US" w:eastAsia="zh-CN"/>
              </w:rPr>
            </w:pPr>
            <w:r>
              <w:rPr>
                <w:rStyle w:val="53"/>
                <w:rFonts w:hint="eastAsia" w:ascii="宋体" w:hAnsi="宋体" w:eastAsia="宋体" w:cs="宋体"/>
                <w:color w:val="auto"/>
                <w:sz w:val="21"/>
                <w:szCs w:val="21"/>
                <w:highlight w:val="none"/>
                <w:lang w:val="en-US" w:eastAsia="zh-CN"/>
              </w:rPr>
              <w:t>2. 其他未尽事宜由采购人和中标人在采购合同中详细约定。</w:t>
            </w:r>
          </w:p>
          <w:p w14:paraId="64CDD48D">
            <w:pPr>
              <w:spacing w:line="360" w:lineRule="exact"/>
              <w:jc w:val="left"/>
              <w:rPr>
                <w:rStyle w:val="53"/>
                <w:rFonts w:hint="eastAsia" w:ascii="宋体" w:hAnsi="宋体" w:eastAsia="宋体" w:cs="宋体"/>
                <w:color w:val="auto"/>
                <w:sz w:val="21"/>
                <w:szCs w:val="21"/>
                <w:highlight w:val="none"/>
                <w:lang w:val="en-US" w:eastAsia="zh-CN"/>
              </w:rPr>
            </w:pPr>
            <w:r>
              <w:rPr>
                <w:rStyle w:val="53"/>
                <w:rFonts w:hint="eastAsia" w:ascii="宋体" w:hAnsi="宋体" w:eastAsia="宋体" w:cs="宋体"/>
                <w:color w:val="auto"/>
                <w:sz w:val="21"/>
                <w:szCs w:val="21"/>
                <w:highlight w:val="none"/>
                <w:lang w:val="en-US" w:eastAsia="zh-CN"/>
              </w:rPr>
              <w:t>3. 中标人必须自行为其服务内容侵犯其他主体专利成果承担相应法律责任；同时，具有相关专利的投标人应在其投标文件中提供与其自有产品专利相关的有效证明材料，否则，不能就其服务专利在本项目采购过程中被侵权问题提出异议。</w:t>
            </w:r>
          </w:p>
          <w:p w14:paraId="5488A1DE">
            <w:pPr>
              <w:spacing w:line="360" w:lineRule="exact"/>
              <w:jc w:val="left"/>
              <w:rPr>
                <w:rFonts w:hint="eastAsia" w:ascii="宋体" w:hAnsi="宋体" w:eastAsia="宋体" w:cs="宋体"/>
                <w:bCs/>
                <w:color w:val="auto"/>
                <w:sz w:val="21"/>
                <w:szCs w:val="21"/>
                <w:highlight w:val="none"/>
              </w:rPr>
            </w:pPr>
            <w:r>
              <w:rPr>
                <w:rStyle w:val="53"/>
                <w:rFonts w:hint="eastAsia" w:ascii="宋体" w:hAnsi="宋体" w:eastAsia="宋体" w:cs="宋体"/>
                <w:color w:val="auto"/>
                <w:sz w:val="21"/>
                <w:szCs w:val="21"/>
                <w:highlight w:val="none"/>
                <w:lang w:val="en-US" w:eastAsia="zh-CN"/>
              </w:rPr>
              <w:t>4. 正式开展现场专家服务前，采购人组织中标人召开工作部署会议，中标人须按照采购人工作安排开展相关服务统筹、资料梳理等工作，服从采购人统一管理。</w:t>
            </w:r>
          </w:p>
        </w:tc>
      </w:tr>
    </w:tbl>
    <w:p w14:paraId="2CC2A5E9">
      <w:pPr>
        <w:rPr>
          <w:rFonts w:hint="eastAsia" w:ascii="宋体" w:hAnsi="宋体" w:eastAsia="宋体" w:cs="宋体"/>
          <w:color w:val="auto"/>
          <w:highlight w:val="none"/>
          <w:lang w:val="en-US" w:eastAsia="zh-CN"/>
        </w:rPr>
        <w:sectPr>
          <w:footerReference r:id="rId4" w:type="default"/>
          <w:pgSz w:w="11906" w:h="16838"/>
          <w:pgMar w:top="1440" w:right="1800" w:bottom="1440" w:left="1800" w:header="851" w:footer="992" w:gutter="0"/>
          <w:pgNumType w:fmt="decimal" w:start="1"/>
          <w:cols w:space="720" w:num="1"/>
          <w:docGrid w:type="lines" w:linePitch="312" w:charSpace="0"/>
        </w:sectPr>
      </w:pPr>
    </w:p>
    <w:p w14:paraId="1A99CD6E">
      <w:pPr>
        <w:rPr>
          <w:rFonts w:hint="eastAsia" w:ascii="宋体" w:hAnsi="宋体" w:eastAsia="宋体" w:cs="宋体"/>
          <w:b/>
          <w:bCs/>
          <w:color w:val="auto"/>
          <w:sz w:val="30"/>
          <w:szCs w:val="30"/>
          <w:highlight w:val="none"/>
          <w:lang w:eastAsia="zh-CN"/>
        </w:rPr>
      </w:pPr>
      <w:r>
        <w:rPr>
          <w:rFonts w:hint="eastAsia" w:ascii="宋体" w:hAnsi="宋体" w:eastAsia="宋体" w:cs="宋体"/>
          <w:b/>
          <w:bCs/>
          <w:color w:val="auto"/>
          <w:sz w:val="30"/>
          <w:szCs w:val="30"/>
          <w:highlight w:val="none"/>
        </w:rPr>
        <w:t>附表</w:t>
      </w:r>
      <w:r>
        <w:rPr>
          <w:rFonts w:hint="eastAsia" w:ascii="宋体" w:hAnsi="宋体" w:eastAsia="宋体" w:cs="宋体"/>
          <w:b/>
          <w:bCs/>
          <w:color w:val="auto"/>
          <w:sz w:val="30"/>
          <w:szCs w:val="30"/>
          <w:highlight w:val="none"/>
          <w:lang w:val="en-US" w:eastAsia="zh-CN"/>
        </w:rPr>
        <w:t>1</w:t>
      </w:r>
      <w:r>
        <w:rPr>
          <w:rFonts w:hint="eastAsia" w:ascii="宋体" w:hAnsi="宋体" w:eastAsia="宋体" w:cs="宋体"/>
          <w:b/>
          <w:bCs/>
          <w:color w:val="auto"/>
          <w:sz w:val="30"/>
          <w:szCs w:val="30"/>
          <w:highlight w:val="none"/>
          <w:lang w:eastAsia="zh-CN"/>
        </w:rPr>
        <w:t>：</w:t>
      </w:r>
      <w:r>
        <w:rPr>
          <w:rFonts w:hint="eastAsia" w:ascii="宋体" w:hAnsi="宋体" w:eastAsia="宋体" w:cs="宋体"/>
          <w:b/>
          <w:color w:val="auto"/>
          <w:sz w:val="28"/>
          <w:highlight w:val="none"/>
        </w:rPr>
        <w:t>▲</w:t>
      </w:r>
      <w:r>
        <w:rPr>
          <w:rFonts w:hint="eastAsia" w:ascii="宋体" w:hAnsi="宋体" w:eastAsia="宋体" w:cs="宋体"/>
          <w:b/>
          <w:bCs/>
          <w:color w:val="auto"/>
          <w:sz w:val="30"/>
          <w:szCs w:val="30"/>
          <w:highlight w:val="none"/>
        </w:rPr>
        <w:t>《公路</w:t>
      </w:r>
      <w:r>
        <w:rPr>
          <w:rFonts w:hint="eastAsia" w:ascii="宋体" w:hAnsi="宋体" w:eastAsia="宋体" w:cs="宋体"/>
          <w:b/>
          <w:bCs/>
          <w:color w:val="auto"/>
          <w:sz w:val="30"/>
          <w:szCs w:val="30"/>
          <w:highlight w:val="none"/>
          <w:lang w:val="en-US" w:eastAsia="zh-CN"/>
        </w:rPr>
        <w:t>铁路</w:t>
      </w:r>
      <w:r>
        <w:rPr>
          <w:rFonts w:hint="eastAsia" w:ascii="宋体" w:hAnsi="宋体" w:eastAsia="宋体" w:cs="宋体"/>
          <w:b/>
          <w:bCs/>
          <w:color w:val="auto"/>
          <w:sz w:val="30"/>
          <w:szCs w:val="30"/>
          <w:highlight w:val="none"/>
        </w:rPr>
        <w:t>工程</w:t>
      </w:r>
      <w:r>
        <w:rPr>
          <w:rFonts w:hint="eastAsia" w:ascii="宋体" w:hAnsi="宋体" w:eastAsia="宋体" w:cs="宋体"/>
          <w:b/>
          <w:bCs/>
          <w:color w:val="auto"/>
          <w:sz w:val="30"/>
          <w:szCs w:val="30"/>
          <w:highlight w:val="none"/>
          <w:lang w:eastAsia="zh-CN"/>
        </w:rPr>
        <w:t>质量监督检测</w:t>
      </w:r>
      <w:r>
        <w:rPr>
          <w:rFonts w:hint="eastAsia" w:ascii="宋体" w:hAnsi="宋体" w:eastAsia="宋体" w:cs="宋体"/>
          <w:b/>
          <w:bCs/>
          <w:color w:val="auto"/>
          <w:sz w:val="30"/>
          <w:szCs w:val="30"/>
          <w:highlight w:val="none"/>
        </w:rPr>
        <w:t>服务一览表》</w:t>
      </w:r>
    </w:p>
    <w:tbl>
      <w:tblPr>
        <w:tblStyle w:val="45"/>
        <w:tblW w:w="8504" w:type="dxa"/>
        <w:tblInd w:w="96"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584"/>
        <w:gridCol w:w="690"/>
        <w:gridCol w:w="864"/>
        <w:gridCol w:w="828"/>
        <w:gridCol w:w="1026"/>
        <w:gridCol w:w="553"/>
        <w:gridCol w:w="851"/>
        <w:gridCol w:w="851"/>
        <w:gridCol w:w="851"/>
        <w:gridCol w:w="852"/>
        <w:gridCol w:w="554"/>
      </w:tblGrid>
      <w:tr w14:paraId="5E6B98D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00" w:hRule="atLeast"/>
        </w:trPr>
        <w:tc>
          <w:tcPr>
            <w:tcW w:w="8504" w:type="dxa"/>
            <w:gridSpan w:val="11"/>
            <w:tcBorders>
              <w:top w:val="nil"/>
              <w:left w:val="nil"/>
              <w:bottom w:val="single" w:color="auto" w:sz="4" w:space="0"/>
              <w:right w:val="nil"/>
            </w:tcBorders>
            <w:noWrap/>
            <w:vAlign w:val="center"/>
          </w:tcPr>
          <w:p w14:paraId="2686764F">
            <w:pPr>
              <w:keepNext w:val="0"/>
              <w:keepLines w:val="0"/>
              <w:widowControl/>
              <w:suppressLineNumbers w:val="0"/>
              <w:jc w:val="center"/>
              <w:textAlignment w:val="center"/>
              <w:rPr>
                <w:rFonts w:hint="eastAsia" w:ascii="宋体" w:hAnsi="宋体" w:eastAsia="宋体" w:cs="宋体"/>
                <w:i w:val="0"/>
                <w:iCs w:val="0"/>
                <w:color w:val="auto"/>
                <w:sz w:val="36"/>
                <w:szCs w:val="36"/>
                <w:highlight w:val="none"/>
                <w:u w:val="none"/>
              </w:rPr>
            </w:pPr>
            <w:r>
              <w:rPr>
                <w:rFonts w:hint="eastAsia" w:ascii="宋体" w:hAnsi="宋体" w:eastAsia="宋体" w:cs="宋体"/>
                <w:b/>
                <w:bCs/>
                <w:i w:val="0"/>
                <w:iCs w:val="0"/>
                <w:color w:val="auto"/>
                <w:kern w:val="0"/>
                <w:sz w:val="28"/>
                <w:szCs w:val="28"/>
                <w:highlight w:val="none"/>
                <w:u w:val="none"/>
                <w:lang w:val="en-US" w:eastAsia="zh-CN" w:bidi="ar"/>
              </w:rPr>
              <w:t>2026年公路、铁路工程质量监督检测服务清单（公路部分）</w:t>
            </w:r>
          </w:p>
        </w:tc>
      </w:tr>
      <w:tr w14:paraId="7B1B88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0" w:hRule="atLeast"/>
        </w:trPr>
        <w:tc>
          <w:tcPr>
            <w:tcW w:w="584" w:type="dxa"/>
            <w:tcBorders>
              <w:top w:val="single" w:color="auto" w:sz="4" w:space="0"/>
              <w:left w:val="single" w:color="auto" w:sz="4" w:space="0"/>
              <w:bottom w:val="single" w:color="auto" w:sz="4" w:space="0"/>
              <w:right w:val="single" w:color="auto" w:sz="4" w:space="0"/>
            </w:tcBorders>
            <w:noWrap w:val="0"/>
            <w:vAlign w:val="center"/>
          </w:tcPr>
          <w:p w14:paraId="063A3DFD">
            <w:pPr>
              <w:keepNext w:val="0"/>
              <w:keepLines w:val="0"/>
              <w:widowControl/>
              <w:suppressLineNumbers w:val="0"/>
              <w:jc w:val="center"/>
              <w:textAlignment w:val="center"/>
              <w:rPr>
                <w:rFonts w:hint="eastAsia" w:ascii="宋体" w:hAnsi="宋体" w:eastAsia="宋体" w:cs="宋体"/>
                <w:b/>
                <w:bCs/>
                <w:i w:val="0"/>
                <w:iCs w:val="0"/>
                <w:color w:val="auto"/>
                <w:sz w:val="18"/>
                <w:szCs w:val="18"/>
                <w:highlight w:val="none"/>
                <w:u w:val="none"/>
              </w:rPr>
            </w:pPr>
            <w:r>
              <w:rPr>
                <w:rFonts w:hint="eastAsia" w:ascii="宋体" w:hAnsi="宋体" w:eastAsia="宋体" w:cs="宋体"/>
                <w:b/>
                <w:bCs/>
                <w:i w:val="0"/>
                <w:iCs w:val="0"/>
                <w:color w:val="auto"/>
                <w:kern w:val="0"/>
                <w:sz w:val="18"/>
                <w:szCs w:val="18"/>
                <w:highlight w:val="none"/>
                <w:u w:val="none"/>
                <w:lang w:val="en-US" w:eastAsia="zh-CN" w:bidi="ar"/>
              </w:rPr>
              <w:t>序号</w:t>
            </w:r>
          </w:p>
        </w:tc>
        <w:tc>
          <w:tcPr>
            <w:tcW w:w="690" w:type="dxa"/>
            <w:tcBorders>
              <w:top w:val="single" w:color="auto" w:sz="4" w:space="0"/>
              <w:left w:val="single" w:color="auto" w:sz="4" w:space="0"/>
              <w:bottom w:val="single" w:color="auto" w:sz="4" w:space="0"/>
              <w:right w:val="single" w:color="auto" w:sz="4" w:space="0"/>
            </w:tcBorders>
            <w:noWrap w:val="0"/>
            <w:vAlign w:val="center"/>
          </w:tcPr>
          <w:p w14:paraId="0C044286">
            <w:pPr>
              <w:keepNext w:val="0"/>
              <w:keepLines w:val="0"/>
              <w:widowControl/>
              <w:suppressLineNumbers w:val="0"/>
              <w:jc w:val="center"/>
              <w:textAlignment w:val="center"/>
              <w:rPr>
                <w:rFonts w:hint="eastAsia" w:ascii="宋体" w:hAnsi="宋体" w:eastAsia="宋体" w:cs="宋体"/>
                <w:b/>
                <w:bCs/>
                <w:i w:val="0"/>
                <w:iCs w:val="0"/>
                <w:color w:val="auto"/>
                <w:sz w:val="18"/>
                <w:szCs w:val="18"/>
                <w:highlight w:val="none"/>
                <w:u w:val="none"/>
              </w:rPr>
            </w:pPr>
            <w:r>
              <w:rPr>
                <w:rFonts w:hint="eastAsia" w:ascii="宋体" w:hAnsi="宋体" w:eastAsia="宋体" w:cs="宋体"/>
                <w:b/>
                <w:bCs/>
                <w:i w:val="0"/>
                <w:iCs w:val="0"/>
                <w:color w:val="auto"/>
                <w:kern w:val="0"/>
                <w:sz w:val="18"/>
                <w:szCs w:val="18"/>
                <w:highlight w:val="none"/>
                <w:u w:val="none"/>
                <w:lang w:val="en-US" w:eastAsia="zh-CN" w:bidi="ar"/>
              </w:rPr>
              <w:t>服务项目</w:t>
            </w:r>
          </w:p>
        </w:tc>
        <w:tc>
          <w:tcPr>
            <w:tcW w:w="2718" w:type="dxa"/>
            <w:gridSpan w:val="3"/>
            <w:tcBorders>
              <w:top w:val="single" w:color="auto" w:sz="4" w:space="0"/>
              <w:left w:val="single" w:color="auto" w:sz="4" w:space="0"/>
              <w:bottom w:val="single" w:color="auto" w:sz="4" w:space="0"/>
              <w:right w:val="single" w:color="auto" w:sz="4" w:space="0"/>
            </w:tcBorders>
            <w:noWrap w:val="0"/>
            <w:vAlign w:val="center"/>
          </w:tcPr>
          <w:p w14:paraId="3D3E8682">
            <w:pPr>
              <w:keepNext w:val="0"/>
              <w:keepLines w:val="0"/>
              <w:widowControl/>
              <w:suppressLineNumbers w:val="0"/>
              <w:jc w:val="center"/>
              <w:textAlignment w:val="center"/>
              <w:rPr>
                <w:rFonts w:hint="eastAsia" w:ascii="宋体" w:hAnsi="宋体" w:eastAsia="宋体" w:cs="宋体"/>
                <w:b/>
                <w:bCs/>
                <w:i w:val="0"/>
                <w:iCs w:val="0"/>
                <w:color w:val="auto"/>
                <w:sz w:val="18"/>
                <w:szCs w:val="18"/>
                <w:highlight w:val="none"/>
                <w:u w:val="none"/>
              </w:rPr>
            </w:pPr>
            <w:r>
              <w:rPr>
                <w:rFonts w:hint="eastAsia" w:ascii="宋体" w:hAnsi="宋体" w:eastAsia="宋体" w:cs="宋体"/>
                <w:b/>
                <w:bCs/>
                <w:i w:val="0"/>
                <w:iCs w:val="0"/>
                <w:color w:val="auto"/>
                <w:kern w:val="0"/>
                <w:sz w:val="18"/>
                <w:szCs w:val="18"/>
                <w:highlight w:val="none"/>
                <w:u w:val="none"/>
                <w:lang w:val="en-US" w:eastAsia="zh-CN" w:bidi="ar"/>
              </w:rPr>
              <w:t>服务内容</w:t>
            </w:r>
          </w:p>
        </w:tc>
        <w:tc>
          <w:tcPr>
            <w:tcW w:w="553" w:type="dxa"/>
            <w:tcBorders>
              <w:top w:val="single" w:color="auto" w:sz="4" w:space="0"/>
              <w:left w:val="single" w:color="auto" w:sz="4" w:space="0"/>
              <w:bottom w:val="single" w:color="auto" w:sz="4" w:space="0"/>
              <w:right w:val="single" w:color="auto" w:sz="4" w:space="0"/>
            </w:tcBorders>
            <w:noWrap w:val="0"/>
            <w:vAlign w:val="center"/>
          </w:tcPr>
          <w:p w14:paraId="28D1A468">
            <w:pPr>
              <w:keepNext w:val="0"/>
              <w:keepLines w:val="0"/>
              <w:widowControl/>
              <w:suppressLineNumbers w:val="0"/>
              <w:jc w:val="center"/>
              <w:textAlignment w:val="center"/>
              <w:rPr>
                <w:rFonts w:hint="eastAsia" w:ascii="宋体" w:hAnsi="宋体" w:eastAsia="宋体" w:cs="宋体"/>
                <w:b/>
                <w:bCs/>
                <w:i w:val="0"/>
                <w:iCs w:val="0"/>
                <w:color w:val="auto"/>
                <w:sz w:val="18"/>
                <w:szCs w:val="18"/>
                <w:highlight w:val="none"/>
                <w:u w:val="none"/>
              </w:rPr>
            </w:pPr>
            <w:r>
              <w:rPr>
                <w:rFonts w:hint="eastAsia" w:ascii="宋体" w:hAnsi="宋体" w:eastAsia="宋体" w:cs="宋体"/>
                <w:b/>
                <w:bCs/>
                <w:i w:val="0"/>
                <w:iCs w:val="0"/>
                <w:color w:val="auto"/>
                <w:kern w:val="0"/>
                <w:sz w:val="18"/>
                <w:szCs w:val="18"/>
                <w:highlight w:val="none"/>
                <w:u w:val="none"/>
                <w:lang w:val="en-US" w:eastAsia="zh-CN" w:bidi="ar"/>
              </w:rPr>
              <w:t>单位</w:t>
            </w:r>
          </w:p>
        </w:tc>
        <w:tc>
          <w:tcPr>
            <w:tcW w:w="851" w:type="dxa"/>
            <w:tcBorders>
              <w:top w:val="single" w:color="auto" w:sz="4" w:space="0"/>
              <w:left w:val="single" w:color="auto" w:sz="4" w:space="0"/>
              <w:bottom w:val="single" w:color="auto" w:sz="4" w:space="0"/>
              <w:right w:val="single" w:color="auto" w:sz="4" w:space="0"/>
            </w:tcBorders>
            <w:noWrap w:val="0"/>
            <w:vAlign w:val="center"/>
          </w:tcPr>
          <w:p w14:paraId="6E38C364">
            <w:pPr>
              <w:keepNext w:val="0"/>
              <w:keepLines w:val="0"/>
              <w:widowControl/>
              <w:suppressLineNumbers w:val="0"/>
              <w:jc w:val="center"/>
              <w:textAlignment w:val="center"/>
              <w:rPr>
                <w:rFonts w:hint="eastAsia" w:ascii="宋体" w:hAnsi="宋体" w:eastAsia="宋体" w:cs="宋体"/>
                <w:b/>
                <w:bCs/>
                <w:i w:val="0"/>
                <w:iCs w:val="0"/>
                <w:color w:val="auto"/>
                <w:sz w:val="18"/>
                <w:szCs w:val="18"/>
                <w:highlight w:val="none"/>
                <w:u w:val="none"/>
              </w:rPr>
            </w:pPr>
            <w:r>
              <w:rPr>
                <w:rFonts w:hint="eastAsia" w:ascii="宋体" w:hAnsi="宋体" w:eastAsia="宋体" w:cs="宋体"/>
                <w:b/>
                <w:bCs/>
                <w:i w:val="0"/>
                <w:iCs w:val="0"/>
                <w:color w:val="auto"/>
                <w:kern w:val="0"/>
                <w:sz w:val="18"/>
                <w:szCs w:val="18"/>
                <w:highlight w:val="none"/>
                <w:u w:val="none"/>
                <w:lang w:val="en-US" w:eastAsia="zh-CN" w:bidi="ar"/>
              </w:rPr>
              <w:t>GLTLJD1标段数量</w:t>
            </w:r>
          </w:p>
        </w:tc>
        <w:tc>
          <w:tcPr>
            <w:tcW w:w="851" w:type="dxa"/>
            <w:tcBorders>
              <w:top w:val="single" w:color="auto" w:sz="4" w:space="0"/>
              <w:left w:val="single" w:color="auto" w:sz="4" w:space="0"/>
              <w:bottom w:val="single" w:color="auto" w:sz="4" w:space="0"/>
              <w:right w:val="single" w:color="auto" w:sz="4" w:space="0"/>
            </w:tcBorders>
            <w:noWrap w:val="0"/>
            <w:vAlign w:val="center"/>
          </w:tcPr>
          <w:p w14:paraId="01EA685A">
            <w:pPr>
              <w:keepNext w:val="0"/>
              <w:keepLines w:val="0"/>
              <w:widowControl/>
              <w:suppressLineNumbers w:val="0"/>
              <w:jc w:val="center"/>
              <w:textAlignment w:val="center"/>
              <w:rPr>
                <w:rFonts w:hint="eastAsia" w:ascii="宋体" w:hAnsi="宋体" w:eastAsia="宋体" w:cs="宋体"/>
                <w:b/>
                <w:bCs/>
                <w:i w:val="0"/>
                <w:iCs w:val="0"/>
                <w:color w:val="auto"/>
                <w:sz w:val="18"/>
                <w:szCs w:val="18"/>
                <w:highlight w:val="none"/>
                <w:u w:val="none"/>
              </w:rPr>
            </w:pPr>
            <w:r>
              <w:rPr>
                <w:rFonts w:hint="eastAsia" w:ascii="宋体" w:hAnsi="宋体" w:eastAsia="宋体" w:cs="宋体"/>
                <w:b/>
                <w:bCs/>
                <w:i w:val="0"/>
                <w:iCs w:val="0"/>
                <w:color w:val="auto"/>
                <w:kern w:val="0"/>
                <w:sz w:val="18"/>
                <w:szCs w:val="18"/>
                <w:highlight w:val="none"/>
                <w:u w:val="none"/>
                <w:lang w:val="en-US" w:eastAsia="zh-CN" w:bidi="ar"/>
              </w:rPr>
              <w:t>GLTLJD2 标段 数量</w:t>
            </w:r>
          </w:p>
        </w:tc>
        <w:tc>
          <w:tcPr>
            <w:tcW w:w="851" w:type="dxa"/>
            <w:tcBorders>
              <w:top w:val="single" w:color="auto" w:sz="4" w:space="0"/>
              <w:left w:val="single" w:color="auto" w:sz="4" w:space="0"/>
              <w:bottom w:val="single" w:color="auto" w:sz="4" w:space="0"/>
              <w:right w:val="single" w:color="auto" w:sz="4" w:space="0"/>
            </w:tcBorders>
            <w:noWrap w:val="0"/>
            <w:vAlign w:val="center"/>
          </w:tcPr>
          <w:p w14:paraId="11DE3DF0">
            <w:pPr>
              <w:keepNext w:val="0"/>
              <w:keepLines w:val="0"/>
              <w:widowControl/>
              <w:suppressLineNumbers w:val="0"/>
              <w:jc w:val="center"/>
              <w:textAlignment w:val="center"/>
              <w:rPr>
                <w:rFonts w:hint="eastAsia" w:ascii="宋体" w:hAnsi="宋体" w:eastAsia="宋体" w:cs="宋体"/>
                <w:b/>
                <w:bCs/>
                <w:i w:val="0"/>
                <w:iCs w:val="0"/>
                <w:color w:val="auto"/>
                <w:sz w:val="18"/>
                <w:szCs w:val="18"/>
                <w:highlight w:val="none"/>
                <w:u w:val="none"/>
              </w:rPr>
            </w:pPr>
            <w:r>
              <w:rPr>
                <w:rFonts w:hint="eastAsia" w:ascii="宋体" w:hAnsi="宋体" w:eastAsia="宋体" w:cs="宋体"/>
                <w:b/>
                <w:bCs/>
                <w:i w:val="0"/>
                <w:iCs w:val="0"/>
                <w:color w:val="auto"/>
                <w:kern w:val="0"/>
                <w:sz w:val="18"/>
                <w:szCs w:val="18"/>
                <w:highlight w:val="none"/>
                <w:u w:val="none"/>
                <w:lang w:val="en-US" w:eastAsia="zh-CN" w:bidi="ar"/>
              </w:rPr>
              <w:t>GLTLJD3 标段数量</w:t>
            </w:r>
          </w:p>
        </w:tc>
        <w:tc>
          <w:tcPr>
            <w:tcW w:w="852" w:type="dxa"/>
            <w:tcBorders>
              <w:top w:val="single" w:color="auto" w:sz="4" w:space="0"/>
              <w:left w:val="single" w:color="auto" w:sz="4" w:space="0"/>
              <w:bottom w:val="single" w:color="auto" w:sz="4" w:space="0"/>
              <w:right w:val="single" w:color="auto" w:sz="4" w:space="0"/>
            </w:tcBorders>
            <w:noWrap w:val="0"/>
            <w:vAlign w:val="center"/>
          </w:tcPr>
          <w:p w14:paraId="36E598AF">
            <w:pPr>
              <w:keepNext w:val="0"/>
              <w:keepLines w:val="0"/>
              <w:widowControl/>
              <w:suppressLineNumbers w:val="0"/>
              <w:jc w:val="center"/>
              <w:textAlignment w:val="center"/>
              <w:rPr>
                <w:rFonts w:hint="eastAsia" w:ascii="宋体" w:hAnsi="宋体" w:eastAsia="宋体" w:cs="宋体"/>
                <w:b/>
                <w:bCs/>
                <w:i w:val="0"/>
                <w:iCs w:val="0"/>
                <w:color w:val="auto"/>
                <w:sz w:val="18"/>
                <w:szCs w:val="18"/>
                <w:highlight w:val="none"/>
                <w:u w:val="none"/>
              </w:rPr>
            </w:pPr>
            <w:r>
              <w:rPr>
                <w:rFonts w:hint="eastAsia" w:ascii="宋体" w:hAnsi="宋体" w:eastAsia="宋体" w:cs="宋体"/>
                <w:b/>
                <w:bCs/>
                <w:i w:val="0"/>
                <w:iCs w:val="0"/>
                <w:color w:val="auto"/>
                <w:kern w:val="0"/>
                <w:sz w:val="18"/>
                <w:szCs w:val="18"/>
                <w:highlight w:val="none"/>
                <w:u w:val="none"/>
                <w:lang w:val="en-US" w:eastAsia="zh-CN" w:bidi="ar"/>
              </w:rPr>
              <w:t>GLTLJD4标段数量</w:t>
            </w:r>
          </w:p>
        </w:tc>
        <w:tc>
          <w:tcPr>
            <w:tcW w:w="554" w:type="dxa"/>
            <w:tcBorders>
              <w:top w:val="single" w:color="auto" w:sz="4" w:space="0"/>
              <w:left w:val="single" w:color="auto" w:sz="4" w:space="0"/>
              <w:bottom w:val="single" w:color="auto" w:sz="4" w:space="0"/>
              <w:right w:val="single" w:color="auto" w:sz="4" w:space="0"/>
            </w:tcBorders>
            <w:noWrap w:val="0"/>
            <w:vAlign w:val="center"/>
          </w:tcPr>
          <w:p w14:paraId="4C553AF2">
            <w:pPr>
              <w:keepNext w:val="0"/>
              <w:keepLines w:val="0"/>
              <w:widowControl/>
              <w:suppressLineNumbers w:val="0"/>
              <w:jc w:val="center"/>
              <w:textAlignment w:val="center"/>
              <w:rPr>
                <w:rFonts w:hint="eastAsia" w:ascii="宋体" w:hAnsi="宋体" w:eastAsia="宋体" w:cs="宋体"/>
                <w:b/>
                <w:bCs/>
                <w:i w:val="0"/>
                <w:iCs w:val="0"/>
                <w:color w:val="auto"/>
                <w:sz w:val="18"/>
                <w:szCs w:val="18"/>
                <w:highlight w:val="none"/>
                <w:u w:val="none"/>
              </w:rPr>
            </w:pPr>
            <w:r>
              <w:rPr>
                <w:rFonts w:hint="eastAsia" w:ascii="宋体" w:hAnsi="宋体" w:eastAsia="宋体" w:cs="宋体"/>
                <w:b/>
                <w:bCs/>
                <w:i w:val="0"/>
                <w:iCs w:val="0"/>
                <w:color w:val="auto"/>
                <w:kern w:val="0"/>
                <w:sz w:val="18"/>
                <w:szCs w:val="18"/>
                <w:highlight w:val="none"/>
                <w:u w:val="none"/>
                <w:lang w:val="en-US" w:eastAsia="zh-CN" w:bidi="ar"/>
              </w:rPr>
              <w:t>备注</w:t>
            </w:r>
          </w:p>
        </w:tc>
      </w:tr>
      <w:tr w14:paraId="008B11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0" w:hRule="atLeast"/>
        </w:trPr>
        <w:tc>
          <w:tcPr>
            <w:tcW w:w="584" w:type="dxa"/>
            <w:tcBorders>
              <w:top w:val="single" w:color="auto" w:sz="4" w:space="0"/>
              <w:left w:val="single" w:color="auto" w:sz="4" w:space="0"/>
              <w:bottom w:val="single" w:color="auto" w:sz="4" w:space="0"/>
              <w:right w:val="single" w:color="auto" w:sz="4" w:space="0"/>
            </w:tcBorders>
            <w:noWrap w:val="0"/>
            <w:vAlign w:val="center"/>
          </w:tcPr>
          <w:p w14:paraId="68F82EF0">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1</w:t>
            </w:r>
          </w:p>
        </w:tc>
        <w:tc>
          <w:tcPr>
            <w:tcW w:w="690" w:type="dxa"/>
            <w:vMerge w:val="restart"/>
            <w:tcBorders>
              <w:top w:val="single" w:color="auto" w:sz="4" w:space="0"/>
              <w:left w:val="single" w:color="auto" w:sz="4" w:space="0"/>
              <w:bottom w:val="single" w:color="auto" w:sz="4" w:space="0"/>
              <w:right w:val="single" w:color="auto" w:sz="4" w:space="0"/>
            </w:tcBorders>
            <w:noWrap w:val="0"/>
            <w:vAlign w:val="center"/>
          </w:tcPr>
          <w:p w14:paraId="49FAA948">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路基工程</w:t>
            </w:r>
          </w:p>
        </w:tc>
        <w:tc>
          <w:tcPr>
            <w:tcW w:w="864" w:type="dxa"/>
            <w:tcBorders>
              <w:top w:val="single" w:color="auto" w:sz="4" w:space="0"/>
              <w:left w:val="single" w:color="auto" w:sz="4" w:space="0"/>
              <w:bottom w:val="single" w:color="auto" w:sz="4" w:space="0"/>
              <w:right w:val="single" w:color="auto" w:sz="4" w:space="0"/>
            </w:tcBorders>
            <w:noWrap w:val="0"/>
            <w:vAlign w:val="center"/>
          </w:tcPr>
          <w:p w14:paraId="34A7307E">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路基</w:t>
            </w:r>
          </w:p>
        </w:tc>
        <w:tc>
          <w:tcPr>
            <w:tcW w:w="1854" w:type="dxa"/>
            <w:gridSpan w:val="2"/>
            <w:tcBorders>
              <w:top w:val="single" w:color="auto" w:sz="4" w:space="0"/>
              <w:left w:val="single" w:color="auto" w:sz="4" w:space="0"/>
              <w:bottom w:val="single" w:color="auto" w:sz="4" w:space="0"/>
              <w:right w:val="single" w:color="auto" w:sz="4" w:space="0"/>
            </w:tcBorders>
            <w:noWrap w:val="0"/>
            <w:vAlign w:val="center"/>
          </w:tcPr>
          <w:p w14:paraId="0B597C82">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压实度</w:t>
            </w:r>
          </w:p>
        </w:tc>
        <w:tc>
          <w:tcPr>
            <w:tcW w:w="553" w:type="dxa"/>
            <w:tcBorders>
              <w:top w:val="single" w:color="auto" w:sz="4" w:space="0"/>
              <w:left w:val="single" w:color="auto" w:sz="4" w:space="0"/>
              <w:bottom w:val="single" w:color="auto" w:sz="4" w:space="0"/>
              <w:right w:val="single" w:color="auto" w:sz="4" w:space="0"/>
            </w:tcBorders>
            <w:noWrap w:val="0"/>
            <w:vAlign w:val="center"/>
          </w:tcPr>
          <w:p w14:paraId="1DA09D0E">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点</w:t>
            </w:r>
          </w:p>
        </w:tc>
        <w:tc>
          <w:tcPr>
            <w:tcW w:w="851" w:type="dxa"/>
            <w:tcBorders>
              <w:top w:val="single" w:color="auto" w:sz="4" w:space="0"/>
              <w:left w:val="single" w:color="auto" w:sz="4" w:space="0"/>
              <w:bottom w:val="single" w:color="auto" w:sz="4" w:space="0"/>
              <w:right w:val="single" w:color="auto" w:sz="4" w:space="0"/>
            </w:tcBorders>
            <w:noWrap w:val="0"/>
            <w:vAlign w:val="center"/>
          </w:tcPr>
          <w:p w14:paraId="460A8EF0">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150</w:t>
            </w:r>
          </w:p>
        </w:tc>
        <w:tc>
          <w:tcPr>
            <w:tcW w:w="851" w:type="dxa"/>
            <w:tcBorders>
              <w:top w:val="single" w:color="auto" w:sz="4" w:space="0"/>
              <w:left w:val="single" w:color="auto" w:sz="4" w:space="0"/>
              <w:bottom w:val="single" w:color="auto" w:sz="4" w:space="0"/>
              <w:right w:val="single" w:color="auto" w:sz="4" w:space="0"/>
            </w:tcBorders>
            <w:noWrap w:val="0"/>
            <w:vAlign w:val="center"/>
          </w:tcPr>
          <w:p w14:paraId="7F124C26">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150</w:t>
            </w:r>
          </w:p>
        </w:tc>
        <w:tc>
          <w:tcPr>
            <w:tcW w:w="851" w:type="dxa"/>
            <w:tcBorders>
              <w:top w:val="single" w:color="auto" w:sz="4" w:space="0"/>
              <w:left w:val="single" w:color="auto" w:sz="4" w:space="0"/>
              <w:bottom w:val="single" w:color="auto" w:sz="4" w:space="0"/>
              <w:right w:val="single" w:color="auto" w:sz="4" w:space="0"/>
            </w:tcBorders>
            <w:noWrap w:val="0"/>
            <w:vAlign w:val="center"/>
          </w:tcPr>
          <w:p w14:paraId="3B236D67">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150</w:t>
            </w:r>
          </w:p>
        </w:tc>
        <w:tc>
          <w:tcPr>
            <w:tcW w:w="852" w:type="dxa"/>
            <w:tcBorders>
              <w:top w:val="single" w:color="auto" w:sz="4" w:space="0"/>
              <w:left w:val="single" w:color="auto" w:sz="4" w:space="0"/>
              <w:bottom w:val="single" w:color="auto" w:sz="4" w:space="0"/>
              <w:right w:val="single" w:color="auto" w:sz="4" w:space="0"/>
            </w:tcBorders>
            <w:noWrap w:val="0"/>
            <w:vAlign w:val="center"/>
          </w:tcPr>
          <w:p w14:paraId="794CE3FE">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150</w:t>
            </w:r>
          </w:p>
        </w:tc>
        <w:tc>
          <w:tcPr>
            <w:tcW w:w="554" w:type="dxa"/>
            <w:tcBorders>
              <w:top w:val="single" w:color="auto" w:sz="4" w:space="0"/>
              <w:left w:val="single" w:color="auto" w:sz="4" w:space="0"/>
              <w:bottom w:val="single" w:color="auto" w:sz="4" w:space="0"/>
              <w:right w:val="single" w:color="auto" w:sz="4" w:space="0"/>
            </w:tcBorders>
            <w:noWrap w:val="0"/>
            <w:vAlign w:val="center"/>
          </w:tcPr>
          <w:p w14:paraId="5CABF491">
            <w:pPr>
              <w:jc w:val="center"/>
              <w:rPr>
                <w:rFonts w:hint="eastAsia" w:ascii="宋体" w:hAnsi="宋体" w:eastAsia="宋体" w:cs="宋体"/>
                <w:i w:val="0"/>
                <w:iCs w:val="0"/>
                <w:color w:val="auto"/>
                <w:sz w:val="18"/>
                <w:szCs w:val="18"/>
                <w:highlight w:val="none"/>
                <w:u w:val="none"/>
              </w:rPr>
            </w:pPr>
          </w:p>
        </w:tc>
      </w:tr>
      <w:tr w14:paraId="51E96BD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0" w:hRule="atLeast"/>
        </w:trPr>
        <w:tc>
          <w:tcPr>
            <w:tcW w:w="584" w:type="dxa"/>
            <w:tcBorders>
              <w:top w:val="single" w:color="auto" w:sz="4" w:space="0"/>
              <w:left w:val="single" w:color="auto" w:sz="4" w:space="0"/>
              <w:bottom w:val="single" w:color="auto" w:sz="4" w:space="0"/>
              <w:right w:val="single" w:color="auto" w:sz="4" w:space="0"/>
            </w:tcBorders>
            <w:noWrap w:val="0"/>
            <w:vAlign w:val="center"/>
          </w:tcPr>
          <w:p w14:paraId="15F12F7B">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2</w:t>
            </w:r>
          </w:p>
        </w:tc>
        <w:tc>
          <w:tcPr>
            <w:tcW w:w="690" w:type="dxa"/>
            <w:vMerge w:val="continue"/>
            <w:tcBorders>
              <w:top w:val="single" w:color="auto" w:sz="4" w:space="0"/>
              <w:left w:val="single" w:color="auto" w:sz="4" w:space="0"/>
              <w:bottom w:val="single" w:color="auto" w:sz="4" w:space="0"/>
              <w:right w:val="single" w:color="auto" w:sz="4" w:space="0"/>
            </w:tcBorders>
            <w:noWrap w:val="0"/>
            <w:vAlign w:val="center"/>
          </w:tcPr>
          <w:p w14:paraId="7500B528">
            <w:pPr>
              <w:jc w:val="center"/>
              <w:rPr>
                <w:rFonts w:hint="eastAsia" w:ascii="宋体" w:hAnsi="宋体" w:eastAsia="宋体" w:cs="宋体"/>
                <w:i w:val="0"/>
                <w:iCs w:val="0"/>
                <w:color w:val="auto"/>
                <w:sz w:val="18"/>
                <w:szCs w:val="18"/>
                <w:highlight w:val="none"/>
                <w:u w:val="none"/>
              </w:rPr>
            </w:pPr>
          </w:p>
        </w:tc>
        <w:tc>
          <w:tcPr>
            <w:tcW w:w="864" w:type="dxa"/>
            <w:vMerge w:val="restart"/>
            <w:tcBorders>
              <w:top w:val="single" w:color="auto" w:sz="4" w:space="0"/>
              <w:left w:val="single" w:color="auto" w:sz="4" w:space="0"/>
              <w:bottom w:val="single" w:color="auto" w:sz="4" w:space="0"/>
              <w:right w:val="single" w:color="auto" w:sz="4" w:space="0"/>
            </w:tcBorders>
            <w:noWrap w:val="0"/>
            <w:vAlign w:val="center"/>
          </w:tcPr>
          <w:p w14:paraId="0D3F3317">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涵洞、挡墙</w:t>
            </w:r>
          </w:p>
        </w:tc>
        <w:tc>
          <w:tcPr>
            <w:tcW w:w="1854" w:type="dxa"/>
            <w:gridSpan w:val="2"/>
            <w:tcBorders>
              <w:top w:val="single" w:color="auto" w:sz="4" w:space="0"/>
              <w:left w:val="single" w:color="auto" w:sz="4" w:space="0"/>
              <w:bottom w:val="single" w:color="auto" w:sz="4" w:space="0"/>
              <w:right w:val="single" w:color="auto" w:sz="4" w:space="0"/>
            </w:tcBorders>
            <w:noWrap w:val="0"/>
            <w:vAlign w:val="center"/>
          </w:tcPr>
          <w:p w14:paraId="037CEFA2">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混凝土回弹强度</w:t>
            </w:r>
          </w:p>
        </w:tc>
        <w:tc>
          <w:tcPr>
            <w:tcW w:w="553" w:type="dxa"/>
            <w:tcBorders>
              <w:top w:val="single" w:color="auto" w:sz="4" w:space="0"/>
              <w:left w:val="single" w:color="auto" w:sz="4" w:space="0"/>
              <w:bottom w:val="single" w:color="auto" w:sz="4" w:space="0"/>
              <w:right w:val="single" w:color="auto" w:sz="4" w:space="0"/>
            </w:tcBorders>
            <w:noWrap w:val="0"/>
            <w:vAlign w:val="center"/>
          </w:tcPr>
          <w:p w14:paraId="53FC94B6">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测区</w:t>
            </w:r>
          </w:p>
        </w:tc>
        <w:tc>
          <w:tcPr>
            <w:tcW w:w="851" w:type="dxa"/>
            <w:tcBorders>
              <w:top w:val="single" w:color="auto" w:sz="4" w:space="0"/>
              <w:left w:val="single" w:color="auto" w:sz="4" w:space="0"/>
              <w:bottom w:val="single" w:color="auto" w:sz="4" w:space="0"/>
              <w:right w:val="single" w:color="auto" w:sz="4" w:space="0"/>
            </w:tcBorders>
            <w:noWrap w:val="0"/>
            <w:vAlign w:val="center"/>
          </w:tcPr>
          <w:p w14:paraId="3423F5A5">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525</w:t>
            </w:r>
          </w:p>
        </w:tc>
        <w:tc>
          <w:tcPr>
            <w:tcW w:w="851" w:type="dxa"/>
            <w:tcBorders>
              <w:top w:val="single" w:color="auto" w:sz="4" w:space="0"/>
              <w:left w:val="single" w:color="auto" w:sz="4" w:space="0"/>
              <w:bottom w:val="single" w:color="auto" w:sz="4" w:space="0"/>
              <w:right w:val="single" w:color="auto" w:sz="4" w:space="0"/>
            </w:tcBorders>
            <w:noWrap w:val="0"/>
            <w:vAlign w:val="center"/>
          </w:tcPr>
          <w:p w14:paraId="32EEBF94">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525</w:t>
            </w:r>
          </w:p>
        </w:tc>
        <w:tc>
          <w:tcPr>
            <w:tcW w:w="851" w:type="dxa"/>
            <w:tcBorders>
              <w:top w:val="single" w:color="auto" w:sz="4" w:space="0"/>
              <w:left w:val="single" w:color="auto" w:sz="4" w:space="0"/>
              <w:bottom w:val="single" w:color="auto" w:sz="4" w:space="0"/>
              <w:right w:val="single" w:color="auto" w:sz="4" w:space="0"/>
            </w:tcBorders>
            <w:noWrap w:val="0"/>
            <w:vAlign w:val="center"/>
          </w:tcPr>
          <w:p w14:paraId="44D60560">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525</w:t>
            </w:r>
          </w:p>
        </w:tc>
        <w:tc>
          <w:tcPr>
            <w:tcW w:w="852" w:type="dxa"/>
            <w:tcBorders>
              <w:top w:val="single" w:color="auto" w:sz="4" w:space="0"/>
              <w:left w:val="single" w:color="auto" w:sz="4" w:space="0"/>
              <w:bottom w:val="single" w:color="auto" w:sz="4" w:space="0"/>
              <w:right w:val="single" w:color="auto" w:sz="4" w:space="0"/>
            </w:tcBorders>
            <w:noWrap w:val="0"/>
            <w:vAlign w:val="center"/>
          </w:tcPr>
          <w:p w14:paraId="2FF37C09">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525</w:t>
            </w:r>
          </w:p>
        </w:tc>
        <w:tc>
          <w:tcPr>
            <w:tcW w:w="554" w:type="dxa"/>
            <w:tcBorders>
              <w:top w:val="single" w:color="auto" w:sz="4" w:space="0"/>
              <w:left w:val="single" w:color="auto" w:sz="4" w:space="0"/>
              <w:bottom w:val="single" w:color="auto" w:sz="4" w:space="0"/>
              <w:right w:val="single" w:color="auto" w:sz="4" w:space="0"/>
            </w:tcBorders>
            <w:noWrap w:val="0"/>
            <w:vAlign w:val="center"/>
          </w:tcPr>
          <w:p w14:paraId="097D4E0F">
            <w:pPr>
              <w:jc w:val="center"/>
              <w:rPr>
                <w:rFonts w:hint="eastAsia" w:ascii="宋体" w:hAnsi="宋体" w:eastAsia="宋体" w:cs="宋体"/>
                <w:i w:val="0"/>
                <w:iCs w:val="0"/>
                <w:color w:val="auto"/>
                <w:sz w:val="18"/>
                <w:szCs w:val="18"/>
                <w:highlight w:val="none"/>
                <w:u w:val="none"/>
              </w:rPr>
            </w:pPr>
          </w:p>
        </w:tc>
      </w:tr>
      <w:tr w14:paraId="4311DD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0" w:hRule="atLeast"/>
        </w:trPr>
        <w:tc>
          <w:tcPr>
            <w:tcW w:w="584" w:type="dxa"/>
            <w:tcBorders>
              <w:top w:val="single" w:color="auto" w:sz="4" w:space="0"/>
              <w:left w:val="single" w:color="auto" w:sz="4" w:space="0"/>
              <w:bottom w:val="single" w:color="auto" w:sz="4" w:space="0"/>
              <w:right w:val="single" w:color="auto" w:sz="4" w:space="0"/>
            </w:tcBorders>
            <w:noWrap w:val="0"/>
            <w:vAlign w:val="center"/>
          </w:tcPr>
          <w:p w14:paraId="73862024">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3</w:t>
            </w:r>
          </w:p>
        </w:tc>
        <w:tc>
          <w:tcPr>
            <w:tcW w:w="690" w:type="dxa"/>
            <w:vMerge w:val="continue"/>
            <w:tcBorders>
              <w:top w:val="single" w:color="auto" w:sz="4" w:space="0"/>
              <w:left w:val="single" w:color="auto" w:sz="4" w:space="0"/>
              <w:bottom w:val="single" w:color="auto" w:sz="4" w:space="0"/>
              <w:right w:val="single" w:color="auto" w:sz="4" w:space="0"/>
            </w:tcBorders>
            <w:noWrap w:val="0"/>
            <w:vAlign w:val="center"/>
          </w:tcPr>
          <w:p w14:paraId="47AE58AC">
            <w:pPr>
              <w:jc w:val="center"/>
              <w:rPr>
                <w:rFonts w:hint="eastAsia" w:ascii="宋体" w:hAnsi="宋体" w:eastAsia="宋体" w:cs="宋体"/>
                <w:i w:val="0"/>
                <w:iCs w:val="0"/>
                <w:color w:val="auto"/>
                <w:sz w:val="18"/>
                <w:szCs w:val="18"/>
                <w:highlight w:val="none"/>
                <w:u w:val="none"/>
              </w:rPr>
            </w:pPr>
          </w:p>
        </w:tc>
        <w:tc>
          <w:tcPr>
            <w:tcW w:w="864" w:type="dxa"/>
            <w:vMerge w:val="continue"/>
            <w:tcBorders>
              <w:top w:val="single" w:color="auto" w:sz="4" w:space="0"/>
              <w:left w:val="single" w:color="auto" w:sz="4" w:space="0"/>
              <w:bottom w:val="single" w:color="auto" w:sz="4" w:space="0"/>
              <w:right w:val="single" w:color="auto" w:sz="4" w:space="0"/>
            </w:tcBorders>
            <w:noWrap w:val="0"/>
            <w:vAlign w:val="center"/>
          </w:tcPr>
          <w:p w14:paraId="5E91094D">
            <w:pPr>
              <w:jc w:val="center"/>
              <w:rPr>
                <w:rFonts w:hint="eastAsia" w:ascii="宋体" w:hAnsi="宋体" w:eastAsia="宋体" w:cs="宋体"/>
                <w:i w:val="0"/>
                <w:iCs w:val="0"/>
                <w:color w:val="auto"/>
                <w:sz w:val="18"/>
                <w:szCs w:val="18"/>
                <w:highlight w:val="none"/>
                <w:u w:val="none"/>
              </w:rPr>
            </w:pPr>
          </w:p>
        </w:tc>
        <w:tc>
          <w:tcPr>
            <w:tcW w:w="1854" w:type="dxa"/>
            <w:gridSpan w:val="2"/>
            <w:tcBorders>
              <w:top w:val="single" w:color="auto" w:sz="4" w:space="0"/>
              <w:left w:val="single" w:color="auto" w:sz="4" w:space="0"/>
              <w:bottom w:val="single" w:color="auto" w:sz="4" w:space="0"/>
              <w:right w:val="single" w:color="auto" w:sz="4" w:space="0"/>
            </w:tcBorders>
            <w:noWrap w:val="0"/>
            <w:vAlign w:val="center"/>
          </w:tcPr>
          <w:p w14:paraId="69C597B9">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涵洞墙身厚度</w:t>
            </w:r>
          </w:p>
        </w:tc>
        <w:tc>
          <w:tcPr>
            <w:tcW w:w="553" w:type="dxa"/>
            <w:tcBorders>
              <w:top w:val="single" w:color="auto" w:sz="4" w:space="0"/>
              <w:left w:val="single" w:color="auto" w:sz="4" w:space="0"/>
              <w:bottom w:val="single" w:color="auto" w:sz="4" w:space="0"/>
              <w:right w:val="single" w:color="auto" w:sz="4" w:space="0"/>
            </w:tcBorders>
            <w:noWrap w:val="0"/>
            <w:vAlign w:val="center"/>
          </w:tcPr>
          <w:p w14:paraId="055E5C9D">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点</w:t>
            </w:r>
          </w:p>
        </w:tc>
        <w:tc>
          <w:tcPr>
            <w:tcW w:w="851" w:type="dxa"/>
            <w:tcBorders>
              <w:top w:val="single" w:color="auto" w:sz="4" w:space="0"/>
              <w:left w:val="single" w:color="auto" w:sz="4" w:space="0"/>
              <w:bottom w:val="single" w:color="auto" w:sz="4" w:space="0"/>
              <w:right w:val="single" w:color="auto" w:sz="4" w:space="0"/>
            </w:tcBorders>
            <w:noWrap w:val="0"/>
            <w:vAlign w:val="center"/>
          </w:tcPr>
          <w:p w14:paraId="478068B5">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210</w:t>
            </w:r>
          </w:p>
        </w:tc>
        <w:tc>
          <w:tcPr>
            <w:tcW w:w="851" w:type="dxa"/>
            <w:tcBorders>
              <w:top w:val="single" w:color="auto" w:sz="4" w:space="0"/>
              <w:left w:val="single" w:color="auto" w:sz="4" w:space="0"/>
              <w:bottom w:val="single" w:color="auto" w:sz="4" w:space="0"/>
              <w:right w:val="single" w:color="auto" w:sz="4" w:space="0"/>
            </w:tcBorders>
            <w:noWrap w:val="0"/>
            <w:vAlign w:val="center"/>
          </w:tcPr>
          <w:p w14:paraId="2B09BCE2">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210</w:t>
            </w:r>
          </w:p>
        </w:tc>
        <w:tc>
          <w:tcPr>
            <w:tcW w:w="851" w:type="dxa"/>
            <w:tcBorders>
              <w:top w:val="single" w:color="auto" w:sz="4" w:space="0"/>
              <w:left w:val="single" w:color="auto" w:sz="4" w:space="0"/>
              <w:bottom w:val="single" w:color="auto" w:sz="4" w:space="0"/>
              <w:right w:val="single" w:color="auto" w:sz="4" w:space="0"/>
            </w:tcBorders>
            <w:noWrap w:val="0"/>
            <w:vAlign w:val="center"/>
          </w:tcPr>
          <w:p w14:paraId="5A001B63">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210</w:t>
            </w:r>
          </w:p>
        </w:tc>
        <w:tc>
          <w:tcPr>
            <w:tcW w:w="852" w:type="dxa"/>
            <w:tcBorders>
              <w:top w:val="single" w:color="auto" w:sz="4" w:space="0"/>
              <w:left w:val="single" w:color="auto" w:sz="4" w:space="0"/>
              <w:bottom w:val="single" w:color="auto" w:sz="4" w:space="0"/>
              <w:right w:val="single" w:color="auto" w:sz="4" w:space="0"/>
            </w:tcBorders>
            <w:noWrap w:val="0"/>
            <w:vAlign w:val="center"/>
          </w:tcPr>
          <w:p w14:paraId="6432AC8A">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210</w:t>
            </w:r>
          </w:p>
        </w:tc>
        <w:tc>
          <w:tcPr>
            <w:tcW w:w="554" w:type="dxa"/>
            <w:tcBorders>
              <w:top w:val="single" w:color="auto" w:sz="4" w:space="0"/>
              <w:left w:val="single" w:color="auto" w:sz="4" w:space="0"/>
              <w:bottom w:val="single" w:color="auto" w:sz="4" w:space="0"/>
              <w:right w:val="single" w:color="auto" w:sz="4" w:space="0"/>
            </w:tcBorders>
            <w:noWrap w:val="0"/>
            <w:vAlign w:val="center"/>
          </w:tcPr>
          <w:p w14:paraId="7CAC9FA9">
            <w:pPr>
              <w:jc w:val="center"/>
              <w:rPr>
                <w:rFonts w:hint="eastAsia" w:ascii="宋体" w:hAnsi="宋体" w:eastAsia="宋体" w:cs="宋体"/>
                <w:i w:val="0"/>
                <w:iCs w:val="0"/>
                <w:color w:val="auto"/>
                <w:sz w:val="18"/>
                <w:szCs w:val="18"/>
                <w:highlight w:val="none"/>
                <w:u w:val="none"/>
              </w:rPr>
            </w:pPr>
          </w:p>
        </w:tc>
      </w:tr>
      <w:tr w14:paraId="16B8ECC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0" w:hRule="atLeast"/>
        </w:trPr>
        <w:tc>
          <w:tcPr>
            <w:tcW w:w="584" w:type="dxa"/>
            <w:tcBorders>
              <w:top w:val="single" w:color="auto" w:sz="4" w:space="0"/>
              <w:left w:val="single" w:color="auto" w:sz="4" w:space="0"/>
              <w:bottom w:val="single" w:color="auto" w:sz="4" w:space="0"/>
              <w:right w:val="single" w:color="auto" w:sz="4" w:space="0"/>
            </w:tcBorders>
            <w:noWrap w:val="0"/>
            <w:vAlign w:val="center"/>
          </w:tcPr>
          <w:p w14:paraId="1C66333B">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4</w:t>
            </w:r>
          </w:p>
        </w:tc>
        <w:tc>
          <w:tcPr>
            <w:tcW w:w="690" w:type="dxa"/>
            <w:vMerge w:val="continue"/>
            <w:tcBorders>
              <w:top w:val="single" w:color="auto" w:sz="4" w:space="0"/>
              <w:left w:val="single" w:color="auto" w:sz="4" w:space="0"/>
              <w:bottom w:val="single" w:color="auto" w:sz="4" w:space="0"/>
              <w:right w:val="single" w:color="auto" w:sz="4" w:space="0"/>
            </w:tcBorders>
            <w:noWrap w:val="0"/>
            <w:vAlign w:val="center"/>
          </w:tcPr>
          <w:p w14:paraId="1DC4E9C2">
            <w:pPr>
              <w:jc w:val="center"/>
              <w:rPr>
                <w:rFonts w:hint="eastAsia" w:ascii="宋体" w:hAnsi="宋体" w:eastAsia="宋体" w:cs="宋体"/>
                <w:i w:val="0"/>
                <w:iCs w:val="0"/>
                <w:color w:val="auto"/>
                <w:sz w:val="18"/>
                <w:szCs w:val="18"/>
                <w:highlight w:val="none"/>
                <w:u w:val="none"/>
              </w:rPr>
            </w:pPr>
          </w:p>
        </w:tc>
        <w:tc>
          <w:tcPr>
            <w:tcW w:w="864" w:type="dxa"/>
            <w:vMerge w:val="continue"/>
            <w:tcBorders>
              <w:top w:val="single" w:color="auto" w:sz="4" w:space="0"/>
              <w:left w:val="single" w:color="auto" w:sz="4" w:space="0"/>
              <w:bottom w:val="single" w:color="auto" w:sz="4" w:space="0"/>
              <w:right w:val="single" w:color="auto" w:sz="4" w:space="0"/>
            </w:tcBorders>
            <w:noWrap w:val="0"/>
            <w:vAlign w:val="center"/>
          </w:tcPr>
          <w:p w14:paraId="1BC7189B">
            <w:pPr>
              <w:jc w:val="center"/>
              <w:rPr>
                <w:rFonts w:hint="eastAsia" w:ascii="宋体" w:hAnsi="宋体" w:eastAsia="宋体" w:cs="宋体"/>
                <w:i w:val="0"/>
                <w:iCs w:val="0"/>
                <w:color w:val="auto"/>
                <w:sz w:val="18"/>
                <w:szCs w:val="18"/>
                <w:highlight w:val="none"/>
                <w:u w:val="none"/>
              </w:rPr>
            </w:pPr>
          </w:p>
        </w:tc>
        <w:tc>
          <w:tcPr>
            <w:tcW w:w="1854" w:type="dxa"/>
            <w:gridSpan w:val="2"/>
            <w:tcBorders>
              <w:top w:val="single" w:color="auto" w:sz="4" w:space="0"/>
              <w:left w:val="single" w:color="auto" w:sz="4" w:space="0"/>
              <w:bottom w:val="single" w:color="auto" w:sz="4" w:space="0"/>
              <w:right w:val="single" w:color="auto" w:sz="4" w:space="0"/>
            </w:tcBorders>
            <w:noWrap w:val="0"/>
            <w:vAlign w:val="center"/>
          </w:tcPr>
          <w:p w14:paraId="4DC3C321">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挡墙墙身厚度</w:t>
            </w:r>
          </w:p>
        </w:tc>
        <w:tc>
          <w:tcPr>
            <w:tcW w:w="553" w:type="dxa"/>
            <w:tcBorders>
              <w:top w:val="single" w:color="auto" w:sz="4" w:space="0"/>
              <w:left w:val="single" w:color="auto" w:sz="4" w:space="0"/>
              <w:bottom w:val="single" w:color="auto" w:sz="4" w:space="0"/>
              <w:right w:val="single" w:color="auto" w:sz="4" w:space="0"/>
            </w:tcBorders>
            <w:noWrap w:val="0"/>
            <w:vAlign w:val="center"/>
          </w:tcPr>
          <w:p w14:paraId="190CA420">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点</w:t>
            </w:r>
          </w:p>
        </w:tc>
        <w:tc>
          <w:tcPr>
            <w:tcW w:w="851" w:type="dxa"/>
            <w:tcBorders>
              <w:top w:val="single" w:color="auto" w:sz="4" w:space="0"/>
              <w:left w:val="single" w:color="auto" w:sz="4" w:space="0"/>
              <w:bottom w:val="single" w:color="auto" w:sz="4" w:space="0"/>
              <w:right w:val="single" w:color="auto" w:sz="4" w:space="0"/>
            </w:tcBorders>
            <w:noWrap w:val="0"/>
            <w:vAlign w:val="center"/>
          </w:tcPr>
          <w:p w14:paraId="5CC4A92D">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52</w:t>
            </w:r>
          </w:p>
        </w:tc>
        <w:tc>
          <w:tcPr>
            <w:tcW w:w="851" w:type="dxa"/>
            <w:tcBorders>
              <w:top w:val="single" w:color="auto" w:sz="4" w:space="0"/>
              <w:left w:val="single" w:color="auto" w:sz="4" w:space="0"/>
              <w:bottom w:val="single" w:color="auto" w:sz="4" w:space="0"/>
              <w:right w:val="single" w:color="auto" w:sz="4" w:space="0"/>
            </w:tcBorders>
            <w:noWrap w:val="0"/>
            <w:vAlign w:val="center"/>
          </w:tcPr>
          <w:p w14:paraId="0763DC63">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52</w:t>
            </w:r>
          </w:p>
        </w:tc>
        <w:tc>
          <w:tcPr>
            <w:tcW w:w="851" w:type="dxa"/>
            <w:tcBorders>
              <w:top w:val="single" w:color="auto" w:sz="4" w:space="0"/>
              <w:left w:val="single" w:color="auto" w:sz="4" w:space="0"/>
              <w:bottom w:val="single" w:color="auto" w:sz="4" w:space="0"/>
              <w:right w:val="single" w:color="auto" w:sz="4" w:space="0"/>
            </w:tcBorders>
            <w:noWrap w:val="0"/>
            <w:vAlign w:val="center"/>
          </w:tcPr>
          <w:p w14:paraId="3A34E32D">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52</w:t>
            </w:r>
          </w:p>
        </w:tc>
        <w:tc>
          <w:tcPr>
            <w:tcW w:w="852" w:type="dxa"/>
            <w:tcBorders>
              <w:top w:val="single" w:color="auto" w:sz="4" w:space="0"/>
              <w:left w:val="single" w:color="auto" w:sz="4" w:space="0"/>
              <w:bottom w:val="single" w:color="auto" w:sz="4" w:space="0"/>
              <w:right w:val="single" w:color="auto" w:sz="4" w:space="0"/>
            </w:tcBorders>
            <w:noWrap w:val="0"/>
            <w:vAlign w:val="center"/>
          </w:tcPr>
          <w:p w14:paraId="55D57B9A">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52</w:t>
            </w:r>
          </w:p>
        </w:tc>
        <w:tc>
          <w:tcPr>
            <w:tcW w:w="554" w:type="dxa"/>
            <w:tcBorders>
              <w:top w:val="single" w:color="auto" w:sz="4" w:space="0"/>
              <w:left w:val="single" w:color="auto" w:sz="4" w:space="0"/>
              <w:bottom w:val="single" w:color="auto" w:sz="4" w:space="0"/>
              <w:right w:val="single" w:color="auto" w:sz="4" w:space="0"/>
            </w:tcBorders>
            <w:noWrap w:val="0"/>
            <w:vAlign w:val="center"/>
          </w:tcPr>
          <w:p w14:paraId="73C301C5">
            <w:pPr>
              <w:jc w:val="center"/>
              <w:rPr>
                <w:rFonts w:hint="eastAsia" w:ascii="宋体" w:hAnsi="宋体" w:eastAsia="宋体" w:cs="宋体"/>
                <w:i w:val="0"/>
                <w:iCs w:val="0"/>
                <w:color w:val="auto"/>
                <w:sz w:val="18"/>
                <w:szCs w:val="18"/>
                <w:highlight w:val="none"/>
                <w:u w:val="none"/>
              </w:rPr>
            </w:pPr>
          </w:p>
        </w:tc>
      </w:tr>
      <w:tr w14:paraId="6CF2D46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0" w:hRule="atLeast"/>
        </w:trPr>
        <w:tc>
          <w:tcPr>
            <w:tcW w:w="584" w:type="dxa"/>
            <w:tcBorders>
              <w:top w:val="single" w:color="auto" w:sz="4" w:space="0"/>
              <w:left w:val="single" w:color="auto" w:sz="4" w:space="0"/>
              <w:bottom w:val="single" w:color="auto" w:sz="4" w:space="0"/>
              <w:right w:val="single" w:color="auto" w:sz="4" w:space="0"/>
            </w:tcBorders>
            <w:noWrap w:val="0"/>
            <w:vAlign w:val="center"/>
          </w:tcPr>
          <w:p w14:paraId="057A2B13">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5</w:t>
            </w:r>
          </w:p>
        </w:tc>
        <w:tc>
          <w:tcPr>
            <w:tcW w:w="690" w:type="dxa"/>
            <w:vMerge w:val="continue"/>
            <w:tcBorders>
              <w:top w:val="single" w:color="auto" w:sz="4" w:space="0"/>
              <w:left w:val="single" w:color="auto" w:sz="4" w:space="0"/>
              <w:bottom w:val="single" w:color="auto" w:sz="4" w:space="0"/>
              <w:right w:val="single" w:color="auto" w:sz="4" w:space="0"/>
            </w:tcBorders>
            <w:noWrap w:val="0"/>
            <w:vAlign w:val="center"/>
          </w:tcPr>
          <w:p w14:paraId="3423388D">
            <w:pPr>
              <w:jc w:val="center"/>
              <w:rPr>
                <w:rFonts w:hint="eastAsia" w:ascii="宋体" w:hAnsi="宋体" w:eastAsia="宋体" w:cs="宋体"/>
                <w:i w:val="0"/>
                <w:iCs w:val="0"/>
                <w:color w:val="auto"/>
                <w:sz w:val="18"/>
                <w:szCs w:val="18"/>
                <w:highlight w:val="none"/>
                <w:u w:val="none"/>
              </w:rPr>
            </w:pPr>
          </w:p>
        </w:tc>
        <w:tc>
          <w:tcPr>
            <w:tcW w:w="2718" w:type="dxa"/>
            <w:gridSpan w:val="3"/>
            <w:tcBorders>
              <w:top w:val="single" w:color="auto" w:sz="4" w:space="0"/>
              <w:left w:val="single" w:color="auto" w:sz="4" w:space="0"/>
              <w:bottom w:val="single" w:color="auto" w:sz="4" w:space="0"/>
              <w:right w:val="single" w:color="auto" w:sz="4" w:space="0"/>
            </w:tcBorders>
            <w:noWrap w:val="0"/>
            <w:vAlign w:val="center"/>
          </w:tcPr>
          <w:p w14:paraId="5F71DD16">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路基弯沉（贝克曼梁）</w:t>
            </w:r>
          </w:p>
        </w:tc>
        <w:tc>
          <w:tcPr>
            <w:tcW w:w="553" w:type="dxa"/>
            <w:tcBorders>
              <w:top w:val="single" w:color="auto" w:sz="4" w:space="0"/>
              <w:left w:val="single" w:color="auto" w:sz="4" w:space="0"/>
              <w:bottom w:val="single" w:color="auto" w:sz="4" w:space="0"/>
              <w:right w:val="single" w:color="auto" w:sz="4" w:space="0"/>
            </w:tcBorders>
            <w:noWrap w:val="0"/>
            <w:vAlign w:val="center"/>
          </w:tcPr>
          <w:p w14:paraId="4B4FCA12">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点</w:t>
            </w:r>
          </w:p>
        </w:tc>
        <w:tc>
          <w:tcPr>
            <w:tcW w:w="851" w:type="dxa"/>
            <w:tcBorders>
              <w:top w:val="single" w:color="auto" w:sz="4" w:space="0"/>
              <w:left w:val="single" w:color="auto" w:sz="4" w:space="0"/>
              <w:bottom w:val="single" w:color="auto" w:sz="4" w:space="0"/>
              <w:right w:val="single" w:color="auto" w:sz="4" w:space="0"/>
            </w:tcBorders>
            <w:noWrap w:val="0"/>
            <w:vAlign w:val="center"/>
          </w:tcPr>
          <w:p w14:paraId="67E5A517">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100</w:t>
            </w:r>
          </w:p>
        </w:tc>
        <w:tc>
          <w:tcPr>
            <w:tcW w:w="851" w:type="dxa"/>
            <w:tcBorders>
              <w:top w:val="single" w:color="auto" w:sz="4" w:space="0"/>
              <w:left w:val="single" w:color="auto" w:sz="4" w:space="0"/>
              <w:bottom w:val="single" w:color="auto" w:sz="4" w:space="0"/>
              <w:right w:val="single" w:color="auto" w:sz="4" w:space="0"/>
            </w:tcBorders>
            <w:noWrap w:val="0"/>
            <w:vAlign w:val="center"/>
          </w:tcPr>
          <w:p w14:paraId="622412C7">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100</w:t>
            </w:r>
          </w:p>
        </w:tc>
        <w:tc>
          <w:tcPr>
            <w:tcW w:w="851" w:type="dxa"/>
            <w:tcBorders>
              <w:top w:val="single" w:color="auto" w:sz="4" w:space="0"/>
              <w:left w:val="single" w:color="auto" w:sz="4" w:space="0"/>
              <w:bottom w:val="single" w:color="auto" w:sz="4" w:space="0"/>
              <w:right w:val="single" w:color="auto" w:sz="4" w:space="0"/>
            </w:tcBorders>
            <w:noWrap w:val="0"/>
            <w:vAlign w:val="center"/>
          </w:tcPr>
          <w:p w14:paraId="20357652">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100</w:t>
            </w:r>
          </w:p>
        </w:tc>
        <w:tc>
          <w:tcPr>
            <w:tcW w:w="852" w:type="dxa"/>
            <w:tcBorders>
              <w:top w:val="single" w:color="auto" w:sz="4" w:space="0"/>
              <w:left w:val="single" w:color="auto" w:sz="4" w:space="0"/>
              <w:bottom w:val="single" w:color="auto" w:sz="4" w:space="0"/>
              <w:right w:val="single" w:color="auto" w:sz="4" w:space="0"/>
            </w:tcBorders>
            <w:noWrap w:val="0"/>
            <w:vAlign w:val="center"/>
          </w:tcPr>
          <w:p w14:paraId="433C4141">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100</w:t>
            </w:r>
          </w:p>
        </w:tc>
        <w:tc>
          <w:tcPr>
            <w:tcW w:w="554" w:type="dxa"/>
            <w:tcBorders>
              <w:top w:val="single" w:color="auto" w:sz="4" w:space="0"/>
              <w:left w:val="single" w:color="auto" w:sz="4" w:space="0"/>
              <w:bottom w:val="single" w:color="auto" w:sz="4" w:space="0"/>
              <w:right w:val="single" w:color="auto" w:sz="4" w:space="0"/>
            </w:tcBorders>
            <w:noWrap w:val="0"/>
            <w:vAlign w:val="center"/>
          </w:tcPr>
          <w:p w14:paraId="3E9A469C">
            <w:pPr>
              <w:jc w:val="center"/>
              <w:rPr>
                <w:rFonts w:hint="eastAsia" w:ascii="宋体" w:hAnsi="宋体" w:eastAsia="宋体" w:cs="宋体"/>
                <w:i w:val="0"/>
                <w:iCs w:val="0"/>
                <w:color w:val="auto"/>
                <w:sz w:val="18"/>
                <w:szCs w:val="18"/>
                <w:highlight w:val="none"/>
                <w:u w:val="none"/>
              </w:rPr>
            </w:pPr>
          </w:p>
        </w:tc>
      </w:tr>
      <w:tr w14:paraId="09A75A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0" w:hRule="atLeast"/>
        </w:trPr>
        <w:tc>
          <w:tcPr>
            <w:tcW w:w="584" w:type="dxa"/>
            <w:tcBorders>
              <w:top w:val="single" w:color="auto" w:sz="4" w:space="0"/>
              <w:left w:val="single" w:color="auto" w:sz="4" w:space="0"/>
              <w:bottom w:val="single" w:color="auto" w:sz="4" w:space="0"/>
              <w:right w:val="single" w:color="auto" w:sz="4" w:space="0"/>
            </w:tcBorders>
            <w:noWrap w:val="0"/>
            <w:vAlign w:val="center"/>
          </w:tcPr>
          <w:p w14:paraId="47C9A5F0">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6</w:t>
            </w:r>
          </w:p>
        </w:tc>
        <w:tc>
          <w:tcPr>
            <w:tcW w:w="690" w:type="dxa"/>
            <w:vMerge w:val="continue"/>
            <w:tcBorders>
              <w:top w:val="single" w:color="auto" w:sz="4" w:space="0"/>
              <w:left w:val="single" w:color="auto" w:sz="4" w:space="0"/>
              <w:bottom w:val="single" w:color="auto" w:sz="4" w:space="0"/>
              <w:right w:val="single" w:color="auto" w:sz="4" w:space="0"/>
            </w:tcBorders>
            <w:noWrap w:val="0"/>
            <w:vAlign w:val="center"/>
          </w:tcPr>
          <w:p w14:paraId="1AC08F2E">
            <w:pPr>
              <w:jc w:val="center"/>
              <w:rPr>
                <w:rFonts w:hint="eastAsia" w:ascii="宋体" w:hAnsi="宋体" w:eastAsia="宋体" w:cs="宋体"/>
                <w:i w:val="0"/>
                <w:iCs w:val="0"/>
                <w:color w:val="auto"/>
                <w:sz w:val="18"/>
                <w:szCs w:val="18"/>
                <w:highlight w:val="none"/>
                <w:u w:val="none"/>
              </w:rPr>
            </w:pPr>
          </w:p>
        </w:tc>
        <w:tc>
          <w:tcPr>
            <w:tcW w:w="2718" w:type="dxa"/>
            <w:gridSpan w:val="3"/>
            <w:tcBorders>
              <w:top w:val="single" w:color="auto" w:sz="4" w:space="0"/>
              <w:left w:val="single" w:color="auto" w:sz="4" w:space="0"/>
              <w:bottom w:val="single" w:color="auto" w:sz="4" w:space="0"/>
              <w:right w:val="single" w:color="auto" w:sz="4" w:space="0"/>
            </w:tcBorders>
            <w:noWrap w:val="0"/>
            <w:vAlign w:val="center"/>
          </w:tcPr>
          <w:p w14:paraId="78DCD6E8">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 xml:space="preserve"> 小桥涵混凝土强度</w:t>
            </w:r>
          </w:p>
        </w:tc>
        <w:tc>
          <w:tcPr>
            <w:tcW w:w="553" w:type="dxa"/>
            <w:tcBorders>
              <w:top w:val="single" w:color="auto" w:sz="4" w:space="0"/>
              <w:left w:val="single" w:color="auto" w:sz="4" w:space="0"/>
              <w:bottom w:val="single" w:color="auto" w:sz="4" w:space="0"/>
              <w:right w:val="single" w:color="auto" w:sz="4" w:space="0"/>
            </w:tcBorders>
            <w:noWrap w:val="0"/>
            <w:vAlign w:val="center"/>
          </w:tcPr>
          <w:p w14:paraId="0549F52E">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点</w:t>
            </w:r>
          </w:p>
        </w:tc>
        <w:tc>
          <w:tcPr>
            <w:tcW w:w="851" w:type="dxa"/>
            <w:tcBorders>
              <w:top w:val="single" w:color="auto" w:sz="4" w:space="0"/>
              <w:left w:val="single" w:color="auto" w:sz="4" w:space="0"/>
              <w:bottom w:val="single" w:color="auto" w:sz="4" w:space="0"/>
              <w:right w:val="single" w:color="auto" w:sz="4" w:space="0"/>
            </w:tcBorders>
            <w:noWrap w:val="0"/>
            <w:vAlign w:val="center"/>
          </w:tcPr>
          <w:p w14:paraId="5582F991">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100</w:t>
            </w:r>
          </w:p>
        </w:tc>
        <w:tc>
          <w:tcPr>
            <w:tcW w:w="851" w:type="dxa"/>
            <w:tcBorders>
              <w:top w:val="single" w:color="auto" w:sz="4" w:space="0"/>
              <w:left w:val="single" w:color="auto" w:sz="4" w:space="0"/>
              <w:bottom w:val="single" w:color="auto" w:sz="4" w:space="0"/>
              <w:right w:val="single" w:color="auto" w:sz="4" w:space="0"/>
            </w:tcBorders>
            <w:noWrap w:val="0"/>
            <w:vAlign w:val="center"/>
          </w:tcPr>
          <w:p w14:paraId="104591D8">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100</w:t>
            </w:r>
          </w:p>
        </w:tc>
        <w:tc>
          <w:tcPr>
            <w:tcW w:w="851" w:type="dxa"/>
            <w:tcBorders>
              <w:top w:val="single" w:color="auto" w:sz="4" w:space="0"/>
              <w:left w:val="single" w:color="auto" w:sz="4" w:space="0"/>
              <w:bottom w:val="single" w:color="auto" w:sz="4" w:space="0"/>
              <w:right w:val="single" w:color="auto" w:sz="4" w:space="0"/>
            </w:tcBorders>
            <w:noWrap w:val="0"/>
            <w:vAlign w:val="center"/>
          </w:tcPr>
          <w:p w14:paraId="08D9A9A8">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100</w:t>
            </w:r>
          </w:p>
        </w:tc>
        <w:tc>
          <w:tcPr>
            <w:tcW w:w="852" w:type="dxa"/>
            <w:tcBorders>
              <w:top w:val="single" w:color="auto" w:sz="4" w:space="0"/>
              <w:left w:val="single" w:color="auto" w:sz="4" w:space="0"/>
              <w:bottom w:val="single" w:color="auto" w:sz="4" w:space="0"/>
              <w:right w:val="single" w:color="auto" w:sz="4" w:space="0"/>
            </w:tcBorders>
            <w:noWrap w:val="0"/>
            <w:vAlign w:val="center"/>
          </w:tcPr>
          <w:p w14:paraId="751C86CF">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100</w:t>
            </w:r>
          </w:p>
        </w:tc>
        <w:tc>
          <w:tcPr>
            <w:tcW w:w="554" w:type="dxa"/>
            <w:tcBorders>
              <w:top w:val="single" w:color="auto" w:sz="4" w:space="0"/>
              <w:left w:val="single" w:color="auto" w:sz="4" w:space="0"/>
              <w:bottom w:val="single" w:color="auto" w:sz="4" w:space="0"/>
              <w:right w:val="single" w:color="auto" w:sz="4" w:space="0"/>
            </w:tcBorders>
            <w:noWrap w:val="0"/>
            <w:vAlign w:val="center"/>
          </w:tcPr>
          <w:p w14:paraId="2CD02315">
            <w:pPr>
              <w:jc w:val="center"/>
              <w:rPr>
                <w:rFonts w:hint="eastAsia" w:ascii="宋体" w:hAnsi="宋体" w:eastAsia="宋体" w:cs="宋体"/>
                <w:i w:val="0"/>
                <w:iCs w:val="0"/>
                <w:color w:val="auto"/>
                <w:sz w:val="18"/>
                <w:szCs w:val="18"/>
                <w:highlight w:val="none"/>
                <w:u w:val="none"/>
              </w:rPr>
            </w:pPr>
          </w:p>
        </w:tc>
      </w:tr>
      <w:tr w14:paraId="5437177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0" w:hRule="atLeast"/>
        </w:trPr>
        <w:tc>
          <w:tcPr>
            <w:tcW w:w="584" w:type="dxa"/>
            <w:tcBorders>
              <w:top w:val="single" w:color="auto" w:sz="4" w:space="0"/>
              <w:left w:val="single" w:color="auto" w:sz="4" w:space="0"/>
              <w:bottom w:val="single" w:color="auto" w:sz="4" w:space="0"/>
              <w:right w:val="single" w:color="auto" w:sz="4" w:space="0"/>
            </w:tcBorders>
            <w:noWrap w:val="0"/>
            <w:vAlign w:val="center"/>
          </w:tcPr>
          <w:p w14:paraId="06806112">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7</w:t>
            </w:r>
          </w:p>
        </w:tc>
        <w:tc>
          <w:tcPr>
            <w:tcW w:w="690" w:type="dxa"/>
            <w:vMerge w:val="continue"/>
            <w:tcBorders>
              <w:top w:val="single" w:color="auto" w:sz="4" w:space="0"/>
              <w:left w:val="single" w:color="auto" w:sz="4" w:space="0"/>
              <w:bottom w:val="single" w:color="auto" w:sz="4" w:space="0"/>
              <w:right w:val="single" w:color="auto" w:sz="4" w:space="0"/>
            </w:tcBorders>
            <w:noWrap w:val="0"/>
            <w:vAlign w:val="center"/>
          </w:tcPr>
          <w:p w14:paraId="71ADCD8B">
            <w:pPr>
              <w:jc w:val="center"/>
              <w:rPr>
                <w:rFonts w:hint="eastAsia" w:ascii="宋体" w:hAnsi="宋体" w:eastAsia="宋体" w:cs="宋体"/>
                <w:i w:val="0"/>
                <w:iCs w:val="0"/>
                <w:color w:val="auto"/>
                <w:sz w:val="18"/>
                <w:szCs w:val="18"/>
                <w:highlight w:val="none"/>
                <w:u w:val="none"/>
              </w:rPr>
            </w:pPr>
          </w:p>
        </w:tc>
        <w:tc>
          <w:tcPr>
            <w:tcW w:w="2718" w:type="dxa"/>
            <w:gridSpan w:val="3"/>
            <w:tcBorders>
              <w:top w:val="single" w:color="auto" w:sz="4" w:space="0"/>
              <w:left w:val="single" w:color="auto" w:sz="4" w:space="0"/>
              <w:bottom w:val="single" w:color="auto" w:sz="4" w:space="0"/>
              <w:right w:val="single" w:color="auto" w:sz="4" w:space="0"/>
            </w:tcBorders>
            <w:noWrap w:val="0"/>
            <w:vAlign w:val="center"/>
          </w:tcPr>
          <w:p w14:paraId="24F582D0">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支挡工程砂浆及混凝土强度</w:t>
            </w:r>
          </w:p>
        </w:tc>
        <w:tc>
          <w:tcPr>
            <w:tcW w:w="553" w:type="dxa"/>
            <w:tcBorders>
              <w:top w:val="single" w:color="auto" w:sz="4" w:space="0"/>
              <w:left w:val="single" w:color="auto" w:sz="4" w:space="0"/>
              <w:bottom w:val="single" w:color="auto" w:sz="4" w:space="0"/>
              <w:right w:val="single" w:color="auto" w:sz="4" w:space="0"/>
            </w:tcBorders>
            <w:noWrap w:val="0"/>
            <w:vAlign w:val="center"/>
          </w:tcPr>
          <w:p w14:paraId="2518B448">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点</w:t>
            </w:r>
          </w:p>
        </w:tc>
        <w:tc>
          <w:tcPr>
            <w:tcW w:w="851" w:type="dxa"/>
            <w:tcBorders>
              <w:top w:val="single" w:color="auto" w:sz="4" w:space="0"/>
              <w:left w:val="single" w:color="auto" w:sz="4" w:space="0"/>
              <w:bottom w:val="single" w:color="auto" w:sz="4" w:space="0"/>
              <w:right w:val="single" w:color="auto" w:sz="4" w:space="0"/>
            </w:tcBorders>
            <w:noWrap w:val="0"/>
            <w:vAlign w:val="center"/>
          </w:tcPr>
          <w:p w14:paraId="351CB678">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100</w:t>
            </w:r>
          </w:p>
        </w:tc>
        <w:tc>
          <w:tcPr>
            <w:tcW w:w="851" w:type="dxa"/>
            <w:tcBorders>
              <w:top w:val="single" w:color="auto" w:sz="4" w:space="0"/>
              <w:left w:val="single" w:color="auto" w:sz="4" w:space="0"/>
              <w:bottom w:val="single" w:color="auto" w:sz="4" w:space="0"/>
              <w:right w:val="single" w:color="auto" w:sz="4" w:space="0"/>
            </w:tcBorders>
            <w:noWrap w:val="0"/>
            <w:vAlign w:val="center"/>
          </w:tcPr>
          <w:p w14:paraId="33461E4B">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100</w:t>
            </w:r>
          </w:p>
        </w:tc>
        <w:tc>
          <w:tcPr>
            <w:tcW w:w="851" w:type="dxa"/>
            <w:tcBorders>
              <w:top w:val="single" w:color="auto" w:sz="4" w:space="0"/>
              <w:left w:val="single" w:color="auto" w:sz="4" w:space="0"/>
              <w:bottom w:val="single" w:color="auto" w:sz="4" w:space="0"/>
              <w:right w:val="single" w:color="auto" w:sz="4" w:space="0"/>
            </w:tcBorders>
            <w:noWrap w:val="0"/>
            <w:vAlign w:val="center"/>
          </w:tcPr>
          <w:p w14:paraId="4127B5EF">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100</w:t>
            </w:r>
          </w:p>
        </w:tc>
        <w:tc>
          <w:tcPr>
            <w:tcW w:w="852" w:type="dxa"/>
            <w:tcBorders>
              <w:top w:val="single" w:color="auto" w:sz="4" w:space="0"/>
              <w:left w:val="single" w:color="auto" w:sz="4" w:space="0"/>
              <w:bottom w:val="single" w:color="auto" w:sz="4" w:space="0"/>
              <w:right w:val="single" w:color="auto" w:sz="4" w:space="0"/>
            </w:tcBorders>
            <w:noWrap w:val="0"/>
            <w:vAlign w:val="center"/>
          </w:tcPr>
          <w:p w14:paraId="15D30218">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100</w:t>
            </w:r>
          </w:p>
        </w:tc>
        <w:tc>
          <w:tcPr>
            <w:tcW w:w="554" w:type="dxa"/>
            <w:tcBorders>
              <w:top w:val="single" w:color="auto" w:sz="4" w:space="0"/>
              <w:left w:val="single" w:color="auto" w:sz="4" w:space="0"/>
              <w:bottom w:val="single" w:color="auto" w:sz="4" w:space="0"/>
              <w:right w:val="single" w:color="auto" w:sz="4" w:space="0"/>
            </w:tcBorders>
            <w:noWrap w:val="0"/>
            <w:vAlign w:val="center"/>
          </w:tcPr>
          <w:p w14:paraId="44CDFC81">
            <w:pPr>
              <w:jc w:val="center"/>
              <w:rPr>
                <w:rFonts w:hint="eastAsia" w:ascii="宋体" w:hAnsi="宋体" w:eastAsia="宋体" w:cs="宋体"/>
                <w:i w:val="0"/>
                <w:iCs w:val="0"/>
                <w:color w:val="auto"/>
                <w:sz w:val="18"/>
                <w:szCs w:val="18"/>
                <w:highlight w:val="none"/>
                <w:u w:val="none"/>
              </w:rPr>
            </w:pPr>
          </w:p>
        </w:tc>
      </w:tr>
      <w:tr w14:paraId="09BFBC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0" w:hRule="atLeast"/>
        </w:trPr>
        <w:tc>
          <w:tcPr>
            <w:tcW w:w="584" w:type="dxa"/>
            <w:tcBorders>
              <w:top w:val="single" w:color="auto" w:sz="4" w:space="0"/>
              <w:left w:val="single" w:color="auto" w:sz="4" w:space="0"/>
              <w:bottom w:val="single" w:color="auto" w:sz="4" w:space="0"/>
              <w:right w:val="single" w:color="auto" w:sz="4" w:space="0"/>
            </w:tcBorders>
            <w:noWrap w:val="0"/>
            <w:vAlign w:val="center"/>
          </w:tcPr>
          <w:p w14:paraId="4BBE1C8F">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8</w:t>
            </w:r>
          </w:p>
        </w:tc>
        <w:tc>
          <w:tcPr>
            <w:tcW w:w="690" w:type="dxa"/>
            <w:vMerge w:val="continue"/>
            <w:tcBorders>
              <w:top w:val="single" w:color="auto" w:sz="4" w:space="0"/>
              <w:left w:val="single" w:color="auto" w:sz="4" w:space="0"/>
              <w:bottom w:val="single" w:color="auto" w:sz="4" w:space="0"/>
              <w:right w:val="single" w:color="auto" w:sz="4" w:space="0"/>
            </w:tcBorders>
            <w:noWrap w:val="0"/>
            <w:vAlign w:val="center"/>
          </w:tcPr>
          <w:p w14:paraId="7B1527C5">
            <w:pPr>
              <w:jc w:val="center"/>
              <w:rPr>
                <w:rFonts w:hint="eastAsia" w:ascii="宋体" w:hAnsi="宋体" w:eastAsia="宋体" w:cs="宋体"/>
                <w:i w:val="0"/>
                <w:iCs w:val="0"/>
                <w:color w:val="auto"/>
                <w:sz w:val="18"/>
                <w:szCs w:val="18"/>
                <w:highlight w:val="none"/>
                <w:u w:val="none"/>
              </w:rPr>
            </w:pPr>
          </w:p>
        </w:tc>
        <w:tc>
          <w:tcPr>
            <w:tcW w:w="2718" w:type="dxa"/>
            <w:gridSpan w:val="3"/>
            <w:tcBorders>
              <w:top w:val="single" w:color="auto" w:sz="4" w:space="0"/>
              <w:left w:val="single" w:color="auto" w:sz="4" w:space="0"/>
              <w:bottom w:val="single" w:color="auto" w:sz="4" w:space="0"/>
              <w:right w:val="single" w:color="auto" w:sz="4" w:space="0"/>
            </w:tcBorders>
            <w:noWrap w:val="0"/>
            <w:vAlign w:val="center"/>
          </w:tcPr>
          <w:p w14:paraId="50DAC36E">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 xml:space="preserve"> 支挡工程断面尺寸</w:t>
            </w:r>
          </w:p>
        </w:tc>
        <w:tc>
          <w:tcPr>
            <w:tcW w:w="553" w:type="dxa"/>
            <w:tcBorders>
              <w:top w:val="single" w:color="auto" w:sz="4" w:space="0"/>
              <w:left w:val="single" w:color="auto" w:sz="4" w:space="0"/>
              <w:bottom w:val="single" w:color="auto" w:sz="4" w:space="0"/>
              <w:right w:val="single" w:color="auto" w:sz="4" w:space="0"/>
            </w:tcBorders>
            <w:noWrap w:val="0"/>
            <w:vAlign w:val="center"/>
          </w:tcPr>
          <w:p w14:paraId="0380ED89">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断面</w:t>
            </w:r>
          </w:p>
        </w:tc>
        <w:tc>
          <w:tcPr>
            <w:tcW w:w="851" w:type="dxa"/>
            <w:tcBorders>
              <w:top w:val="single" w:color="auto" w:sz="4" w:space="0"/>
              <w:left w:val="single" w:color="auto" w:sz="4" w:space="0"/>
              <w:bottom w:val="single" w:color="auto" w:sz="4" w:space="0"/>
              <w:right w:val="single" w:color="auto" w:sz="4" w:space="0"/>
            </w:tcBorders>
            <w:noWrap w:val="0"/>
            <w:vAlign w:val="center"/>
          </w:tcPr>
          <w:p w14:paraId="5712B2FA">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100</w:t>
            </w:r>
          </w:p>
        </w:tc>
        <w:tc>
          <w:tcPr>
            <w:tcW w:w="851" w:type="dxa"/>
            <w:tcBorders>
              <w:top w:val="single" w:color="auto" w:sz="4" w:space="0"/>
              <w:left w:val="single" w:color="auto" w:sz="4" w:space="0"/>
              <w:bottom w:val="single" w:color="auto" w:sz="4" w:space="0"/>
              <w:right w:val="single" w:color="auto" w:sz="4" w:space="0"/>
            </w:tcBorders>
            <w:noWrap w:val="0"/>
            <w:vAlign w:val="center"/>
          </w:tcPr>
          <w:p w14:paraId="680E20B9">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100</w:t>
            </w:r>
          </w:p>
        </w:tc>
        <w:tc>
          <w:tcPr>
            <w:tcW w:w="851" w:type="dxa"/>
            <w:tcBorders>
              <w:top w:val="single" w:color="auto" w:sz="4" w:space="0"/>
              <w:left w:val="single" w:color="auto" w:sz="4" w:space="0"/>
              <w:bottom w:val="single" w:color="auto" w:sz="4" w:space="0"/>
              <w:right w:val="single" w:color="auto" w:sz="4" w:space="0"/>
            </w:tcBorders>
            <w:noWrap w:val="0"/>
            <w:vAlign w:val="center"/>
          </w:tcPr>
          <w:p w14:paraId="71F6E404">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100</w:t>
            </w:r>
          </w:p>
        </w:tc>
        <w:tc>
          <w:tcPr>
            <w:tcW w:w="852" w:type="dxa"/>
            <w:tcBorders>
              <w:top w:val="single" w:color="auto" w:sz="4" w:space="0"/>
              <w:left w:val="single" w:color="auto" w:sz="4" w:space="0"/>
              <w:bottom w:val="single" w:color="auto" w:sz="4" w:space="0"/>
              <w:right w:val="single" w:color="auto" w:sz="4" w:space="0"/>
            </w:tcBorders>
            <w:noWrap w:val="0"/>
            <w:vAlign w:val="center"/>
          </w:tcPr>
          <w:p w14:paraId="3A2C0D22">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100</w:t>
            </w:r>
          </w:p>
        </w:tc>
        <w:tc>
          <w:tcPr>
            <w:tcW w:w="554" w:type="dxa"/>
            <w:tcBorders>
              <w:top w:val="single" w:color="auto" w:sz="4" w:space="0"/>
              <w:left w:val="single" w:color="auto" w:sz="4" w:space="0"/>
              <w:bottom w:val="single" w:color="auto" w:sz="4" w:space="0"/>
              <w:right w:val="single" w:color="auto" w:sz="4" w:space="0"/>
            </w:tcBorders>
            <w:noWrap w:val="0"/>
            <w:vAlign w:val="center"/>
          </w:tcPr>
          <w:p w14:paraId="7164454F">
            <w:pPr>
              <w:jc w:val="center"/>
              <w:rPr>
                <w:rFonts w:hint="eastAsia" w:ascii="宋体" w:hAnsi="宋体" w:eastAsia="宋体" w:cs="宋体"/>
                <w:i w:val="0"/>
                <w:iCs w:val="0"/>
                <w:color w:val="auto"/>
                <w:sz w:val="18"/>
                <w:szCs w:val="18"/>
                <w:highlight w:val="none"/>
                <w:u w:val="none"/>
              </w:rPr>
            </w:pPr>
          </w:p>
        </w:tc>
      </w:tr>
      <w:tr w14:paraId="5394769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0" w:hRule="atLeast"/>
        </w:trPr>
        <w:tc>
          <w:tcPr>
            <w:tcW w:w="584" w:type="dxa"/>
            <w:tcBorders>
              <w:top w:val="single" w:color="auto" w:sz="4" w:space="0"/>
              <w:left w:val="single" w:color="auto" w:sz="4" w:space="0"/>
              <w:bottom w:val="single" w:color="auto" w:sz="4" w:space="0"/>
              <w:right w:val="single" w:color="auto" w:sz="4" w:space="0"/>
            </w:tcBorders>
            <w:noWrap w:val="0"/>
            <w:vAlign w:val="center"/>
          </w:tcPr>
          <w:p w14:paraId="1ADD8AF7">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9</w:t>
            </w:r>
          </w:p>
        </w:tc>
        <w:tc>
          <w:tcPr>
            <w:tcW w:w="690" w:type="dxa"/>
            <w:vMerge w:val="continue"/>
            <w:tcBorders>
              <w:top w:val="single" w:color="auto" w:sz="4" w:space="0"/>
              <w:left w:val="single" w:color="auto" w:sz="4" w:space="0"/>
              <w:bottom w:val="single" w:color="auto" w:sz="4" w:space="0"/>
              <w:right w:val="single" w:color="auto" w:sz="4" w:space="0"/>
            </w:tcBorders>
            <w:noWrap w:val="0"/>
            <w:vAlign w:val="center"/>
          </w:tcPr>
          <w:p w14:paraId="648531BA">
            <w:pPr>
              <w:jc w:val="center"/>
              <w:rPr>
                <w:rFonts w:hint="eastAsia" w:ascii="宋体" w:hAnsi="宋体" w:eastAsia="宋体" w:cs="宋体"/>
                <w:i w:val="0"/>
                <w:iCs w:val="0"/>
                <w:color w:val="auto"/>
                <w:sz w:val="18"/>
                <w:szCs w:val="18"/>
                <w:highlight w:val="none"/>
                <w:u w:val="none"/>
              </w:rPr>
            </w:pPr>
          </w:p>
        </w:tc>
        <w:tc>
          <w:tcPr>
            <w:tcW w:w="2718" w:type="dxa"/>
            <w:gridSpan w:val="3"/>
            <w:tcBorders>
              <w:top w:val="single" w:color="auto" w:sz="4" w:space="0"/>
              <w:left w:val="single" w:color="auto" w:sz="4" w:space="0"/>
              <w:bottom w:val="single" w:color="auto" w:sz="4" w:space="0"/>
              <w:right w:val="single" w:color="auto" w:sz="4" w:space="0"/>
            </w:tcBorders>
            <w:noWrap w:val="0"/>
            <w:vAlign w:val="center"/>
          </w:tcPr>
          <w:p w14:paraId="51EEB79A">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 xml:space="preserve">排水工程铺砌厚度及断面尺寸 </w:t>
            </w:r>
          </w:p>
        </w:tc>
        <w:tc>
          <w:tcPr>
            <w:tcW w:w="553" w:type="dxa"/>
            <w:tcBorders>
              <w:top w:val="single" w:color="auto" w:sz="4" w:space="0"/>
              <w:left w:val="single" w:color="auto" w:sz="4" w:space="0"/>
              <w:bottom w:val="single" w:color="auto" w:sz="4" w:space="0"/>
              <w:right w:val="single" w:color="auto" w:sz="4" w:space="0"/>
            </w:tcBorders>
            <w:noWrap w:val="0"/>
            <w:vAlign w:val="center"/>
          </w:tcPr>
          <w:p w14:paraId="417382B6">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断面</w:t>
            </w:r>
          </w:p>
        </w:tc>
        <w:tc>
          <w:tcPr>
            <w:tcW w:w="851" w:type="dxa"/>
            <w:tcBorders>
              <w:top w:val="single" w:color="auto" w:sz="4" w:space="0"/>
              <w:left w:val="single" w:color="auto" w:sz="4" w:space="0"/>
              <w:bottom w:val="single" w:color="auto" w:sz="4" w:space="0"/>
              <w:right w:val="single" w:color="auto" w:sz="4" w:space="0"/>
            </w:tcBorders>
            <w:noWrap w:val="0"/>
            <w:vAlign w:val="center"/>
          </w:tcPr>
          <w:p w14:paraId="00CECC84">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100</w:t>
            </w:r>
          </w:p>
        </w:tc>
        <w:tc>
          <w:tcPr>
            <w:tcW w:w="851" w:type="dxa"/>
            <w:tcBorders>
              <w:top w:val="single" w:color="auto" w:sz="4" w:space="0"/>
              <w:left w:val="single" w:color="auto" w:sz="4" w:space="0"/>
              <w:bottom w:val="single" w:color="auto" w:sz="4" w:space="0"/>
              <w:right w:val="single" w:color="auto" w:sz="4" w:space="0"/>
            </w:tcBorders>
            <w:noWrap w:val="0"/>
            <w:vAlign w:val="center"/>
          </w:tcPr>
          <w:p w14:paraId="68ABC6EF">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100</w:t>
            </w:r>
          </w:p>
        </w:tc>
        <w:tc>
          <w:tcPr>
            <w:tcW w:w="851" w:type="dxa"/>
            <w:tcBorders>
              <w:top w:val="single" w:color="auto" w:sz="4" w:space="0"/>
              <w:left w:val="single" w:color="auto" w:sz="4" w:space="0"/>
              <w:bottom w:val="single" w:color="auto" w:sz="4" w:space="0"/>
              <w:right w:val="single" w:color="auto" w:sz="4" w:space="0"/>
            </w:tcBorders>
            <w:noWrap w:val="0"/>
            <w:vAlign w:val="center"/>
          </w:tcPr>
          <w:p w14:paraId="73673298">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100</w:t>
            </w:r>
          </w:p>
        </w:tc>
        <w:tc>
          <w:tcPr>
            <w:tcW w:w="852" w:type="dxa"/>
            <w:tcBorders>
              <w:top w:val="single" w:color="auto" w:sz="4" w:space="0"/>
              <w:left w:val="single" w:color="auto" w:sz="4" w:space="0"/>
              <w:bottom w:val="single" w:color="auto" w:sz="4" w:space="0"/>
              <w:right w:val="single" w:color="auto" w:sz="4" w:space="0"/>
            </w:tcBorders>
            <w:noWrap w:val="0"/>
            <w:vAlign w:val="center"/>
          </w:tcPr>
          <w:p w14:paraId="2E31F7D2">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100</w:t>
            </w:r>
          </w:p>
        </w:tc>
        <w:tc>
          <w:tcPr>
            <w:tcW w:w="554" w:type="dxa"/>
            <w:tcBorders>
              <w:top w:val="single" w:color="auto" w:sz="4" w:space="0"/>
              <w:left w:val="single" w:color="auto" w:sz="4" w:space="0"/>
              <w:bottom w:val="single" w:color="auto" w:sz="4" w:space="0"/>
              <w:right w:val="single" w:color="auto" w:sz="4" w:space="0"/>
            </w:tcBorders>
            <w:noWrap w:val="0"/>
            <w:vAlign w:val="center"/>
          </w:tcPr>
          <w:p w14:paraId="19B15990">
            <w:pPr>
              <w:jc w:val="center"/>
              <w:rPr>
                <w:rFonts w:hint="eastAsia" w:ascii="宋体" w:hAnsi="宋体" w:eastAsia="宋体" w:cs="宋体"/>
                <w:i w:val="0"/>
                <w:iCs w:val="0"/>
                <w:color w:val="auto"/>
                <w:sz w:val="18"/>
                <w:szCs w:val="18"/>
                <w:highlight w:val="none"/>
                <w:u w:val="none"/>
              </w:rPr>
            </w:pPr>
          </w:p>
        </w:tc>
      </w:tr>
      <w:tr w14:paraId="2A22927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0" w:hRule="atLeast"/>
        </w:trPr>
        <w:tc>
          <w:tcPr>
            <w:tcW w:w="584" w:type="dxa"/>
            <w:tcBorders>
              <w:top w:val="single" w:color="auto" w:sz="4" w:space="0"/>
              <w:left w:val="single" w:color="auto" w:sz="4" w:space="0"/>
              <w:bottom w:val="single" w:color="auto" w:sz="4" w:space="0"/>
              <w:right w:val="single" w:color="auto" w:sz="4" w:space="0"/>
            </w:tcBorders>
            <w:noWrap w:val="0"/>
            <w:vAlign w:val="center"/>
          </w:tcPr>
          <w:p w14:paraId="6C088316">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10</w:t>
            </w:r>
          </w:p>
        </w:tc>
        <w:tc>
          <w:tcPr>
            <w:tcW w:w="690" w:type="dxa"/>
            <w:vMerge w:val="continue"/>
            <w:tcBorders>
              <w:top w:val="single" w:color="auto" w:sz="4" w:space="0"/>
              <w:left w:val="single" w:color="auto" w:sz="4" w:space="0"/>
              <w:bottom w:val="single" w:color="auto" w:sz="4" w:space="0"/>
              <w:right w:val="single" w:color="auto" w:sz="4" w:space="0"/>
            </w:tcBorders>
            <w:noWrap w:val="0"/>
            <w:vAlign w:val="center"/>
          </w:tcPr>
          <w:p w14:paraId="08C2CDAD">
            <w:pPr>
              <w:jc w:val="center"/>
              <w:rPr>
                <w:rFonts w:hint="eastAsia" w:ascii="宋体" w:hAnsi="宋体" w:eastAsia="宋体" w:cs="宋体"/>
                <w:i w:val="0"/>
                <w:iCs w:val="0"/>
                <w:color w:val="auto"/>
                <w:sz w:val="18"/>
                <w:szCs w:val="18"/>
                <w:highlight w:val="none"/>
                <w:u w:val="none"/>
              </w:rPr>
            </w:pPr>
          </w:p>
        </w:tc>
        <w:tc>
          <w:tcPr>
            <w:tcW w:w="2718" w:type="dxa"/>
            <w:gridSpan w:val="3"/>
            <w:tcBorders>
              <w:top w:val="single" w:color="auto" w:sz="4" w:space="0"/>
              <w:left w:val="single" w:color="auto" w:sz="4" w:space="0"/>
              <w:bottom w:val="single" w:color="auto" w:sz="4" w:space="0"/>
              <w:right w:val="single" w:color="auto" w:sz="4" w:space="0"/>
            </w:tcBorders>
            <w:noWrap w:val="0"/>
            <w:vAlign w:val="center"/>
          </w:tcPr>
          <w:p w14:paraId="5DF92E1E">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 xml:space="preserve">小桥涵主要结构尺寸 </w:t>
            </w:r>
          </w:p>
        </w:tc>
        <w:tc>
          <w:tcPr>
            <w:tcW w:w="553" w:type="dxa"/>
            <w:tcBorders>
              <w:top w:val="single" w:color="auto" w:sz="4" w:space="0"/>
              <w:left w:val="single" w:color="auto" w:sz="4" w:space="0"/>
              <w:bottom w:val="single" w:color="auto" w:sz="4" w:space="0"/>
              <w:right w:val="single" w:color="auto" w:sz="4" w:space="0"/>
            </w:tcBorders>
            <w:noWrap w:val="0"/>
            <w:vAlign w:val="center"/>
          </w:tcPr>
          <w:p w14:paraId="23DDFD42">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断面</w:t>
            </w:r>
          </w:p>
        </w:tc>
        <w:tc>
          <w:tcPr>
            <w:tcW w:w="851" w:type="dxa"/>
            <w:tcBorders>
              <w:top w:val="single" w:color="auto" w:sz="4" w:space="0"/>
              <w:left w:val="single" w:color="auto" w:sz="4" w:space="0"/>
              <w:bottom w:val="single" w:color="auto" w:sz="4" w:space="0"/>
              <w:right w:val="single" w:color="auto" w:sz="4" w:space="0"/>
            </w:tcBorders>
            <w:noWrap w:val="0"/>
            <w:vAlign w:val="center"/>
          </w:tcPr>
          <w:p w14:paraId="77641CC4">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100</w:t>
            </w:r>
          </w:p>
        </w:tc>
        <w:tc>
          <w:tcPr>
            <w:tcW w:w="851" w:type="dxa"/>
            <w:tcBorders>
              <w:top w:val="single" w:color="auto" w:sz="4" w:space="0"/>
              <w:left w:val="single" w:color="auto" w:sz="4" w:space="0"/>
              <w:bottom w:val="single" w:color="auto" w:sz="4" w:space="0"/>
              <w:right w:val="single" w:color="auto" w:sz="4" w:space="0"/>
            </w:tcBorders>
            <w:noWrap w:val="0"/>
            <w:vAlign w:val="center"/>
          </w:tcPr>
          <w:p w14:paraId="0FF2F04E">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100</w:t>
            </w:r>
          </w:p>
        </w:tc>
        <w:tc>
          <w:tcPr>
            <w:tcW w:w="851" w:type="dxa"/>
            <w:tcBorders>
              <w:top w:val="single" w:color="auto" w:sz="4" w:space="0"/>
              <w:left w:val="single" w:color="auto" w:sz="4" w:space="0"/>
              <w:bottom w:val="single" w:color="auto" w:sz="4" w:space="0"/>
              <w:right w:val="single" w:color="auto" w:sz="4" w:space="0"/>
            </w:tcBorders>
            <w:noWrap w:val="0"/>
            <w:vAlign w:val="center"/>
          </w:tcPr>
          <w:p w14:paraId="52F240AB">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100</w:t>
            </w:r>
          </w:p>
        </w:tc>
        <w:tc>
          <w:tcPr>
            <w:tcW w:w="852" w:type="dxa"/>
            <w:tcBorders>
              <w:top w:val="single" w:color="auto" w:sz="4" w:space="0"/>
              <w:left w:val="single" w:color="auto" w:sz="4" w:space="0"/>
              <w:bottom w:val="single" w:color="auto" w:sz="4" w:space="0"/>
              <w:right w:val="single" w:color="auto" w:sz="4" w:space="0"/>
            </w:tcBorders>
            <w:noWrap w:val="0"/>
            <w:vAlign w:val="center"/>
          </w:tcPr>
          <w:p w14:paraId="74E4CD78">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100</w:t>
            </w:r>
          </w:p>
        </w:tc>
        <w:tc>
          <w:tcPr>
            <w:tcW w:w="554" w:type="dxa"/>
            <w:tcBorders>
              <w:top w:val="single" w:color="auto" w:sz="4" w:space="0"/>
              <w:left w:val="single" w:color="auto" w:sz="4" w:space="0"/>
              <w:bottom w:val="single" w:color="auto" w:sz="4" w:space="0"/>
              <w:right w:val="single" w:color="auto" w:sz="4" w:space="0"/>
            </w:tcBorders>
            <w:noWrap w:val="0"/>
            <w:vAlign w:val="center"/>
          </w:tcPr>
          <w:p w14:paraId="1E169AAE">
            <w:pPr>
              <w:jc w:val="center"/>
              <w:rPr>
                <w:rFonts w:hint="eastAsia" w:ascii="宋体" w:hAnsi="宋体" w:eastAsia="宋体" w:cs="宋体"/>
                <w:i w:val="0"/>
                <w:iCs w:val="0"/>
                <w:color w:val="auto"/>
                <w:sz w:val="18"/>
                <w:szCs w:val="18"/>
                <w:highlight w:val="none"/>
                <w:u w:val="none"/>
              </w:rPr>
            </w:pPr>
          </w:p>
        </w:tc>
      </w:tr>
      <w:tr w14:paraId="21EAD7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0" w:hRule="atLeast"/>
        </w:trPr>
        <w:tc>
          <w:tcPr>
            <w:tcW w:w="584" w:type="dxa"/>
            <w:tcBorders>
              <w:top w:val="single" w:color="auto" w:sz="4" w:space="0"/>
              <w:left w:val="single" w:color="auto" w:sz="4" w:space="0"/>
              <w:bottom w:val="single" w:color="auto" w:sz="4" w:space="0"/>
              <w:right w:val="single" w:color="auto" w:sz="4" w:space="0"/>
            </w:tcBorders>
            <w:noWrap w:val="0"/>
            <w:vAlign w:val="center"/>
          </w:tcPr>
          <w:p w14:paraId="172D39D9">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11</w:t>
            </w:r>
          </w:p>
        </w:tc>
        <w:tc>
          <w:tcPr>
            <w:tcW w:w="690" w:type="dxa"/>
            <w:vMerge w:val="restart"/>
            <w:tcBorders>
              <w:top w:val="single" w:color="auto" w:sz="4" w:space="0"/>
              <w:left w:val="single" w:color="auto" w:sz="4" w:space="0"/>
              <w:bottom w:val="single" w:color="auto" w:sz="4" w:space="0"/>
              <w:right w:val="single" w:color="auto" w:sz="4" w:space="0"/>
            </w:tcBorders>
            <w:noWrap w:val="0"/>
            <w:vAlign w:val="center"/>
          </w:tcPr>
          <w:p w14:paraId="5318396F">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路面工程</w:t>
            </w:r>
          </w:p>
        </w:tc>
        <w:tc>
          <w:tcPr>
            <w:tcW w:w="864" w:type="dxa"/>
            <w:vMerge w:val="restart"/>
            <w:tcBorders>
              <w:top w:val="single" w:color="auto" w:sz="4" w:space="0"/>
              <w:left w:val="single" w:color="auto" w:sz="4" w:space="0"/>
              <w:bottom w:val="single" w:color="auto" w:sz="4" w:space="0"/>
              <w:right w:val="single" w:color="auto" w:sz="4" w:space="0"/>
            </w:tcBorders>
            <w:noWrap w:val="0"/>
            <w:vAlign w:val="center"/>
          </w:tcPr>
          <w:p w14:paraId="79382F2A">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路面面层</w:t>
            </w:r>
          </w:p>
        </w:tc>
        <w:tc>
          <w:tcPr>
            <w:tcW w:w="1854" w:type="dxa"/>
            <w:gridSpan w:val="2"/>
            <w:tcBorders>
              <w:top w:val="single" w:color="auto" w:sz="4" w:space="0"/>
              <w:left w:val="single" w:color="auto" w:sz="4" w:space="0"/>
              <w:bottom w:val="single" w:color="auto" w:sz="4" w:space="0"/>
              <w:right w:val="single" w:color="auto" w:sz="4" w:space="0"/>
            </w:tcBorders>
            <w:noWrap w:val="0"/>
            <w:vAlign w:val="center"/>
          </w:tcPr>
          <w:p w14:paraId="2575F7F4">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混凝土路面厚度（取芯）</w:t>
            </w:r>
          </w:p>
        </w:tc>
        <w:tc>
          <w:tcPr>
            <w:tcW w:w="553" w:type="dxa"/>
            <w:tcBorders>
              <w:top w:val="single" w:color="auto" w:sz="4" w:space="0"/>
              <w:left w:val="single" w:color="auto" w:sz="4" w:space="0"/>
              <w:bottom w:val="single" w:color="auto" w:sz="4" w:space="0"/>
              <w:right w:val="single" w:color="auto" w:sz="4" w:space="0"/>
            </w:tcBorders>
            <w:noWrap w:val="0"/>
            <w:vAlign w:val="center"/>
          </w:tcPr>
          <w:p w14:paraId="228F37AD">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点</w:t>
            </w:r>
          </w:p>
        </w:tc>
        <w:tc>
          <w:tcPr>
            <w:tcW w:w="851" w:type="dxa"/>
            <w:tcBorders>
              <w:top w:val="single" w:color="auto" w:sz="4" w:space="0"/>
              <w:left w:val="single" w:color="auto" w:sz="4" w:space="0"/>
              <w:bottom w:val="single" w:color="auto" w:sz="4" w:space="0"/>
              <w:right w:val="single" w:color="auto" w:sz="4" w:space="0"/>
            </w:tcBorders>
            <w:noWrap w:val="0"/>
            <w:vAlign w:val="center"/>
          </w:tcPr>
          <w:p w14:paraId="39AFDA83">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26</w:t>
            </w:r>
          </w:p>
        </w:tc>
        <w:tc>
          <w:tcPr>
            <w:tcW w:w="851" w:type="dxa"/>
            <w:tcBorders>
              <w:top w:val="single" w:color="auto" w:sz="4" w:space="0"/>
              <w:left w:val="single" w:color="auto" w:sz="4" w:space="0"/>
              <w:bottom w:val="single" w:color="auto" w:sz="4" w:space="0"/>
              <w:right w:val="single" w:color="auto" w:sz="4" w:space="0"/>
            </w:tcBorders>
            <w:noWrap w:val="0"/>
            <w:vAlign w:val="center"/>
          </w:tcPr>
          <w:p w14:paraId="61DA67DE">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26</w:t>
            </w:r>
          </w:p>
        </w:tc>
        <w:tc>
          <w:tcPr>
            <w:tcW w:w="851" w:type="dxa"/>
            <w:tcBorders>
              <w:top w:val="single" w:color="auto" w:sz="4" w:space="0"/>
              <w:left w:val="single" w:color="auto" w:sz="4" w:space="0"/>
              <w:bottom w:val="single" w:color="auto" w:sz="4" w:space="0"/>
              <w:right w:val="single" w:color="auto" w:sz="4" w:space="0"/>
            </w:tcBorders>
            <w:noWrap w:val="0"/>
            <w:vAlign w:val="center"/>
          </w:tcPr>
          <w:p w14:paraId="44D39931">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26</w:t>
            </w:r>
          </w:p>
        </w:tc>
        <w:tc>
          <w:tcPr>
            <w:tcW w:w="852" w:type="dxa"/>
            <w:tcBorders>
              <w:top w:val="single" w:color="auto" w:sz="4" w:space="0"/>
              <w:left w:val="single" w:color="auto" w:sz="4" w:space="0"/>
              <w:bottom w:val="single" w:color="auto" w:sz="4" w:space="0"/>
              <w:right w:val="single" w:color="auto" w:sz="4" w:space="0"/>
            </w:tcBorders>
            <w:noWrap w:val="0"/>
            <w:vAlign w:val="center"/>
          </w:tcPr>
          <w:p w14:paraId="2CA582F1">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26</w:t>
            </w:r>
          </w:p>
        </w:tc>
        <w:tc>
          <w:tcPr>
            <w:tcW w:w="554" w:type="dxa"/>
            <w:tcBorders>
              <w:top w:val="single" w:color="auto" w:sz="4" w:space="0"/>
              <w:left w:val="single" w:color="auto" w:sz="4" w:space="0"/>
              <w:bottom w:val="single" w:color="auto" w:sz="4" w:space="0"/>
              <w:right w:val="single" w:color="auto" w:sz="4" w:space="0"/>
            </w:tcBorders>
            <w:noWrap w:val="0"/>
            <w:vAlign w:val="center"/>
          </w:tcPr>
          <w:p w14:paraId="17DEB9FE">
            <w:pPr>
              <w:jc w:val="center"/>
              <w:rPr>
                <w:rFonts w:hint="eastAsia" w:ascii="宋体" w:hAnsi="宋体" w:eastAsia="宋体" w:cs="宋体"/>
                <w:i w:val="0"/>
                <w:iCs w:val="0"/>
                <w:color w:val="auto"/>
                <w:sz w:val="18"/>
                <w:szCs w:val="18"/>
                <w:highlight w:val="none"/>
                <w:u w:val="none"/>
              </w:rPr>
            </w:pPr>
          </w:p>
        </w:tc>
      </w:tr>
      <w:tr w14:paraId="0BA1794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0" w:hRule="atLeast"/>
        </w:trPr>
        <w:tc>
          <w:tcPr>
            <w:tcW w:w="584" w:type="dxa"/>
            <w:tcBorders>
              <w:top w:val="single" w:color="auto" w:sz="4" w:space="0"/>
              <w:left w:val="single" w:color="auto" w:sz="4" w:space="0"/>
              <w:bottom w:val="single" w:color="auto" w:sz="4" w:space="0"/>
              <w:right w:val="single" w:color="auto" w:sz="4" w:space="0"/>
            </w:tcBorders>
            <w:noWrap w:val="0"/>
            <w:vAlign w:val="center"/>
          </w:tcPr>
          <w:p w14:paraId="130B8576">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12</w:t>
            </w:r>
          </w:p>
        </w:tc>
        <w:tc>
          <w:tcPr>
            <w:tcW w:w="690" w:type="dxa"/>
            <w:vMerge w:val="continue"/>
            <w:tcBorders>
              <w:top w:val="single" w:color="auto" w:sz="4" w:space="0"/>
              <w:left w:val="single" w:color="auto" w:sz="4" w:space="0"/>
              <w:bottom w:val="single" w:color="auto" w:sz="4" w:space="0"/>
              <w:right w:val="single" w:color="auto" w:sz="4" w:space="0"/>
            </w:tcBorders>
            <w:noWrap w:val="0"/>
            <w:vAlign w:val="center"/>
          </w:tcPr>
          <w:p w14:paraId="615D0294">
            <w:pPr>
              <w:jc w:val="center"/>
              <w:rPr>
                <w:rFonts w:hint="eastAsia" w:ascii="宋体" w:hAnsi="宋体" w:eastAsia="宋体" w:cs="宋体"/>
                <w:i w:val="0"/>
                <w:iCs w:val="0"/>
                <w:color w:val="auto"/>
                <w:sz w:val="18"/>
                <w:szCs w:val="18"/>
                <w:highlight w:val="none"/>
                <w:u w:val="none"/>
              </w:rPr>
            </w:pPr>
          </w:p>
        </w:tc>
        <w:tc>
          <w:tcPr>
            <w:tcW w:w="864" w:type="dxa"/>
            <w:vMerge w:val="continue"/>
            <w:tcBorders>
              <w:top w:val="single" w:color="auto" w:sz="4" w:space="0"/>
              <w:left w:val="single" w:color="auto" w:sz="4" w:space="0"/>
              <w:bottom w:val="single" w:color="auto" w:sz="4" w:space="0"/>
              <w:right w:val="single" w:color="auto" w:sz="4" w:space="0"/>
            </w:tcBorders>
            <w:noWrap w:val="0"/>
            <w:vAlign w:val="center"/>
          </w:tcPr>
          <w:p w14:paraId="51D82627">
            <w:pPr>
              <w:jc w:val="center"/>
              <w:rPr>
                <w:rFonts w:hint="eastAsia" w:ascii="宋体" w:hAnsi="宋体" w:eastAsia="宋体" w:cs="宋体"/>
                <w:i w:val="0"/>
                <w:iCs w:val="0"/>
                <w:color w:val="auto"/>
                <w:sz w:val="18"/>
                <w:szCs w:val="18"/>
                <w:highlight w:val="none"/>
                <w:u w:val="none"/>
              </w:rPr>
            </w:pPr>
          </w:p>
        </w:tc>
        <w:tc>
          <w:tcPr>
            <w:tcW w:w="1854" w:type="dxa"/>
            <w:gridSpan w:val="2"/>
            <w:tcBorders>
              <w:top w:val="single" w:color="auto" w:sz="4" w:space="0"/>
              <w:left w:val="single" w:color="auto" w:sz="4" w:space="0"/>
              <w:bottom w:val="single" w:color="auto" w:sz="4" w:space="0"/>
              <w:right w:val="single" w:color="auto" w:sz="4" w:space="0"/>
            </w:tcBorders>
            <w:noWrap w:val="0"/>
            <w:vAlign w:val="center"/>
          </w:tcPr>
          <w:p w14:paraId="3F082A85">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沥青路面厚度（取芯）</w:t>
            </w:r>
          </w:p>
        </w:tc>
        <w:tc>
          <w:tcPr>
            <w:tcW w:w="553" w:type="dxa"/>
            <w:tcBorders>
              <w:top w:val="single" w:color="auto" w:sz="4" w:space="0"/>
              <w:left w:val="single" w:color="auto" w:sz="4" w:space="0"/>
              <w:bottom w:val="single" w:color="auto" w:sz="4" w:space="0"/>
              <w:right w:val="single" w:color="auto" w:sz="4" w:space="0"/>
            </w:tcBorders>
            <w:noWrap w:val="0"/>
            <w:vAlign w:val="center"/>
          </w:tcPr>
          <w:p w14:paraId="0FEA4EB8">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点</w:t>
            </w:r>
          </w:p>
        </w:tc>
        <w:tc>
          <w:tcPr>
            <w:tcW w:w="851" w:type="dxa"/>
            <w:tcBorders>
              <w:top w:val="single" w:color="auto" w:sz="4" w:space="0"/>
              <w:left w:val="single" w:color="auto" w:sz="4" w:space="0"/>
              <w:bottom w:val="single" w:color="auto" w:sz="4" w:space="0"/>
              <w:right w:val="single" w:color="auto" w:sz="4" w:space="0"/>
            </w:tcBorders>
            <w:noWrap w:val="0"/>
            <w:vAlign w:val="center"/>
          </w:tcPr>
          <w:p w14:paraId="3672C3B4">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98</w:t>
            </w:r>
          </w:p>
        </w:tc>
        <w:tc>
          <w:tcPr>
            <w:tcW w:w="851" w:type="dxa"/>
            <w:tcBorders>
              <w:top w:val="single" w:color="auto" w:sz="4" w:space="0"/>
              <w:left w:val="single" w:color="auto" w:sz="4" w:space="0"/>
              <w:bottom w:val="single" w:color="auto" w:sz="4" w:space="0"/>
              <w:right w:val="single" w:color="auto" w:sz="4" w:space="0"/>
            </w:tcBorders>
            <w:noWrap w:val="0"/>
            <w:vAlign w:val="center"/>
          </w:tcPr>
          <w:p w14:paraId="3058B7BB">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98</w:t>
            </w:r>
          </w:p>
        </w:tc>
        <w:tc>
          <w:tcPr>
            <w:tcW w:w="851" w:type="dxa"/>
            <w:tcBorders>
              <w:top w:val="single" w:color="auto" w:sz="4" w:space="0"/>
              <w:left w:val="single" w:color="auto" w:sz="4" w:space="0"/>
              <w:bottom w:val="single" w:color="auto" w:sz="4" w:space="0"/>
              <w:right w:val="single" w:color="auto" w:sz="4" w:space="0"/>
            </w:tcBorders>
            <w:noWrap w:val="0"/>
            <w:vAlign w:val="center"/>
          </w:tcPr>
          <w:p w14:paraId="7E4667A9">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98</w:t>
            </w:r>
          </w:p>
        </w:tc>
        <w:tc>
          <w:tcPr>
            <w:tcW w:w="852" w:type="dxa"/>
            <w:tcBorders>
              <w:top w:val="single" w:color="auto" w:sz="4" w:space="0"/>
              <w:left w:val="single" w:color="auto" w:sz="4" w:space="0"/>
              <w:bottom w:val="single" w:color="auto" w:sz="4" w:space="0"/>
              <w:right w:val="single" w:color="auto" w:sz="4" w:space="0"/>
            </w:tcBorders>
            <w:noWrap w:val="0"/>
            <w:vAlign w:val="center"/>
          </w:tcPr>
          <w:p w14:paraId="3B75B190">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98</w:t>
            </w:r>
          </w:p>
        </w:tc>
        <w:tc>
          <w:tcPr>
            <w:tcW w:w="554" w:type="dxa"/>
            <w:tcBorders>
              <w:top w:val="single" w:color="auto" w:sz="4" w:space="0"/>
              <w:left w:val="single" w:color="auto" w:sz="4" w:space="0"/>
              <w:bottom w:val="single" w:color="auto" w:sz="4" w:space="0"/>
              <w:right w:val="single" w:color="auto" w:sz="4" w:space="0"/>
            </w:tcBorders>
            <w:noWrap w:val="0"/>
            <w:vAlign w:val="center"/>
          </w:tcPr>
          <w:p w14:paraId="2FAA2752">
            <w:pPr>
              <w:jc w:val="center"/>
              <w:rPr>
                <w:rFonts w:hint="eastAsia" w:ascii="宋体" w:hAnsi="宋体" w:eastAsia="宋体" w:cs="宋体"/>
                <w:i w:val="0"/>
                <w:iCs w:val="0"/>
                <w:color w:val="auto"/>
                <w:sz w:val="18"/>
                <w:szCs w:val="18"/>
                <w:highlight w:val="none"/>
                <w:u w:val="none"/>
              </w:rPr>
            </w:pPr>
          </w:p>
        </w:tc>
      </w:tr>
      <w:tr w14:paraId="1D6B8E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0" w:hRule="atLeast"/>
        </w:trPr>
        <w:tc>
          <w:tcPr>
            <w:tcW w:w="584" w:type="dxa"/>
            <w:tcBorders>
              <w:top w:val="single" w:color="auto" w:sz="4" w:space="0"/>
              <w:left w:val="single" w:color="auto" w:sz="4" w:space="0"/>
              <w:bottom w:val="single" w:color="auto" w:sz="4" w:space="0"/>
              <w:right w:val="single" w:color="auto" w:sz="4" w:space="0"/>
            </w:tcBorders>
            <w:noWrap w:val="0"/>
            <w:vAlign w:val="center"/>
          </w:tcPr>
          <w:p w14:paraId="3F48E304">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13</w:t>
            </w:r>
          </w:p>
        </w:tc>
        <w:tc>
          <w:tcPr>
            <w:tcW w:w="690" w:type="dxa"/>
            <w:vMerge w:val="continue"/>
            <w:tcBorders>
              <w:top w:val="single" w:color="auto" w:sz="4" w:space="0"/>
              <w:left w:val="single" w:color="auto" w:sz="4" w:space="0"/>
              <w:bottom w:val="single" w:color="auto" w:sz="4" w:space="0"/>
              <w:right w:val="single" w:color="auto" w:sz="4" w:space="0"/>
            </w:tcBorders>
            <w:noWrap w:val="0"/>
            <w:vAlign w:val="center"/>
          </w:tcPr>
          <w:p w14:paraId="3372CFA0">
            <w:pPr>
              <w:jc w:val="center"/>
              <w:rPr>
                <w:rFonts w:hint="eastAsia" w:ascii="宋体" w:hAnsi="宋体" w:eastAsia="宋体" w:cs="宋体"/>
                <w:i w:val="0"/>
                <w:iCs w:val="0"/>
                <w:color w:val="auto"/>
                <w:sz w:val="18"/>
                <w:szCs w:val="18"/>
                <w:highlight w:val="none"/>
                <w:u w:val="none"/>
              </w:rPr>
            </w:pPr>
          </w:p>
        </w:tc>
        <w:tc>
          <w:tcPr>
            <w:tcW w:w="864" w:type="dxa"/>
            <w:vMerge w:val="continue"/>
            <w:tcBorders>
              <w:top w:val="single" w:color="auto" w:sz="4" w:space="0"/>
              <w:left w:val="single" w:color="auto" w:sz="4" w:space="0"/>
              <w:bottom w:val="single" w:color="auto" w:sz="4" w:space="0"/>
              <w:right w:val="single" w:color="auto" w:sz="4" w:space="0"/>
            </w:tcBorders>
            <w:noWrap w:val="0"/>
            <w:vAlign w:val="center"/>
          </w:tcPr>
          <w:p w14:paraId="74EC97D6">
            <w:pPr>
              <w:jc w:val="center"/>
              <w:rPr>
                <w:rFonts w:hint="eastAsia" w:ascii="宋体" w:hAnsi="宋体" w:eastAsia="宋体" w:cs="宋体"/>
                <w:i w:val="0"/>
                <w:iCs w:val="0"/>
                <w:color w:val="auto"/>
                <w:sz w:val="18"/>
                <w:szCs w:val="18"/>
                <w:highlight w:val="none"/>
                <w:u w:val="none"/>
              </w:rPr>
            </w:pPr>
          </w:p>
        </w:tc>
        <w:tc>
          <w:tcPr>
            <w:tcW w:w="1854" w:type="dxa"/>
            <w:gridSpan w:val="2"/>
            <w:tcBorders>
              <w:top w:val="single" w:color="auto" w:sz="4" w:space="0"/>
              <w:left w:val="single" w:color="auto" w:sz="4" w:space="0"/>
              <w:bottom w:val="single" w:color="auto" w:sz="4" w:space="0"/>
              <w:right w:val="single" w:color="auto" w:sz="4" w:space="0"/>
            </w:tcBorders>
            <w:noWrap w:val="0"/>
            <w:vAlign w:val="center"/>
          </w:tcPr>
          <w:p w14:paraId="59655F50">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沥青路面渗水系数</w:t>
            </w:r>
          </w:p>
        </w:tc>
        <w:tc>
          <w:tcPr>
            <w:tcW w:w="553" w:type="dxa"/>
            <w:tcBorders>
              <w:top w:val="single" w:color="auto" w:sz="4" w:space="0"/>
              <w:left w:val="single" w:color="auto" w:sz="4" w:space="0"/>
              <w:bottom w:val="single" w:color="auto" w:sz="4" w:space="0"/>
              <w:right w:val="single" w:color="auto" w:sz="4" w:space="0"/>
            </w:tcBorders>
            <w:noWrap w:val="0"/>
            <w:vAlign w:val="center"/>
          </w:tcPr>
          <w:p w14:paraId="4F12CC40">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点</w:t>
            </w:r>
          </w:p>
        </w:tc>
        <w:tc>
          <w:tcPr>
            <w:tcW w:w="851" w:type="dxa"/>
            <w:tcBorders>
              <w:top w:val="single" w:color="auto" w:sz="4" w:space="0"/>
              <w:left w:val="single" w:color="auto" w:sz="4" w:space="0"/>
              <w:bottom w:val="single" w:color="auto" w:sz="4" w:space="0"/>
              <w:right w:val="single" w:color="auto" w:sz="4" w:space="0"/>
            </w:tcBorders>
            <w:noWrap w:val="0"/>
            <w:vAlign w:val="center"/>
          </w:tcPr>
          <w:p w14:paraId="12646B95">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82</w:t>
            </w:r>
          </w:p>
        </w:tc>
        <w:tc>
          <w:tcPr>
            <w:tcW w:w="851" w:type="dxa"/>
            <w:tcBorders>
              <w:top w:val="single" w:color="auto" w:sz="4" w:space="0"/>
              <w:left w:val="single" w:color="auto" w:sz="4" w:space="0"/>
              <w:bottom w:val="single" w:color="auto" w:sz="4" w:space="0"/>
              <w:right w:val="single" w:color="auto" w:sz="4" w:space="0"/>
            </w:tcBorders>
            <w:noWrap w:val="0"/>
            <w:vAlign w:val="center"/>
          </w:tcPr>
          <w:p w14:paraId="41F23123">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82</w:t>
            </w:r>
          </w:p>
        </w:tc>
        <w:tc>
          <w:tcPr>
            <w:tcW w:w="851" w:type="dxa"/>
            <w:tcBorders>
              <w:top w:val="single" w:color="auto" w:sz="4" w:space="0"/>
              <w:left w:val="single" w:color="auto" w:sz="4" w:space="0"/>
              <w:bottom w:val="single" w:color="auto" w:sz="4" w:space="0"/>
              <w:right w:val="single" w:color="auto" w:sz="4" w:space="0"/>
            </w:tcBorders>
            <w:noWrap w:val="0"/>
            <w:vAlign w:val="center"/>
          </w:tcPr>
          <w:p w14:paraId="2BF3DA23">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82</w:t>
            </w:r>
          </w:p>
        </w:tc>
        <w:tc>
          <w:tcPr>
            <w:tcW w:w="852" w:type="dxa"/>
            <w:tcBorders>
              <w:top w:val="single" w:color="auto" w:sz="4" w:space="0"/>
              <w:left w:val="single" w:color="auto" w:sz="4" w:space="0"/>
              <w:bottom w:val="single" w:color="auto" w:sz="4" w:space="0"/>
              <w:right w:val="single" w:color="auto" w:sz="4" w:space="0"/>
            </w:tcBorders>
            <w:noWrap w:val="0"/>
            <w:vAlign w:val="center"/>
          </w:tcPr>
          <w:p w14:paraId="5FA6DD50">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82</w:t>
            </w:r>
          </w:p>
        </w:tc>
        <w:tc>
          <w:tcPr>
            <w:tcW w:w="554" w:type="dxa"/>
            <w:tcBorders>
              <w:top w:val="single" w:color="auto" w:sz="4" w:space="0"/>
              <w:left w:val="single" w:color="auto" w:sz="4" w:space="0"/>
              <w:bottom w:val="single" w:color="auto" w:sz="4" w:space="0"/>
              <w:right w:val="single" w:color="auto" w:sz="4" w:space="0"/>
            </w:tcBorders>
            <w:noWrap w:val="0"/>
            <w:vAlign w:val="center"/>
          </w:tcPr>
          <w:p w14:paraId="07DA99C0">
            <w:pPr>
              <w:jc w:val="center"/>
              <w:rPr>
                <w:rFonts w:hint="eastAsia" w:ascii="宋体" w:hAnsi="宋体" w:eastAsia="宋体" w:cs="宋体"/>
                <w:i w:val="0"/>
                <w:iCs w:val="0"/>
                <w:color w:val="auto"/>
                <w:sz w:val="18"/>
                <w:szCs w:val="18"/>
                <w:highlight w:val="none"/>
                <w:u w:val="none"/>
              </w:rPr>
            </w:pPr>
          </w:p>
        </w:tc>
      </w:tr>
      <w:tr w14:paraId="41DFB5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0" w:hRule="atLeast"/>
        </w:trPr>
        <w:tc>
          <w:tcPr>
            <w:tcW w:w="584" w:type="dxa"/>
            <w:tcBorders>
              <w:top w:val="single" w:color="auto" w:sz="4" w:space="0"/>
              <w:left w:val="single" w:color="auto" w:sz="4" w:space="0"/>
              <w:bottom w:val="single" w:color="auto" w:sz="4" w:space="0"/>
              <w:right w:val="single" w:color="auto" w:sz="4" w:space="0"/>
            </w:tcBorders>
            <w:noWrap w:val="0"/>
            <w:vAlign w:val="center"/>
          </w:tcPr>
          <w:p w14:paraId="1B49C16A">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14</w:t>
            </w:r>
          </w:p>
        </w:tc>
        <w:tc>
          <w:tcPr>
            <w:tcW w:w="690" w:type="dxa"/>
            <w:vMerge w:val="continue"/>
            <w:tcBorders>
              <w:top w:val="single" w:color="auto" w:sz="4" w:space="0"/>
              <w:left w:val="single" w:color="auto" w:sz="4" w:space="0"/>
              <w:bottom w:val="single" w:color="auto" w:sz="4" w:space="0"/>
              <w:right w:val="single" w:color="auto" w:sz="4" w:space="0"/>
            </w:tcBorders>
            <w:noWrap w:val="0"/>
            <w:vAlign w:val="center"/>
          </w:tcPr>
          <w:p w14:paraId="7009ABAD">
            <w:pPr>
              <w:jc w:val="center"/>
              <w:rPr>
                <w:rFonts w:hint="eastAsia" w:ascii="宋体" w:hAnsi="宋体" w:eastAsia="宋体" w:cs="宋体"/>
                <w:i w:val="0"/>
                <w:iCs w:val="0"/>
                <w:color w:val="auto"/>
                <w:sz w:val="18"/>
                <w:szCs w:val="18"/>
                <w:highlight w:val="none"/>
                <w:u w:val="none"/>
              </w:rPr>
            </w:pPr>
          </w:p>
        </w:tc>
        <w:tc>
          <w:tcPr>
            <w:tcW w:w="864" w:type="dxa"/>
            <w:vMerge w:val="continue"/>
            <w:tcBorders>
              <w:top w:val="single" w:color="auto" w:sz="4" w:space="0"/>
              <w:left w:val="single" w:color="auto" w:sz="4" w:space="0"/>
              <w:bottom w:val="single" w:color="auto" w:sz="4" w:space="0"/>
              <w:right w:val="single" w:color="auto" w:sz="4" w:space="0"/>
            </w:tcBorders>
            <w:noWrap w:val="0"/>
            <w:vAlign w:val="center"/>
          </w:tcPr>
          <w:p w14:paraId="637CDAF6">
            <w:pPr>
              <w:jc w:val="center"/>
              <w:rPr>
                <w:rFonts w:hint="eastAsia" w:ascii="宋体" w:hAnsi="宋体" w:eastAsia="宋体" w:cs="宋体"/>
                <w:i w:val="0"/>
                <w:iCs w:val="0"/>
                <w:color w:val="auto"/>
                <w:sz w:val="18"/>
                <w:szCs w:val="18"/>
                <w:highlight w:val="none"/>
                <w:u w:val="none"/>
              </w:rPr>
            </w:pPr>
          </w:p>
        </w:tc>
        <w:tc>
          <w:tcPr>
            <w:tcW w:w="1854" w:type="dxa"/>
            <w:gridSpan w:val="2"/>
            <w:tcBorders>
              <w:top w:val="single" w:color="auto" w:sz="4" w:space="0"/>
              <w:left w:val="single" w:color="auto" w:sz="4" w:space="0"/>
              <w:bottom w:val="single" w:color="auto" w:sz="4" w:space="0"/>
              <w:right w:val="single" w:color="auto" w:sz="4" w:space="0"/>
            </w:tcBorders>
            <w:noWrap w:val="0"/>
            <w:vAlign w:val="center"/>
          </w:tcPr>
          <w:p w14:paraId="132A3571">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沥青路面压实度</w:t>
            </w:r>
          </w:p>
        </w:tc>
        <w:tc>
          <w:tcPr>
            <w:tcW w:w="553" w:type="dxa"/>
            <w:tcBorders>
              <w:top w:val="single" w:color="auto" w:sz="4" w:space="0"/>
              <w:left w:val="single" w:color="auto" w:sz="4" w:space="0"/>
              <w:bottom w:val="single" w:color="auto" w:sz="4" w:space="0"/>
              <w:right w:val="single" w:color="auto" w:sz="4" w:space="0"/>
            </w:tcBorders>
            <w:noWrap w:val="0"/>
            <w:vAlign w:val="center"/>
          </w:tcPr>
          <w:p w14:paraId="56E4FC71">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点</w:t>
            </w:r>
          </w:p>
        </w:tc>
        <w:tc>
          <w:tcPr>
            <w:tcW w:w="851" w:type="dxa"/>
            <w:tcBorders>
              <w:top w:val="single" w:color="auto" w:sz="4" w:space="0"/>
              <w:left w:val="single" w:color="auto" w:sz="4" w:space="0"/>
              <w:bottom w:val="single" w:color="auto" w:sz="4" w:space="0"/>
              <w:right w:val="single" w:color="auto" w:sz="4" w:space="0"/>
            </w:tcBorders>
            <w:noWrap w:val="0"/>
            <w:vAlign w:val="center"/>
          </w:tcPr>
          <w:p w14:paraId="59F23DE4">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98</w:t>
            </w:r>
          </w:p>
        </w:tc>
        <w:tc>
          <w:tcPr>
            <w:tcW w:w="851" w:type="dxa"/>
            <w:tcBorders>
              <w:top w:val="single" w:color="auto" w:sz="4" w:space="0"/>
              <w:left w:val="single" w:color="auto" w:sz="4" w:space="0"/>
              <w:bottom w:val="single" w:color="auto" w:sz="4" w:space="0"/>
              <w:right w:val="single" w:color="auto" w:sz="4" w:space="0"/>
            </w:tcBorders>
            <w:noWrap w:val="0"/>
            <w:vAlign w:val="center"/>
          </w:tcPr>
          <w:p w14:paraId="1F2C9004">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98</w:t>
            </w:r>
          </w:p>
        </w:tc>
        <w:tc>
          <w:tcPr>
            <w:tcW w:w="851" w:type="dxa"/>
            <w:tcBorders>
              <w:top w:val="single" w:color="auto" w:sz="4" w:space="0"/>
              <w:left w:val="single" w:color="auto" w:sz="4" w:space="0"/>
              <w:bottom w:val="single" w:color="auto" w:sz="4" w:space="0"/>
              <w:right w:val="single" w:color="auto" w:sz="4" w:space="0"/>
            </w:tcBorders>
            <w:noWrap w:val="0"/>
            <w:vAlign w:val="center"/>
          </w:tcPr>
          <w:p w14:paraId="45AE2616">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98</w:t>
            </w:r>
          </w:p>
        </w:tc>
        <w:tc>
          <w:tcPr>
            <w:tcW w:w="852" w:type="dxa"/>
            <w:tcBorders>
              <w:top w:val="single" w:color="auto" w:sz="4" w:space="0"/>
              <w:left w:val="single" w:color="auto" w:sz="4" w:space="0"/>
              <w:bottom w:val="single" w:color="auto" w:sz="4" w:space="0"/>
              <w:right w:val="single" w:color="auto" w:sz="4" w:space="0"/>
            </w:tcBorders>
            <w:noWrap w:val="0"/>
            <w:vAlign w:val="center"/>
          </w:tcPr>
          <w:p w14:paraId="7704B7EB">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98</w:t>
            </w:r>
          </w:p>
        </w:tc>
        <w:tc>
          <w:tcPr>
            <w:tcW w:w="554" w:type="dxa"/>
            <w:tcBorders>
              <w:top w:val="single" w:color="auto" w:sz="4" w:space="0"/>
              <w:left w:val="single" w:color="auto" w:sz="4" w:space="0"/>
              <w:bottom w:val="single" w:color="auto" w:sz="4" w:space="0"/>
              <w:right w:val="single" w:color="auto" w:sz="4" w:space="0"/>
            </w:tcBorders>
            <w:noWrap w:val="0"/>
            <w:vAlign w:val="center"/>
          </w:tcPr>
          <w:p w14:paraId="01152E69">
            <w:pPr>
              <w:jc w:val="center"/>
              <w:rPr>
                <w:rFonts w:hint="eastAsia" w:ascii="宋体" w:hAnsi="宋体" w:eastAsia="宋体" w:cs="宋体"/>
                <w:i w:val="0"/>
                <w:iCs w:val="0"/>
                <w:color w:val="auto"/>
                <w:sz w:val="18"/>
                <w:szCs w:val="18"/>
                <w:highlight w:val="none"/>
                <w:u w:val="none"/>
              </w:rPr>
            </w:pPr>
          </w:p>
        </w:tc>
      </w:tr>
      <w:tr w14:paraId="7611554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0" w:hRule="atLeast"/>
        </w:trPr>
        <w:tc>
          <w:tcPr>
            <w:tcW w:w="584" w:type="dxa"/>
            <w:tcBorders>
              <w:top w:val="single" w:color="auto" w:sz="4" w:space="0"/>
              <w:left w:val="single" w:color="auto" w:sz="4" w:space="0"/>
              <w:bottom w:val="single" w:color="auto" w:sz="4" w:space="0"/>
              <w:right w:val="single" w:color="auto" w:sz="4" w:space="0"/>
            </w:tcBorders>
            <w:noWrap w:val="0"/>
            <w:vAlign w:val="center"/>
          </w:tcPr>
          <w:p w14:paraId="13E00D8A">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15</w:t>
            </w:r>
          </w:p>
        </w:tc>
        <w:tc>
          <w:tcPr>
            <w:tcW w:w="690" w:type="dxa"/>
            <w:vMerge w:val="continue"/>
            <w:tcBorders>
              <w:top w:val="single" w:color="auto" w:sz="4" w:space="0"/>
              <w:left w:val="single" w:color="auto" w:sz="4" w:space="0"/>
              <w:bottom w:val="single" w:color="auto" w:sz="4" w:space="0"/>
              <w:right w:val="single" w:color="auto" w:sz="4" w:space="0"/>
            </w:tcBorders>
            <w:noWrap w:val="0"/>
            <w:vAlign w:val="center"/>
          </w:tcPr>
          <w:p w14:paraId="30692B6F">
            <w:pPr>
              <w:jc w:val="center"/>
              <w:rPr>
                <w:rFonts w:hint="eastAsia" w:ascii="宋体" w:hAnsi="宋体" w:eastAsia="宋体" w:cs="宋体"/>
                <w:i w:val="0"/>
                <w:iCs w:val="0"/>
                <w:color w:val="auto"/>
                <w:sz w:val="18"/>
                <w:szCs w:val="18"/>
                <w:highlight w:val="none"/>
                <w:u w:val="none"/>
              </w:rPr>
            </w:pPr>
          </w:p>
        </w:tc>
        <w:tc>
          <w:tcPr>
            <w:tcW w:w="2718" w:type="dxa"/>
            <w:gridSpan w:val="3"/>
            <w:tcBorders>
              <w:top w:val="single" w:color="auto" w:sz="4" w:space="0"/>
              <w:left w:val="single" w:color="auto" w:sz="4" w:space="0"/>
              <w:bottom w:val="single" w:color="auto" w:sz="4" w:space="0"/>
              <w:right w:val="single" w:color="auto" w:sz="4" w:space="0"/>
            </w:tcBorders>
            <w:noWrap w:val="0"/>
            <w:vAlign w:val="center"/>
          </w:tcPr>
          <w:p w14:paraId="352CEB2C">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沥青路面弯沉（贝克曼梁）</w:t>
            </w:r>
          </w:p>
        </w:tc>
        <w:tc>
          <w:tcPr>
            <w:tcW w:w="553" w:type="dxa"/>
            <w:tcBorders>
              <w:top w:val="single" w:color="auto" w:sz="4" w:space="0"/>
              <w:left w:val="single" w:color="auto" w:sz="4" w:space="0"/>
              <w:bottom w:val="single" w:color="auto" w:sz="4" w:space="0"/>
              <w:right w:val="single" w:color="auto" w:sz="4" w:space="0"/>
            </w:tcBorders>
            <w:noWrap w:val="0"/>
            <w:vAlign w:val="center"/>
          </w:tcPr>
          <w:p w14:paraId="33AEB3DE">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点</w:t>
            </w:r>
          </w:p>
        </w:tc>
        <w:tc>
          <w:tcPr>
            <w:tcW w:w="851" w:type="dxa"/>
            <w:tcBorders>
              <w:top w:val="single" w:color="auto" w:sz="4" w:space="0"/>
              <w:left w:val="single" w:color="auto" w:sz="4" w:space="0"/>
              <w:bottom w:val="single" w:color="auto" w:sz="4" w:space="0"/>
              <w:right w:val="single" w:color="auto" w:sz="4" w:space="0"/>
            </w:tcBorders>
            <w:noWrap w:val="0"/>
            <w:vAlign w:val="center"/>
          </w:tcPr>
          <w:p w14:paraId="087AD7DF">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100</w:t>
            </w:r>
          </w:p>
        </w:tc>
        <w:tc>
          <w:tcPr>
            <w:tcW w:w="851" w:type="dxa"/>
            <w:tcBorders>
              <w:top w:val="single" w:color="auto" w:sz="4" w:space="0"/>
              <w:left w:val="single" w:color="auto" w:sz="4" w:space="0"/>
              <w:bottom w:val="single" w:color="auto" w:sz="4" w:space="0"/>
              <w:right w:val="single" w:color="auto" w:sz="4" w:space="0"/>
            </w:tcBorders>
            <w:noWrap w:val="0"/>
            <w:vAlign w:val="center"/>
          </w:tcPr>
          <w:p w14:paraId="5C167A2C">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100</w:t>
            </w:r>
          </w:p>
        </w:tc>
        <w:tc>
          <w:tcPr>
            <w:tcW w:w="851" w:type="dxa"/>
            <w:tcBorders>
              <w:top w:val="single" w:color="auto" w:sz="4" w:space="0"/>
              <w:left w:val="single" w:color="auto" w:sz="4" w:space="0"/>
              <w:bottom w:val="single" w:color="auto" w:sz="4" w:space="0"/>
              <w:right w:val="single" w:color="auto" w:sz="4" w:space="0"/>
            </w:tcBorders>
            <w:noWrap w:val="0"/>
            <w:vAlign w:val="center"/>
          </w:tcPr>
          <w:p w14:paraId="4E1A727A">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100</w:t>
            </w:r>
          </w:p>
        </w:tc>
        <w:tc>
          <w:tcPr>
            <w:tcW w:w="852" w:type="dxa"/>
            <w:tcBorders>
              <w:top w:val="single" w:color="auto" w:sz="4" w:space="0"/>
              <w:left w:val="single" w:color="auto" w:sz="4" w:space="0"/>
              <w:bottom w:val="single" w:color="auto" w:sz="4" w:space="0"/>
              <w:right w:val="single" w:color="auto" w:sz="4" w:space="0"/>
            </w:tcBorders>
            <w:noWrap w:val="0"/>
            <w:vAlign w:val="center"/>
          </w:tcPr>
          <w:p w14:paraId="37C28E7E">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100</w:t>
            </w:r>
          </w:p>
        </w:tc>
        <w:tc>
          <w:tcPr>
            <w:tcW w:w="554" w:type="dxa"/>
            <w:tcBorders>
              <w:top w:val="single" w:color="auto" w:sz="4" w:space="0"/>
              <w:left w:val="single" w:color="auto" w:sz="4" w:space="0"/>
              <w:bottom w:val="single" w:color="auto" w:sz="4" w:space="0"/>
              <w:right w:val="single" w:color="auto" w:sz="4" w:space="0"/>
            </w:tcBorders>
            <w:noWrap w:val="0"/>
            <w:vAlign w:val="center"/>
          </w:tcPr>
          <w:p w14:paraId="32FB5F1E">
            <w:pPr>
              <w:jc w:val="center"/>
              <w:rPr>
                <w:rFonts w:hint="eastAsia" w:ascii="宋体" w:hAnsi="宋体" w:eastAsia="宋体" w:cs="宋体"/>
                <w:i w:val="0"/>
                <w:iCs w:val="0"/>
                <w:color w:val="auto"/>
                <w:sz w:val="18"/>
                <w:szCs w:val="18"/>
                <w:highlight w:val="none"/>
                <w:u w:val="none"/>
              </w:rPr>
            </w:pPr>
          </w:p>
        </w:tc>
      </w:tr>
      <w:tr w14:paraId="2AB4E96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0" w:hRule="atLeast"/>
        </w:trPr>
        <w:tc>
          <w:tcPr>
            <w:tcW w:w="584" w:type="dxa"/>
            <w:tcBorders>
              <w:top w:val="single" w:color="auto" w:sz="4" w:space="0"/>
              <w:left w:val="single" w:color="auto" w:sz="4" w:space="0"/>
              <w:bottom w:val="single" w:color="auto" w:sz="4" w:space="0"/>
              <w:right w:val="single" w:color="auto" w:sz="4" w:space="0"/>
            </w:tcBorders>
            <w:noWrap w:val="0"/>
            <w:vAlign w:val="center"/>
          </w:tcPr>
          <w:p w14:paraId="2FBAC372">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16</w:t>
            </w:r>
          </w:p>
        </w:tc>
        <w:tc>
          <w:tcPr>
            <w:tcW w:w="690" w:type="dxa"/>
            <w:vMerge w:val="continue"/>
            <w:tcBorders>
              <w:top w:val="single" w:color="auto" w:sz="4" w:space="0"/>
              <w:left w:val="single" w:color="auto" w:sz="4" w:space="0"/>
              <w:bottom w:val="single" w:color="auto" w:sz="4" w:space="0"/>
              <w:right w:val="single" w:color="auto" w:sz="4" w:space="0"/>
            </w:tcBorders>
            <w:noWrap w:val="0"/>
            <w:vAlign w:val="center"/>
          </w:tcPr>
          <w:p w14:paraId="3AF64EE7">
            <w:pPr>
              <w:jc w:val="center"/>
              <w:rPr>
                <w:rFonts w:hint="eastAsia" w:ascii="宋体" w:hAnsi="宋体" w:eastAsia="宋体" w:cs="宋体"/>
                <w:i w:val="0"/>
                <w:iCs w:val="0"/>
                <w:color w:val="auto"/>
                <w:sz w:val="18"/>
                <w:szCs w:val="18"/>
                <w:highlight w:val="none"/>
                <w:u w:val="none"/>
              </w:rPr>
            </w:pPr>
          </w:p>
        </w:tc>
        <w:tc>
          <w:tcPr>
            <w:tcW w:w="2718" w:type="dxa"/>
            <w:gridSpan w:val="3"/>
            <w:tcBorders>
              <w:top w:val="single" w:color="auto" w:sz="4" w:space="0"/>
              <w:left w:val="single" w:color="auto" w:sz="4" w:space="0"/>
              <w:bottom w:val="single" w:color="auto" w:sz="4" w:space="0"/>
              <w:right w:val="single" w:color="auto" w:sz="4" w:space="0"/>
            </w:tcBorders>
            <w:noWrap w:val="0"/>
            <w:vAlign w:val="center"/>
          </w:tcPr>
          <w:p w14:paraId="3F388F0B">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 xml:space="preserve"> 混凝土路面强度</w:t>
            </w:r>
          </w:p>
        </w:tc>
        <w:tc>
          <w:tcPr>
            <w:tcW w:w="553" w:type="dxa"/>
            <w:tcBorders>
              <w:top w:val="single" w:color="auto" w:sz="4" w:space="0"/>
              <w:left w:val="single" w:color="auto" w:sz="4" w:space="0"/>
              <w:bottom w:val="single" w:color="auto" w:sz="4" w:space="0"/>
              <w:right w:val="single" w:color="auto" w:sz="4" w:space="0"/>
            </w:tcBorders>
            <w:noWrap w:val="0"/>
            <w:vAlign w:val="center"/>
          </w:tcPr>
          <w:p w14:paraId="04D109CF">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点</w:t>
            </w:r>
          </w:p>
        </w:tc>
        <w:tc>
          <w:tcPr>
            <w:tcW w:w="851" w:type="dxa"/>
            <w:tcBorders>
              <w:top w:val="single" w:color="auto" w:sz="4" w:space="0"/>
              <w:left w:val="single" w:color="auto" w:sz="4" w:space="0"/>
              <w:bottom w:val="single" w:color="auto" w:sz="4" w:space="0"/>
              <w:right w:val="single" w:color="auto" w:sz="4" w:space="0"/>
            </w:tcBorders>
            <w:noWrap w:val="0"/>
            <w:vAlign w:val="center"/>
          </w:tcPr>
          <w:p w14:paraId="289C3D10">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100</w:t>
            </w:r>
          </w:p>
        </w:tc>
        <w:tc>
          <w:tcPr>
            <w:tcW w:w="851" w:type="dxa"/>
            <w:tcBorders>
              <w:top w:val="single" w:color="auto" w:sz="4" w:space="0"/>
              <w:left w:val="single" w:color="auto" w:sz="4" w:space="0"/>
              <w:bottom w:val="single" w:color="auto" w:sz="4" w:space="0"/>
              <w:right w:val="single" w:color="auto" w:sz="4" w:space="0"/>
            </w:tcBorders>
            <w:noWrap w:val="0"/>
            <w:vAlign w:val="center"/>
          </w:tcPr>
          <w:p w14:paraId="516C077E">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100</w:t>
            </w:r>
          </w:p>
        </w:tc>
        <w:tc>
          <w:tcPr>
            <w:tcW w:w="851" w:type="dxa"/>
            <w:tcBorders>
              <w:top w:val="single" w:color="auto" w:sz="4" w:space="0"/>
              <w:left w:val="single" w:color="auto" w:sz="4" w:space="0"/>
              <w:bottom w:val="single" w:color="auto" w:sz="4" w:space="0"/>
              <w:right w:val="single" w:color="auto" w:sz="4" w:space="0"/>
            </w:tcBorders>
            <w:noWrap w:val="0"/>
            <w:vAlign w:val="center"/>
          </w:tcPr>
          <w:p w14:paraId="5ED9FF35">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100</w:t>
            </w:r>
          </w:p>
        </w:tc>
        <w:tc>
          <w:tcPr>
            <w:tcW w:w="852" w:type="dxa"/>
            <w:tcBorders>
              <w:top w:val="single" w:color="auto" w:sz="4" w:space="0"/>
              <w:left w:val="single" w:color="auto" w:sz="4" w:space="0"/>
              <w:bottom w:val="single" w:color="auto" w:sz="4" w:space="0"/>
              <w:right w:val="single" w:color="auto" w:sz="4" w:space="0"/>
            </w:tcBorders>
            <w:noWrap w:val="0"/>
            <w:vAlign w:val="center"/>
          </w:tcPr>
          <w:p w14:paraId="5DD48933">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100</w:t>
            </w:r>
          </w:p>
        </w:tc>
        <w:tc>
          <w:tcPr>
            <w:tcW w:w="554" w:type="dxa"/>
            <w:tcBorders>
              <w:top w:val="single" w:color="auto" w:sz="4" w:space="0"/>
              <w:left w:val="single" w:color="auto" w:sz="4" w:space="0"/>
              <w:bottom w:val="single" w:color="auto" w:sz="4" w:space="0"/>
              <w:right w:val="single" w:color="auto" w:sz="4" w:space="0"/>
            </w:tcBorders>
            <w:noWrap w:val="0"/>
            <w:vAlign w:val="center"/>
          </w:tcPr>
          <w:p w14:paraId="2A4BC799">
            <w:pPr>
              <w:jc w:val="center"/>
              <w:rPr>
                <w:rFonts w:hint="eastAsia" w:ascii="宋体" w:hAnsi="宋体" w:eastAsia="宋体" w:cs="宋体"/>
                <w:i w:val="0"/>
                <w:iCs w:val="0"/>
                <w:color w:val="auto"/>
                <w:sz w:val="18"/>
                <w:szCs w:val="18"/>
                <w:highlight w:val="none"/>
                <w:u w:val="none"/>
              </w:rPr>
            </w:pPr>
          </w:p>
        </w:tc>
      </w:tr>
      <w:tr w14:paraId="7DAEB72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0" w:hRule="atLeast"/>
        </w:trPr>
        <w:tc>
          <w:tcPr>
            <w:tcW w:w="584" w:type="dxa"/>
            <w:tcBorders>
              <w:top w:val="single" w:color="auto" w:sz="4" w:space="0"/>
              <w:left w:val="single" w:color="auto" w:sz="4" w:space="0"/>
              <w:bottom w:val="single" w:color="auto" w:sz="4" w:space="0"/>
              <w:right w:val="single" w:color="auto" w:sz="4" w:space="0"/>
            </w:tcBorders>
            <w:noWrap w:val="0"/>
            <w:vAlign w:val="center"/>
          </w:tcPr>
          <w:p w14:paraId="11A1C849">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17</w:t>
            </w:r>
          </w:p>
        </w:tc>
        <w:tc>
          <w:tcPr>
            <w:tcW w:w="690" w:type="dxa"/>
            <w:vMerge w:val="continue"/>
            <w:tcBorders>
              <w:top w:val="single" w:color="auto" w:sz="4" w:space="0"/>
              <w:left w:val="single" w:color="auto" w:sz="4" w:space="0"/>
              <w:bottom w:val="single" w:color="auto" w:sz="4" w:space="0"/>
              <w:right w:val="single" w:color="auto" w:sz="4" w:space="0"/>
            </w:tcBorders>
            <w:noWrap w:val="0"/>
            <w:vAlign w:val="center"/>
          </w:tcPr>
          <w:p w14:paraId="24CC6FF8">
            <w:pPr>
              <w:jc w:val="center"/>
              <w:rPr>
                <w:rFonts w:hint="eastAsia" w:ascii="宋体" w:hAnsi="宋体" w:eastAsia="宋体" w:cs="宋体"/>
                <w:i w:val="0"/>
                <w:iCs w:val="0"/>
                <w:color w:val="auto"/>
                <w:sz w:val="18"/>
                <w:szCs w:val="18"/>
                <w:highlight w:val="none"/>
                <w:u w:val="none"/>
              </w:rPr>
            </w:pPr>
          </w:p>
        </w:tc>
        <w:tc>
          <w:tcPr>
            <w:tcW w:w="2718" w:type="dxa"/>
            <w:gridSpan w:val="3"/>
            <w:tcBorders>
              <w:top w:val="single" w:color="auto" w:sz="4" w:space="0"/>
              <w:left w:val="single" w:color="auto" w:sz="4" w:space="0"/>
              <w:bottom w:val="single" w:color="auto" w:sz="4" w:space="0"/>
              <w:right w:val="single" w:color="auto" w:sz="4" w:space="0"/>
            </w:tcBorders>
            <w:noWrap w:val="0"/>
            <w:vAlign w:val="center"/>
          </w:tcPr>
          <w:p w14:paraId="65643962">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路面平整度（三米直尺）</w:t>
            </w:r>
          </w:p>
        </w:tc>
        <w:tc>
          <w:tcPr>
            <w:tcW w:w="553" w:type="dxa"/>
            <w:tcBorders>
              <w:top w:val="single" w:color="auto" w:sz="4" w:space="0"/>
              <w:left w:val="single" w:color="auto" w:sz="4" w:space="0"/>
              <w:bottom w:val="single" w:color="auto" w:sz="4" w:space="0"/>
              <w:right w:val="single" w:color="auto" w:sz="4" w:space="0"/>
            </w:tcBorders>
            <w:noWrap w:val="0"/>
            <w:vAlign w:val="center"/>
          </w:tcPr>
          <w:p w14:paraId="70B91E6A">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处</w:t>
            </w:r>
          </w:p>
        </w:tc>
        <w:tc>
          <w:tcPr>
            <w:tcW w:w="851" w:type="dxa"/>
            <w:tcBorders>
              <w:top w:val="single" w:color="auto" w:sz="4" w:space="0"/>
              <w:left w:val="single" w:color="auto" w:sz="4" w:space="0"/>
              <w:bottom w:val="single" w:color="auto" w:sz="4" w:space="0"/>
              <w:right w:val="single" w:color="auto" w:sz="4" w:space="0"/>
            </w:tcBorders>
            <w:noWrap w:val="0"/>
            <w:vAlign w:val="center"/>
          </w:tcPr>
          <w:p w14:paraId="21E11866">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100</w:t>
            </w:r>
          </w:p>
        </w:tc>
        <w:tc>
          <w:tcPr>
            <w:tcW w:w="851" w:type="dxa"/>
            <w:tcBorders>
              <w:top w:val="single" w:color="auto" w:sz="4" w:space="0"/>
              <w:left w:val="single" w:color="auto" w:sz="4" w:space="0"/>
              <w:bottom w:val="single" w:color="auto" w:sz="4" w:space="0"/>
              <w:right w:val="single" w:color="auto" w:sz="4" w:space="0"/>
            </w:tcBorders>
            <w:noWrap w:val="0"/>
            <w:vAlign w:val="center"/>
          </w:tcPr>
          <w:p w14:paraId="6BF752C0">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100</w:t>
            </w:r>
          </w:p>
        </w:tc>
        <w:tc>
          <w:tcPr>
            <w:tcW w:w="851" w:type="dxa"/>
            <w:tcBorders>
              <w:top w:val="single" w:color="auto" w:sz="4" w:space="0"/>
              <w:left w:val="single" w:color="auto" w:sz="4" w:space="0"/>
              <w:bottom w:val="single" w:color="auto" w:sz="4" w:space="0"/>
              <w:right w:val="single" w:color="auto" w:sz="4" w:space="0"/>
            </w:tcBorders>
            <w:noWrap w:val="0"/>
            <w:vAlign w:val="center"/>
          </w:tcPr>
          <w:p w14:paraId="1584E6E8">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100</w:t>
            </w:r>
          </w:p>
        </w:tc>
        <w:tc>
          <w:tcPr>
            <w:tcW w:w="852" w:type="dxa"/>
            <w:tcBorders>
              <w:top w:val="single" w:color="auto" w:sz="4" w:space="0"/>
              <w:left w:val="single" w:color="auto" w:sz="4" w:space="0"/>
              <w:bottom w:val="single" w:color="auto" w:sz="4" w:space="0"/>
              <w:right w:val="single" w:color="auto" w:sz="4" w:space="0"/>
            </w:tcBorders>
            <w:noWrap w:val="0"/>
            <w:vAlign w:val="center"/>
          </w:tcPr>
          <w:p w14:paraId="65828D05">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100</w:t>
            </w:r>
          </w:p>
        </w:tc>
        <w:tc>
          <w:tcPr>
            <w:tcW w:w="554" w:type="dxa"/>
            <w:tcBorders>
              <w:top w:val="single" w:color="auto" w:sz="4" w:space="0"/>
              <w:left w:val="single" w:color="auto" w:sz="4" w:space="0"/>
              <w:bottom w:val="single" w:color="auto" w:sz="4" w:space="0"/>
              <w:right w:val="single" w:color="auto" w:sz="4" w:space="0"/>
            </w:tcBorders>
            <w:noWrap w:val="0"/>
            <w:vAlign w:val="center"/>
          </w:tcPr>
          <w:p w14:paraId="393A9C10">
            <w:pPr>
              <w:jc w:val="center"/>
              <w:rPr>
                <w:rFonts w:hint="eastAsia" w:ascii="宋体" w:hAnsi="宋体" w:eastAsia="宋体" w:cs="宋体"/>
                <w:i w:val="0"/>
                <w:iCs w:val="0"/>
                <w:color w:val="auto"/>
                <w:sz w:val="18"/>
                <w:szCs w:val="18"/>
                <w:highlight w:val="none"/>
                <w:u w:val="none"/>
              </w:rPr>
            </w:pPr>
          </w:p>
        </w:tc>
      </w:tr>
      <w:tr w14:paraId="6E08038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0" w:hRule="atLeast"/>
        </w:trPr>
        <w:tc>
          <w:tcPr>
            <w:tcW w:w="584" w:type="dxa"/>
            <w:tcBorders>
              <w:top w:val="single" w:color="auto" w:sz="4" w:space="0"/>
              <w:left w:val="single" w:color="auto" w:sz="4" w:space="0"/>
              <w:bottom w:val="single" w:color="auto" w:sz="4" w:space="0"/>
              <w:right w:val="single" w:color="auto" w:sz="4" w:space="0"/>
            </w:tcBorders>
            <w:noWrap w:val="0"/>
            <w:vAlign w:val="center"/>
          </w:tcPr>
          <w:p w14:paraId="6F59C321">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18</w:t>
            </w:r>
          </w:p>
        </w:tc>
        <w:tc>
          <w:tcPr>
            <w:tcW w:w="690" w:type="dxa"/>
            <w:vMerge w:val="continue"/>
            <w:tcBorders>
              <w:top w:val="single" w:color="auto" w:sz="4" w:space="0"/>
              <w:left w:val="single" w:color="auto" w:sz="4" w:space="0"/>
              <w:bottom w:val="single" w:color="auto" w:sz="4" w:space="0"/>
              <w:right w:val="single" w:color="auto" w:sz="4" w:space="0"/>
            </w:tcBorders>
            <w:noWrap w:val="0"/>
            <w:vAlign w:val="center"/>
          </w:tcPr>
          <w:p w14:paraId="1D678433">
            <w:pPr>
              <w:jc w:val="center"/>
              <w:rPr>
                <w:rFonts w:hint="eastAsia" w:ascii="宋体" w:hAnsi="宋体" w:eastAsia="宋体" w:cs="宋体"/>
                <w:i w:val="0"/>
                <w:iCs w:val="0"/>
                <w:color w:val="auto"/>
                <w:sz w:val="18"/>
                <w:szCs w:val="18"/>
                <w:highlight w:val="none"/>
                <w:u w:val="none"/>
              </w:rPr>
            </w:pPr>
          </w:p>
        </w:tc>
        <w:tc>
          <w:tcPr>
            <w:tcW w:w="2718" w:type="dxa"/>
            <w:gridSpan w:val="3"/>
            <w:tcBorders>
              <w:top w:val="single" w:color="auto" w:sz="4" w:space="0"/>
              <w:left w:val="single" w:color="auto" w:sz="4" w:space="0"/>
              <w:bottom w:val="single" w:color="auto" w:sz="4" w:space="0"/>
              <w:right w:val="single" w:color="auto" w:sz="4" w:space="0"/>
            </w:tcBorders>
            <w:noWrap w:val="0"/>
            <w:vAlign w:val="center"/>
          </w:tcPr>
          <w:p w14:paraId="47B1D923">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 xml:space="preserve">混凝土路面相邻板高差 </w:t>
            </w:r>
          </w:p>
        </w:tc>
        <w:tc>
          <w:tcPr>
            <w:tcW w:w="553" w:type="dxa"/>
            <w:tcBorders>
              <w:top w:val="single" w:color="auto" w:sz="4" w:space="0"/>
              <w:left w:val="single" w:color="auto" w:sz="4" w:space="0"/>
              <w:bottom w:val="single" w:color="auto" w:sz="4" w:space="0"/>
              <w:right w:val="single" w:color="auto" w:sz="4" w:space="0"/>
            </w:tcBorders>
            <w:noWrap w:val="0"/>
            <w:vAlign w:val="center"/>
          </w:tcPr>
          <w:p w14:paraId="47FD8EAB">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处</w:t>
            </w:r>
          </w:p>
        </w:tc>
        <w:tc>
          <w:tcPr>
            <w:tcW w:w="851" w:type="dxa"/>
            <w:tcBorders>
              <w:top w:val="single" w:color="auto" w:sz="4" w:space="0"/>
              <w:left w:val="single" w:color="auto" w:sz="4" w:space="0"/>
              <w:bottom w:val="single" w:color="auto" w:sz="4" w:space="0"/>
              <w:right w:val="single" w:color="auto" w:sz="4" w:space="0"/>
            </w:tcBorders>
            <w:noWrap w:val="0"/>
            <w:vAlign w:val="center"/>
          </w:tcPr>
          <w:p w14:paraId="75100F96">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100</w:t>
            </w:r>
          </w:p>
        </w:tc>
        <w:tc>
          <w:tcPr>
            <w:tcW w:w="851" w:type="dxa"/>
            <w:tcBorders>
              <w:top w:val="single" w:color="auto" w:sz="4" w:space="0"/>
              <w:left w:val="single" w:color="auto" w:sz="4" w:space="0"/>
              <w:bottom w:val="single" w:color="auto" w:sz="4" w:space="0"/>
              <w:right w:val="single" w:color="auto" w:sz="4" w:space="0"/>
            </w:tcBorders>
            <w:noWrap w:val="0"/>
            <w:vAlign w:val="center"/>
          </w:tcPr>
          <w:p w14:paraId="49E65808">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100</w:t>
            </w:r>
          </w:p>
        </w:tc>
        <w:tc>
          <w:tcPr>
            <w:tcW w:w="851" w:type="dxa"/>
            <w:tcBorders>
              <w:top w:val="single" w:color="auto" w:sz="4" w:space="0"/>
              <w:left w:val="single" w:color="auto" w:sz="4" w:space="0"/>
              <w:bottom w:val="single" w:color="auto" w:sz="4" w:space="0"/>
              <w:right w:val="single" w:color="auto" w:sz="4" w:space="0"/>
            </w:tcBorders>
            <w:noWrap w:val="0"/>
            <w:vAlign w:val="center"/>
          </w:tcPr>
          <w:p w14:paraId="56AD0D2C">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100</w:t>
            </w:r>
          </w:p>
        </w:tc>
        <w:tc>
          <w:tcPr>
            <w:tcW w:w="852" w:type="dxa"/>
            <w:tcBorders>
              <w:top w:val="single" w:color="auto" w:sz="4" w:space="0"/>
              <w:left w:val="single" w:color="auto" w:sz="4" w:space="0"/>
              <w:bottom w:val="single" w:color="auto" w:sz="4" w:space="0"/>
              <w:right w:val="single" w:color="auto" w:sz="4" w:space="0"/>
            </w:tcBorders>
            <w:noWrap w:val="0"/>
            <w:vAlign w:val="center"/>
          </w:tcPr>
          <w:p w14:paraId="74982ECF">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100</w:t>
            </w:r>
          </w:p>
        </w:tc>
        <w:tc>
          <w:tcPr>
            <w:tcW w:w="554" w:type="dxa"/>
            <w:tcBorders>
              <w:top w:val="single" w:color="auto" w:sz="4" w:space="0"/>
              <w:left w:val="single" w:color="auto" w:sz="4" w:space="0"/>
              <w:bottom w:val="single" w:color="auto" w:sz="4" w:space="0"/>
              <w:right w:val="single" w:color="auto" w:sz="4" w:space="0"/>
            </w:tcBorders>
            <w:noWrap w:val="0"/>
            <w:vAlign w:val="center"/>
          </w:tcPr>
          <w:p w14:paraId="2974F009">
            <w:pPr>
              <w:jc w:val="center"/>
              <w:rPr>
                <w:rFonts w:hint="eastAsia" w:ascii="宋体" w:hAnsi="宋体" w:eastAsia="宋体" w:cs="宋体"/>
                <w:i w:val="0"/>
                <w:iCs w:val="0"/>
                <w:color w:val="auto"/>
                <w:sz w:val="18"/>
                <w:szCs w:val="18"/>
                <w:highlight w:val="none"/>
                <w:u w:val="none"/>
              </w:rPr>
            </w:pPr>
          </w:p>
        </w:tc>
      </w:tr>
      <w:tr w14:paraId="643242A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0" w:hRule="atLeast"/>
        </w:trPr>
        <w:tc>
          <w:tcPr>
            <w:tcW w:w="584" w:type="dxa"/>
            <w:tcBorders>
              <w:top w:val="single" w:color="auto" w:sz="4" w:space="0"/>
              <w:left w:val="single" w:color="auto" w:sz="4" w:space="0"/>
              <w:bottom w:val="single" w:color="auto" w:sz="4" w:space="0"/>
              <w:right w:val="single" w:color="auto" w:sz="4" w:space="0"/>
            </w:tcBorders>
            <w:noWrap w:val="0"/>
            <w:vAlign w:val="center"/>
          </w:tcPr>
          <w:p w14:paraId="35738035">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19</w:t>
            </w:r>
          </w:p>
        </w:tc>
        <w:tc>
          <w:tcPr>
            <w:tcW w:w="690" w:type="dxa"/>
            <w:vMerge w:val="restart"/>
            <w:tcBorders>
              <w:top w:val="single" w:color="auto" w:sz="4" w:space="0"/>
              <w:left w:val="single" w:color="auto" w:sz="4" w:space="0"/>
              <w:bottom w:val="single" w:color="auto" w:sz="4" w:space="0"/>
              <w:right w:val="single" w:color="auto" w:sz="4" w:space="0"/>
            </w:tcBorders>
            <w:noWrap w:val="0"/>
            <w:vAlign w:val="center"/>
          </w:tcPr>
          <w:p w14:paraId="542F16BE">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桥梁工程</w:t>
            </w:r>
          </w:p>
        </w:tc>
        <w:tc>
          <w:tcPr>
            <w:tcW w:w="864" w:type="dxa"/>
            <w:vMerge w:val="restart"/>
            <w:tcBorders>
              <w:top w:val="single" w:color="auto" w:sz="4" w:space="0"/>
              <w:left w:val="single" w:color="auto" w:sz="4" w:space="0"/>
              <w:bottom w:val="single" w:color="auto" w:sz="4" w:space="0"/>
              <w:right w:val="single" w:color="auto" w:sz="4" w:space="0"/>
            </w:tcBorders>
            <w:noWrap w:val="0"/>
            <w:vAlign w:val="center"/>
          </w:tcPr>
          <w:p w14:paraId="177FEF78">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桩基</w:t>
            </w:r>
          </w:p>
        </w:tc>
        <w:tc>
          <w:tcPr>
            <w:tcW w:w="1854" w:type="dxa"/>
            <w:gridSpan w:val="2"/>
            <w:tcBorders>
              <w:top w:val="single" w:color="auto" w:sz="4" w:space="0"/>
              <w:left w:val="single" w:color="auto" w:sz="4" w:space="0"/>
              <w:bottom w:val="single" w:color="auto" w:sz="4" w:space="0"/>
              <w:right w:val="single" w:color="auto" w:sz="4" w:space="0"/>
            </w:tcBorders>
            <w:noWrap w:val="0"/>
            <w:vAlign w:val="center"/>
          </w:tcPr>
          <w:p w14:paraId="454D2545">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桩身完整性（声波透射法、低应变反射波）</w:t>
            </w:r>
          </w:p>
        </w:tc>
        <w:tc>
          <w:tcPr>
            <w:tcW w:w="553" w:type="dxa"/>
            <w:tcBorders>
              <w:top w:val="single" w:color="auto" w:sz="4" w:space="0"/>
              <w:left w:val="single" w:color="auto" w:sz="4" w:space="0"/>
              <w:bottom w:val="single" w:color="auto" w:sz="4" w:space="0"/>
              <w:right w:val="single" w:color="auto" w:sz="4" w:space="0"/>
            </w:tcBorders>
            <w:noWrap w:val="0"/>
            <w:vAlign w:val="center"/>
          </w:tcPr>
          <w:p w14:paraId="115F1831">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根</w:t>
            </w:r>
          </w:p>
        </w:tc>
        <w:tc>
          <w:tcPr>
            <w:tcW w:w="851" w:type="dxa"/>
            <w:tcBorders>
              <w:top w:val="single" w:color="auto" w:sz="4" w:space="0"/>
              <w:left w:val="single" w:color="auto" w:sz="4" w:space="0"/>
              <w:bottom w:val="single" w:color="auto" w:sz="4" w:space="0"/>
              <w:right w:val="single" w:color="auto" w:sz="4" w:space="0"/>
            </w:tcBorders>
            <w:noWrap w:val="0"/>
            <w:vAlign w:val="center"/>
          </w:tcPr>
          <w:p w14:paraId="7DB4DC59">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60</w:t>
            </w:r>
          </w:p>
        </w:tc>
        <w:tc>
          <w:tcPr>
            <w:tcW w:w="851" w:type="dxa"/>
            <w:tcBorders>
              <w:top w:val="single" w:color="auto" w:sz="4" w:space="0"/>
              <w:left w:val="single" w:color="auto" w:sz="4" w:space="0"/>
              <w:bottom w:val="single" w:color="auto" w:sz="4" w:space="0"/>
              <w:right w:val="single" w:color="auto" w:sz="4" w:space="0"/>
            </w:tcBorders>
            <w:noWrap w:val="0"/>
            <w:vAlign w:val="center"/>
          </w:tcPr>
          <w:p w14:paraId="74172AE2">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60</w:t>
            </w:r>
          </w:p>
        </w:tc>
        <w:tc>
          <w:tcPr>
            <w:tcW w:w="851" w:type="dxa"/>
            <w:tcBorders>
              <w:top w:val="single" w:color="auto" w:sz="4" w:space="0"/>
              <w:left w:val="single" w:color="auto" w:sz="4" w:space="0"/>
              <w:bottom w:val="single" w:color="auto" w:sz="4" w:space="0"/>
              <w:right w:val="single" w:color="auto" w:sz="4" w:space="0"/>
            </w:tcBorders>
            <w:noWrap w:val="0"/>
            <w:vAlign w:val="center"/>
          </w:tcPr>
          <w:p w14:paraId="350ECA63">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60</w:t>
            </w:r>
          </w:p>
        </w:tc>
        <w:tc>
          <w:tcPr>
            <w:tcW w:w="852" w:type="dxa"/>
            <w:tcBorders>
              <w:top w:val="single" w:color="auto" w:sz="4" w:space="0"/>
              <w:left w:val="single" w:color="auto" w:sz="4" w:space="0"/>
              <w:bottom w:val="single" w:color="auto" w:sz="4" w:space="0"/>
              <w:right w:val="single" w:color="auto" w:sz="4" w:space="0"/>
            </w:tcBorders>
            <w:noWrap w:val="0"/>
            <w:vAlign w:val="center"/>
          </w:tcPr>
          <w:p w14:paraId="02C8FDF4">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60</w:t>
            </w:r>
          </w:p>
        </w:tc>
        <w:tc>
          <w:tcPr>
            <w:tcW w:w="554" w:type="dxa"/>
            <w:tcBorders>
              <w:top w:val="single" w:color="auto" w:sz="4" w:space="0"/>
              <w:left w:val="single" w:color="auto" w:sz="4" w:space="0"/>
              <w:bottom w:val="single" w:color="auto" w:sz="4" w:space="0"/>
              <w:right w:val="single" w:color="auto" w:sz="4" w:space="0"/>
            </w:tcBorders>
            <w:noWrap w:val="0"/>
            <w:vAlign w:val="center"/>
          </w:tcPr>
          <w:p w14:paraId="3822EBAA">
            <w:pPr>
              <w:jc w:val="center"/>
              <w:rPr>
                <w:rFonts w:hint="eastAsia" w:ascii="宋体" w:hAnsi="宋体" w:eastAsia="宋体" w:cs="宋体"/>
                <w:i w:val="0"/>
                <w:iCs w:val="0"/>
                <w:color w:val="auto"/>
                <w:sz w:val="18"/>
                <w:szCs w:val="18"/>
                <w:highlight w:val="none"/>
                <w:u w:val="none"/>
              </w:rPr>
            </w:pPr>
          </w:p>
        </w:tc>
      </w:tr>
      <w:tr w14:paraId="4DEE93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0" w:hRule="atLeast"/>
        </w:trPr>
        <w:tc>
          <w:tcPr>
            <w:tcW w:w="584" w:type="dxa"/>
            <w:tcBorders>
              <w:top w:val="single" w:color="auto" w:sz="4" w:space="0"/>
              <w:left w:val="single" w:color="auto" w:sz="4" w:space="0"/>
              <w:bottom w:val="single" w:color="auto" w:sz="4" w:space="0"/>
              <w:right w:val="single" w:color="auto" w:sz="4" w:space="0"/>
            </w:tcBorders>
            <w:noWrap w:val="0"/>
            <w:vAlign w:val="center"/>
          </w:tcPr>
          <w:p w14:paraId="05A983F5">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20</w:t>
            </w:r>
          </w:p>
        </w:tc>
        <w:tc>
          <w:tcPr>
            <w:tcW w:w="690" w:type="dxa"/>
            <w:vMerge w:val="continue"/>
            <w:tcBorders>
              <w:top w:val="single" w:color="auto" w:sz="4" w:space="0"/>
              <w:left w:val="single" w:color="auto" w:sz="4" w:space="0"/>
              <w:bottom w:val="single" w:color="auto" w:sz="4" w:space="0"/>
              <w:right w:val="single" w:color="auto" w:sz="4" w:space="0"/>
            </w:tcBorders>
            <w:noWrap w:val="0"/>
            <w:vAlign w:val="center"/>
          </w:tcPr>
          <w:p w14:paraId="44325B24">
            <w:pPr>
              <w:jc w:val="center"/>
              <w:rPr>
                <w:rFonts w:hint="eastAsia" w:ascii="宋体" w:hAnsi="宋体" w:eastAsia="宋体" w:cs="宋体"/>
                <w:i w:val="0"/>
                <w:iCs w:val="0"/>
                <w:color w:val="auto"/>
                <w:sz w:val="18"/>
                <w:szCs w:val="18"/>
                <w:highlight w:val="none"/>
                <w:u w:val="none"/>
              </w:rPr>
            </w:pPr>
          </w:p>
        </w:tc>
        <w:tc>
          <w:tcPr>
            <w:tcW w:w="864" w:type="dxa"/>
            <w:vMerge w:val="continue"/>
            <w:tcBorders>
              <w:top w:val="single" w:color="auto" w:sz="4" w:space="0"/>
              <w:left w:val="single" w:color="auto" w:sz="4" w:space="0"/>
              <w:bottom w:val="single" w:color="auto" w:sz="4" w:space="0"/>
              <w:right w:val="single" w:color="auto" w:sz="4" w:space="0"/>
            </w:tcBorders>
            <w:noWrap w:val="0"/>
            <w:vAlign w:val="center"/>
          </w:tcPr>
          <w:p w14:paraId="1D4D8886">
            <w:pPr>
              <w:jc w:val="center"/>
              <w:rPr>
                <w:rFonts w:hint="eastAsia" w:ascii="宋体" w:hAnsi="宋体" w:eastAsia="宋体" w:cs="宋体"/>
                <w:i w:val="0"/>
                <w:iCs w:val="0"/>
                <w:color w:val="auto"/>
                <w:sz w:val="18"/>
                <w:szCs w:val="18"/>
                <w:highlight w:val="none"/>
                <w:u w:val="none"/>
              </w:rPr>
            </w:pPr>
          </w:p>
        </w:tc>
        <w:tc>
          <w:tcPr>
            <w:tcW w:w="1854" w:type="dxa"/>
            <w:gridSpan w:val="2"/>
            <w:tcBorders>
              <w:top w:val="single" w:color="auto" w:sz="4" w:space="0"/>
              <w:left w:val="single" w:color="auto" w:sz="4" w:space="0"/>
              <w:bottom w:val="single" w:color="auto" w:sz="4" w:space="0"/>
              <w:right w:val="single" w:color="auto" w:sz="4" w:space="0"/>
            </w:tcBorders>
            <w:noWrap w:val="0"/>
            <w:vAlign w:val="center"/>
          </w:tcPr>
          <w:p w14:paraId="031E47BB">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桩基完整性、桩端嵌岩情况（钻芯法）</w:t>
            </w:r>
          </w:p>
        </w:tc>
        <w:tc>
          <w:tcPr>
            <w:tcW w:w="553" w:type="dxa"/>
            <w:tcBorders>
              <w:top w:val="single" w:color="auto" w:sz="4" w:space="0"/>
              <w:left w:val="single" w:color="auto" w:sz="4" w:space="0"/>
              <w:bottom w:val="single" w:color="auto" w:sz="4" w:space="0"/>
              <w:right w:val="single" w:color="auto" w:sz="4" w:space="0"/>
            </w:tcBorders>
            <w:noWrap w:val="0"/>
            <w:vAlign w:val="center"/>
          </w:tcPr>
          <w:p w14:paraId="070EF8E6">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米</w:t>
            </w:r>
          </w:p>
        </w:tc>
        <w:tc>
          <w:tcPr>
            <w:tcW w:w="851" w:type="dxa"/>
            <w:tcBorders>
              <w:top w:val="single" w:color="auto" w:sz="4" w:space="0"/>
              <w:left w:val="single" w:color="auto" w:sz="4" w:space="0"/>
              <w:bottom w:val="single" w:color="auto" w:sz="4" w:space="0"/>
              <w:right w:val="single" w:color="auto" w:sz="4" w:space="0"/>
            </w:tcBorders>
            <w:noWrap w:val="0"/>
            <w:vAlign w:val="center"/>
          </w:tcPr>
          <w:p w14:paraId="087268D1">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210</w:t>
            </w:r>
          </w:p>
        </w:tc>
        <w:tc>
          <w:tcPr>
            <w:tcW w:w="851" w:type="dxa"/>
            <w:tcBorders>
              <w:top w:val="single" w:color="auto" w:sz="4" w:space="0"/>
              <w:left w:val="single" w:color="auto" w:sz="4" w:space="0"/>
              <w:bottom w:val="single" w:color="auto" w:sz="4" w:space="0"/>
              <w:right w:val="single" w:color="auto" w:sz="4" w:space="0"/>
            </w:tcBorders>
            <w:noWrap w:val="0"/>
            <w:vAlign w:val="center"/>
          </w:tcPr>
          <w:p w14:paraId="01361887">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210</w:t>
            </w:r>
          </w:p>
        </w:tc>
        <w:tc>
          <w:tcPr>
            <w:tcW w:w="851" w:type="dxa"/>
            <w:tcBorders>
              <w:top w:val="single" w:color="auto" w:sz="4" w:space="0"/>
              <w:left w:val="single" w:color="auto" w:sz="4" w:space="0"/>
              <w:bottom w:val="single" w:color="auto" w:sz="4" w:space="0"/>
              <w:right w:val="single" w:color="auto" w:sz="4" w:space="0"/>
            </w:tcBorders>
            <w:noWrap w:val="0"/>
            <w:vAlign w:val="center"/>
          </w:tcPr>
          <w:p w14:paraId="5133E5D3">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210</w:t>
            </w:r>
          </w:p>
        </w:tc>
        <w:tc>
          <w:tcPr>
            <w:tcW w:w="852" w:type="dxa"/>
            <w:tcBorders>
              <w:top w:val="single" w:color="auto" w:sz="4" w:space="0"/>
              <w:left w:val="single" w:color="auto" w:sz="4" w:space="0"/>
              <w:bottom w:val="single" w:color="auto" w:sz="4" w:space="0"/>
              <w:right w:val="single" w:color="auto" w:sz="4" w:space="0"/>
            </w:tcBorders>
            <w:noWrap w:val="0"/>
            <w:vAlign w:val="center"/>
          </w:tcPr>
          <w:p w14:paraId="4324DEB0">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210</w:t>
            </w:r>
          </w:p>
        </w:tc>
        <w:tc>
          <w:tcPr>
            <w:tcW w:w="554" w:type="dxa"/>
            <w:tcBorders>
              <w:top w:val="single" w:color="auto" w:sz="4" w:space="0"/>
              <w:left w:val="single" w:color="auto" w:sz="4" w:space="0"/>
              <w:bottom w:val="single" w:color="auto" w:sz="4" w:space="0"/>
              <w:right w:val="single" w:color="auto" w:sz="4" w:space="0"/>
            </w:tcBorders>
            <w:noWrap w:val="0"/>
            <w:vAlign w:val="center"/>
          </w:tcPr>
          <w:p w14:paraId="7D654D5D">
            <w:pPr>
              <w:jc w:val="center"/>
              <w:rPr>
                <w:rFonts w:hint="eastAsia" w:ascii="宋体" w:hAnsi="宋体" w:eastAsia="宋体" w:cs="宋体"/>
                <w:i w:val="0"/>
                <w:iCs w:val="0"/>
                <w:color w:val="auto"/>
                <w:sz w:val="18"/>
                <w:szCs w:val="18"/>
                <w:highlight w:val="none"/>
                <w:u w:val="none"/>
              </w:rPr>
            </w:pPr>
          </w:p>
        </w:tc>
      </w:tr>
      <w:tr w14:paraId="39DF58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0" w:hRule="atLeast"/>
        </w:trPr>
        <w:tc>
          <w:tcPr>
            <w:tcW w:w="584" w:type="dxa"/>
            <w:tcBorders>
              <w:top w:val="single" w:color="auto" w:sz="4" w:space="0"/>
              <w:left w:val="single" w:color="auto" w:sz="4" w:space="0"/>
              <w:bottom w:val="single" w:color="auto" w:sz="4" w:space="0"/>
              <w:right w:val="single" w:color="auto" w:sz="4" w:space="0"/>
            </w:tcBorders>
            <w:noWrap w:val="0"/>
            <w:vAlign w:val="center"/>
          </w:tcPr>
          <w:p w14:paraId="29EE3621">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21</w:t>
            </w:r>
          </w:p>
        </w:tc>
        <w:tc>
          <w:tcPr>
            <w:tcW w:w="690" w:type="dxa"/>
            <w:vMerge w:val="continue"/>
            <w:tcBorders>
              <w:top w:val="single" w:color="auto" w:sz="4" w:space="0"/>
              <w:left w:val="single" w:color="auto" w:sz="4" w:space="0"/>
              <w:bottom w:val="single" w:color="auto" w:sz="4" w:space="0"/>
              <w:right w:val="single" w:color="auto" w:sz="4" w:space="0"/>
            </w:tcBorders>
            <w:noWrap w:val="0"/>
            <w:vAlign w:val="center"/>
          </w:tcPr>
          <w:p w14:paraId="09110B5E">
            <w:pPr>
              <w:jc w:val="center"/>
              <w:rPr>
                <w:rFonts w:hint="eastAsia" w:ascii="宋体" w:hAnsi="宋体" w:eastAsia="宋体" w:cs="宋体"/>
                <w:i w:val="0"/>
                <w:iCs w:val="0"/>
                <w:color w:val="auto"/>
                <w:sz w:val="18"/>
                <w:szCs w:val="18"/>
                <w:highlight w:val="none"/>
                <w:u w:val="none"/>
              </w:rPr>
            </w:pPr>
          </w:p>
        </w:tc>
        <w:tc>
          <w:tcPr>
            <w:tcW w:w="864" w:type="dxa"/>
            <w:vMerge w:val="continue"/>
            <w:tcBorders>
              <w:top w:val="single" w:color="auto" w:sz="4" w:space="0"/>
              <w:left w:val="single" w:color="auto" w:sz="4" w:space="0"/>
              <w:bottom w:val="single" w:color="auto" w:sz="4" w:space="0"/>
              <w:right w:val="single" w:color="auto" w:sz="4" w:space="0"/>
            </w:tcBorders>
            <w:noWrap w:val="0"/>
            <w:vAlign w:val="center"/>
          </w:tcPr>
          <w:p w14:paraId="21C0C30F">
            <w:pPr>
              <w:jc w:val="center"/>
              <w:rPr>
                <w:rFonts w:hint="eastAsia" w:ascii="宋体" w:hAnsi="宋体" w:eastAsia="宋体" w:cs="宋体"/>
                <w:i w:val="0"/>
                <w:iCs w:val="0"/>
                <w:color w:val="auto"/>
                <w:sz w:val="18"/>
                <w:szCs w:val="18"/>
                <w:highlight w:val="none"/>
                <w:u w:val="none"/>
              </w:rPr>
            </w:pPr>
          </w:p>
        </w:tc>
        <w:tc>
          <w:tcPr>
            <w:tcW w:w="1854" w:type="dxa"/>
            <w:gridSpan w:val="2"/>
            <w:tcBorders>
              <w:top w:val="single" w:color="auto" w:sz="4" w:space="0"/>
              <w:left w:val="single" w:color="auto" w:sz="4" w:space="0"/>
              <w:bottom w:val="single" w:color="auto" w:sz="4" w:space="0"/>
              <w:right w:val="single" w:color="auto" w:sz="4" w:space="0"/>
            </w:tcBorders>
            <w:noWrap w:val="0"/>
            <w:vAlign w:val="center"/>
          </w:tcPr>
          <w:p w14:paraId="65E3AC02">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桩基承载力（高应变动测法）</w:t>
            </w:r>
          </w:p>
        </w:tc>
        <w:tc>
          <w:tcPr>
            <w:tcW w:w="553" w:type="dxa"/>
            <w:tcBorders>
              <w:top w:val="single" w:color="auto" w:sz="4" w:space="0"/>
              <w:left w:val="single" w:color="auto" w:sz="4" w:space="0"/>
              <w:bottom w:val="single" w:color="auto" w:sz="4" w:space="0"/>
              <w:right w:val="single" w:color="auto" w:sz="4" w:space="0"/>
            </w:tcBorders>
            <w:noWrap w:val="0"/>
            <w:vAlign w:val="center"/>
          </w:tcPr>
          <w:p w14:paraId="7687BF3D">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根</w:t>
            </w:r>
          </w:p>
        </w:tc>
        <w:tc>
          <w:tcPr>
            <w:tcW w:w="851" w:type="dxa"/>
            <w:tcBorders>
              <w:top w:val="single" w:color="auto" w:sz="4" w:space="0"/>
              <w:left w:val="single" w:color="auto" w:sz="4" w:space="0"/>
              <w:bottom w:val="single" w:color="auto" w:sz="4" w:space="0"/>
              <w:right w:val="single" w:color="auto" w:sz="4" w:space="0"/>
            </w:tcBorders>
            <w:noWrap w:val="0"/>
            <w:vAlign w:val="center"/>
          </w:tcPr>
          <w:p w14:paraId="479E41A4">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1</w:t>
            </w:r>
          </w:p>
        </w:tc>
        <w:tc>
          <w:tcPr>
            <w:tcW w:w="851" w:type="dxa"/>
            <w:tcBorders>
              <w:top w:val="single" w:color="auto" w:sz="4" w:space="0"/>
              <w:left w:val="single" w:color="auto" w:sz="4" w:space="0"/>
              <w:bottom w:val="single" w:color="auto" w:sz="4" w:space="0"/>
              <w:right w:val="single" w:color="auto" w:sz="4" w:space="0"/>
            </w:tcBorders>
            <w:noWrap w:val="0"/>
            <w:vAlign w:val="center"/>
          </w:tcPr>
          <w:p w14:paraId="76E68295">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1</w:t>
            </w:r>
          </w:p>
        </w:tc>
        <w:tc>
          <w:tcPr>
            <w:tcW w:w="851" w:type="dxa"/>
            <w:tcBorders>
              <w:top w:val="single" w:color="auto" w:sz="4" w:space="0"/>
              <w:left w:val="single" w:color="auto" w:sz="4" w:space="0"/>
              <w:bottom w:val="single" w:color="auto" w:sz="4" w:space="0"/>
              <w:right w:val="single" w:color="auto" w:sz="4" w:space="0"/>
            </w:tcBorders>
            <w:noWrap w:val="0"/>
            <w:vAlign w:val="center"/>
          </w:tcPr>
          <w:p w14:paraId="46529B2D">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1</w:t>
            </w:r>
          </w:p>
        </w:tc>
        <w:tc>
          <w:tcPr>
            <w:tcW w:w="852" w:type="dxa"/>
            <w:tcBorders>
              <w:top w:val="single" w:color="auto" w:sz="4" w:space="0"/>
              <w:left w:val="single" w:color="auto" w:sz="4" w:space="0"/>
              <w:bottom w:val="single" w:color="auto" w:sz="4" w:space="0"/>
              <w:right w:val="single" w:color="auto" w:sz="4" w:space="0"/>
            </w:tcBorders>
            <w:noWrap w:val="0"/>
            <w:vAlign w:val="center"/>
          </w:tcPr>
          <w:p w14:paraId="46135AAA">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1</w:t>
            </w:r>
          </w:p>
        </w:tc>
        <w:tc>
          <w:tcPr>
            <w:tcW w:w="554" w:type="dxa"/>
            <w:tcBorders>
              <w:top w:val="single" w:color="auto" w:sz="4" w:space="0"/>
              <w:left w:val="single" w:color="auto" w:sz="4" w:space="0"/>
              <w:bottom w:val="single" w:color="auto" w:sz="4" w:space="0"/>
              <w:right w:val="single" w:color="auto" w:sz="4" w:space="0"/>
            </w:tcBorders>
            <w:noWrap w:val="0"/>
            <w:vAlign w:val="center"/>
          </w:tcPr>
          <w:p w14:paraId="25CDD477">
            <w:pPr>
              <w:jc w:val="center"/>
              <w:rPr>
                <w:rFonts w:hint="eastAsia" w:ascii="宋体" w:hAnsi="宋体" w:eastAsia="宋体" w:cs="宋体"/>
                <w:i w:val="0"/>
                <w:iCs w:val="0"/>
                <w:color w:val="auto"/>
                <w:sz w:val="18"/>
                <w:szCs w:val="18"/>
                <w:highlight w:val="none"/>
                <w:u w:val="none"/>
              </w:rPr>
            </w:pPr>
          </w:p>
        </w:tc>
      </w:tr>
      <w:tr w14:paraId="73D9D4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0" w:hRule="atLeast"/>
        </w:trPr>
        <w:tc>
          <w:tcPr>
            <w:tcW w:w="584" w:type="dxa"/>
            <w:tcBorders>
              <w:top w:val="single" w:color="auto" w:sz="4" w:space="0"/>
              <w:left w:val="single" w:color="auto" w:sz="4" w:space="0"/>
              <w:bottom w:val="single" w:color="auto" w:sz="4" w:space="0"/>
              <w:right w:val="single" w:color="auto" w:sz="4" w:space="0"/>
            </w:tcBorders>
            <w:noWrap w:val="0"/>
            <w:vAlign w:val="center"/>
          </w:tcPr>
          <w:p w14:paraId="127EA322">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22</w:t>
            </w:r>
          </w:p>
        </w:tc>
        <w:tc>
          <w:tcPr>
            <w:tcW w:w="690" w:type="dxa"/>
            <w:vMerge w:val="continue"/>
            <w:tcBorders>
              <w:top w:val="single" w:color="auto" w:sz="4" w:space="0"/>
              <w:left w:val="single" w:color="auto" w:sz="4" w:space="0"/>
              <w:bottom w:val="single" w:color="auto" w:sz="4" w:space="0"/>
              <w:right w:val="single" w:color="auto" w:sz="4" w:space="0"/>
            </w:tcBorders>
            <w:noWrap w:val="0"/>
            <w:vAlign w:val="center"/>
          </w:tcPr>
          <w:p w14:paraId="11CD3486">
            <w:pPr>
              <w:jc w:val="center"/>
              <w:rPr>
                <w:rFonts w:hint="eastAsia" w:ascii="宋体" w:hAnsi="宋体" w:eastAsia="宋体" w:cs="宋体"/>
                <w:i w:val="0"/>
                <w:iCs w:val="0"/>
                <w:color w:val="auto"/>
                <w:sz w:val="18"/>
                <w:szCs w:val="18"/>
                <w:highlight w:val="none"/>
                <w:u w:val="none"/>
              </w:rPr>
            </w:pPr>
          </w:p>
        </w:tc>
        <w:tc>
          <w:tcPr>
            <w:tcW w:w="864" w:type="dxa"/>
            <w:vMerge w:val="restart"/>
            <w:tcBorders>
              <w:top w:val="single" w:color="auto" w:sz="4" w:space="0"/>
              <w:left w:val="single" w:color="auto" w:sz="4" w:space="0"/>
              <w:bottom w:val="single" w:color="auto" w:sz="4" w:space="0"/>
              <w:right w:val="single" w:color="auto" w:sz="4" w:space="0"/>
            </w:tcBorders>
            <w:noWrap w:val="0"/>
            <w:vAlign w:val="center"/>
          </w:tcPr>
          <w:p w14:paraId="6FE9E7B8">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钢筋</w:t>
            </w:r>
          </w:p>
        </w:tc>
        <w:tc>
          <w:tcPr>
            <w:tcW w:w="1854" w:type="dxa"/>
            <w:gridSpan w:val="2"/>
            <w:tcBorders>
              <w:top w:val="single" w:color="auto" w:sz="4" w:space="0"/>
              <w:left w:val="single" w:color="auto" w:sz="4" w:space="0"/>
              <w:bottom w:val="single" w:color="auto" w:sz="4" w:space="0"/>
              <w:right w:val="single" w:color="auto" w:sz="4" w:space="0"/>
            </w:tcBorders>
            <w:noWrap w:val="0"/>
            <w:vAlign w:val="center"/>
          </w:tcPr>
          <w:p w14:paraId="471F76B6">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钢筋机械连接力学性能</w:t>
            </w:r>
          </w:p>
        </w:tc>
        <w:tc>
          <w:tcPr>
            <w:tcW w:w="553" w:type="dxa"/>
            <w:tcBorders>
              <w:top w:val="single" w:color="auto" w:sz="4" w:space="0"/>
              <w:left w:val="single" w:color="auto" w:sz="4" w:space="0"/>
              <w:bottom w:val="single" w:color="auto" w:sz="4" w:space="0"/>
              <w:right w:val="single" w:color="auto" w:sz="4" w:space="0"/>
            </w:tcBorders>
            <w:noWrap w:val="0"/>
            <w:vAlign w:val="center"/>
          </w:tcPr>
          <w:p w14:paraId="5674B5EA">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根</w:t>
            </w:r>
          </w:p>
        </w:tc>
        <w:tc>
          <w:tcPr>
            <w:tcW w:w="851" w:type="dxa"/>
            <w:tcBorders>
              <w:top w:val="single" w:color="auto" w:sz="4" w:space="0"/>
              <w:left w:val="single" w:color="auto" w:sz="4" w:space="0"/>
              <w:bottom w:val="single" w:color="auto" w:sz="4" w:space="0"/>
              <w:right w:val="single" w:color="auto" w:sz="4" w:space="0"/>
            </w:tcBorders>
            <w:noWrap w:val="0"/>
            <w:vAlign w:val="center"/>
          </w:tcPr>
          <w:p w14:paraId="4B14BC9D">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30</w:t>
            </w:r>
          </w:p>
        </w:tc>
        <w:tc>
          <w:tcPr>
            <w:tcW w:w="851" w:type="dxa"/>
            <w:tcBorders>
              <w:top w:val="single" w:color="auto" w:sz="4" w:space="0"/>
              <w:left w:val="single" w:color="auto" w:sz="4" w:space="0"/>
              <w:bottom w:val="single" w:color="auto" w:sz="4" w:space="0"/>
              <w:right w:val="single" w:color="auto" w:sz="4" w:space="0"/>
            </w:tcBorders>
            <w:noWrap w:val="0"/>
            <w:vAlign w:val="center"/>
          </w:tcPr>
          <w:p w14:paraId="6FAD400D">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30</w:t>
            </w:r>
          </w:p>
        </w:tc>
        <w:tc>
          <w:tcPr>
            <w:tcW w:w="851" w:type="dxa"/>
            <w:tcBorders>
              <w:top w:val="single" w:color="auto" w:sz="4" w:space="0"/>
              <w:left w:val="single" w:color="auto" w:sz="4" w:space="0"/>
              <w:bottom w:val="single" w:color="auto" w:sz="4" w:space="0"/>
              <w:right w:val="single" w:color="auto" w:sz="4" w:space="0"/>
            </w:tcBorders>
            <w:noWrap w:val="0"/>
            <w:vAlign w:val="center"/>
          </w:tcPr>
          <w:p w14:paraId="14FA67CD">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30</w:t>
            </w:r>
          </w:p>
        </w:tc>
        <w:tc>
          <w:tcPr>
            <w:tcW w:w="852" w:type="dxa"/>
            <w:tcBorders>
              <w:top w:val="single" w:color="auto" w:sz="4" w:space="0"/>
              <w:left w:val="single" w:color="auto" w:sz="4" w:space="0"/>
              <w:bottom w:val="single" w:color="auto" w:sz="4" w:space="0"/>
              <w:right w:val="single" w:color="auto" w:sz="4" w:space="0"/>
            </w:tcBorders>
            <w:noWrap w:val="0"/>
            <w:vAlign w:val="center"/>
          </w:tcPr>
          <w:p w14:paraId="140BB2E8">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30</w:t>
            </w:r>
          </w:p>
        </w:tc>
        <w:tc>
          <w:tcPr>
            <w:tcW w:w="554" w:type="dxa"/>
            <w:tcBorders>
              <w:top w:val="single" w:color="auto" w:sz="4" w:space="0"/>
              <w:left w:val="single" w:color="auto" w:sz="4" w:space="0"/>
              <w:bottom w:val="single" w:color="auto" w:sz="4" w:space="0"/>
              <w:right w:val="single" w:color="auto" w:sz="4" w:space="0"/>
            </w:tcBorders>
            <w:noWrap w:val="0"/>
            <w:vAlign w:val="center"/>
          </w:tcPr>
          <w:p w14:paraId="013B37DC">
            <w:pPr>
              <w:jc w:val="center"/>
              <w:rPr>
                <w:rFonts w:hint="eastAsia" w:ascii="宋体" w:hAnsi="宋体" w:eastAsia="宋体" w:cs="宋体"/>
                <w:i w:val="0"/>
                <w:iCs w:val="0"/>
                <w:color w:val="auto"/>
                <w:sz w:val="18"/>
                <w:szCs w:val="18"/>
                <w:highlight w:val="none"/>
                <w:u w:val="none"/>
              </w:rPr>
            </w:pPr>
          </w:p>
        </w:tc>
      </w:tr>
      <w:tr w14:paraId="0CE1261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0" w:hRule="atLeast"/>
        </w:trPr>
        <w:tc>
          <w:tcPr>
            <w:tcW w:w="584" w:type="dxa"/>
            <w:tcBorders>
              <w:top w:val="single" w:color="auto" w:sz="4" w:space="0"/>
              <w:left w:val="single" w:color="auto" w:sz="4" w:space="0"/>
              <w:bottom w:val="single" w:color="auto" w:sz="4" w:space="0"/>
              <w:right w:val="single" w:color="auto" w:sz="4" w:space="0"/>
            </w:tcBorders>
            <w:noWrap w:val="0"/>
            <w:vAlign w:val="center"/>
          </w:tcPr>
          <w:p w14:paraId="6E6A0937">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23</w:t>
            </w:r>
          </w:p>
        </w:tc>
        <w:tc>
          <w:tcPr>
            <w:tcW w:w="690" w:type="dxa"/>
            <w:vMerge w:val="continue"/>
            <w:tcBorders>
              <w:top w:val="single" w:color="auto" w:sz="4" w:space="0"/>
              <w:left w:val="single" w:color="auto" w:sz="4" w:space="0"/>
              <w:bottom w:val="single" w:color="auto" w:sz="4" w:space="0"/>
              <w:right w:val="single" w:color="auto" w:sz="4" w:space="0"/>
            </w:tcBorders>
            <w:noWrap w:val="0"/>
            <w:vAlign w:val="center"/>
          </w:tcPr>
          <w:p w14:paraId="1B19C32D">
            <w:pPr>
              <w:jc w:val="center"/>
              <w:rPr>
                <w:rFonts w:hint="eastAsia" w:ascii="宋体" w:hAnsi="宋体" w:eastAsia="宋体" w:cs="宋体"/>
                <w:i w:val="0"/>
                <w:iCs w:val="0"/>
                <w:color w:val="auto"/>
                <w:sz w:val="18"/>
                <w:szCs w:val="18"/>
                <w:highlight w:val="none"/>
                <w:u w:val="none"/>
              </w:rPr>
            </w:pPr>
          </w:p>
        </w:tc>
        <w:tc>
          <w:tcPr>
            <w:tcW w:w="864" w:type="dxa"/>
            <w:vMerge w:val="continue"/>
            <w:tcBorders>
              <w:top w:val="single" w:color="auto" w:sz="4" w:space="0"/>
              <w:left w:val="single" w:color="auto" w:sz="4" w:space="0"/>
              <w:bottom w:val="single" w:color="auto" w:sz="4" w:space="0"/>
              <w:right w:val="single" w:color="auto" w:sz="4" w:space="0"/>
            </w:tcBorders>
            <w:noWrap w:val="0"/>
            <w:vAlign w:val="center"/>
          </w:tcPr>
          <w:p w14:paraId="2C4DC563">
            <w:pPr>
              <w:jc w:val="center"/>
              <w:rPr>
                <w:rFonts w:hint="eastAsia" w:ascii="宋体" w:hAnsi="宋体" w:eastAsia="宋体" w:cs="宋体"/>
                <w:i w:val="0"/>
                <w:iCs w:val="0"/>
                <w:color w:val="auto"/>
                <w:sz w:val="18"/>
                <w:szCs w:val="18"/>
                <w:highlight w:val="none"/>
                <w:u w:val="none"/>
              </w:rPr>
            </w:pPr>
          </w:p>
        </w:tc>
        <w:tc>
          <w:tcPr>
            <w:tcW w:w="1854" w:type="dxa"/>
            <w:gridSpan w:val="2"/>
            <w:tcBorders>
              <w:top w:val="single" w:color="auto" w:sz="4" w:space="0"/>
              <w:left w:val="single" w:color="auto" w:sz="4" w:space="0"/>
              <w:bottom w:val="single" w:color="auto" w:sz="4" w:space="0"/>
              <w:right w:val="single" w:color="auto" w:sz="4" w:space="0"/>
            </w:tcBorders>
            <w:noWrap w:val="0"/>
            <w:vAlign w:val="center"/>
          </w:tcPr>
          <w:p w14:paraId="27064966">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钢筋焊接接头力学性能</w:t>
            </w:r>
          </w:p>
        </w:tc>
        <w:tc>
          <w:tcPr>
            <w:tcW w:w="553" w:type="dxa"/>
            <w:tcBorders>
              <w:top w:val="single" w:color="auto" w:sz="4" w:space="0"/>
              <w:left w:val="single" w:color="auto" w:sz="4" w:space="0"/>
              <w:bottom w:val="single" w:color="auto" w:sz="4" w:space="0"/>
              <w:right w:val="single" w:color="auto" w:sz="4" w:space="0"/>
            </w:tcBorders>
            <w:noWrap w:val="0"/>
            <w:vAlign w:val="center"/>
          </w:tcPr>
          <w:p w14:paraId="38C3AE8A">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根</w:t>
            </w:r>
          </w:p>
        </w:tc>
        <w:tc>
          <w:tcPr>
            <w:tcW w:w="851" w:type="dxa"/>
            <w:tcBorders>
              <w:top w:val="single" w:color="auto" w:sz="4" w:space="0"/>
              <w:left w:val="single" w:color="auto" w:sz="4" w:space="0"/>
              <w:bottom w:val="single" w:color="auto" w:sz="4" w:space="0"/>
              <w:right w:val="single" w:color="auto" w:sz="4" w:space="0"/>
            </w:tcBorders>
            <w:noWrap w:val="0"/>
            <w:vAlign w:val="center"/>
          </w:tcPr>
          <w:p w14:paraId="67B10620">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52</w:t>
            </w:r>
          </w:p>
        </w:tc>
        <w:tc>
          <w:tcPr>
            <w:tcW w:w="851" w:type="dxa"/>
            <w:tcBorders>
              <w:top w:val="single" w:color="auto" w:sz="4" w:space="0"/>
              <w:left w:val="single" w:color="auto" w:sz="4" w:space="0"/>
              <w:bottom w:val="single" w:color="auto" w:sz="4" w:space="0"/>
              <w:right w:val="single" w:color="auto" w:sz="4" w:space="0"/>
            </w:tcBorders>
            <w:noWrap w:val="0"/>
            <w:vAlign w:val="center"/>
          </w:tcPr>
          <w:p w14:paraId="04F1A678">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52</w:t>
            </w:r>
          </w:p>
        </w:tc>
        <w:tc>
          <w:tcPr>
            <w:tcW w:w="851" w:type="dxa"/>
            <w:tcBorders>
              <w:top w:val="single" w:color="auto" w:sz="4" w:space="0"/>
              <w:left w:val="single" w:color="auto" w:sz="4" w:space="0"/>
              <w:bottom w:val="single" w:color="auto" w:sz="4" w:space="0"/>
              <w:right w:val="single" w:color="auto" w:sz="4" w:space="0"/>
            </w:tcBorders>
            <w:noWrap w:val="0"/>
            <w:vAlign w:val="center"/>
          </w:tcPr>
          <w:p w14:paraId="6312B86A">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52</w:t>
            </w:r>
          </w:p>
        </w:tc>
        <w:tc>
          <w:tcPr>
            <w:tcW w:w="852" w:type="dxa"/>
            <w:tcBorders>
              <w:top w:val="single" w:color="auto" w:sz="4" w:space="0"/>
              <w:left w:val="single" w:color="auto" w:sz="4" w:space="0"/>
              <w:bottom w:val="single" w:color="auto" w:sz="4" w:space="0"/>
              <w:right w:val="single" w:color="auto" w:sz="4" w:space="0"/>
            </w:tcBorders>
            <w:noWrap w:val="0"/>
            <w:vAlign w:val="center"/>
          </w:tcPr>
          <w:p w14:paraId="5C2517FE">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52</w:t>
            </w:r>
          </w:p>
        </w:tc>
        <w:tc>
          <w:tcPr>
            <w:tcW w:w="554" w:type="dxa"/>
            <w:tcBorders>
              <w:top w:val="single" w:color="auto" w:sz="4" w:space="0"/>
              <w:left w:val="single" w:color="auto" w:sz="4" w:space="0"/>
              <w:bottom w:val="single" w:color="auto" w:sz="4" w:space="0"/>
              <w:right w:val="single" w:color="auto" w:sz="4" w:space="0"/>
            </w:tcBorders>
            <w:noWrap w:val="0"/>
            <w:vAlign w:val="center"/>
          </w:tcPr>
          <w:p w14:paraId="70ED26B1">
            <w:pPr>
              <w:jc w:val="center"/>
              <w:rPr>
                <w:rFonts w:hint="eastAsia" w:ascii="宋体" w:hAnsi="宋体" w:eastAsia="宋体" w:cs="宋体"/>
                <w:i w:val="0"/>
                <w:iCs w:val="0"/>
                <w:color w:val="auto"/>
                <w:sz w:val="18"/>
                <w:szCs w:val="18"/>
                <w:highlight w:val="none"/>
                <w:u w:val="none"/>
              </w:rPr>
            </w:pPr>
          </w:p>
        </w:tc>
      </w:tr>
      <w:tr w14:paraId="6324D7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0" w:hRule="atLeast"/>
        </w:trPr>
        <w:tc>
          <w:tcPr>
            <w:tcW w:w="584" w:type="dxa"/>
            <w:tcBorders>
              <w:top w:val="single" w:color="auto" w:sz="4" w:space="0"/>
              <w:left w:val="single" w:color="auto" w:sz="4" w:space="0"/>
              <w:bottom w:val="single" w:color="auto" w:sz="4" w:space="0"/>
              <w:right w:val="single" w:color="auto" w:sz="4" w:space="0"/>
            </w:tcBorders>
            <w:noWrap w:val="0"/>
            <w:vAlign w:val="center"/>
          </w:tcPr>
          <w:p w14:paraId="225CF877">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24</w:t>
            </w:r>
          </w:p>
        </w:tc>
        <w:tc>
          <w:tcPr>
            <w:tcW w:w="690" w:type="dxa"/>
            <w:vMerge w:val="continue"/>
            <w:tcBorders>
              <w:top w:val="single" w:color="auto" w:sz="4" w:space="0"/>
              <w:left w:val="single" w:color="auto" w:sz="4" w:space="0"/>
              <w:bottom w:val="single" w:color="auto" w:sz="4" w:space="0"/>
              <w:right w:val="single" w:color="auto" w:sz="4" w:space="0"/>
            </w:tcBorders>
            <w:noWrap w:val="0"/>
            <w:vAlign w:val="center"/>
          </w:tcPr>
          <w:p w14:paraId="6E1AD256">
            <w:pPr>
              <w:jc w:val="center"/>
              <w:rPr>
                <w:rFonts w:hint="eastAsia" w:ascii="宋体" w:hAnsi="宋体" w:eastAsia="宋体" w:cs="宋体"/>
                <w:i w:val="0"/>
                <w:iCs w:val="0"/>
                <w:color w:val="auto"/>
                <w:sz w:val="18"/>
                <w:szCs w:val="18"/>
                <w:highlight w:val="none"/>
                <w:u w:val="none"/>
              </w:rPr>
            </w:pPr>
          </w:p>
        </w:tc>
        <w:tc>
          <w:tcPr>
            <w:tcW w:w="864" w:type="dxa"/>
            <w:vMerge w:val="continue"/>
            <w:tcBorders>
              <w:top w:val="single" w:color="auto" w:sz="4" w:space="0"/>
              <w:left w:val="single" w:color="auto" w:sz="4" w:space="0"/>
              <w:bottom w:val="single" w:color="auto" w:sz="4" w:space="0"/>
              <w:right w:val="single" w:color="auto" w:sz="4" w:space="0"/>
            </w:tcBorders>
            <w:noWrap w:val="0"/>
            <w:vAlign w:val="center"/>
          </w:tcPr>
          <w:p w14:paraId="44DEE8C9">
            <w:pPr>
              <w:jc w:val="center"/>
              <w:rPr>
                <w:rFonts w:hint="eastAsia" w:ascii="宋体" w:hAnsi="宋体" w:eastAsia="宋体" w:cs="宋体"/>
                <w:i w:val="0"/>
                <w:iCs w:val="0"/>
                <w:color w:val="auto"/>
                <w:sz w:val="18"/>
                <w:szCs w:val="18"/>
                <w:highlight w:val="none"/>
                <w:u w:val="none"/>
              </w:rPr>
            </w:pPr>
          </w:p>
        </w:tc>
        <w:tc>
          <w:tcPr>
            <w:tcW w:w="1854" w:type="dxa"/>
            <w:gridSpan w:val="2"/>
            <w:tcBorders>
              <w:top w:val="single" w:color="auto" w:sz="4" w:space="0"/>
              <w:left w:val="single" w:color="auto" w:sz="4" w:space="0"/>
              <w:bottom w:val="single" w:color="auto" w:sz="4" w:space="0"/>
              <w:right w:val="single" w:color="auto" w:sz="4" w:space="0"/>
            </w:tcBorders>
            <w:noWrap w:val="0"/>
            <w:vAlign w:val="center"/>
          </w:tcPr>
          <w:p w14:paraId="155F4B11">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受力钢筋间距</w:t>
            </w:r>
          </w:p>
        </w:tc>
        <w:tc>
          <w:tcPr>
            <w:tcW w:w="553" w:type="dxa"/>
            <w:tcBorders>
              <w:top w:val="single" w:color="auto" w:sz="4" w:space="0"/>
              <w:left w:val="single" w:color="auto" w:sz="4" w:space="0"/>
              <w:bottom w:val="single" w:color="auto" w:sz="4" w:space="0"/>
              <w:right w:val="single" w:color="auto" w:sz="4" w:space="0"/>
            </w:tcBorders>
            <w:noWrap w:val="0"/>
            <w:vAlign w:val="center"/>
          </w:tcPr>
          <w:p w14:paraId="591C2C5F">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点</w:t>
            </w:r>
          </w:p>
        </w:tc>
        <w:tc>
          <w:tcPr>
            <w:tcW w:w="851" w:type="dxa"/>
            <w:tcBorders>
              <w:top w:val="single" w:color="auto" w:sz="4" w:space="0"/>
              <w:left w:val="single" w:color="auto" w:sz="4" w:space="0"/>
              <w:bottom w:val="single" w:color="auto" w:sz="4" w:space="0"/>
              <w:right w:val="single" w:color="auto" w:sz="4" w:space="0"/>
            </w:tcBorders>
            <w:noWrap w:val="0"/>
            <w:vAlign w:val="center"/>
          </w:tcPr>
          <w:p w14:paraId="1238FD3D">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1050</w:t>
            </w:r>
          </w:p>
        </w:tc>
        <w:tc>
          <w:tcPr>
            <w:tcW w:w="851" w:type="dxa"/>
            <w:tcBorders>
              <w:top w:val="single" w:color="auto" w:sz="4" w:space="0"/>
              <w:left w:val="single" w:color="auto" w:sz="4" w:space="0"/>
              <w:bottom w:val="single" w:color="auto" w:sz="4" w:space="0"/>
              <w:right w:val="single" w:color="auto" w:sz="4" w:space="0"/>
            </w:tcBorders>
            <w:noWrap w:val="0"/>
            <w:vAlign w:val="center"/>
          </w:tcPr>
          <w:p w14:paraId="1E40A1CC">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1050</w:t>
            </w:r>
          </w:p>
        </w:tc>
        <w:tc>
          <w:tcPr>
            <w:tcW w:w="851" w:type="dxa"/>
            <w:tcBorders>
              <w:top w:val="single" w:color="auto" w:sz="4" w:space="0"/>
              <w:left w:val="single" w:color="auto" w:sz="4" w:space="0"/>
              <w:bottom w:val="single" w:color="auto" w:sz="4" w:space="0"/>
              <w:right w:val="single" w:color="auto" w:sz="4" w:space="0"/>
            </w:tcBorders>
            <w:noWrap w:val="0"/>
            <w:vAlign w:val="center"/>
          </w:tcPr>
          <w:p w14:paraId="11D6C218">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1050</w:t>
            </w:r>
          </w:p>
        </w:tc>
        <w:tc>
          <w:tcPr>
            <w:tcW w:w="852" w:type="dxa"/>
            <w:tcBorders>
              <w:top w:val="single" w:color="auto" w:sz="4" w:space="0"/>
              <w:left w:val="single" w:color="auto" w:sz="4" w:space="0"/>
              <w:bottom w:val="single" w:color="auto" w:sz="4" w:space="0"/>
              <w:right w:val="single" w:color="auto" w:sz="4" w:space="0"/>
            </w:tcBorders>
            <w:noWrap w:val="0"/>
            <w:vAlign w:val="center"/>
          </w:tcPr>
          <w:p w14:paraId="140A6B13">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1050</w:t>
            </w:r>
          </w:p>
        </w:tc>
        <w:tc>
          <w:tcPr>
            <w:tcW w:w="554" w:type="dxa"/>
            <w:tcBorders>
              <w:top w:val="single" w:color="auto" w:sz="4" w:space="0"/>
              <w:left w:val="single" w:color="auto" w:sz="4" w:space="0"/>
              <w:bottom w:val="single" w:color="auto" w:sz="4" w:space="0"/>
              <w:right w:val="single" w:color="auto" w:sz="4" w:space="0"/>
            </w:tcBorders>
            <w:noWrap w:val="0"/>
            <w:vAlign w:val="center"/>
          </w:tcPr>
          <w:p w14:paraId="457BA629">
            <w:pPr>
              <w:jc w:val="center"/>
              <w:rPr>
                <w:rFonts w:hint="eastAsia" w:ascii="宋体" w:hAnsi="宋体" w:eastAsia="宋体" w:cs="宋体"/>
                <w:i w:val="0"/>
                <w:iCs w:val="0"/>
                <w:color w:val="auto"/>
                <w:sz w:val="18"/>
                <w:szCs w:val="18"/>
                <w:highlight w:val="none"/>
                <w:u w:val="none"/>
              </w:rPr>
            </w:pPr>
          </w:p>
        </w:tc>
      </w:tr>
      <w:tr w14:paraId="61B6F5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0" w:hRule="atLeast"/>
        </w:trPr>
        <w:tc>
          <w:tcPr>
            <w:tcW w:w="584" w:type="dxa"/>
            <w:tcBorders>
              <w:top w:val="single" w:color="auto" w:sz="4" w:space="0"/>
              <w:left w:val="single" w:color="auto" w:sz="4" w:space="0"/>
              <w:bottom w:val="single" w:color="auto" w:sz="4" w:space="0"/>
              <w:right w:val="single" w:color="auto" w:sz="4" w:space="0"/>
            </w:tcBorders>
            <w:noWrap w:val="0"/>
            <w:vAlign w:val="center"/>
          </w:tcPr>
          <w:p w14:paraId="62827AFC">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25</w:t>
            </w:r>
          </w:p>
        </w:tc>
        <w:tc>
          <w:tcPr>
            <w:tcW w:w="690" w:type="dxa"/>
            <w:vMerge w:val="continue"/>
            <w:tcBorders>
              <w:top w:val="single" w:color="auto" w:sz="4" w:space="0"/>
              <w:left w:val="single" w:color="auto" w:sz="4" w:space="0"/>
              <w:bottom w:val="single" w:color="auto" w:sz="4" w:space="0"/>
              <w:right w:val="single" w:color="auto" w:sz="4" w:space="0"/>
            </w:tcBorders>
            <w:noWrap w:val="0"/>
            <w:vAlign w:val="center"/>
          </w:tcPr>
          <w:p w14:paraId="6CAF43C5">
            <w:pPr>
              <w:jc w:val="center"/>
              <w:rPr>
                <w:rFonts w:hint="eastAsia" w:ascii="宋体" w:hAnsi="宋体" w:eastAsia="宋体" w:cs="宋体"/>
                <w:i w:val="0"/>
                <w:iCs w:val="0"/>
                <w:color w:val="auto"/>
                <w:sz w:val="18"/>
                <w:szCs w:val="18"/>
                <w:highlight w:val="none"/>
                <w:u w:val="none"/>
              </w:rPr>
            </w:pPr>
          </w:p>
        </w:tc>
        <w:tc>
          <w:tcPr>
            <w:tcW w:w="864" w:type="dxa"/>
            <w:vMerge w:val="continue"/>
            <w:tcBorders>
              <w:top w:val="single" w:color="auto" w:sz="4" w:space="0"/>
              <w:left w:val="single" w:color="auto" w:sz="4" w:space="0"/>
              <w:bottom w:val="single" w:color="auto" w:sz="4" w:space="0"/>
              <w:right w:val="single" w:color="auto" w:sz="4" w:space="0"/>
            </w:tcBorders>
            <w:noWrap w:val="0"/>
            <w:vAlign w:val="center"/>
          </w:tcPr>
          <w:p w14:paraId="4A2AB249">
            <w:pPr>
              <w:jc w:val="center"/>
              <w:rPr>
                <w:rFonts w:hint="eastAsia" w:ascii="宋体" w:hAnsi="宋体" w:eastAsia="宋体" w:cs="宋体"/>
                <w:i w:val="0"/>
                <w:iCs w:val="0"/>
                <w:color w:val="auto"/>
                <w:sz w:val="18"/>
                <w:szCs w:val="18"/>
                <w:highlight w:val="none"/>
                <w:u w:val="none"/>
              </w:rPr>
            </w:pPr>
          </w:p>
        </w:tc>
        <w:tc>
          <w:tcPr>
            <w:tcW w:w="1854" w:type="dxa"/>
            <w:gridSpan w:val="2"/>
            <w:tcBorders>
              <w:top w:val="single" w:color="auto" w:sz="4" w:space="0"/>
              <w:left w:val="single" w:color="auto" w:sz="4" w:space="0"/>
              <w:bottom w:val="single" w:color="auto" w:sz="4" w:space="0"/>
              <w:right w:val="single" w:color="auto" w:sz="4" w:space="0"/>
            </w:tcBorders>
            <w:noWrap w:val="0"/>
            <w:vAlign w:val="center"/>
          </w:tcPr>
          <w:p w14:paraId="40170C2B">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钢筋保护层厚度</w:t>
            </w:r>
          </w:p>
        </w:tc>
        <w:tc>
          <w:tcPr>
            <w:tcW w:w="553" w:type="dxa"/>
            <w:tcBorders>
              <w:top w:val="single" w:color="auto" w:sz="4" w:space="0"/>
              <w:left w:val="single" w:color="auto" w:sz="4" w:space="0"/>
              <w:bottom w:val="single" w:color="auto" w:sz="4" w:space="0"/>
              <w:right w:val="single" w:color="auto" w:sz="4" w:space="0"/>
            </w:tcBorders>
            <w:noWrap w:val="0"/>
            <w:vAlign w:val="center"/>
          </w:tcPr>
          <w:p w14:paraId="64681C83">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点</w:t>
            </w:r>
          </w:p>
        </w:tc>
        <w:tc>
          <w:tcPr>
            <w:tcW w:w="851" w:type="dxa"/>
            <w:tcBorders>
              <w:top w:val="single" w:color="auto" w:sz="4" w:space="0"/>
              <w:left w:val="single" w:color="auto" w:sz="4" w:space="0"/>
              <w:bottom w:val="single" w:color="auto" w:sz="4" w:space="0"/>
              <w:right w:val="single" w:color="auto" w:sz="4" w:space="0"/>
            </w:tcBorders>
            <w:noWrap w:val="0"/>
            <w:vAlign w:val="center"/>
          </w:tcPr>
          <w:p w14:paraId="4F25D541">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1050</w:t>
            </w:r>
          </w:p>
        </w:tc>
        <w:tc>
          <w:tcPr>
            <w:tcW w:w="851" w:type="dxa"/>
            <w:tcBorders>
              <w:top w:val="single" w:color="auto" w:sz="4" w:space="0"/>
              <w:left w:val="single" w:color="auto" w:sz="4" w:space="0"/>
              <w:bottom w:val="single" w:color="auto" w:sz="4" w:space="0"/>
              <w:right w:val="single" w:color="auto" w:sz="4" w:space="0"/>
            </w:tcBorders>
            <w:noWrap w:val="0"/>
            <w:vAlign w:val="center"/>
          </w:tcPr>
          <w:p w14:paraId="3F90FD94">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1050</w:t>
            </w:r>
          </w:p>
        </w:tc>
        <w:tc>
          <w:tcPr>
            <w:tcW w:w="851" w:type="dxa"/>
            <w:tcBorders>
              <w:top w:val="single" w:color="auto" w:sz="4" w:space="0"/>
              <w:left w:val="single" w:color="auto" w:sz="4" w:space="0"/>
              <w:bottom w:val="single" w:color="auto" w:sz="4" w:space="0"/>
              <w:right w:val="single" w:color="auto" w:sz="4" w:space="0"/>
            </w:tcBorders>
            <w:noWrap w:val="0"/>
            <w:vAlign w:val="center"/>
          </w:tcPr>
          <w:p w14:paraId="31373BDF">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1050</w:t>
            </w:r>
          </w:p>
        </w:tc>
        <w:tc>
          <w:tcPr>
            <w:tcW w:w="852" w:type="dxa"/>
            <w:tcBorders>
              <w:top w:val="single" w:color="auto" w:sz="4" w:space="0"/>
              <w:left w:val="single" w:color="auto" w:sz="4" w:space="0"/>
              <w:bottom w:val="single" w:color="auto" w:sz="4" w:space="0"/>
              <w:right w:val="single" w:color="auto" w:sz="4" w:space="0"/>
            </w:tcBorders>
            <w:noWrap w:val="0"/>
            <w:vAlign w:val="center"/>
          </w:tcPr>
          <w:p w14:paraId="6FE889F9">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1050</w:t>
            </w:r>
          </w:p>
        </w:tc>
        <w:tc>
          <w:tcPr>
            <w:tcW w:w="554" w:type="dxa"/>
            <w:tcBorders>
              <w:top w:val="single" w:color="auto" w:sz="4" w:space="0"/>
              <w:left w:val="single" w:color="auto" w:sz="4" w:space="0"/>
              <w:bottom w:val="single" w:color="auto" w:sz="4" w:space="0"/>
              <w:right w:val="single" w:color="auto" w:sz="4" w:space="0"/>
            </w:tcBorders>
            <w:noWrap w:val="0"/>
            <w:vAlign w:val="center"/>
          </w:tcPr>
          <w:p w14:paraId="4C1882B3">
            <w:pPr>
              <w:jc w:val="center"/>
              <w:rPr>
                <w:rFonts w:hint="eastAsia" w:ascii="宋体" w:hAnsi="宋体" w:eastAsia="宋体" w:cs="宋体"/>
                <w:i w:val="0"/>
                <w:iCs w:val="0"/>
                <w:color w:val="auto"/>
                <w:sz w:val="18"/>
                <w:szCs w:val="18"/>
                <w:highlight w:val="none"/>
                <w:u w:val="none"/>
              </w:rPr>
            </w:pPr>
          </w:p>
        </w:tc>
      </w:tr>
      <w:tr w14:paraId="4B3AB37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0" w:hRule="atLeast"/>
        </w:trPr>
        <w:tc>
          <w:tcPr>
            <w:tcW w:w="584" w:type="dxa"/>
            <w:tcBorders>
              <w:top w:val="single" w:color="auto" w:sz="4" w:space="0"/>
              <w:left w:val="single" w:color="auto" w:sz="4" w:space="0"/>
              <w:bottom w:val="single" w:color="auto" w:sz="4" w:space="0"/>
              <w:right w:val="single" w:color="auto" w:sz="4" w:space="0"/>
            </w:tcBorders>
            <w:noWrap w:val="0"/>
            <w:vAlign w:val="center"/>
          </w:tcPr>
          <w:p w14:paraId="42969672">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26</w:t>
            </w:r>
          </w:p>
        </w:tc>
        <w:tc>
          <w:tcPr>
            <w:tcW w:w="690" w:type="dxa"/>
            <w:vMerge w:val="continue"/>
            <w:tcBorders>
              <w:top w:val="single" w:color="auto" w:sz="4" w:space="0"/>
              <w:left w:val="single" w:color="auto" w:sz="4" w:space="0"/>
              <w:bottom w:val="single" w:color="auto" w:sz="4" w:space="0"/>
              <w:right w:val="single" w:color="auto" w:sz="4" w:space="0"/>
            </w:tcBorders>
            <w:noWrap w:val="0"/>
            <w:vAlign w:val="center"/>
          </w:tcPr>
          <w:p w14:paraId="6DFD6C55">
            <w:pPr>
              <w:jc w:val="center"/>
              <w:rPr>
                <w:rFonts w:hint="eastAsia" w:ascii="宋体" w:hAnsi="宋体" w:eastAsia="宋体" w:cs="宋体"/>
                <w:i w:val="0"/>
                <w:iCs w:val="0"/>
                <w:color w:val="auto"/>
                <w:sz w:val="18"/>
                <w:szCs w:val="18"/>
                <w:highlight w:val="none"/>
                <w:u w:val="none"/>
              </w:rPr>
            </w:pPr>
          </w:p>
        </w:tc>
        <w:tc>
          <w:tcPr>
            <w:tcW w:w="864" w:type="dxa"/>
            <w:vMerge w:val="restart"/>
            <w:tcBorders>
              <w:top w:val="single" w:color="auto" w:sz="4" w:space="0"/>
              <w:left w:val="single" w:color="auto" w:sz="4" w:space="0"/>
              <w:bottom w:val="single" w:color="auto" w:sz="4" w:space="0"/>
              <w:right w:val="single" w:color="auto" w:sz="4" w:space="0"/>
            </w:tcBorders>
            <w:noWrap w:val="0"/>
            <w:vAlign w:val="center"/>
          </w:tcPr>
          <w:p w14:paraId="7AFD4560">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预应力</w:t>
            </w:r>
          </w:p>
        </w:tc>
        <w:tc>
          <w:tcPr>
            <w:tcW w:w="828" w:type="dxa"/>
            <w:vMerge w:val="restart"/>
            <w:tcBorders>
              <w:top w:val="single" w:color="auto" w:sz="4" w:space="0"/>
              <w:left w:val="single" w:color="auto" w:sz="4" w:space="0"/>
              <w:bottom w:val="single" w:color="auto" w:sz="4" w:space="0"/>
              <w:right w:val="single" w:color="auto" w:sz="4" w:space="0"/>
            </w:tcBorders>
            <w:noWrap w:val="0"/>
            <w:vAlign w:val="center"/>
          </w:tcPr>
          <w:p w14:paraId="3276A97E">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锚下有效预应力及孔道压浆质量</w:t>
            </w:r>
          </w:p>
        </w:tc>
        <w:tc>
          <w:tcPr>
            <w:tcW w:w="1026" w:type="dxa"/>
            <w:tcBorders>
              <w:top w:val="single" w:color="auto" w:sz="4" w:space="0"/>
              <w:left w:val="single" w:color="auto" w:sz="4" w:space="0"/>
              <w:bottom w:val="single" w:color="auto" w:sz="4" w:space="0"/>
              <w:right w:val="single" w:color="auto" w:sz="4" w:space="0"/>
            </w:tcBorders>
            <w:noWrap w:val="0"/>
            <w:vAlign w:val="center"/>
          </w:tcPr>
          <w:p w14:paraId="0B4EC791">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20 米以下预制 梁</w:t>
            </w:r>
          </w:p>
        </w:tc>
        <w:tc>
          <w:tcPr>
            <w:tcW w:w="553" w:type="dxa"/>
            <w:tcBorders>
              <w:top w:val="single" w:color="auto" w:sz="4" w:space="0"/>
              <w:left w:val="single" w:color="auto" w:sz="4" w:space="0"/>
              <w:bottom w:val="single" w:color="auto" w:sz="4" w:space="0"/>
              <w:right w:val="single" w:color="auto" w:sz="4" w:space="0"/>
            </w:tcBorders>
            <w:noWrap w:val="0"/>
            <w:vAlign w:val="center"/>
          </w:tcPr>
          <w:p w14:paraId="31255C36">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片</w:t>
            </w:r>
          </w:p>
        </w:tc>
        <w:tc>
          <w:tcPr>
            <w:tcW w:w="851" w:type="dxa"/>
            <w:tcBorders>
              <w:top w:val="single" w:color="auto" w:sz="4" w:space="0"/>
              <w:left w:val="single" w:color="auto" w:sz="4" w:space="0"/>
              <w:bottom w:val="single" w:color="auto" w:sz="4" w:space="0"/>
              <w:right w:val="single" w:color="auto" w:sz="4" w:space="0"/>
            </w:tcBorders>
            <w:noWrap w:val="0"/>
            <w:vAlign w:val="center"/>
          </w:tcPr>
          <w:p w14:paraId="4891C76F">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22</w:t>
            </w:r>
          </w:p>
        </w:tc>
        <w:tc>
          <w:tcPr>
            <w:tcW w:w="851" w:type="dxa"/>
            <w:tcBorders>
              <w:top w:val="single" w:color="auto" w:sz="4" w:space="0"/>
              <w:left w:val="single" w:color="auto" w:sz="4" w:space="0"/>
              <w:bottom w:val="single" w:color="auto" w:sz="4" w:space="0"/>
              <w:right w:val="single" w:color="auto" w:sz="4" w:space="0"/>
            </w:tcBorders>
            <w:noWrap w:val="0"/>
            <w:vAlign w:val="center"/>
          </w:tcPr>
          <w:p w14:paraId="255B5AD8">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22</w:t>
            </w:r>
          </w:p>
        </w:tc>
        <w:tc>
          <w:tcPr>
            <w:tcW w:w="851" w:type="dxa"/>
            <w:tcBorders>
              <w:top w:val="single" w:color="auto" w:sz="4" w:space="0"/>
              <w:left w:val="single" w:color="auto" w:sz="4" w:space="0"/>
              <w:bottom w:val="single" w:color="auto" w:sz="4" w:space="0"/>
              <w:right w:val="single" w:color="auto" w:sz="4" w:space="0"/>
            </w:tcBorders>
            <w:noWrap w:val="0"/>
            <w:vAlign w:val="center"/>
          </w:tcPr>
          <w:p w14:paraId="7441BFFE">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22</w:t>
            </w:r>
          </w:p>
        </w:tc>
        <w:tc>
          <w:tcPr>
            <w:tcW w:w="852" w:type="dxa"/>
            <w:tcBorders>
              <w:top w:val="single" w:color="auto" w:sz="4" w:space="0"/>
              <w:left w:val="single" w:color="auto" w:sz="4" w:space="0"/>
              <w:bottom w:val="single" w:color="auto" w:sz="4" w:space="0"/>
              <w:right w:val="single" w:color="auto" w:sz="4" w:space="0"/>
            </w:tcBorders>
            <w:noWrap w:val="0"/>
            <w:vAlign w:val="center"/>
          </w:tcPr>
          <w:p w14:paraId="6376C8D0">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22</w:t>
            </w:r>
          </w:p>
        </w:tc>
        <w:tc>
          <w:tcPr>
            <w:tcW w:w="554" w:type="dxa"/>
            <w:tcBorders>
              <w:top w:val="single" w:color="auto" w:sz="4" w:space="0"/>
              <w:left w:val="single" w:color="auto" w:sz="4" w:space="0"/>
              <w:bottom w:val="single" w:color="auto" w:sz="4" w:space="0"/>
              <w:right w:val="single" w:color="auto" w:sz="4" w:space="0"/>
            </w:tcBorders>
            <w:noWrap w:val="0"/>
            <w:vAlign w:val="center"/>
          </w:tcPr>
          <w:p w14:paraId="46C4AA5A">
            <w:pPr>
              <w:jc w:val="center"/>
              <w:rPr>
                <w:rFonts w:hint="eastAsia" w:ascii="宋体" w:hAnsi="宋体" w:eastAsia="宋体" w:cs="宋体"/>
                <w:i w:val="0"/>
                <w:iCs w:val="0"/>
                <w:color w:val="auto"/>
                <w:sz w:val="18"/>
                <w:szCs w:val="18"/>
                <w:highlight w:val="none"/>
                <w:u w:val="none"/>
              </w:rPr>
            </w:pPr>
          </w:p>
        </w:tc>
      </w:tr>
      <w:tr w14:paraId="0E7DE4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0" w:hRule="atLeast"/>
        </w:trPr>
        <w:tc>
          <w:tcPr>
            <w:tcW w:w="584" w:type="dxa"/>
            <w:tcBorders>
              <w:top w:val="single" w:color="auto" w:sz="4" w:space="0"/>
              <w:left w:val="single" w:color="auto" w:sz="4" w:space="0"/>
              <w:bottom w:val="single" w:color="auto" w:sz="4" w:space="0"/>
              <w:right w:val="single" w:color="auto" w:sz="4" w:space="0"/>
            </w:tcBorders>
            <w:noWrap w:val="0"/>
            <w:vAlign w:val="center"/>
          </w:tcPr>
          <w:p w14:paraId="7D695A4D">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27</w:t>
            </w:r>
          </w:p>
        </w:tc>
        <w:tc>
          <w:tcPr>
            <w:tcW w:w="690" w:type="dxa"/>
            <w:vMerge w:val="continue"/>
            <w:tcBorders>
              <w:top w:val="single" w:color="auto" w:sz="4" w:space="0"/>
              <w:left w:val="single" w:color="auto" w:sz="4" w:space="0"/>
              <w:bottom w:val="single" w:color="auto" w:sz="4" w:space="0"/>
              <w:right w:val="single" w:color="auto" w:sz="4" w:space="0"/>
            </w:tcBorders>
            <w:noWrap w:val="0"/>
            <w:vAlign w:val="center"/>
          </w:tcPr>
          <w:p w14:paraId="30F3A236">
            <w:pPr>
              <w:jc w:val="center"/>
              <w:rPr>
                <w:rFonts w:hint="eastAsia" w:ascii="宋体" w:hAnsi="宋体" w:eastAsia="宋体" w:cs="宋体"/>
                <w:i w:val="0"/>
                <w:iCs w:val="0"/>
                <w:color w:val="auto"/>
                <w:sz w:val="18"/>
                <w:szCs w:val="18"/>
                <w:highlight w:val="none"/>
                <w:u w:val="none"/>
              </w:rPr>
            </w:pPr>
          </w:p>
        </w:tc>
        <w:tc>
          <w:tcPr>
            <w:tcW w:w="864" w:type="dxa"/>
            <w:vMerge w:val="continue"/>
            <w:tcBorders>
              <w:top w:val="single" w:color="auto" w:sz="4" w:space="0"/>
              <w:left w:val="single" w:color="auto" w:sz="4" w:space="0"/>
              <w:bottom w:val="single" w:color="auto" w:sz="4" w:space="0"/>
              <w:right w:val="single" w:color="auto" w:sz="4" w:space="0"/>
            </w:tcBorders>
            <w:noWrap w:val="0"/>
            <w:vAlign w:val="center"/>
          </w:tcPr>
          <w:p w14:paraId="64D13B2C">
            <w:pPr>
              <w:jc w:val="center"/>
              <w:rPr>
                <w:rFonts w:hint="eastAsia" w:ascii="宋体" w:hAnsi="宋体" w:eastAsia="宋体" w:cs="宋体"/>
                <w:i w:val="0"/>
                <w:iCs w:val="0"/>
                <w:color w:val="auto"/>
                <w:sz w:val="18"/>
                <w:szCs w:val="18"/>
                <w:highlight w:val="none"/>
                <w:u w:val="none"/>
              </w:rPr>
            </w:pPr>
          </w:p>
        </w:tc>
        <w:tc>
          <w:tcPr>
            <w:tcW w:w="828" w:type="dxa"/>
            <w:vMerge w:val="continue"/>
            <w:tcBorders>
              <w:top w:val="single" w:color="auto" w:sz="4" w:space="0"/>
              <w:left w:val="single" w:color="auto" w:sz="4" w:space="0"/>
              <w:bottom w:val="single" w:color="auto" w:sz="4" w:space="0"/>
              <w:right w:val="single" w:color="auto" w:sz="4" w:space="0"/>
            </w:tcBorders>
            <w:noWrap w:val="0"/>
            <w:vAlign w:val="center"/>
          </w:tcPr>
          <w:p w14:paraId="3E1F6095">
            <w:pPr>
              <w:jc w:val="center"/>
              <w:rPr>
                <w:rFonts w:hint="eastAsia" w:ascii="宋体" w:hAnsi="宋体" w:eastAsia="宋体" w:cs="宋体"/>
                <w:i w:val="0"/>
                <w:iCs w:val="0"/>
                <w:color w:val="auto"/>
                <w:sz w:val="18"/>
                <w:szCs w:val="18"/>
                <w:highlight w:val="none"/>
                <w:u w:val="none"/>
              </w:rPr>
            </w:pPr>
          </w:p>
        </w:tc>
        <w:tc>
          <w:tcPr>
            <w:tcW w:w="1026" w:type="dxa"/>
            <w:tcBorders>
              <w:top w:val="single" w:color="auto" w:sz="4" w:space="0"/>
              <w:left w:val="single" w:color="auto" w:sz="4" w:space="0"/>
              <w:bottom w:val="single" w:color="auto" w:sz="4" w:space="0"/>
              <w:right w:val="single" w:color="auto" w:sz="4" w:space="0"/>
            </w:tcBorders>
            <w:noWrap w:val="0"/>
            <w:vAlign w:val="center"/>
          </w:tcPr>
          <w:p w14:paraId="59850809">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20 米以上预制 梁</w:t>
            </w:r>
          </w:p>
        </w:tc>
        <w:tc>
          <w:tcPr>
            <w:tcW w:w="553" w:type="dxa"/>
            <w:tcBorders>
              <w:top w:val="single" w:color="auto" w:sz="4" w:space="0"/>
              <w:left w:val="single" w:color="auto" w:sz="4" w:space="0"/>
              <w:bottom w:val="single" w:color="auto" w:sz="4" w:space="0"/>
              <w:right w:val="single" w:color="auto" w:sz="4" w:space="0"/>
            </w:tcBorders>
            <w:noWrap w:val="0"/>
            <w:vAlign w:val="center"/>
          </w:tcPr>
          <w:p w14:paraId="41C5F7D4">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片</w:t>
            </w:r>
          </w:p>
        </w:tc>
        <w:tc>
          <w:tcPr>
            <w:tcW w:w="851" w:type="dxa"/>
            <w:tcBorders>
              <w:top w:val="single" w:color="auto" w:sz="4" w:space="0"/>
              <w:left w:val="single" w:color="auto" w:sz="4" w:space="0"/>
              <w:bottom w:val="single" w:color="auto" w:sz="4" w:space="0"/>
              <w:right w:val="single" w:color="auto" w:sz="4" w:space="0"/>
            </w:tcBorders>
            <w:noWrap w:val="0"/>
            <w:vAlign w:val="center"/>
          </w:tcPr>
          <w:p w14:paraId="617C4CDA">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26</w:t>
            </w:r>
          </w:p>
        </w:tc>
        <w:tc>
          <w:tcPr>
            <w:tcW w:w="851" w:type="dxa"/>
            <w:tcBorders>
              <w:top w:val="single" w:color="auto" w:sz="4" w:space="0"/>
              <w:left w:val="single" w:color="auto" w:sz="4" w:space="0"/>
              <w:bottom w:val="single" w:color="auto" w:sz="4" w:space="0"/>
              <w:right w:val="single" w:color="auto" w:sz="4" w:space="0"/>
            </w:tcBorders>
            <w:noWrap w:val="0"/>
            <w:vAlign w:val="center"/>
          </w:tcPr>
          <w:p w14:paraId="52AD3BFC">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26</w:t>
            </w:r>
          </w:p>
        </w:tc>
        <w:tc>
          <w:tcPr>
            <w:tcW w:w="851" w:type="dxa"/>
            <w:tcBorders>
              <w:top w:val="single" w:color="auto" w:sz="4" w:space="0"/>
              <w:left w:val="single" w:color="auto" w:sz="4" w:space="0"/>
              <w:bottom w:val="single" w:color="auto" w:sz="4" w:space="0"/>
              <w:right w:val="single" w:color="auto" w:sz="4" w:space="0"/>
            </w:tcBorders>
            <w:noWrap w:val="0"/>
            <w:vAlign w:val="center"/>
          </w:tcPr>
          <w:p w14:paraId="5917D86D">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26</w:t>
            </w:r>
          </w:p>
        </w:tc>
        <w:tc>
          <w:tcPr>
            <w:tcW w:w="852" w:type="dxa"/>
            <w:tcBorders>
              <w:top w:val="single" w:color="auto" w:sz="4" w:space="0"/>
              <w:left w:val="single" w:color="auto" w:sz="4" w:space="0"/>
              <w:bottom w:val="single" w:color="auto" w:sz="4" w:space="0"/>
              <w:right w:val="single" w:color="auto" w:sz="4" w:space="0"/>
            </w:tcBorders>
            <w:noWrap w:val="0"/>
            <w:vAlign w:val="center"/>
          </w:tcPr>
          <w:p w14:paraId="2B6A4D93">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26</w:t>
            </w:r>
          </w:p>
        </w:tc>
        <w:tc>
          <w:tcPr>
            <w:tcW w:w="554" w:type="dxa"/>
            <w:tcBorders>
              <w:top w:val="single" w:color="auto" w:sz="4" w:space="0"/>
              <w:left w:val="single" w:color="auto" w:sz="4" w:space="0"/>
              <w:bottom w:val="single" w:color="auto" w:sz="4" w:space="0"/>
              <w:right w:val="single" w:color="auto" w:sz="4" w:space="0"/>
            </w:tcBorders>
            <w:noWrap w:val="0"/>
            <w:vAlign w:val="center"/>
          </w:tcPr>
          <w:p w14:paraId="0DD89D9C">
            <w:pPr>
              <w:jc w:val="center"/>
              <w:rPr>
                <w:rFonts w:hint="eastAsia" w:ascii="宋体" w:hAnsi="宋体" w:eastAsia="宋体" w:cs="宋体"/>
                <w:i w:val="0"/>
                <w:iCs w:val="0"/>
                <w:color w:val="auto"/>
                <w:sz w:val="18"/>
                <w:szCs w:val="18"/>
                <w:highlight w:val="none"/>
                <w:u w:val="none"/>
              </w:rPr>
            </w:pPr>
          </w:p>
        </w:tc>
      </w:tr>
      <w:tr w14:paraId="5C199E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0" w:hRule="atLeast"/>
        </w:trPr>
        <w:tc>
          <w:tcPr>
            <w:tcW w:w="584" w:type="dxa"/>
            <w:tcBorders>
              <w:top w:val="single" w:color="auto" w:sz="4" w:space="0"/>
              <w:left w:val="single" w:color="auto" w:sz="4" w:space="0"/>
              <w:bottom w:val="single" w:color="auto" w:sz="4" w:space="0"/>
              <w:right w:val="single" w:color="auto" w:sz="4" w:space="0"/>
            </w:tcBorders>
            <w:noWrap w:val="0"/>
            <w:vAlign w:val="center"/>
          </w:tcPr>
          <w:p w14:paraId="6075811D">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28</w:t>
            </w:r>
          </w:p>
        </w:tc>
        <w:tc>
          <w:tcPr>
            <w:tcW w:w="690" w:type="dxa"/>
            <w:vMerge w:val="continue"/>
            <w:tcBorders>
              <w:top w:val="single" w:color="auto" w:sz="4" w:space="0"/>
              <w:left w:val="single" w:color="auto" w:sz="4" w:space="0"/>
              <w:bottom w:val="single" w:color="auto" w:sz="4" w:space="0"/>
              <w:right w:val="single" w:color="auto" w:sz="4" w:space="0"/>
            </w:tcBorders>
            <w:noWrap w:val="0"/>
            <w:vAlign w:val="center"/>
          </w:tcPr>
          <w:p w14:paraId="022B635C">
            <w:pPr>
              <w:jc w:val="center"/>
              <w:rPr>
                <w:rFonts w:hint="eastAsia" w:ascii="宋体" w:hAnsi="宋体" w:eastAsia="宋体" w:cs="宋体"/>
                <w:i w:val="0"/>
                <w:iCs w:val="0"/>
                <w:color w:val="auto"/>
                <w:sz w:val="18"/>
                <w:szCs w:val="18"/>
                <w:highlight w:val="none"/>
                <w:u w:val="none"/>
              </w:rPr>
            </w:pPr>
          </w:p>
        </w:tc>
        <w:tc>
          <w:tcPr>
            <w:tcW w:w="864" w:type="dxa"/>
            <w:tcBorders>
              <w:top w:val="single" w:color="auto" w:sz="4" w:space="0"/>
              <w:left w:val="single" w:color="auto" w:sz="4" w:space="0"/>
              <w:bottom w:val="single" w:color="auto" w:sz="4" w:space="0"/>
              <w:right w:val="single" w:color="auto" w:sz="4" w:space="0"/>
            </w:tcBorders>
            <w:noWrap w:val="0"/>
            <w:vAlign w:val="center"/>
          </w:tcPr>
          <w:p w14:paraId="6E9947FC">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现浇梁底砼密实度</w:t>
            </w:r>
          </w:p>
        </w:tc>
        <w:tc>
          <w:tcPr>
            <w:tcW w:w="1854" w:type="dxa"/>
            <w:gridSpan w:val="2"/>
            <w:tcBorders>
              <w:top w:val="single" w:color="auto" w:sz="4" w:space="0"/>
              <w:left w:val="single" w:color="auto" w:sz="4" w:space="0"/>
              <w:bottom w:val="single" w:color="auto" w:sz="4" w:space="0"/>
              <w:right w:val="single" w:color="auto" w:sz="4" w:space="0"/>
            </w:tcBorders>
            <w:noWrap w:val="0"/>
            <w:vAlign w:val="center"/>
          </w:tcPr>
          <w:p w14:paraId="61AB2A25">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每跨用敲击法初检，密实度存 疑区域使用超声法</w:t>
            </w:r>
          </w:p>
        </w:tc>
        <w:tc>
          <w:tcPr>
            <w:tcW w:w="553" w:type="dxa"/>
            <w:tcBorders>
              <w:top w:val="single" w:color="auto" w:sz="4" w:space="0"/>
              <w:left w:val="single" w:color="auto" w:sz="4" w:space="0"/>
              <w:bottom w:val="single" w:color="auto" w:sz="4" w:space="0"/>
              <w:right w:val="single" w:color="auto" w:sz="4" w:space="0"/>
            </w:tcBorders>
            <w:noWrap w:val="0"/>
            <w:vAlign w:val="center"/>
          </w:tcPr>
          <w:p w14:paraId="203FD6D1">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跨</w:t>
            </w:r>
          </w:p>
        </w:tc>
        <w:tc>
          <w:tcPr>
            <w:tcW w:w="851" w:type="dxa"/>
            <w:tcBorders>
              <w:top w:val="single" w:color="auto" w:sz="4" w:space="0"/>
              <w:left w:val="single" w:color="auto" w:sz="4" w:space="0"/>
              <w:bottom w:val="single" w:color="auto" w:sz="4" w:space="0"/>
              <w:right w:val="single" w:color="auto" w:sz="4" w:space="0"/>
            </w:tcBorders>
            <w:noWrap w:val="0"/>
            <w:vAlign w:val="center"/>
          </w:tcPr>
          <w:p w14:paraId="292C8353">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8</w:t>
            </w:r>
          </w:p>
        </w:tc>
        <w:tc>
          <w:tcPr>
            <w:tcW w:w="851" w:type="dxa"/>
            <w:tcBorders>
              <w:top w:val="single" w:color="auto" w:sz="4" w:space="0"/>
              <w:left w:val="single" w:color="auto" w:sz="4" w:space="0"/>
              <w:bottom w:val="single" w:color="auto" w:sz="4" w:space="0"/>
              <w:right w:val="single" w:color="auto" w:sz="4" w:space="0"/>
            </w:tcBorders>
            <w:noWrap w:val="0"/>
            <w:vAlign w:val="center"/>
          </w:tcPr>
          <w:p w14:paraId="755F6CD4">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8</w:t>
            </w:r>
          </w:p>
        </w:tc>
        <w:tc>
          <w:tcPr>
            <w:tcW w:w="851" w:type="dxa"/>
            <w:tcBorders>
              <w:top w:val="single" w:color="auto" w:sz="4" w:space="0"/>
              <w:left w:val="single" w:color="auto" w:sz="4" w:space="0"/>
              <w:bottom w:val="single" w:color="auto" w:sz="4" w:space="0"/>
              <w:right w:val="single" w:color="auto" w:sz="4" w:space="0"/>
            </w:tcBorders>
            <w:noWrap w:val="0"/>
            <w:vAlign w:val="center"/>
          </w:tcPr>
          <w:p w14:paraId="15D0385B">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8</w:t>
            </w:r>
          </w:p>
        </w:tc>
        <w:tc>
          <w:tcPr>
            <w:tcW w:w="852" w:type="dxa"/>
            <w:tcBorders>
              <w:top w:val="single" w:color="auto" w:sz="4" w:space="0"/>
              <w:left w:val="single" w:color="auto" w:sz="4" w:space="0"/>
              <w:bottom w:val="single" w:color="auto" w:sz="4" w:space="0"/>
              <w:right w:val="single" w:color="auto" w:sz="4" w:space="0"/>
            </w:tcBorders>
            <w:noWrap w:val="0"/>
            <w:vAlign w:val="center"/>
          </w:tcPr>
          <w:p w14:paraId="5752F580">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8</w:t>
            </w:r>
          </w:p>
        </w:tc>
        <w:tc>
          <w:tcPr>
            <w:tcW w:w="554" w:type="dxa"/>
            <w:tcBorders>
              <w:top w:val="single" w:color="auto" w:sz="4" w:space="0"/>
              <w:left w:val="single" w:color="auto" w:sz="4" w:space="0"/>
              <w:bottom w:val="single" w:color="auto" w:sz="4" w:space="0"/>
              <w:right w:val="single" w:color="auto" w:sz="4" w:space="0"/>
            </w:tcBorders>
            <w:noWrap w:val="0"/>
            <w:vAlign w:val="center"/>
          </w:tcPr>
          <w:p w14:paraId="795427C7">
            <w:pPr>
              <w:jc w:val="center"/>
              <w:rPr>
                <w:rFonts w:hint="eastAsia" w:ascii="宋体" w:hAnsi="宋体" w:eastAsia="宋体" w:cs="宋体"/>
                <w:i w:val="0"/>
                <w:iCs w:val="0"/>
                <w:color w:val="auto"/>
                <w:sz w:val="18"/>
                <w:szCs w:val="18"/>
                <w:highlight w:val="none"/>
                <w:u w:val="none"/>
              </w:rPr>
            </w:pPr>
          </w:p>
        </w:tc>
      </w:tr>
      <w:tr w14:paraId="69A8FD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0" w:hRule="atLeast"/>
        </w:trPr>
        <w:tc>
          <w:tcPr>
            <w:tcW w:w="584" w:type="dxa"/>
            <w:tcBorders>
              <w:top w:val="single" w:color="auto" w:sz="4" w:space="0"/>
              <w:left w:val="single" w:color="auto" w:sz="4" w:space="0"/>
              <w:bottom w:val="single" w:color="auto" w:sz="4" w:space="0"/>
              <w:right w:val="single" w:color="auto" w:sz="4" w:space="0"/>
            </w:tcBorders>
            <w:noWrap w:val="0"/>
            <w:vAlign w:val="center"/>
          </w:tcPr>
          <w:p w14:paraId="2866FCA3">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29</w:t>
            </w:r>
          </w:p>
        </w:tc>
        <w:tc>
          <w:tcPr>
            <w:tcW w:w="690" w:type="dxa"/>
            <w:vMerge w:val="continue"/>
            <w:tcBorders>
              <w:top w:val="single" w:color="auto" w:sz="4" w:space="0"/>
              <w:left w:val="single" w:color="auto" w:sz="4" w:space="0"/>
              <w:bottom w:val="single" w:color="auto" w:sz="4" w:space="0"/>
              <w:right w:val="single" w:color="auto" w:sz="4" w:space="0"/>
            </w:tcBorders>
            <w:noWrap w:val="0"/>
            <w:vAlign w:val="center"/>
          </w:tcPr>
          <w:p w14:paraId="1E9EDB10">
            <w:pPr>
              <w:jc w:val="center"/>
              <w:rPr>
                <w:rFonts w:hint="eastAsia" w:ascii="宋体" w:hAnsi="宋体" w:eastAsia="宋体" w:cs="宋体"/>
                <w:i w:val="0"/>
                <w:iCs w:val="0"/>
                <w:color w:val="auto"/>
                <w:sz w:val="18"/>
                <w:szCs w:val="18"/>
                <w:highlight w:val="none"/>
                <w:u w:val="none"/>
              </w:rPr>
            </w:pPr>
          </w:p>
        </w:tc>
        <w:tc>
          <w:tcPr>
            <w:tcW w:w="864" w:type="dxa"/>
            <w:tcBorders>
              <w:top w:val="single" w:color="auto" w:sz="4" w:space="0"/>
              <w:left w:val="single" w:color="auto" w:sz="4" w:space="0"/>
              <w:bottom w:val="single" w:color="auto" w:sz="4" w:space="0"/>
              <w:right w:val="single" w:color="auto" w:sz="4" w:space="0"/>
            </w:tcBorders>
            <w:noWrap w:val="0"/>
            <w:vAlign w:val="center"/>
          </w:tcPr>
          <w:p w14:paraId="63B9B6EA">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混凝土</w:t>
            </w:r>
          </w:p>
        </w:tc>
        <w:tc>
          <w:tcPr>
            <w:tcW w:w="1854" w:type="dxa"/>
            <w:gridSpan w:val="2"/>
            <w:tcBorders>
              <w:top w:val="single" w:color="auto" w:sz="4" w:space="0"/>
              <w:left w:val="single" w:color="auto" w:sz="4" w:space="0"/>
              <w:bottom w:val="single" w:color="auto" w:sz="4" w:space="0"/>
              <w:right w:val="single" w:color="auto" w:sz="4" w:space="0"/>
            </w:tcBorders>
            <w:noWrap w:val="0"/>
            <w:vAlign w:val="center"/>
          </w:tcPr>
          <w:p w14:paraId="71B3F273">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回弹强度</w:t>
            </w:r>
          </w:p>
        </w:tc>
        <w:tc>
          <w:tcPr>
            <w:tcW w:w="553" w:type="dxa"/>
            <w:tcBorders>
              <w:top w:val="single" w:color="auto" w:sz="4" w:space="0"/>
              <w:left w:val="single" w:color="auto" w:sz="4" w:space="0"/>
              <w:bottom w:val="single" w:color="auto" w:sz="4" w:space="0"/>
              <w:right w:val="single" w:color="auto" w:sz="4" w:space="0"/>
            </w:tcBorders>
            <w:noWrap w:val="0"/>
            <w:vAlign w:val="center"/>
          </w:tcPr>
          <w:p w14:paraId="35EE4ECD">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测区</w:t>
            </w:r>
          </w:p>
        </w:tc>
        <w:tc>
          <w:tcPr>
            <w:tcW w:w="851" w:type="dxa"/>
            <w:tcBorders>
              <w:top w:val="single" w:color="auto" w:sz="4" w:space="0"/>
              <w:left w:val="single" w:color="auto" w:sz="4" w:space="0"/>
              <w:bottom w:val="single" w:color="auto" w:sz="4" w:space="0"/>
              <w:right w:val="single" w:color="auto" w:sz="4" w:space="0"/>
            </w:tcBorders>
            <w:noWrap w:val="0"/>
            <w:vAlign w:val="center"/>
          </w:tcPr>
          <w:p w14:paraId="0DCB7C3B">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1050</w:t>
            </w:r>
          </w:p>
        </w:tc>
        <w:tc>
          <w:tcPr>
            <w:tcW w:w="851" w:type="dxa"/>
            <w:tcBorders>
              <w:top w:val="single" w:color="auto" w:sz="4" w:space="0"/>
              <w:left w:val="single" w:color="auto" w:sz="4" w:space="0"/>
              <w:bottom w:val="single" w:color="auto" w:sz="4" w:space="0"/>
              <w:right w:val="single" w:color="auto" w:sz="4" w:space="0"/>
            </w:tcBorders>
            <w:noWrap w:val="0"/>
            <w:vAlign w:val="center"/>
          </w:tcPr>
          <w:p w14:paraId="722D98E8">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1050</w:t>
            </w:r>
          </w:p>
        </w:tc>
        <w:tc>
          <w:tcPr>
            <w:tcW w:w="851" w:type="dxa"/>
            <w:tcBorders>
              <w:top w:val="single" w:color="auto" w:sz="4" w:space="0"/>
              <w:left w:val="single" w:color="auto" w:sz="4" w:space="0"/>
              <w:bottom w:val="single" w:color="auto" w:sz="4" w:space="0"/>
              <w:right w:val="single" w:color="auto" w:sz="4" w:space="0"/>
            </w:tcBorders>
            <w:noWrap w:val="0"/>
            <w:vAlign w:val="center"/>
          </w:tcPr>
          <w:p w14:paraId="26EEE885">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1050</w:t>
            </w:r>
          </w:p>
        </w:tc>
        <w:tc>
          <w:tcPr>
            <w:tcW w:w="852" w:type="dxa"/>
            <w:tcBorders>
              <w:top w:val="single" w:color="auto" w:sz="4" w:space="0"/>
              <w:left w:val="single" w:color="auto" w:sz="4" w:space="0"/>
              <w:bottom w:val="single" w:color="auto" w:sz="4" w:space="0"/>
              <w:right w:val="single" w:color="auto" w:sz="4" w:space="0"/>
            </w:tcBorders>
            <w:noWrap w:val="0"/>
            <w:vAlign w:val="center"/>
          </w:tcPr>
          <w:p w14:paraId="23D243CA">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1050</w:t>
            </w:r>
          </w:p>
        </w:tc>
        <w:tc>
          <w:tcPr>
            <w:tcW w:w="554" w:type="dxa"/>
            <w:tcBorders>
              <w:top w:val="single" w:color="auto" w:sz="4" w:space="0"/>
              <w:left w:val="single" w:color="auto" w:sz="4" w:space="0"/>
              <w:bottom w:val="single" w:color="auto" w:sz="4" w:space="0"/>
              <w:right w:val="single" w:color="auto" w:sz="4" w:space="0"/>
            </w:tcBorders>
            <w:noWrap w:val="0"/>
            <w:vAlign w:val="center"/>
          </w:tcPr>
          <w:p w14:paraId="3420D882">
            <w:pPr>
              <w:jc w:val="center"/>
              <w:rPr>
                <w:rFonts w:hint="eastAsia" w:ascii="宋体" w:hAnsi="宋体" w:eastAsia="宋体" w:cs="宋体"/>
                <w:i w:val="0"/>
                <w:iCs w:val="0"/>
                <w:color w:val="auto"/>
                <w:sz w:val="18"/>
                <w:szCs w:val="18"/>
                <w:highlight w:val="none"/>
                <w:u w:val="none"/>
              </w:rPr>
            </w:pPr>
          </w:p>
        </w:tc>
      </w:tr>
      <w:tr w14:paraId="21CA921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0" w:hRule="atLeast"/>
        </w:trPr>
        <w:tc>
          <w:tcPr>
            <w:tcW w:w="584" w:type="dxa"/>
            <w:tcBorders>
              <w:top w:val="single" w:color="auto" w:sz="4" w:space="0"/>
              <w:left w:val="single" w:color="auto" w:sz="4" w:space="0"/>
              <w:bottom w:val="single" w:color="auto" w:sz="4" w:space="0"/>
              <w:right w:val="single" w:color="auto" w:sz="4" w:space="0"/>
            </w:tcBorders>
            <w:noWrap w:val="0"/>
            <w:vAlign w:val="center"/>
          </w:tcPr>
          <w:p w14:paraId="6D1F678E">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30</w:t>
            </w:r>
          </w:p>
        </w:tc>
        <w:tc>
          <w:tcPr>
            <w:tcW w:w="690" w:type="dxa"/>
            <w:vMerge w:val="continue"/>
            <w:tcBorders>
              <w:top w:val="single" w:color="auto" w:sz="4" w:space="0"/>
              <w:left w:val="single" w:color="auto" w:sz="4" w:space="0"/>
              <w:bottom w:val="single" w:color="auto" w:sz="4" w:space="0"/>
              <w:right w:val="single" w:color="auto" w:sz="4" w:space="0"/>
            </w:tcBorders>
            <w:noWrap w:val="0"/>
            <w:vAlign w:val="center"/>
          </w:tcPr>
          <w:p w14:paraId="725ABDF5">
            <w:pPr>
              <w:jc w:val="center"/>
              <w:rPr>
                <w:rFonts w:hint="eastAsia" w:ascii="宋体" w:hAnsi="宋体" w:eastAsia="宋体" w:cs="宋体"/>
                <w:i w:val="0"/>
                <w:iCs w:val="0"/>
                <w:color w:val="auto"/>
                <w:sz w:val="18"/>
                <w:szCs w:val="18"/>
                <w:highlight w:val="none"/>
                <w:u w:val="none"/>
              </w:rPr>
            </w:pPr>
          </w:p>
        </w:tc>
        <w:tc>
          <w:tcPr>
            <w:tcW w:w="864" w:type="dxa"/>
            <w:tcBorders>
              <w:top w:val="single" w:color="auto" w:sz="4" w:space="0"/>
              <w:left w:val="single" w:color="auto" w:sz="4" w:space="0"/>
              <w:bottom w:val="single" w:color="auto" w:sz="4" w:space="0"/>
              <w:right w:val="single" w:color="auto" w:sz="4" w:space="0"/>
            </w:tcBorders>
            <w:noWrap w:val="0"/>
            <w:vAlign w:val="center"/>
          </w:tcPr>
          <w:p w14:paraId="0BAFCDDA">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预制梁</w:t>
            </w:r>
          </w:p>
        </w:tc>
        <w:tc>
          <w:tcPr>
            <w:tcW w:w="828" w:type="dxa"/>
            <w:tcBorders>
              <w:top w:val="single" w:color="auto" w:sz="4" w:space="0"/>
              <w:left w:val="single" w:color="auto" w:sz="4" w:space="0"/>
              <w:bottom w:val="single" w:color="auto" w:sz="4" w:space="0"/>
              <w:right w:val="single" w:color="auto" w:sz="4" w:space="0"/>
            </w:tcBorders>
            <w:noWrap w:val="0"/>
            <w:vAlign w:val="center"/>
          </w:tcPr>
          <w:p w14:paraId="54A0416A">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结构尺寸</w:t>
            </w:r>
          </w:p>
        </w:tc>
        <w:tc>
          <w:tcPr>
            <w:tcW w:w="1026" w:type="dxa"/>
            <w:tcBorders>
              <w:top w:val="single" w:color="auto" w:sz="4" w:space="0"/>
              <w:left w:val="single" w:color="auto" w:sz="4" w:space="0"/>
              <w:bottom w:val="single" w:color="auto" w:sz="4" w:space="0"/>
              <w:right w:val="single" w:color="auto" w:sz="4" w:space="0"/>
            </w:tcBorders>
            <w:noWrap w:val="0"/>
            <w:vAlign w:val="center"/>
          </w:tcPr>
          <w:p w14:paraId="7A966A37">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顶板、底板、腹 板厚度</w:t>
            </w:r>
          </w:p>
        </w:tc>
        <w:tc>
          <w:tcPr>
            <w:tcW w:w="553" w:type="dxa"/>
            <w:tcBorders>
              <w:top w:val="single" w:color="auto" w:sz="4" w:space="0"/>
              <w:left w:val="single" w:color="auto" w:sz="4" w:space="0"/>
              <w:bottom w:val="single" w:color="auto" w:sz="4" w:space="0"/>
              <w:right w:val="single" w:color="auto" w:sz="4" w:space="0"/>
            </w:tcBorders>
            <w:noWrap w:val="0"/>
            <w:vAlign w:val="center"/>
          </w:tcPr>
          <w:p w14:paraId="3A09B3DE">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点</w:t>
            </w:r>
          </w:p>
        </w:tc>
        <w:tc>
          <w:tcPr>
            <w:tcW w:w="851" w:type="dxa"/>
            <w:tcBorders>
              <w:top w:val="single" w:color="auto" w:sz="4" w:space="0"/>
              <w:left w:val="single" w:color="auto" w:sz="4" w:space="0"/>
              <w:bottom w:val="single" w:color="auto" w:sz="4" w:space="0"/>
              <w:right w:val="single" w:color="auto" w:sz="4" w:space="0"/>
            </w:tcBorders>
            <w:noWrap w:val="0"/>
            <w:vAlign w:val="center"/>
          </w:tcPr>
          <w:p w14:paraId="4CA5D67B">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412</w:t>
            </w:r>
          </w:p>
        </w:tc>
        <w:tc>
          <w:tcPr>
            <w:tcW w:w="851" w:type="dxa"/>
            <w:tcBorders>
              <w:top w:val="single" w:color="auto" w:sz="4" w:space="0"/>
              <w:left w:val="single" w:color="auto" w:sz="4" w:space="0"/>
              <w:bottom w:val="single" w:color="auto" w:sz="4" w:space="0"/>
              <w:right w:val="single" w:color="auto" w:sz="4" w:space="0"/>
            </w:tcBorders>
            <w:noWrap w:val="0"/>
            <w:vAlign w:val="center"/>
          </w:tcPr>
          <w:p w14:paraId="6624B471">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412</w:t>
            </w:r>
          </w:p>
        </w:tc>
        <w:tc>
          <w:tcPr>
            <w:tcW w:w="851" w:type="dxa"/>
            <w:tcBorders>
              <w:top w:val="single" w:color="auto" w:sz="4" w:space="0"/>
              <w:left w:val="single" w:color="auto" w:sz="4" w:space="0"/>
              <w:bottom w:val="single" w:color="auto" w:sz="4" w:space="0"/>
              <w:right w:val="single" w:color="auto" w:sz="4" w:space="0"/>
            </w:tcBorders>
            <w:noWrap w:val="0"/>
            <w:vAlign w:val="center"/>
          </w:tcPr>
          <w:p w14:paraId="6F061761">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412</w:t>
            </w:r>
          </w:p>
        </w:tc>
        <w:tc>
          <w:tcPr>
            <w:tcW w:w="852" w:type="dxa"/>
            <w:tcBorders>
              <w:top w:val="single" w:color="auto" w:sz="4" w:space="0"/>
              <w:left w:val="single" w:color="auto" w:sz="4" w:space="0"/>
              <w:bottom w:val="single" w:color="auto" w:sz="4" w:space="0"/>
              <w:right w:val="single" w:color="auto" w:sz="4" w:space="0"/>
            </w:tcBorders>
            <w:noWrap w:val="0"/>
            <w:vAlign w:val="center"/>
          </w:tcPr>
          <w:p w14:paraId="23E078D5">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412</w:t>
            </w:r>
          </w:p>
        </w:tc>
        <w:tc>
          <w:tcPr>
            <w:tcW w:w="554" w:type="dxa"/>
            <w:tcBorders>
              <w:top w:val="single" w:color="auto" w:sz="4" w:space="0"/>
              <w:left w:val="single" w:color="auto" w:sz="4" w:space="0"/>
              <w:bottom w:val="single" w:color="auto" w:sz="4" w:space="0"/>
              <w:right w:val="single" w:color="auto" w:sz="4" w:space="0"/>
            </w:tcBorders>
            <w:noWrap w:val="0"/>
            <w:vAlign w:val="center"/>
          </w:tcPr>
          <w:p w14:paraId="202C40E8">
            <w:pPr>
              <w:jc w:val="center"/>
              <w:rPr>
                <w:rFonts w:hint="eastAsia" w:ascii="宋体" w:hAnsi="宋体" w:eastAsia="宋体" w:cs="宋体"/>
                <w:i w:val="0"/>
                <w:iCs w:val="0"/>
                <w:color w:val="auto"/>
                <w:sz w:val="18"/>
                <w:szCs w:val="18"/>
                <w:highlight w:val="none"/>
                <w:u w:val="none"/>
              </w:rPr>
            </w:pPr>
          </w:p>
        </w:tc>
      </w:tr>
      <w:tr w14:paraId="5773C9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0" w:hRule="atLeast"/>
        </w:trPr>
        <w:tc>
          <w:tcPr>
            <w:tcW w:w="584" w:type="dxa"/>
            <w:tcBorders>
              <w:top w:val="single" w:color="auto" w:sz="4" w:space="0"/>
              <w:left w:val="single" w:color="auto" w:sz="4" w:space="0"/>
              <w:bottom w:val="single" w:color="auto" w:sz="4" w:space="0"/>
              <w:right w:val="single" w:color="auto" w:sz="4" w:space="0"/>
            </w:tcBorders>
            <w:noWrap w:val="0"/>
            <w:vAlign w:val="center"/>
          </w:tcPr>
          <w:p w14:paraId="3A2EBF2A">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31</w:t>
            </w:r>
          </w:p>
        </w:tc>
        <w:tc>
          <w:tcPr>
            <w:tcW w:w="690" w:type="dxa"/>
            <w:vMerge w:val="restart"/>
            <w:tcBorders>
              <w:top w:val="single" w:color="auto" w:sz="4" w:space="0"/>
              <w:left w:val="single" w:color="auto" w:sz="4" w:space="0"/>
              <w:bottom w:val="single" w:color="auto" w:sz="4" w:space="0"/>
              <w:right w:val="single" w:color="auto" w:sz="4" w:space="0"/>
            </w:tcBorders>
            <w:noWrap w:val="0"/>
            <w:vAlign w:val="center"/>
          </w:tcPr>
          <w:p w14:paraId="221EB533">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隧道</w:t>
            </w:r>
          </w:p>
        </w:tc>
        <w:tc>
          <w:tcPr>
            <w:tcW w:w="864" w:type="dxa"/>
            <w:tcBorders>
              <w:top w:val="single" w:color="auto" w:sz="4" w:space="0"/>
              <w:left w:val="single" w:color="auto" w:sz="4" w:space="0"/>
              <w:bottom w:val="single" w:color="auto" w:sz="4" w:space="0"/>
              <w:right w:val="single" w:color="auto" w:sz="4" w:space="0"/>
            </w:tcBorders>
            <w:noWrap w:val="0"/>
            <w:vAlign w:val="center"/>
          </w:tcPr>
          <w:p w14:paraId="4C325B0D">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距离</w:t>
            </w:r>
          </w:p>
        </w:tc>
        <w:tc>
          <w:tcPr>
            <w:tcW w:w="1854" w:type="dxa"/>
            <w:gridSpan w:val="2"/>
            <w:tcBorders>
              <w:top w:val="single" w:color="auto" w:sz="4" w:space="0"/>
              <w:left w:val="single" w:color="auto" w:sz="4" w:space="0"/>
              <w:bottom w:val="single" w:color="auto" w:sz="4" w:space="0"/>
              <w:right w:val="single" w:color="auto" w:sz="4" w:space="0"/>
            </w:tcBorders>
            <w:noWrap w:val="0"/>
            <w:vAlign w:val="center"/>
          </w:tcPr>
          <w:p w14:paraId="0525A399">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测距仪测量施工步距</w:t>
            </w:r>
          </w:p>
        </w:tc>
        <w:tc>
          <w:tcPr>
            <w:tcW w:w="553" w:type="dxa"/>
            <w:tcBorders>
              <w:top w:val="single" w:color="auto" w:sz="4" w:space="0"/>
              <w:left w:val="single" w:color="auto" w:sz="4" w:space="0"/>
              <w:bottom w:val="single" w:color="auto" w:sz="4" w:space="0"/>
              <w:right w:val="single" w:color="auto" w:sz="4" w:space="0"/>
            </w:tcBorders>
            <w:noWrap w:val="0"/>
            <w:vAlign w:val="center"/>
          </w:tcPr>
          <w:p w14:paraId="05DB1D1A">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处</w:t>
            </w:r>
          </w:p>
        </w:tc>
        <w:tc>
          <w:tcPr>
            <w:tcW w:w="851" w:type="dxa"/>
            <w:tcBorders>
              <w:top w:val="single" w:color="auto" w:sz="4" w:space="0"/>
              <w:left w:val="single" w:color="auto" w:sz="4" w:space="0"/>
              <w:bottom w:val="single" w:color="auto" w:sz="4" w:space="0"/>
              <w:right w:val="single" w:color="auto" w:sz="4" w:space="0"/>
            </w:tcBorders>
            <w:noWrap w:val="0"/>
            <w:vAlign w:val="center"/>
          </w:tcPr>
          <w:p w14:paraId="6105F25B">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68</w:t>
            </w:r>
          </w:p>
        </w:tc>
        <w:tc>
          <w:tcPr>
            <w:tcW w:w="851" w:type="dxa"/>
            <w:tcBorders>
              <w:top w:val="single" w:color="auto" w:sz="4" w:space="0"/>
              <w:left w:val="single" w:color="auto" w:sz="4" w:space="0"/>
              <w:bottom w:val="single" w:color="auto" w:sz="4" w:space="0"/>
              <w:right w:val="single" w:color="auto" w:sz="4" w:space="0"/>
            </w:tcBorders>
            <w:noWrap w:val="0"/>
            <w:vAlign w:val="center"/>
          </w:tcPr>
          <w:p w14:paraId="0B4054D8">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68</w:t>
            </w:r>
          </w:p>
        </w:tc>
        <w:tc>
          <w:tcPr>
            <w:tcW w:w="851" w:type="dxa"/>
            <w:tcBorders>
              <w:top w:val="single" w:color="auto" w:sz="4" w:space="0"/>
              <w:left w:val="single" w:color="auto" w:sz="4" w:space="0"/>
              <w:bottom w:val="single" w:color="auto" w:sz="4" w:space="0"/>
              <w:right w:val="single" w:color="auto" w:sz="4" w:space="0"/>
            </w:tcBorders>
            <w:noWrap w:val="0"/>
            <w:vAlign w:val="center"/>
          </w:tcPr>
          <w:p w14:paraId="7C2996C9">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68</w:t>
            </w:r>
          </w:p>
        </w:tc>
        <w:tc>
          <w:tcPr>
            <w:tcW w:w="852" w:type="dxa"/>
            <w:tcBorders>
              <w:top w:val="single" w:color="auto" w:sz="4" w:space="0"/>
              <w:left w:val="single" w:color="auto" w:sz="4" w:space="0"/>
              <w:bottom w:val="single" w:color="auto" w:sz="4" w:space="0"/>
              <w:right w:val="single" w:color="auto" w:sz="4" w:space="0"/>
            </w:tcBorders>
            <w:noWrap w:val="0"/>
            <w:vAlign w:val="center"/>
          </w:tcPr>
          <w:p w14:paraId="1C42B989">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68</w:t>
            </w:r>
          </w:p>
        </w:tc>
        <w:tc>
          <w:tcPr>
            <w:tcW w:w="554" w:type="dxa"/>
            <w:tcBorders>
              <w:top w:val="single" w:color="auto" w:sz="4" w:space="0"/>
              <w:left w:val="single" w:color="auto" w:sz="4" w:space="0"/>
              <w:bottom w:val="single" w:color="auto" w:sz="4" w:space="0"/>
              <w:right w:val="single" w:color="auto" w:sz="4" w:space="0"/>
            </w:tcBorders>
            <w:noWrap w:val="0"/>
            <w:vAlign w:val="center"/>
          </w:tcPr>
          <w:p w14:paraId="18C7395E">
            <w:pPr>
              <w:jc w:val="center"/>
              <w:rPr>
                <w:rFonts w:hint="eastAsia" w:ascii="宋体" w:hAnsi="宋体" w:eastAsia="宋体" w:cs="宋体"/>
                <w:i w:val="0"/>
                <w:iCs w:val="0"/>
                <w:color w:val="auto"/>
                <w:sz w:val="18"/>
                <w:szCs w:val="18"/>
                <w:highlight w:val="none"/>
                <w:u w:val="none"/>
              </w:rPr>
            </w:pPr>
          </w:p>
        </w:tc>
      </w:tr>
      <w:tr w14:paraId="4B9E3B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0" w:hRule="atLeast"/>
        </w:trPr>
        <w:tc>
          <w:tcPr>
            <w:tcW w:w="584" w:type="dxa"/>
            <w:tcBorders>
              <w:top w:val="single" w:color="auto" w:sz="4" w:space="0"/>
              <w:left w:val="single" w:color="auto" w:sz="4" w:space="0"/>
              <w:bottom w:val="single" w:color="auto" w:sz="4" w:space="0"/>
              <w:right w:val="single" w:color="auto" w:sz="4" w:space="0"/>
            </w:tcBorders>
            <w:noWrap w:val="0"/>
            <w:vAlign w:val="center"/>
          </w:tcPr>
          <w:p w14:paraId="60DD07C1">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32</w:t>
            </w:r>
          </w:p>
        </w:tc>
        <w:tc>
          <w:tcPr>
            <w:tcW w:w="690" w:type="dxa"/>
            <w:vMerge w:val="continue"/>
            <w:tcBorders>
              <w:top w:val="single" w:color="auto" w:sz="4" w:space="0"/>
              <w:left w:val="single" w:color="auto" w:sz="4" w:space="0"/>
              <w:bottom w:val="single" w:color="auto" w:sz="4" w:space="0"/>
              <w:right w:val="single" w:color="auto" w:sz="4" w:space="0"/>
            </w:tcBorders>
            <w:noWrap w:val="0"/>
            <w:vAlign w:val="center"/>
          </w:tcPr>
          <w:p w14:paraId="02CE0153">
            <w:pPr>
              <w:jc w:val="center"/>
              <w:rPr>
                <w:rFonts w:hint="eastAsia" w:ascii="宋体" w:hAnsi="宋体" w:eastAsia="宋体" w:cs="宋体"/>
                <w:i w:val="0"/>
                <w:iCs w:val="0"/>
                <w:color w:val="auto"/>
                <w:sz w:val="18"/>
                <w:szCs w:val="18"/>
                <w:highlight w:val="none"/>
                <w:u w:val="none"/>
              </w:rPr>
            </w:pPr>
          </w:p>
        </w:tc>
        <w:tc>
          <w:tcPr>
            <w:tcW w:w="864" w:type="dxa"/>
            <w:vMerge w:val="restart"/>
            <w:tcBorders>
              <w:top w:val="single" w:color="auto" w:sz="4" w:space="0"/>
              <w:left w:val="single" w:color="auto" w:sz="4" w:space="0"/>
              <w:bottom w:val="single" w:color="auto" w:sz="4" w:space="0"/>
              <w:right w:val="single" w:color="auto" w:sz="4" w:space="0"/>
            </w:tcBorders>
            <w:noWrap w:val="0"/>
            <w:vAlign w:val="center"/>
          </w:tcPr>
          <w:p w14:paraId="78C5DEB2">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锚杆</w:t>
            </w:r>
          </w:p>
        </w:tc>
        <w:tc>
          <w:tcPr>
            <w:tcW w:w="1854" w:type="dxa"/>
            <w:gridSpan w:val="2"/>
            <w:tcBorders>
              <w:top w:val="single" w:color="auto" w:sz="4" w:space="0"/>
              <w:left w:val="single" w:color="auto" w:sz="4" w:space="0"/>
              <w:bottom w:val="single" w:color="auto" w:sz="4" w:space="0"/>
              <w:right w:val="single" w:color="auto" w:sz="4" w:space="0"/>
            </w:tcBorders>
            <w:noWrap w:val="0"/>
            <w:vAlign w:val="center"/>
          </w:tcPr>
          <w:p w14:paraId="143139FC">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系统锚杆长度</w:t>
            </w:r>
          </w:p>
        </w:tc>
        <w:tc>
          <w:tcPr>
            <w:tcW w:w="553" w:type="dxa"/>
            <w:tcBorders>
              <w:top w:val="single" w:color="auto" w:sz="4" w:space="0"/>
              <w:left w:val="single" w:color="auto" w:sz="4" w:space="0"/>
              <w:bottom w:val="single" w:color="auto" w:sz="4" w:space="0"/>
              <w:right w:val="single" w:color="auto" w:sz="4" w:space="0"/>
            </w:tcBorders>
            <w:noWrap w:val="0"/>
            <w:vAlign w:val="center"/>
          </w:tcPr>
          <w:p w14:paraId="182A761A">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根</w:t>
            </w:r>
          </w:p>
        </w:tc>
        <w:tc>
          <w:tcPr>
            <w:tcW w:w="851" w:type="dxa"/>
            <w:tcBorders>
              <w:top w:val="single" w:color="auto" w:sz="4" w:space="0"/>
              <w:left w:val="single" w:color="auto" w:sz="4" w:space="0"/>
              <w:bottom w:val="single" w:color="auto" w:sz="4" w:space="0"/>
              <w:right w:val="single" w:color="auto" w:sz="4" w:space="0"/>
            </w:tcBorders>
            <w:noWrap w:val="0"/>
            <w:vAlign w:val="center"/>
          </w:tcPr>
          <w:p w14:paraId="76C57E63">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165</w:t>
            </w:r>
          </w:p>
        </w:tc>
        <w:tc>
          <w:tcPr>
            <w:tcW w:w="851" w:type="dxa"/>
            <w:tcBorders>
              <w:top w:val="single" w:color="auto" w:sz="4" w:space="0"/>
              <w:left w:val="single" w:color="auto" w:sz="4" w:space="0"/>
              <w:bottom w:val="single" w:color="auto" w:sz="4" w:space="0"/>
              <w:right w:val="single" w:color="auto" w:sz="4" w:space="0"/>
            </w:tcBorders>
            <w:noWrap w:val="0"/>
            <w:vAlign w:val="center"/>
          </w:tcPr>
          <w:p w14:paraId="58256C7A">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165</w:t>
            </w:r>
          </w:p>
        </w:tc>
        <w:tc>
          <w:tcPr>
            <w:tcW w:w="851" w:type="dxa"/>
            <w:tcBorders>
              <w:top w:val="single" w:color="auto" w:sz="4" w:space="0"/>
              <w:left w:val="single" w:color="auto" w:sz="4" w:space="0"/>
              <w:bottom w:val="single" w:color="auto" w:sz="4" w:space="0"/>
              <w:right w:val="single" w:color="auto" w:sz="4" w:space="0"/>
            </w:tcBorders>
            <w:noWrap w:val="0"/>
            <w:vAlign w:val="center"/>
          </w:tcPr>
          <w:p w14:paraId="0E505C36">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165</w:t>
            </w:r>
          </w:p>
        </w:tc>
        <w:tc>
          <w:tcPr>
            <w:tcW w:w="852" w:type="dxa"/>
            <w:tcBorders>
              <w:top w:val="single" w:color="auto" w:sz="4" w:space="0"/>
              <w:left w:val="single" w:color="auto" w:sz="4" w:space="0"/>
              <w:bottom w:val="single" w:color="auto" w:sz="4" w:space="0"/>
              <w:right w:val="single" w:color="auto" w:sz="4" w:space="0"/>
            </w:tcBorders>
            <w:noWrap w:val="0"/>
            <w:vAlign w:val="center"/>
          </w:tcPr>
          <w:p w14:paraId="70EB20FA">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165</w:t>
            </w:r>
          </w:p>
        </w:tc>
        <w:tc>
          <w:tcPr>
            <w:tcW w:w="554" w:type="dxa"/>
            <w:tcBorders>
              <w:top w:val="single" w:color="auto" w:sz="4" w:space="0"/>
              <w:left w:val="single" w:color="auto" w:sz="4" w:space="0"/>
              <w:bottom w:val="single" w:color="auto" w:sz="4" w:space="0"/>
              <w:right w:val="single" w:color="auto" w:sz="4" w:space="0"/>
            </w:tcBorders>
            <w:noWrap w:val="0"/>
            <w:vAlign w:val="center"/>
          </w:tcPr>
          <w:p w14:paraId="565CDCB7">
            <w:pPr>
              <w:jc w:val="center"/>
              <w:rPr>
                <w:rFonts w:hint="eastAsia" w:ascii="宋体" w:hAnsi="宋体" w:eastAsia="宋体" w:cs="宋体"/>
                <w:i w:val="0"/>
                <w:iCs w:val="0"/>
                <w:color w:val="auto"/>
                <w:sz w:val="18"/>
                <w:szCs w:val="18"/>
                <w:highlight w:val="none"/>
                <w:u w:val="none"/>
              </w:rPr>
            </w:pPr>
          </w:p>
        </w:tc>
      </w:tr>
      <w:tr w14:paraId="153EC21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0" w:hRule="atLeast"/>
        </w:trPr>
        <w:tc>
          <w:tcPr>
            <w:tcW w:w="584" w:type="dxa"/>
            <w:tcBorders>
              <w:top w:val="single" w:color="auto" w:sz="4" w:space="0"/>
              <w:left w:val="single" w:color="auto" w:sz="4" w:space="0"/>
              <w:bottom w:val="single" w:color="auto" w:sz="4" w:space="0"/>
              <w:right w:val="single" w:color="auto" w:sz="4" w:space="0"/>
            </w:tcBorders>
            <w:noWrap w:val="0"/>
            <w:vAlign w:val="center"/>
          </w:tcPr>
          <w:p w14:paraId="05D78C9F">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33</w:t>
            </w:r>
          </w:p>
        </w:tc>
        <w:tc>
          <w:tcPr>
            <w:tcW w:w="690" w:type="dxa"/>
            <w:vMerge w:val="continue"/>
            <w:tcBorders>
              <w:top w:val="single" w:color="auto" w:sz="4" w:space="0"/>
              <w:left w:val="single" w:color="auto" w:sz="4" w:space="0"/>
              <w:bottom w:val="single" w:color="auto" w:sz="4" w:space="0"/>
              <w:right w:val="single" w:color="auto" w:sz="4" w:space="0"/>
            </w:tcBorders>
            <w:noWrap w:val="0"/>
            <w:vAlign w:val="center"/>
          </w:tcPr>
          <w:p w14:paraId="492210DC">
            <w:pPr>
              <w:jc w:val="center"/>
              <w:rPr>
                <w:rFonts w:hint="eastAsia" w:ascii="宋体" w:hAnsi="宋体" w:eastAsia="宋体" w:cs="宋体"/>
                <w:i w:val="0"/>
                <w:iCs w:val="0"/>
                <w:color w:val="auto"/>
                <w:sz w:val="18"/>
                <w:szCs w:val="18"/>
                <w:highlight w:val="none"/>
                <w:u w:val="none"/>
              </w:rPr>
            </w:pPr>
          </w:p>
        </w:tc>
        <w:tc>
          <w:tcPr>
            <w:tcW w:w="864" w:type="dxa"/>
            <w:vMerge w:val="continue"/>
            <w:tcBorders>
              <w:top w:val="single" w:color="auto" w:sz="4" w:space="0"/>
              <w:left w:val="single" w:color="auto" w:sz="4" w:space="0"/>
              <w:bottom w:val="single" w:color="auto" w:sz="4" w:space="0"/>
              <w:right w:val="single" w:color="auto" w:sz="4" w:space="0"/>
            </w:tcBorders>
            <w:noWrap w:val="0"/>
            <w:vAlign w:val="center"/>
          </w:tcPr>
          <w:p w14:paraId="6148E8B6">
            <w:pPr>
              <w:jc w:val="center"/>
              <w:rPr>
                <w:rFonts w:hint="eastAsia" w:ascii="宋体" w:hAnsi="宋体" w:eastAsia="宋体" w:cs="宋体"/>
                <w:i w:val="0"/>
                <w:iCs w:val="0"/>
                <w:color w:val="auto"/>
                <w:sz w:val="18"/>
                <w:szCs w:val="18"/>
                <w:highlight w:val="none"/>
                <w:u w:val="none"/>
              </w:rPr>
            </w:pPr>
          </w:p>
        </w:tc>
        <w:tc>
          <w:tcPr>
            <w:tcW w:w="1854" w:type="dxa"/>
            <w:gridSpan w:val="2"/>
            <w:tcBorders>
              <w:top w:val="single" w:color="auto" w:sz="4" w:space="0"/>
              <w:left w:val="single" w:color="auto" w:sz="4" w:space="0"/>
              <w:bottom w:val="single" w:color="auto" w:sz="4" w:space="0"/>
              <w:right w:val="single" w:color="auto" w:sz="4" w:space="0"/>
            </w:tcBorders>
            <w:noWrap w:val="0"/>
            <w:vAlign w:val="center"/>
          </w:tcPr>
          <w:p w14:paraId="34194022">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拉拔力</w:t>
            </w:r>
          </w:p>
        </w:tc>
        <w:tc>
          <w:tcPr>
            <w:tcW w:w="553" w:type="dxa"/>
            <w:tcBorders>
              <w:top w:val="single" w:color="auto" w:sz="4" w:space="0"/>
              <w:left w:val="single" w:color="auto" w:sz="4" w:space="0"/>
              <w:bottom w:val="single" w:color="auto" w:sz="4" w:space="0"/>
              <w:right w:val="single" w:color="auto" w:sz="4" w:space="0"/>
            </w:tcBorders>
            <w:noWrap w:val="0"/>
            <w:vAlign w:val="center"/>
          </w:tcPr>
          <w:p w14:paraId="2EB391E5">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根</w:t>
            </w:r>
          </w:p>
        </w:tc>
        <w:tc>
          <w:tcPr>
            <w:tcW w:w="851" w:type="dxa"/>
            <w:tcBorders>
              <w:top w:val="single" w:color="auto" w:sz="4" w:space="0"/>
              <w:left w:val="single" w:color="auto" w:sz="4" w:space="0"/>
              <w:bottom w:val="single" w:color="auto" w:sz="4" w:space="0"/>
              <w:right w:val="single" w:color="auto" w:sz="4" w:space="0"/>
            </w:tcBorders>
            <w:noWrap w:val="0"/>
            <w:vAlign w:val="center"/>
          </w:tcPr>
          <w:p w14:paraId="62A1AF9A">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105</w:t>
            </w:r>
          </w:p>
        </w:tc>
        <w:tc>
          <w:tcPr>
            <w:tcW w:w="851" w:type="dxa"/>
            <w:tcBorders>
              <w:top w:val="single" w:color="auto" w:sz="4" w:space="0"/>
              <w:left w:val="single" w:color="auto" w:sz="4" w:space="0"/>
              <w:bottom w:val="single" w:color="auto" w:sz="4" w:space="0"/>
              <w:right w:val="single" w:color="auto" w:sz="4" w:space="0"/>
            </w:tcBorders>
            <w:noWrap w:val="0"/>
            <w:vAlign w:val="center"/>
          </w:tcPr>
          <w:p w14:paraId="479C417B">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105</w:t>
            </w:r>
          </w:p>
        </w:tc>
        <w:tc>
          <w:tcPr>
            <w:tcW w:w="851" w:type="dxa"/>
            <w:tcBorders>
              <w:top w:val="single" w:color="auto" w:sz="4" w:space="0"/>
              <w:left w:val="single" w:color="auto" w:sz="4" w:space="0"/>
              <w:bottom w:val="single" w:color="auto" w:sz="4" w:space="0"/>
              <w:right w:val="single" w:color="auto" w:sz="4" w:space="0"/>
            </w:tcBorders>
            <w:noWrap w:val="0"/>
            <w:vAlign w:val="center"/>
          </w:tcPr>
          <w:p w14:paraId="1878A54C">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105</w:t>
            </w:r>
          </w:p>
        </w:tc>
        <w:tc>
          <w:tcPr>
            <w:tcW w:w="852" w:type="dxa"/>
            <w:tcBorders>
              <w:top w:val="single" w:color="auto" w:sz="4" w:space="0"/>
              <w:left w:val="single" w:color="auto" w:sz="4" w:space="0"/>
              <w:bottom w:val="single" w:color="auto" w:sz="4" w:space="0"/>
              <w:right w:val="single" w:color="auto" w:sz="4" w:space="0"/>
            </w:tcBorders>
            <w:noWrap w:val="0"/>
            <w:vAlign w:val="center"/>
          </w:tcPr>
          <w:p w14:paraId="04DC6686">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105</w:t>
            </w:r>
          </w:p>
        </w:tc>
        <w:tc>
          <w:tcPr>
            <w:tcW w:w="554" w:type="dxa"/>
            <w:tcBorders>
              <w:top w:val="single" w:color="auto" w:sz="4" w:space="0"/>
              <w:left w:val="single" w:color="auto" w:sz="4" w:space="0"/>
              <w:bottom w:val="single" w:color="auto" w:sz="4" w:space="0"/>
              <w:right w:val="single" w:color="auto" w:sz="4" w:space="0"/>
            </w:tcBorders>
            <w:noWrap w:val="0"/>
            <w:vAlign w:val="center"/>
          </w:tcPr>
          <w:p w14:paraId="3360DA6F">
            <w:pPr>
              <w:jc w:val="center"/>
              <w:rPr>
                <w:rFonts w:hint="eastAsia" w:ascii="宋体" w:hAnsi="宋体" w:eastAsia="宋体" w:cs="宋体"/>
                <w:i w:val="0"/>
                <w:iCs w:val="0"/>
                <w:color w:val="auto"/>
                <w:sz w:val="18"/>
                <w:szCs w:val="18"/>
                <w:highlight w:val="none"/>
                <w:u w:val="none"/>
              </w:rPr>
            </w:pPr>
          </w:p>
        </w:tc>
      </w:tr>
      <w:tr w14:paraId="48A374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0" w:hRule="atLeast"/>
        </w:trPr>
        <w:tc>
          <w:tcPr>
            <w:tcW w:w="584" w:type="dxa"/>
            <w:tcBorders>
              <w:top w:val="single" w:color="auto" w:sz="4" w:space="0"/>
              <w:left w:val="single" w:color="auto" w:sz="4" w:space="0"/>
              <w:bottom w:val="single" w:color="auto" w:sz="4" w:space="0"/>
              <w:right w:val="single" w:color="auto" w:sz="4" w:space="0"/>
            </w:tcBorders>
            <w:noWrap w:val="0"/>
            <w:vAlign w:val="center"/>
          </w:tcPr>
          <w:p w14:paraId="4D8120F2">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34</w:t>
            </w:r>
          </w:p>
        </w:tc>
        <w:tc>
          <w:tcPr>
            <w:tcW w:w="690" w:type="dxa"/>
            <w:vMerge w:val="continue"/>
            <w:tcBorders>
              <w:top w:val="single" w:color="auto" w:sz="4" w:space="0"/>
              <w:left w:val="single" w:color="auto" w:sz="4" w:space="0"/>
              <w:bottom w:val="single" w:color="auto" w:sz="4" w:space="0"/>
              <w:right w:val="single" w:color="auto" w:sz="4" w:space="0"/>
            </w:tcBorders>
            <w:noWrap w:val="0"/>
            <w:vAlign w:val="center"/>
          </w:tcPr>
          <w:p w14:paraId="6DF39706">
            <w:pPr>
              <w:jc w:val="center"/>
              <w:rPr>
                <w:rFonts w:hint="eastAsia" w:ascii="宋体" w:hAnsi="宋体" w:eastAsia="宋体" w:cs="宋体"/>
                <w:i w:val="0"/>
                <w:iCs w:val="0"/>
                <w:color w:val="auto"/>
                <w:sz w:val="18"/>
                <w:szCs w:val="18"/>
                <w:highlight w:val="none"/>
                <w:u w:val="none"/>
              </w:rPr>
            </w:pPr>
          </w:p>
        </w:tc>
        <w:tc>
          <w:tcPr>
            <w:tcW w:w="864" w:type="dxa"/>
            <w:vMerge w:val="continue"/>
            <w:tcBorders>
              <w:top w:val="single" w:color="auto" w:sz="4" w:space="0"/>
              <w:left w:val="single" w:color="auto" w:sz="4" w:space="0"/>
              <w:bottom w:val="single" w:color="auto" w:sz="4" w:space="0"/>
              <w:right w:val="single" w:color="auto" w:sz="4" w:space="0"/>
            </w:tcBorders>
            <w:noWrap w:val="0"/>
            <w:vAlign w:val="center"/>
          </w:tcPr>
          <w:p w14:paraId="43615DA1">
            <w:pPr>
              <w:jc w:val="center"/>
              <w:rPr>
                <w:rFonts w:hint="eastAsia" w:ascii="宋体" w:hAnsi="宋体" w:eastAsia="宋体" w:cs="宋体"/>
                <w:i w:val="0"/>
                <w:iCs w:val="0"/>
                <w:color w:val="auto"/>
                <w:sz w:val="18"/>
                <w:szCs w:val="18"/>
                <w:highlight w:val="none"/>
                <w:u w:val="none"/>
              </w:rPr>
            </w:pPr>
          </w:p>
        </w:tc>
        <w:tc>
          <w:tcPr>
            <w:tcW w:w="1854" w:type="dxa"/>
            <w:gridSpan w:val="2"/>
            <w:tcBorders>
              <w:top w:val="single" w:color="auto" w:sz="4" w:space="0"/>
              <w:left w:val="single" w:color="auto" w:sz="4" w:space="0"/>
              <w:bottom w:val="single" w:color="auto" w:sz="4" w:space="0"/>
              <w:right w:val="single" w:color="auto" w:sz="4" w:space="0"/>
            </w:tcBorders>
            <w:noWrap w:val="0"/>
            <w:vAlign w:val="center"/>
          </w:tcPr>
          <w:p w14:paraId="4C89E937">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锚杆数量</w:t>
            </w:r>
          </w:p>
        </w:tc>
        <w:tc>
          <w:tcPr>
            <w:tcW w:w="553" w:type="dxa"/>
            <w:tcBorders>
              <w:top w:val="single" w:color="auto" w:sz="4" w:space="0"/>
              <w:left w:val="single" w:color="auto" w:sz="4" w:space="0"/>
              <w:bottom w:val="single" w:color="auto" w:sz="4" w:space="0"/>
              <w:right w:val="single" w:color="auto" w:sz="4" w:space="0"/>
            </w:tcBorders>
            <w:noWrap w:val="0"/>
            <w:vAlign w:val="center"/>
          </w:tcPr>
          <w:p w14:paraId="3B291CE5">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处</w:t>
            </w:r>
          </w:p>
        </w:tc>
        <w:tc>
          <w:tcPr>
            <w:tcW w:w="851" w:type="dxa"/>
            <w:tcBorders>
              <w:top w:val="single" w:color="auto" w:sz="4" w:space="0"/>
              <w:left w:val="single" w:color="auto" w:sz="4" w:space="0"/>
              <w:bottom w:val="single" w:color="auto" w:sz="4" w:space="0"/>
              <w:right w:val="single" w:color="auto" w:sz="4" w:space="0"/>
            </w:tcBorders>
            <w:noWrap w:val="0"/>
            <w:vAlign w:val="center"/>
          </w:tcPr>
          <w:p w14:paraId="7E76CD00">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52</w:t>
            </w:r>
          </w:p>
        </w:tc>
        <w:tc>
          <w:tcPr>
            <w:tcW w:w="851" w:type="dxa"/>
            <w:tcBorders>
              <w:top w:val="single" w:color="auto" w:sz="4" w:space="0"/>
              <w:left w:val="single" w:color="auto" w:sz="4" w:space="0"/>
              <w:bottom w:val="single" w:color="auto" w:sz="4" w:space="0"/>
              <w:right w:val="single" w:color="auto" w:sz="4" w:space="0"/>
            </w:tcBorders>
            <w:noWrap w:val="0"/>
            <w:vAlign w:val="center"/>
          </w:tcPr>
          <w:p w14:paraId="41E56005">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52</w:t>
            </w:r>
          </w:p>
        </w:tc>
        <w:tc>
          <w:tcPr>
            <w:tcW w:w="851" w:type="dxa"/>
            <w:tcBorders>
              <w:top w:val="single" w:color="auto" w:sz="4" w:space="0"/>
              <w:left w:val="single" w:color="auto" w:sz="4" w:space="0"/>
              <w:bottom w:val="single" w:color="auto" w:sz="4" w:space="0"/>
              <w:right w:val="single" w:color="auto" w:sz="4" w:space="0"/>
            </w:tcBorders>
            <w:noWrap w:val="0"/>
            <w:vAlign w:val="center"/>
          </w:tcPr>
          <w:p w14:paraId="7CB23B83">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52</w:t>
            </w:r>
          </w:p>
        </w:tc>
        <w:tc>
          <w:tcPr>
            <w:tcW w:w="852" w:type="dxa"/>
            <w:tcBorders>
              <w:top w:val="single" w:color="auto" w:sz="4" w:space="0"/>
              <w:left w:val="single" w:color="auto" w:sz="4" w:space="0"/>
              <w:bottom w:val="single" w:color="auto" w:sz="4" w:space="0"/>
              <w:right w:val="single" w:color="auto" w:sz="4" w:space="0"/>
            </w:tcBorders>
            <w:noWrap w:val="0"/>
            <w:vAlign w:val="center"/>
          </w:tcPr>
          <w:p w14:paraId="734AE8FE">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52</w:t>
            </w:r>
          </w:p>
        </w:tc>
        <w:tc>
          <w:tcPr>
            <w:tcW w:w="554" w:type="dxa"/>
            <w:tcBorders>
              <w:top w:val="single" w:color="auto" w:sz="4" w:space="0"/>
              <w:left w:val="single" w:color="auto" w:sz="4" w:space="0"/>
              <w:bottom w:val="single" w:color="auto" w:sz="4" w:space="0"/>
              <w:right w:val="single" w:color="auto" w:sz="4" w:space="0"/>
            </w:tcBorders>
            <w:noWrap w:val="0"/>
            <w:vAlign w:val="center"/>
          </w:tcPr>
          <w:p w14:paraId="33BEF335">
            <w:pPr>
              <w:jc w:val="center"/>
              <w:rPr>
                <w:rFonts w:hint="eastAsia" w:ascii="宋体" w:hAnsi="宋体" w:eastAsia="宋体" w:cs="宋体"/>
                <w:i w:val="0"/>
                <w:iCs w:val="0"/>
                <w:color w:val="auto"/>
                <w:sz w:val="18"/>
                <w:szCs w:val="18"/>
                <w:highlight w:val="none"/>
                <w:u w:val="none"/>
              </w:rPr>
            </w:pPr>
          </w:p>
        </w:tc>
      </w:tr>
      <w:tr w14:paraId="34CCA8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0" w:hRule="atLeast"/>
        </w:trPr>
        <w:tc>
          <w:tcPr>
            <w:tcW w:w="584" w:type="dxa"/>
            <w:tcBorders>
              <w:top w:val="single" w:color="auto" w:sz="4" w:space="0"/>
              <w:left w:val="single" w:color="auto" w:sz="4" w:space="0"/>
              <w:bottom w:val="single" w:color="auto" w:sz="4" w:space="0"/>
              <w:right w:val="single" w:color="auto" w:sz="4" w:space="0"/>
            </w:tcBorders>
            <w:noWrap w:val="0"/>
            <w:vAlign w:val="center"/>
          </w:tcPr>
          <w:p w14:paraId="7A50EB0B">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35</w:t>
            </w:r>
          </w:p>
        </w:tc>
        <w:tc>
          <w:tcPr>
            <w:tcW w:w="690" w:type="dxa"/>
            <w:vMerge w:val="continue"/>
            <w:tcBorders>
              <w:top w:val="single" w:color="auto" w:sz="4" w:space="0"/>
              <w:left w:val="single" w:color="auto" w:sz="4" w:space="0"/>
              <w:bottom w:val="single" w:color="auto" w:sz="4" w:space="0"/>
              <w:right w:val="single" w:color="auto" w:sz="4" w:space="0"/>
            </w:tcBorders>
            <w:noWrap w:val="0"/>
            <w:vAlign w:val="center"/>
          </w:tcPr>
          <w:p w14:paraId="250CDC7F">
            <w:pPr>
              <w:jc w:val="center"/>
              <w:rPr>
                <w:rFonts w:hint="eastAsia" w:ascii="宋体" w:hAnsi="宋体" w:eastAsia="宋体" w:cs="宋体"/>
                <w:i w:val="0"/>
                <w:iCs w:val="0"/>
                <w:color w:val="auto"/>
                <w:sz w:val="18"/>
                <w:szCs w:val="18"/>
                <w:highlight w:val="none"/>
                <w:u w:val="none"/>
              </w:rPr>
            </w:pPr>
          </w:p>
        </w:tc>
        <w:tc>
          <w:tcPr>
            <w:tcW w:w="864" w:type="dxa"/>
            <w:tcBorders>
              <w:top w:val="single" w:color="auto" w:sz="4" w:space="0"/>
              <w:left w:val="single" w:color="auto" w:sz="4" w:space="0"/>
              <w:bottom w:val="single" w:color="auto" w:sz="4" w:space="0"/>
              <w:right w:val="single" w:color="auto" w:sz="4" w:space="0"/>
            </w:tcBorders>
            <w:noWrap w:val="0"/>
            <w:vAlign w:val="center"/>
          </w:tcPr>
          <w:p w14:paraId="2D85C947">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拱架</w:t>
            </w:r>
          </w:p>
        </w:tc>
        <w:tc>
          <w:tcPr>
            <w:tcW w:w="828" w:type="dxa"/>
            <w:tcBorders>
              <w:top w:val="single" w:color="auto" w:sz="4" w:space="0"/>
              <w:left w:val="single" w:color="auto" w:sz="4" w:space="0"/>
              <w:bottom w:val="single" w:color="auto" w:sz="4" w:space="0"/>
              <w:right w:val="single" w:color="auto" w:sz="4" w:space="0"/>
            </w:tcBorders>
            <w:noWrap w:val="0"/>
            <w:vAlign w:val="center"/>
          </w:tcPr>
          <w:p w14:paraId="195CA658">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数量</w:t>
            </w:r>
          </w:p>
        </w:tc>
        <w:tc>
          <w:tcPr>
            <w:tcW w:w="1026" w:type="dxa"/>
            <w:tcBorders>
              <w:top w:val="single" w:color="auto" w:sz="4" w:space="0"/>
              <w:left w:val="single" w:color="auto" w:sz="4" w:space="0"/>
              <w:bottom w:val="single" w:color="auto" w:sz="4" w:space="0"/>
              <w:right w:val="single" w:color="auto" w:sz="4" w:space="0"/>
            </w:tcBorders>
            <w:noWrap w:val="0"/>
            <w:vAlign w:val="center"/>
          </w:tcPr>
          <w:p w14:paraId="784AACE1">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每处按 10m 长度，测量拱架数量</w:t>
            </w:r>
          </w:p>
        </w:tc>
        <w:tc>
          <w:tcPr>
            <w:tcW w:w="553" w:type="dxa"/>
            <w:tcBorders>
              <w:top w:val="single" w:color="auto" w:sz="4" w:space="0"/>
              <w:left w:val="single" w:color="auto" w:sz="4" w:space="0"/>
              <w:bottom w:val="single" w:color="auto" w:sz="4" w:space="0"/>
              <w:right w:val="single" w:color="auto" w:sz="4" w:space="0"/>
            </w:tcBorders>
            <w:noWrap w:val="0"/>
            <w:vAlign w:val="center"/>
          </w:tcPr>
          <w:p w14:paraId="139FD28A">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处</w:t>
            </w:r>
          </w:p>
        </w:tc>
        <w:tc>
          <w:tcPr>
            <w:tcW w:w="851" w:type="dxa"/>
            <w:tcBorders>
              <w:top w:val="single" w:color="auto" w:sz="4" w:space="0"/>
              <w:left w:val="single" w:color="auto" w:sz="4" w:space="0"/>
              <w:bottom w:val="single" w:color="auto" w:sz="4" w:space="0"/>
              <w:right w:val="single" w:color="auto" w:sz="4" w:space="0"/>
            </w:tcBorders>
            <w:noWrap w:val="0"/>
            <w:vAlign w:val="center"/>
          </w:tcPr>
          <w:p w14:paraId="58DE4D00">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127</w:t>
            </w:r>
          </w:p>
        </w:tc>
        <w:tc>
          <w:tcPr>
            <w:tcW w:w="851" w:type="dxa"/>
            <w:tcBorders>
              <w:top w:val="single" w:color="auto" w:sz="4" w:space="0"/>
              <w:left w:val="single" w:color="auto" w:sz="4" w:space="0"/>
              <w:bottom w:val="single" w:color="auto" w:sz="4" w:space="0"/>
              <w:right w:val="single" w:color="auto" w:sz="4" w:space="0"/>
            </w:tcBorders>
            <w:noWrap w:val="0"/>
            <w:vAlign w:val="center"/>
          </w:tcPr>
          <w:p w14:paraId="7CF0C912">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127</w:t>
            </w:r>
          </w:p>
        </w:tc>
        <w:tc>
          <w:tcPr>
            <w:tcW w:w="851" w:type="dxa"/>
            <w:tcBorders>
              <w:top w:val="single" w:color="auto" w:sz="4" w:space="0"/>
              <w:left w:val="single" w:color="auto" w:sz="4" w:space="0"/>
              <w:bottom w:val="single" w:color="auto" w:sz="4" w:space="0"/>
              <w:right w:val="single" w:color="auto" w:sz="4" w:space="0"/>
            </w:tcBorders>
            <w:noWrap w:val="0"/>
            <w:vAlign w:val="center"/>
          </w:tcPr>
          <w:p w14:paraId="2FB09E4D">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127</w:t>
            </w:r>
          </w:p>
        </w:tc>
        <w:tc>
          <w:tcPr>
            <w:tcW w:w="852" w:type="dxa"/>
            <w:tcBorders>
              <w:top w:val="single" w:color="auto" w:sz="4" w:space="0"/>
              <w:left w:val="single" w:color="auto" w:sz="4" w:space="0"/>
              <w:bottom w:val="single" w:color="auto" w:sz="4" w:space="0"/>
              <w:right w:val="single" w:color="auto" w:sz="4" w:space="0"/>
            </w:tcBorders>
            <w:noWrap w:val="0"/>
            <w:vAlign w:val="center"/>
          </w:tcPr>
          <w:p w14:paraId="06AFFAE1">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127</w:t>
            </w:r>
          </w:p>
        </w:tc>
        <w:tc>
          <w:tcPr>
            <w:tcW w:w="554" w:type="dxa"/>
            <w:tcBorders>
              <w:top w:val="single" w:color="auto" w:sz="4" w:space="0"/>
              <w:left w:val="single" w:color="auto" w:sz="4" w:space="0"/>
              <w:bottom w:val="single" w:color="auto" w:sz="4" w:space="0"/>
              <w:right w:val="single" w:color="auto" w:sz="4" w:space="0"/>
            </w:tcBorders>
            <w:noWrap w:val="0"/>
            <w:vAlign w:val="center"/>
          </w:tcPr>
          <w:p w14:paraId="0C972CEE">
            <w:pPr>
              <w:jc w:val="center"/>
              <w:rPr>
                <w:rFonts w:hint="eastAsia" w:ascii="宋体" w:hAnsi="宋体" w:eastAsia="宋体" w:cs="宋体"/>
                <w:i w:val="0"/>
                <w:iCs w:val="0"/>
                <w:color w:val="auto"/>
                <w:sz w:val="18"/>
                <w:szCs w:val="18"/>
                <w:highlight w:val="none"/>
                <w:u w:val="none"/>
              </w:rPr>
            </w:pPr>
          </w:p>
        </w:tc>
      </w:tr>
      <w:tr w14:paraId="499185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0" w:hRule="atLeast"/>
        </w:trPr>
        <w:tc>
          <w:tcPr>
            <w:tcW w:w="584" w:type="dxa"/>
            <w:tcBorders>
              <w:top w:val="single" w:color="auto" w:sz="4" w:space="0"/>
              <w:left w:val="single" w:color="auto" w:sz="4" w:space="0"/>
              <w:bottom w:val="single" w:color="auto" w:sz="4" w:space="0"/>
              <w:right w:val="single" w:color="auto" w:sz="4" w:space="0"/>
            </w:tcBorders>
            <w:noWrap w:val="0"/>
            <w:vAlign w:val="center"/>
          </w:tcPr>
          <w:p w14:paraId="1A96B9A8">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36</w:t>
            </w:r>
          </w:p>
        </w:tc>
        <w:tc>
          <w:tcPr>
            <w:tcW w:w="690" w:type="dxa"/>
            <w:vMerge w:val="continue"/>
            <w:tcBorders>
              <w:top w:val="single" w:color="auto" w:sz="4" w:space="0"/>
              <w:left w:val="single" w:color="auto" w:sz="4" w:space="0"/>
              <w:bottom w:val="single" w:color="auto" w:sz="4" w:space="0"/>
              <w:right w:val="single" w:color="auto" w:sz="4" w:space="0"/>
            </w:tcBorders>
            <w:noWrap w:val="0"/>
            <w:vAlign w:val="center"/>
          </w:tcPr>
          <w:p w14:paraId="13EB605D">
            <w:pPr>
              <w:jc w:val="center"/>
              <w:rPr>
                <w:rFonts w:hint="eastAsia" w:ascii="宋体" w:hAnsi="宋体" w:eastAsia="宋体" w:cs="宋体"/>
                <w:i w:val="0"/>
                <w:iCs w:val="0"/>
                <w:color w:val="auto"/>
                <w:sz w:val="18"/>
                <w:szCs w:val="18"/>
                <w:highlight w:val="none"/>
                <w:u w:val="none"/>
              </w:rPr>
            </w:pPr>
          </w:p>
        </w:tc>
        <w:tc>
          <w:tcPr>
            <w:tcW w:w="864" w:type="dxa"/>
            <w:vMerge w:val="restart"/>
            <w:tcBorders>
              <w:top w:val="single" w:color="auto" w:sz="4" w:space="0"/>
              <w:left w:val="single" w:color="auto" w:sz="4" w:space="0"/>
              <w:bottom w:val="single" w:color="auto" w:sz="4" w:space="0"/>
              <w:right w:val="single" w:color="auto" w:sz="4" w:space="0"/>
            </w:tcBorders>
            <w:noWrap w:val="0"/>
            <w:vAlign w:val="center"/>
          </w:tcPr>
          <w:p w14:paraId="4DC11DA7">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初期支护</w:t>
            </w:r>
          </w:p>
        </w:tc>
        <w:tc>
          <w:tcPr>
            <w:tcW w:w="828" w:type="dxa"/>
            <w:vMerge w:val="restart"/>
            <w:tcBorders>
              <w:top w:val="single" w:color="auto" w:sz="4" w:space="0"/>
              <w:left w:val="single" w:color="auto" w:sz="4" w:space="0"/>
              <w:bottom w:val="single" w:color="auto" w:sz="4" w:space="0"/>
              <w:right w:val="single" w:color="auto" w:sz="4" w:space="0"/>
            </w:tcBorders>
            <w:noWrap w:val="0"/>
            <w:vAlign w:val="center"/>
          </w:tcPr>
          <w:p w14:paraId="0F24EB0F">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喷射混凝土喷层厚度</w:t>
            </w:r>
          </w:p>
        </w:tc>
        <w:tc>
          <w:tcPr>
            <w:tcW w:w="1026" w:type="dxa"/>
            <w:tcBorders>
              <w:top w:val="single" w:color="auto" w:sz="4" w:space="0"/>
              <w:left w:val="single" w:color="auto" w:sz="4" w:space="0"/>
              <w:bottom w:val="single" w:color="auto" w:sz="4" w:space="0"/>
              <w:right w:val="single" w:color="auto" w:sz="4" w:space="0"/>
            </w:tcBorders>
            <w:noWrap w:val="0"/>
            <w:vAlign w:val="center"/>
          </w:tcPr>
          <w:p w14:paraId="30C7398C">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采用钻芯法</w:t>
            </w:r>
          </w:p>
        </w:tc>
        <w:tc>
          <w:tcPr>
            <w:tcW w:w="553" w:type="dxa"/>
            <w:tcBorders>
              <w:top w:val="single" w:color="auto" w:sz="4" w:space="0"/>
              <w:left w:val="single" w:color="auto" w:sz="4" w:space="0"/>
              <w:bottom w:val="single" w:color="auto" w:sz="4" w:space="0"/>
              <w:right w:val="single" w:color="auto" w:sz="4" w:space="0"/>
            </w:tcBorders>
            <w:noWrap w:val="0"/>
            <w:vAlign w:val="center"/>
          </w:tcPr>
          <w:p w14:paraId="2C04D16A">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断面</w:t>
            </w:r>
          </w:p>
        </w:tc>
        <w:tc>
          <w:tcPr>
            <w:tcW w:w="851" w:type="dxa"/>
            <w:tcBorders>
              <w:top w:val="single" w:color="auto" w:sz="4" w:space="0"/>
              <w:left w:val="single" w:color="auto" w:sz="4" w:space="0"/>
              <w:bottom w:val="single" w:color="auto" w:sz="4" w:space="0"/>
              <w:right w:val="single" w:color="auto" w:sz="4" w:space="0"/>
            </w:tcBorders>
            <w:noWrap w:val="0"/>
            <w:vAlign w:val="center"/>
          </w:tcPr>
          <w:p w14:paraId="0BEF934F">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67</w:t>
            </w:r>
          </w:p>
        </w:tc>
        <w:tc>
          <w:tcPr>
            <w:tcW w:w="851" w:type="dxa"/>
            <w:tcBorders>
              <w:top w:val="single" w:color="auto" w:sz="4" w:space="0"/>
              <w:left w:val="single" w:color="auto" w:sz="4" w:space="0"/>
              <w:bottom w:val="single" w:color="auto" w:sz="4" w:space="0"/>
              <w:right w:val="single" w:color="auto" w:sz="4" w:space="0"/>
            </w:tcBorders>
            <w:noWrap w:val="0"/>
            <w:vAlign w:val="center"/>
          </w:tcPr>
          <w:p w14:paraId="5976DEC2">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67</w:t>
            </w:r>
          </w:p>
        </w:tc>
        <w:tc>
          <w:tcPr>
            <w:tcW w:w="851" w:type="dxa"/>
            <w:tcBorders>
              <w:top w:val="single" w:color="auto" w:sz="4" w:space="0"/>
              <w:left w:val="single" w:color="auto" w:sz="4" w:space="0"/>
              <w:bottom w:val="single" w:color="auto" w:sz="4" w:space="0"/>
              <w:right w:val="single" w:color="auto" w:sz="4" w:space="0"/>
            </w:tcBorders>
            <w:noWrap w:val="0"/>
            <w:vAlign w:val="center"/>
          </w:tcPr>
          <w:p w14:paraId="16FBC490">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67</w:t>
            </w:r>
          </w:p>
        </w:tc>
        <w:tc>
          <w:tcPr>
            <w:tcW w:w="852" w:type="dxa"/>
            <w:tcBorders>
              <w:top w:val="single" w:color="auto" w:sz="4" w:space="0"/>
              <w:left w:val="single" w:color="auto" w:sz="4" w:space="0"/>
              <w:bottom w:val="single" w:color="auto" w:sz="4" w:space="0"/>
              <w:right w:val="single" w:color="auto" w:sz="4" w:space="0"/>
            </w:tcBorders>
            <w:noWrap w:val="0"/>
            <w:vAlign w:val="center"/>
          </w:tcPr>
          <w:p w14:paraId="380516C7">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67</w:t>
            </w:r>
          </w:p>
        </w:tc>
        <w:tc>
          <w:tcPr>
            <w:tcW w:w="554" w:type="dxa"/>
            <w:tcBorders>
              <w:top w:val="single" w:color="auto" w:sz="4" w:space="0"/>
              <w:left w:val="single" w:color="auto" w:sz="4" w:space="0"/>
              <w:bottom w:val="single" w:color="auto" w:sz="4" w:space="0"/>
              <w:right w:val="single" w:color="auto" w:sz="4" w:space="0"/>
            </w:tcBorders>
            <w:noWrap w:val="0"/>
            <w:vAlign w:val="center"/>
          </w:tcPr>
          <w:p w14:paraId="42AF7FD5">
            <w:pPr>
              <w:jc w:val="center"/>
              <w:rPr>
                <w:rFonts w:hint="eastAsia" w:ascii="宋体" w:hAnsi="宋体" w:eastAsia="宋体" w:cs="宋体"/>
                <w:i w:val="0"/>
                <w:iCs w:val="0"/>
                <w:color w:val="auto"/>
                <w:sz w:val="18"/>
                <w:szCs w:val="18"/>
                <w:highlight w:val="none"/>
                <w:u w:val="none"/>
              </w:rPr>
            </w:pPr>
          </w:p>
        </w:tc>
      </w:tr>
      <w:tr w14:paraId="7A0E8A8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0" w:hRule="atLeast"/>
        </w:trPr>
        <w:tc>
          <w:tcPr>
            <w:tcW w:w="584" w:type="dxa"/>
            <w:tcBorders>
              <w:top w:val="single" w:color="auto" w:sz="4" w:space="0"/>
              <w:left w:val="single" w:color="auto" w:sz="4" w:space="0"/>
              <w:bottom w:val="single" w:color="auto" w:sz="4" w:space="0"/>
              <w:right w:val="single" w:color="auto" w:sz="4" w:space="0"/>
            </w:tcBorders>
            <w:noWrap w:val="0"/>
            <w:vAlign w:val="center"/>
          </w:tcPr>
          <w:p w14:paraId="7DACAAF0">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37</w:t>
            </w:r>
          </w:p>
        </w:tc>
        <w:tc>
          <w:tcPr>
            <w:tcW w:w="690" w:type="dxa"/>
            <w:vMerge w:val="continue"/>
            <w:tcBorders>
              <w:top w:val="single" w:color="auto" w:sz="4" w:space="0"/>
              <w:left w:val="single" w:color="auto" w:sz="4" w:space="0"/>
              <w:bottom w:val="single" w:color="auto" w:sz="4" w:space="0"/>
              <w:right w:val="single" w:color="auto" w:sz="4" w:space="0"/>
            </w:tcBorders>
            <w:noWrap w:val="0"/>
            <w:vAlign w:val="center"/>
          </w:tcPr>
          <w:p w14:paraId="2B9FBC33">
            <w:pPr>
              <w:jc w:val="center"/>
              <w:rPr>
                <w:rFonts w:hint="eastAsia" w:ascii="宋体" w:hAnsi="宋体" w:eastAsia="宋体" w:cs="宋体"/>
                <w:i w:val="0"/>
                <w:iCs w:val="0"/>
                <w:color w:val="auto"/>
                <w:sz w:val="18"/>
                <w:szCs w:val="18"/>
                <w:highlight w:val="none"/>
                <w:u w:val="none"/>
              </w:rPr>
            </w:pPr>
          </w:p>
        </w:tc>
        <w:tc>
          <w:tcPr>
            <w:tcW w:w="864" w:type="dxa"/>
            <w:vMerge w:val="continue"/>
            <w:tcBorders>
              <w:top w:val="single" w:color="auto" w:sz="4" w:space="0"/>
              <w:left w:val="single" w:color="auto" w:sz="4" w:space="0"/>
              <w:bottom w:val="single" w:color="auto" w:sz="4" w:space="0"/>
              <w:right w:val="single" w:color="auto" w:sz="4" w:space="0"/>
            </w:tcBorders>
            <w:noWrap w:val="0"/>
            <w:vAlign w:val="center"/>
          </w:tcPr>
          <w:p w14:paraId="1E5817E9">
            <w:pPr>
              <w:jc w:val="center"/>
              <w:rPr>
                <w:rFonts w:hint="eastAsia" w:ascii="宋体" w:hAnsi="宋体" w:eastAsia="宋体" w:cs="宋体"/>
                <w:i w:val="0"/>
                <w:iCs w:val="0"/>
                <w:color w:val="auto"/>
                <w:sz w:val="18"/>
                <w:szCs w:val="18"/>
                <w:highlight w:val="none"/>
                <w:u w:val="none"/>
              </w:rPr>
            </w:pPr>
          </w:p>
        </w:tc>
        <w:tc>
          <w:tcPr>
            <w:tcW w:w="828" w:type="dxa"/>
            <w:vMerge w:val="continue"/>
            <w:tcBorders>
              <w:top w:val="single" w:color="auto" w:sz="4" w:space="0"/>
              <w:left w:val="single" w:color="auto" w:sz="4" w:space="0"/>
              <w:bottom w:val="single" w:color="auto" w:sz="4" w:space="0"/>
              <w:right w:val="single" w:color="auto" w:sz="4" w:space="0"/>
            </w:tcBorders>
            <w:noWrap w:val="0"/>
            <w:vAlign w:val="center"/>
          </w:tcPr>
          <w:p w14:paraId="2ED93C14">
            <w:pPr>
              <w:jc w:val="center"/>
              <w:rPr>
                <w:rFonts w:hint="eastAsia" w:ascii="宋体" w:hAnsi="宋体" w:eastAsia="宋体" w:cs="宋体"/>
                <w:i w:val="0"/>
                <w:iCs w:val="0"/>
                <w:color w:val="auto"/>
                <w:sz w:val="18"/>
                <w:szCs w:val="18"/>
                <w:highlight w:val="none"/>
                <w:u w:val="none"/>
              </w:rPr>
            </w:pPr>
          </w:p>
        </w:tc>
        <w:tc>
          <w:tcPr>
            <w:tcW w:w="1026" w:type="dxa"/>
            <w:tcBorders>
              <w:top w:val="single" w:color="auto" w:sz="4" w:space="0"/>
              <w:left w:val="single" w:color="auto" w:sz="4" w:space="0"/>
              <w:bottom w:val="single" w:color="auto" w:sz="4" w:space="0"/>
              <w:right w:val="single" w:color="auto" w:sz="4" w:space="0"/>
            </w:tcBorders>
            <w:noWrap w:val="0"/>
            <w:vAlign w:val="center"/>
          </w:tcPr>
          <w:p w14:paraId="3059F768">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地质雷达法</w:t>
            </w:r>
          </w:p>
        </w:tc>
        <w:tc>
          <w:tcPr>
            <w:tcW w:w="553" w:type="dxa"/>
            <w:tcBorders>
              <w:top w:val="single" w:color="auto" w:sz="4" w:space="0"/>
              <w:left w:val="single" w:color="auto" w:sz="4" w:space="0"/>
              <w:bottom w:val="single" w:color="auto" w:sz="4" w:space="0"/>
              <w:right w:val="single" w:color="auto" w:sz="4" w:space="0"/>
            </w:tcBorders>
            <w:noWrap w:val="0"/>
            <w:vAlign w:val="center"/>
          </w:tcPr>
          <w:p w14:paraId="7EE3F29B">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断面</w:t>
            </w:r>
          </w:p>
        </w:tc>
        <w:tc>
          <w:tcPr>
            <w:tcW w:w="851" w:type="dxa"/>
            <w:tcBorders>
              <w:top w:val="single" w:color="auto" w:sz="4" w:space="0"/>
              <w:left w:val="single" w:color="auto" w:sz="4" w:space="0"/>
              <w:bottom w:val="single" w:color="auto" w:sz="4" w:space="0"/>
              <w:right w:val="single" w:color="auto" w:sz="4" w:space="0"/>
            </w:tcBorders>
            <w:noWrap w:val="0"/>
            <w:vAlign w:val="center"/>
          </w:tcPr>
          <w:p w14:paraId="37B443E1">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45</w:t>
            </w:r>
          </w:p>
        </w:tc>
        <w:tc>
          <w:tcPr>
            <w:tcW w:w="851" w:type="dxa"/>
            <w:tcBorders>
              <w:top w:val="single" w:color="auto" w:sz="4" w:space="0"/>
              <w:left w:val="single" w:color="auto" w:sz="4" w:space="0"/>
              <w:bottom w:val="single" w:color="auto" w:sz="4" w:space="0"/>
              <w:right w:val="single" w:color="auto" w:sz="4" w:space="0"/>
            </w:tcBorders>
            <w:noWrap w:val="0"/>
            <w:vAlign w:val="center"/>
          </w:tcPr>
          <w:p w14:paraId="1FC033F2">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45</w:t>
            </w:r>
          </w:p>
        </w:tc>
        <w:tc>
          <w:tcPr>
            <w:tcW w:w="851" w:type="dxa"/>
            <w:tcBorders>
              <w:top w:val="single" w:color="auto" w:sz="4" w:space="0"/>
              <w:left w:val="single" w:color="auto" w:sz="4" w:space="0"/>
              <w:bottom w:val="single" w:color="auto" w:sz="4" w:space="0"/>
              <w:right w:val="single" w:color="auto" w:sz="4" w:space="0"/>
            </w:tcBorders>
            <w:noWrap w:val="0"/>
            <w:vAlign w:val="center"/>
          </w:tcPr>
          <w:p w14:paraId="3F081694">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45</w:t>
            </w:r>
          </w:p>
        </w:tc>
        <w:tc>
          <w:tcPr>
            <w:tcW w:w="852" w:type="dxa"/>
            <w:tcBorders>
              <w:top w:val="single" w:color="auto" w:sz="4" w:space="0"/>
              <w:left w:val="single" w:color="auto" w:sz="4" w:space="0"/>
              <w:bottom w:val="single" w:color="auto" w:sz="4" w:space="0"/>
              <w:right w:val="single" w:color="auto" w:sz="4" w:space="0"/>
            </w:tcBorders>
            <w:noWrap w:val="0"/>
            <w:vAlign w:val="center"/>
          </w:tcPr>
          <w:p w14:paraId="0E72F583">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45</w:t>
            </w:r>
          </w:p>
        </w:tc>
        <w:tc>
          <w:tcPr>
            <w:tcW w:w="554" w:type="dxa"/>
            <w:tcBorders>
              <w:top w:val="single" w:color="auto" w:sz="4" w:space="0"/>
              <w:left w:val="single" w:color="auto" w:sz="4" w:space="0"/>
              <w:bottom w:val="single" w:color="auto" w:sz="4" w:space="0"/>
              <w:right w:val="single" w:color="auto" w:sz="4" w:space="0"/>
            </w:tcBorders>
            <w:noWrap w:val="0"/>
            <w:vAlign w:val="center"/>
          </w:tcPr>
          <w:p w14:paraId="4B0501FF">
            <w:pPr>
              <w:jc w:val="center"/>
              <w:rPr>
                <w:rFonts w:hint="eastAsia" w:ascii="宋体" w:hAnsi="宋体" w:eastAsia="宋体" w:cs="宋体"/>
                <w:i w:val="0"/>
                <w:iCs w:val="0"/>
                <w:color w:val="auto"/>
                <w:sz w:val="18"/>
                <w:szCs w:val="18"/>
                <w:highlight w:val="none"/>
                <w:u w:val="none"/>
              </w:rPr>
            </w:pPr>
          </w:p>
        </w:tc>
      </w:tr>
      <w:tr w14:paraId="6B1759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0" w:hRule="atLeast"/>
        </w:trPr>
        <w:tc>
          <w:tcPr>
            <w:tcW w:w="584" w:type="dxa"/>
            <w:tcBorders>
              <w:top w:val="single" w:color="auto" w:sz="4" w:space="0"/>
              <w:left w:val="single" w:color="auto" w:sz="4" w:space="0"/>
              <w:bottom w:val="single" w:color="auto" w:sz="4" w:space="0"/>
              <w:right w:val="single" w:color="auto" w:sz="4" w:space="0"/>
            </w:tcBorders>
            <w:noWrap w:val="0"/>
            <w:vAlign w:val="center"/>
          </w:tcPr>
          <w:p w14:paraId="568F83EC">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38</w:t>
            </w:r>
          </w:p>
        </w:tc>
        <w:tc>
          <w:tcPr>
            <w:tcW w:w="690" w:type="dxa"/>
            <w:vMerge w:val="continue"/>
            <w:tcBorders>
              <w:top w:val="single" w:color="auto" w:sz="4" w:space="0"/>
              <w:left w:val="single" w:color="auto" w:sz="4" w:space="0"/>
              <w:bottom w:val="single" w:color="auto" w:sz="4" w:space="0"/>
              <w:right w:val="single" w:color="auto" w:sz="4" w:space="0"/>
            </w:tcBorders>
            <w:noWrap w:val="0"/>
            <w:vAlign w:val="center"/>
          </w:tcPr>
          <w:p w14:paraId="3BD5C7ED">
            <w:pPr>
              <w:jc w:val="center"/>
              <w:rPr>
                <w:rFonts w:hint="eastAsia" w:ascii="宋体" w:hAnsi="宋体" w:eastAsia="宋体" w:cs="宋体"/>
                <w:i w:val="0"/>
                <w:iCs w:val="0"/>
                <w:color w:val="auto"/>
                <w:sz w:val="18"/>
                <w:szCs w:val="18"/>
                <w:highlight w:val="none"/>
                <w:u w:val="none"/>
              </w:rPr>
            </w:pPr>
          </w:p>
        </w:tc>
        <w:tc>
          <w:tcPr>
            <w:tcW w:w="864" w:type="dxa"/>
            <w:vMerge w:val="restart"/>
            <w:tcBorders>
              <w:top w:val="single" w:color="auto" w:sz="4" w:space="0"/>
              <w:left w:val="single" w:color="auto" w:sz="4" w:space="0"/>
              <w:bottom w:val="single" w:color="auto" w:sz="4" w:space="0"/>
              <w:right w:val="single" w:color="auto" w:sz="4" w:space="0"/>
            </w:tcBorders>
            <w:noWrap w:val="0"/>
            <w:vAlign w:val="center"/>
          </w:tcPr>
          <w:p w14:paraId="5DBC5C02">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二衬</w:t>
            </w:r>
          </w:p>
        </w:tc>
        <w:tc>
          <w:tcPr>
            <w:tcW w:w="828" w:type="dxa"/>
            <w:tcBorders>
              <w:top w:val="single" w:color="auto" w:sz="4" w:space="0"/>
              <w:left w:val="single" w:color="auto" w:sz="4" w:space="0"/>
              <w:bottom w:val="single" w:color="auto" w:sz="4" w:space="0"/>
              <w:right w:val="single" w:color="auto" w:sz="4" w:space="0"/>
            </w:tcBorders>
            <w:noWrap w:val="0"/>
            <w:vAlign w:val="center"/>
          </w:tcPr>
          <w:p w14:paraId="6CAC04AB">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衬砌厚度</w:t>
            </w:r>
          </w:p>
        </w:tc>
        <w:tc>
          <w:tcPr>
            <w:tcW w:w="1026" w:type="dxa"/>
            <w:tcBorders>
              <w:top w:val="single" w:color="auto" w:sz="4" w:space="0"/>
              <w:left w:val="single" w:color="auto" w:sz="4" w:space="0"/>
              <w:bottom w:val="single" w:color="auto" w:sz="4" w:space="0"/>
              <w:right w:val="single" w:color="auto" w:sz="4" w:space="0"/>
            </w:tcBorders>
            <w:noWrap w:val="0"/>
            <w:vAlign w:val="center"/>
          </w:tcPr>
          <w:p w14:paraId="37C4A328">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采用地质雷达测断面</w:t>
            </w:r>
          </w:p>
        </w:tc>
        <w:tc>
          <w:tcPr>
            <w:tcW w:w="553" w:type="dxa"/>
            <w:tcBorders>
              <w:top w:val="single" w:color="auto" w:sz="4" w:space="0"/>
              <w:left w:val="single" w:color="auto" w:sz="4" w:space="0"/>
              <w:bottom w:val="single" w:color="auto" w:sz="4" w:space="0"/>
              <w:right w:val="single" w:color="auto" w:sz="4" w:space="0"/>
            </w:tcBorders>
            <w:noWrap w:val="0"/>
            <w:vAlign w:val="center"/>
          </w:tcPr>
          <w:p w14:paraId="483A813E">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断面</w:t>
            </w:r>
          </w:p>
        </w:tc>
        <w:tc>
          <w:tcPr>
            <w:tcW w:w="851" w:type="dxa"/>
            <w:tcBorders>
              <w:top w:val="single" w:color="auto" w:sz="4" w:space="0"/>
              <w:left w:val="single" w:color="auto" w:sz="4" w:space="0"/>
              <w:bottom w:val="single" w:color="auto" w:sz="4" w:space="0"/>
              <w:right w:val="single" w:color="auto" w:sz="4" w:space="0"/>
            </w:tcBorders>
            <w:noWrap w:val="0"/>
            <w:vAlign w:val="center"/>
          </w:tcPr>
          <w:p w14:paraId="7F6802DD">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510</w:t>
            </w:r>
          </w:p>
        </w:tc>
        <w:tc>
          <w:tcPr>
            <w:tcW w:w="851" w:type="dxa"/>
            <w:tcBorders>
              <w:top w:val="single" w:color="auto" w:sz="4" w:space="0"/>
              <w:left w:val="single" w:color="auto" w:sz="4" w:space="0"/>
              <w:bottom w:val="single" w:color="auto" w:sz="4" w:space="0"/>
              <w:right w:val="single" w:color="auto" w:sz="4" w:space="0"/>
            </w:tcBorders>
            <w:noWrap w:val="0"/>
            <w:vAlign w:val="center"/>
          </w:tcPr>
          <w:p w14:paraId="7F2A1A6C">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510</w:t>
            </w:r>
          </w:p>
        </w:tc>
        <w:tc>
          <w:tcPr>
            <w:tcW w:w="851" w:type="dxa"/>
            <w:tcBorders>
              <w:top w:val="single" w:color="auto" w:sz="4" w:space="0"/>
              <w:left w:val="single" w:color="auto" w:sz="4" w:space="0"/>
              <w:bottom w:val="single" w:color="auto" w:sz="4" w:space="0"/>
              <w:right w:val="single" w:color="auto" w:sz="4" w:space="0"/>
            </w:tcBorders>
            <w:noWrap w:val="0"/>
            <w:vAlign w:val="center"/>
          </w:tcPr>
          <w:p w14:paraId="44D9502F">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510</w:t>
            </w:r>
          </w:p>
        </w:tc>
        <w:tc>
          <w:tcPr>
            <w:tcW w:w="852" w:type="dxa"/>
            <w:tcBorders>
              <w:top w:val="single" w:color="auto" w:sz="4" w:space="0"/>
              <w:left w:val="single" w:color="auto" w:sz="4" w:space="0"/>
              <w:bottom w:val="single" w:color="auto" w:sz="4" w:space="0"/>
              <w:right w:val="single" w:color="auto" w:sz="4" w:space="0"/>
            </w:tcBorders>
            <w:noWrap w:val="0"/>
            <w:vAlign w:val="center"/>
          </w:tcPr>
          <w:p w14:paraId="2979C3EC">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510</w:t>
            </w:r>
          </w:p>
        </w:tc>
        <w:tc>
          <w:tcPr>
            <w:tcW w:w="554" w:type="dxa"/>
            <w:tcBorders>
              <w:top w:val="single" w:color="auto" w:sz="4" w:space="0"/>
              <w:left w:val="single" w:color="auto" w:sz="4" w:space="0"/>
              <w:bottom w:val="single" w:color="auto" w:sz="4" w:space="0"/>
              <w:right w:val="single" w:color="auto" w:sz="4" w:space="0"/>
            </w:tcBorders>
            <w:noWrap w:val="0"/>
            <w:vAlign w:val="center"/>
          </w:tcPr>
          <w:p w14:paraId="2EF45A24">
            <w:pPr>
              <w:jc w:val="center"/>
              <w:rPr>
                <w:rFonts w:hint="eastAsia" w:ascii="宋体" w:hAnsi="宋体" w:eastAsia="宋体" w:cs="宋体"/>
                <w:i w:val="0"/>
                <w:iCs w:val="0"/>
                <w:color w:val="auto"/>
                <w:sz w:val="18"/>
                <w:szCs w:val="18"/>
                <w:highlight w:val="none"/>
                <w:u w:val="none"/>
              </w:rPr>
            </w:pPr>
          </w:p>
        </w:tc>
      </w:tr>
      <w:tr w14:paraId="71E441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0" w:hRule="atLeast"/>
        </w:trPr>
        <w:tc>
          <w:tcPr>
            <w:tcW w:w="584" w:type="dxa"/>
            <w:tcBorders>
              <w:top w:val="single" w:color="auto" w:sz="4" w:space="0"/>
              <w:left w:val="single" w:color="auto" w:sz="4" w:space="0"/>
              <w:bottom w:val="single" w:color="auto" w:sz="4" w:space="0"/>
              <w:right w:val="single" w:color="auto" w:sz="4" w:space="0"/>
            </w:tcBorders>
            <w:noWrap w:val="0"/>
            <w:vAlign w:val="center"/>
          </w:tcPr>
          <w:p w14:paraId="5978263D">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39</w:t>
            </w:r>
          </w:p>
        </w:tc>
        <w:tc>
          <w:tcPr>
            <w:tcW w:w="690" w:type="dxa"/>
            <w:vMerge w:val="continue"/>
            <w:tcBorders>
              <w:top w:val="single" w:color="auto" w:sz="4" w:space="0"/>
              <w:left w:val="single" w:color="auto" w:sz="4" w:space="0"/>
              <w:bottom w:val="single" w:color="auto" w:sz="4" w:space="0"/>
              <w:right w:val="single" w:color="auto" w:sz="4" w:space="0"/>
            </w:tcBorders>
            <w:noWrap w:val="0"/>
            <w:vAlign w:val="center"/>
          </w:tcPr>
          <w:p w14:paraId="54CC2A63">
            <w:pPr>
              <w:jc w:val="center"/>
              <w:rPr>
                <w:rFonts w:hint="eastAsia" w:ascii="宋体" w:hAnsi="宋体" w:eastAsia="宋体" w:cs="宋体"/>
                <w:i w:val="0"/>
                <w:iCs w:val="0"/>
                <w:color w:val="auto"/>
                <w:sz w:val="18"/>
                <w:szCs w:val="18"/>
                <w:highlight w:val="none"/>
                <w:u w:val="none"/>
              </w:rPr>
            </w:pPr>
          </w:p>
        </w:tc>
        <w:tc>
          <w:tcPr>
            <w:tcW w:w="864" w:type="dxa"/>
            <w:vMerge w:val="continue"/>
            <w:tcBorders>
              <w:top w:val="single" w:color="auto" w:sz="4" w:space="0"/>
              <w:left w:val="single" w:color="auto" w:sz="4" w:space="0"/>
              <w:bottom w:val="single" w:color="auto" w:sz="4" w:space="0"/>
              <w:right w:val="single" w:color="auto" w:sz="4" w:space="0"/>
            </w:tcBorders>
            <w:noWrap w:val="0"/>
            <w:vAlign w:val="center"/>
          </w:tcPr>
          <w:p w14:paraId="76051B60">
            <w:pPr>
              <w:jc w:val="center"/>
              <w:rPr>
                <w:rFonts w:hint="eastAsia" w:ascii="宋体" w:hAnsi="宋体" w:eastAsia="宋体" w:cs="宋体"/>
                <w:i w:val="0"/>
                <w:iCs w:val="0"/>
                <w:color w:val="auto"/>
                <w:sz w:val="18"/>
                <w:szCs w:val="18"/>
                <w:highlight w:val="none"/>
                <w:u w:val="none"/>
              </w:rPr>
            </w:pPr>
          </w:p>
        </w:tc>
        <w:tc>
          <w:tcPr>
            <w:tcW w:w="1854" w:type="dxa"/>
            <w:gridSpan w:val="2"/>
            <w:tcBorders>
              <w:top w:val="single" w:color="auto" w:sz="4" w:space="0"/>
              <w:left w:val="single" w:color="auto" w:sz="4" w:space="0"/>
              <w:bottom w:val="single" w:color="auto" w:sz="4" w:space="0"/>
              <w:right w:val="single" w:color="auto" w:sz="4" w:space="0"/>
            </w:tcBorders>
            <w:noWrap w:val="0"/>
            <w:vAlign w:val="center"/>
          </w:tcPr>
          <w:p w14:paraId="64ECD467">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回弹强度</w:t>
            </w:r>
          </w:p>
        </w:tc>
        <w:tc>
          <w:tcPr>
            <w:tcW w:w="553" w:type="dxa"/>
            <w:tcBorders>
              <w:top w:val="single" w:color="auto" w:sz="4" w:space="0"/>
              <w:left w:val="single" w:color="auto" w:sz="4" w:space="0"/>
              <w:bottom w:val="single" w:color="auto" w:sz="4" w:space="0"/>
              <w:right w:val="single" w:color="auto" w:sz="4" w:space="0"/>
            </w:tcBorders>
            <w:noWrap w:val="0"/>
            <w:vAlign w:val="center"/>
          </w:tcPr>
          <w:p w14:paraId="42A48D2E">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测区</w:t>
            </w:r>
          </w:p>
        </w:tc>
        <w:tc>
          <w:tcPr>
            <w:tcW w:w="851" w:type="dxa"/>
            <w:tcBorders>
              <w:top w:val="single" w:color="auto" w:sz="4" w:space="0"/>
              <w:left w:val="single" w:color="auto" w:sz="4" w:space="0"/>
              <w:bottom w:val="single" w:color="auto" w:sz="4" w:space="0"/>
              <w:right w:val="single" w:color="auto" w:sz="4" w:space="0"/>
            </w:tcBorders>
            <w:noWrap w:val="0"/>
            <w:vAlign w:val="center"/>
          </w:tcPr>
          <w:p w14:paraId="54EB7AEC">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975</w:t>
            </w:r>
          </w:p>
        </w:tc>
        <w:tc>
          <w:tcPr>
            <w:tcW w:w="851" w:type="dxa"/>
            <w:tcBorders>
              <w:top w:val="single" w:color="auto" w:sz="4" w:space="0"/>
              <w:left w:val="single" w:color="auto" w:sz="4" w:space="0"/>
              <w:bottom w:val="single" w:color="auto" w:sz="4" w:space="0"/>
              <w:right w:val="single" w:color="auto" w:sz="4" w:space="0"/>
            </w:tcBorders>
            <w:noWrap w:val="0"/>
            <w:vAlign w:val="center"/>
          </w:tcPr>
          <w:p w14:paraId="5F499B80">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975</w:t>
            </w:r>
          </w:p>
        </w:tc>
        <w:tc>
          <w:tcPr>
            <w:tcW w:w="851" w:type="dxa"/>
            <w:tcBorders>
              <w:top w:val="single" w:color="auto" w:sz="4" w:space="0"/>
              <w:left w:val="single" w:color="auto" w:sz="4" w:space="0"/>
              <w:bottom w:val="single" w:color="auto" w:sz="4" w:space="0"/>
              <w:right w:val="single" w:color="auto" w:sz="4" w:space="0"/>
            </w:tcBorders>
            <w:noWrap w:val="0"/>
            <w:vAlign w:val="center"/>
          </w:tcPr>
          <w:p w14:paraId="0F2CB371">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975</w:t>
            </w:r>
          </w:p>
        </w:tc>
        <w:tc>
          <w:tcPr>
            <w:tcW w:w="852" w:type="dxa"/>
            <w:tcBorders>
              <w:top w:val="single" w:color="auto" w:sz="4" w:space="0"/>
              <w:left w:val="single" w:color="auto" w:sz="4" w:space="0"/>
              <w:bottom w:val="single" w:color="auto" w:sz="4" w:space="0"/>
              <w:right w:val="single" w:color="auto" w:sz="4" w:space="0"/>
            </w:tcBorders>
            <w:noWrap w:val="0"/>
            <w:vAlign w:val="center"/>
          </w:tcPr>
          <w:p w14:paraId="7A6092D5">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975</w:t>
            </w:r>
          </w:p>
        </w:tc>
        <w:tc>
          <w:tcPr>
            <w:tcW w:w="554" w:type="dxa"/>
            <w:tcBorders>
              <w:top w:val="single" w:color="auto" w:sz="4" w:space="0"/>
              <w:left w:val="single" w:color="auto" w:sz="4" w:space="0"/>
              <w:bottom w:val="single" w:color="auto" w:sz="4" w:space="0"/>
              <w:right w:val="single" w:color="auto" w:sz="4" w:space="0"/>
            </w:tcBorders>
            <w:noWrap w:val="0"/>
            <w:vAlign w:val="center"/>
          </w:tcPr>
          <w:p w14:paraId="3717E581">
            <w:pPr>
              <w:jc w:val="center"/>
              <w:rPr>
                <w:rFonts w:hint="eastAsia" w:ascii="宋体" w:hAnsi="宋体" w:eastAsia="宋体" w:cs="宋体"/>
                <w:i w:val="0"/>
                <w:iCs w:val="0"/>
                <w:color w:val="auto"/>
                <w:sz w:val="18"/>
                <w:szCs w:val="18"/>
                <w:highlight w:val="none"/>
                <w:u w:val="none"/>
              </w:rPr>
            </w:pPr>
          </w:p>
        </w:tc>
      </w:tr>
      <w:tr w14:paraId="3A5AE6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0" w:hRule="atLeast"/>
        </w:trPr>
        <w:tc>
          <w:tcPr>
            <w:tcW w:w="584" w:type="dxa"/>
            <w:tcBorders>
              <w:top w:val="single" w:color="auto" w:sz="4" w:space="0"/>
              <w:left w:val="single" w:color="auto" w:sz="4" w:space="0"/>
              <w:bottom w:val="single" w:color="auto" w:sz="4" w:space="0"/>
              <w:right w:val="single" w:color="auto" w:sz="4" w:space="0"/>
            </w:tcBorders>
            <w:noWrap w:val="0"/>
            <w:vAlign w:val="center"/>
          </w:tcPr>
          <w:p w14:paraId="4597DDFE">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40</w:t>
            </w:r>
          </w:p>
        </w:tc>
        <w:tc>
          <w:tcPr>
            <w:tcW w:w="690" w:type="dxa"/>
            <w:vMerge w:val="continue"/>
            <w:tcBorders>
              <w:top w:val="single" w:color="auto" w:sz="4" w:space="0"/>
              <w:left w:val="single" w:color="auto" w:sz="4" w:space="0"/>
              <w:bottom w:val="single" w:color="auto" w:sz="4" w:space="0"/>
              <w:right w:val="single" w:color="auto" w:sz="4" w:space="0"/>
            </w:tcBorders>
            <w:noWrap w:val="0"/>
            <w:vAlign w:val="center"/>
          </w:tcPr>
          <w:p w14:paraId="4C59B2E4">
            <w:pPr>
              <w:jc w:val="center"/>
              <w:rPr>
                <w:rFonts w:hint="eastAsia" w:ascii="宋体" w:hAnsi="宋体" w:eastAsia="宋体" w:cs="宋体"/>
                <w:i w:val="0"/>
                <w:iCs w:val="0"/>
                <w:color w:val="auto"/>
                <w:sz w:val="18"/>
                <w:szCs w:val="18"/>
                <w:highlight w:val="none"/>
                <w:u w:val="none"/>
              </w:rPr>
            </w:pPr>
          </w:p>
        </w:tc>
        <w:tc>
          <w:tcPr>
            <w:tcW w:w="864" w:type="dxa"/>
            <w:vMerge w:val="restart"/>
            <w:tcBorders>
              <w:top w:val="single" w:color="auto" w:sz="4" w:space="0"/>
              <w:left w:val="single" w:color="auto" w:sz="4" w:space="0"/>
              <w:bottom w:val="single" w:color="auto" w:sz="4" w:space="0"/>
              <w:right w:val="single" w:color="auto" w:sz="4" w:space="0"/>
            </w:tcBorders>
            <w:noWrap w:val="0"/>
            <w:vAlign w:val="center"/>
          </w:tcPr>
          <w:p w14:paraId="19891E94">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仰拱</w:t>
            </w:r>
          </w:p>
        </w:tc>
        <w:tc>
          <w:tcPr>
            <w:tcW w:w="828" w:type="dxa"/>
            <w:tcBorders>
              <w:top w:val="single" w:color="auto" w:sz="4" w:space="0"/>
              <w:left w:val="single" w:color="auto" w:sz="4" w:space="0"/>
              <w:bottom w:val="single" w:color="auto" w:sz="4" w:space="0"/>
              <w:right w:val="single" w:color="auto" w:sz="4" w:space="0"/>
            </w:tcBorders>
            <w:noWrap w:val="0"/>
            <w:vAlign w:val="center"/>
          </w:tcPr>
          <w:p w14:paraId="65D710E2">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仰拱厚度</w:t>
            </w:r>
          </w:p>
        </w:tc>
        <w:tc>
          <w:tcPr>
            <w:tcW w:w="1026" w:type="dxa"/>
            <w:tcBorders>
              <w:top w:val="single" w:color="auto" w:sz="4" w:space="0"/>
              <w:left w:val="single" w:color="auto" w:sz="4" w:space="0"/>
              <w:bottom w:val="single" w:color="auto" w:sz="4" w:space="0"/>
              <w:right w:val="single" w:color="auto" w:sz="4" w:space="0"/>
            </w:tcBorders>
            <w:noWrap w:val="0"/>
            <w:vAlign w:val="center"/>
          </w:tcPr>
          <w:p w14:paraId="1DB57951">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钻孔测量</w:t>
            </w:r>
          </w:p>
        </w:tc>
        <w:tc>
          <w:tcPr>
            <w:tcW w:w="553" w:type="dxa"/>
            <w:tcBorders>
              <w:top w:val="single" w:color="auto" w:sz="4" w:space="0"/>
              <w:left w:val="single" w:color="auto" w:sz="4" w:space="0"/>
              <w:bottom w:val="single" w:color="auto" w:sz="4" w:space="0"/>
              <w:right w:val="single" w:color="auto" w:sz="4" w:space="0"/>
            </w:tcBorders>
            <w:noWrap w:val="0"/>
            <w:vAlign w:val="center"/>
          </w:tcPr>
          <w:p w14:paraId="08E72805">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孔</w:t>
            </w:r>
          </w:p>
        </w:tc>
        <w:tc>
          <w:tcPr>
            <w:tcW w:w="851" w:type="dxa"/>
            <w:tcBorders>
              <w:top w:val="single" w:color="auto" w:sz="4" w:space="0"/>
              <w:left w:val="single" w:color="auto" w:sz="4" w:space="0"/>
              <w:bottom w:val="single" w:color="auto" w:sz="4" w:space="0"/>
              <w:right w:val="single" w:color="auto" w:sz="4" w:space="0"/>
            </w:tcBorders>
            <w:noWrap w:val="0"/>
            <w:vAlign w:val="center"/>
          </w:tcPr>
          <w:p w14:paraId="7D464F55">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68</w:t>
            </w:r>
          </w:p>
        </w:tc>
        <w:tc>
          <w:tcPr>
            <w:tcW w:w="851" w:type="dxa"/>
            <w:tcBorders>
              <w:top w:val="single" w:color="auto" w:sz="4" w:space="0"/>
              <w:left w:val="single" w:color="auto" w:sz="4" w:space="0"/>
              <w:bottom w:val="single" w:color="auto" w:sz="4" w:space="0"/>
              <w:right w:val="single" w:color="auto" w:sz="4" w:space="0"/>
            </w:tcBorders>
            <w:noWrap w:val="0"/>
            <w:vAlign w:val="center"/>
          </w:tcPr>
          <w:p w14:paraId="4E9084A6">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68</w:t>
            </w:r>
          </w:p>
        </w:tc>
        <w:tc>
          <w:tcPr>
            <w:tcW w:w="851" w:type="dxa"/>
            <w:tcBorders>
              <w:top w:val="single" w:color="auto" w:sz="4" w:space="0"/>
              <w:left w:val="single" w:color="auto" w:sz="4" w:space="0"/>
              <w:bottom w:val="single" w:color="auto" w:sz="4" w:space="0"/>
              <w:right w:val="single" w:color="auto" w:sz="4" w:space="0"/>
            </w:tcBorders>
            <w:noWrap w:val="0"/>
            <w:vAlign w:val="center"/>
          </w:tcPr>
          <w:p w14:paraId="7D79F21A">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68</w:t>
            </w:r>
          </w:p>
        </w:tc>
        <w:tc>
          <w:tcPr>
            <w:tcW w:w="852" w:type="dxa"/>
            <w:tcBorders>
              <w:top w:val="single" w:color="auto" w:sz="4" w:space="0"/>
              <w:left w:val="single" w:color="auto" w:sz="4" w:space="0"/>
              <w:bottom w:val="single" w:color="auto" w:sz="4" w:space="0"/>
              <w:right w:val="single" w:color="auto" w:sz="4" w:space="0"/>
            </w:tcBorders>
            <w:noWrap w:val="0"/>
            <w:vAlign w:val="center"/>
          </w:tcPr>
          <w:p w14:paraId="5CA9AB67">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68</w:t>
            </w:r>
          </w:p>
        </w:tc>
        <w:tc>
          <w:tcPr>
            <w:tcW w:w="554" w:type="dxa"/>
            <w:tcBorders>
              <w:top w:val="single" w:color="auto" w:sz="4" w:space="0"/>
              <w:left w:val="single" w:color="auto" w:sz="4" w:space="0"/>
              <w:bottom w:val="single" w:color="auto" w:sz="4" w:space="0"/>
              <w:right w:val="single" w:color="auto" w:sz="4" w:space="0"/>
            </w:tcBorders>
            <w:noWrap w:val="0"/>
            <w:vAlign w:val="center"/>
          </w:tcPr>
          <w:p w14:paraId="7F1CB2A9">
            <w:pPr>
              <w:jc w:val="center"/>
              <w:rPr>
                <w:rFonts w:hint="eastAsia" w:ascii="宋体" w:hAnsi="宋体" w:eastAsia="宋体" w:cs="宋体"/>
                <w:i w:val="0"/>
                <w:iCs w:val="0"/>
                <w:color w:val="auto"/>
                <w:sz w:val="18"/>
                <w:szCs w:val="18"/>
                <w:highlight w:val="none"/>
                <w:u w:val="none"/>
              </w:rPr>
            </w:pPr>
          </w:p>
        </w:tc>
      </w:tr>
      <w:tr w14:paraId="1C702C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0" w:hRule="atLeast"/>
        </w:trPr>
        <w:tc>
          <w:tcPr>
            <w:tcW w:w="584" w:type="dxa"/>
            <w:tcBorders>
              <w:top w:val="single" w:color="auto" w:sz="4" w:space="0"/>
              <w:left w:val="single" w:color="auto" w:sz="4" w:space="0"/>
              <w:bottom w:val="single" w:color="auto" w:sz="4" w:space="0"/>
              <w:right w:val="single" w:color="auto" w:sz="4" w:space="0"/>
            </w:tcBorders>
            <w:noWrap w:val="0"/>
            <w:vAlign w:val="center"/>
          </w:tcPr>
          <w:p w14:paraId="72305C98">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41</w:t>
            </w:r>
          </w:p>
        </w:tc>
        <w:tc>
          <w:tcPr>
            <w:tcW w:w="690" w:type="dxa"/>
            <w:vMerge w:val="continue"/>
            <w:tcBorders>
              <w:top w:val="single" w:color="auto" w:sz="4" w:space="0"/>
              <w:left w:val="single" w:color="auto" w:sz="4" w:space="0"/>
              <w:bottom w:val="single" w:color="auto" w:sz="4" w:space="0"/>
              <w:right w:val="single" w:color="auto" w:sz="4" w:space="0"/>
            </w:tcBorders>
            <w:noWrap w:val="0"/>
            <w:vAlign w:val="center"/>
          </w:tcPr>
          <w:p w14:paraId="78B07250">
            <w:pPr>
              <w:jc w:val="center"/>
              <w:rPr>
                <w:rFonts w:hint="eastAsia" w:ascii="宋体" w:hAnsi="宋体" w:eastAsia="宋体" w:cs="宋体"/>
                <w:i w:val="0"/>
                <w:iCs w:val="0"/>
                <w:color w:val="auto"/>
                <w:sz w:val="18"/>
                <w:szCs w:val="18"/>
                <w:highlight w:val="none"/>
                <w:u w:val="none"/>
              </w:rPr>
            </w:pPr>
          </w:p>
        </w:tc>
        <w:tc>
          <w:tcPr>
            <w:tcW w:w="864" w:type="dxa"/>
            <w:vMerge w:val="continue"/>
            <w:tcBorders>
              <w:top w:val="single" w:color="auto" w:sz="4" w:space="0"/>
              <w:left w:val="single" w:color="auto" w:sz="4" w:space="0"/>
              <w:bottom w:val="single" w:color="auto" w:sz="4" w:space="0"/>
              <w:right w:val="single" w:color="auto" w:sz="4" w:space="0"/>
            </w:tcBorders>
            <w:noWrap w:val="0"/>
            <w:vAlign w:val="center"/>
          </w:tcPr>
          <w:p w14:paraId="2CBE4595">
            <w:pPr>
              <w:jc w:val="center"/>
              <w:rPr>
                <w:rFonts w:hint="eastAsia" w:ascii="宋体" w:hAnsi="宋体" w:eastAsia="宋体" w:cs="宋体"/>
                <w:i w:val="0"/>
                <w:iCs w:val="0"/>
                <w:color w:val="auto"/>
                <w:sz w:val="18"/>
                <w:szCs w:val="18"/>
                <w:highlight w:val="none"/>
                <w:u w:val="none"/>
              </w:rPr>
            </w:pPr>
          </w:p>
        </w:tc>
        <w:tc>
          <w:tcPr>
            <w:tcW w:w="828" w:type="dxa"/>
            <w:tcBorders>
              <w:top w:val="single" w:color="auto" w:sz="4" w:space="0"/>
              <w:left w:val="single" w:color="auto" w:sz="4" w:space="0"/>
              <w:bottom w:val="single" w:color="auto" w:sz="4" w:space="0"/>
              <w:right w:val="single" w:color="auto" w:sz="4" w:space="0"/>
            </w:tcBorders>
            <w:noWrap w:val="0"/>
            <w:vAlign w:val="center"/>
          </w:tcPr>
          <w:p w14:paraId="265B7E65">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填充层密实度</w:t>
            </w:r>
          </w:p>
        </w:tc>
        <w:tc>
          <w:tcPr>
            <w:tcW w:w="1026" w:type="dxa"/>
            <w:tcBorders>
              <w:top w:val="single" w:color="auto" w:sz="4" w:space="0"/>
              <w:left w:val="single" w:color="auto" w:sz="4" w:space="0"/>
              <w:bottom w:val="single" w:color="auto" w:sz="4" w:space="0"/>
              <w:right w:val="single" w:color="auto" w:sz="4" w:space="0"/>
            </w:tcBorders>
            <w:noWrap w:val="0"/>
            <w:vAlign w:val="center"/>
          </w:tcPr>
          <w:p w14:paraId="66D069ED">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地质雷达法</w:t>
            </w:r>
          </w:p>
        </w:tc>
        <w:tc>
          <w:tcPr>
            <w:tcW w:w="553" w:type="dxa"/>
            <w:tcBorders>
              <w:top w:val="single" w:color="auto" w:sz="4" w:space="0"/>
              <w:left w:val="single" w:color="auto" w:sz="4" w:space="0"/>
              <w:bottom w:val="single" w:color="auto" w:sz="4" w:space="0"/>
              <w:right w:val="single" w:color="auto" w:sz="4" w:space="0"/>
            </w:tcBorders>
            <w:noWrap w:val="0"/>
            <w:vAlign w:val="center"/>
          </w:tcPr>
          <w:p w14:paraId="37A1CFB5">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延米测线</w:t>
            </w:r>
          </w:p>
        </w:tc>
        <w:tc>
          <w:tcPr>
            <w:tcW w:w="851" w:type="dxa"/>
            <w:tcBorders>
              <w:top w:val="single" w:color="auto" w:sz="4" w:space="0"/>
              <w:left w:val="single" w:color="auto" w:sz="4" w:space="0"/>
              <w:bottom w:val="single" w:color="auto" w:sz="4" w:space="0"/>
              <w:right w:val="single" w:color="auto" w:sz="4" w:space="0"/>
            </w:tcBorders>
            <w:noWrap w:val="0"/>
            <w:vAlign w:val="center"/>
          </w:tcPr>
          <w:p w14:paraId="1E2FA041">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5475</w:t>
            </w:r>
          </w:p>
        </w:tc>
        <w:tc>
          <w:tcPr>
            <w:tcW w:w="851" w:type="dxa"/>
            <w:tcBorders>
              <w:top w:val="single" w:color="auto" w:sz="4" w:space="0"/>
              <w:left w:val="single" w:color="auto" w:sz="4" w:space="0"/>
              <w:bottom w:val="single" w:color="auto" w:sz="4" w:space="0"/>
              <w:right w:val="single" w:color="auto" w:sz="4" w:space="0"/>
            </w:tcBorders>
            <w:noWrap w:val="0"/>
            <w:vAlign w:val="center"/>
          </w:tcPr>
          <w:p w14:paraId="510E6AC3">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5475</w:t>
            </w:r>
          </w:p>
        </w:tc>
        <w:tc>
          <w:tcPr>
            <w:tcW w:w="851" w:type="dxa"/>
            <w:tcBorders>
              <w:top w:val="single" w:color="auto" w:sz="4" w:space="0"/>
              <w:left w:val="single" w:color="auto" w:sz="4" w:space="0"/>
              <w:bottom w:val="single" w:color="auto" w:sz="4" w:space="0"/>
              <w:right w:val="single" w:color="auto" w:sz="4" w:space="0"/>
            </w:tcBorders>
            <w:noWrap w:val="0"/>
            <w:vAlign w:val="center"/>
          </w:tcPr>
          <w:p w14:paraId="7F3D54C7">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5475</w:t>
            </w:r>
          </w:p>
        </w:tc>
        <w:tc>
          <w:tcPr>
            <w:tcW w:w="852" w:type="dxa"/>
            <w:tcBorders>
              <w:top w:val="single" w:color="auto" w:sz="4" w:space="0"/>
              <w:left w:val="single" w:color="auto" w:sz="4" w:space="0"/>
              <w:bottom w:val="single" w:color="auto" w:sz="4" w:space="0"/>
              <w:right w:val="single" w:color="auto" w:sz="4" w:space="0"/>
            </w:tcBorders>
            <w:noWrap w:val="0"/>
            <w:vAlign w:val="center"/>
          </w:tcPr>
          <w:p w14:paraId="37778631">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5475</w:t>
            </w:r>
          </w:p>
        </w:tc>
        <w:tc>
          <w:tcPr>
            <w:tcW w:w="554" w:type="dxa"/>
            <w:tcBorders>
              <w:top w:val="single" w:color="auto" w:sz="4" w:space="0"/>
              <w:left w:val="single" w:color="auto" w:sz="4" w:space="0"/>
              <w:bottom w:val="single" w:color="auto" w:sz="4" w:space="0"/>
              <w:right w:val="single" w:color="auto" w:sz="4" w:space="0"/>
            </w:tcBorders>
            <w:noWrap w:val="0"/>
            <w:vAlign w:val="center"/>
          </w:tcPr>
          <w:p w14:paraId="4528F7B6">
            <w:pPr>
              <w:jc w:val="center"/>
              <w:rPr>
                <w:rFonts w:hint="eastAsia" w:ascii="宋体" w:hAnsi="宋体" w:eastAsia="宋体" w:cs="宋体"/>
                <w:i w:val="0"/>
                <w:iCs w:val="0"/>
                <w:color w:val="auto"/>
                <w:sz w:val="18"/>
                <w:szCs w:val="18"/>
                <w:highlight w:val="none"/>
                <w:u w:val="none"/>
              </w:rPr>
            </w:pPr>
          </w:p>
        </w:tc>
      </w:tr>
      <w:tr w14:paraId="2EF365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0" w:hRule="atLeast"/>
        </w:trPr>
        <w:tc>
          <w:tcPr>
            <w:tcW w:w="584" w:type="dxa"/>
            <w:tcBorders>
              <w:top w:val="single" w:color="auto" w:sz="4" w:space="0"/>
              <w:left w:val="single" w:color="auto" w:sz="4" w:space="0"/>
              <w:bottom w:val="single" w:color="auto" w:sz="4" w:space="0"/>
              <w:right w:val="single" w:color="auto" w:sz="4" w:space="0"/>
            </w:tcBorders>
            <w:noWrap w:val="0"/>
            <w:vAlign w:val="center"/>
          </w:tcPr>
          <w:p w14:paraId="6EF7E077">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42</w:t>
            </w:r>
          </w:p>
        </w:tc>
        <w:tc>
          <w:tcPr>
            <w:tcW w:w="690" w:type="dxa"/>
            <w:vMerge w:val="continue"/>
            <w:tcBorders>
              <w:top w:val="single" w:color="auto" w:sz="4" w:space="0"/>
              <w:left w:val="single" w:color="auto" w:sz="4" w:space="0"/>
              <w:bottom w:val="single" w:color="auto" w:sz="4" w:space="0"/>
              <w:right w:val="single" w:color="auto" w:sz="4" w:space="0"/>
            </w:tcBorders>
            <w:noWrap w:val="0"/>
            <w:vAlign w:val="center"/>
          </w:tcPr>
          <w:p w14:paraId="2F8FC2D6">
            <w:pPr>
              <w:jc w:val="center"/>
              <w:rPr>
                <w:rFonts w:hint="eastAsia" w:ascii="宋体" w:hAnsi="宋体" w:eastAsia="宋体" w:cs="宋体"/>
                <w:i w:val="0"/>
                <w:iCs w:val="0"/>
                <w:color w:val="auto"/>
                <w:sz w:val="18"/>
                <w:szCs w:val="18"/>
                <w:highlight w:val="none"/>
                <w:u w:val="none"/>
              </w:rPr>
            </w:pPr>
          </w:p>
        </w:tc>
        <w:tc>
          <w:tcPr>
            <w:tcW w:w="864" w:type="dxa"/>
            <w:vMerge w:val="restart"/>
            <w:tcBorders>
              <w:top w:val="single" w:color="auto" w:sz="4" w:space="0"/>
              <w:left w:val="single" w:color="auto" w:sz="4" w:space="0"/>
              <w:bottom w:val="single" w:color="auto" w:sz="4" w:space="0"/>
              <w:right w:val="single" w:color="auto" w:sz="4" w:space="0"/>
            </w:tcBorders>
            <w:noWrap w:val="0"/>
            <w:vAlign w:val="center"/>
          </w:tcPr>
          <w:p w14:paraId="06FFE43E">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路面</w:t>
            </w:r>
          </w:p>
        </w:tc>
        <w:tc>
          <w:tcPr>
            <w:tcW w:w="828" w:type="dxa"/>
            <w:tcBorders>
              <w:top w:val="single" w:color="auto" w:sz="4" w:space="0"/>
              <w:left w:val="single" w:color="auto" w:sz="4" w:space="0"/>
              <w:bottom w:val="single" w:color="auto" w:sz="4" w:space="0"/>
              <w:right w:val="single" w:color="auto" w:sz="4" w:space="0"/>
            </w:tcBorders>
            <w:noWrap w:val="0"/>
            <w:vAlign w:val="center"/>
          </w:tcPr>
          <w:p w14:paraId="1F25B94D">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沥青路面总厚度</w:t>
            </w:r>
          </w:p>
        </w:tc>
        <w:tc>
          <w:tcPr>
            <w:tcW w:w="1026" w:type="dxa"/>
            <w:tcBorders>
              <w:top w:val="single" w:color="auto" w:sz="4" w:space="0"/>
              <w:left w:val="single" w:color="auto" w:sz="4" w:space="0"/>
              <w:bottom w:val="single" w:color="auto" w:sz="4" w:space="0"/>
              <w:right w:val="single" w:color="auto" w:sz="4" w:space="0"/>
            </w:tcBorders>
            <w:noWrap w:val="0"/>
            <w:vAlign w:val="center"/>
          </w:tcPr>
          <w:p w14:paraId="79B837AA">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取芯</w:t>
            </w:r>
          </w:p>
        </w:tc>
        <w:tc>
          <w:tcPr>
            <w:tcW w:w="553" w:type="dxa"/>
            <w:tcBorders>
              <w:top w:val="single" w:color="auto" w:sz="4" w:space="0"/>
              <w:left w:val="single" w:color="auto" w:sz="4" w:space="0"/>
              <w:bottom w:val="single" w:color="auto" w:sz="4" w:space="0"/>
              <w:right w:val="single" w:color="auto" w:sz="4" w:space="0"/>
            </w:tcBorders>
            <w:noWrap w:val="0"/>
            <w:vAlign w:val="center"/>
          </w:tcPr>
          <w:p w14:paraId="1279559D">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点</w:t>
            </w:r>
          </w:p>
        </w:tc>
        <w:tc>
          <w:tcPr>
            <w:tcW w:w="851" w:type="dxa"/>
            <w:tcBorders>
              <w:top w:val="single" w:color="auto" w:sz="4" w:space="0"/>
              <w:left w:val="single" w:color="auto" w:sz="4" w:space="0"/>
              <w:bottom w:val="single" w:color="auto" w:sz="4" w:space="0"/>
              <w:right w:val="single" w:color="auto" w:sz="4" w:space="0"/>
            </w:tcBorders>
            <w:noWrap w:val="0"/>
            <w:vAlign w:val="center"/>
          </w:tcPr>
          <w:p w14:paraId="2C04F4D9">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67</w:t>
            </w:r>
          </w:p>
        </w:tc>
        <w:tc>
          <w:tcPr>
            <w:tcW w:w="851" w:type="dxa"/>
            <w:tcBorders>
              <w:top w:val="single" w:color="auto" w:sz="4" w:space="0"/>
              <w:left w:val="single" w:color="auto" w:sz="4" w:space="0"/>
              <w:bottom w:val="single" w:color="auto" w:sz="4" w:space="0"/>
              <w:right w:val="single" w:color="auto" w:sz="4" w:space="0"/>
            </w:tcBorders>
            <w:noWrap w:val="0"/>
            <w:vAlign w:val="center"/>
          </w:tcPr>
          <w:p w14:paraId="49CDADC0">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67</w:t>
            </w:r>
          </w:p>
        </w:tc>
        <w:tc>
          <w:tcPr>
            <w:tcW w:w="851" w:type="dxa"/>
            <w:tcBorders>
              <w:top w:val="single" w:color="auto" w:sz="4" w:space="0"/>
              <w:left w:val="single" w:color="auto" w:sz="4" w:space="0"/>
              <w:bottom w:val="single" w:color="auto" w:sz="4" w:space="0"/>
              <w:right w:val="single" w:color="auto" w:sz="4" w:space="0"/>
            </w:tcBorders>
            <w:noWrap w:val="0"/>
            <w:vAlign w:val="center"/>
          </w:tcPr>
          <w:p w14:paraId="40F0CF92">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67</w:t>
            </w:r>
          </w:p>
        </w:tc>
        <w:tc>
          <w:tcPr>
            <w:tcW w:w="852" w:type="dxa"/>
            <w:tcBorders>
              <w:top w:val="single" w:color="auto" w:sz="4" w:space="0"/>
              <w:left w:val="single" w:color="auto" w:sz="4" w:space="0"/>
              <w:bottom w:val="single" w:color="auto" w:sz="4" w:space="0"/>
              <w:right w:val="single" w:color="auto" w:sz="4" w:space="0"/>
            </w:tcBorders>
            <w:noWrap w:val="0"/>
            <w:vAlign w:val="center"/>
          </w:tcPr>
          <w:p w14:paraId="004BF090">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67</w:t>
            </w:r>
          </w:p>
        </w:tc>
        <w:tc>
          <w:tcPr>
            <w:tcW w:w="554" w:type="dxa"/>
            <w:tcBorders>
              <w:top w:val="single" w:color="auto" w:sz="4" w:space="0"/>
              <w:left w:val="single" w:color="auto" w:sz="4" w:space="0"/>
              <w:bottom w:val="single" w:color="auto" w:sz="4" w:space="0"/>
              <w:right w:val="single" w:color="auto" w:sz="4" w:space="0"/>
            </w:tcBorders>
            <w:noWrap w:val="0"/>
            <w:vAlign w:val="center"/>
          </w:tcPr>
          <w:p w14:paraId="42BCDB5D">
            <w:pPr>
              <w:jc w:val="center"/>
              <w:rPr>
                <w:rFonts w:hint="eastAsia" w:ascii="宋体" w:hAnsi="宋体" w:eastAsia="宋体" w:cs="宋体"/>
                <w:i w:val="0"/>
                <w:iCs w:val="0"/>
                <w:color w:val="auto"/>
                <w:sz w:val="18"/>
                <w:szCs w:val="18"/>
                <w:highlight w:val="none"/>
                <w:u w:val="none"/>
              </w:rPr>
            </w:pPr>
          </w:p>
        </w:tc>
      </w:tr>
      <w:tr w14:paraId="4F2448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0" w:hRule="atLeast"/>
        </w:trPr>
        <w:tc>
          <w:tcPr>
            <w:tcW w:w="584" w:type="dxa"/>
            <w:tcBorders>
              <w:top w:val="single" w:color="auto" w:sz="4" w:space="0"/>
              <w:left w:val="single" w:color="auto" w:sz="4" w:space="0"/>
              <w:bottom w:val="single" w:color="auto" w:sz="4" w:space="0"/>
              <w:right w:val="single" w:color="auto" w:sz="4" w:space="0"/>
            </w:tcBorders>
            <w:noWrap w:val="0"/>
            <w:vAlign w:val="center"/>
          </w:tcPr>
          <w:p w14:paraId="7E3A36E0">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43</w:t>
            </w:r>
          </w:p>
        </w:tc>
        <w:tc>
          <w:tcPr>
            <w:tcW w:w="690" w:type="dxa"/>
            <w:vMerge w:val="continue"/>
            <w:tcBorders>
              <w:top w:val="single" w:color="auto" w:sz="4" w:space="0"/>
              <w:left w:val="single" w:color="auto" w:sz="4" w:space="0"/>
              <w:bottom w:val="single" w:color="auto" w:sz="4" w:space="0"/>
              <w:right w:val="single" w:color="auto" w:sz="4" w:space="0"/>
            </w:tcBorders>
            <w:noWrap w:val="0"/>
            <w:vAlign w:val="center"/>
          </w:tcPr>
          <w:p w14:paraId="29422D1A">
            <w:pPr>
              <w:jc w:val="center"/>
              <w:rPr>
                <w:rFonts w:hint="eastAsia" w:ascii="宋体" w:hAnsi="宋体" w:eastAsia="宋体" w:cs="宋体"/>
                <w:i w:val="0"/>
                <w:iCs w:val="0"/>
                <w:color w:val="auto"/>
                <w:sz w:val="18"/>
                <w:szCs w:val="18"/>
                <w:highlight w:val="none"/>
                <w:u w:val="none"/>
              </w:rPr>
            </w:pPr>
          </w:p>
        </w:tc>
        <w:tc>
          <w:tcPr>
            <w:tcW w:w="864" w:type="dxa"/>
            <w:vMerge w:val="continue"/>
            <w:tcBorders>
              <w:top w:val="single" w:color="auto" w:sz="4" w:space="0"/>
              <w:left w:val="single" w:color="auto" w:sz="4" w:space="0"/>
              <w:bottom w:val="single" w:color="auto" w:sz="4" w:space="0"/>
              <w:right w:val="single" w:color="auto" w:sz="4" w:space="0"/>
            </w:tcBorders>
            <w:noWrap w:val="0"/>
            <w:vAlign w:val="center"/>
          </w:tcPr>
          <w:p w14:paraId="12DC3C86">
            <w:pPr>
              <w:jc w:val="center"/>
              <w:rPr>
                <w:rFonts w:hint="eastAsia" w:ascii="宋体" w:hAnsi="宋体" w:eastAsia="宋体" w:cs="宋体"/>
                <w:i w:val="0"/>
                <w:iCs w:val="0"/>
                <w:color w:val="auto"/>
                <w:sz w:val="18"/>
                <w:szCs w:val="18"/>
                <w:highlight w:val="none"/>
                <w:u w:val="none"/>
              </w:rPr>
            </w:pPr>
          </w:p>
        </w:tc>
        <w:tc>
          <w:tcPr>
            <w:tcW w:w="828" w:type="dxa"/>
            <w:tcBorders>
              <w:top w:val="single" w:color="auto" w:sz="4" w:space="0"/>
              <w:left w:val="single" w:color="auto" w:sz="4" w:space="0"/>
              <w:bottom w:val="single" w:color="auto" w:sz="4" w:space="0"/>
              <w:right w:val="single" w:color="auto" w:sz="4" w:space="0"/>
            </w:tcBorders>
            <w:noWrap w:val="0"/>
            <w:vAlign w:val="center"/>
          </w:tcPr>
          <w:p w14:paraId="74164F01">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混凝土路面厚度</w:t>
            </w:r>
          </w:p>
        </w:tc>
        <w:tc>
          <w:tcPr>
            <w:tcW w:w="1026" w:type="dxa"/>
            <w:tcBorders>
              <w:top w:val="single" w:color="auto" w:sz="4" w:space="0"/>
              <w:left w:val="single" w:color="auto" w:sz="4" w:space="0"/>
              <w:bottom w:val="single" w:color="auto" w:sz="4" w:space="0"/>
              <w:right w:val="single" w:color="auto" w:sz="4" w:space="0"/>
            </w:tcBorders>
            <w:noWrap w:val="0"/>
            <w:vAlign w:val="center"/>
          </w:tcPr>
          <w:p w14:paraId="5CB4F991">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取芯</w:t>
            </w:r>
          </w:p>
        </w:tc>
        <w:tc>
          <w:tcPr>
            <w:tcW w:w="553" w:type="dxa"/>
            <w:tcBorders>
              <w:top w:val="single" w:color="auto" w:sz="4" w:space="0"/>
              <w:left w:val="single" w:color="auto" w:sz="4" w:space="0"/>
              <w:bottom w:val="single" w:color="auto" w:sz="4" w:space="0"/>
              <w:right w:val="single" w:color="auto" w:sz="4" w:space="0"/>
            </w:tcBorders>
            <w:noWrap w:val="0"/>
            <w:vAlign w:val="center"/>
          </w:tcPr>
          <w:p w14:paraId="10E8DC3E">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点</w:t>
            </w:r>
          </w:p>
        </w:tc>
        <w:tc>
          <w:tcPr>
            <w:tcW w:w="851" w:type="dxa"/>
            <w:tcBorders>
              <w:top w:val="single" w:color="auto" w:sz="4" w:space="0"/>
              <w:left w:val="single" w:color="auto" w:sz="4" w:space="0"/>
              <w:bottom w:val="single" w:color="auto" w:sz="4" w:space="0"/>
              <w:right w:val="single" w:color="auto" w:sz="4" w:space="0"/>
            </w:tcBorders>
            <w:noWrap w:val="0"/>
            <w:vAlign w:val="center"/>
          </w:tcPr>
          <w:p w14:paraId="3B9E08BF">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15</w:t>
            </w:r>
          </w:p>
        </w:tc>
        <w:tc>
          <w:tcPr>
            <w:tcW w:w="851" w:type="dxa"/>
            <w:tcBorders>
              <w:top w:val="single" w:color="auto" w:sz="4" w:space="0"/>
              <w:left w:val="single" w:color="auto" w:sz="4" w:space="0"/>
              <w:bottom w:val="single" w:color="auto" w:sz="4" w:space="0"/>
              <w:right w:val="single" w:color="auto" w:sz="4" w:space="0"/>
            </w:tcBorders>
            <w:noWrap w:val="0"/>
            <w:vAlign w:val="center"/>
          </w:tcPr>
          <w:p w14:paraId="43AD8550">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15</w:t>
            </w:r>
          </w:p>
        </w:tc>
        <w:tc>
          <w:tcPr>
            <w:tcW w:w="851" w:type="dxa"/>
            <w:tcBorders>
              <w:top w:val="single" w:color="auto" w:sz="4" w:space="0"/>
              <w:left w:val="single" w:color="auto" w:sz="4" w:space="0"/>
              <w:bottom w:val="single" w:color="auto" w:sz="4" w:space="0"/>
              <w:right w:val="single" w:color="auto" w:sz="4" w:space="0"/>
            </w:tcBorders>
            <w:noWrap w:val="0"/>
            <w:vAlign w:val="center"/>
          </w:tcPr>
          <w:p w14:paraId="55069994">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15</w:t>
            </w:r>
          </w:p>
        </w:tc>
        <w:tc>
          <w:tcPr>
            <w:tcW w:w="852" w:type="dxa"/>
            <w:tcBorders>
              <w:top w:val="single" w:color="auto" w:sz="4" w:space="0"/>
              <w:left w:val="single" w:color="auto" w:sz="4" w:space="0"/>
              <w:bottom w:val="single" w:color="auto" w:sz="4" w:space="0"/>
              <w:right w:val="single" w:color="auto" w:sz="4" w:space="0"/>
            </w:tcBorders>
            <w:noWrap w:val="0"/>
            <w:vAlign w:val="center"/>
          </w:tcPr>
          <w:p w14:paraId="15EFAF98">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15</w:t>
            </w:r>
          </w:p>
        </w:tc>
        <w:tc>
          <w:tcPr>
            <w:tcW w:w="554" w:type="dxa"/>
            <w:tcBorders>
              <w:top w:val="single" w:color="auto" w:sz="4" w:space="0"/>
              <w:left w:val="single" w:color="auto" w:sz="4" w:space="0"/>
              <w:bottom w:val="single" w:color="auto" w:sz="4" w:space="0"/>
              <w:right w:val="single" w:color="auto" w:sz="4" w:space="0"/>
            </w:tcBorders>
            <w:noWrap w:val="0"/>
            <w:vAlign w:val="center"/>
          </w:tcPr>
          <w:p w14:paraId="5230159F">
            <w:pPr>
              <w:jc w:val="center"/>
              <w:rPr>
                <w:rFonts w:hint="eastAsia" w:ascii="宋体" w:hAnsi="宋体" w:eastAsia="宋体" w:cs="宋体"/>
                <w:i w:val="0"/>
                <w:iCs w:val="0"/>
                <w:color w:val="auto"/>
                <w:sz w:val="18"/>
                <w:szCs w:val="18"/>
                <w:highlight w:val="none"/>
                <w:u w:val="none"/>
              </w:rPr>
            </w:pPr>
          </w:p>
        </w:tc>
      </w:tr>
      <w:tr w14:paraId="097B59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0" w:hRule="atLeast"/>
        </w:trPr>
        <w:tc>
          <w:tcPr>
            <w:tcW w:w="584" w:type="dxa"/>
            <w:tcBorders>
              <w:top w:val="single" w:color="auto" w:sz="4" w:space="0"/>
              <w:left w:val="single" w:color="auto" w:sz="4" w:space="0"/>
              <w:bottom w:val="single" w:color="auto" w:sz="4" w:space="0"/>
              <w:right w:val="single" w:color="auto" w:sz="4" w:space="0"/>
            </w:tcBorders>
            <w:noWrap w:val="0"/>
            <w:vAlign w:val="center"/>
          </w:tcPr>
          <w:p w14:paraId="75886BBF">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44</w:t>
            </w:r>
          </w:p>
        </w:tc>
        <w:tc>
          <w:tcPr>
            <w:tcW w:w="690" w:type="dxa"/>
            <w:vMerge w:val="continue"/>
            <w:tcBorders>
              <w:top w:val="single" w:color="auto" w:sz="4" w:space="0"/>
              <w:left w:val="single" w:color="auto" w:sz="4" w:space="0"/>
              <w:bottom w:val="single" w:color="auto" w:sz="4" w:space="0"/>
              <w:right w:val="single" w:color="auto" w:sz="4" w:space="0"/>
            </w:tcBorders>
            <w:noWrap w:val="0"/>
            <w:vAlign w:val="center"/>
          </w:tcPr>
          <w:p w14:paraId="259A4F77">
            <w:pPr>
              <w:jc w:val="center"/>
              <w:rPr>
                <w:rFonts w:hint="eastAsia" w:ascii="宋体" w:hAnsi="宋体" w:eastAsia="宋体" w:cs="宋体"/>
                <w:i w:val="0"/>
                <w:iCs w:val="0"/>
                <w:color w:val="auto"/>
                <w:sz w:val="18"/>
                <w:szCs w:val="18"/>
                <w:highlight w:val="none"/>
                <w:u w:val="none"/>
              </w:rPr>
            </w:pPr>
          </w:p>
        </w:tc>
        <w:tc>
          <w:tcPr>
            <w:tcW w:w="864" w:type="dxa"/>
            <w:vMerge w:val="continue"/>
            <w:tcBorders>
              <w:top w:val="single" w:color="auto" w:sz="4" w:space="0"/>
              <w:left w:val="single" w:color="auto" w:sz="4" w:space="0"/>
              <w:bottom w:val="single" w:color="auto" w:sz="4" w:space="0"/>
              <w:right w:val="single" w:color="auto" w:sz="4" w:space="0"/>
            </w:tcBorders>
            <w:noWrap w:val="0"/>
            <w:vAlign w:val="center"/>
          </w:tcPr>
          <w:p w14:paraId="6A66FA24">
            <w:pPr>
              <w:jc w:val="center"/>
              <w:rPr>
                <w:rFonts w:hint="eastAsia" w:ascii="宋体" w:hAnsi="宋体" w:eastAsia="宋体" w:cs="宋体"/>
                <w:i w:val="0"/>
                <w:iCs w:val="0"/>
                <w:color w:val="auto"/>
                <w:sz w:val="18"/>
                <w:szCs w:val="18"/>
                <w:highlight w:val="none"/>
                <w:u w:val="none"/>
              </w:rPr>
            </w:pPr>
          </w:p>
        </w:tc>
        <w:tc>
          <w:tcPr>
            <w:tcW w:w="828" w:type="dxa"/>
            <w:tcBorders>
              <w:top w:val="single" w:color="auto" w:sz="4" w:space="0"/>
              <w:left w:val="single" w:color="auto" w:sz="4" w:space="0"/>
              <w:bottom w:val="single" w:color="auto" w:sz="4" w:space="0"/>
              <w:right w:val="single" w:color="auto" w:sz="4" w:space="0"/>
            </w:tcBorders>
            <w:noWrap w:val="0"/>
            <w:vAlign w:val="center"/>
          </w:tcPr>
          <w:p w14:paraId="563EC3C4">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路面压实度</w:t>
            </w:r>
          </w:p>
        </w:tc>
        <w:tc>
          <w:tcPr>
            <w:tcW w:w="1026" w:type="dxa"/>
            <w:tcBorders>
              <w:top w:val="single" w:color="auto" w:sz="4" w:space="0"/>
              <w:left w:val="single" w:color="auto" w:sz="4" w:space="0"/>
              <w:bottom w:val="single" w:color="auto" w:sz="4" w:space="0"/>
              <w:right w:val="single" w:color="auto" w:sz="4" w:space="0"/>
            </w:tcBorders>
            <w:noWrap w:val="0"/>
            <w:vAlign w:val="center"/>
          </w:tcPr>
          <w:p w14:paraId="4BBFC4E3">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取芯</w:t>
            </w:r>
          </w:p>
        </w:tc>
        <w:tc>
          <w:tcPr>
            <w:tcW w:w="553" w:type="dxa"/>
            <w:tcBorders>
              <w:top w:val="single" w:color="auto" w:sz="4" w:space="0"/>
              <w:left w:val="single" w:color="auto" w:sz="4" w:space="0"/>
              <w:bottom w:val="single" w:color="auto" w:sz="4" w:space="0"/>
              <w:right w:val="single" w:color="auto" w:sz="4" w:space="0"/>
            </w:tcBorders>
            <w:noWrap w:val="0"/>
            <w:vAlign w:val="center"/>
          </w:tcPr>
          <w:p w14:paraId="15CCABE4">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点</w:t>
            </w:r>
          </w:p>
        </w:tc>
        <w:tc>
          <w:tcPr>
            <w:tcW w:w="851" w:type="dxa"/>
            <w:tcBorders>
              <w:top w:val="single" w:color="auto" w:sz="4" w:space="0"/>
              <w:left w:val="single" w:color="auto" w:sz="4" w:space="0"/>
              <w:bottom w:val="single" w:color="auto" w:sz="4" w:space="0"/>
              <w:right w:val="single" w:color="auto" w:sz="4" w:space="0"/>
            </w:tcBorders>
            <w:noWrap w:val="0"/>
            <w:vAlign w:val="center"/>
          </w:tcPr>
          <w:p w14:paraId="7C0B9014">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67</w:t>
            </w:r>
          </w:p>
        </w:tc>
        <w:tc>
          <w:tcPr>
            <w:tcW w:w="851" w:type="dxa"/>
            <w:tcBorders>
              <w:top w:val="single" w:color="auto" w:sz="4" w:space="0"/>
              <w:left w:val="single" w:color="auto" w:sz="4" w:space="0"/>
              <w:bottom w:val="single" w:color="auto" w:sz="4" w:space="0"/>
              <w:right w:val="single" w:color="auto" w:sz="4" w:space="0"/>
            </w:tcBorders>
            <w:noWrap w:val="0"/>
            <w:vAlign w:val="center"/>
          </w:tcPr>
          <w:p w14:paraId="7931051F">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67</w:t>
            </w:r>
          </w:p>
        </w:tc>
        <w:tc>
          <w:tcPr>
            <w:tcW w:w="851" w:type="dxa"/>
            <w:tcBorders>
              <w:top w:val="single" w:color="auto" w:sz="4" w:space="0"/>
              <w:left w:val="single" w:color="auto" w:sz="4" w:space="0"/>
              <w:bottom w:val="single" w:color="auto" w:sz="4" w:space="0"/>
              <w:right w:val="single" w:color="auto" w:sz="4" w:space="0"/>
            </w:tcBorders>
            <w:noWrap w:val="0"/>
            <w:vAlign w:val="center"/>
          </w:tcPr>
          <w:p w14:paraId="0CBA918D">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67</w:t>
            </w:r>
          </w:p>
        </w:tc>
        <w:tc>
          <w:tcPr>
            <w:tcW w:w="852" w:type="dxa"/>
            <w:tcBorders>
              <w:top w:val="single" w:color="auto" w:sz="4" w:space="0"/>
              <w:left w:val="single" w:color="auto" w:sz="4" w:space="0"/>
              <w:bottom w:val="single" w:color="auto" w:sz="4" w:space="0"/>
              <w:right w:val="single" w:color="auto" w:sz="4" w:space="0"/>
            </w:tcBorders>
            <w:noWrap w:val="0"/>
            <w:vAlign w:val="center"/>
          </w:tcPr>
          <w:p w14:paraId="7B30CB32">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67</w:t>
            </w:r>
          </w:p>
        </w:tc>
        <w:tc>
          <w:tcPr>
            <w:tcW w:w="554" w:type="dxa"/>
            <w:tcBorders>
              <w:top w:val="single" w:color="auto" w:sz="4" w:space="0"/>
              <w:left w:val="single" w:color="auto" w:sz="4" w:space="0"/>
              <w:bottom w:val="single" w:color="auto" w:sz="4" w:space="0"/>
              <w:right w:val="single" w:color="auto" w:sz="4" w:space="0"/>
            </w:tcBorders>
            <w:noWrap w:val="0"/>
            <w:vAlign w:val="center"/>
          </w:tcPr>
          <w:p w14:paraId="40CCF5BF">
            <w:pPr>
              <w:jc w:val="center"/>
              <w:rPr>
                <w:rFonts w:hint="eastAsia" w:ascii="宋体" w:hAnsi="宋体" w:eastAsia="宋体" w:cs="宋体"/>
                <w:i w:val="0"/>
                <w:iCs w:val="0"/>
                <w:color w:val="auto"/>
                <w:sz w:val="18"/>
                <w:szCs w:val="18"/>
                <w:highlight w:val="none"/>
                <w:u w:val="none"/>
              </w:rPr>
            </w:pPr>
          </w:p>
        </w:tc>
      </w:tr>
      <w:tr w14:paraId="61A2B0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0" w:hRule="atLeast"/>
        </w:trPr>
        <w:tc>
          <w:tcPr>
            <w:tcW w:w="584" w:type="dxa"/>
            <w:tcBorders>
              <w:top w:val="single" w:color="auto" w:sz="4" w:space="0"/>
              <w:left w:val="single" w:color="auto" w:sz="4" w:space="0"/>
              <w:bottom w:val="single" w:color="auto" w:sz="4" w:space="0"/>
              <w:right w:val="single" w:color="auto" w:sz="4" w:space="0"/>
            </w:tcBorders>
            <w:noWrap w:val="0"/>
            <w:vAlign w:val="center"/>
          </w:tcPr>
          <w:p w14:paraId="51B27B5B">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45</w:t>
            </w:r>
          </w:p>
        </w:tc>
        <w:tc>
          <w:tcPr>
            <w:tcW w:w="690" w:type="dxa"/>
            <w:vMerge w:val="continue"/>
            <w:tcBorders>
              <w:top w:val="single" w:color="auto" w:sz="4" w:space="0"/>
              <w:left w:val="single" w:color="auto" w:sz="4" w:space="0"/>
              <w:bottom w:val="single" w:color="auto" w:sz="4" w:space="0"/>
              <w:right w:val="single" w:color="auto" w:sz="4" w:space="0"/>
            </w:tcBorders>
            <w:noWrap w:val="0"/>
            <w:vAlign w:val="center"/>
          </w:tcPr>
          <w:p w14:paraId="7BFEDB47">
            <w:pPr>
              <w:jc w:val="center"/>
              <w:rPr>
                <w:rFonts w:hint="eastAsia" w:ascii="宋体" w:hAnsi="宋体" w:eastAsia="宋体" w:cs="宋体"/>
                <w:i w:val="0"/>
                <w:iCs w:val="0"/>
                <w:color w:val="auto"/>
                <w:sz w:val="18"/>
                <w:szCs w:val="18"/>
                <w:highlight w:val="none"/>
                <w:u w:val="none"/>
              </w:rPr>
            </w:pPr>
          </w:p>
        </w:tc>
        <w:tc>
          <w:tcPr>
            <w:tcW w:w="864" w:type="dxa"/>
            <w:vMerge w:val="restart"/>
            <w:tcBorders>
              <w:top w:val="single" w:color="auto" w:sz="4" w:space="0"/>
              <w:left w:val="single" w:color="auto" w:sz="4" w:space="0"/>
              <w:bottom w:val="single" w:color="auto" w:sz="4" w:space="0"/>
              <w:right w:val="single" w:color="auto" w:sz="4" w:space="0"/>
            </w:tcBorders>
            <w:noWrap w:val="0"/>
            <w:vAlign w:val="center"/>
          </w:tcPr>
          <w:p w14:paraId="156C7EB0">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明洞</w:t>
            </w:r>
          </w:p>
        </w:tc>
        <w:tc>
          <w:tcPr>
            <w:tcW w:w="828" w:type="dxa"/>
            <w:tcBorders>
              <w:top w:val="single" w:color="auto" w:sz="4" w:space="0"/>
              <w:left w:val="single" w:color="auto" w:sz="4" w:space="0"/>
              <w:bottom w:val="single" w:color="auto" w:sz="4" w:space="0"/>
              <w:right w:val="single" w:color="auto" w:sz="4" w:space="0"/>
            </w:tcBorders>
            <w:noWrap w:val="0"/>
            <w:vAlign w:val="center"/>
          </w:tcPr>
          <w:p w14:paraId="62C1FAD4">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钢筋数量</w:t>
            </w:r>
          </w:p>
        </w:tc>
        <w:tc>
          <w:tcPr>
            <w:tcW w:w="1026" w:type="dxa"/>
            <w:tcBorders>
              <w:top w:val="single" w:color="auto" w:sz="4" w:space="0"/>
              <w:left w:val="single" w:color="auto" w:sz="4" w:space="0"/>
              <w:bottom w:val="single" w:color="auto" w:sz="4" w:space="0"/>
              <w:right w:val="single" w:color="auto" w:sz="4" w:space="0"/>
            </w:tcBorders>
            <w:noWrap w:val="0"/>
            <w:vAlign w:val="center"/>
          </w:tcPr>
          <w:p w14:paraId="48006C2D">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每处按2m长度，测量环向受力钢筋数量</w:t>
            </w:r>
          </w:p>
        </w:tc>
        <w:tc>
          <w:tcPr>
            <w:tcW w:w="553" w:type="dxa"/>
            <w:tcBorders>
              <w:top w:val="single" w:color="auto" w:sz="4" w:space="0"/>
              <w:left w:val="single" w:color="auto" w:sz="4" w:space="0"/>
              <w:bottom w:val="single" w:color="auto" w:sz="4" w:space="0"/>
              <w:right w:val="single" w:color="auto" w:sz="4" w:space="0"/>
            </w:tcBorders>
            <w:noWrap w:val="0"/>
            <w:vAlign w:val="center"/>
          </w:tcPr>
          <w:p w14:paraId="0982536A">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处</w:t>
            </w:r>
          </w:p>
        </w:tc>
        <w:tc>
          <w:tcPr>
            <w:tcW w:w="851" w:type="dxa"/>
            <w:tcBorders>
              <w:top w:val="single" w:color="auto" w:sz="4" w:space="0"/>
              <w:left w:val="single" w:color="auto" w:sz="4" w:space="0"/>
              <w:bottom w:val="single" w:color="auto" w:sz="4" w:space="0"/>
              <w:right w:val="single" w:color="auto" w:sz="4" w:space="0"/>
            </w:tcBorders>
            <w:noWrap w:val="0"/>
            <w:vAlign w:val="center"/>
          </w:tcPr>
          <w:p w14:paraId="09A054A2">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67</w:t>
            </w:r>
          </w:p>
        </w:tc>
        <w:tc>
          <w:tcPr>
            <w:tcW w:w="851" w:type="dxa"/>
            <w:tcBorders>
              <w:top w:val="single" w:color="auto" w:sz="4" w:space="0"/>
              <w:left w:val="single" w:color="auto" w:sz="4" w:space="0"/>
              <w:bottom w:val="single" w:color="auto" w:sz="4" w:space="0"/>
              <w:right w:val="single" w:color="auto" w:sz="4" w:space="0"/>
            </w:tcBorders>
            <w:noWrap w:val="0"/>
            <w:vAlign w:val="center"/>
          </w:tcPr>
          <w:p w14:paraId="4C418D5B">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67</w:t>
            </w:r>
          </w:p>
        </w:tc>
        <w:tc>
          <w:tcPr>
            <w:tcW w:w="851" w:type="dxa"/>
            <w:tcBorders>
              <w:top w:val="single" w:color="auto" w:sz="4" w:space="0"/>
              <w:left w:val="single" w:color="auto" w:sz="4" w:space="0"/>
              <w:bottom w:val="single" w:color="auto" w:sz="4" w:space="0"/>
              <w:right w:val="single" w:color="auto" w:sz="4" w:space="0"/>
            </w:tcBorders>
            <w:noWrap w:val="0"/>
            <w:vAlign w:val="center"/>
          </w:tcPr>
          <w:p w14:paraId="1604E0EF">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67</w:t>
            </w:r>
          </w:p>
        </w:tc>
        <w:tc>
          <w:tcPr>
            <w:tcW w:w="852" w:type="dxa"/>
            <w:tcBorders>
              <w:top w:val="single" w:color="auto" w:sz="4" w:space="0"/>
              <w:left w:val="single" w:color="auto" w:sz="4" w:space="0"/>
              <w:bottom w:val="single" w:color="auto" w:sz="4" w:space="0"/>
              <w:right w:val="single" w:color="auto" w:sz="4" w:space="0"/>
            </w:tcBorders>
            <w:noWrap w:val="0"/>
            <w:vAlign w:val="center"/>
          </w:tcPr>
          <w:p w14:paraId="45A5B4EE">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67</w:t>
            </w:r>
          </w:p>
        </w:tc>
        <w:tc>
          <w:tcPr>
            <w:tcW w:w="554" w:type="dxa"/>
            <w:tcBorders>
              <w:top w:val="single" w:color="auto" w:sz="4" w:space="0"/>
              <w:left w:val="single" w:color="auto" w:sz="4" w:space="0"/>
              <w:bottom w:val="single" w:color="auto" w:sz="4" w:space="0"/>
              <w:right w:val="single" w:color="auto" w:sz="4" w:space="0"/>
            </w:tcBorders>
            <w:noWrap w:val="0"/>
            <w:vAlign w:val="center"/>
          </w:tcPr>
          <w:p w14:paraId="71D27B1E">
            <w:pPr>
              <w:jc w:val="center"/>
              <w:rPr>
                <w:rFonts w:hint="eastAsia" w:ascii="宋体" w:hAnsi="宋体" w:eastAsia="宋体" w:cs="宋体"/>
                <w:i w:val="0"/>
                <w:iCs w:val="0"/>
                <w:color w:val="auto"/>
                <w:sz w:val="18"/>
                <w:szCs w:val="18"/>
                <w:highlight w:val="none"/>
                <w:u w:val="none"/>
              </w:rPr>
            </w:pPr>
          </w:p>
        </w:tc>
      </w:tr>
      <w:tr w14:paraId="4262AD9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0" w:hRule="atLeast"/>
        </w:trPr>
        <w:tc>
          <w:tcPr>
            <w:tcW w:w="584" w:type="dxa"/>
            <w:tcBorders>
              <w:top w:val="single" w:color="auto" w:sz="4" w:space="0"/>
              <w:left w:val="single" w:color="auto" w:sz="4" w:space="0"/>
              <w:bottom w:val="single" w:color="auto" w:sz="4" w:space="0"/>
              <w:right w:val="single" w:color="auto" w:sz="4" w:space="0"/>
            </w:tcBorders>
            <w:noWrap w:val="0"/>
            <w:vAlign w:val="center"/>
          </w:tcPr>
          <w:p w14:paraId="5BD1D59F">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46</w:t>
            </w:r>
          </w:p>
        </w:tc>
        <w:tc>
          <w:tcPr>
            <w:tcW w:w="690" w:type="dxa"/>
            <w:vMerge w:val="continue"/>
            <w:tcBorders>
              <w:top w:val="single" w:color="auto" w:sz="4" w:space="0"/>
              <w:left w:val="single" w:color="auto" w:sz="4" w:space="0"/>
              <w:bottom w:val="single" w:color="auto" w:sz="4" w:space="0"/>
              <w:right w:val="single" w:color="auto" w:sz="4" w:space="0"/>
            </w:tcBorders>
            <w:noWrap w:val="0"/>
            <w:vAlign w:val="center"/>
          </w:tcPr>
          <w:p w14:paraId="52BEC887">
            <w:pPr>
              <w:jc w:val="center"/>
              <w:rPr>
                <w:rFonts w:hint="eastAsia" w:ascii="宋体" w:hAnsi="宋体" w:eastAsia="宋体" w:cs="宋体"/>
                <w:i w:val="0"/>
                <w:iCs w:val="0"/>
                <w:color w:val="auto"/>
                <w:sz w:val="18"/>
                <w:szCs w:val="18"/>
                <w:highlight w:val="none"/>
                <w:u w:val="none"/>
              </w:rPr>
            </w:pPr>
          </w:p>
        </w:tc>
        <w:tc>
          <w:tcPr>
            <w:tcW w:w="864" w:type="dxa"/>
            <w:vMerge w:val="continue"/>
            <w:tcBorders>
              <w:top w:val="single" w:color="auto" w:sz="4" w:space="0"/>
              <w:left w:val="single" w:color="auto" w:sz="4" w:space="0"/>
              <w:bottom w:val="single" w:color="auto" w:sz="4" w:space="0"/>
              <w:right w:val="single" w:color="auto" w:sz="4" w:space="0"/>
            </w:tcBorders>
            <w:noWrap w:val="0"/>
            <w:vAlign w:val="center"/>
          </w:tcPr>
          <w:p w14:paraId="681CCA9B">
            <w:pPr>
              <w:jc w:val="center"/>
              <w:rPr>
                <w:rFonts w:hint="eastAsia" w:ascii="宋体" w:hAnsi="宋体" w:eastAsia="宋体" w:cs="宋体"/>
                <w:i w:val="0"/>
                <w:iCs w:val="0"/>
                <w:color w:val="auto"/>
                <w:sz w:val="18"/>
                <w:szCs w:val="18"/>
                <w:highlight w:val="none"/>
                <w:u w:val="none"/>
              </w:rPr>
            </w:pPr>
          </w:p>
        </w:tc>
        <w:tc>
          <w:tcPr>
            <w:tcW w:w="828" w:type="dxa"/>
            <w:tcBorders>
              <w:top w:val="single" w:color="auto" w:sz="4" w:space="0"/>
              <w:left w:val="single" w:color="auto" w:sz="4" w:space="0"/>
              <w:bottom w:val="single" w:color="auto" w:sz="4" w:space="0"/>
              <w:right w:val="single" w:color="auto" w:sz="4" w:space="0"/>
            </w:tcBorders>
            <w:noWrap w:val="0"/>
            <w:vAlign w:val="center"/>
          </w:tcPr>
          <w:p w14:paraId="2F4DBDDD">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混凝土厚度</w:t>
            </w:r>
          </w:p>
        </w:tc>
        <w:tc>
          <w:tcPr>
            <w:tcW w:w="1026" w:type="dxa"/>
            <w:tcBorders>
              <w:top w:val="single" w:color="auto" w:sz="4" w:space="0"/>
              <w:left w:val="single" w:color="auto" w:sz="4" w:space="0"/>
              <w:bottom w:val="single" w:color="auto" w:sz="4" w:space="0"/>
              <w:right w:val="single" w:color="auto" w:sz="4" w:space="0"/>
            </w:tcBorders>
            <w:noWrap w:val="0"/>
            <w:vAlign w:val="center"/>
          </w:tcPr>
          <w:p w14:paraId="0B988696">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采用地质雷达测断面</w:t>
            </w:r>
          </w:p>
        </w:tc>
        <w:tc>
          <w:tcPr>
            <w:tcW w:w="553" w:type="dxa"/>
            <w:tcBorders>
              <w:top w:val="single" w:color="auto" w:sz="4" w:space="0"/>
              <w:left w:val="single" w:color="auto" w:sz="4" w:space="0"/>
              <w:bottom w:val="single" w:color="auto" w:sz="4" w:space="0"/>
              <w:right w:val="single" w:color="auto" w:sz="4" w:space="0"/>
            </w:tcBorders>
            <w:noWrap w:val="0"/>
            <w:vAlign w:val="center"/>
          </w:tcPr>
          <w:p w14:paraId="4BCFFD16">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断面</w:t>
            </w:r>
          </w:p>
        </w:tc>
        <w:tc>
          <w:tcPr>
            <w:tcW w:w="851" w:type="dxa"/>
            <w:tcBorders>
              <w:top w:val="single" w:color="auto" w:sz="4" w:space="0"/>
              <w:left w:val="single" w:color="auto" w:sz="4" w:space="0"/>
              <w:bottom w:val="single" w:color="auto" w:sz="4" w:space="0"/>
              <w:right w:val="single" w:color="auto" w:sz="4" w:space="0"/>
            </w:tcBorders>
            <w:noWrap w:val="0"/>
            <w:vAlign w:val="center"/>
          </w:tcPr>
          <w:p w14:paraId="2E94CEA7">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68</w:t>
            </w:r>
          </w:p>
        </w:tc>
        <w:tc>
          <w:tcPr>
            <w:tcW w:w="851" w:type="dxa"/>
            <w:tcBorders>
              <w:top w:val="single" w:color="auto" w:sz="4" w:space="0"/>
              <w:left w:val="single" w:color="auto" w:sz="4" w:space="0"/>
              <w:bottom w:val="single" w:color="auto" w:sz="4" w:space="0"/>
              <w:right w:val="single" w:color="auto" w:sz="4" w:space="0"/>
            </w:tcBorders>
            <w:noWrap w:val="0"/>
            <w:vAlign w:val="center"/>
          </w:tcPr>
          <w:p w14:paraId="7EDDB5A0">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68</w:t>
            </w:r>
          </w:p>
        </w:tc>
        <w:tc>
          <w:tcPr>
            <w:tcW w:w="851" w:type="dxa"/>
            <w:tcBorders>
              <w:top w:val="single" w:color="auto" w:sz="4" w:space="0"/>
              <w:left w:val="single" w:color="auto" w:sz="4" w:space="0"/>
              <w:bottom w:val="single" w:color="auto" w:sz="4" w:space="0"/>
              <w:right w:val="single" w:color="auto" w:sz="4" w:space="0"/>
            </w:tcBorders>
            <w:noWrap w:val="0"/>
            <w:vAlign w:val="center"/>
          </w:tcPr>
          <w:p w14:paraId="114283A1">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68</w:t>
            </w:r>
          </w:p>
        </w:tc>
        <w:tc>
          <w:tcPr>
            <w:tcW w:w="852" w:type="dxa"/>
            <w:tcBorders>
              <w:top w:val="single" w:color="auto" w:sz="4" w:space="0"/>
              <w:left w:val="single" w:color="auto" w:sz="4" w:space="0"/>
              <w:bottom w:val="single" w:color="auto" w:sz="4" w:space="0"/>
              <w:right w:val="single" w:color="auto" w:sz="4" w:space="0"/>
            </w:tcBorders>
            <w:noWrap w:val="0"/>
            <w:vAlign w:val="center"/>
          </w:tcPr>
          <w:p w14:paraId="04BC0D81">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68</w:t>
            </w:r>
          </w:p>
        </w:tc>
        <w:tc>
          <w:tcPr>
            <w:tcW w:w="554" w:type="dxa"/>
            <w:tcBorders>
              <w:top w:val="single" w:color="auto" w:sz="4" w:space="0"/>
              <w:left w:val="single" w:color="auto" w:sz="4" w:space="0"/>
              <w:bottom w:val="single" w:color="auto" w:sz="4" w:space="0"/>
              <w:right w:val="single" w:color="auto" w:sz="4" w:space="0"/>
            </w:tcBorders>
            <w:noWrap w:val="0"/>
            <w:vAlign w:val="center"/>
          </w:tcPr>
          <w:p w14:paraId="3617E510">
            <w:pPr>
              <w:jc w:val="center"/>
              <w:rPr>
                <w:rFonts w:hint="eastAsia" w:ascii="宋体" w:hAnsi="宋体" w:eastAsia="宋体" w:cs="宋体"/>
                <w:i w:val="0"/>
                <w:iCs w:val="0"/>
                <w:color w:val="auto"/>
                <w:sz w:val="18"/>
                <w:szCs w:val="18"/>
                <w:highlight w:val="none"/>
                <w:u w:val="none"/>
              </w:rPr>
            </w:pPr>
          </w:p>
        </w:tc>
      </w:tr>
      <w:tr w14:paraId="417EDC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0" w:hRule="atLeast"/>
        </w:trPr>
        <w:tc>
          <w:tcPr>
            <w:tcW w:w="584" w:type="dxa"/>
            <w:tcBorders>
              <w:top w:val="single" w:color="auto" w:sz="4" w:space="0"/>
              <w:left w:val="single" w:color="auto" w:sz="4" w:space="0"/>
              <w:bottom w:val="single" w:color="auto" w:sz="4" w:space="0"/>
              <w:right w:val="single" w:color="auto" w:sz="4" w:space="0"/>
            </w:tcBorders>
            <w:noWrap w:val="0"/>
            <w:vAlign w:val="center"/>
          </w:tcPr>
          <w:p w14:paraId="2709D846">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47</w:t>
            </w:r>
          </w:p>
        </w:tc>
        <w:tc>
          <w:tcPr>
            <w:tcW w:w="690" w:type="dxa"/>
            <w:vMerge w:val="restart"/>
            <w:tcBorders>
              <w:top w:val="single" w:color="auto" w:sz="4" w:space="0"/>
              <w:left w:val="single" w:color="auto" w:sz="4" w:space="0"/>
              <w:bottom w:val="single" w:color="auto" w:sz="4" w:space="0"/>
              <w:right w:val="single" w:color="auto" w:sz="4" w:space="0"/>
            </w:tcBorders>
            <w:noWrap w:val="0"/>
            <w:vAlign w:val="center"/>
          </w:tcPr>
          <w:p w14:paraId="08300343">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交通安全设施</w:t>
            </w:r>
          </w:p>
        </w:tc>
        <w:tc>
          <w:tcPr>
            <w:tcW w:w="864" w:type="dxa"/>
            <w:vMerge w:val="restart"/>
            <w:tcBorders>
              <w:top w:val="single" w:color="auto" w:sz="4" w:space="0"/>
              <w:left w:val="single" w:color="auto" w:sz="4" w:space="0"/>
              <w:bottom w:val="single" w:color="auto" w:sz="4" w:space="0"/>
              <w:right w:val="single" w:color="auto" w:sz="4" w:space="0"/>
            </w:tcBorders>
            <w:noWrap w:val="0"/>
            <w:vAlign w:val="center"/>
          </w:tcPr>
          <w:p w14:paraId="47152D57">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波形梁 钢护栏</w:t>
            </w:r>
          </w:p>
        </w:tc>
        <w:tc>
          <w:tcPr>
            <w:tcW w:w="828" w:type="dxa"/>
            <w:tcBorders>
              <w:top w:val="single" w:color="auto" w:sz="4" w:space="0"/>
              <w:left w:val="single" w:color="auto" w:sz="4" w:space="0"/>
              <w:bottom w:val="single" w:color="auto" w:sz="4" w:space="0"/>
              <w:right w:val="single" w:color="auto" w:sz="4" w:space="0"/>
            </w:tcBorders>
            <w:noWrap w:val="0"/>
            <w:vAlign w:val="center"/>
          </w:tcPr>
          <w:p w14:paraId="6B8CBAD4">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构件基底厚度</w:t>
            </w:r>
          </w:p>
        </w:tc>
        <w:tc>
          <w:tcPr>
            <w:tcW w:w="1026" w:type="dxa"/>
            <w:tcBorders>
              <w:top w:val="single" w:color="auto" w:sz="4" w:space="0"/>
              <w:left w:val="single" w:color="auto" w:sz="4" w:space="0"/>
              <w:bottom w:val="single" w:color="auto" w:sz="4" w:space="0"/>
              <w:right w:val="single" w:color="auto" w:sz="4" w:space="0"/>
            </w:tcBorders>
            <w:noWrap w:val="0"/>
            <w:vAlign w:val="center"/>
          </w:tcPr>
          <w:p w14:paraId="3428A2D1">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采用板厚千分  尺、超声波测厚 仪和磁性测厚 仪测梁板、立柱。</w:t>
            </w:r>
          </w:p>
        </w:tc>
        <w:tc>
          <w:tcPr>
            <w:tcW w:w="553" w:type="dxa"/>
            <w:tcBorders>
              <w:top w:val="single" w:color="auto" w:sz="4" w:space="0"/>
              <w:left w:val="single" w:color="auto" w:sz="4" w:space="0"/>
              <w:bottom w:val="single" w:color="auto" w:sz="4" w:space="0"/>
              <w:right w:val="single" w:color="auto" w:sz="4" w:space="0"/>
            </w:tcBorders>
            <w:noWrap w:val="0"/>
            <w:vAlign w:val="center"/>
          </w:tcPr>
          <w:p w14:paraId="460DA706">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处</w:t>
            </w:r>
          </w:p>
        </w:tc>
        <w:tc>
          <w:tcPr>
            <w:tcW w:w="851" w:type="dxa"/>
            <w:tcBorders>
              <w:top w:val="single" w:color="auto" w:sz="4" w:space="0"/>
              <w:left w:val="single" w:color="auto" w:sz="4" w:space="0"/>
              <w:bottom w:val="single" w:color="auto" w:sz="4" w:space="0"/>
              <w:right w:val="single" w:color="auto" w:sz="4" w:space="0"/>
            </w:tcBorders>
            <w:noWrap w:val="0"/>
            <w:vAlign w:val="center"/>
          </w:tcPr>
          <w:p w14:paraId="62F31B46">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37</w:t>
            </w:r>
          </w:p>
        </w:tc>
        <w:tc>
          <w:tcPr>
            <w:tcW w:w="851" w:type="dxa"/>
            <w:tcBorders>
              <w:top w:val="single" w:color="auto" w:sz="4" w:space="0"/>
              <w:left w:val="single" w:color="auto" w:sz="4" w:space="0"/>
              <w:bottom w:val="single" w:color="auto" w:sz="4" w:space="0"/>
              <w:right w:val="single" w:color="auto" w:sz="4" w:space="0"/>
            </w:tcBorders>
            <w:noWrap w:val="0"/>
            <w:vAlign w:val="center"/>
          </w:tcPr>
          <w:p w14:paraId="16D4EB11">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37</w:t>
            </w:r>
          </w:p>
        </w:tc>
        <w:tc>
          <w:tcPr>
            <w:tcW w:w="851" w:type="dxa"/>
            <w:tcBorders>
              <w:top w:val="single" w:color="auto" w:sz="4" w:space="0"/>
              <w:left w:val="single" w:color="auto" w:sz="4" w:space="0"/>
              <w:bottom w:val="single" w:color="auto" w:sz="4" w:space="0"/>
              <w:right w:val="single" w:color="auto" w:sz="4" w:space="0"/>
            </w:tcBorders>
            <w:noWrap w:val="0"/>
            <w:vAlign w:val="center"/>
          </w:tcPr>
          <w:p w14:paraId="6674B83A">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37</w:t>
            </w:r>
          </w:p>
        </w:tc>
        <w:tc>
          <w:tcPr>
            <w:tcW w:w="852" w:type="dxa"/>
            <w:tcBorders>
              <w:top w:val="single" w:color="auto" w:sz="4" w:space="0"/>
              <w:left w:val="single" w:color="auto" w:sz="4" w:space="0"/>
              <w:bottom w:val="single" w:color="auto" w:sz="4" w:space="0"/>
              <w:right w:val="single" w:color="auto" w:sz="4" w:space="0"/>
            </w:tcBorders>
            <w:noWrap w:val="0"/>
            <w:vAlign w:val="center"/>
          </w:tcPr>
          <w:p w14:paraId="5D59AA36">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37</w:t>
            </w:r>
          </w:p>
        </w:tc>
        <w:tc>
          <w:tcPr>
            <w:tcW w:w="554" w:type="dxa"/>
            <w:tcBorders>
              <w:top w:val="single" w:color="auto" w:sz="4" w:space="0"/>
              <w:left w:val="single" w:color="auto" w:sz="4" w:space="0"/>
              <w:bottom w:val="single" w:color="auto" w:sz="4" w:space="0"/>
              <w:right w:val="single" w:color="auto" w:sz="4" w:space="0"/>
            </w:tcBorders>
            <w:noWrap w:val="0"/>
            <w:vAlign w:val="center"/>
          </w:tcPr>
          <w:p w14:paraId="58434D33">
            <w:pPr>
              <w:jc w:val="center"/>
              <w:rPr>
                <w:rFonts w:hint="eastAsia" w:ascii="宋体" w:hAnsi="宋体" w:eastAsia="宋体" w:cs="宋体"/>
                <w:i w:val="0"/>
                <w:iCs w:val="0"/>
                <w:color w:val="auto"/>
                <w:sz w:val="18"/>
                <w:szCs w:val="18"/>
                <w:highlight w:val="none"/>
                <w:u w:val="none"/>
              </w:rPr>
            </w:pPr>
          </w:p>
        </w:tc>
      </w:tr>
      <w:tr w14:paraId="3418D4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0" w:hRule="atLeast"/>
        </w:trPr>
        <w:tc>
          <w:tcPr>
            <w:tcW w:w="584" w:type="dxa"/>
            <w:tcBorders>
              <w:top w:val="single" w:color="auto" w:sz="4" w:space="0"/>
              <w:left w:val="single" w:color="auto" w:sz="4" w:space="0"/>
              <w:bottom w:val="single" w:color="auto" w:sz="4" w:space="0"/>
              <w:right w:val="single" w:color="auto" w:sz="4" w:space="0"/>
            </w:tcBorders>
            <w:noWrap w:val="0"/>
            <w:vAlign w:val="center"/>
          </w:tcPr>
          <w:p w14:paraId="1B035A9D">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48</w:t>
            </w:r>
          </w:p>
        </w:tc>
        <w:tc>
          <w:tcPr>
            <w:tcW w:w="690" w:type="dxa"/>
            <w:vMerge w:val="continue"/>
            <w:tcBorders>
              <w:top w:val="single" w:color="auto" w:sz="4" w:space="0"/>
              <w:left w:val="single" w:color="auto" w:sz="4" w:space="0"/>
              <w:bottom w:val="single" w:color="auto" w:sz="4" w:space="0"/>
              <w:right w:val="single" w:color="auto" w:sz="4" w:space="0"/>
            </w:tcBorders>
            <w:noWrap w:val="0"/>
            <w:vAlign w:val="center"/>
          </w:tcPr>
          <w:p w14:paraId="41ED7BAA">
            <w:pPr>
              <w:jc w:val="center"/>
              <w:rPr>
                <w:rFonts w:hint="eastAsia" w:ascii="宋体" w:hAnsi="宋体" w:eastAsia="宋体" w:cs="宋体"/>
                <w:i w:val="0"/>
                <w:iCs w:val="0"/>
                <w:color w:val="auto"/>
                <w:sz w:val="18"/>
                <w:szCs w:val="18"/>
                <w:highlight w:val="none"/>
                <w:u w:val="none"/>
              </w:rPr>
            </w:pPr>
          </w:p>
        </w:tc>
        <w:tc>
          <w:tcPr>
            <w:tcW w:w="864" w:type="dxa"/>
            <w:vMerge w:val="continue"/>
            <w:tcBorders>
              <w:top w:val="single" w:color="auto" w:sz="4" w:space="0"/>
              <w:left w:val="single" w:color="auto" w:sz="4" w:space="0"/>
              <w:bottom w:val="single" w:color="auto" w:sz="4" w:space="0"/>
              <w:right w:val="single" w:color="auto" w:sz="4" w:space="0"/>
            </w:tcBorders>
            <w:noWrap w:val="0"/>
            <w:vAlign w:val="center"/>
          </w:tcPr>
          <w:p w14:paraId="5A750C3A">
            <w:pPr>
              <w:jc w:val="center"/>
              <w:rPr>
                <w:rFonts w:hint="eastAsia" w:ascii="宋体" w:hAnsi="宋体" w:eastAsia="宋体" w:cs="宋体"/>
                <w:i w:val="0"/>
                <w:iCs w:val="0"/>
                <w:color w:val="auto"/>
                <w:sz w:val="18"/>
                <w:szCs w:val="18"/>
                <w:highlight w:val="none"/>
                <w:u w:val="none"/>
              </w:rPr>
            </w:pPr>
          </w:p>
        </w:tc>
        <w:tc>
          <w:tcPr>
            <w:tcW w:w="828" w:type="dxa"/>
            <w:tcBorders>
              <w:top w:val="single" w:color="auto" w:sz="4" w:space="0"/>
              <w:left w:val="single" w:color="auto" w:sz="4" w:space="0"/>
              <w:bottom w:val="single" w:color="auto" w:sz="4" w:space="0"/>
              <w:right w:val="single" w:color="auto" w:sz="4" w:space="0"/>
            </w:tcBorders>
            <w:noWrap w:val="0"/>
            <w:vAlign w:val="center"/>
          </w:tcPr>
          <w:p w14:paraId="5D0B6BEF">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护栏横梁中心高度</w:t>
            </w:r>
          </w:p>
        </w:tc>
        <w:tc>
          <w:tcPr>
            <w:tcW w:w="1026" w:type="dxa"/>
            <w:tcBorders>
              <w:top w:val="single" w:color="auto" w:sz="4" w:space="0"/>
              <w:left w:val="single" w:color="auto" w:sz="4" w:space="0"/>
              <w:bottom w:val="single" w:color="auto" w:sz="4" w:space="0"/>
              <w:right w:val="single" w:color="auto" w:sz="4" w:space="0"/>
            </w:tcBorders>
            <w:noWrap w:val="0"/>
            <w:vAlign w:val="center"/>
          </w:tcPr>
          <w:p w14:paraId="61892245">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采用水平尺和 钢卷尺检测。</w:t>
            </w:r>
          </w:p>
        </w:tc>
        <w:tc>
          <w:tcPr>
            <w:tcW w:w="553" w:type="dxa"/>
            <w:tcBorders>
              <w:top w:val="single" w:color="auto" w:sz="4" w:space="0"/>
              <w:left w:val="single" w:color="auto" w:sz="4" w:space="0"/>
              <w:bottom w:val="single" w:color="auto" w:sz="4" w:space="0"/>
              <w:right w:val="single" w:color="auto" w:sz="4" w:space="0"/>
            </w:tcBorders>
            <w:noWrap w:val="0"/>
            <w:vAlign w:val="center"/>
          </w:tcPr>
          <w:p w14:paraId="031B8E8C">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处</w:t>
            </w:r>
          </w:p>
        </w:tc>
        <w:tc>
          <w:tcPr>
            <w:tcW w:w="851" w:type="dxa"/>
            <w:tcBorders>
              <w:top w:val="single" w:color="auto" w:sz="4" w:space="0"/>
              <w:left w:val="single" w:color="auto" w:sz="4" w:space="0"/>
              <w:bottom w:val="single" w:color="auto" w:sz="4" w:space="0"/>
              <w:right w:val="single" w:color="auto" w:sz="4" w:space="0"/>
            </w:tcBorders>
            <w:noWrap w:val="0"/>
            <w:vAlign w:val="center"/>
          </w:tcPr>
          <w:p w14:paraId="4B9F89B6">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38</w:t>
            </w:r>
          </w:p>
        </w:tc>
        <w:tc>
          <w:tcPr>
            <w:tcW w:w="851" w:type="dxa"/>
            <w:tcBorders>
              <w:top w:val="single" w:color="auto" w:sz="4" w:space="0"/>
              <w:left w:val="single" w:color="auto" w:sz="4" w:space="0"/>
              <w:bottom w:val="single" w:color="auto" w:sz="4" w:space="0"/>
              <w:right w:val="single" w:color="auto" w:sz="4" w:space="0"/>
            </w:tcBorders>
            <w:noWrap w:val="0"/>
            <w:vAlign w:val="center"/>
          </w:tcPr>
          <w:p w14:paraId="4275884F">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38</w:t>
            </w:r>
          </w:p>
        </w:tc>
        <w:tc>
          <w:tcPr>
            <w:tcW w:w="851" w:type="dxa"/>
            <w:tcBorders>
              <w:top w:val="single" w:color="auto" w:sz="4" w:space="0"/>
              <w:left w:val="single" w:color="auto" w:sz="4" w:space="0"/>
              <w:bottom w:val="single" w:color="auto" w:sz="4" w:space="0"/>
              <w:right w:val="single" w:color="auto" w:sz="4" w:space="0"/>
            </w:tcBorders>
            <w:noWrap w:val="0"/>
            <w:vAlign w:val="center"/>
          </w:tcPr>
          <w:p w14:paraId="52BE366A">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38</w:t>
            </w:r>
          </w:p>
        </w:tc>
        <w:tc>
          <w:tcPr>
            <w:tcW w:w="852" w:type="dxa"/>
            <w:tcBorders>
              <w:top w:val="single" w:color="auto" w:sz="4" w:space="0"/>
              <w:left w:val="single" w:color="auto" w:sz="4" w:space="0"/>
              <w:bottom w:val="single" w:color="auto" w:sz="4" w:space="0"/>
              <w:right w:val="single" w:color="auto" w:sz="4" w:space="0"/>
            </w:tcBorders>
            <w:noWrap w:val="0"/>
            <w:vAlign w:val="center"/>
          </w:tcPr>
          <w:p w14:paraId="59721516">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38</w:t>
            </w:r>
          </w:p>
        </w:tc>
        <w:tc>
          <w:tcPr>
            <w:tcW w:w="554" w:type="dxa"/>
            <w:tcBorders>
              <w:top w:val="single" w:color="auto" w:sz="4" w:space="0"/>
              <w:left w:val="single" w:color="auto" w:sz="4" w:space="0"/>
              <w:bottom w:val="single" w:color="auto" w:sz="4" w:space="0"/>
              <w:right w:val="single" w:color="auto" w:sz="4" w:space="0"/>
            </w:tcBorders>
            <w:noWrap w:val="0"/>
            <w:vAlign w:val="center"/>
          </w:tcPr>
          <w:p w14:paraId="63F0DF10">
            <w:pPr>
              <w:jc w:val="center"/>
              <w:rPr>
                <w:rFonts w:hint="eastAsia" w:ascii="宋体" w:hAnsi="宋体" w:eastAsia="宋体" w:cs="宋体"/>
                <w:i w:val="0"/>
                <w:iCs w:val="0"/>
                <w:color w:val="auto"/>
                <w:sz w:val="18"/>
                <w:szCs w:val="18"/>
                <w:highlight w:val="none"/>
                <w:u w:val="none"/>
              </w:rPr>
            </w:pPr>
          </w:p>
        </w:tc>
      </w:tr>
      <w:tr w14:paraId="3AC181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0" w:hRule="atLeast"/>
        </w:trPr>
        <w:tc>
          <w:tcPr>
            <w:tcW w:w="584" w:type="dxa"/>
            <w:tcBorders>
              <w:top w:val="single" w:color="auto" w:sz="4" w:space="0"/>
              <w:left w:val="single" w:color="auto" w:sz="4" w:space="0"/>
              <w:bottom w:val="single" w:color="auto" w:sz="4" w:space="0"/>
              <w:right w:val="single" w:color="auto" w:sz="4" w:space="0"/>
            </w:tcBorders>
            <w:noWrap w:val="0"/>
            <w:vAlign w:val="center"/>
          </w:tcPr>
          <w:p w14:paraId="0C58F03F">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49</w:t>
            </w:r>
          </w:p>
        </w:tc>
        <w:tc>
          <w:tcPr>
            <w:tcW w:w="690" w:type="dxa"/>
            <w:vMerge w:val="continue"/>
            <w:tcBorders>
              <w:top w:val="single" w:color="auto" w:sz="4" w:space="0"/>
              <w:left w:val="single" w:color="auto" w:sz="4" w:space="0"/>
              <w:bottom w:val="single" w:color="auto" w:sz="4" w:space="0"/>
              <w:right w:val="single" w:color="auto" w:sz="4" w:space="0"/>
            </w:tcBorders>
            <w:noWrap w:val="0"/>
            <w:vAlign w:val="center"/>
          </w:tcPr>
          <w:p w14:paraId="30D12F7D">
            <w:pPr>
              <w:jc w:val="center"/>
              <w:rPr>
                <w:rFonts w:hint="eastAsia" w:ascii="宋体" w:hAnsi="宋体" w:eastAsia="宋体" w:cs="宋体"/>
                <w:i w:val="0"/>
                <w:iCs w:val="0"/>
                <w:color w:val="auto"/>
                <w:sz w:val="18"/>
                <w:szCs w:val="18"/>
                <w:highlight w:val="none"/>
                <w:u w:val="none"/>
              </w:rPr>
            </w:pPr>
          </w:p>
        </w:tc>
        <w:tc>
          <w:tcPr>
            <w:tcW w:w="864" w:type="dxa"/>
            <w:vMerge w:val="continue"/>
            <w:tcBorders>
              <w:top w:val="single" w:color="auto" w:sz="4" w:space="0"/>
              <w:left w:val="single" w:color="auto" w:sz="4" w:space="0"/>
              <w:bottom w:val="single" w:color="auto" w:sz="4" w:space="0"/>
              <w:right w:val="single" w:color="auto" w:sz="4" w:space="0"/>
            </w:tcBorders>
            <w:noWrap w:val="0"/>
            <w:vAlign w:val="center"/>
          </w:tcPr>
          <w:p w14:paraId="1DC5F6C4">
            <w:pPr>
              <w:jc w:val="center"/>
              <w:rPr>
                <w:rFonts w:hint="eastAsia" w:ascii="宋体" w:hAnsi="宋体" w:eastAsia="宋体" w:cs="宋体"/>
                <w:i w:val="0"/>
                <w:iCs w:val="0"/>
                <w:color w:val="auto"/>
                <w:sz w:val="18"/>
                <w:szCs w:val="18"/>
                <w:highlight w:val="none"/>
                <w:u w:val="none"/>
              </w:rPr>
            </w:pPr>
          </w:p>
        </w:tc>
        <w:tc>
          <w:tcPr>
            <w:tcW w:w="828" w:type="dxa"/>
            <w:tcBorders>
              <w:top w:val="single" w:color="auto" w:sz="4" w:space="0"/>
              <w:left w:val="single" w:color="auto" w:sz="4" w:space="0"/>
              <w:bottom w:val="single" w:color="auto" w:sz="4" w:space="0"/>
              <w:right w:val="single" w:color="auto" w:sz="4" w:space="0"/>
            </w:tcBorders>
            <w:noWrap w:val="0"/>
            <w:vAlign w:val="center"/>
          </w:tcPr>
          <w:p w14:paraId="636A9C92">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护栏立柱埋入深度</w:t>
            </w:r>
          </w:p>
        </w:tc>
        <w:tc>
          <w:tcPr>
            <w:tcW w:w="1026" w:type="dxa"/>
            <w:tcBorders>
              <w:top w:val="single" w:color="auto" w:sz="4" w:space="0"/>
              <w:left w:val="single" w:color="auto" w:sz="4" w:space="0"/>
              <w:bottom w:val="single" w:color="auto" w:sz="4" w:space="0"/>
              <w:right w:val="single" w:color="auto" w:sz="4" w:space="0"/>
            </w:tcBorders>
            <w:noWrap w:val="0"/>
            <w:vAlign w:val="center"/>
          </w:tcPr>
          <w:p w14:paraId="4771F4CD">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采用直尺检测。</w:t>
            </w:r>
          </w:p>
        </w:tc>
        <w:tc>
          <w:tcPr>
            <w:tcW w:w="553" w:type="dxa"/>
            <w:tcBorders>
              <w:top w:val="single" w:color="auto" w:sz="4" w:space="0"/>
              <w:left w:val="single" w:color="auto" w:sz="4" w:space="0"/>
              <w:bottom w:val="single" w:color="auto" w:sz="4" w:space="0"/>
              <w:right w:val="single" w:color="auto" w:sz="4" w:space="0"/>
            </w:tcBorders>
            <w:noWrap w:val="0"/>
            <w:vAlign w:val="center"/>
          </w:tcPr>
          <w:p w14:paraId="17DD6DDE">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处</w:t>
            </w:r>
          </w:p>
        </w:tc>
        <w:tc>
          <w:tcPr>
            <w:tcW w:w="851" w:type="dxa"/>
            <w:tcBorders>
              <w:top w:val="single" w:color="auto" w:sz="4" w:space="0"/>
              <w:left w:val="single" w:color="auto" w:sz="4" w:space="0"/>
              <w:bottom w:val="single" w:color="auto" w:sz="4" w:space="0"/>
              <w:right w:val="single" w:color="auto" w:sz="4" w:space="0"/>
            </w:tcBorders>
            <w:noWrap w:val="0"/>
            <w:vAlign w:val="center"/>
          </w:tcPr>
          <w:p w14:paraId="59CF2C3B">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37</w:t>
            </w:r>
          </w:p>
        </w:tc>
        <w:tc>
          <w:tcPr>
            <w:tcW w:w="851" w:type="dxa"/>
            <w:tcBorders>
              <w:top w:val="single" w:color="auto" w:sz="4" w:space="0"/>
              <w:left w:val="single" w:color="auto" w:sz="4" w:space="0"/>
              <w:bottom w:val="single" w:color="auto" w:sz="4" w:space="0"/>
              <w:right w:val="single" w:color="auto" w:sz="4" w:space="0"/>
            </w:tcBorders>
            <w:noWrap w:val="0"/>
            <w:vAlign w:val="center"/>
          </w:tcPr>
          <w:p w14:paraId="05BE45F2">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37</w:t>
            </w:r>
          </w:p>
        </w:tc>
        <w:tc>
          <w:tcPr>
            <w:tcW w:w="851" w:type="dxa"/>
            <w:tcBorders>
              <w:top w:val="single" w:color="auto" w:sz="4" w:space="0"/>
              <w:left w:val="single" w:color="auto" w:sz="4" w:space="0"/>
              <w:bottom w:val="single" w:color="auto" w:sz="4" w:space="0"/>
              <w:right w:val="single" w:color="auto" w:sz="4" w:space="0"/>
            </w:tcBorders>
            <w:noWrap w:val="0"/>
            <w:vAlign w:val="center"/>
          </w:tcPr>
          <w:p w14:paraId="3AAC2646">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37</w:t>
            </w:r>
          </w:p>
        </w:tc>
        <w:tc>
          <w:tcPr>
            <w:tcW w:w="852" w:type="dxa"/>
            <w:tcBorders>
              <w:top w:val="single" w:color="auto" w:sz="4" w:space="0"/>
              <w:left w:val="single" w:color="auto" w:sz="4" w:space="0"/>
              <w:bottom w:val="single" w:color="auto" w:sz="4" w:space="0"/>
              <w:right w:val="single" w:color="auto" w:sz="4" w:space="0"/>
            </w:tcBorders>
            <w:noWrap w:val="0"/>
            <w:vAlign w:val="center"/>
          </w:tcPr>
          <w:p w14:paraId="57763949">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37</w:t>
            </w:r>
          </w:p>
        </w:tc>
        <w:tc>
          <w:tcPr>
            <w:tcW w:w="554" w:type="dxa"/>
            <w:tcBorders>
              <w:top w:val="single" w:color="auto" w:sz="4" w:space="0"/>
              <w:left w:val="single" w:color="auto" w:sz="4" w:space="0"/>
              <w:bottom w:val="single" w:color="auto" w:sz="4" w:space="0"/>
              <w:right w:val="single" w:color="auto" w:sz="4" w:space="0"/>
            </w:tcBorders>
            <w:noWrap w:val="0"/>
            <w:vAlign w:val="center"/>
          </w:tcPr>
          <w:p w14:paraId="43EBF10E">
            <w:pPr>
              <w:jc w:val="center"/>
              <w:rPr>
                <w:rFonts w:hint="eastAsia" w:ascii="宋体" w:hAnsi="宋体" w:eastAsia="宋体" w:cs="宋体"/>
                <w:i w:val="0"/>
                <w:iCs w:val="0"/>
                <w:color w:val="auto"/>
                <w:sz w:val="18"/>
                <w:szCs w:val="18"/>
                <w:highlight w:val="none"/>
                <w:u w:val="none"/>
              </w:rPr>
            </w:pPr>
          </w:p>
        </w:tc>
      </w:tr>
      <w:tr w14:paraId="6993494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0" w:hRule="atLeast"/>
        </w:trPr>
        <w:tc>
          <w:tcPr>
            <w:tcW w:w="584" w:type="dxa"/>
            <w:tcBorders>
              <w:top w:val="single" w:color="auto" w:sz="4" w:space="0"/>
              <w:left w:val="single" w:color="auto" w:sz="4" w:space="0"/>
              <w:bottom w:val="single" w:color="auto" w:sz="4" w:space="0"/>
              <w:right w:val="single" w:color="auto" w:sz="4" w:space="0"/>
            </w:tcBorders>
            <w:noWrap w:val="0"/>
            <w:vAlign w:val="center"/>
          </w:tcPr>
          <w:p w14:paraId="573B1A7A">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50</w:t>
            </w:r>
          </w:p>
        </w:tc>
        <w:tc>
          <w:tcPr>
            <w:tcW w:w="690" w:type="dxa"/>
            <w:vMerge w:val="continue"/>
            <w:tcBorders>
              <w:top w:val="single" w:color="auto" w:sz="4" w:space="0"/>
              <w:left w:val="single" w:color="auto" w:sz="4" w:space="0"/>
              <w:bottom w:val="single" w:color="auto" w:sz="4" w:space="0"/>
              <w:right w:val="single" w:color="auto" w:sz="4" w:space="0"/>
            </w:tcBorders>
            <w:noWrap w:val="0"/>
            <w:vAlign w:val="center"/>
          </w:tcPr>
          <w:p w14:paraId="1385A34F">
            <w:pPr>
              <w:jc w:val="center"/>
              <w:rPr>
                <w:rFonts w:hint="eastAsia" w:ascii="宋体" w:hAnsi="宋体" w:eastAsia="宋体" w:cs="宋体"/>
                <w:i w:val="0"/>
                <w:iCs w:val="0"/>
                <w:color w:val="auto"/>
                <w:sz w:val="18"/>
                <w:szCs w:val="18"/>
                <w:highlight w:val="none"/>
                <w:u w:val="none"/>
              </w:rPr>
            </w:pPr>
          </w:p>
        </w:tc>
        <w:tc>
          <w:tcPr>
            <w:tcW w:w="864" w:type="dxa"/>
            <w:tcBorders>
              <w:top w:val="single" w:color="auto" w:sz="4" w:space="0"/>
              <w:left w:val="single" w:color="auto" w:sz="4" w:space="0"/>
              <w:bottom w:val="single" w:color="auto" w:sz="4" w:space="0"/>
              <w:right w:val="single" w:color="auto" w:sz="4" w:space="0"/>
            </w:tcBorders>
            <w:noWrap w:val="0"/>
            <w:vAlign w:val="center"/>
          </w:tcPr>
          <w:p w14:paraId="5426E617">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标线</w:t>
            </w:r>
          </w:p>
        </w:tc>
        <w:tc>
          <w:tcPr>
            <w:tcW w:w="828" w:type="dxa"/>
            <w:tcBorders>
              <w:top w:val="single" w:color="auto" w:sz="4" w:space="0"/>
              <w:left w:val="single" w:color="auto" w:sz="4" w:space="0"/>
              <w:bottom w:val="single" w:color="auto" w:sz="4" w:space="0"/>
              <w:right w:val="single" w:color="auto" w:sz="4" w:space="0"/>
            </w:tcBorders>
            <w:noWrap w:val="0"/>
            <w:vAlign w:val="center"/>
          </w:tcPr>
          <w:p w14:paraId="50FC6345">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厚度</w:t>
            </w:r>
          </w:p>
        </w:tc>
        <w:tc>
          <w:tcPr>
            <w:tcW w:w="1026" w:type="dxa"/>
            <w:tcBorders>
              <w:top w:val="single" w:color="auto" w:sz="4" w:space="0"/>
              <w:left w:val="single" w:color="auto" w:sz="4" w:space="0"/>
              <w:bottom w:val="single" w:color="auto" w:sz="4" w:space="0"/>
              <w:right w:val="single" w:color="auto" w:sz="4" w:space="0"/>
            </w:tcBorders>
            <w:noWrap w:val="0"/>
            <w:vAlign w:val="center"/>
          </w:tcPr>
          <w:p w14:paraId="4ACCDB5E">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采用测厚仪检测。</w:t>
            </w:r>
          </w:p>
        </w:tc>
        <w:tc>
          <w:tcPr>
            <w:tcW w:w="553" w:type="dxa"/>
            <w:tcBorders>
              <w:top w:val="single" w:color="auto" w:sz="4" w:space="0"/>
              <w:left w:val="single" w:color="auto" w:sz="4" w:space="0"/>
              <w:bottom w:val="single" w:color="auto" w:sz="4" w:space="0"/>
              <w:right w:val="single" w:color="auto" w:sz="4" w:space="0"/>
            </w:tcBorders>
            <w:noWrap w:val="0"/>
            <w:vAlign w:val="center"/>
          </w:tcPr>
          <w:p w14:paraId="74D28CEE">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处</w:t>
            </w:r>
          </w:p>
        </w:tc>
        <w:tc>
          <w:tcPr>
            <w:tcW w:w="851" w:type="dxa"/>
            <w:tcBorders>
              <w:top w:val="single" w:color="auto" w:sz="4" w:space="0"/>
              <w:left w:val="single" w:color="auto" w:sz="4" w:space="0"/>
              <w:bottom w:val="single" w:color="auto" w:sz="4" w:space="0"/>
              <w:right w:val="single" w:color="auto" w:sz="4" w:space="0"/>
            </w:tcBorders>
            <w:noWrap w:val="0"/>
            <w:vAlign w:val="center"/>
          </w:tcPr>
          <w:p w14:paraId="36257772">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37</w:t>
            </w:r>
          </w:p>
        </w:tc>
        <w:tc>
          <w:tcPr>
            <w:tcW w:w="851" w:type="dxa"/>
            <w:tcBorders>
              <w:top w:val="single" w:color="auto" w:sz="4" w:space="0"/>
              <w:left w:val="single" w:color="auto" w:sz="4" w:space="0"/>
              <w:bottom w:val="single" w:color="auto" w:sz="4" w:space="0"/>
              <w:right w:val="single" w:color="auto" w:sz="4" w:space="0"/>
            </w:tcBorders>
            <w:noWrap w:val="0"/>
            <w:vAlign w:val="center"/>
          </w:tcPr>
          <w:p w14:paraId="16B9F10A">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37</w:t>
            </w:r>
          </w:p>
        </w:tc>
        <w:tc>
          <w:tcPr>
            <w:tcW w:w="851" w:type="dxa"/>
            <w:tcBorders>
              <w:top w:val="single" w:color="auto" w:sz="4" w:space="0"/>
              <w:left w:val="single" w:color="auto" w:sz="4" w:space="0"/>
              <w:bottom w:val="single" w:color="auto" w:sz="4" w:space="0"/>
              <w:right w:val="single" w:color="auto" w:sz="4" w:space="0"/>
            </w:tcBorders>
            <w:noWrap w:val="0"/>
            <w:vAlign w:val="center"/>
          </w:tcPr>
          <w:p w14:paraId="687503BC">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37</w:t>
            </w:r>
          </w:p>
        </w:tc>
        <w:tc>
          <w:tcPr>
            <w:tcW w:w="852" w:type="dxa"/>
            <w:tcBorders>
              <w:top w:val="single" w:color="auto" w:sz="4" w:space="0"/>
              <w:left w:val="single" w:color="auto" w:sz="4" w:space="0"/>
              <w:bottom w:val="single" w:color="auto" w:sz="4" w:space="0"/>
              <w:right w:val="single" w:color="auto" w:sz="4" w:space="0"/>
            </w:tcBorders>
            <w:noWrap w:val="0"/>
            <w:vAlign w:val="center"/>
          </w:tcPr>
          <w:p w14:paraId="6915D983">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37</w:t>
            </w:r>
          </w:p>
        </w:tc>
        <w:tc>
          <w:tcPr>
            <w:tcW w:w="554" w:type="dxa"/>
            <w:tcBorders>
              <w:top w:val="single" w:color="auto" w:sz="4" w:space="0"/>
              <w:left w:val="single" w:color="auto" w:sz="4" w:space="0"/>
              <w:bottom w:val="single" w:color="auto" w:sz="4" w:space="0"/>
              <w:right w:val="single" w:color="auto" w:sz="4" w:space="0"/>
            </w:tcBorders>
            <w:noWrap w:val="0"/>
            <w:vAlign w:val="center"/>
          </w:tcPr>
          <w:p w14:paraId="61D0DFAC">
            <w:pPr>
              <w:jc w:val="center"/>
              <w:rPr>
                <w:rFonts w:hint="eastAsia" w:ascii="宋体" w:hAnsi="宋体" w:eastAsia="宋体" w:cs="宋体"/>
                <w:i w:val="0"/>
                <w:iCs w:val="0"/>
                <w:color w:val="auto"/>
                <w:sz w:val="18"/>
                <w:szCs w:val="18"/>
                <w:highlight w:val="none"/>
                <w:u w:val="none"/>
              </w:rPr>
            </w:pPr>
          </w:p>
        </w:tc>
      </w:tr>
      <w:tr w14:paraId="58459B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0" w:hRule="atLeast"/>
        </w:trPr>
        <w:tc>
          <w:tcPr>
            <w:tcW w:w="584" w:type="dxa"/>
            <w:tcBorders>
              <w:top w:val="single" w:color="auto" w:sz="4" w:space="0"/>
              <w:left w:val="single" w:color="auto" w:sz="4" w:space="0"/>
              <w:bottom w:val="single" w:color="auto" w:sz="4" w:space="0"/>
              <w:right w:val="single" w:color="auto" w:sz="4" w:space="0"/>
            </w:tcBorders>
            <w:noWrap w:val="0"/>
            <w:vAlign w:val="center"/>
          </w:tcPr>
          <w:p w14:paraId="3F11E915">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51</w:t>
            </w:r>
          </w:p>
        </w:tc>
        <w:tc>
          <w:tcPr>
            <w:tcW w:w="690" w:type="dxa"/>
            <w:vMerge w:val="restart"/>
            <w:tcBorders>
              <w:top w:val="single" w:color="auto" w:sz="4" w:space="0"/>
              <w:left w:val="single" w:color="auto" w:sz="4" w:space="0"/>
              <w:bottom w:val="single" w:color="auto" w:sz="4" w:space="0"/>
              <w:right w:val="single" w:color="auto" w:sz="4" w:space="0"/>
            </w:tcBorders>
            <w:noWrap w:val="0"/>
            <w:vAlign w:val="center"/>
          </w:tcPr>
          <w:p w14:paraId="6F126F02">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原材 料</w:t>
            </w:r>
          </w:p>
        </w:tc>
        <w:tc>
          <w:tcPr>
            <w:tcW w:w="864" w:type="dxa"/>
            <w:tcBorders>
              <w:top w:val="single" w:color="auto" w:sz="4" w:space="0"/>
              <w:left w:val="single" w:color="auto" w:sz="4" w:space="0"/>
              <w:bottom w:val="single" w:color="auto" w:sz="4" w:space="0"/>
              <w:right w:val="single" w:color="auto" w:sz="4" w:space="0"/>
            </w:tcBorders>
            <w:noWrap w:val="0"/>
            <w:vAlign w:val="center"/>
          </w:tcPr>
          <w:p w14:paraId="37A997E3">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水泥</w:t>
            </w:r>
          </w:p>
        </w:tc>
        <w:tc>
          <w:tcPr>
            <w:tcW w:w="1854" w:type="dxa"/>
            <w:gridSpan w:val="2"/>
            <w:tcBorders>
              <w:top w:val="single" w:color="auto" w:sz="4" w:space="0"/>
              <w:left w:val="single" w:color="auto" w:sz="4" w:space="0"/>
              <w:bottom w:val="single" w:color="auto" w:sz="4" w:space="0"/>
              <w:right w:val="single" w:color="auto" w:sz="4" w:space="0"/>
            </w:tcBorders>
            <w:noWrap w:val="0"/>
            <w:vAlign w:val="center"/>
          </w:tcPr>
          <w:p w14:paraId="28BEC475">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安定性，凝结时间，胶砂强度</w:t>
            </w:r>
          </w:p>
        </w:tc>
        <w:tc>
          <w:tcPr>
            <w:tcW w:w="553" w:type="dxa"/>
            <w:tcBorders>
              <w:top w:val="single" w:color="auto" w:sz="4" w:space="0"/>
              <w:left w:val="single" w:color="auto" w:sz="4" w:space="0"/>
              <w:bottom w:val="single" w:color="auto" w:sz="4" w:space="0"/>
              <w:right w:val="single" w:color="auto" w:sz="4" w:space="0"/>
            </w:tcBorders>
            <w:noWrap w:val="0"/>
            <w:vAlign w:val="center"/>
          </w:tcPr>
          <w:p w14:paraId="4BC01A4C">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组</w:t>
            </w:r>
          </w:p>
        </w:tc>
        <w:tc>
          <w:tcPr>
            <w:tcW w:w="851" w:type="dxa"/>
            <w:tcBorders>
              <w:top w:val="single" w:color="auto" w:sz="4" w:space="0"/>
              <w:left w:val="single" w:color="auto" w:sz="4" w:space="0"/>
              <w:bottom w:val="single" w:color="auto" w:sz="4" w:space="0"/>
              <w:right w:val="single" w:color="auto" w:sz="4" w:space="0"/>
            </w:tcBorders>
            <w:noWrap w:val="0"/>
            <w:vAlign w:val="center"/>
          </w:tcPr>
          <w:p w14:paraId="3EAE175A">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30</w:t>
            </w:r>
          </w:p>
        </w:tc>
        <w:tc>
          <w:tcPr>
            <w:tcW w:w="851" w:type="dxa"/>
            <w:tcBorders>
              <w:top w:val="single" w:color="auto" w:sz="4" w:space="0"/>
              <w:left w:val="single" w:color="auto" w:sz="4" w:space="0"/>
              <w:bottom w:val="single" w:color="auto" w:sz="4" w:space="0"/>
              <w:right w:val="single" w:color="auto" w:sz="4" w:space="0"/>
            </w:tcBorders>
            <w:noWrap w:val="0"/>
            <w:vAlign w:val="center"/>
          </w:tcPr>
          <w:p w14:paraId="2916F8E3">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30</w:t>
            </w:r>
          </w:p>
        </w:tc>
        <w:tc>
          <w:tcPr>
            <w:tcW w:w="851" w:type="dxa"/>
            <w:tcBorders>
              <w:top w:val="single" w:color="auto" w:sz="4" w:space="0"/>
              <w:left w:val="single" w:color="auto" w:sz="4" w:space="0"/>
              <w:bottom w:val="single" w:color="auto" w:sz="4" w:space="0"/>
              <w:right w:val="single" w:color="auto" w:sz="4" w:space="0"/>
            </w:tcBorders>
            <w:noWrap w:val="0"/>
            <w:vAlign w:val="center"/>
          </w:tcPr>
          <w:p w14:paraId="465EFA8D">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30</w:t>
            </w:r>
          </w:p>
        </w:tc>
        <w:tc>
          <w:tcPr>
            <w:tcW w:w="852" w:type="dxa"/>
            <w:tcBorders>
              <w:top w:val="single" w:color="auto" w:sz="4" w:space="0"/>
              <w:left w:val="single" w:color="auto" w:sz="4" w:space="0"/>
              <w:bottom w:val="single" w:color="auto" w:sz="4" w:space="0"/>
              <w:right w:val="single" w:color="auto" w:sz="4" w:space="0"/>
            </w:tcBorders>
            <w:noWrap w:val="0"/>
            <w:vAlign w:val="center"/>
          </w:tcPr>
          <w:p w14:paraId="5956E86F">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30</w:t>
            </w:r>
          </w:p>
        </w:tc>
        <w:tc>
          <w:tcPr>
            <w:tcW w:w="554" w:type="dxa"/>
            <w:tcBorders>
              <w:top w:val="single" w:color="auto" w:sz="4" w:space="0"/>
              <w:left w:val="single" w:color="auto" w:sz="4" w:space="0"/>
              <w:bottom w:val="single" w:color="auto" w:sz="4" w:space="0"/>
              <w:right w:val="single" w:color="auto" w:sz="4" w:space="0"/>
            </w:tcBorders>
            <w:noWrap w:val="0"/>
            <w:vAlign w:val="center"/>
          </w:tcPr>
          <w:p w14:paraId="4D5EEFC9">
            <w:pPr>
              <w:jc w:val="center"/>
              <w:rPr>
                <w:rFonts w:hint="eastAsia" w:ascii="宋体" w:hAnsi="宋体" w:eastAsia="宋体" w:cs="宋体"/>
                <w:i w:val="0"/>
                <w:iCs w:val="0"/>
                <w:color w:val="auto"/>
                <w:sz w:val="18"/>
                <w:szCs w:val="18"/>
                <w:highlight w:val="none"/>
                <w:u w:val="none"/>
              </w:rPr>
            </w:pPr>
          </w:p>
        </w:tc>
      </w:tr>
      <w:tr w14:paraId="26A7605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0" w:hRule="atLeast"/>
        </w:trPr>
        <w:tc>
          <w:tcPr>
            <w:tcW w:w="584" w:type="dxa"/>
            <w:tcBorders>
              <w:top w:val="single" w:color="auto" w:sz="4" w:space="0"/>
              <w:left w:val="single" w:color="auto" w:sz="4" w:space="0"/>
              <w:bottom w:val="single" w:color="auto" w:sz="4" w:space="0"/>
              <w:right w:val="single" w:color="auto" w:sz="4" w:space="0"/>
            </w:tcBorders>
            <w:noWrap w:val="0"/>
            <w:vAlign w:val="center"/>
          </w:tcPr>
          <w:p w14:paraId="4CF2C1AB">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52</w:t>
            </w:r>
          </w:p>
        </w:tc>
        <w:tc>
          <w:tcPr>
            <w:tcW w:w="690" w:type="dxa"/>
            <w:vMerge w:val="continue"/>
            <w:tcBorders>
              <w:top w:val="single" w:color="auto" w:sz="4" w:space="0"/>
              <w:left w:val="single" w:color="auto" w:sz="4" w:space="0"/>
              <w:bottom w:val="single" w:color="auto" w:sz="4" w:space="0"/>
              <w:right w:val="single" w:color="auto" w:sz="4" w:space="0"/>
            </w:tcBorders>
            <w:noWrap w:val="0"/>
            <w:vAlign w:val="center"/>
          </w:tcPr>
          <w:p w14:paraId="6F93CFC6">
            <w:pPr>
              <w:jc w:val="center"/>
              <w:rPr>
                <w:rFonts w:hint="eastAsia" w:ascii="宋体" w:hAnsi="宋体" w:eastAsia="宋体" w:cs="宋体"/>
                <w:i w:val="0"/>
                <w:iCs w:val="0"/>
                <w:color w:val="auto"/>
                <w:sz w:val="18"/>
                <w:szCs w:val="18"/>
                <w:highlight w:val="none"/>
                <w:u w:val="none"/>
              </w:rPr>
            </w:pPr>
          </w:p>
        </w:tc>
        <w:tc>
          <w:tcPr>
            <w:tcW w:w="864" w:type="dxa"/>
            <w:tcBorders>
              <w:top w:val="single" w:color="auto" w:sz="4" w:space="0"/>
              <w:left w:val="single" w:color="auto" w:sz="4" w:space="0"/>
              <w:bottom w:val="single" w:color="auto" w:sz="4" w:space="0"/>
              <w:right w:val="single" w:color="auto" w:sz="4" w:space="0"/>
            </w:tcBorders>
            <w:noWrap w:val="0"/>
            <w:vAlign w:val="center"/>
          </w:tcPr>
          <w:p w14:paraId="51824FAB">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外加剂</w:t>
            </w:r>
          </w:p>
        </w:tc>
        <w:tc>
          <w:tcPr>
            <w:tcW w:w="1854" w:type="dxa"/>
            <w:gridSpan w:val="2"/>
            <w:tcBorders>
              <w:top w:val="single" w:color="auto" w:sz="4" w:space="0"/>
              <w:left w:val="single" w:color="auto" w:sz="4" w:space="0"/>
              <w:bottom w:val="single" w:color="auto" w:sz="4" w:space="0"/>
              <w:right w:val="single" w:color="auto" w:sz="4" w:space="0"/>
            </w:tcBorders>
            <w:noWrap w:val="0"/>
            <w:vAlign w:val="center"/>
          </w:tcPr>
          <w:p w14:paraId="085FFB4E">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性能指标：减水率、泌水率比、 含气量、抗压强度比、收缩率 比、凝结时间差、碱含量、含 固量、氯离子含量、总碱量</w:t>
            </w:r>
          </w:p>
        </w:tc>
        <w:tc>
          <w:tcPr>
            <w:tcW w:w="553" w:type="dxa"/>
            <w:tcBorders>
              <w:top w:val="single" w:color="auto" w:sz="4" w:space="0"/>
              <w:left w:val="single" w:color="auto" w:sz="4" w:space="0"/>
              <w:bottom w:val="single" w:color="auto" w:sz="4" w:space="0"/>
              <w:right w:val="single" w:color="auto" w:sz="4" w:space="0"/>
            </w:tcBorders>
            <w:noWrap w:val="0"/>
            <w:vAlign w:val="center"/>
          </w:tcPr>
          <w:p w14:paraId="2CB06BED">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组</w:t>
            </w:r>
          </w:p>
        </w:tc>
        <w:tc>
          <w:tcPr>
            <w:tcW w:w="851" w:type="dxa"/>
            <w:tcBorders>
              <w:top w:val="single" w:color="auto" w:sz="4" w:space="0"/>
              <w:left w:val="single" w:color="auto" w:sz="4" w:space="0"/>
              <w:bottom w:val="single" w:color="auto" w:sz="4" w:space="0"/>
              <w:right w:val="single" w:color="auto" w:sz="4" w:space="0"/>
            </w:tcBorders>
            <w:noWrap w:val="0"/>
            <w:vAlign w:val="center"/>
          </w:tcPr>
          <w:p w14:paraId="7469CECB">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26</w:t>
            </w:r>
          </w:p>
        </w:tc>
        <w:tc>
          <w:tcPr>
            <w:tcW w:w="851" w:type="dxa"/>
            <w:tcBorders>
              <w:top w:val="single" w:color="auto" w:sz="4" w:space="0"/>
              <w:left w:val="single" w:color="auto" w:sz="4" w:space="0"/>
              <w:bottom w:val="single" w:color="auto" w:sz="4" w:space="0"/>
              <w:right w:val="single" w:color="auto" w:sz="4" w:space="0"/>
            </w:tcBorders>
            <w:noWrap w:val="0"/>
            <w:vAlign w:val="center"/>
          </w:tcPr>
          <w:p w14:paraId="5FACAAA4">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26</w:t>
            </w:r>
          </w:p>
        </w:tc>
        <w:tc>
          <w:tcPr>
            <w:tcW w:w="851" w:type="dxa"/>
            <w:tcBorders>
              <w:top w:val="single" w:color="auto" w:sz="4" w:space="0"/>
              <w:left w:val="single" w:color="auto" w:sz="4" w:space="0"/>
              <w:bottom w:val="single" w:color="auto" w:sz="4" w:space="0"/>
              <w:right w:val="single" w:color="auto" w:sz="4" w:space="0"/>
            </w:tcBorders>
            <w:noWrap w:val="0"/>
            <w:vAlign w:val="center"/>
          </w:tcPr>
          <w:p w14:paraId="2A525FEF">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26</w:t>
            </w:r>
          </w:p>
        </w:tc>
        <w:tc>
          <w:tcPr>
            <w:tcW w:w="852" w:type="dxa"/>
            <w:tcBorders>
              <w:top w:val="single" w:color="auto" w:sz="4" w:space="0"/>
              <w:left w:val="single" w:color="auto" w:sz="4" w:space="0"/>
              <w:bottom w:val="single" w:color="auto" w:sz="4" w:space="0"/>
              <w:right w:val="single" w:color="auto" w:sz="4" w:space="0"/>
            </w:tcBorders>
            <w:noWrap w:val="0"/>
            <w:vAlign w:val="center"/>
          </w:tcPr>
          <w:p w14:paraId="1112325E">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26</w:t>
            </w:r>
          </w:p>
        </w:tc>
        <w:tc>
          <w:tcPr>
            <w:tcW w:w="554" w:type="dxa"/>
            <w:tcBorders>
              <w:top w:val="single" w:color="auto" w:sz="4" w:space="0"/>
              <w:left w:val="single" w:color="auto" w:sz="4" w:space="0"/>
              <w:bottom w:val="single" w:color="auto" w:sz="4" w:space="0"/>
              <w:right w:val="single" w:color="auto" w:sz="4" w:space="0"/>
            </w:tcBorders>
            <w:noWrap w:val="0"/>
            <w:vAlign w:val="center"/>
          </w:tcPr>
          <w:p w14:paraId="0631C9D6">
            <w:pPr>
              <w:jc w:val="center"/>
              <w:rPr>
                <w:rFonts w:hint="eastAsia" w:ascii="宋体" w:hAnsi="宋体" w:eastAsia="宋体" w:cs="宋体"/>
                <w:i w:val="0"/>
                <w:iCs w:val="0"/>
                <w:color w:val="auto"/>
                <w:sz w:val="18"/>
                <w:szCs w:val="18"/>
                <w:highlight w:val="none"/>
                <w:u w:val="none"/>
              </w:rPr>
            </w:pPr>
          </w:p>
        </w:tc>
      </w:tr>
      <w:tr w14:paraId="5657607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0" w:hRule="atLeast"/>
        </w:trPr>
        <w:tc>
          <w:tcPr>
            <w:tcW w:w="584" w:type="dxa"/>
            <w:tcBorders>
              <w:top w:val="single" w:color="auto" w:sz="4" w:space="0"/>
              <w:left w:val="single" w:color="auto" w:sz="4" w:space="0"/>
              <w:bottom w:val="single" w:color="auto" w:sz="4" w:space="0"/>
              <w:right w:val="single" w:color="auto" w:sz="4" w:space="0"/>
            </w:tcBorders>
            <w:noWrap w:val="0"/>
            <w:vAlign w:val="center"/>
          </w:tcPr>
          <w:p w14:paraId="65093C0C">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53</w:t>
            </w:r>
          </w:p>
        </w:tc>
        <w:tc>
          <w:tcPr>
            <w:tcW w:w="690" w:type="dxa"/>
            <w:vMerge w:val="continue"/>
            <w:tcBorders>
              <w:top w:val="single" w:color="auto" w:sz="4" w:space="0"/>
              <w:left w:val="single" w:color="auto" w:sz="4" w:space="0"/>
              <w:bottom w:val="single" w:color="auto" w:sz="4" w:space="0"/>
              <w:right w:val="single" w:color="auto" w:sz="4" w:space="0"/>
            </w:tcBorders>
            <w:noWrap w:val="0"/>
            <w:vAlign w:val="center"/>
          </w:tcPr>
          <w:p w14:paraId="37CCA844">
            <w:pPr>
              <w:jc w:val="center"/>
              <w:rPr>
                <w:rFonts w:hint="eastAsia" w:ascii="宋体" w:hAnsi="宋体" w:eastAsia="宋体" w:cs="宋体"/>
                <w:i w:val="0"/>
                <w:iCs w:val="0"/>
                <w:color w:val="auto"/>
                <w:sz w:val="18"/>
                <w:szCs w:val="18"/>
                <w:highlight w:val="none"/>
                <w:u w:val="none"/>
              </w:rPr>
            </w:pPr>
          </w:p>
        </w:tc>
        <w:tc>
          <w:tcPr>
            <w:tcW w:w="864" w:type="dxa"/>
            <w:tcBorders>
              <w:top w:val="single" w:color="auto" w:sz="4" w:space="0"/>
              <w:left w:val="single" w:color="auto" w:sz="4" w:space="0"/>
              <w:bottom w:val="single" w:color="auto" w:sz="4" w:space="0"/>
              <w:right w:val="single" w:color="auto" w:sz="4" w:space="0"/>
            </w:tcBorders>
            <w:noWrap w:val="0"/>
            <w:vAlign w:val="center"/>
          </w:tcPr>
          <w:p w14:paraId="75F1094C">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速凝剂</w:t>
            </w:r>
          </w:p>
        </w:tc>
        <w:tc>
          <w:tcPr>
            <w:tcW w:w="1854" w:type="dxa"/>
            <w:gridSpan w:val="2"/>
            <w:tcBorders>
              <w:top w:val="single" w:color="auto" w:sz="4" w:space="0"/>
              <w:left w:val="single" w:color="auto" w:sz="4" w:space="0"/>
              <w:bottom w:val="single" w:color="auto" w:sz="4" w:space="0"/>
              <w:right w:val="single" w:color="auto" w:sz="4" w:space="0"/>
            </w:tcBorders>
            <w:noWrap w:val="0"/>
            <w:vAlign w:val="center"/>
          </w:tcPr>
          <w:p w14:paraId="19447AEF">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初凝试件、终凝时间、1d 抗 压强度、28d 抗压强度比</w:t>
            </w:r>
          </w:p>
        </w:tc>
        <w:tc>
          <w:tcPr>
            <w:tcW w:w="553" w:type="dxa"/>
            <w:tcBorders>
              <w:top w:val="single" w:color="auto" w:sz="4" w:space="0"/>
              <w:left w:val="single" w:color="auto" w:sz="4" w:space="0"/>
              <w:bottom w:val="single" w:color="auto" w:sz="4" w:space="0"/>
              <w:right w:val="single" w:color="auto" w:sz="4" w:space="0"/>
            </w:tcBorders>
            <w:noWrap w:val="0"/>
            <w:vAlign w:val="center"/>
          </w:tcPr>
          <w:p w14:paraId="3C2A5F25">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组</w:t>
            </w:r>
          </w:p>
        </w:tc>
        <w:tc>
          <w:tcPr>
            <w:tcW w:w="851" w:type="dxa"/>
            <w:tcBorders>
              <w:top w:val="single" w:color="auto" w:sz="4" w:space="0"/>
              <w:left w:val="single" w:color="auto" w:sz="4" w:space="0"/>
              <w:bottom w:val="single" w:color="auto" w:sz="4" w:space="0"/>
              <w:right w:val="single" w:color="auto" w:sz="4" w:space="0"/>
            </w:tcBorders>
            <w:noWrap w:val="0"/>
            <w:vAlign w:val="center"/>
          </w:tcPr>
          <w:p w14:paraId="13A2621A">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27</w:t>
            </w:r>
          </w:p>
        </w:tc>
        <w:tc>
          <w:tcPr>
            <w:tcW w:w="851" w:type="dxa"/>
            <w:tcBorders>
              <w:top w:val="single" w:color="auto" w:sz="4" w:space="0"/>
              <w:left w:val="single" w:color="auto" w:sz="4" w:space="0"/>
              <w:bottom w:val="single" w:color="auto" w:sz="4" w:space="0"/>
              <w:right w:val="single" w:color="auto" w:sz="4" w:space="0"/>
            </w:tcBorders>
            <w:noWrap w:val="0"/>
            <w:vAlign w:val="center"/>
          </w:tcPr>
          <w:p w14:paraId="6BD0B683">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27</w:t>
            </w:r>
          </w:p>
        </w:tc>
        <w:tc>
          <w:tcPr>
            <w:tcW w:w="851" w:type="dxa"/>
            <w:tcBorders>
              <w:top w:val="single" w:color="auto" w:sz="4" w:space="0"/>
              <w:left w:val="single" w:color="auto" w:sz="4" w:space="0"/>
              <w:bottom w:val="single" w:color="auto" w:sz="4" w:space="0"/>
              <w:right w:val="single" w:color="auto" w:sz="4" w:space="0"/>
            </w:tcBorders>
            <w:noWrap w:val="0"/>
            <w:vAlign w:val="center"/>
          </w:tcPr>
          <w:p w14:paraId="6B31C66D">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27</w:t>
            </w:r>
          </w:p>
        </w:tc>
        <w:tc>
          <w:tcPr>
            <w:tcW w:w="852" w:type="dxa"/>
            <w:tcBorders>
              <w:top w:val="single" w:color="auto" w:sz="4" w:space="0"/>
              <w:left w:val="single" w:color="auto" w:sz="4" w:space="0"/>
              <w:bottom w:val="single" w:color="auto" w:sz="4" w:space="0"/>
              <w:right w:val="single" w:color="auto" w:sz="4" w:space="0"/>
            </w:tcBorders>
            <w:noWrap w:val="0"/>
            <w:vAlign w:val="center"/>
          </w:tcPr>
          <w:p w14:paraId="35AA350E">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27</w:t>
            </w:r>
          </w:p>
        </w:tc>
        <w:tc>
          <w:tcPr>
            <w:tcW w:w="554" w:type="dxa"/>
            <w:tcBorders>
              <w:top w:val="single" w:color="auto" w:sz="4" w:space="0"/>
              <w:left w:val="single" w:color="auto" w:sz="4" w:space="0"/>
              <w:bottom w:val="single" w:color="auto" w:sz="4" w:space="0"/>
              <w:right w:val="single" w:color="auto" w:sz="4" w:space="0"/>
            </w:tcBorders>
            <w:noWrap w:val="0"/>
            <w:vAlign w:val="center"/>
          </w:tcPr>
          <w:p w14:paraId="4BEB1355">
            <w:pPr>
              <w:jc w:val="center"/>
              <w:rPr>
                <w:rFonts w:hint="eastAsia" w:ascii="宋体" w:hAnsi="宋体" w:eastAsia="宋体" w:cs="宋体"/>
                <w:i w:val="0"/>
                <w:iCs w:val="0"/>
                <w:color w:val="auto"/>
                <w:sz w:val="18"/>
                <w:szCs w:val="18"/>
                <w:highlight w:val="none"/>
                <w:u w:val="none"/>
              </w:rPr>
            </w:pPr>
          </w:p>
        </w:tc>
      </w:tr>
      <w:tr w14:paraId="4FD828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0" w:hRule="atLeast"/>
        </w:trPr>
        <w:tc>
          <w:tcPr>
            <w:tcW w:w="584" w:type="dxa"/>
            <w:tcBorders>
              <w:top w:val="single" w:color="auto" w:sz="4" w:space="0"/>
              <w:left w:val="single" w:color="auto" w:sz="4" w:space="0"/>
              <w:bottom w:val="single" w:color="auto" w:sz="4" w:space="0"/>
              <w:right w:val="single" w:color="auto" w:sz="4" w:space="0"/>
            </w:tcBorders>
            <w:noWrap w:val="0"/>
            <w:vAlign w:val="center"/>
          </w:tcPr>
          <w:p w14:paraId="0883B0CF">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54</w:t>
            </w:r>
          </w:p>
        </w:tc>
        <w:tc>
          <w:tcPr>
            <w:tcW w:w="690" w:type="dxa"/>
            <w:vMerge w:val="continue"/>
            <w:tcBorders>
              <w:top w:val="single" w:color="auto" w:sz="4" w:space="0"/>
              <w:left w:val="single" w:color="auto" w:sz="4" w:space="0"/>
              <w:bottom w:val="single" w:color="auto" w:sz="4" w:space="0"/>
              <w:right w:val="single" w:color="auto" w:sz="4" w:space="0"/>
            </w:tcBorders>
            <w:noWrap w:val="0"/>
            <w:vAlign w:val="center"/>
          </w:tcPr>
          <w:p w14:paraId="5FE651E5">
            <w:pPr>
              <w:jc w:val="center"/>
              <w:rPr>
                <w:rFonts w:hint="eastAsia" w:ascii="宋体" w:hAnsi="宋体" w:eastAsia="宋体" w:cs="宋体"/>
                <w:i w:val="0"/>
                <w:iCs w:val="0"/>
                <w:color w:val="auto"/>
                <w:sz w:val="18"/>
                <w:szCs w:val="18"/>
                <w:highlight w:val="none"/>
                <w:u w:val="none"/>
              </w:rPr>
            </w:pPr>
          </w:p>
        </w:tc>
        <w:tc>
          <w:tcPr>
            <w:tcW w:w="864" w:type="dxa"/>
            <w:tcBorders>
              <w:top w:val="single" w:color="auto" w:sz="4" w:space="0"/>
              <w:left w:val="single" w:color="auto" w:sz="4" w:space="0"/>
              <w:bottom w:val="single" w:color="auto" w:sz="4" w:space="0"/>
              <w:right w:val="single" w:color="auto" w:sz="4" w:space="0"/>
            </w:tcBorders>
            <w:noWrap w:val="0"/>
            <w:vAlign w:val="center"/>
          </w:tcPr>
          <w:p w14:paraId="5C83276A">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钢筋</w:t>
            </w:r>
          </w:p>
        </w:tc>
        <w:tc>
          <w:tcPr>
            <w:tcW w:w="1854" w:type="dxa"/>
            <w:gridSpan w:val="2"/>
            <w:tcBorders>
              <w:top w:val="single" w:color="auto" w:sz="4" w:space="0"/>
              <w:left w:val="single" w:color="auto" w:sz="4" w:space="0"/>
              <w:bottom w:val="single" w:color="auto" w:sz="4" w:space="0"/>
              <w:right w:val="single" w:color="auto" w:sz="4" w:space="0"/>
            </w:tcBorders>
            <w:noWrap w:val="0"/>
            <w:vAlign w:val="center"/>
          </w:tcPr>
          <w:p w14:paraId="262ECACD">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尺寸，重量偏差，屈服强度，抗拉强度，断后伸长率，最大力总伸长率，弯曲性能</w:t>
            </w:r>
          </w:p>
        </w:tc>
        <w:tc>
          <w:tcPr>
            <w:tcW w:w="553" w:type="dxa"/>
            <w:tcBorders>
              <w:top w:val="single" w:color="auto" w:sz="4" w:space="0"/>
              <w:left w:val="single" w:color="auto" w:sz="4" w:space="0"/>
              <w:bottom w:val="single" w:color="auto" w:sz="4" w:space="0"/>
              <w:right w:val="single" w:color="auto" w:sz="4" w:space="0"/>
            </w:tcBorders>
            <w:noWrap w:val="0"/>
            <w:vAlign w:val="center"/>
          </w:tcPr>
          <w:p w14:paraId="1432E4F8">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组</w:t>
            </w:r>
          </w:p>
        </w:tc>
        <w:tc>
          <w:tcPr>
            <w:tcW w:w="851" w:type="dxa"/>
            <w:tcBorders>
              <w:top w:val="single" w:color="auto" w:sz="4" w:space="0"/>
              <w:left w:val="single" w:color="auto" w:sz="4" w:space="0"/>
              <w:bottom w:val="single" w:color="auto" w:sz="4" w:space="0"/>
              <w:right w:val="single" w:color="auto" w:sz="4" w:space="0"/>
            </w:tcBorders>
            <w:noWrap w:val="0"/>
            <w:vAlign w:val="center"/>
          </w:tcPr>
          <w:p w14:paraId="6B8D852F">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67</w:t>
            </w:r>
          </w:p>
        </w:tc>
        <w:tc>
          <w:tcPr>
            <w:tcW w:w="851" w:type="dxa"/>
            <w:tcBorders>
              <w:top w:val="single" w:color="auto" w:sz="4" w:space="0"/>
              <w:left w:val="single" w:color="auto" w:sz="4" w:space="0"/>
              <w:bottom w:val="single" w:color="auto" w:sz="4" w:space="0"/>
              <w:right w:val="single" w:color="auto" w:sz="4" w:space="0"/>
            </w:tcBorders>
            <w:noWrap w:val="0"/>
            <w:vAlign w:val="center"/>
          </w:tcPr>
          <w:p w14:paraId="0C5EB6AC">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67</w:t>
            </w:r>
          </w:p>
        </w:tc>
        <w:tc>
          <w:tcPr>
            <w:tcW w:w="851" w:type="dxa"/>
            <w:tcBorders>
              <w:top w:val="single" w:color="auto" w:sz="4" w:space="0"/>
              <w:left w:val="single" w:color="auto" w:sz="4" w:space="0"/>
              <w:bottom w:val="single" w:color="auto" w:sz="4" w:space="0"/>
              <w:right w:val="single" w:color="auto" w:sz="4" w:space="0"/>
            </w:tcBorders>
            <w:noWrap w:val="0"/>
            <w:vAlign w:val="center"/>
          </w:tcPr>
          <w:p w14:paraId="29E1C827">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67</w:t>
            </w:r>
          </w:p>
        </w:tc>
        <w:tc>
          <w:tcPr>
            <w:tcW w:w="852" w:type="dxa"/>
            <w:tcBorders>
              <w:top w:val="single" w:color="auto" w:sz="4" w:space="0"/>
              <w:left w:val="single" w:color="auto" w:sz="4" w:space="0"/>
              <w:bottom w:val="single" w:color="auto" w:sz="4" w:space="0"/>
              <w:right w:val="single" w:color="auto" w:sz="4" w:space="0"/>
            </w:tcBorders>
            <w:noWrap w:val="0"/>
            <w:vAlign w:val="center"/>
          </w:tcPr>
          <w:p w14:paraId="2486944B">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67</w:t>
            </w:r>
          </w:p>
        </w:tc>
        <w:tc>
          <w:tcPr>
            <w:tcW w:w="554" w:type="dxa"/>
            <w:tcBorders>
              <w:top w:val="single" w:color="auto" w:sz="4" w:space="0"/>
              <w:left w:val="single" w:color="auto" w:sz="4" w:space="0"/>
              <w:bottom w:val="single" w:color="auto" w:sz="4" w:space="0"/>
              <w:right w:val="single" w:color="auto" w:sz="4" w:space="0"/>
            </w:tcBorders>
            <w:noWrap w:val="0"/>
            <w:vAlign w:val="center"/>
          </w:tcPr>
          <w:p w14:paraId="40B0BC3B">
            <w:pPr>
              <w:jc w:val="center"/>
              <w:rPr>
                <w:rFonts w:hint="eastAsia" w:ascii="宋体" w:hAnsi="宋体" w:eastAsia="宋体" w:cs="宋体"/>
                <w:i w:val="0"/>
                <w:iCs w:val="0"/>
                <w:color w:val="auto"/>
                <w:sz w:val="18"/>
                <w:szCs w:val="18"/>
                <w:highlight w:val="none"/>
                <w:u w:val="none"/>
              </w:rPr>
            </w:pPr>
          </w:p>
        </w:tc>
      </w:tr>
      <w:tr w14:paraId="26F30D6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0" w:hRule="atLeast"/>
        </w:trPr>
        <w:tc>
          <w:tcPr>
            <w:tcW w:w="584" w:type="dxa"/>
            <w:tcBorders>
              <w:top w:val="single" w:color="auto" w:sz="4" w:space="0"/>
              <w:left w:val="single" w:color="auto" w:sz="4" w:space="0"/>
              <w:bottom w:val="single" w:color="auto" w:sz="4" w:space="0"/>
              <w:right w:val="single" w:color="auto" w:sz="4" w:space="0"/>
            </w:tcBorders>
            <w:noWrap w:val="0"/>
            <w:vAlign w:val="center"/>
          </w:tcPr>
          <w:p w14:paraId="67BA1818">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55</w:t>
            </w:r>
          </w:p>
        </w:tc>
        <w:tc>
          <w:tcPr>
            <w:tcW w:w="690" w:type="dxa"/>
            <w:vMerge w:val="continue"/>
            <w:tcBorders>
              <w:top w:val="single" w:color="auto" w:sz="4" w:space="0"/>
              <w:left w:val="single" w:color="auto" w:sz="4" w:space="0"/>
              <w:bottom w:val="single" w:color="auto" w:sz="4" w:space="0"/>
              <w:right w:val="single" w:color="auto" w:sz="4" w:space="0"/>
            </w:tcBorders>
            <w:noWrap w:val="0"/>
            <w:vAlign w:val="center"/>
          </w:tcPr>
          <w:p w14:paraId="70CC8CF7">
            <w:pPr>
              <w:jc w:val="center"/>
              <w:rPr>
                <w:rFonts w:hint="eastAsia" w:ascii="宋体" w:hAnsi="宋体" w:eastAsia="宋体" w:cs="宋体"/>
                <w:i w:val="0"/>
                <w:iCs w:val="0"/>
                <w:color w:val="auto"/>
                <w:sz w:val="18"/>
                <w:szCs w:val="18"/>
                <w:highlight w:val="none"/>
                <w:u w:val="none"/>
              </w:rPr>
            </w:pPr>
          </w:p>
        </w:tc>
        <w:tc>
          <w:tcPr>
            <w:tcW w:w="864" w:type="dxa"/>
            <w:tcBorders>
              <w:top w:val="single" w:color="auto" w:sz="4" w:space="0"/>
              <w:left w:val="single" w:color="auto" w:sz="4" w:space="0"/>
              <w:bottom w:val="single" w:color="auto" w:sz="4" w:space="0"/>
              <w:right w:val="single" w:color="auto" w:sz="4" w:space="0"/>
            </w:tcBorders>
            <w:noWrap w:val="0"/>
            <w:vAlign w:val="center"/>
          </w:tcPr>
          <w:p w14:paraId="2C00324B">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钢绞线</w:t>
            </w:r>
          </w:p>
        </w:tc>
        <w:tc>
          <w:tcPr>
            <w:tcW w:w="1854" w:type="dxa"/>
            <w:gridSpan w:val="2"/>
            <w:tcBorders>
              <w:top w:val="single" w:color="auto" w:sz="4" w:space="0"/>
              <w:left w:val="single" w:color="auto" w:sz="4" w:space="0"/>
              <w:bottom w:val="single" w:color="auto" w:sz="4" w:space="0"/>
              <w:right w:val="single" w:color="auto" w:sz="4" w:space="0"/>
            </w:tcBorders>
            <w:noWrap w:val="0"/>
            <w:vAlign w:val="center"/>
          </w:tcPr>
          <w:p w14:paraId="0B560AB6">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最大力、最大力总伸长率、屈 服力、弹性模量</w:t>
            </w:r>
          </w:p>
        </w:tc>
        <w:tc>
          <w:tcPr>
            <w:tcW w:w="553" w:type="dxa"/>
            <w:tcBorders>
              <w:top w:val="single" w:color="auto" w:sz="4" w:space="0"/>
              <w:left w:val="single" w:color="auto" w:sz="4" w:space="0"/>
              <w:bottom w:val="single" w:color="auto" w:sz="4" w:space="0"/>
              <w:right w:val="single" w:color="auto" w:sz="4" w:space="0"/>
            </w:tcBorders>
            <w:noWrap w:val="0"/>
            <w:vAlign w:val="center"/>
          </w:tcPr>
          <w:p w14:paraId="60341AD3">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组</w:t>
            </w:r>
          </w:p>
        </w:tc>
        <w:tc>
          <w:tcPr>
            <w:tcW w:w="851" w:type="dxa"/>
            <w:tcBorders>
              <w:top w:val="single" w:color="auto" w:sz="4" w:space="0"/>
              <w:left w:val="single" w:color="auto" w:sz="4" w:space="0"/>
              <w:bottom w:val="single" w:color="auto" w:sz="4" w:space="0"/>
              <w:right w:val="single" w:color="auto" w:sz="4" w:space="0"/>
            </w:tcBorders>
            <w:noWrap w:val="0"/>
            <w:vAlign w:val="center"/>
          </w:tcPr>
          <w:p w14:paraId="7EA22B03">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52</w:t>
            </w:r>
          </w:p>
        </w:tc>
        <w:tc>
          <w:tcPr>
            <w:tcW w:w="851" w:type="dxa"/>
            <w:tcBorders>
              <w:top w:val="single" w:color="auto" w:sz="4" w:space="0"/>
              <w:left w:val="single" w:color="auto" w:sz="4" w:space="0"/>
              <w:bottom w:val="single" w:color="auto" w:sz="4" w:space="0"/>
              <w:right w:val="single" w:color="auto" w:sz="4" w:space="0"/>
            </w:tcBorders>
            <w:noWrap w:val="0"/>
            <w:vAlign w:val="center"/>
          </w:tcPr>
          <w:p w14:paraId="27574BEF">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52</w:t>
            </w:r>
          </w:p>
        </w:tc>
        <w:tc>
          <w:tcPr>
            <w:tcW w:w="851" w:type="dxa"/>
            <w:tcBorders>
              <w:top w:val="single" w:color="auto" w:sz="4" w:space="0"/>
              <w:left w:val="single" w:color="auto" w:sz="4" w:space="0"/>
              <w:bottom w:val="single" w:color="auto" w:sz="4" w:space="0"/>
              <w:right w:val="single" w:color="auto" w:sz="4" w:space="0"/>
            </w:tcBorders>
            <w:noWrap w:val="0"/>
            <w:vAlign w:val="center"/>
          </w:tcPr>
          <w:p w14:paraId="57A63B8F">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52</w:t>
            </w:r>
          </w:p>
        </w:tc>
        <w:tc>
          <w:tcPr>
            <w:tcW w:w="852" w:type="dxa"/>
            <w:tcBorders>
              <w:top w:val="single" w:color="auto" w:sz="4" w:space="0"/>
              <w:left w:val="single" w:color="auto" w:sz="4" w:space="0"/>
              <w:bottom w:val="single" w:color="auto" w:sz="4" w:space="0"/>
              <w:right w:val="single" w:color="auto" w:sz="4" w:space="0"/>
            </w:tcBorders>
            <w:noWrap w:val="0"/>
            <w:vAlign w:val="center"/>
          </w:tcPr>
          <w:p w14:paraId="19A96760">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52</w:t>
            </w:r>
          </w:p>
        </w:tc>
        <w:tc>
          <w:tcPr>
            <w:tcW w:w="554" w:type="dxa"/>
            <w:tcBorders>
              <w:top w:val="single" w:color="auto" w:sz="4" w:space="0"/>
              <w:left w:val="single" w:color="auto" w:sz="4" w:space="0"/>
              <w:bottom w:val="single" w:color="auto" w:sz="4" w:space="0"/>
              <w:right w:val="single" w:color="auto" w:sz="4" w:space="0"/>
            </w:tcBorders>
            <w:noWrap w:val="0"/>
            <w:vAlign w:val="center"/>
          </w:tcPr>
          <w:p w14:paraId="50E10D1D">
            <w:pPr>
              <w:jc w:val="center"/>
              <w:rPr>
                <w:rFonts w:hint="eastAsia" w:ascii="宋体" w:hAnsi="宋体" w:eastAsia="宋体" w:cs="宋体"/>
                <w:i w:val="0"/>
                <w:iCs w:val="0"/>
                <w:color w:val="auto"/>
                <w:sz w:val="18"/>
                <w:szCs w:val="18"/>
                <w:highlight w:val="none"/>
                <w:u w:val="none"/>
              </w:rPr>
            </w:pPr>
          </w:p>
        </w:tc>
      </w:tr>
      <w:tr w14:paraId="66EFA24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0" w:hRule="atLeast"/>
        </w:trPr>
        <w:tc>
          <w:tcPr>
            <w:tcW w:w="584" w:type="dxa"/>
            <w:tcBorders>
              <w:top w:val="single" w:color="auto" w:sz="4" w:space="0"/>
              <w:left w:val="single" w:color="auto" w:sz="4" w:space="0"/>
              <w:bottom w:val="single" w:color="auto" w:sz="4" w:space="0"/>
              <w:right w:val="single" w:color="auto" w:sz="4" w:space="0"/>
            </w:tcBorders>
            <w:noWrap w:val="0"/>
            <w:vAlign w:val="center"/>
          </w:tcPr>
          <w:p w14:paraId="6B991C61">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56</w:t>
            </w:r>
          </w:p>
        </w:tc>
        <w:tc>
          <w:tcPr>
            <w:tcW w:w="690" w:type="dxa"/>
            <w:vMerge w:val="continue"/>
            <w:tcBorders>
              <w:top w:val="single" w:color="auto" w:sz="4" w:space="0"/>
              <w:left w:val="single" w:color="auto" w:sz="4" w:space="0"/>
              <w:bottom w:val="single" w:color="auto" w:sz="4" w:space="0"/>
              <w:right w:val="single" w:color="auto" w:sz="4" w:space="0"/>
            </w:tcBorders>
            <w:noWrap w:val="0"/>
            <w:vAlign w:val="center"/>
          </w:tcPr>
          <w:p w14:paraId="7A8F149B">
            <w:pPr>
              <w:jc w:val="center"/>
              <w:rPr>
                <w:rFonts w:hint="eastAsia" w:ascii="宋体" w:hAnsi="宋体" w:eastAsia="宋体" w:cs="宋体"/>
                <w:i w:val="0"/>
                <w:iCs w:val="0"/>
                <w:color w:val="auto"/>
                <w:sz w:val="18"/>
                <w:szCs w:val="18"/>
                <w:highlight w:val="none"/>
                <w:u w:val="none"/>
              </w:rPr>
            </w:pPr>
          </w:p>
        </w:tc>
        <w:tc>
          <w:tcPr>
            <w:tcW w:w="864" w:type="dxa"/>
            <w:tcBorders>
              <w:top w:val="single" w:color="auto" w:sz="4" w:space="0"/>
              <w:left w:val="single" w:color="auto" w:sz="4" w:space="0"/>
              <w:bottom w:val="single" w:color="auto" w:sz="4" w:space="0"/>
              <w:right w:val="single" w:color="auto" w:sz="4" w:space="0"/>
            </w:tcBorders>
            <w:noWrap w:val="0"/>
            <w:vAlign w:val="center"/>
          </w:tcPr>
          <w:p w14:paraId="51E992A5">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声测管</w:t>
            </w:r>
          </w:p>
        </w:tc>
        <w:tc>
          <w:tcPr>
            <w:tcW w:w="1854" w:type="dxa"/>
            <w:gridSpan w:val="2"/>
            <w:tcBorders>
              <w:top w:val="single" w:color="auto" w:sz="4" w:space="0"/>
              <w:left w:val="single" w:color="auto" w:sz="4" w:space="0"/>
              <w:bottom w:val="single" w:color="auto" w:sz="4" w:space="0"/>
              <w:right w:val="single" w:color="auto" w:sz="4" w:space="0"/>
            </w:tcBorders>
            <w:noWrap w:val="0"/>
            <w:vAlign w:val="center"/>
          </w:tcPr>
          <w:p w14:paraId="12EB0A7A">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抗拉强度、断后伸长率、压扁 试验</w:t>
            </w:r>
          </w:p>
        </w:tc>
        <w:tc>
          <w:tcPr>
            <w:tcW w:w="553" w:type="dxa"/>
            <w:tcBorders>
              <w:top w:val="single" w:color="auto" w:sz="4" w:space="0"/>
              <w:left w:val="single" w:color="auto" w:sz="4" w:space="0"/>
              <w:bottom w:val="single" w:color="auto" w:sz="4" w:space="0"/>
              <w:right w:val="single" w:color="auto" w:sz="4" w:space="0"/>
            </w:tcBorders>
            <w:noWrap w:val="0"/>
            <w:vAlign w:val="center"/>
          </w:tcPr>
          <w:p w14:paraId="50DCE637">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组</w:t>
            </w:r>
          </w:p>
        </w:tc>
        <w:tc>
          <w:tcPr>
            <w:tcW w:w="851" w:type="dxa"/>
            <w:tcBorders>
              <w:top w:val="single" w:color="auto" w:sz="4" w:space="0"/>
              <w:left w:val="single" w:color="auto" w:sz="4" w:space="0"/>
              <w:bottom w:val="single" w:color="auto" w:sz="4" w:space="0"/>
              <w:right w:val="single" w:color="auto" w:sz="4" w:space="0"/>
            </w:tcBorders>
            <w:noWrap w:val="0"/>
            <w:vAlign w:val="center"/>
          </w:tcPr>
          <w:p w14:paraId="2744B40A">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15</w:t>
            </w:r>
          </w:p>
        </w:tc>
        <w:tc>
          <w:tcPr>
            <w:tcW w:w="851" w:type="dxa"/>
            <w:tcBorders>
              <w:top w:val="single" w:color="auto" w:sz="4" w:space="0"/>
              <w:left w:val="single" w:color="auto" w:sz="4" w:space="0"/>
              <w:bottom w:val="single" w:color="auto" w:sz="4" w:space="0"/>
              <w:right w:val="single" w:color="auto" w:sz="4" w:space="0"/>
            </w:tcBorders>
            <w:noWrap w:val="0"/>
            <w:vAlign w:val="center"/>
          </w:tcPr>
          <w:p w14:paraId="1F5659D7">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15</w:t>
            </w:r>
          </w:p>
        </w:tc>
        <w:tc>
          <w:tcPr>
            <w:tcW w:w="851" w:type="dxa"/>
            <w:tcBorders>
              <w:top w:val="single" w:color="auto" w:sz="4" w:space="0"/>
              <w:left w:val="single" w:color="auto" w:sz="4" w:space="0"/>
              <w:bottom w:val="single" w:color="auto" w:sz="4" w:space="0"/>
              <w:right w:val="single" w:color="auto" w:sz="4" w:space="0"/>
            </w:tcBorders>
            <w:noWrap w:val="0"/>
            <w:vAlign w:val="center"/>
          </w:tcPr>
          <w:p w14:paraId="6656AAD2">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15</w:t>
            </w:r>
          </w:p>
        </w:tc>
        <w:tc>
          <w:tcPr>
            <w:tcW w:w="852" w:type="dxa"/>
            <w:tcBorders>
              <w:top w:val="single" w:color="auto" w:sz="4" w:space="0"/>
              <w:left w:val="single" w:color="auto" w:sz="4" w:space="0"/>
              <w:bottom w:val="single" w:color="auto" w:sz="4" w:space="0"/>
              <w:right w:val="single" w:color="auto" w:sz="4" w:space="0"/>
            </w:tcBorders>
            <w:noWrap w:val="0"/>
            <w:vAlign w:val="center"/>
          </w:tcPr>
          <w:p w14:paraId="6C256AAA">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15</w:t>
            </w:r>
          </w:p>
        </w:tc>
        <w:tc>
          <w:tcPr>
            <w:tcW w:w="554" w:type="dxa"/>
            <w:tcBorders>
              <w:top w:val="single" w:color="auto" w:sz="4" w:space="0"/>
              <w:left w:val="single" w:color="auto" w:sz="4" w:space="0"/>
              <w:bottom w:val="single" w:color="auto" w:sz="4" w:space="0"/>
              <w:right w:val="single" w:color="auto" w:sz="4" w:space="0"/>
            </w:tcBorders>
            <w:noWrap w:val="0"/>
            <w:vAlign w:val="center"/>
          </w:tcPr>
          <w:p w14:paraId="15756664">
            <w:pPr>
              <w:jc w:val="center"/>
              <w:rPr>
                <w:rFonts w:hint="eastAsia" w:ascii="宋体" w:hAnsi="宋体" w:eastAsia="宋体" w:cs="宋体"/>
                <w:i w:val="0"/>
                <w:iCs w:val="0"/>
                <w:color w:val="auto"/>
                <w:sz w:val="18"/>
                <w:szCs w:val="18"/>
                <w:highlight w:val="none"/>
                <w:u w:val="none"/>
              </w:rPr>
            </w:pPr>
          </w:p>
        </w:tc>
      </w:tr>
      <w:tr w14:paraId="321F1F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0" w:hRule="atLeast"/>
        </w:trPr>
        <w:tc>
          <w:tcPr>
            <w:tcW w:w="584" w:type="dxa"/>
            <w:tcBorders>
              <w:top w:val="single" w:color="auto" w:sz="4" w:space="0"/>
              <w:left w:val="single" w:color="auto" w:sz="4" w:space="0"/>
              <w:bottom w:val="single" w:color="auto" w:sz="4" w:space="0"/>
              <w:right w:val="single" w:color="auto" w:sz="4" w:space="0"/>
            </w:tcBorders>
            <w:noWrap w:val="0"/>
            <w:vAlign w:val="center"/>
          </w:tcPr>
          <w:p w14:paraId="60639CE6">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57</w:t>
            </w:r>
          </w:p>
        </w:tc>
        <w:tc>
          <w:tcPr>
            <w:tcW w:w="690" w:type="dxa"/>
            <w:vMerge w:val="continue"/>
            <w:tcBorders>
              <w:top w:val="single" w:color="auto" w:sz="4" w:space="0"/>
              <w:left w:val="single" w:color="auto" w:sz="4" w:space="0"/>
              <w:bottom w:val="single" w:color="auto" w:sz="4" w:space="0"/>
              <w:right w:val="single" w:color="auto" w:sz="4" w:space="0"/>
            </w:tcBorders>
            <w:noWrap w:val="0"/>
            <w:vAlign w:val="center"/>
          </w:tcPr>
          <w:p w14:paraId="088EEDDB">
            <w:pPr>
              <w:jc w:val="center"/>
              <w:rPr>
                <w:rFonts w:hint="eastAsia" w:ascii="宋体" w:hAnsi="宋体" w:eastAsia="宋体" w:cs="宋体"/>
                <w:i w:val="0"/>
                <w:iCs w:val="0"/>
                <w:color w:val="auto"/>
                <w:sz w:val="18"/>
                <w:szCs w:val="18"/>
                <w:highlight w:val="none"/>
                <w:u w:val="none"/>
              </w:rPr>
            </w:pPr>
          </w:p>
        </w:tc>
        <w:tc>
          <w:tcPr>
            <w:tcW w:w="864" w:type="dxa"/>
            <w:tcBorders>
              <w:top w:val="single" w:color="auto" w:sz="4" w:space="0"/>
              <w:left w:val="single" w:color="auto" w:sz="4" w:space="0"/>
              <w:bottom w:val="single" w:color="auto" w:sz="4" w:space="0"/>
              <w:right w:val="single" w:color="auto" w:sz="4" w:space="0"/>
            </w:tcBorders>
            <w:noWrap w:val="0"/>
            <w:vAlign w:val="center"/>
          </w:tcPr>
          <w:p w14:paraId="3DED9277">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中空注浆锚杆</w:t>
            </w:r>
          </w:p>
        </w:tc>
        <w:tc>
          <w:tcPr>
            <w:tcW w:w="1854" w:type="dxa"/>
            <w:gridSpan w:val="2"/>
            <w:tcBorders>
              <w:top w:val="single" w:color="auto" w:sz="4" w:space="0"/>
              <w:left w:val="single" w:color="auto" w:sz="4" w:space="0"/>
              <w:bottom w:val="single" w:color="auto" w:sz="4" w:space="0"/>
              <w:right w:val="single" w:color="auto" w:sz="4" w:space="0"/>
            </w:tcBorders>
            <w:noWrap w:val="0"/>
            <w:vAlign w:val="center"/>
          </w:tcPr>
          <w:p w14:paraId="295DD894">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杆体极限拉力值、杆体伸长率</w:t>
            </w:r>
          </w:p>
        </w:tc>
        <w:tc>
          <w:tcPr>
            <w:tcW w:w="553" w:type="dxa"/>
            <w:tcBorders>
              <w:top w:val="single" w:color="auto" w:sz="4" w:space="0"/>
              <w:left w:val="single" w:color="auto" w:sz="4" w:space="0"/>
              <w:bottom w:val="single" w:color="auto" w:sz="4" w:space="0"/>
              <w:right w:val="single" w:color="auto" w:sz="4" w:space="0"/>
            </w:tcBorders>
            <w:noWrap w:val="0"/>
            <w:vAlign w:val="center"/>
          </w:tcPr>
          <w:p w14:paraId="64B7D844">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组</w:t>
            </w:r>
          </w:p>
        </w:tc>
        <w:tc>
          <w:tcPr>
            <w:tcW w:w="851" w:type="dxa"/>
            <w:tcBorders>
              <w:top w:val="single" w:color="auto" w:sz="4" w:space="0"/>
              <w:left w:val="single" w:color="auto" w:sz="4" w:space="0"/>
              <w:bottom w:val="single" w:color="auto" w:sz="4" w:space="0"/>
              <w:right w:val="single" w:color="auto" w:sz="4" w:space="0"/>
            </w:tcBorders>
            <w:noWrap w:val="0"/>
            <w:vAlign w:val="center"/>
          </w:tcPr>
          <w:p w14:paraId="765D86E0">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15</w:t>
            </w:r>
          </w:p>
        </w:tc>
        <w:tc>
          <w:tcPr>
            <w:tcW w:w="851" w:type="dxa"/>
            <w:tcBorders>
              <w:top w:val="single" w:color="auto" w:sz="4" w:space="0"/>
              <w:left w:val="single" w:color="auto" w:sz="4" w:space="0"/>
              <w:bottom w:val="single" w:color="auto" w:sz="4" w:space="0"/>
              <w:right w:val="single" w:color="auto" w:sz="4" w:space="0"/>
            </w:tcBorders>
            <w:noWrap w:val="0"/>
            <w:vAlign w:val="center"/>
          </w:tcPr>
          <w:p w14:paraId="4F03BD8D">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15</w:t>
            </w:r>
          </w:p>
        </w:tc>
        <w:tc>
          <w:tcPr>
            <w:tcW w:w="851" w:type="dxa"/>
            <w:tcBorders>
              <w:top w:val="single" w:color="auto" w:sz="4" w:space="0"/>
              <w:left w:val="single" w:color="auto" w:sz="4" w:space="0"/>
              <w:bottom w:val="single" w:color="auto" w:sz="4" w:space="0"/>
              <w:right w:val="single" w:color="auto" w:sz="4" w:space="0"/>
            </w:tcBorders>
            <w:noWrap w:val="0"/>
            <w:vAlign w:val="center"/>
          </w:tcPr>
          <w:p w14:paraId="2C5E558D">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15</w:t>
            </w:r>
          </w:p>
        </w:tc>
        <w:tc>
          <w:tcPr>
            <w:tcW w:w="852" w:type="dxa"/>
            <w:tcBorders>
              <w:top w:val="single" w:color="auto" w:sz="4" w:space="0"/>
              <w:left w:val="single" w:color="auto" w:sz="4" w:space="0"/>
              <w:bottom w:val="single" w:color="auto" w:sz="4" w:space="0"/>
              <w:right w:val="single" w:color="auto" w:sz="4" w:space="0"/>
            </w:tcBorders>
            <w:noWrap w:val="0"/>
            <w:vAlign w:val="center"/>
          </w:tcPr>
          <w:p w14:paraId="1CDC8610">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15</w:t>
            </w:r>
          </w:p>
        </w:tc>
        <w:tc>
          <w:tcPr>
            <w:tcW w:w="554" w:type="dxa"/>
            <w:tcBorders>
              <w:top w:val="single" w:color="auto" w:sz="4" w:space="0"/>
              <w:left w:val="single" w:color="auto" w:sz="4" w:space="0"/>
              <w:bottom w:val="single" w:color="auto" w:sz="4" w:space="0"/>
              <w:right w:val="single" w:color="auto" w:sz="4" w:space="0"/>
            </w:tcBorders>
            <w:noWrap w:val="0"/>
            <w:vAlign w:val="center"/>
          </w:tcPr>
          <w:p w14:paraId="66E64D55">
            <w:pPr>
              <w:jc w:val="center"/>
              <w:rPr>
                <w:rFonts w:hint="eastAsia" w:ascii="宋体" w:hAnsi="宋体" w:eastAsia="宋体" w:cs="宋体"/>
                <w:i w:val="0"/>
                <w:iCs w:val="0"/>
                <w:color w:val="auto"/>
                <w:sz w:val="18"/>
                <w:szCs w:val="18"/>
                <w:highlight w:val="none"/>
                <w:u w:val="none"/>
              </w:rPr>
            </w:pPr>
          </w:p>
        </w:tc>
      </w:tr>
      <w:tr w14:paraId="521E9A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0" w:hRule="atLeast"/>
        </w:trPr>
        <w:tc>
          <w:tcPr>
            <w:tcW w:w="584" w:type="dxa"/>
            <w:tcBorders>
              <w:top w:val="single" w:color="auto" w:sz="4" w:space="0"/>
              <w:left w:val="single" w:color="auto" w:sz="4" w:space="0"/>
              <w:bottom w:val="single" w:color="auto" w:sz="4" w:space="0"/>
              <w:right w:val="single" w:color="auto" w:sz="4" w:space="0"/>
            </w:tcBorders>
            <w:noWrap w:val="0"/>
            <w:vAlign w:val="center"/>
          </w:tcPr>
          <w:p w14:paraId="79FC5B8E">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58</w:t>
            </w:r>
          </w:p>
        </w:tc>
        <w:tc>
          <w:tcPr>
            <w:tcW w:w="690" w:type="dxa"/>
            <w:vMerge w:val="continue"/>
            <w:tcBorders>
              <w:top w:val="single" w:color="auto" w:sz="4" w:space="0"/>
              <w:left w:val="single" w:color="auto" w:sz="4" w:space="0"/>
              <w:bottom w:val="single" w:color="auto" w:sz="4" w:space="0"/>
              <w:right w:val="single" w:color="auto" w:sz="4" w:space="0"/>
            </w:tcBorders>
            <w:noWrap w:val="0"/>
            <w:vAlign w:val="center"/>
          </w:tcPr>
          <w:p w14:paraId="1985197E">
            <w:pPr>
              <w:jc w:val="center"/>
              <w:rPr>
                <w:rFonts w:hint="eastAsia" w:ascii="宋体" w:hAnsi="宋体" w:eastAsia="宋体" w:cs="宋体"/>
                <w:i w:val="0"/>
                <w:iCs w:val="0"/>
                <w:color w:val="auto"/>
                <w:sz w:val="18"/>
                <w:szCs w:val="18"/>
                <w:highlight w:val="none"/>
                <w:u w:val="none"/>
              </w:rPr>
            </w:pPr>
          </w:p>
        </w:tc>
        <w:tc>
          <w:tcPr>
            <w:tcW w:w="864" w:type="dxa"/>
            <w:vMerge w:val="restart"/>
            <w:tcBorders>
              <w:top w:val="single" w:color="auto" w:sz="4" w:space="0"/>
              <w:left w:val="single" w:color="auto" w:sz="4" w:space="0"/>
              <w:bottom w:val="single" w:color="auto" w:sz="4" w:space="0"/>
              <w:right w:val="single" w:color="auto" w:sz="4" w:space="0"/>
            </w:tcBorders>
            <w:noWrap w:val="0"/>
            <w:vAlign w:val="center"/>
          </w:tcPr>
          <w:p w14:paraId="436EFB43">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道路用沥青</w:t>
            </w:r>
          </w:p>
        </w:tc>
        <w:tc>
          <w:tcPr>
            <w:tcW w:w="828" w:type="dxa"/>
            <w:tcBorders>
              <w:top w:val="single" w:color="auto" w:sz="4" w:space="0"/>
              <w:left w:val="single" w:color="auto" w:sz="4" w:space="0"/>
              <w:bottom w:val="single" w:color="auto" w:sz="4" w:space="0"/>
              <w:right w:val="single" w:color="auto" w:sz="4" w:space="0"/>
            </w:tcBorders>
            <w:noWrap w:val="0"/>
            <w:vAlign w:val="center"/>
          </w:tcPr>
          <w:p w14:paraId="438DD7E0">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A 级 、B 级道路石油沥青</w:t>
            </w:r>
          </w:p>
        </w:tc>
        <w:tc>
          <w:tcPr>
            <w:tcW w:w="1026" w:type="dxa"/>
            <w:tcBorders>
              <w:top w:val="single" w:color="auto" w:sz="4" w:space="0"/>
              <w:left w:val="single" w:color="auto" w:sz="4" w:space="0"/>
              <w:bottom w:val="single" w:color="auto" w:sz="4" w:space="0"/>
              <w:right w:val="single" w:color="auto" w:sz="4" w:space="0"/>
            </w:tcBorders>
            <w:noWrap w:val="0"/>
            <w:vAlign w:val="center"/>
          </w:tcPr>
          <w:p w14:paraId="0079E9FF">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针入度 100g，5s，25℃、针入 度指数 PI、软化 点 TR&amp;B、60℃动 力粘度、延度  5cm/min，10℃、 15℃、TFOT 后： 质量变化、针入 度比、延度 10℃</w:t>
            </w:r>
          </w:p>
        </w:tc>
        <w:tc>
          <w:tcPr>
            <w:tcW w:w="553" w:type="dxa"/>
            <w:tcBorders>
              <w:top w:val="single" w:color="auto" w:sz="4" w:space="0"/>
              <w:left w:val="single" w:color="auto" w:sz="4" w:space="0"/>
              <w:bottom w:val="single" w:color="auto" w:sz="4" w:space="0"/>
              <w:right w:val="single" w:color="auto" w:sz="4" w:space="0"/>
            </w:tcBorders>
            <w:noWrap w:val="0"/>
            <w:vAlign w:val="center"/>
          </w:tcPr>
          <w:p w14:paraId="668E5086">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组</w:t>
            </w:r>
          </w:p>
        </w:tc>
        <w:tc>
          <w:tcPr>
            <w:tcW w:w="851" w:type="dxa"/>
            <w:tcBorders>
              <w:top w:val="single" w:color="auto" w:sz="4" w:space="0"/>
              <w:left w:val="single" w:color="auto" w:sz="4" w:space="0"/>
              <w:bottom w:val="single" w:color="auto" w:sz="4" w:space="0"/>
              <w:right w:val="single" w:color="auto" w:sz="4" w:space="0"/>
            </w:tcBorders>
            <w:noWrap w:val="0"/>
            <w:vAlign w:val="center"/>
          </w:tcPr>
          <w:p w14:paraId="392BA51F">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13</w:t>
            </w:r>
          </w:p>
        </w:tc>
        <w:tc>
          <w:tcPr>
            <w:tcW w:w="851" w:type="dxa"/>
            <w:tcBorders>
              <w:top w:val="single" w:color="auto" w:sz="4" w:space="0"/>
              <w:left w:val="single" w:color="auto" w:sz="4" w:space="0"/>
              <w:bottom w:val="single" w:color="auto" w:sz="4" w:space="0"/>
              <w:right w:val="single" w:color="auto" w:sz="4" w:space="0"/>
            </w:tcBorders>
            <w:noWrap w:val="0"/>
            <w:vAlign w:val="center"/>
          </w:tcPr>
          <w:p w14:paraId="4918E074">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13</w:t>
            </w:r>
          </w:p>
        </w:tc>
        <w:tc>
          <w:tcPr>
            <w:tcW w:w="851" w:type="dxa"/>
            <w:tcBorders>
              <w:top w:val="single" w:color="auto" w:sz="4" w:space="0"/>
              <w:left w:val="single" w:color="auto" w:sz="4" w:space="0"/>
              <w:bottom w:val="single" w:color="auto" w:sz="4" w:space="0"/>
              <w:right w:val="single" w:color="auto" w:sz="4" w:space="0"/>
            </w:tcBorders>
            <w:noWrap w:val="0"/>
            <w:vAlign w:val="center"/>
          </w:tcPr>
          <w:p w14:paraId="493C2656">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13</w:t>
            </w:r>
          </w:p>
        </w:tc>
        <w:tc>
          <w:tcPr>
            <w:tcW w:w="852" w:type="dxa"/>
            <w:tcBorders>
              <w:top w:val="single" w:color="auto" w:sz="4" w:space="0"/>
              <w:left w:val="single" w:color="auto" w:sz="4" w:space="0"/>
              <w:bottom w:val="single" w:color="auto" w:sz="4" w:space="0"/>
              <w:right w:val="single" w:color="auto" w:sz="4" w:space="0"/>
            </w:tcBorders>
            <w:noWrap w:val="0"/>
            <w:vAlign w:val="center"/>
          </w:tcPr>
          <w:p w14:paraId="2DC282EF">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13</w:t>
            </w:r>
          </w:p>
        </w:tc>
        <w:tc>
          <w:tcPr>
            <w:tcW w:w="554" w:type="dxa"/>
            <w:tcBorders>
              <w:top w:val="single" w:color="auto" w:sz="4" w:space="0"/>
              <w:left w:val="single" w:color="auto" w:sz="4" w:space="0"/>
              <w:bottom w:val="single" w:color="auto" w:sz="4" w:space="0"/>
              <w:right w:val="single" w:color="auto" w:sz="4" w:space="0"/>
            </w:tcBorders>
            <w:noWrap w:val="0"/>
            <w:vAlign w:val="center"/>
          </w:tcPr>
          <w:p w14:paraId="00C909FF">
            <w:pPr>
              <w:jc w:val="center"/>
              <w:rPr>
                <w:rFonts w:hint="eastAsia" w:ascii="宋体" w:hAnsi="宋体" w:eastAsia="宋体" w:cs="宋体"/>
                <w:i w:val="0"/>
                <w:iCs w:val="0"/>
                <w:color w:val="auto"/>
                <w:sz w:val="18"/>
                <w:szCs w:val="18"/>
                <w:highlight w:val="none"/>
                <w:u w:val="none"/>
              </w:rPr>
            </w:pPr>
          </w:p>
        </w:tc>
      </w:tr>
      <w:tr w14:paraId="3038F94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0" w:hRule="atLeast"/>
        </w:trPr>
        <w:tc>
          <w:tcPr>
            <w:tcW w:w="584" w:type="dxa"/>
            <w:tcBorders>
              <w:top w:val="single" w:color="auto" w:sz="4" w:space="0"/>
              <w:left w:val="single" w:color="auto" w:sz="4" w:space="0"/>
              <w:bottom w:val="single" w:color="auto" w:sz="4" w:space="0"/>
              <w:right w:val="single" w:color="auto" w:sz="4" w:space="0"/>
            </w:tcBorders>
            <w:noWrap w:val="0"/>
            <w:vAlign w:val="center"/>
          </w:tcPr>
          <w:p w14:paraId="03929C5E">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59</w:t>
            </w:r>
          </w:p>
        </w:tc>
        <w:tc>
          <w:tcPr>
            <w:tcW w:w="690" w:type="dxa"/>
            <w:vMerge w:val="continue"/>
            <w:tcBorders>
              <w:top w:val="single" w:color="auto" w:sz="4" w:space="0"/>
              <w:left w:val="single" w:color="auto" w:sz="4" w:space="0"/>
              <w:bottom w:val="single" w:color="auto" w:sz="4" w:space="0"/>
              <w:right w:val="single" w:color="auto" w:sz="4" w:space="0"/>
            </w:tcBorders>
            <w:noWrap w:val="0"/>
            <w:vAlign w:val="center"/>
          </w:tcPr>
          <w:p w14:paraId="0CFF9218">
            <w:pPr>
              <w:jc w:val="center"/>
              <w:rPr>
                <w:rFonts w:hint="eastAsia" w:ascii="宋体" w:hAnsi="宋体" w:eastAsia="宋体" w:cs="宋体"/>
                <w:i w:val="0"/>
                <w:iCs w:val="0"/>
                <w:color w:val="auto"/>
                <w:sz w:val="18"/>
                <w:szCs w:val="18"/>
                <w:highlight w:val="none"/>
                <w:u w:val="none"/>
              </w:rPr>
            </w:pPr>
          </w:p>
        </w:tc>
        <w:tc>
          <w:tcPr>
            <w:tcW w:w="864" w:type="dxa"/>
            <w:vMerge w:val="continue"/>
            <w:tcBorders>
              <w:top w:val="single" w:color="auto" w:sz="4" w:space="0"/>
              <w:left w:val="single" w:color="auto" w:sz="4" w:space="0"/>
              <w:bottom w:val="single" w:color="auto" w:sz="4" w:space="0"/>
              <w:right w:val="single" w:color="auto" w:sz="4" w:space="0"/>
            </w:tcBorders>
            <w:noWrap w:val="0"/>
            <w:vAlign w:val="center"/>
          </w:tcPr>
          <w:p w14:paraId="33B98D99">
            <w:pPr>
              <w:jc w:val="center"/>
              <w:rPr>
                <w:rFonts w:hint="eastAsia" w:ascii="宋体" w:hAnsi="宋体" w:eastAsia="宋体" w:cs="宋体"/>
                <w:i w:val="0"/>
                <w:iCs w:val="0"/>
                <w:color w:val="auto"/>
                <w:sz w:val="18"/>
                <w:szCs w:val="18"/>
                <w:highlight w:val="none"/>
                <w:u w:val="none"/>
              </w:rPr>
            </w:pPr>
          </w:p>
        </w:tc>
        <w:tc>
          <w:tcPr>
            <w:tcW w:w="828" w:type="dxa"/>
            <w:tcBorders>
              <w:top w:val="single" w:color="auto" w:sz="4" w:space="0"/>
              <w:left w:val="single" w:color="auto" w:sz="4" w:space="0"/>
              <w:bottom w:val="single" w:color="auto" w:sz="4" w:space="0"/>
              <w:right w:val="single" w:color="auto" w:sz="4" w:space="0"/>
            </w:tcBorders>
            <w:noWrap w:val="0"/>
            <w:vAlign w:val="center"/>
          </w:tcPr>
          <w:p w14:paraId="50140BD3">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聚合物改 性沥青</w:t>
            </w:r>
          </w:p>
        </w:tc>
        <w:tc>
          <w:tcPr>
            <w:tcW w:w="1026" w:type="dxa"/>
            <w:tcBorders>
              <w:top w:val="single" w:color="auto" w:sz="4" w:space="0"/>
              <w:left w:val="single" w:color="auto" w:sz="4" w:space="0"/>
              <w:bottom w:val="single" w:color="auto" w:sz="4" w:space="0"/>
              <w:right w:val="single" w:color="auto" w:sz="4" w:space="0"/>
            </w:tcBorders>
            <w:noWrap w:val="0"/>
            <w:vAlign w:val="center"/>
          </w:tcPr>
          <w:p w14:paraId="3E1D2150">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针入度 100g，5s，25℃、针入 度指数 PI、延度 5cm/min，5℃、 软化点 TR&amp;B、135℃运动粘  度、TFOT（或 RTFOT）后：质量变化、针入度 比、延度 5℃</w:t>
            </w:r>
          </w:p>
        </w:tc>
        <w:tc>
          <w:tcPr>
            <w:tcW w:w="553" w:type="dxa"/>
            <w:tcBorders>
              <w:top w:val="single" w:color="auto" w:sz="4" w:space="0"/>
              <w:left w:val="single" w:color="auto" w:sz="4" w:space="0"/>
              <w:bottom w:val="single" w:color="auto" w:sz="4" w:space="0"/>
              <w:right w:val="single" w:color="auto" w:sz="4" w:space="0"/>
            </w:tcBorders>
            <w:noWrap w:val="0"/>
            <w:vAlign w:val="center"/>
          </w:tcPr>
          <w:p w14:paraId="7D112610">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组</w:t>
            </w:r>
          </w:p>
        </w:tc>
        <w:tc>
          <w:tcPr>
            <w:tcW w:w="851" w:type="dxa"/>
            <w:tcBorders>
              <w:top w:val="single" w:color="auto" w:sz="4" w:space="0"/>
              <w:left w:val="single" w:color="auto" w:sz="4" w:space="0"/>
              <w:bottom w:val="single" w:color="auto" w:sz="4" w:space="0"/>
              <w:right w:val="single" w:color="auto" w:sz="4" w:space="0"/>
            </w:tcBorders>
            <w:noWrap w:val="0"/>
            <w:vAlign w:val="center"/>
          </w:tcPr>
          <w:p w14:paraId="4D6A8208">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14</w:t>
            </w:r>
          </w:p>
        </w:tc>
        <w:tc>
          <w:tcPr>
            <w:tcW w:w="851" w:type="dxa"/>
            <w:tcBorders>
              <w:top w:val="single" w:color="auto" w:sz="4" w:space="0"/>
              <w:left w:val="single" w:color="auto" w:sz="4" w:space="0"/>
              <w:bottom w:val="single" w:color="auto" w:sz="4" w:space="0"/>
              <w:right w:val="single" w:color="auto" w:sz="4" w:space="0"/>
            </w:tcBorders>
            <w:noWrap w:val="0"/>
            <w:vAlign w:val="center"/>
          </w:tcPr>
          <w:p w14:paraId="45609D20">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14</w:t>
            </w:r>
          </w:p>
        </w:tc>
        <w:tc>
          <w:tcPr>
            <w:tcW w:w="851" w:type="dxa"/>
            <w:tcBorders>
              <w:top w:val="single" w:color="auto" w:sz="4" w:space="0"/>
              <w:left w:val="single" w:color="auto" w:sz="4" w:space="0"/>
              <w:bottom w:val="single" w:color="auto" w:sz="4" w:space="0"/>
              <w:right w:val="single" w:color="auto" w:sz="4" w:space="0"/>
            </w:tcBorders>
            <w:noWrap w:val="0"/>
            <w:vAlign w:val="center"/>
          </w:tcPr>
          <w:p w14:paraId="5AFF6B6C">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14</w:t>
            </w:r>
          </w:p>
        </w:tc>
        <w:tc>
          <w:tcPr>
            <w:tcW w:w="852" w:type="dxa"/>
            <w:tcBorders>
              <w:top w:val="single" w:color="auto" w:sz="4" w:space="0"/>
              <w:left w:val="single" w:color="auto" w:sz="4" w:space="0"/>
              <w:bottom w:val="single" w:color="auto" w:sz="4" w:space="0"/>
              <w:right w:val="single" w:color="auto" w:sz="4" w:space="0"/>
            </w:tcBorders>
            <w:noWrap w:val="0"/>
            <w:vAlign w:val="center"/>
          </w:tcPr>
          <w:p w14:paraId="2B269AF5">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14</w:t>
            </w:r>
          </w:p>
        </w:tc>
        <w:tc>
          <w:tcPr>
            <w:tcW w:w="554" w:type="dxa"/>
            <w:tcBorders>
              <w:top w:val="single" w:color="auto" w:sz="4" w:space="0"/>
              <w:left w:val="single" w:color="auto" w:sz="4" w:space="0"/>
              <w:bottom w:val="single" w:color="auto" w:sz="4" w:space="0"/>
              <w:right w:val="single" w:color="auto" w:sz="4" w:space="0"/>
            </w:tcBorders>
            <w:noWrap w:val="0"/>
            <w:vAlign w:val="center"/>
          </w:tcPr>
          <w:p w14:paraId="62F7C598">
            <w:pPr>
              <w:jc w:val="center"/>
              <w:rPr>
                <w:rFonts w:hint="eastAsia" w:ascii="宋体" w:hAnsi="宋体" w:eastAsia="宋体" w:cs="宋体"/>
                <w:i w:val="0"/>
                <w:iCs w:val="0"/>
                <w:color w:val="auto"/>
                <w:sz w:val="18"/>
                <w:szCs w:val="18"/>
                <w:highlight w:val="none"/>
                <w:u w:val="none"/>
              </w:rPr>
            </w:pPr>
          </w:p>
        </w:tc>
      </w:tr>
      <w:tr w14:paraId="79CE2A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0" w:hRule="atLeast"/>
        </w:trPr>
        <w:tc>
          <w:tcPr>
            <w:tcW w:w="584" w:type="dxa"/>
            <w:tcBorders>
              <w:top w:val="single" w:color="auto" w:sz="4" w:space="0"/>
              <w:left w:val="single" w:color="auto" w:sz="4" w:space="0"/>
              <w:bottom w:val="single" w:color="auto" w:sz="4" w:space="0"/>
              <w:right w:val="single" w:color="auto" w:sz="4" w:space="0"/>
            </w:tcBorders>
            <w:noWrap w:val="0"/>
            <w:vAlign w:val="center"/>
          </w:tcPr>
          <w:p w14:paraId="2D603050">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60</w:t>
            </w:r>
          </w:p>
        </w:tc>
        <w:tc>
          <w:tcPr>
            <w:tcW w:w="690" w:type="dxa"/>
            <w:vMerge w:val="restart"/>
            <w:tcBorders>
              <w:top w:val="single" w:color="auto" w:sz="4" w:space="0"/>
              <w:left w:val="single" w:color="auto" w:sz="4" w:space="0"/>
              <w:bottom w:val="single" w:color="auto" w:sz="4" w:space="0"/>
              <w:right w:val="single" w:color="auto" w:sz="4" w:space="0"/>
            </w:tcBorders>
            <w:noWrap w:val="0"/>
            <w:vAlign w:val="center"/>
          </w:tcPr>
          <w:p w14:paraId="4D1CBD6C">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原材 料</w:t>
            </w:r>
          </w:p>
        </w:tc>
        <w:tc>
          <w:tcPr>
            <w:tcW w:w="864" w:type="dxa"/>
            <w:tcBorders>
              <w:top w:val="single" w:color="auto" w:sz="4" w:space="0"/>
              <w:left w:val="single" w:color="auto" w:sz="4" w:space="0"/>
              <w:bottom w:val="single" w:color="auto" w:sz="4" w:space="0"/>
              <w:right w:val="single" w:color="auto" w:sz="4" w:space="0"/>
            </w:tcBorders>
            <w:noWrap w:val="0"/>
            <w:vAlign w:val="center"/>
          </w:tcPr>
          <w:p w14:paraId="0712EBEB">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土工格栅</w:t>
            </w:r>
          </w:p>
        </w:tc>
        <w:tc>
          <w:tcPr>
            <w:tcW w:w="1854" w:type="dxa"/>
            <w:gridSpan w:val="2"/>
            <w:tcBorders>
              <w:top w:val="single" w:color="auto" w:sz="4" w:space="0"/>
              <w:left w:val="single" w:color="auto" w:sz="4" w:space="0"/>
              <w:bottom w:val="single" w:color="auto" w:sz="4" w:space="0"/>
              <w:right w:val="single" w:color="auto" w:sz="4" w:space="0"/>
            </w:tcBorders>
            <w:noWrap w:val="0"/>
            <w:vAlign w:val="center"/>
          </w:tcPr>
          <w:p w14:paraId="73CC17C4">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拉伸强度（双向）、2％伸长 率下的强度、5％伸长率下的 强度、标称伸长率（双向）</w:t>
            </w:r>
          </w:p>
        </w:tc>
        <w:tc>
          <w:tcPr>
            <w:tcW w:w="553" w:type="dxa"/>
            <w:tcBorders>
              <w:top w:val="single" w:color="auto" w:sz="4" w:space="0"/>
              <w:left w:val="single" w:color="auto" w:sz="4" w:space="0"/>
              <w:bottom w:val="single" w:color="auto" w:sz="4" w:space="0"/>
              <w:right w:val="single" w:color="auto" w:sz="4" w:space="0"/>
            </w:tcBorders>
            <w:noWrap w:val="0"/>
            <w:vAlign w:val="center"/>
          </w:tcPr>
          <w:p w14:paraId="42C1D346">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组</w:t>
            </w:r>
          </w:p>
        </w:tc>
        <w:tc>
          <w:tcPr>
            <w:tcW w:w="851" w:type="dxa"/>
            <w:tcBorders>
              <w:top w:val="single" w:color="auto" w:sz="4" w:space="0"/>
              <w:left w:val="single" w:color="auto" w:sz="4" w:space="0"/>
              <w:bottom w:val="single" w:color="auto" w:sz="4" w:space="0"/>
              <w:right w:val="single" w:color="auto" w:sz="4" w:space="0"/>
            </w:tcBorders>
            <w:noWrap w:val="0"/>
            <w:vAlign w:val="center"/>
          </w:tcPr>
          <w:p w14:paraId="516FCAB8">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10</w:t>
            </w:r>
          </w:p>
        </w:tc>
        <w:tc>
          <w:tcPr>
            <w:tcW w:w="851" w:type="dxa"/>
            <w:tcBorders>
              <w:top w:val="single" w:color="auto" w:sz="4" w:space="0"/>
              <w:left w:val="single" w:color="auto" w:sz="4" w:space="0"/>
              <w:bottom w:val="single" w:color="auto" w:sz="4" w:space="0"/>
              <w:right w:val="single" w:color="auto" w:sz="4" w:space="0"/>
            </w:tcBorders>
            <w:noWrap w:val="0"/>
            <w:vAlign w:val="center"/>
          </w:tcPr>
          <w:p w14:paraId="4618D7F0">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10</w:t>
            </w:r>
          </w:p>
        </w:tc>
        <w:tc>
          <w:tcPr>
            <w:tcW w:w="851" w:type="dxa"/>
            <w:tcBorders>
              <w:top w:val="single" w:color="auto" w:sz="4" w:space="0"/>
              <w:left w:val="single" w:color="auto" w:sz="4" w:space="0"/>
              <w:bottom w:val="single" w:color="auto" w:sz="4" w:space="0"/>
              <w:right w:val="single" w:color="auto" w:sz="4" w:space="0"/>
            </w:tcBorders>
            <w:noWrap w:val="0"/>
            <w:vAlign w:val="center"/>
          </w:tcPr>
          <w:p w14:paraId="1C0E2DCF">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10</w:t>
            </w:r>
          </w:p>
        </w:tc>
        <w:tc>
          <w:tcPr>
            <w:tcW w:w="852" w:type="dxa"/>
            <w:tcBorders>
              <w:top w:val="single" w:color="auto" w:sz="4" w:space="0"/>
              <w:left w:val="single" w:color="auto" w:sz="4" w:space="0"/>
              <w:bottom w:val="single" w:color="auto" w:sz="4" w:space="0"/>
              <w:right w:val="single" w:color="auto" w:sz="4" w:space="0"/>
            </w:tcBorders>
            <w:noWrap w:val="0"/>
            <w:vAlign w:val="center"/>
          </w:tcPr>
          <w:p w14:paraId="300CAFD3">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10</w:t>
            </w:r>
          </w:p>
        </w:tc>
        <w:tc>
          <w:tcPr>
            <w:tcW w:w="554" w:type="dxa"/>
            <w:tcBorders>
              <w:top w:val="single" w:color="auto" w:sz="4" w:space="0"/>
              <w:left w:val="single" w:color="auto" w:sz="4" w:space="0"/>
              <w:bottom w:val="single" w:color="auto" w:sz="4" w:space="0"/>
              <w:right w:val="single" w:color="auto" w:sz="4" w:space="0"/>
            </w:tcBorders>
            <w:noWrap w:val="0"/>
            <w:vAlign w:val="center"/>
          </w:tcPr>
          <w:p w14:paraId="62EAB9E5">
            <w:pPr>
              <w:jc w:val="center"/>
              <w:rPr>
                <w:rFonts w:hint="eastAsia" w:ascii="宋体" w:hAnsi="宋体" w:eastAsia="宋体" w:cs="宋体"/>
                <w:i w:val="0"/>
                <w:iCs w:val="0"/>
                <w:color w:val="auto"/>
                <w:sz w:val="18"/>
                <w:szCs w:val="18"/>
                <w:highlight w:val="none"/>
                <w:u w:val="none"/>
              </w:rPr>
            </w:pPr>
          </w:p>
        </w:tc>
      </w:tr>
      <w:tr w14:paraId="0A0934A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0" w:hRule="atLeast"/>
        </w:trPr>
        <w:tc>
          <w:tcPr>
            <w:tcW w:w="584" w:type="dxa"/>
            <w:tcBorders>
              <w:top w:val="single" w:color="auto" w:sz="4" w:space="0"/>
              <w:left w:val="single" w:color="auto" w:sz="4" w:space="0"/>
              <w:bottom w:val="single" w:color="auto" w:sz="4" w:space="0"/>
              <w:right w:val="single" w:color="auto" w:sz="4" w:space="0"/>
            </w:tcBorders>
            <w:noWrap w:val="0"/>
            <w:vAlign w:val="center"/>
          </w:tcPr>
          <w:p w14:paraId="0B211053">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61</w:t>
            </w:r>
          </w:p>
        </w:tc>
        <w:tc>
          <w:tcPr>
            <w:tcW w:w="690" w:type="dxa"/>
            <w:vMerge w:val="continue"/>
            <w:tcBorders>
              <w:top w:val="single" w:color="auto" w:sz="4" w:space="0"/>
              <w:left w:val="single" w:color="auto" w:sz="4" w:space="0"/>
              <w:bottom w:val="single" w:color="auto" w:sz="4" w:space="0"/>
              <w:right w:val="single" w:color="auto" w:sz="4" w:space="0"/>
            </w:tcBorders>
            <w:noWrap w:val="0"/>
            <w:vAlign w:val="center"/>
          </w:tcPr>
          <w:p w14:paraId="0FEBAB33">
            <w:pPr>
              <w:jc w:val="center"/>
              <w:rPr>
                <w:rFonts w:hint="eastAsia" w:ascii="宋体" w:hAnsi="宋体" w:eastAsia="宋体" w:cs="宋体"/>
                <w:i w:val="0"/>
                <w:iCs w:val="0"/>
                <w:color w:val="auto"/>
                <w:sz w:val="18"/>
                <w:szCs w:val="18"/>
                <w:highlight w:val="none"/>
                <w:u w:val="none"/>
              </w:rPr>
            </w:pPr>
          </w:p>
        </w:tc>
        <w:tc>
          <w:tcPr>
            <w:tcW w:w="864" w:type="dxa"/>
            <w:tcBorders>
              <w:top w:val="single" w:color="auto" w:sz="4" w:space="0"/>
              <w:left w:val="single" w:color="auto" w:sz="4" w:space="0"/>
              <w:bottom w:val="single" w:color="auto" w:sz="4" w:space="0"/>
              <w:right w:val="single" w:color="auto" w:sz="4" w:space="0"/>
            </w:tcBorders>
            <w:noWrap w:val="0"/>
            <w:vAlign w:val="center"/>
          </w:tcPr>
          <w:p w14:paraId="072C36AF">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预应力混凝土塑料波纹管</w:t>
            </w:r>
          </w:p>
        </w:tc>
        <w:tc>
          <w:tcPr>
            <w:tcW w:w="1854" w:type="dxa"/>
            <w:gridSpan w:val="2"/>
            <w:tcBorders>
              <w:top w:val="single" w:color="auto" w:sz="4" w:space="0"/>
              <w:left w:val="single" w:color="auto" w:sz="4" w:space="0"/>
              <w:bottom w:val="single" w:color="auto" w:sz="4" w:space="0"/>
              <w:right w:val="single" w:color="auto" w:sz="4" w:space="0"/>
            </w:tcBorders>
            <w:noWrap w:val="0"/>
            <w:vAlign w:val="center"/>
          </w:tcPr>
          <w:p w14:paraId="24226BBA">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局部横向荷载、外观尺寸、环 刚度、柔韧性、抗冲击试验</w:t>
            </w:r>
          </w:p>
        </w:tc>
        <w:tc>
          <w:tcPr>
            <w:tcW w:w="553" w:type="dxa"/>
            <w:tcBorders>
              <w:top w:val="single" w:color="auto" w:sz="4" w:space="0"/>
              <w:left w:val="single" w:color="auto" w:sz="4" w:space="0"/>
              <w:bottom w:val="single" w:color="auto" w:sz="4" w:space="0"/>
              <w:right w:val="single" w:color="auto" w:sz="4" w:space="0"/>
            </w:tcBorders>
            <w:noWrap w:val="0"/>
            <w:vAlign w:val="center"/>
          </w:tcPr>
          <w:p w14:paraId="079ED85C">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组</w:t>
            </w:r>
          </w:p>
        </w:tc>
        <w:tc>
          <w:tcPr>
            <w:tcW w:w="851" w:type="dxa"/>
            <w:tcBorders>
              <w:top w:val="single" w:color="auto" w:sz="4" w:space="0"/>
              <w:left w:val="single" w:color="auto" w:sz="4" w:space="0"/>
              <w:bottom w:val="single" w:color="auto" w:sz="4" w:space="0"/>
              <w:right w:val="single" w:color="auto" w:sz="4" w:space="0"/>
            </w:tcBorders>
            <w:noWrap w:val="0"/>
            <w:vAlign w:val="center"/>
          </w:tcPr>
          <w:p w14:paraId="2F567D6C">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15</w:t>
            </w:r>
          </w:p>
        </w:tc>
        <w:tc>
          <w:tcPr>
            <w:tcW w:w="851" w:type="dxa"/>
            <w:tcBorders>
              <w:top w:val="single" w:color="auto" w:sz="4" w:space="0"/>
              <w:left w:val="single" w:color="auto" w:sz="4" w:space="0"/>
              <w:bottom w:val="single" w:color="auto" w:sz="4" w:space="0"/>
              <w:right w:val="single" w:color="auto" w:sz="4" w:space="0"/>
            </w:tcBorders>
            <w:noWrap w:val="0"/>
            <w:vAlign w:val="center"/>
          </w:tcPr>
          <w:p w14:paraId="1F5052B0">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15</w:t>
            </w:r>
          </w:p>
        </w:tc>
        <w:tc>
          <w:tcPr>
            <w:tcW w:w="851" w:type="dxa"/>
            <w:tcBorders>
              <w:top w:val="single" w:color="auto" w:sz="4" w:space="0"/>
              <w:left w:val="single" w:color="auto" w:sz="4" w:space="0"/>
              <w:bottom w:val="single" w:color="auto" w:sz="4" w:space="0"/>
              <w:right w:val="single" w:color="auto" w:sz="4" w:space="0"/>
            </w:tcBorders>
            <w:noWrap w:val="0"/>
            <w:vAlign w:val="center"/>
          </w:tcPr>
          <w:p w14:paraId="36C2B739">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15</w:t>
            </w:r>
          </w:p>
        </w:tc>
        <w:tc>
          <w:tcPr>
            <w:tcW w:w="852" w:type="dxa"/>
            <w:tcBorders>
              <w:top w:val="single" w:color="auto" w:sz="4" w:space="0"/>
              <w:left w:val="single" w:color="auto" w:sz="4" w:space="0"/>
              <w:bottom w:val="single" w:color="auto" w:sz="4" w:space="0"/>
              <w:right w:val="single" w:color="auto" w:sz="4" w:space="0"/>
            </w:tcBorders>
            <w:noWrap w:val="0"/>
            <w:vAlign w:val="center"/>
          </w:tcPr>
          <w:p w14:paraId="5A1DF570">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15</w:t>
            </w:r>
          </w:p>
        </w:tc>
        <w:tc>
          <w:tcPr>
            <w:tcW w:w="554" w:type="dxa"/>
            <w:tcBorders>
              <w:top w:val="single" w:color="auto" w:sz="4" w:space="0"/>
              <w:left w:val="single" w:color="auto" w:sz="4" w:space="0"/>
              <w:bottom w:val="single" w:color="auto" w:sz="4" w:space="0"/>
              <w:right w:val="single" w:color="auto" w:sz="4" w:space="0"/>
            </w:tcBorders>
            <w:noWrap w:val="0"/>
            <w:vAlign w:val="center"/>
          </w:tcPr>
          <w:p w14:paraId="66DE7F39">
            <w:pPr>
              <w:jc w:val="center"/>
              <w:rPr>
                <w:rFonts w:hint="eastAsia" w:ascii="宋体" w:hAnsi="宋体" w:eastAsia="宋体" w:cs="宋体"/>
                <w:i w:val="0"/>
                <w:iCs w:val="0"/>
                <w:color w:val="auto"/>
                <w:sz w:val="18"/>
                <w:szCs w:val="18"/>
                <w:highlight w:val="none"/>
                <w:u w:val="none"/>
              </w:rPr>
            </w:pPr>
          </w:p>
        </w:tc>
      </w:tr>
      <w:tr w14:paraId="29C9E3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0" w:hRule="atLeast"/>
        </w:trPr>
        <w:tc>
          <w:tcPr>
            <w:tcW w:w="584" w:type="dxa"/>
            <w:tcBorders>
              <w:top w:val="single" w:color="auto" w:sz="4" w:space="0"/>
              <w:left w:val="single" w:color="auto" w:sz="4" w:space="0"/>
              <w:bottom w:val="single" w:color="auto" w:sz="4" w:space="0"/>
              <w:right w:val="single" w:color="auto" w:sz="4" w:space="0"/>
            </w:tcBorders>
            <w:noWrap w:val="0"/>
            <w:vAlign w:val="center"/>
          </w:tcPr>
          <w:p w14:paraId="6AA7E8F9">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62</w:t>
            </w:r>
          </w:p>
        </w:tc>
        <w:tc>
          <w:tcPr>
            <w:tcW w:w="690" w:type="dxa"/>
            <w:vMerge w:val="continue"/>
            <w:tcBorders>
              <w:top w:val="single" w:color="auto" w:sz="4" w:space="0"/>
              <w:left w:val="single" w:color="auto" w:sz="4" w:space="0"/>
              <w:bottom w:val="single" w:color="auto" w:sz="4" w:space="0"/>
              <w:right w:val="single" w:color="auto" w:sz="4" w:space="0"/>
            </w:tcBorders>
            <w:noWrap w:val="0"/>
            <w:vAlign w:val="center"/>
          </w:tcPr>
          <w:p w14:paraId="08E48EB4">
            <w:pPr>
              <w:jc w:val="center"/>
              <w:rPr>
                <w:rFonts w:hint="eastAsia" w:ascii="宋体" w:hAnsi="宋体" w:eastAsia="宋体" w:cs="宋体"/>
                <w:i w:val="0"/>
                <w:iCs w:val="0"/>
                <w:color w:val="auto"/>
                <w:sz w:val="18"/>
                <w:szCs w:val="18"/>
                <w:highlight w:val="none"/>
                <w:u w:val="none"/>
              </w:rPr>
            </w:pPr>
          </w:p>
        </w:tc>
        <w:tc>
          <w:tcPr>
            <w:tcW w:w="864" w:type="dxa"/>
            <w:tcBorders>
              <w:top w:val="single" w:color="auto" w:sz="4" w:space="0"/>
              <w:left w:val="single" w:color="auto" w:sz="4" w:space="0"/>
              <w:bottom w:val="single" w:color="auto" w:sz="4" w:space="0"/>
              <w:right w:val="single" w:color="auto" w:sz="4" w:space="0"/>
            </w:tcBorders>
            <w:noWrap w:val="0"/>
            <w:vAlign w:val="center"/>
          </w:tcPr>
          <w:p w14:paraId="44D36FB9">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金属波纹管</w:t>
            </w:r>
          </w:p>
        </w:tc>
        <w:tc>
          <w:tcPr>
            <w:tcW w:w="1854" w:type="dxa"/>
            <w:gridSpan w:val="2"/>
            <w:tcBorders>
              <w:top w:val="single" w:color="auto" w:sz="4" w:space="0"/>
              <w:left w:val="single" w:color="auto" w:sz="4" w:space="0"/>
              <w:bottom w:val="single" w:color="auto" w:sz="4" w:space="0"/>
              <w:right w:val="single" w:color="auto" w:sz="4" w:space="0"/>
            </w:tcBorders>
            <w:noWrap w:val="0"/>
            <w:vAlign w:val="center"/>
          </w:tcPr>
          <w:p w14:paraId="04620DC5">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外观质量、外形尺寸、 抗外 荷载性能、抗渗漏性能</w:t>
            </w:r>
          </w:p>
        </w:tc>
        <w:tc>
          <w:tcPr>
            <w:tcW w:w="553" w:type="dxa"/>
            <w:tcBorders>
              <w:top w:val="single" w:color="auto" w:sz="4" w:space="0"/>
              <w:left w:val="single" w:color="auto" w:sz="4" w:space="0"/>
              <w:bottom w:val="single" w:color="auto" w:sz="4" w:space="0"/>
              <w:right w:val="single" w:color="auto" w:sz="4" w:space="0"/>
            </w:tcBorders>
            <w:noWrap w:val="0"/>
            <w:vAlign w:val="center"/>
          </w:tcPr>
          <w:p w14:paraId="5E36EEB2">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组</w:t>
            </w:r>
          </w:p>
        </w:tc>
        <w:tc>
          <w:tcPr>
            <w:tcW w:w="851" w:type="dxa"/>
            <w:tcBorders>
              <w:top w:val="single" w:color="auto" w:sz="4" w:space="0"/>
              <w:left w:val="single" w:color="auto" w:sz="4" w:space="0"/>
              <w:bottom w:val="single" w:color="auto" w:sz="4" w:space="0"/>
              <w:right w:val="single" w:color="auto" w:sz="4" w:space="0"/>
            </w:tcBorders>
            <w:noWrap w:val="0"/>
            <w:vAlign w:val="center"/>
          </w:tcPr>
          <w:p w14:paraId="5947B88E">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15</w:t>
            </w:r>
          </w:p>
        </w:tc>
        <w:tc>
          <w:tcPr>
            <w:tcW w:w="851" w:type="dxa"/>
            <w:tcBorders>
              <w:top w:val="single" w:color="auto" w:sz="4" w:space="0"/>
              <w:left w:val="single" w:color="auto" w:sz="4" w:space="0"/>
              <w:bottom w:val="single" w:color="auto" w:sz="4" w:space="0"/>
              <w:right w:val="single" w:color="auto" w:sz="4" w:space="0"/>
            </w:tcBorders>
            <w:noWrap w:val="0"/>
            <w:vAlign w:val="center"/>
          </w:tcPr>
          <w:p w14:paraId="4AB215F7">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15</w:t>
            </w:r>
          </w:p>
        </w:tc>
        <w:tc>
          <w:tcPr>
            <w:tcW w:w="851" w:type="dxa"/>
            <w:tcBorders>
              <w:top w:val="single" w:color="auto" w:sz="4" w:space="0"/>
              <w:left w:val="single" w:color="auto" w:sz="4" w:space="0"/>
              <w:bottom w:val="single" w:color="auto" w:sz="4" w:space="0"/>
              <w:right w:val="single" w:color="auto" w:sz="4" w:space="0"/>
            </w:tcBorders>
            <w:noWrap w:val="0"/>
            <w:vAlign w:val="center"/>
          </w:tcPr>
          <w:p w14:paraId="5C49FAD7">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15</w:t>
            </w:r>
          </w:p>
        </w:tc>
        <w:tc>
          <w:tcPr>
            <w:tcW w:w="852" w:type="dxa"/>
            <w:tcBorders>
              <w:top w:val="single" w:color="auto" w:sz="4" w:space="0"/>
              <w:left w:val="single" w:color="auto" w:sz="4" w:space="0"/>
              <w:bottom w:val="single" w:color="auto" w:sz="4" w:space="0"/>
              <w:right w:val="single" w:color="auto" w:sz="4" w:space="0"/>
            </w:tcBorders>
            <w:noWrap w:val="0"/>
            <w:vAlign w:val="center"/>
          </w:tcPr>
          <w:p w14:paraId="76FF29EC">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15</w:t>
            </w:r>
          </w:p>
        </w:tc>
        <w:tc>
          <w:tcPr>
            <w:tcW w:w="554" w:type="dxa"/>
            <w:tcBorders>
              <w:top w:val="single" w:color="auto" w:sz="4" w:space="0"/>
              <w:left w:val="single" w:color="auto" w:sz="4" w:space="0"/>
              <w:bottom w:val="single" w:color="auto" w:sz="4" w:space="0"/>
              <w:right w:val="single" w:color="auto" w:sz="4" w:space="0"/>
            </w:tcBorders>
            <w:noWrap w:val="0"/>
            <w:vAlign w:val="center"/>
          </w:tcPr>
          <w:p w14:paraId="502B18ED">
            <w:pPr>
              <w:jc w:val="center"/>
              <w:rPr>
                <w:rFonts w:hint="eastAsia" w:ascii="宋体" w:hAnsi="宋体" w:eastAsia="宋体" w:cs="宋体"/>
                <w:i w:val="0"/>
                <w:iCs w:val="0"/>
                <w:color w:val="auto"/>
                <w:sz w:val="18"/>
                <w:szCs w:val="18"/>
                <w:highlight w:val="none"/>
                <w:u w:val="none"/>
              </w:rPr>
            </w:pPr>
          </w:p>
        </w:tc>
      </w:tr>
      <w:tr w14:paraId="7DCE5B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0" w:hRule="atLeast"/>
        </w:trPr>
        <w:tc>
          <w:tcPr>
            <w:tcW w:w="584" w:type="dxa"/>
            <w:tcBorders>
              <w:top w:val="single" w:color="auto" w:sz="4" w:space="0"/>
              <w:left w:val="single" w:color="auto" w:sz="4" w:space="0"/>
              <w:bottom w:val="single" w:color="auto" w:sz="4" w:space="0"/>
              <w:right w:val="single" w:color="auto" w:sz="4" w:space="0"/>
            </w:tcBorders>
            <w:noWrap w:val="0"/>
            <w:vAlign w:val="center"/>
          </w:tcPr>
          <w:p w14:paraId="3988CB09">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63</w:t>
            </w:r>
          </w:p>
        </w:tc>
        <w:tc>
          <w:tcPr>
            <w:tcW w:w="690" w:type="dxa"/>
            <w:vMerge w:val="continue"/>
            <w:tcBorders>
              <w:top w:val="single" w:color="auto" w:sz="4" w:space="0"/>
              <w:left w:val="single" w:color="auto" w:sz="4" w:space="0"/>
              <w:bottom w:val="single" w:color="auto" w:sz="4" w:space="0"/>
              <w:right w:val="single" w:color="auto" w:sz="4" w:space="0"/>
            </w:tcBorders>
            <w:noWrap w:val="0"/>
            <w:vAlign w:val="center"/>
          </w:tcPr>
          <w:p w14:paraId="485444AE">
            <w:pPr>
              <w:jc w:val="center"/>
              <w:rPr>
                <w:rFonts w:hint="eastAsia" w:ascii="宋体" w:hAnsi="宋体" w:eastAsia="宋体" w:cs="宋体"/>
                <w:i w:val="0"/>
                <w:iCs w:val="0"/>
                <w:color w:val="auto"/>
                <w:sz w:val="18"/>
                <w:szCs w:val="18"/>
                <w:highlight w:val="none"/>
                <w:u w:val="none"/>
              </w:rPr>
            </w:pPr>
          </w:p>
        </w:tc>
        <w:tc>
          <w:tcPr>
            <w:tcW w:w="864" w:type="dxa"/>
            <w:tcBorders>
              <w:top w:val="single" w:color="auto" w:sz="4" w:space="0"/>
              <w:left w:val="single" w:color="auto" w:sz="4" w:space="0"/>
              <w:bottom w:val="single" w:color="auto" w:sz="4" w:space="0"/>
              <w:right w:val="single" w:color="auto" w:sz="4" w:space="0"/>
            </w:tcBorders>
            <w:noWrap w:val="0"/>
            <w:vAlign w:val="center"/>
          </w:tcPr>
          <w:p w14:paraId="4CCDA99F">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预应力孔道压浆料</w:t>
            </w:r>
          </w:p>
        </w:tc>
        <w:tc>
          <w:tcPr>
            <w:tcW w:w="1854" w:type="dxa"/>
            <w:gridSpan w:val="2"/>
            <w:tcBorders>
              <w:top w:val="single" w:color="auto" w:sz="4" w:space="0"/>
              <w:left w:val="single" w:color="auto" w:sz="4" w:space="0"/>
              <w:bottom w:val="single" w:color="auto" w:sz="4" w:space="0"/>
              <w:right w:val="single" w:color="auto" w:sz="4" w:space="0"/>
            </w:tcBorders>
            <w:noWrap w:val="0"/>
            <w:vAlign w:val="center"/>
          </w:tcPr>
          <w:p w14:paraId="044C91CD">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凝结时间、流动度、充盈度、 泌水率、压力泌水率、自由膨 胀率、抗折强度、抗压强度</w:t>
            </w:r>
          </w:p>
        </w:tc>
        <w:tc>
          <w:tcPr>
            <w:tcW w:w="553" w:type="dxa"/>
            <w:tcBorders>
              <w:top w:val="single" w:color="auto" w:sz="4" w:space="0"/>
              <w:left w:val="single" w:color="auto" w:sz="4" w:space="0"/>
              <w:bottom w:val="single" w:color="auto" w:sz="4" w:space="0"/>
              <w:right w:val="single" w:color="auto" w:sz="4" w:space="0"/>
            </w:tcBorders>
            <w:noWrap w:val="0"/>
            <w:vAlign w:val="center"/>
          </w:tcPr>
          <w:p w14:paraId="68DE2772">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组</w:t>
            </w:r>
          </w:p>
        </w:tc>
        <w:tc>
          <w:tcPr>
            <w:tcW w:w="851" w:type="dxa"/>
            <w:tcBorders>
              <w:top w:val="single" w:color="auto" w:sz="4" w:space="0"/>
              <w:left w:val="single" w:color="auto" w:sz="4" w:space="0"/>
              <w:bottom w:val="single" w:color="auto" w:sz="4" w:space="0"/>
              <w:right w:val="single" w:color="auto" w:sz="4" w:space="0"/>
            </w:tcBorders>
            <w:noWrap w:val="0"/>
            <w:vAlign w:val="center"/>
          </w:tcPr>
          <w:p w14:paraId="6A485666">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19.5</w:t>
            </w:r>
          </w:p>
        </w:tc>
        <w:tc>
          <w:tcPr>
            <w:tcW w:w="851" w:type="dxa"/>
            <w:tcBorders>
              <w:top w:val="single" w:color="auto" w:sz="4" w:space="0"/>
              <w:left w:val="single" w:color="auto" w:sz="4" w:space="0"/>
              <w:bottom w:val="single" w:color="auto" w:sz="4" w:space="0"/>
              <w:right w:val="single" w:color="auto" w:sz="4" w:space="0"/>
            </w:tcBorders>
            <w:noWrap w:val="0"/>
            <w:vAlign w:val="center"/>
          </w:tcPr>
          <w:p w14:paraId="640DE674">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19.5</w:t>
            </w:r>
          </w:p>
        </w:tc>
        <w:tc>
          <w:tcPr>
            <w:tcW w:w="851" w:type="dxa"/>
            <w:tcBorders>
              <w:top w:val="single" w:color="auto" w:sz="4" w:space="0"/>
              <w:left w:val="single" w:color="auto" w:sz="4" w:space="0"/>
              <w:bottom w:val="single" w:color="auto" w:sz="4" w:space="0"/>
              <w:right w:val="single" w:color="auto" w:sz="4" w:space="0"/>
            </w:tcBorders>
            <w:noWrap w:val="0"/>
            <w:vAlign w:val="center"/>
          </w:tcPr>
          <w:p w14:paraId="39A6C72E">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19.5</w:t>
            </w:r>
          </w:p>
        </w:tc>
        <w:tc>
          <w:tcPr>
            <w:tcW w:w="852" w:type="dxa"/>
            <w:tcBorders>
              <w:top w:val="single" w:color="auto" w:sz="4" w:space="0"/>
              <w:left w:val="single" w:color="auto" w:sz="4" w:space="0"/>
              <w:bottom w:val="single" w:color="auto" w:sz="4" w:space="0"/>
              <w:right w:val="single" w:color="auto" w:sz="4" w:space="0"/>
            </w:tcBorders>
            <w:noWrap w:val="0"/>
            <w:vAlign w:val="center"/>
          </w:tcPr>
          <w:p w14:paraId="36A88022">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19.5</w:t>
            </w:r>
          </w:p>
        </w:tc>
        <w:tc>
          <w:tcPr>
            <w:tcW w:w="554" w:type="dxa"/>
            <w:tcBorders>
              <w:top w:val="single" w:color="auto" w:sz="4" w:space="0"/>
              <w:left w:val="single" w:color="auto" w:sz="4" w:space="0"/>
              <w:bottom w:val="single" w:color="auto" w:sz="4" w:space="0"/>
              <w:right w:val="single" w:color="auto" w:sz="4" w:space="0"/>
            </w:tcBorders>
            <w:noWrap w:val="0"/>
            <w:vAlign w:val="center"/>
          </w:tcPr>
          <w:p w14:paraId="7224BDF0">
            <w:pPr>
              <w:jc w:val="center"/>
              <w:rPr>
                <w:rFonts w:hint="eastAsia" w:ascii="宋体" w:hAnsi="宋体" w:eastAsia="宋体" w:cs="宋体"/>
                <w:i w:val="0"/>
                <w:iCs w:val="0"/>
                <w:color w:val="auto"/>
                <w:sz w:val="18"/>
                <w:szCs w:val="18"/>
                <w:highlight w:val="none"/>
                <w:u w:val="none"/>
              </w:rPr>
            </w:pPr>
          </w:p>
        </w:tc>
      </w:tr>
      <w:tr w14:paraId="0301CC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0" w:hRule="atLeast"/>
        </w:trPr>
        <w:tc>
          <w:tcPr>
            <w:tcW w:w="584" w:type="dxa"/>
            <w:tcBorders>
              <w:top w:val="single" w:color="auto" w:sz="4" w:space="0"/>
              <w:left w:val="single" w:color="auto" w:sz="4" w:space="0"/>
              <w:bottom w:val="single" w:color="auto" w:sz="4" w:space="0"/>
              <w:right w:val="single" w:color="auto" w:sz="4" w:space="0"/>
            </w:tcBorders>
            <w:noWrap w:val="0"/>
            <w:vAlign w:val="center"/>
          </w:tcPr>
          <w:p w14:paraId="4D3F1D41">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64</w:t>
            </w:r>
          </w:p>
        </w:tc>
        <w:tc>
          <w:tcPr>
            <w:tcW w:w="690" w:type="dxa"/>
            <w:vMerge w:val="continue"/>
            <w:tcBorders>
              <w:top w:val="single" w:color="auto" w:sz="4" w:space="0"/>
              <w:left w:val="single" w:color="auto" w:sz="4" w:space="0"/>
              <w:bottom w:val="single" w:color="auto" w:sz="4" w:space="0"/>
              <w:right w:val="single" w:color="auto" w:sz="4" w:space="0"/>
            </w:tcBorders>
            <w:noWrap w:val="0"/>
            <w:vAlign w:val="center"/>
          </w:tcPr>
          <w:p w14:paraId="13D2FC0A">
            <w:pPr>
              <w:jc w:val="center"/>
              <w:rPr>
                <w:rFonts w:hint="eastAsia" w:ascii="宋体" w:hAnsi="宋体" w:eastAsia="宋体" w:cs="宋体"/>
                <w:i w:val="0"/>
                <w:iCs w:val="0"/>
                <w:color w:val="auto"/>
                <w:sz w:val="18"/>
                <w:szCs w:val="18"/>
                <w:highlight w:val="none"/>
                <w:u w:val="none"/>
              </w:rPr>
            </w:pPr>
          </w:p>
        </w:tc>
        <w:tc>
          <w:tcPr>
            <w:tcW w:w="864" w:type="dxa"/>
            <w:vMerge w:val="restart"/>
            <w:tcBorders>
              <w:top w:val="single" w:color="auto" w:sz="4" w:space="0"/>
              <w:left w:val="single" w:color="auto" w:sz="4" w:space="0"/>
              <w:bottom w:val="single" w:color="auto" w:sz="4" w:space="0"/>
              <w:right w:val="single" w:color="auto" w:sz="4" w:space="0"/>
            </w:tcBorders>
            <w:noWrap w:val="0"/>
            <w:vAlign w:val="center"/>
          </w:tcPr>
          <w:p w14:paraId="081CEA6F">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桥梁橡胶支座</w:t>
            </w:r>
          </w:p>
        </w:tc>
        <w:tc>
          <w:tcPr>
            <w:tcW w:w="1854" w:type="dxa"/>
            <w:gridSpan w:val="2"/>
            <w:tcBorders>
              <w:top w:val="single" w:color="auto" w:sz="4" w:space="0"/>
              <w:left w:val="single" w:color="auto" w:sz="4" w:space="0"/>
              <w:bottom w:val="single" w:color="auto" w:sz="4" w:space="0"/>
              <w:right w:val="single" w:color="auto" w:sz="4" w:space="0"/>
            </w:tcBorders>
            <w:noWrap w:val="0"/>
            <w:vAlign w:val="center"/>
          </w:tcPr>
          <w:p w14:paraId="5E9D417E">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板式：极限抗压强度、抗压弹 性模量、抗剪弹性模量</w:t>
            </w:r>
          </w:p>
        </w:tc>
        <w:tc>
          <w:tcPr>
            <w:tcW w:w="553" w:type="dxa"/>
            <w:tcBorders>
              <w:top w:val="single" w:color="auto" w:sz="4" w:space="0"/>
              <w:left w:val="single" w:color="auto" w:sz="4" w:space="0"/>
              <w:bottom w:val="single" w:color="auto" w:sz="4" w:space="0"/>
              <w:right w:val="single" w:color="auto" w:sz="4" w:space="0"/>
            </w:tcBorders>
            <w:noWrap w:val="0"/>
            <w:vAlign w:val="center"/>
          </w:tcPr>
          <w:p w14:paraId="1B8DA1A9">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组</w:t>
            </w:r>
          </w:p>
        </w:tc>
        <w:tc>
          <w:tcPr>
            <w:tcW w:w="851" w:type="dxa"/>
            <w:tcBorders>
              <w:top w:val="single" w:color="auto" w:sz="4" w:space="0"/>
              <w:left w:val="single" w:color="auto" w:sz="4" w:space="0"/>
              <w:bottom w:val="single" w:color="auto" w:sz="4" w:space="0"/>
              <w:right w:val="single" w:color="auto" w:sz="4" w:space="0"/>
            </w:tcBorders>
            <w:noWrap w:val="0"/>
            <w:vAlign w:val="center"/>
          </w:tcPr>
          <w:p w14:paraId="5904A946">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4</w:t>
            </w:r>
          </w:p>
        </w:tc>
        <w:tc>
          <w:tcPr>
            <w:tcW w:w="851" w:type="dxa"/>
            <w:tcBorders>
              <w:top w:val="single" w:color="auto" w:sz="4" w:space="0"/>
              <w:left w:val="single" w:color="auto" w:sz="4" w:space="0"/>
              <w:bottom w:val="single" w:color="auto" w:sz="4" w:space="0"/>
              <w:right w:val="single" w:color="auto" w:sz="4" w:space="0"/>
            </w:tcBorders>
            <w:noWrap w:val="0"/>
            <w:vAlign w:val="center"/>
          </w:tcPr>
          <w:p w14:paraId="57EC3380">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4</w:t>
            </w:r>
          </w:p>
        </w:tc>
        <w:tc>
          <w:tcPr>
            <w:tcW w:w="851" w:type="dxa"/>
            <w:tcBorders>
              <w:top w:val="single" w:color="auto" w:sz="4" w:space="0"/>
              <w:left w:val="single" w:color="auto" w:sz="4" w:space="0"/>
              <w:bottom w:val="single" w:color="auto" w:sz="4" w:space="0"/>
              <w:right w:val="single" w:color="auto" w:sz="4" w:space="0"/>
            </w:tcBorders>
            <w:noWrap w:val="0"/>
            <w:vAlign w:val="center"/>
          </w:tcPr>
          <w:p w14:paraId="17741799">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4</w:t>
            </w:r>
          </w:p>
        </w:tc>
        <w:tc>
          <w:tcPr>
            <w:tcW w:w="852" w:type="dxa"/>
            <w:tcBorders>
              <w:top w:val="single" w:color="auto" w:sz="4" w:space="0"/>
              <w:left w:val="single" w:color="auto" w:sz="4" w:space="0"/>
              <w:bottom w:val="single" w:color="auto" w:sz="4" w:space="0"/>
              <w:right w:val="single" w:color="auto" w:sz="4" w:space="0"/>
            </w:tcBorders>
            <w:noWrap w:val="0"/>
            <w:vAlign w:val="center"/>
          </w:tcPr>
          <w:p w14:paraId="4A2198F7">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4</w:t>
            </w:r>
          </w:p>
        </w:tc>
        <w:tc>
          <w:tcPr>
            <w:tcW w:w="554" w:type="dxa"/>
            <w:tcBorders>
              <w:top w:val="single" w:color="auto" w:sz="4" w:space="0"/>
              <w:left w:val="single" w:color="auto" w:sz="4" w:space="0"/>
              <w:bottom w:val="single" w:color="auto" w:sz="4" w:space="0"/>
              <w:right w:val="single" w:color="auto" w:sz="4" w:space="0"/>
            </w:tcBorders>
            <w:noWrap w:val="0"/>
            <w:vAlign w:val="center"/>
          </w:tcPr>
          <w:p w14:paraId="6BC28000">
            <w:pPr>
              <w:jc w:val="center"/>
              <w:rPr>
                <w:rFonts w:hint="eastAsia" w:ascii="宋体" w:hAnsi="宋体" w:eastAsia="宋体" w:cs="宋体"/>
                <w:i w:val="0"/>
                <w:iCs w:val="0"/>
                <w:color w:val="auto"/>
                <w:sz w:val="18"/>
                <w:szCs w:val="18"/>
                <w:highlight w:val="none"/>
                <w:u w:val="none"/>
              </w:rPr>
            </w:pPr>
          </w:p>
        </w:tc>
      </w:tr>
      <w:tr w14:paraId="72D93A0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0" w:hRule="atLeast"/>
        </w:trPr>
        <w:tc>
          <w:tcPr>
            <w:tcW w:w="584" w:type="dxa"/>
            <w:tcBorders>
              <w:top w:val="single" w:color="auto" w:sz="4" w:space="0"/>
              <w:left w:val="single" w:color="auto" w:sz="4" w:space="0"/>
              <w:bottom w:val="single" w:color="auto" w:sz="4" w:space="0"/>
              <w:right w:val="single" w:color="auto" w:sz="4" w:space="0"/>
            </w:tcBorders>
            <w:noWrap w:val="0"/>
            <w:vAlign w:val="center"/>
          </w:tcPr>
          <w:p w14:paraId="0B298113">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65</w:t>
            </w:r>
          </w:p>
        </w:tc>
        <w:tc>
          <w:tcPr>
            <w:tcW w:w="690" w:type="dxa"/>
            <w:vMerge w:val="continue"/>
            <w:tcBorders>
              <w:top w:val="single" w:color="auto" w:sz="4" w:space="0"/>
              <w:left w:val="single" w:color="auto" w:sz="4" w:space="0"/>
              <w:bottom w:val="single" w:color="auto" w:sz="4" w:space="0"/>
              <w:right w:val="single" w:color="auto" w:sz="4" w:space="0"/>
            </w:tcBorders>
            <w:noWrap w:val="0"/>
            <w:vAlign w:val="center"/>
          </w:tcPr>
          <w:p w14:paraId="5D5B12F5">
            <w:pPr>
              <w:jc w:val="center"/>
              <w:rPr>
                <w:rFonts w:hint="eastAsia" w:ascii="宋体" w:hAnsi="宋体" w:eastAsia="宋体" w:cs="宋体"/>
                <w:i w:val="0"/>
                <w:iCs w:val="0"/>
                <w:color w:val="auto"/>
                <w:sz w:val="18"/>
                <w:szCs w:val="18"/>
                <w:highlight w:val="none"/>
                <w:u w:val="none"/>
              </w:rPr>
            </w:pPr>
          </w:p>
        </w:tc>
        <w:tc>
          <w:tcPr>
            <w:tcW w:w="864" w:type="dxa"/>
            <w:vMerge w:val="continue"/>
            <w:tcBorders>
              <w:top w:val="single" w:color="auto" w:sz="4" w:space="0"/>
              <w:left w:val="single" w:color="auto" w:sz="4" w:space="0"/>
              <w:bottom w:val="single" w:color="auto" w:sz="4" w:space="0"/>
              <w:right w:val="single" w:color="auto" w:sz="4" w:space="0"/>
            </w:tcBorders>
            <w:noWrap w:val="0"/>
            <w:vAlign w:val="center"/>
          </w:tcPr>
          <w:p w14:paraId="6B7C523E">
            <w:pPr>
              <w:jc w:val="center"/>
              <w:rPr>
                <w:rFonts w:hint="eastAsia" w:ascii="宋体" w:hAnsi="宋体" w:eastAsia="宋体" w:cs="宋体"/>
                <w:i w:val="0"/>
                <w:iCs w:val="0"/>
                <w:color w:val="auto"/>
                <w:sz w:val="18"/>
                <w:szCs w:val="18"/>
                <w:highlight w:val="none"/>
                <w:u w:val="none"/>
              </w:rPr>
            </w:pPr>
          </w:p>
        </w:tc>
        <w:tc>
          <w:tcPr>
            <w:tcW w:w="1854" w:type="dxa"/>
            <w:gridSpan w:val="2"/>
            <w:tcBorders>
              <w:top w:val="single" w:color="auto" w:sz="4" w:space="0"/>
              <w:left w:val="single" w:color="auto" w:sz="4" w:space="0"/>
              <w:bottom w:val="single" w:color="auto" w:sz="4" w:space="0"/>
              <w:right w:val="single" w:color="auto" w:sz="4" w:space="0"/>
            </w:tcBorders>
            <w:noWrap w:val="0"/>
            <w:vAlign w:val="center"/>
          </w:tcPr>
          <w:p w14:paraId="6A1F28CB">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四氟板：极限抗压强度、抗压 弹性模量、摩擦系数</w:t>
            </w:r>
          </w:p>
        </w:tc>
        <w:tc>
          <w:tcPr>
            <w:tcW w:w="553" w:type="dxa"/>
            <w:tcBorders>
              <w:top w:val="single" w:color="auto" w:sz="4" w:space="0"/>
              <w:left w:val="single" w:color="auto" w:sz="4" w:space="0"/>
              <w:bottom w:val="single" w:color="auto" w:sz="4" w:space="0"/>
              <w:right w:val="single" w:color="auto" w:sz="4" w:space="0"/>
            </w:tcBorders>
            <w:noWrap w:val="0"/>
            <w:vAlign w:val="center"/>
          </w:tcPr>
          <w:p w14:paraId="204E133E">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组</w:t>
            </w:r>
          </w:p>
        </w:tc>
        <w:tc>
          <w:tcPr>
            <w:tcW w:w="851" w:type="dxa"/>
            <w:tcBorders>
              <w:top w:val="single" w:color="auto" w:sz="4" w:space="0"/>
              <w:left w:val="single" w:color="auto" w:sz="4" w:space="0"/>
              <w:bottom w:val="single" w:color="auto" w:sz="4" w:space="0"/>
              <w:right w:val="single" w:color="auto" w:sz="4" w:space="0"/>
            </w:tcBorders>
            <w:noWrap w:val="0"/>
            <w:vAlign w:val="center"/>
          </w:tcPr>
          <w:p w14:paraId="30221F26">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4</w:t>
            </w:r>
          </w:p>
        </w:tc>
        <w:tc>
          <w:tcPr>
            <w:tcW w:w="851" w:type="dxa"/>
            <w:tcBorders>
              <w:top w:val="single" w:color="auto" w:sz="4" w:space="0"/>
              <w:left w:val="single" w:color="auto" w:sz="4" w:space="0"/>
              <w:bottom w:val="single" w:color="auto" w:sz="4" w:space="0"/>
              <w:right w:val="single" w:color="auto" w:sz="4" w:space="0"/>
            </w:tcBorders>
            <w:noWrap w:val="0"/>
            <w:vAlign w:val="center"/>
          </w:tcPr>
          <w:p w14:paraId="19DCD0FF">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4</w:t>
            </w:r>
          </w:p>
        </w:tc>
        <w:tc>
          <w:tcPr>
            <w:tcW w:w="851" w:type="dxa"/>
            <w:tcBorders>
              <w:top w:val="single" w:color="auto" w:sz="4" w:space="0"/>
              <w:left w:val="single" w:color="auto" w:sz="4" w:space="0"/>
              <w:bottom w:val="single" w:color="auto" w:sz="4" w:space="0"/>
              <w:right w:val="single" w:color="auto" w:sz="4" w:space="0"/>
            </w:tcBorders>
            <w:noWrap w:val="0"/>
            <w:vAlign w:val="center"/>
          </w:tcPr>
          <w:p w14:paraId="5A1A08C2">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4</w:t>
            </w:r>
          </w:p>
        </w:tc>
        <w:tc>
          <w:tcPr>
            <w:tcW w:w="852" w:type="dxa"/>
            <w:tcBorders>
              <w:top w:val="single" w:color="auto" w:sz="4" w:space="0"/>
              <w:left w:val="single" w:color="auto" w:sz="4" w:space="0"/>
              <w:bottom w:val="single" w:color="auto" w:sz="4" w:space="0"/>
              <w:right w:val="single" w:color="auto" w:sz="4" w:space="0"/>
            </w:tcBorders>
            <w:noWrap w:val="0"/>
            <w:vAlign w:val="center"/>
          </w:tcPr>
          <w:p w14:paraId="28486CE6">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4</w:t>
            </w:r>
          </w:p>
        </w:tc>
        <w:tc>
          <w:tcPr>
            <w:tcW w:w="554" w:type="dxa"/>
            <w:tcBorders>
              <w:top w:val="single" w:color="auto" w:sz="4" w:space="0"/>
              <w:left w:val="single" w:color="auto" w:sz="4" w:space="0"/>
              <w:bottom w:val="single" w:color="auto" w:sz="4" w:space="0"/>
              <w:right w:val="single" w:color="auto" w:sz="4" w:space="0"/>
            </w:tcBorders>
            <w:noWrap w:val="0"/>
            <w:vAlign w:val="center"/>
          </w:tcPr>
          <w:p w14:paraId="34E1FA28">
            <w:pPr>
              <w:jc w:val="center"/>
              <w:rPr>
                <w:rFonts w:hint="eastAsia" w:ascii="宋体" w:hAnsi="宋体" w:eastAsia="宋体" w:cs="宋体"/>
                <w:i w:val="0"/>
                <w:iCs w:val="0"/>
                <w:color w:val="auto"/>
                <w:sz w:val="18"/>
                <w:szCs w:val="18"/>
                <w:highlight w:val="none"/>
                <w:u w:val="none"/>
              </w:rPr>
            </w:pPr>
          </w:p>
        </w:tc>
      </w:tr>
      <w:tr w14:paraId="0E89D6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0" w:hRule="atLeast"/>
        </w:trPr>
        <w:tc>
          <w:tcPr>
            <w:tcW w:w="584" w:type="dxa"/>
            <w:tcBorders>
              <w:top w:val="single" w:color="auto" w:sz="4" w:space="0"/>
              <w:left w:val="single" w:color="auto" w:sz="4" w:space="0"/>
              <w:bottom w:val="single" w:color="auto" w:sz="4" w:space="0"/>
              <w:right w:val="single" w:color="auto" w:sz="4" w:space="0"/>
            </w:tcBorders>
            <w:noWrap w:val="0"/>
            <w:vAlign w:val="center"/>
          </w:tcPr>
          <w:p w14:paraId="00DBD2E2">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66</w:t>
            </w:r>
          </w:p>
        </w:tc>
        <w:tc>
          <w:tcPr>
            <w:tcW w:w="690" w:type="dxa"/>
            <w:vMerge w:val="continue"/>
            <w:tcBorders>
              <w:top w:val="single" w:color="auto" w:sz="4" w:space="0"/>
              <w:left w:val="single" w:color="auto" w:sz="4" w:space="0"/>
              <w:bottom w:val="single" w:color="auto" w:sz="4" w:space="0"/>
              <w:right w:val="single" w:color="auto" w:sz="4" w:space="0"/>
            </w:tcBorders>
            <w:noWrap w:val="0"/>
            <w:vAlign w:val="center"/>
          </w:tcPr>
          <w:p w14:paraId="5B45310D">
            <w:pPr>
              <w:jc w:val="center"/>
              <w:rPr>
                <w:rFonts w:hint="eastAsia" w:ascii="宋体" w:hAnsi="宋体" w:eastAsia="宋体" w:cs="宋体"/>
                <w:i w:val="0"/>
                <w:iCs w:val="0"/>
                <w:color w:val="auto"/>
                <w:sz w:val="18"/>
                <w:szCs w:val="18"/>
                <w:highlight w:val="none"/>
                <w:u w:val="none"/>
              </w:rPr>
            </w:pPr>
          </w:p>
        </w:tc>
        <w:tc>
          <w:tcPr>
            <w:tcW w:w="864" w:type="dxa"/>
            <w:tcBorders>
              <w:top w:val="single" w:color="auto" w:sz="4" w:space="0"/>
              <w:left w:val="single" w:color="auto" w:sz="4" w:space="0"/>
              <w:bottom w:val="single" w:color="auto" w:sz="4" w:space="0"/>
              <w:right w:val="single" w:color="auto" w:sz="4" w:space="0"/>
            </w:tcBorders>
            <w:noWrap w:val="0"/>
            <w:vAlign w:val="center"/>
          </w:tcPr>
          <w:p w14:paraId="57751C36">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防水板</w:t>
            </w:r>
          </w:p>
        </w:tc>
        <w:tc>
          <w:tcPr>
            <w:tcW w:w="1854" w:type="dxa"/>
            <w:gridSpan w:val="2"/>
            <w:tcBorders>
              <w:top w:val="single" w:color="auto" w:sz="4" w:space="0"/>
              <w:left w:val="single" w:color="auto" w:sz="4" w:space="0"/>
              <w:bottom w:val="single" w:color="auto" w:sz="4" w:space="0"/>
              <w:right w:val="single" w:color="auto" w:sz="4" w:space="0"/>
            </w:tcBorders>
            <w:noWrap w:val="0"/>
            <w:vAlign w:val="center"/>
          </w:tcPr>
          <w:p w14:paraId="1A1ED016">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拉伸强度、拉断伸长率、低温弯折、不透水性、撕裂强度、热空气老化</w:t>
            </w:r>
          </w:p>
        </w:tc>
        <w:tc>
          <w:tcPr>
            <w:tcW w:w="553" w:type="dxa"/>
            <w:tcBorders>
              <w:top w:val="single" w:color="auto" w:sz="4" w:space="0"/>
              <w:left w:val="single" w:color="auto" w:sz="4" w:space="0"/>
              <w:bottom w:val="single" w:color="auto" w:sz="4" w:space="0"/>
              <w:right w:val="single" w:color="auto" w:sz="4" w:space="0"/>
            </w:tcBorders>
            <w:noWrap w:val="0"/>
            <w:vAlign w:val="center"/>
          </w:tcPr>
          <w:p w14:paraId="58257488">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组</w:t>
            </w:r>
          </w:p>
        </w:tc>
        <w:tc>
          <w:tcPr>
            <w:tcW w:w="851" w:type="dxa"/>
            <w:tcBorders>
              <w:top w:val="single" w:color="auto" w:sz="4" w:space="0"/>
              <w:left w:val="single" w:color="auto" w:sz="4" w:space="0"/>
              <w:bottom w:val="single" w:color="auto" w:sz="4" w:space="0"/>
              <w:right w:val="single" w:color="auto" w:sz="4" w:space="0"/>
            </w:tcBorders>
            <w:noWrap w:val="0"/>
            <w:vAlign w:val="center"/>
          </w:tcPr>
          <w:p w14:paraId="07FE4484">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12</w:t>
            </w:r>
          </w:p>
        </w:tc>
        <w:tc>
          <w:tcPr>
            <w:tcW w:w="851" w:type="dxa"/>
            <w:tcBorders>
              <w:top w:val="single" w:color="auto" w:sz="4" w:space="0"/>
              <w:left w:val="single" w:color="auto" w:sz="4" w:space="0"/>
              <w:bottom w:val="single" w:color="auto" w:sz="4" w:space="0"/>
              <w:right w:val="single" w:color="auto" w:sz="4" w:space="0"/>
            </w:tcBorders>
            <w:noWrap w:val="0"/>
            <w:vAlign w:val="center"/>
          </w:tcPr>
          <w:p w14:paraId="168F128D">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12</w:t>
            </w:r>
          </w:p>
        </w:tc>
        <w:tc>
          <w:tcPr>
            <w:tcW w:w="851" w:type="dxa"/>
            <w:tcBorders>
              <w:top w:val="single" w:color="auto" w:sz="4" w:space="0"/>
              <w:left w:val="single" w:color="auto" w:sz="4" w:space="0"/>
              <w:bottom w:val="single" w:color="auto" w:sz="4" w:space="0"/>
              <w:right w:val="single" w:color="auto" w:sz="4" w:space="0"/>
            </w:tcBorders>
            <w:noWrap w:val="0"/>
            <w:vAlign w:val="center"/>
          </w:tcPr>
          <w:p w14:paraId="3C27175C">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12</w:t>
            </w:r>
          </w:p>
        </w:tc>
        <w:tc>
          <w:tcPr>
            <w:tcW w:w="852" w:type="dxa"/>
            <w:tcBorders>
              <w:top w:val="single" w:color="auto" w:sz="4" w:space="0"/>
              <w:left w:val="single" w:color="auto" w:sz="4" w:space="0"/>
              <w:bottom w:val="single" w:color="auto" w:sz="4" w:space="0"/>
              <w:right w:val="single" w:color="auto" w:sz="4" w:space="0"/>
            </w:tcBorders>
            <w:noWrap w:val="0"/>
            <w:vAlign w:val="center"/>
          </w:tcPr>
          <w:p w14:paraId="247C53C7">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12</w:t>
            </w:r>
          </w:p>
        </w:tc>
        <w:tc>
          <w:tcPr>
            <w:tcW w:w="554" w:type="dxa"/>
            <w:tcBorders>
              <w:top w:val="single" w:color="auto" w:sz="4" w:space="0"/>
              <w:left w:val="single" w:color="auto" w:sz="4" w:space="0"/>
              <w:bottom w:val="single" w:color="auto" w:sz="4" w:space="0"/>
              <w:right w:val="single" w:color="auto" w:sz="4" w:space="0"/>
            </w:tcBorders>
            <w:noWrap w:val="0"/>
            <w:vAlign w:val="center"/>
          </w:tcPr>
          <w:p w14:paraId="3BC03187">
            <w:pPr>
              <w:jc w:val="center"/>
              <w:rPr>
                <w:rFonts w:hint="eastAsia" w:ascii="宋体" w:hAnsi="宋体" w:eastAsia="宋体" w:cs="宋体"/>
                <w:i w:val="0"/>
                <w:iCs w:val="0"/>
                <w:color w:val="auto"/>
                <w:sz w:val="18"/>
                <w:szCs w:val="18"/>
                <w:highlight w:val="none"/>
                <w:u w:val="none"/>
              </w:rPr>
            </w:pPr>
          </w:p>
        </w:tc>
      </w:tr>
      <w:tr w14:paraId="1F5A1B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0" w:hRule="atLeast"/>
        </w:trPr>
        <w:tc>
          <w:tcPr>
            <w:tcW w:w="584" w:type="dxa"/>
            <w:tcBorders>
              <w:top w:val="single" w:color="auto" w:sz="4" w:space="0"/>
              <w:left w:val="single" w:color="auto" w:sz="4" w:space="0"/>
              <w:bottom w:val="single" w:color="auto" w:sz="4" w:space="0"/>
              <w:right w:val="single" w:color="auto" w:sz="4" w:space="0"/>
            </w:tcBorders>
            <w:noWrap w:val="0"/>
            <w:vAlign w:val="center"/>
          </w:tcPr>
          <w:p w14:paraId="10C49DA5">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67</w:t>
            </w:r>
          </w:p>
        </w:tc>
        <w:tc>
          <w:tcPr>
            <w:tcW w:w="690" w:type="dxa"/>
            <w:vMerge w:val="continue"/>
            <w:tcBorders>
              <w:top w:val="single" w:color="auto" w:sz="4" w:space="0"/>
              <w:left w:val="single" w:color="auto" w:sz="4" w:space="0"/>
              <w:bottom w:val="single" w:color="auto" w:sz="4" w:space="0"/>
              <w:right w:val="single" w:color="auto" w:sz="4" w:space="0"/>
            </w:tcBorders>
            <w:noWrap w:val="0"/>
            <w:vAlign w:val="center"/>
          </w:tcPr>
          <w:p w14:paraId="79AC367B">
            <w:pPr>
              <w:jc w:val="center"/>
              <w:rPr>
                <w:rFonts w:hint="eastAsia" w:ascii="宋体" w:hAnsi="宋体" w:eastAsia="宋体" w:cs="宋体"/>
                <w:i w:val="0"/>
                <w:iCs w:val="0"/>
                <w:color w:val="auto"/>
                <w:sz w:val="18"/>
                <w:szCs w:val="18"/>
                <w:highlight w:val="none"/>
                <w:u w:val="none"/>
              </w:rPr>
            </w:pPr>
          </w:p>
        </w:tc>
        <w:tc>
          <w:tcPr>
            <w:tcW w:w="864" w:type="dxa"/>
            <w:vMerge w:val="restart"/>
            <w:tcBorders>
              <w:top w:val="single" w:color="auto" w:sz="4" w:space="0"/>
              <w:left w:val="single" w:color="auto" w:sz="4" w:space="0"/>
              <w:bottom w:val="single" w:color="auto" w:sz="4" w:space="0"/>
              <w:right w:val="single" w:color="auto" w:sz="4" w:space="0"/>
            </w:tcBorders>
            <w:noWrap w:val="0"/>
            <w:vAlign w:val="center"/>
          </w:tcPr>
          <w:p w14:paraId="1BD1A931">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公路波形梁钢护栏</w:t>
            </w:r>
          </w:p>
        </w:tc>
        <w:tc>
          <w:tcPr>
            <w:tcW w:w="828" w:type="dxa"/>
            <w:tcBorders>
              <w:top w:val="single" w:color="auto" w:sz="4" w:space="0"/>
              <w:left w:val="single" w:color="auto" w:sz="4" w:space="0"/>
              <w:bottom w:val="single" w:color="auto" w:sz="4" w:space="0"/>
              <w:right w:val="single" w:color="auto" w:sz="4" w:space="0"/>
            </w:tcBorders>
            <w:noWrap w:val="0"/>
            <w:vAlign w:val="center"/>
          </w:tcPr>
          <w:p w14:paraId="0676E3E3">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波形梁板</w:t>
            </w:r>
          </w:p>
        </w:tc>
        <w:tc>
          <w:tcPr>
            <w:tcW w:w="1026" w:type="dxa"/>
            <w:vMerge w:val="restart"/>
            <w:tcBorders>
              <w:top w:val="single" w:color="auto" w:sz="4" w:space="0"/>
              <w:left w:val="single" w:color="auto" w:sz="4" w:space="0"/>
              <w:bottom w:val="single" w:color="auto" w:sz="4" w:space="0"/>
              <w:right w:val="single" w:color="auto" w:sz="4" w:space="0"/>
            </w:tcBorders>
            <w:noWrap w:val="0"/>
            <w:vAlign w:val="center"/>
          </w:tcPr>
          <w:p w14:paraId="535379D8">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锌层均匀性、镀锌层厚（测厚仪）、镀锌附着量、外形尺寸、力学性能</w:t>
            </w:r>
          </w:p>
        </w:tc>
        <w:tc>
          <w:tcPr>
            <w:tcW w:w="553" w:type="dxa"/>
            <w:tcBorders>
              <w:top w:val="single" w:color="auto" w:sz="4" w:space="0"/>
              <w:left w:val="single" w:color="auto" w:sz="4" w:space="0"/>
              <w:bottom w:val="single" w:color="auto" w:sz="4" w:space="0"/>
              <w:right w:val="single" w:color="auto" w:sz="4" w:space="0"/>
            </w:tcBorders>
            <w:noWrap w:val="0"/>
            <w:vAlign w:val="center"/>
          </w:tcPr>
          <w:p w14:paraId="5C7F5F96">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组</w:t>
            </w:r>
          </w:p>
        </w:tc>
        <w:tc>
          <w:tcPr>
            <w:tcW w:w="851" w:type="dxa"/>
            <w:tcBorders>
              <w:top w:val="single" w:color="auto" w:sz="4" w:space="0"/>
              <w:left w:val="single" w:color="auto" w:sz="4" w:space="0"/>
              <w:bottom w:val="single" w:color="auto" w:sz="4" w:space="0"/>
              <w:right w:val="single" w:color="auto" w:sz="4" w:space="0"/>
            </w:tcBorders>
            <w:noWrap w:val="0"/>
            <w:vAlign w:val="center"/>
          </w:tcPr>
          <w:p w14:paraId="67392991">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10</w:t>
            </w:r>
          </w:p>
        </w:tc>
        <w:tc>
          <w:tcPr>
            <w:tcW w:w="851" w:type="dxa"/>
            <w:tcBorders>
              <w:top w:val="single" w:color="auto" w:sz="4" w:space="0"/>
              <w:left w:val="single" w:color="auto" w:sz="4" w:space="0"/>
              <w:bottom w:val="single" w:color="auto" w:sz="4" w:space="0"/>
              <w:right w:val="single" w:color="auto" w:sz="4" w:space="0"/>
            </w:tcBorders>
            <w:noWrap w:val="0"/>
            <w:vAlign w:val="center"/>
          </w:tcPr>
          <w:p w14:paraId="7CF4DAEC">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10</w:t>
            </w:r>
          </w:p>
        </w:tc>
        <w:tc>
          <w:tcPr>
            <w:tcW w:w="851" w:type="dxa"/>
            <w:tcBorders>
              <w:top w:val="single" w:color="auto" w:sz="4" w:space="0"/>
              <w:left w:val="single" w:color="auto" w:sz="4" w:space="0"/>
              <w:bottom w:val="single" w:color="auto" w:sz="4" w:space="0"/>
              <w:right w:val="single" w:color="auto" w:sz="4" w:space="0"/>
            </w:tcBorders>
            <w:noWrap w:val="0"/>
            <w:vAlign w:val="center"/>
          </w:tcPr>
          <w:p w14:paraId="6714BA88">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10</w:t>
            </w:r>
          </w:p>
        </w:tc>
        <w:tc>
          <w:tcPr>
            <w:tcW w:w="852" w:type="dxa"/>
            <w:tcBorders>
              <w:top w:val="single" w:color="auto" w:sz="4" w:space="0"/>
              <w:left w:val="single" w:color="auto" w:sz="4" w:space="0"/>
              <w:bottom w:val="single" w:color="auto" w:sz="4" w:space="0"/>
              <w:right w:val="single" w:color="auto" w:sz="4" w:space="0"/>
            </w:tcBorders>
            <w:noWrap w:val="0"/>
            <w:vAlign w:val="center"/>
          </w:tcPr>
          <w:p w14:paraId="67FC709A">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10</w:t>
            </w:r>
          </w:p>
        </w:tc>
        <w:tc>
          <w:tcPr>
            <w:tcW w:w="554" w:type="dxa"/>
            <w:tcBorders>
              <w:top w:val="single" w:color="auto" w:sz="4" w:space="0"/>
              <w:left w:val="single" w:color="auto" w:sz="4" w:space="0"/>
              <w:bottom w:val="single" w:color="auto" w:sz="4" w:space="0"/>
              <w:right w:val="single" w:color="auto" w:sz="4" w:space="0"/>
            </w:tcBorders>
            <w:noWrap w:val="0"/>
            <w:vAlign w:val="center"/>
          </w:tcPr>
          <w:p w14:paraId="544BA3A2">
            <w:pPr>
              <w:jc w:val="center"/>
              <w:rPr>
                <w:rFonts w:hint="eastAsia" w:ascii="宋体" w:hAnsi="宋体" w:eastAsia="宋体" w:cs="宋体"/>
                <w:i w:val="0"/>
                <w:iCs w:val="0"/>
                <w:color w:val="auto"/>
                <w:sz w:val="18"/>
                <w:szCs w:val="18"/>
                <w:highlight w:val="none"/>
                <w:u w:val="none"/>
              </w:rPr>
            </w:pPr>
          </w:p>
        </w:tc>
      </w:tr>
      <w:tr w14:paraId="68DB819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0" w:hRule="atLeast"/>
        </w:trPr>
        <w:tc>
          <w:tcPr>
            <w:tcW w:w="584" w:type="dxa"/>
            <w:tcBorders>
              <w:top w:val="single" w:color="auto" w:sz="4" w:space="0"/>
              <w:left w:val="single" w:color="auto" w:sz="4" w:space="0"/>
              <w:bottom w:val="single" w:color="auto" w:sz="4" w:space="0"/>
              <w:right w:val="single" w:color="auto" w:sz="4" w:space="0"/>
            </w:tcBorders>
            <w:noWrap w:val="0"/>
            <w:vAlign w:val="center"/>
          </w:tcPr>
          <w:p w14:paraId="58B32770">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68</w:t>
            </w:r>
          </w:p>
        </w:tc>
        <w:tc>
          <w:tcPr>
            <w:tcW w:w="690" w:type="dxa"/>
            <w:vMerge w:val="continue"/>
            <w:tcBorders>
              <w:top w:val="single" w:color="auto" w:sz="4" w:space="0"/>
              <w:left w:val="single" w:color="auto" w:sz="4" w:space="0"/>
              <w:bottom w:val="single" w:color="auto" w:sz="4" w:space="0"/>
              <w:right w:val="single" w:color="auto" w:sz="4" w:space="0"/>
            </w:tcBorders>
            <w:noWrap w:val="0"/>
            <w:vAlign w:val="center"/>
          </w:tcPr>
          <w:p w14:paraId="37BB009B">
            <w:pPr>
              <w:jc w:val="center"/>
              <w:rPr>
                <w:rFonts w:hint="eastAsia" w:ascii="宋体" w:hAnsi="宋体" w:eastAsia="宋体" w:cs="宋体"/>
                <w:i w:val="0"/>
                <w:iCs w:val="0"/>
                <w:color w:val="auto"/>
                <w:sz w:val="18"/>
                <w:szCs w:val="18"/>
                <w:highlight w:val="none"/>
                <w:u w:val="none"/>
              </w:rPr>
            </w:pPr>
          </w:p>
        </w:tc>
        <w:tc>
          <w:tcPr>
            <w:tcW w:w="864" w:type="dxa"/>
            <w:vMerge w:val="continue"/>
            <w:tcBorders>
              <w:top w:val="single" w:color="auto" w:sz="4" w:space="0"/>
              <w:left w:val="single" w:color="auto" w:sz="4" w:space="0"/>
              <w:bottom w:val="single" w:color="auto" w:sz="4" w:space="0"/>
              <w:right w:val="single" w:color="auto" w:sz="4" w:space="0"/>
            </w:tcBorders>
            <w:noWrap w:val="0"/>
            <w:vAlign w:val="center"/>
          </w:tcPr>
          <w:p w14:paraId="5EADE8DC">
            <w:pPr>
              <w:jc w:val="center"/>
              <w:rPr>
                <w:rFonts w:hint="eastAsia" w:ascii="宋体" w:hAnsi="宋体" w:eastAsia="宋体" w:cs="宋体"/>
                <w:i w:val="0"/>
                <w:iCs w:val="0"/>
                <w:color w:val="auto"/>
                <w:sz w:val="18"/>
                <w:szCs w:val="18"/>
                <w:highlight w:val="none"/>
                <w:u w:val="none"/>
              </w:rPr>
            </w:pPr>
          </w:p>
        </w:tc>
        <w:tc>
          <w:tcPr>
            <w:tcW w:w="828" w:type="dxa"/>
            <w:tcBorders>
              <w:top w:val="single" w:color="auto" w:sz="4" w:space="0"/>
              <w:left w:val="single" w:color="auto" w:sz="4" w:space="0"/>
              <w:bottom w:val="single" w:color="auto" w:sz="4" w:space="0"/>
              <w:right w:val="single" w:color="auto" w:sz="4" w:space="0"/>
            </w:tcBorders>
            <w:noWrap w:val="0"/>
            <w:vAlign w:val="center"/>
          </w:tcPr>
          <w:p w14:paraId="7395E1A7">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立柱</w:t>
            </w:r>
          </w:p>
        </w:tc>
        <w:tc>
          <w:tcPr>
            <w:tcW w:w="1026" w:type="dxa"/>
            <w:vMerge w:val="continue"/>
            <w:tcBorders>
              <w:top w:val="single" w:color="auto" w:sz="4" w:space="0"/>
              <w:left w:val="single" w:color="auto" w:sz="4" w:space="0"/>
              <w:bottom w:val="single" w:color="auto" w:sz="4" w:space="0"/>
              <w:right w:val="single" w:color="auto" w:sz="4" w:space="0"/>
            </w:tcBorders>
            <w:noWrap w:val="0"/>
            <w:vAlign w:val="center"/>
          </w:tcPr>
          <w:p w14:paraId="46842292">
            <w:pPr>
              <w:jc w:val="center"/>
              <w:rPr>
                <w:rFonts w:hint="eastAsia" w:ascii="宋体" w:hAnsi="宋体" w:eastAsia="宋体" w:cs="宋体"/>
                <w:i w:val="0"/>
                <w:iCs w:val="0"/>
                <w:color w:val="auto"/>
                <w:sz w:val="18"/>
                <w:szCs w:val="18"/>
                <w:highlight w:val="none"/>
                <w:u w:val="none"/>
              </w:rPr>
            </w:pPr>
          </w:p>
        </w:tc>
        <w:tc>
          <w:tcPr>
            <w:tcW w:w="553" w:type="dxa"/>
            <w:tcBorders>
              <w:top w:val="single" w:color="auto" w:sz="4" w:space="0"/>
              <w:left w:val="single" w:color="auto" w:sz="4" w:space="0"/>
              <w:bottom w:val="single" w:color="auto" w:sz="4" w:space="0"/>
              <w:right w:val="single" w:color="auto" w:sz="4" w:space="0"/>
            </w:tcBorders>
            <w:noWrap w:val="0"/>
            <w:vAlign w:val="center"/>
          </w:tcPr>
          <w:p w14:paraId="14107767">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组</w:t>
            </w:r>
          </w:p>
        </w:tc>
        <w:tc>
          <w:tcPr>
            <w:tcW w:w="851" w:type="dxa"/>
            <w:tcBorders>
              <w:top w:val="single" w:color="auto" w:sz="4" w:space="0"/>
              <w:left w:val="single" w:color="auto" w:sz="4" w:space="0"/>
              <w:bottom w:val="single" w:color="auto" w:sz="4" w:space="0"/>
              <w:right w:val="single" w:color="auto" w:sz="4" w:space="0"/>
            </w:tcBorders>
            <w:noWrap w:val="0"/>
            <w:vAlign w:val="center"/>
          </w:tcPr>
          <w:p w14:paraId="1EF9F67A">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10</w:t>
            </w:r>
          </w:p>
        </w:tc>
        <w:tc>
          <w:tcPr>
            <w:tcW w:w="851" w:type="dxa"/>
            <w:tcBorders>
              <w:top w:val="single" w:color="auto" w:sz="4" w:space="0"/>
              <w:left w:val="single" w:color="auto" w:sz="4" w:space="0"/>
              <w:bottom w:val="single" w:color="auto" w:sz="4" w:space="0"/>
              <w:right w:val="single" w:color="auto" w:sz="4" w:space="0"/>
            </w:tcBorders>
            <w:noWrap w:val="0"/>
            <w:vAlign w:val="center"/>
          </w:tcPr>
          <w:p w14:paraId="3FA35DD1">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10</w:t>
            </w:r>
          </w:p>
        </w:tc>
        <w:tc>
          <w:tcPr>
            <w:tcW w:w="851" w:type="dxa"/>
            <w:tcBorders>
              <w:top w:val="single" w:color="auto" w:sz="4" w:space="0"/>
              <w:left w:val="single" w:color="auto" w:sz="4" w:space="0"/>
              <w:bottom w:val="single" w:color="auto" w:sz="4" w:space="0"/>
              <w:right w:val="single" w:color="auto" w:sz="4" w:space="0"/>
            </w:tcBorders>
            <w:noWrap w:val="0"/>
            <w:vAlign w:val="center"/>
          </w:tcPr>
          <w:p w14:paraId="0619B2CF">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10</w:t>
            </w:r>
          </w:p>
        </w:tc>
        <w:tc>
          <w:tcPr>
            <w:tcW w:w="852" w:type="dxa"/>
            <w:tcBorders>
              <w:top w:val="single" w:color="auto" w:sz="4" w:space="0"/>
              <w:left w:val="single" w:color="auto" w:sz="4" w:space="0"/>
              <w:bottom w:val="single" w:color="auto" w:sz="4" w:space="0"/>
              <w:right w:val="single" w:color="auto" w:sz="4" w:space="0"/>
            </w:tcBorders>
            <w:noWrap w:val="0"/>
            <w:vAlign w:val="center"/>
          </w:tcPr>
          <w:p w14:paraId="1D9AFD27">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10</w:t>
            </w:r>
          </w:p>
        </w:tc>
        <w:tc>
          <w:tcPr>
            <w:tcW w:w="554" w:type="dxa"/>
            <w:tcBorders>
              <w:top w:val="single" w:color="auto" w:sz="4" w:space="0"/>
              <w:left w:val="single" w:color="auto" w:sz="4" w:space="0"/>
              <w:bottom w:val="single" w:color="auto" w:sz="4" w:space="0"/>
              <w:right w:val="single" w:color="auto" w:sz="4" w:space="0"/>
            </w:tcBorders>
            <w:noWrap w:val="0"/>
            <w:vAlign w:val="center"/>
          </w:tcPr>
          <w:p w14:paraId="56E5D40C">
            <w:pPr>
              <w:jc w:val="center"/>
              <w:rPr>
                <w:rFonts w:hint="eastAsia" w:ascii="宋体" w:hAnsi="宋体" w:eastAsia="宋体" w:cs="宋体"/>
                <w:i w:val="0"/>
                <w:iCs w:val="0"/>
                <w:color w:val="auto"/>
                <w:sz w:val="18"/>
                <w:szCs w:val="18"/>
                <w:highlight w:val="none"/>
                <w:u w:val="none"/>
              </w:rPr>
            </w:pPr>
          </w:p>
        </w:tc>
      </w:tr>
      <w:tr w14:paraId="00D7F30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0" w:hRule="atLeast"/>
        </w:trPr>
        <w:tc>
          <w:tcPr>
            <w:tcW w:w="584" w:type="dxa"/>
            <w:tcBorders>
              <w:top w:val="single" w:color="auto" w:sz="4" w:space="0"/>
              <w:left w:val="single" w:color="auto" w:sz="4" w:space="0"/>
              <w:bottom w:val="single" w:color="auto" w:sz="4" w:space="0"/>
              <w:right w:val="single" w:color="auto" w:sz="4" w:space="0"/>
            </w:tcBorders>
            <w:noWrap w:val="0"/>
            <w:vAlign w:val="center"/>
          </w:tcPr>
          <w:p w14:paraId="73569E59">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69</w:t>
            </w:r>
          </w:p>
        </w:tc>
        <w:tc>
          <w:tcPr>
            <w:tcW w:w="690" w:type="dxa"/>
            <w:vMerge w:val="continue"/>
            <w:tcBorders>
              <w:top w:val="single" w:color="auto" w:sz="4" w:space="0"/>
              <w:left w:val="single" w:color="auto" w:sz="4" w:space="0"/>
              <w:bottom w:val="single" w:color="auto" w:sz="4" w:space="0"/>
              <w:right w:val="single" w:color="auto" w:sz="4" w:space="0"/>
            </w:tcBorders>
            <w:noWrap w:val="0"/>
            <w:vAlign w:val="center"/>
          </w:tcPr>
          <w:p w14:paraId="1EA4C45F">
            <w:pPr>
              <w:jc w:val="center"/>
              <w:rPr>
                <w:rFonts w:hint="eastAsia" w:ascii="宋体" w:hAnsi="宋体" w:eastAsia="宋体" w:cs="宋体"/>
                <w:i w:val="0"/>
                <w:iCs w:val="0"/>
                <w:color w:val="auto"/>
                <w:sz w:val="18"/>
                <w:szCs w:val="18"/>
                <w:highlight w:val="none"/>
                <w:u w:val="none"/>
              </w:rPr>
            </w:pPr>
          </w:p>
        </w:tc>
        <w:tc>
          <w:tcPr>
            <w:tcW w:w="864" w:type="dxa"/>
            <w:vMerge w:val="continue"/>
            <w:tcBorders>
              <w:top w:val="single" w:color="auto" w:sz="4" w:space="0"/>
              <w:left w:val="single" w:color="auto" w:sz="4" w:space="0"/>
              <w:bottom w:val="single" w:color="auto" w:sz="4" w:space="0"/>
              <w:right w:val="single" w:color="auto" w:sz="4" w:space="0"/>
            </w:tcBorders>
            <w:noWrap w:val="0"/>
            <w:vAlign w:val="center"/>
          </w:tcPr>
          <w:p w14:paraId="3473C94D">
            <w:pPr>
              <w:jc w:val="center"/>
              <w:rPr>
                <w:rFonts w:hint="eastAsia" w:ascii="宋体" w:hAnsi="宋体" w:eastAsia="宋体" w:cs="宋体"/>
                <w:i w:val="0"/>
                <w:iCs w:val="0"/>
                <w:color w:val="auto"/>
                <w:sz w:val="18"/>
                <w:szCs w:val="18"/>
                <w:highlight w:val="none"/>
                <w:u w:val="none"/>
              </w:rPr>
            </w:pPr>
          </w:p>
        </w:tc>
        <w:tc>
          <w:tcPr>
            <w:tcW w:w="828" w:type="dxa"/>
            <w:tcBorders>
              <w:top w:val="single" w:color="auto" w:sz="4" w:space="0"/>
              <w:left w:val="single" w:color="auto" w:sz="4" w:space="0"/>
              <w:bottom w:val="single" w:color="auto" w:sz="4" w:space="0"/>
              <w:right w:val="single" w:color="auto" w:sz="4" w:space="0"/>
            </w:tcBorders>
            <w:noWrap w:val="0"/>
            <w:vAlign w:val="center"/>
          </w:tcPr>
          <w:p w14:paraId="5C911C2E">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防阻块</w:t>
            </w:r>
          </w:p>
        </w:tc>
        <w:tc>
          <w:tcPr>
            <w:tcW w:w="1026" w:type="dxa"/>
            <w:vMerge w:val="continue"/>
            <w:tcBorders>
              <w:top w:val="single" w:color="auto" w:sz="4" w:space="0"/>
              <w:left w:val="single" w:color="auto" w:sz="4" w:space="0"/>
              <w:bottom w:val="single" w:color="auto" w:sz="4" w:space="0"/>
              <w:right w:val="single" w:color="auto" w:sz="4" w:space="0"/>
            </w:tcBorders>
            <w:noWrap w:val="0"/>
            <w:vAlign w:val="center"/>
          </w:tcPr>
          <w:p w14:paraId="45DD7289">
            <w:pPr>
              <w:jc w:val="center"/>
              <w:rPr>
                <w:rFonts w:hint="eastAsia" w:ascii="宋体" w:hAnsi="宋体" w:eastAsia="宋体" w:cs="宋体"/>
                <w:i w:val="0"/>
                <w:iCs w:val="0"/>
                <w:color w:val="auto"/>
                <w:sz w:val="18"/>
                <w:szCs w:val="18"/>
                <w:highlight w:val="none"/>
                <w:u w:val="none"/>
              </w:rPr>
            </w:pPr>
          </w:p>
        </w:tc>
        <w:tc>
          <w:tcPr>
            <w:tcW w:w="553" w:type="dxa"/>
            <w:tcBorders>
              <w:top w:val="single" w:color="auto" w:sz="4" w:space="0"/>
              <w:left w:val="single" w:color="auto" w:sz="4" w:space="0"/>
              <w:bottom w:val="single" w:color="auto" w:sz="4" w:space="0"/>
              <w:right w:val="single" w:color="auto" w:sz="4" w:space="0"/>
            </w:tcBorders>
            <w:noWrap w:val="0"/>
            <w:vAlign w:val="center"/>
          </w:tcPr>
          <w:p w14:paraId="6FE447EB">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组</w:t>
            </w:r>
          </w:p>
        </w:tc>
        <w:tc>
          <w:tcPr>
            <w:tcW w:w="851" w:type="dxa"/>
            <w:tcBorders>
              <w:top w:val="single" w:color="auto" w:sz="4" w:space="0"/>
              <w:left w:val="single" w:color="auto" w:sz="4" w:space="0"/>
              <w:bottom w:val="single" w:color="auto" w:sz="4" w:space="0"/>
              <w:right w:val="single" w:color="auto" w:sz="4" w:space="0"/>
            </w:tcBorders>
            <w:noWrap w:val="0"/>
            <w:vAlign w:val="center"/>
          </w:tcPr>
          <w:p w14:paraId="69B0A681">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10</w:t>
            </w:r>
          </w:p>
        </w:tc>
        <w:tc>
          <w:tcPr>
            <w:tcW w:w="851" w:type="dxa"/>
            <w:tcBorders>
              <w:top w:val="single" w:color="auto" w:sz="4" w:space="0"/>
              <w:left w:val="single" w:color="auto" w:sz="4" w:space="0"/>
              <w:bottom w:val="single" w:color="auto" w:sz="4" w:space="0"/>
              <w:right w:val="single" w:color="auto" w:sz="4" w:space="0"/>
            </w:tcBorders>
            <w:noWrap w:val="0"/>
            <w:vAlign w:val="center"/>
          </w:tcPr>
          <w:p w14:paraId="57F6F9C9">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10</w:t>
            </w:r>
          </w:p>
        </w:tc>
        <w:tc>
          <w:tcPr>
            <w:tcW w:w="851" w:type="dxa"/>
            <w:tcBorders>
              <w:top w:val="single" w:color="auto" w:sz="4" w:space="0"/>
              <w:left w:val="single" w:color="auto" w:sz="4" w:space="0"/>
              <w:bottom w:val="single" w:color="auto" w:sz="4" w:space="0"/>
              <w:right w:val="single" w:color="auto" w:sz="4" w:space="0"/>
            </w:tcBorders>
            <w:noWrap w:val="0"/>
            <w:vAlign w:val="center"/>
          </w:tcPr>
          <w:p w14:paraId="5DDA1C1C">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10</w:t>
            </w:r>
          </w:p>
        </w:tc>
        <w:tc>
          <w:tcPr>
            <w:tcW w:w="852" w:type="dxa"/>
            <w:tcBorders>
              <w:top w:val="single" w:color="auto" w:sz="4" w:space="0"/>
              <w:left w:val="single" w:color="auto" w:sz="4" w:space="0"/>
              <w:bottom w:val="single" w:color="auto" w:sz="4" w:space="0"/>
              <w:right w:val="single" w:color="auto" w:sz="4" w:space="0"/>
            </w:tcBorders>
            <w:noWrap w:val="0"/>
            <w:vAlign w:val="center"/>
          </w:tcPr>
          <w:p w14:paraId="055D99D5">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10</w:t>
            </w:r>
          </w:p>
        </w:tc>
        <w:tc>
          <w:tcPr>
            <w:tcW w:w="554" w:type="dxa"/>
            <w:tcBorders>
              <w:top w:val="single" w:color="auto" w:sz="4" w:space="0"/>
              <w:left w:val="single" w:color="auto" w:sz="4" w:space="0"/>
              <w:bottom w:val="single" w:color="auto" w:sz="4" w:space="0"/>
              <w:right w:val="single" w:color="auto" w:sz="4" w:space="0"/>
            </w:tcBorders>
            <w:noWrap w:val="0"/>
            <w:vAlign w:val="center"/>
          </w:tcPr>
          <w:p w14:paraId="31DEBF3C">
            <w:pPr>
              <w:jc w:val="center"/>
              <w:rPr>
                <w:rFonts w:hint="eastAsia" w:ascii="宋体" w:hAnsi="宋体" w:eastAsia="宋体" w:cs="宋体"/>
                <w:i w:val="0"/>
                <w:iCs w:val="0"/>
                <w:color w:val="auto"/>
                <w:sz w:val="18"/>
                <w:szCs w:val="18"/>
                <w:highlight w:val="none"/>
                <w:u w:val="none"/>
              </w:rPr>
            </w:pPr>
          </w:p>
        </w:tc>
      </w:tr>
      <w:tr w14:paraId="54B842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0" w:hRule="atLeast"/>
        </w:trPr>
        <w:tc>
          <w:tcPr>
            <w:tcW w:w="584" w:type="dxa"/>
            <w:tcBorders>
              <w:top w:val="single" w:color="auto" w:sz="4" w:space="0"/>
              <w:left w:val="single" w:color="auto" w:sz="4" w:space="0"/>
              <w:bottom w:val="single" w:color="auto" w:sz="4" w:space="0"/>
              <w:right w:val="single" w:color="auto" w:sz="4" w:space="0"/>
            </w:tcBorders>
            <w:noWrap w:val="0"/>
            <w:vAlign w:val="center"/>
          </w:tcPr>
          <w:p w14:paraId="40F31FD9">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70</w:t>
            </w:r>
          </w:p>
        </w:tc>
        <w:tc>
          <w:tcPr>
            <w:tcW w:w="690" w:type="dxa"/>
            <w:vMerge w:val="continue"/>
            <w:tcBorders>
              <w:top w:val="single" w:color="auto" w:sz="4" w:space="0"/>
              <w:left w:val="single" w:color="auto" w:sz="4" w:space="0"/>
              <w:bottom w:val="single" w:color="auto" w:sz="4" w:space="0"/>
              <w:right w:val="single" w:color="auto" w:sz="4" w:space="0"/>
            </w:tcBorders>
            <w:noWrap w:val="0"/>
            <w:vAlign w:val="center"/>
          </w:tcPr>
          <w:p w14:paraId="30DD8FC2">
            <w:pPr>
              <w:jc w:val="center"/>
              <w:rPr>
                <w:rFonts w:hint="eastAsia" w:ascii="宋体" w:hAnsi="宋体" w:eastAsia="宋体" w:cs="宋体"/>
                <w:i w:val="0"/>
                <w:iCs w:val="0"/>
                <w:color w:val="auto"/>
                <w:sz w:val="18"/>
                <w:szCs w:val="18"/>
                <w:highlight w:val="none"/>
                <w:u w:val="none"/>
              </w:rPr>
            </w:pPr>
          </w:p>
        </w:tc>
        <w:tc>
          <w:tcPr>
            <w:tcW w:w="864" w:type="dxa"/>
            <w:vMerge w:val="continue"/>
            <w:tcBorders>
              <w:top w:val="single" w:color="auto" w:sz="4" w:space="0"/>
              <w:left w:val="single" w:color="auto" w:sz="4" w:space="0"/>
              <w:bottom w:val="single" w:color="auto" w:sz="4" w:space="0"/>
              <w:right w:val="single" w:color="auto" w:sz="4" w:space="0"/>
            </w:tcBorders>
            <w:noWrap w:val="0"/>
            <w:vAlign w:val="center"/>
          </w:tcPr>
          <w:p w14:paraId="377717F8">
            <w:pPr>
              <w:jc w:val="center"/>
              <w:rPr>
                <w:rFonts w:hint="eastAsia" w:ascii="宋体" w:hAnsi="宋体" w:eastAsia="宋体" w:cs="宋体"/>
                <w:i w:val="0"/>
                <w:iCs w:val="0"/>
                <w:color w:val="auto"/>
                <w:sz w:val="18"/>
                <w:szCs w:val="18"/>
                <w:highlight w:val="none"/>
                <w:u w:val="none"/>
              </w:rPr>
            </w:pPr>
          </w:p>
        </w:tc>
        <w:tc>
          <w:tcPr>
            <w:tcW w:w="828" w:type="dxa"/>
            <w:tcBorders>
              <w:top w:val="single" w:color="auto" w:sz="4" w:space="0"/>
              <w:left w:val="single" w:color="auto" w:sz="4" w:space="0"/>
              <w:bottom w:val="single" w:color="auto" w:sz="4" w:space="0"/>
              <w:right w:val="single" w:color="auto" w:sz="4" w:space="0"/>
            </w:tcBorders>
            <w:noWrap w:val="0"/>
            <w:vAlign w:val="center"/>
          </w:tcPr>
          <w:p w14:paraId="7ED50965">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拼接螺栓</w:t>
            </w:r>
          </w:p>
        </w:tc>
        <w:tc>
          <w:tcPr>
            <w:tcW w:w="1026" w:type="dxa"/>
            <w:tcBorders>
              <w:top w:val="single" w:color="auto" w:sz="4" w:space="0"/>
              <w:left w:val="single" w:color="auto" w:sz="4" w:space="0"/>
              <w:bottom w:val="single" w:color="auto" w:sz="4" w:space="0"/>
              <w:right w:val="single" w:color="auto" w:sz="4" w:space="0"/>
            </w:tcBorders>
            <w:noWrap w:val="0"/>
            <w:vAlign w:val="center"/>
          </w:tcPr>
          <w:p w14:paraId="72D24A73">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镀锌附着量、连接副抗拉荷载</w:t>
            </w:r>
          </w:p>
        </w:tc>
        <w:tc>
          <w:tcPr>
            <w:tcW w:w="553" w:type="dxa"/>
            <w:tcBorders>
              <w:top w:val="single" w:color="auto" w:sz="4" w:space="0"/>
              <w:left w:val="single" w:color="auto" w:sz="4" w:space="0"/>
              <w:bottom w:val="single" w:color="auto" w:sz="4" w:space="0"/>
              <w:right w:val="single" w:color="auto" w:sz="4" w:space="0"/>
            </w:tcBorders>
            <w:noWrap w:val="0"/>
            <w:vAlign w:val="center"/>
          </w:tcPr>
          <w:p w14:paraId="1F41E7EC">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组</w:t>
            </w:r>
          </w:p>
        </w:tc>
        <w:tc>
          <w:tcPr>
            <w:tcW w:w="851" w:type="dxa"/>
            <w:tcBorders>
              <w:top w:val="single" w:color="auto" w:sz="4" w:space="0"/>
              <w:left w:val="single" w:color="auto" w:sz="4" w:space="0"/>
              <w:bottom w:val="single" w:color="auto" w:sz="4" w:space="0"/>
              <w:right w:val="single" w:color="auto" w:sz="4" w:space="0"/>
            </w:tcBorders>
            <w:noWrap w:val="0"/>
            <w:vAlign w:val="center"/>
          </w:tcPr>
          <w:p w14:paraId="66593ECB">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10</w:t>
            </w:r>
          </w:p>
        </w:tc>
        <w:tc>
          <w:tcPr>
            <w:tcW w:w="851" w:type="dxa"/>
            <w:tcBorders>
              <w:top w:val="single" w:color="auto" w:sz="4" w:space="0"/>
              <w:left w:val="single" w:color="auto" w:sz="4" w:space="0"/>
              <w:bottom w:val="single" w:color="auto" w:sz="4" w:space="0"/>
              <w:right w:val="single" w:color="auto" w:sz="4" w:space="0"/>
            </w:tcBorders>
            <w:noWrap w:val="0"/>
            <w:vAlign w:val="center"/>
          </w:tcPr>
          <w:p w14:paraId="18B708B4">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10</w:t>
            </w:r>
          </w:p>
        </w:tc>
        <w:tc>
          <w:tcPr>
            <w:tcW w:w="851" w:type="dxa"/>
            <w:tcBorders>
              <w:top w:val="single" w:color="auto" w:sz="4" w:space="0"/>
              <w:left w:val="single" w:color="auto" w:sz="4" w:space="0"/>
              <w:bottom w:val="single" w:color="auto" w:sz="4" w:space="0"/>
              <w:right w:val="single" w:color="auto" w:sz="4" w:space="0"/>
            </w:tcBorders>
            <w:noWrap w:val="0"/>
            <w:vAlign w:val="center"/>
          </w:tcPr>
          <w:p w14:paraId="14EA4FEC">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10</w:t>
            </w:r>
          </w:p>
        </w:tc>
        <w:tc>
          <w:tcPr>
            <w:tcW w:w="852" w:type="dxa"/>
            <w:tcBorders>
              <w:top w:val="single" w:color="auto" w:sz="4" w:space="0"/>
              <w:left w:val="single" w:color="auto" w:sz="4" w:space="0"/>
              <w:bottom w:val="single" w:color="auto" w:sz="4" w:space="0"/>
              <w:right w:val="single" w:color="auto" w:sz="4" w:space="0"/>
            </w:tcBorders>
            <w:noWrap w:val="0"/>
            <w:vAlign w:val="center"/>
          </w:tcPr>
          <w:p w14:paraId="15280C01">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10</w:t>
            </w:r>
          </w:p>
        </w:tc>
        <w:tc>
          <w:tcPr>
            <w:tcW w:w="554" w:type="dxa"/>
            <w:tcBorders>
              <w:top w:val="single" w:color="auto" w:sz="4" w:space="0"/>
              <w:left w:val="single" w:color="auto" w:sz="4" w:space="0"/>
              <w:bottom w:val="single" w:color="auto" w:sz="4" w:space="0"/>
              <w:right w:val="single" w:color="auto" w:sz="4" w:space="0"/>
            </w:tcBorders>
            <w:noWrap w:val="0"/>
            <w:vAlign w:val="center"/>
          </w:tcPr>
          <w:p w14:paraId="3A97CDD1">
            <w:pPr>
              <w:jc w:val="center"/>
              <w:rPr>
                <w:rFonts w:hint="eastAsia" w:ascii="宋体" w:hAnsi="宋体" w:eastAsia="宋体" w:cs="宋体"/>
                <w:i w:val="0"/>
                <w:iCs w:val="0"/>
                <w:color w:val="auto"/>
                <w:sz w:val="18"/>
                <w:szCs w:val="18"/>
                <w:highlight w:val="none"/>
                <w:u w:val="none"/>
              </w:rPr>
            </w:pPr>
          </w:p>
        </w:tc>
      </w:tr>
      <w:tr w14:paraId="043E8E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0" w:hRule="atLeast"/>
        </w:trPr>
        <w:tc>
          <w:tcPr>
            <w:tcW w:w="584" w:type="dxa"/>
            <w:tcBorders>
              <w:top w:val="single" w:color="auto" w:sz="4" w:space="0"/>
              <w:left w:val="single" w:color="auto" w:sz="4" w:space="0"/>
              <w:bottom w:val="single" w:color="auto" w:sz="4" w:space="0"/>
              <w:right w:val="single" w:color="auto" w:sz="4" w:space="0"/>
            </w:tcBorders>
            <w:noWrap w:val="0"/>
            <w:vAlign w:val="center"/>
          </w:tcPr>
          <w:p w14:paraId="074BCEBF">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71</w:t>
            </w:r>
          </w:p>
        </w:tc>
        <w:tc>
          <w:tcPr>
            <w:tcW w:w="690" w:type="dxa"/>
            <w:vMerge w:val="continue"/>
            <w:tcBorders>
              <w:top w:val="single" w:color="auto" w:sz="4" w:space="0"/>
              <w:left w:val="single" w:color="auto" w:sz="4" w:space="0"/>
              <w:bottom w:val="single" w:color="auto" w:sz="4" w:space="0"/>
              <w:right w:val="single" w:color="auto" w:sz="4" w:space="0"/>
            </w:tcBorders>
            <w:noWrap w:val="0"/>
            <w:vAlign w:val="center"/>
          </w:tcPr>
          <w:p w14:paraId="06AF6C80">
            <w:pPr>
              <w:jc w:val="center"/>
              <w:rPr>
                <w:rFonts w:hint="eastAsia" w:ascii="宋体" w:hAnsi="宋体" w:eastAsia="宋体" w:cs="宋体"/>
                <w:i w:val="0"/>
                <w:iCs w:val="0"/>
                <w:color w:val="auto"/>
                <w:sz w:val="18"/>
                <w:szCs w:val="18"/>
                <w:highlight w:val="none"/>
                <w:u w:val="none"/>
              </w:rPr>
            </w:pPr>
          </w:p>
        </w:tc>
        <w:tc>
          <w:tcPr>
            <w:tcW w:w="864" w:type="dxa"/>
            <w:tcBorders>
              <w:top w:val="single" w:color="auto" w:sz="4" w:space="0"/>
              <w:left w:val="single" w:color="auto" w:sz="4" w:space="0"/>
              <w:bottom w:val="single" w:color="auto" w:sz="4" w:space="0"/>
              <w:right w:val="single" w:color="auto" w:sz="4" w:space="0"/>
            </w:tcBorders>
            <w:noWrap w:val="0"/>
            <w:vAlign w:val="center"/>
          </w:tcPr>
          <w:p w14:paraId="31379692">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路面标线涂料</w:t>
            </w:r>
          </w:p>
        </w:tc>
        <w:tc>
          <w:tcPr>
            <w:tcW w:w="1854" w:type="dxa"/>
            <w:gridSpan w:val="2"/>
            <w:tcBorders>
              <w:top w:val="single" w:color="auto" w:sz="4" w:space="0"/>
              <w:left w:val="single" w:color="auto" w:sz="4" w:space="0"/>
              <w:bottom w:val="single" w:color="auto" w:sz="4" w:space="0"/>
              <w:right w:val="single" w:color="auto" w:sz="4" w:space="0"/>
            </w:tcBorders>
            <w:noWrap w:val="0"/>
            <w:vAlign w:val="center"/>
          </w:tcPr>
          <w:p w14:paraId="5EF1AB4A">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耐碱性、色度性能(逆反材料色)、抗压强度、耐磨性、软化点、低温抗裂试验、耐水性、涂膜外观、加热稳定性、不粘胎干燥时间、密度、玻璃珠含量、流动度</w:t>
            </w:r>
          </w:p>
        </w:tc>
        <w:tc>
          <w:tcPr>
            <w:tcW w:w="553" w:type="dxa"/>
            <w:tcBorders>
              <w:top w:val="single" w:color="auto" w:sz="4" w:space="0"/>
              <w:left w:val="single" w:color="auto" w:sz="4" w:space="0"/>
              <w:bottom w:val="single" w:color="auto" w:sz="4" w:space="0"/>
              <w:right w:val="single" w:color="auto" w:sz="4" w:space="0"/>
            </w:tcBorders>
            <w:noWrap w:val="0"/>
            <w:vAlign w:val="center"/>
          </w:tcPr>
          <w:p w14:paraId="5394D0C2">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组</w:t>
            </w:r>
          </w:p>
        </w:tc>
        <w:tc>
          <w:tcPr>
            <w:tcW w:w="851" w:type="dxa"/>
            <w:tcBorders>
              <w:top w:val="single" w:color="auto" w:sz="4" w:space="0"/>
              <w:left w:val="single" w:color="auto" w:sz="4" w:space="0"/>
              <w:bottom w:val="single" w:color="auto" w:sz="4" w:space="0"/>
              <w:right w:val="single" w:color="auto" w:sz="4" w:space="0"/>
            </w:tcBorders>
            <w:noWrap w:val="0"/>
            <w:vAlign w:val="center"/>
          </w:tcPr>
          <w:p w14:paraId="736CCC52">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12</w:t>
            </w:r>
          </w:p>
        </w:tc>
        <w:tc>
          <w:tcPr>
            <w:tcW w:w="851" w:type="dxa"/>
            <w:tcBorders>
              <w:top w:val="single" w:color="auto" w:sz="4" w:space="0"/>
              <w:left w:val="single" w:color="auto" w:sz="4" w:space="0"/>
              <w:bottom w:val="single" w:color="auto" w:sz="4" w:space="0"/>
              <w:right w:val="single" w:color="auto" w:sz="4" w:space="0"/>
            </w:tcBorders>
            <w:noWrap w:val="0"/>
            <w:vAlign w:val="center"/>
          </w:tcPr>
          <w:p w14:paraId="6D5C2926">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12</w:t>
            </w:r>
          </w:p>
        </w:tc>
        <w:tc>
          <w:tcPr>
            <w:tcW w:w="851" w:type="dxa"/>
            <w:tcBorders>
              <w:top w:val="single" w:color="auto" w:sz="4" w:space="0"/>
              <w:left w:val="single" w:color="auto" w:sz="4" w:space="0"/>
              <w:bottom w:val="single" w:color="auto" w:sz="4" w:space="0"/>
              <w:right w:val="single" w:color="auto" w:sz="4" w:space="0"/>
            </w:tcBorders>
            <w:noWrap w:val="0"/>
            <w:vAlign w:val="center"/>
          </w:tcPr>
          <w:p w14:paraId="161654A1">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12</w:t>
            </w:r>
          </w:p>
        </w:tc>
        <w:tc>
          <w:tcPr>
            <w:tcW w:w="852" w:type="dxa"/>
            <w:tcBorders>
              <w:top w:val="single" w:color="auto" w:sz="4" w:space="0"/>
              <w:left w:val="single" w:color="auto" w:sz="4" w:space="0"/>
              <w:bottom w:val="single" w:color="auto" w:sz="4" w:space="0"/>
              <w:right w:val="single" w:color="auto" w:sz="4" w:space="0"/>
            </w:tcBorders>
            <w:noWrap w:val="0"/>
            <w:vAlign w:val="center"/>
          </w:tcPr>
          <w:p w14:paraId="1167C7CC">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12</w:t>
            </w:r>
          </w:p>
        </w:tc>
        <w:tc>
          <w:tcPr>
            <w:tcW w:w="554" w:type="dxa"/>
            <w:tcBorders>
              <w:top w:val="single" w:color="auto" w:sz="4" w:space="0"/>
              <w:left w:val="single" w:color="auto" w:sz="4" w:space="0"/>
              <w:bottom w:val="single" w:color="auto" w:sz="4" w:space="0"/>
              <w:right w:val="single" w:color="auto" w:sz="4" w:space="0"/>
            </w:tcBorders>
            <w:noWrap w:val="0"/>
            <w:vAlign w:val="center"/>
          </w:tcPr>
          <w:p w14:paraId="6DF98424">
            <w:pPr>
              <w:jc w:val="center"/>
              <w:rPr>
                <w:rFonts w:hint="eastAsia" w:ascii="宋体" w:hAnsi="宋体" w:eastAsia="宋体" w:cs="宋体"/>
                <w:i w:val="0"/>
                <w:iCs w:val="0"/>
                <w:color w:val="auto"/>
                <w:sz w:val="18"/>
                <w:szCs w:val="18"/>
                <w:highlight w:val="none"/>
                <w:u w:val="none"/>
              </w:rPr>
            </w:pPr>
          </w:p>
        </w:tc>
      </w:tr>
      <w:tr w14:paraId="70F7048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0" w:hRule="atLeast"/>
        </w:trPr>
        <w:tc>
          <w:tcPr>
            <w:tcW w:w="584" w:type="dxa"/>
            <w:tcBorders>
              <w:top w:val="single" w:color="auto" w:sz="4" w:space="0"/>
              <w:left w:val="single" w:color="auto" w:sz="4" w:space="0"/>
              <w:bottom w:val="single" w:color="auto" w:sz="4" w:space="0"/>
              <w:right w:val="single" w:color="auto" w:sz="4" w:space="0"/>
            </w:tcBorders>
            <w:noWrap w:val="0"/>
            <w:vAlign w:val="center"/>
          </w:tcPr>
          <w:p w14:paraId="61F32054">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72</w:t>
            </w:r>
          </w:p>
        </w:tc>
        <w:tc>
          <w:tcPr>
            <w:tcW w:w="690" w:type="dxa"/>
            <w:vMerge w:val="continue"/>
            <w:tcBorders>
              <w:top w:val="single" w:color="auto" w:sz="4" w:space="0"/>
              <w:left w:val="single" w:color="auto" w:sz="4" w:space="0"/>
              <w:bottom w:val="single" w:color="auto" w:sz="4" w:space="0"/>
              <w:right w:val="single" w:color="auto" w:sz="4" w:space="0"/>
            </w:tcBorders>
            <w:noWrap w:val="0"/>
            <w:vAlign w:val="center"/>
          </w:tcPr>
          <w:p w14:paraId="606C2158">
            <w:pPr>
              <w:jc w:val="center"/>
              <w:rPr>
                <w:rFonts w:hint="eastAsia" w:ascii="宋体" w:hAnsi="宋体" w:eastAsia="宋体" w:cs="宋体"/>
                <w:i w:val="0"/>
                <w:iCs w:val="0"/>
                <w:color w:val="auto"/>
                <w:sz w:val="18"/>
                <w:szCs w:val="18"/>
                <w:highlight w:val="none"/>
                <w:u w:val="none"/>
              </w:rPr>
            </w:pPr>
          </w:p>
        </w:tc>
        <w:tc>
          <w:tcPr>
            <w:tcW w:w="864" w:type="dxa"/>
            <w:tcBorders>
              <w:top w:val="single" w:color="auto" w:sz="4" w:space="0"/>
              <w:left w:val="single" w:color="auto" w:sz="4" w:space="0"/>
              <w:bottom w:val="single" w:color="auto" w:sz="4" w:space="0"/>
              <w:right w:val="single" w:color="auto" w:sz="4" w:space="0"/>
            </w:tcBorders>
            <w:noWrap w:val="0"/>
            <w:vAlign w:val="center"/>
          </w:tcPr>
          <w:p w14:paraId="054CD373">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砂</w:t>
            </w:r>
          </w:p>
        </w:tc>
        <w:tc>
          <w:tcPr>
            <w:tcW w:w="1854" w:type="dxa"/>
            <w:gridSpan w:val="2"/>
            <w:tcBorders>
              <w:top w:val="single" w:color="auto" w:sz="4" w:space="0"/>
              <w:left w:val="single" w:color="auto" w:sz="4" w:space="0"/>
              <w:bottom w:val="single" w:color="auto" w:sz="4" w:space="0"/>
              <w:right w:val="single" w:color="auto" w:sz="4" w:space="0"/>
            </w:tcBorders>
            <w:noWrap w:val="0"/>
            <w:vAlign w:val="center"/>
          </w:tcPr>
          <w:p w14:paraId="1A1C0063">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颗粒级配、密度、含泥量、泥块含量、坚固性、云母含量、贝壳含量、轻物质含量、氯化物含量、碱活性（快速法）、硫化物及硫酸盐含量</w:t>
            </w:r>
          </w:p>
        </w:tc>
        <w:tc>
          <w:tcPr>
            <w:tcW w:w="553" w:type="dxa"/>
            <w:tcBorders>
              <w:top w:val="single" w:color="auto" w:sz="4" w:space="0"/>
              <w:left w:val="single" w:color="auto" w:sz="4" w:space="0"/>
              <w:bottom w:val="single" w:color="auto" w:sz="4" w:space="0"/>
              <w:right w:val="single" w:color="auto" w:sz="4" w:space="0"/>
            </w:tcBorders>
            <w:noWrap w:val="0"/>
            <w:vAlign w:val="center"/>
          </w:tcPr>
          <w:p w14:paraId="7BAB1D81">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组</w:t>
            </w:r>
          </w:p>
        </w:tc>
        <w:tc>
          <w:tcPr>
            <w:tcW w:w="851" w:type="dxa"/>
            <w:tcBorders>
              <w:top w:val="single" w:color="auto" w:sz="4" w:space="0"/>
              <w:left w:val="single" w:color="auto" w:sz="4" w:space="0"/>
              <w:bottom w:val="single" w:color="auto" w:sz="4" w:space="0"/>
              <w:right w:val="single" w:color="auto" w:sz="4" w:space="0"/>
            </w:tcBorders>
            <w:noWrap w:val="0"/>
            <w:vAlign w:val="center"/>
          </w:tcPr>
          <w:p w14:paraId="76C36486">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15</w:t>
            </w:r>
          </w:p>
        </w:tc>
        <w:tc>
          <w:tcPr>
            <w:tcW w:w="851" w:type="dxa"/>
            <w:tcBorders>
              <w:top w:val="single" w:color="auto" w:sz="4" w:space="0"/>
              <w:left w:val="single" w:color="auto" w:sz="4" w:space="0"/>
              <w:bottom w:val="single" w:color="auto" w:sz="4" w:space="0"/>
              <w:right w:val="single" w:color="auto" w:sz="4" w:space="0"/>
            </w:tcBorders>
            <w:noWrap w:val="0"/>
            <w:vAlign w:val="center"/>
          </w:tcPr>
          <w:p w14:paraId="77C38BAC">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15</w:t>
            </w:r>
          </w:p>
        </w:tc>
        <w:tc>
          <w:tcPr>
            <w:tcW w:w="851" w:type="dxa"/>
            <w:tcBorders>
              <w:top w:val="single" w:color="auto" w:sz="4" w:space="0"/>
              <w:left w:val="single" w:color="auto" w:sz="4" w:space="0"/>
              <w:bottom w:val="single" w:color="auto" w:sz="4" w:space="0"/>
              <w:right w:val="single" w:color="auto" w:sz="4" w:space="0"/>
            </w:tcBorders>
            <w:noWrap w:val="0"/>
            <w:vAlign w:val="center"/>
          </w:tcPr>
          <w:p w14:paraId="55318E15">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15</w:t>
            </w:r>
          </w:p>
        </w:tc>
        <w:tc>
          <w:tcPr>
            <w:tcW w:w="852" w:type="dxa"/>
            <w:tcBorders>
              <w:top w:val="single" w:color="auto" w:sz="4" w:space="0"/>
              <w:left w:val="single" w:color="auto" w:sz="4" w:space="0"/>
              <w:bottom w:val="single" w:color="auto" w:sz="4" w:space="0"/>
              <w:right w:val="single" w:color="auto" w:sz="4" w:space="0"/>
            </w:tcBorders>
            <w:noWrap w:val="0"/>
            <w:vAlign w:val="center"/>
          </w:tcPr>
          <w:p w14:paraId="331A83EC">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15</w:t>
            </w:r>
          </w:p>
        </w:tc>
        <w:tc>
          <w:tcPr>
            <w:tcW w:w="554" w:type="dxa"/>
            <w:tcBorders>
              <w:top w:val="single" w:color="auto" w:sz="4" w:space="0"/>
              <w:left w:val="single" w:color="auto" w:sz="4" w:space="0"/>
              <w:bottom w:val="single" w:color="auto" w:sz="4" w:space="0"/>
              <w:right w:val="single" w:color="auto" w:sz="4" w:space="0"/>
            </w:tcBorders>
            <w:noWrap w:val="0"/>
            <w:vAlign w:val="center"/>
          </w:tcPr>
          <w:p w14:paraId="7D61C85B">
            <w:pPr>
              <w:jc w:val="center"/>
              <w:rPr>
                <w:rFonts w:hint="eastAsia" w:ascii="宋体" w:hAnsi="宋体" w:eastAsia="宋体" w:cs="宋体"/>
                <w:i w:val="0"/>
                <w:iCs w:val="0"/>
                <w:color w:val="auto"/>
                <w:sz w:val="18"/>
                <w:szCs w:val="18"/>
                <w:highlight w:val="none"/>
                <w:u w:val="none"/>
              </w:rPr>
            </w:pPr>
          </w:p>
        </w:tc>
      </w:tr>
    </w:tbl>
    <w:p w14:paraId="354F90EA">
      <w:pPr>
        <w:rPr>
          <w:rFonts w:hint="eastAsia" w:ascii="宋体" w:hAnsi="宋体" w:eastAsia="宋体" w:cs="宋体"/>
          <w:b/>
          <w:bCs/>
          <w:color w:val="auto"/>
          <w:szCs w:val="21"/>
          <w:highlight w:val="none"/>
        </w:rPr>
      </w:pPr>
    </w:p>
    <w:p w14:paraId="2314A985">
      <w:pPr>
        <w:spacing w:line="360" w:lineRule="auto"/>
        <w:rPr>
          <w:rFonts w:hint="eastAsia" w:ascii="宋体" w:hAnsi="宋体" w:eastAsia="宋体" w:cs="宋体"/>
          <w:b/>
          <w:color w:val="auto"/>
          <w:sz w:val="21"/>
          <w:highlight w:val="none"/>
        </w:rPr>
      </w:pPr>
      <w:r>
        <w:rPr>
          <w:rFonts w:hint="eastAsia" w:ascii="宋体" w:hAnsi="宋体" w:eastAsia="宋体" w:cs="宋体"/>
          <w:b/>
          <w:color w:val="auto"/>
          <w:w w:val="95"/>
          <w:sz w:val="21"/>
          <w:highlight w:val="none"/>
        </w:rPr>
        <w:t>注明：以上检测项目和数量可根据工程项目实际情况调整，最终按中标人的实际工作量进行结算。不</w:t>
      </w:r>
      <w:r>
        <w:rPr>
          <w:rFonts w:hint="eastAsia" w:ascii="宋体" w:hAnsi="宋体" w:eastAsia="宋体" w:cs="宋体"/>
          <w:b/>
          <w:color w:val="auto"/>
          <w:sz w:val="21"/>
          <w:highlight w:val="none"/>
        </w:rPr>
        <w:t>足中标金额的，采购人可视情况要求中标人增加相关检测数量。</w:t>
      </w:r>
    </w:p>
    <w:p w14:paraId="6F47003C">
      <w:pPr>
        <w:rPr>
          <w:rFonts w:hint="eastAsia" w:ascii="宋体" w:hAnsi="宋体" w:eastAsia="宋体" w:cs="宋体"/>
          <w:b/>
          <w:bCs/>
          <w:color w:val="auto"/>
          <w:szCs w:val="21"/>
          <w:highlight w:val="none"/>
        </w:rPr>
      </w:pPr>
    </w:p>
    <w:p w14:paraId="1F3653D4">
      <w:pPr>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br w:type="page"/>
      </w:r>
    </w:p>
    <w:tbl>
      <w:tblPr>
        <w:tblStyle w:val="45"/>
        <w:tblW w:w="8504" w:type="dxa"/>
        <w:tblInd w:w="96"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770"/>
        <w:gridCol w:w="872"/>
        <w:gridCol w:w="2281"/>
        <w:gridCol w:w="588"/>
        <w:gridCol w:w="851"/>
        <w:gridCol w:w="851"/>
        <w:gridCol w:w="851"/>
        <w:gridCol w:w="851"/>
        <w:gridCol w:w="589"/>
      </w:tblGrid>
      <w:tr w14:paraId="6D72849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60" w:hRule="atLeast"/>
        </w:trPr>
        <w:tc>
          <w:tcPr>
            <w:tcW w:w="9283" w:type="dxa"/>
            <w:gridSpan w:val="9"/>
            <w:tcBorders>
              <w:top w:val="nil"/>
              <w:left w:val="nil"/>
              <w:bottom w:val="single" w:color="auto" w:sz="4" w:space="0"/>
              <w:right w:val="nil"/>
            </w:tcBorders>
            <w:noWrap w:val="0"/>
            <w:vAlign w:val="center"/>
          </w:tcPr>
          <w:p w14:paraId="3E583353">
            <w:pPr>
              <w:keepNext w:val="0"/>
              <w:keepLines w:val="0"/>
              <w:widowControl/>
              <w:suppressLineNumbers w:val="0"/>
              <w:jc w:val="center"/>
              <w:textAlignment w:val="center"/>
              <w:rPr>
                <w:rFonts w:hint="eastAsia" w:ascii="宋体" w:hAnsi="宋体" w:eastAsia="宋体" w:cs="宋体"/>
                <w:b/>
                <w:bCs/>
                <w:i w:val="0"/>
                <w:iCs w:val="0"/>
                <w:color w:val="auto"/>
                <w:sz w:val="36"/>
                <w:szCs w:val="36"/>
                <w:highlight w:val="none"/>
                <w:u w:val="none"/>
              </w:rPr>
            </w:pPr>
            <w:r>
              <w:rPr>
                <w:rFonts w:hint="eastAsia" w:ascii="宋体" w:hAnsi="宋体" w:eastAsia="宋体" w:cs="宋体"/>
                <w:b/>
                <w:color w:val="auto"/>
                <w:kern w:val="0"/>
                <w:sz w:val="28"/>
                <w:szCs w:val="28"/>
                <w:highlight w:val="none"/>
              </w:rPr>
              <w:t>▲</w:t>
            </w:r>
            <w:r>
              <w:rPr>
                <w:rStyle w:val="127"/>
                <w:rFonts w:hint="eastAsia" w:ascii="宋体" w:hAnsi="宋体" w:eastAsia="宋体" w:cs="宋体"/>
                <w:color w:val="auto"/>
                <w:sz w:val="28"/>
                <w:szCs w:val="28"/>
                <w:highlight w:val="none"/>
                <w:lang w:val="en-US" w:eastAsia="zh-CN" w:bidi="ar"/>
              </w:rPr>
              <w:t>2026年公路、铁路工程质量监督检测服务清单（铁路部分）</w:t>
            </w:r>
            <w:r>
              <w:rPr>
                <w:rStyle w:val="128"/>
                <w:rFonts w:hint="eastAsia" w:ascii="宋体" w:hAnsi="宋体" w:eastAsia="宋体" w:cs="宋体"/>
                <w:color w:val="auto"/>
                <w:sz w:val="28"/>
                <w:szCs w:val="28"/>
                <w:highlight w:val="none"/>
                <w:lang w:val="en-US" w:eastAsia="zh-CN" w:bidi="ar"/>
              </w:rPr>
              <w:br w:type="textWrapping"/>
            </w:r>
            <w:r>
              <w:rPr>
                <w:rFonts w:hint="eastAsia" w:ascii="宋体" w:hAnsi="宋体" w:eastAsia="宋体" w:cs="宋体"/>
                <w:b/>
                <w:bCs/>
                <w:i w:val="0"/>
                <w:iCs w:val="0"/>
                <w:color w:val="auto"/>
                <w:kern w:val="0"/>
                <w:sz w:val="28"/>
                <w:szCs w:val="28"/>
                <w:highlight w:val="none"/>
                <w:u w:val="none"/>
                <w:lang w:val="en-US" w:eastAsia="zh-CN" w:bidi="ar"/>
              </w:rPr>
              <w:t>原材料检测</w:t>
            </w:r>
          </w:p>
        </w:tc>
      </w:tr>
      <w:tr w14:paraId="0577AC4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0" w:hRule="atLeast"/>
        </w:trPr>
        <w:tc>
          <w:tcPr>
            <w:tcW w:w="975" w:type="dxa"/>
            <w:tcBorders>
              <w:top w:val="single" w:color="auto" w:sz="4" w:space="0"/>
              <w:left w:val="single" w:color="auto" w:sz="4" w:space="0"/>
              <w:bottom w:val="single" w:color="auto" w:sz="4" w:space="0"/>
              <w:right w:val="single" w:color="auto" w:sz="4" w:space="0"/>
            </w:tcBorders>
            <w:noWrap w:val="0"/>
            <w:vAlign w:val="center"/>
          </w:tcPr>
          <w:p w14:paraId="3E6BACDA">
            <w:pPr>
              <w:keepNext w:val="0"/>
              <w:keepLines w:val="0"/>
              <w:widowControl/>
              <w:suppressLineNumbers w:val="0"/>
              <w:jc w:val="center"/>
              <w:textAlignment w:val="center"/>
              <w:rPr>
                <w:rFonts w:hint="eastAsia" w:ascii="宋体" w:hAnsi="宋体" w:eastAsia="宋体" w:cs="宋体"/>
                <w:b/>
                <w:bCs/>
                <w:i w:val="0"/>
                <w:iCs w:val="0"/>
                <w:color w:val="auto"/>
                <w:sz w:val="18"/>
                <w:szCs w:val="18"/>
                <w:highlight w:val="none"/>
                <w:u w:val="none"/>
              </w:rPr>
            </w:pPr>
            <w:r>
              <w:rPr>
                <w:rFonts w:hint="eastAsia" w:ascii="宋体" w:hAnsi="宋体" w:eastAsia="宋体" w:cs="宋体"/>
                <w:b/>
                <w:bCs/>
                <w:i w:val="0"/>
                <w:iCs w:val="0"/>
                <w:color w:val="auto"/>
                <w:kern w:val="0"/>
                <w:sz w:val="18"/>
                <w:szCs w:val="18"/>
                <w:highlight w:val="none"/>
                <w:u w:val="none"/>
                <w:lang w:val="en-US" w:eastAsia="zh-CN" w:bidi="ar"/>
              </w:rPr>
              <w:t>序号</w:t>
            </w:r>
          </w:p>
        </w:tc>
        <w:tc>
          <w:tcPr>
            <w:tcW w:w="1083" w:type="dxa"/>
            <w:tcBorders>
              <w:top w:val="single" w:color="auto" w:sz="4" w:space="0"/>
              <w:left w:val="single" w:color="auto" w:sz="4" w:space="0"/>
              <w:bottom w:val="single" w:color="auto" w:sz="4" w:space="0"/>
              <w:right w:val="single" w:color="auto" w:sz="4" w:space="0"/>
            </w:tcBorders>
            <w:noWrap w:val="0"/>
            <w:vAlign w:val="center"/>
          </w:tcPr>
          <w:p w14:paraId="4B8D8341">
            <w:pPr>
              <w:keepNext w:val="0"/>
              <w:keepLines w:val="0"/>
              <w:widowControl/>
              <w:suppressLineNumbers w:val="0"/>
              <w:jc w:val="center"/>
              <w:textAlignment w:val="center"/>
              <w:rPr>
                <w:rFonts w:hint="eastAsia" w:ascii="宋体" w:hAnsi="宋体" w:eastAsia="宋体" w:cs="宋体"/>
                <w:b/>
                <w:bCs/>
                <w:i w:val="0"/>
                <w:iCs w:val="0"/>
                <w:color w:val="auto"/>
                <w:sz w:val="18"/>
                <w:szCs w:val="18"/>
                <w:highlight w:val="none"/>
                <w:u w:val="none"/>
              </w:rPr>
            </w:pPr>
            <w:r>
              <w:rPr>
                <w:rFonts w:hint="eastAsia" w:ascii="宋体" w:hAnsi="宋体" w:eastAsia="宋体" w:cs="宋体"/>
                <w:b/>
                <w:bCs/>
                <w:i w:val="0"/>
                <w:iCs w:val="0"/>
                <w:color w:val="auto"/>
                <w:kern w:val="0"/>
                <w:sz w:val="18"/>
                <w:szCs w:val="18"/>
                <w:highlight w:val="none"/>
                <w:u w:val="none"/>
                <w:lang w:val="en-US" w:eastAsia="zh-CN" w:bidi="ar"/>
              </w:rPr>
              <w:t>项目</w:t>
            </w:r>
          </w:p>
        </w:tc>
        <w:tc>
          <w:tcPr>
            <w:tcW w:w="3067" w:type="dxa"/>
            <w:tcBorders>
              <w:top w:val="single" w:color="auto" w:sz="4" w:space="0"/>
              <w:left w:val="single" w:color="auto" w:sz="4" w:space="0"/>
              <w:bottom w:val="single" w:color="auto" w:sz="4" w:space="0"/>
              <w:right w:val="single" w:color="auto" w:sz="4" w:space="0"/>
            </w:tcBorders>
            <w:noWrap w:val="0"/>
            <w:vAlign w:val="center"/>
          </w:tcPr>
          <w:p w14:paraId="3796136B">
            <w:pPr>
              <w:keepNext w:val="0"/>
              <w:keepLines w:val="0"/>
              <w:widowControl/>
              <w:suppressLineNumbers w:val="0"/>
              <w:jc w:val="center"/>
              <w:textAlignment w:val="center"/>
              <w:rPr>
                <w:rFonts w:hint="eastAsia" w:ascii="宋体" w:hAnsi="宋体" w:eastAsia="宋体" w:cs="宋体"/>
                <w:b/>
                <w:bCs/>
                <w:i w:val="0"/>
                <w:iCs w:val="0"/>
                <w:color w:val="auto"/>
                <w:sz w:val="18"/>
                <w:szCs w:val="18"/>
                <w:highlight w:val="none"/>
                <w:u w:val="none"/>
              </w:rPr>
            </w:pPr>
            <w:r>
              <w:rPr>
                <w:rFonts w:hint="eastAsia" w:ascii="宋体" w:hAnsi="宋体" w:eastAsia="宋体" w:cs="宋体"/>
                <w:b/>
                <w:bCs/>
                <w:i w:val="0"/>
                <w:iCs w:val="0"/>
                <w:color w:val="auto"/>
                <w:kern w:val="0"/>
                <w:sz w:val="18"/>
                <w:szCs w:val="18"/>
                <w:highlight w:val="none"/>
                <w:u w:val="none"/>
                <w:lang w:val="en-US" w:eastAsia="zh-CN" w:bidi="ar"/>
              </w:rPr>
              <w:t>检测内容</w:t>
            </w:r>
          </w:p>
        </w:tc>
        <w:tc>
          <w:tcPr>
            <w:tcW w:w="693" w:type="dxa"/>
            <w:tcBorders>
              <w:top w:val="single" w:color="auto" w:sz="4" w:space="0"/>
              <w:left w:val="single" w:color="auto" w:sz="4" w:space="0"/>
              <w:bottom w:val="single" w:color="auto" w:sz="4" w:space="0"/>
              <w:right w:val="single" w:color="auto" w:sz="4" w:space="0"/>
            </w:tcBorders>
            <w:noWrap w:val="0"/>
            <w:vAlign w:val="center"/>
          </w:tcPr>
          <w:p w14:paraId="280607FD">
            <w:pPr>
              <w:keepNext w:val="0"/>
              <w:keepLines w:val="0"/>
              <w:widowControl/>
              <w:suppressLineNumbers w:val="0"/>
              <w:jc w:val="center"/>
              <w:textAlignment w:val="center"/>
              <w:rPr>
                <w:rFonts w:hint="eastAsia" w:ascii="宋体" w:hAnsi="宋体" w:eastAsia="宋体" w:cs="宋体"/>
                <w:b/>
                <w:bCs/>
                <w:i w:val="0"/>
                <w:iCs w:val="0"/>
                <w:color w:val="auto"/>
                <w:sz w:val="18"/>
                <w:szCs w:val="18"/>
                <w:highlight w:val="none"/>
                <w:u w:val="none"/>
              </w:rPr>
            </w:pPr>
            <w:r>
              <w:rPr>
                <w:rFonts w:hint="eastAsia" w:ascii="宋体" w:hAnsi="宋体" w:eastAsia="宋体" w:cs="宋体"/>
                <w:b/>
                <w:bCs/>
                <w:i w:val="0"/>
                <w:iCs w:val="0"/>
                <w:color w:val="auto"/>
                <w:kern w:val="0"/>
                <w:sz w:val="18"/>
                <w:szCs w:val="18"/>
                <w:highlight w:val="none"/>
                <w:u w:val="none"/>
                <w:lang w:val="en-US" w:eastAsia="zh-CN" w:bidi="ar"/>
              </w:rPr>
              <w:t>单位</w:t>
            </w:r>
          </w:p>
        </w:tc>
        <w:tc>
          <w:tcPr>
            <w:tcW w:w="693" w:type="dxa"/>
            <w:tcBorders>
              <w:top w:val="single" w:color="auto" w:sz="4" w:space="0"/>
              <w:left w:val="single" w:color="auto" w:sz="4" w:space="0"/>
              <w:bottom w:val="single" w:color="auto" w:sz="4" w:space="0"/>
              <w:right w:val="single" w:color="auto" w:sz="4" w:space="0"/>
            </w:tcBorders>
            <w:noWrap w:val="0"/>
            <w:vAlign w:val="center"/>
          </w:tcPr>
          <w:p w14:paraId="2EA53B83">
            <w:pPr>
              <w:keepNext w:val="0"/>
              <w:keepLines w:val="0"/>
              <w:widowControl/>
              <w:suppressLineNumbers w:val="0"/>
              <w:jc w:val="center"/>
              <w:textAlignment w:val="center"/>
              <w:rPr>
                <w:rFonts w:hint="eastAsia" w:ascii="宋体" w:hAnsi="宋体" w:eastAsia="宋体" w:cs="宋体"/>
                <w:b/>
                <w:bCs/>
                <w:i w:val="0"/>
                <w:iCs w:val="0"/>
                <w:color w:val="auto"/>
                <w:sz w:val="18"/>
                <w:szCs w:val="18"/>
                <w:highlight w:val="none"/>
                <w:u w:val="none"/>
              </w:rPr>
            </w:pPr>
            <w:r>
              <w:rPr>
                <w:rFonts w:hint="eastAsia" w:ascii="宋体" w:hAnsi="宋体" w:eastAsia="宋体" w:cs="宋体"/>
                <w:b/>
                <w:bCs/>
                <w:i w:val="0"/>
                <w:iCs w:val="0"/>
                <w:color w:val="auto"/>
                <w:kern w:val="0"/>
                <w:sz w:val="18"/>
                <w:szCs w:val="18"/>
                <w:highlight w:val="none"/>
                <w:u w:val="none"/>
                <w:lang w:val="en-US" w:eastAsia="zh-CN" w:bidi="ar"/>
              </w:rPr>
              <w:t>GLTLJD1标段数量</w:t>
            </w:r>
          </w:p>
        </w:tc>
        <w:tc>
          <w:tcPr>
            <w:tcW w:w="693" w:type="dxa"/>
            <w:tcBorders>
              <w:top w:val="single" w:color="auto" w:sz="4" w:space="0"/>
              <w:left w:val="single" w:color="auto" w:sz="4" w:space="0"/>
              <w:bottom w:val="single" w:color="auto" w:sz="4" w:space="0"/>
              <w:right w:val="single" w:color="auto" w:sz="4" w:space="0"/>
            </w:tcBorders>
            <w:noWrap w:val="0"/>
            <w:vAlign w:val="center"/>
          </w:tcPr>
          <w:p w14:paraId="670CD975">
            <w:pPr>
              <w:keepNext w:val="0"/>
              <w:keepLines w:val="0"/>
              <w:widowControl/>
              <w:suppressLineNumbers w:val="0"/>
              <w:jc w:val="center"/>
              <w:textAlignment w:val="center"/>
              <w:rPr>
                <w:rFonts w:hint="eastAsia" w:ascii="宋体" w:hAnsi="宋体" w:eastAsia="宋体" w:cs="宋体"/>
                <w:b/>
                <w:bCs/>
                <w:i w:val="0"/>
                <w:iCs w:val="0"/>
                <w:color w:val="auto"/>
                <w:sz w:val="18"/>
                <w:szCs w:val="18"/>
                <w:highlight w:val="none"/>
                <w:u w:val="none"/>
              </w:rPr>
            </w:pPr>
            <w:r>
              <w:rPr>
                <w:rFonts w:hint="eastAsia" w:ascii="宋体" w:hAnsi="宋体" w:eastAsia="宋体" w:cs="宋体"/>
                <w:b/>
                <w:bCs/>
                <w:i w:val="0"/>
                <w:iCs w:val="0"/>
                <w:color w:val="auto"/>
                <w:kern w:val="0"/>
                <w:sz w:val="18"/>
                <w:szCs w:val="18"/>
                <w:highlight w:val="none"/>
                <w:u w:val="none"/>
                <w:lang w:val="en-US" w:eastAsia="zh-CN" w:bidi="ar"/>
              </w:rPr>
              <w:t>GLTLJD2标段数量</w:t>
            </w:r>
          </w:p>
        </w:tc>
        <w:tc>
          <w:tcPr>
            <w:tcW w:w="693" w:type="dxa"/>
            <w:tcBorders>
              <w:top w:val="single" w:color="auto" w:sz="4" w:space="0"/>
              <w:left w:val="single" w:color="auto" w:sz="4" w:space="0"/>
              <w:bottom w:val="single" w:color="auto" w:sz="4" w:space="0"/>
              <w:right w:val="single" w:color="auto" w:sz="4" w:space="0"/>
            </w:tcBorders>
            <w:noWrap w:val="0"/>
            <w:vAlign w:val="center"/>
          </w:tcPr>
          <w:p w14:paraId="5837910C">
            <w:pPr>
              <w:keepNext w:val="0"/>
              <w:keepLines w:val="0"/>
              <w:widowControl/>
              <w:suppressLineNumbers w:val="0"/>
              <w:jc w:val="center"/>
              <w:textAlignment w:val="center"/>
              <w:rPr>
                <w:rFonts w:hint="eastAsia" w:ascii="宋体" w:hAnsi="宋体" w:eastAsia="宋体" w:cs="宋体"/>
                <w:b/>
                <w:bCs/>
                <w:i w:val="0"/>
                <w:iCs w:val="0"/>
                <w:color w:val="auto"/>
                <w:sz w:val="18"/>
                <w:szCs w:val="18"/>
                <w:highlight w:val="none"/>
                <w:u w:val="none"/>
              </w:rPr>
            </w:pPr>
            <w:r>
              <w:rPr>
                <w:rFonts w:hint="eastAsia" w:ascii="宋体" w:hAnsi="宋体" w:eastAsia="宋体" w:cs="宋体"/>
                <w:b/>
                <w:bCs/>
                <w:i w:val="0"/>
                <w:iCs w:val="0"/>
                <w:color w:val="auto"/>
                <w:kern w:val="0"/>
                <w:sz w:val="18"/>
                <w:szCs w:val="18"/>
                <w:highlight w:val="none"/>
                <w:u w:val="none"/>
                <w:lang w:val="en-US" w:eastAsia="zh-CN" w:bidi="ar"/>
              </w:rPr>
              <w:t>GLTLJD3标段数量</w:t>
            </w:r>
          </w:p>
        </w:tc>
        <w:tc>
          <w:tcPr>
            <w:tcW w:w="693" w:type="dxa"/>
            <w:tcBorders>
              <w:top w:val="single" w:color="auto" w:sz="4" w:space="0"/>
              <w:left w:val="single" w:color="auto" w:sz="4" w:space="0"/>
              <w:bottom w:val="single" w:color="auto" w:sz="4" w:space="0"/>
              <w:right w:val="single" w:color="auto" w:sz="4" w:space="0"/>
            </w:tcBorders>
            <w:noWrap w:val="0"/>
            <w:vAlign w:val="center"/>
          </w:tcPr>
          <w:p w14:paraId="0979F6ED">
            <w:pPr>
              <w:keepNext w:val="0"/>
              <w:keepLines w:val="0"/>
              <w:widowControl/>
              <w:suppressLineNumbers w:val="0"/>
              <w:jc w:val="center"/>
              <w:textAlignment w:val="center"/>
              <w:rPr>
                <w:rFonts w:hint="eastAsia" w:ascii="宋体" w:hAnsi="宋体" w:eastAsia="宋体" w:cs="宋体"/>
                <w:b/>
                <w:bCs/>
                <w:i w:val="0"/>
                <w:iCs w:val="0"/>
                <w:color w:val="auto"/>
                <w:sz w:val="18"/>
                <w:szCs w:val="18"/>
                <w:highlight w:val="none"/>
                <w:u w:val="none"/>
              </w:rPr>
            </w:pPr>
            <w:r>
              <w:rPr>
                <w:rFonts w:hint="eastAsia" w:ascii="宋体" w:hAnsi="宋体" w:eastAsia="宋体" w:cs="宋体"/>
                <w:b/>
                <w:bCs/>
                <w:i w:val="0"/>
                <w:iCs w:val="0"/>
                <w:color w:val="auto"/>
                <w:kern w:val="0"/>
                <w:sz w:val="18"/>
                <w:szCs w:val="18"/>
                <w:highlight w:val="none"/>
                <w:u w:val="none"/>
                <w:lang w:val="en-US" w:eastAsia="zh-CN" w:bidi="ar"/>
              </w:rPr>
              <w:t>GLTLJD4标段数量</w:t>
            </w:r>
          </w:p>
        </w:tc>
        <w:tc>
          <w:tcPr>
            <w:tcW w:w="693" w:type="dxa"/>
            <w:tcBorders>
              <w:top w:val="single" w:color="auto" w:sz="4" w:space="0"/>
              <w:left w:val="single" w:color="auto" w:sz="4" w:space="0"/>
              <w:bottom w:val="single" w:color="auto" w:sz="4" w:space="0"/>
              <w:right w:val="single" w:color="auto" w:sz="4" w:space="0"/>
            </w:tcBorders>
            <w:noWrap w:val="0"/>
            <w:vAlign w:val="center"/>
          </w:tcPr>
          <w:p w14:paraId="72D5A5EF">
            <w:pPr>
              <w:keepNext w:val="0"/>
              <w:keepLines w:val="0"/>
              <w:widowControl/>
              <w:suppressLineNumbers w:val="0"/>
              <w:jc w:val="center"/>
              <w:textAlignment w:val="center"/>
              <w:rPr>
                <w:rFonts w:hint="eastAsia" w:ascii="宋体" w:hAnsi="宋体" w:eastAsia="宋体" w:cs="宋体"/>
                <w:b/>
                <w:bCs/>
                <w:i w:val="0"/>
                <w:iCs w:val="0"/>
                <w:color w:val="auto"/>
                <w:sz w:val="18"/>
                <w:szCs w:val="18"/>
                <w:highlight w:val="none"/>
                <w:u w:val="none"/>
              </w:rPr>
            </w:pPr>
            <w:r>
              <w:rPr>
                <w:rFonts w:hint="eastAsia" w:ascii="宋体" w:hAnsi="宋体" w:eastAsia="宋体" w:cs="宋体"/>
                <w:b/>
                <w:bCs/>
                <w:i w:val="0"/>
                <w:iCs w:val="0"/>
                <w:color w:val="auto"/>
                <w:kern w:val="0"/>
                <w:sz w:val="18"/>
                <w:szCs w:val="18"/>
                <w:highlight w:val="none"/>
                <w:u w:val="none"/>
                <w:lang w:val="en-US" w:eastAsia="zh-CN" w:bidi="ar"/>
              </w:rPr>
              <w:t>备注</w:t>
            </w:r>
          </w:p>
        </w:tc>
      </w:tr>
      <w:tr w14:paraId="215B8E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0" w:hRule="atLeast"/>
        </w:trPr>
        <w:tc>
          <w:tcPr>
            <w:tcW w:w="975" w:type="dxa"/>
            <w:tcBorders>
              <w:top w:val="single" w:color="auto" w:sz="4" w:space="0"/>
              <w:left w:val="single" w:color="auto" w:sz="4" w:space="0"/>
              <w:bottom w:val="single" w:color="auto" w:sz="4" w:space="0"/>
              <w:right w:val="single" w:color="auto" w:sz="4" w:space="0"/>
            </w:tcBorders>
            <w:noWrap w:val="0"/>
            <w:vAlign w:val="center"/>
          </w:tcPr>
          <w:p w14:paraId="3FF75A9D">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1</w:t>
            </w:r>
          </w:p>
        </w:tc>
        <w:tc>
          <w:tcPr>
            <w:tcW w:w="1083" w:type="dxa"/>
            <w:tcBorders>
              <w:top w:val="single" w:color="auto" w:sz="4" w:space="0"/>
              <w:left w:val="single" w:color="auto" w:sz="4" w:space="0"/>
              <w:bottom w:val="single" w:color="auto" w:sz="4" w:space="0"/>
              <w:right w:val="single" w:color="auto" w:sz="4" w:space="0"/>
            </w:tcBorders>
            <w:noWrap w:val="0"/>
            <w:vAlign w:val="center"/>
          </w:tcPr>
          <w:p w14:paraId="333437CF">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水泥</w:t>
            </w:r>
          </w:p>
        </w:tc>
        <w:tc>
          <w:tcPr>
            <w:tcW w:w="3067" w:type="dxa"/>
            <w:tcBorders>
              <w:top w:val="single" w:color="auto" w:sz="4" w:space="0"/>
              <w:left w:val="single" w:color="auto" w:sz="4" w:space="0"/>
              <w:bottom w:val="single" w:color="auto" w:sz="4" w:space="0"/>
              <w:right w:val="single" w:color="auto" w:sz="4" w:space="0"/>
            </w:tcBorders>
            <w:noWrap w:val="0"/>
            <w:vAlign w:val="center"/>
          </w:tcPr>
          <w:p w14:paraId="64C5D31D">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比表面积，凝结时间，安定性，强度（3d、28d）， 烧失量，氯离子含量，碱含量，游离 CaO 含量</w:t>
            </w:r>
          </w:p>
        </w:tc>
        <w:tc>
          <w:tcPr>
            <w:tcW w:w="693" w:type="dxa"/>
            <w:tcBorders>
              <w:top w:val="single" w:color="auto" w:sz="4" w:space="0"/>
              <w:left w:val="single" w:color="auto" w:sz="4" w:space="0"/>
              <w:bottom w:val="single" w:color="auto" w:sz="4" w:space="0"/>
              <w:right w:val="single" w:color="auto" w:sz="4" w:space="0"/>
            </w:tcBorders>
            <w:noWrap w:val="0"/>
            <w:vAlign w:val="center"/>
          </w:tcPr>
          <w:p w14:paraId="326307AA">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组</w:t>
            </w:r>
          </w:p>
        </w:tc>
        <w:tc>
          <w:tcPr>
            <w:tcW w:w="0" w:type="auto"/>
            <w:tcBorders>
              <w:top w:val="single" w:color="auto" w:sz="4" w:space="0"/>
              <w:left w:val="single" w:color="auto" w:sz="4" w:space="0"/>
              <w:bottom w:val="single" w:color="auto" w:sz="4" w:space="0"/>
              <w:right w:val="single" w:color="auto" w:sz="4" w:space="0"/>
            </w:tcBorders>
            <w:noWrap/>
            <w:vAlign w:val="center"/>
          </w:tcPr>
          <w:p w14:paraId="4DBE4581">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12</w:t>
            </w:r>
          </w:p>
        </w:tc>
        <w:tc>
          <w:tcPr>
            <w:tcW w:w="693" w:type="dxa"/>
            <w:tcBorders>
              <w:top w:val="single" w:color="auto" w:sz="4" w:space="0"/>
              <w:left w:val="single" w:color="auto" w:sz="4" w:space="0"/>
              <w:bottom w:val="single" w:color="auto" w:sz="4" w:space="0"/>
              <w:right w:val="single" w:color="auto" w:sz="4" w:space="0"/>
            </w:tcBorders>
            <w:noWrap w:val="0"/>
            <w:vAlign w:val="center"/>
          </w:tcPr>
          <w:p w14:paraId="25C6D0A4">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12</w:t>
            </w:r>
          </w:p>
        </w:tc>
        <w:tc>
          <w:tcPr>
            <w:tcW w:w="693" w:type="dxa"/>
            <w:tcBorders>
              <w:top w:val="single" w:color="auto" w:sz="4" w:space="0"/>
              <w:left w:val="single" w:color="auto" w:sz="4" w:space="0"/>
              <w:bottom w:val="single" w:color="auto" w:sz="4" w:space="0"/>
              <w:right w:val="single" w:color="auto" w:sz="4" w:space="0"/>
            </w:tcBorders>
            <w:noWrap w:val="0"/>
            <w:vAlign w:val="center"/>
          </w:tcPr>
          <w:p w14:paraId="12F0ADF9">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12</w:t>
            </w:r>
          </w:p>
        </w:tc>
        <w:tc>
          <w:tcPr>
            <w:tcW w:w="693" w:type="dxa"/>
            <w:tcBorders>
              <w:top w:val="single" w:color="auto" w:sz="4" w:space="0"/>
              <w:left w:val="single" w:color="auto" w:sz="4" w:space="0"/>
              <w:bottom w:val="single" w:color="auto" w:sz="4" w:space="0"/>
              <w:right w:val="single" w:color="auto" w:sz="4" w:space="0"/>
            </w:tcBorders>
            <w:noWrap w:val="0"/>
            <w:vAlign w:val="center"/>
          </w:tcPr>
          <w:p w14:paraId="1FA89FE5">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12</w:t>
            </w:r>
          </w:p>
        </w:tc>
        <w:tc>
          <w:tcPr>
            <w:tcW w:w="693" w:type="dxa"/>
            <w:tcBorders>
              <w:top w:val="single" w:color="auto" w:sz="4" w:space="0"/>
              <w:left w:val="single" w:color="auto" w:sz="4" w:space="0"/>
              <w:bottom w:val="single" w:color="auto" w:sz="4" w:space="0"/>
              <w:right w:val="single" w:color="auto" w:sz="4" w:space="0"/>
            </w:tcBorders>
            <w:noWrap w:val="0"/>
            <w:vAlign w:val="center"/>
          </w:tcPr>
          <w:p w14:paraId="31C30BA9">
            <w:pPr>
              <w:jc w:val="left"/>
              <w:rPr>
                <w:rFonts w:hint="eastAsia" w:ascii="宋体" w:hAnsi="宋体" w:eastAsia="宋体" w:cs="宋体"/>
                <w:i w:val="0"/>
                <w:iCs w:val="0"/>
                <w:color w:val="auto"/>
                <w:sz w:val="20"/>
                <w:szCs w:val="20"/>
                <w:highlight w:val="none"/>
                <w:u w:val="none"/>
              </w:rPr>
            </w:pPr>
          </w:p>
        </w:tc>
      </w:tr>
      <w:tr w14:paraId="1BAD42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0" w:hRule="atLeast"/>
        </w:trPr>
        <w:tc>
          <w:tcPr>
            <w:tcW w:w="975" w:type="dxa"/>
            <w:tcBorders>
              <w:top w:val="single" w:color="auto" w:sz="4" w:space="0"/>
              <w:left w:val="single" w:color="auto" w:sz="4" w:space="0"/>
              <w:bottom w:val="single" w:color="auto" w:sz="4" w:space="0"/>
              <w:right w:val="single" w:color="auto" w:sz="4" w:space="0"/>
            </w:tcBorders>
            <w:noWrap w:val="0"/>
            <w:vAlign w:val="center"/>
          </w:tcPr>
          <w:p w14:paraId="0A05D62C">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2</w:t>
            </w:r>
          </w:p>
        </w:tc>
        <w:tc>
          <w:tcPr>
            <w:tcW w:w="1083" w:type="dxa"/>
            <w:tcBorders>
              <w:top w:val="single" w:color="auto" w:sz="4" w:space="0"/>
              <w:left w:val="single" w:color="auto" w:sz="4" w:space="0"/>
              <w:bottom w:val="single" w:color="auto" w:sz="4" w:space="0"/>
              <w:right w:val="single" w:color="auto" w:sz="4" w:space="0"/>
            </w:tcBorders>
            <w:noWrap w:val="0"/>
            <w:vAlign w:val="center"/>
          </w:tcPr>
          <w:p w14:paraId="75166966">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细骨料</w:t>
            </w:r>
          </w:p>
        </w:tc>
        <w:tc>
          <w:tcPr>
            <w:tcW w:w="3067" w:type="dxa"/>
            <w:tcBorders>
              <w:top w:val="single" w:color="auto" w:sz="4" w:space="0"/>
              <w:left w:val="single" w:color="auto" w:sz="4" w:space="0"/>
              <w:bottom w:val="single" w:color="auto" w:sz="4" w:space="0"/>
              <w:right w:val="single" w:color="auto" w:sz="4" w:space="0"/>
            </w:tcBorders>
            <w:noWrap w:val="0"/>
            <w:vAlign w:val="center"/>
          </w:tcPr>
          <w:p w14:paraId="2A08D0B5">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颗粒级配，含泥量，泥块含量，云母含量，轻物质 含量，有机物含量，压碎指标值（机制砂），石粉 含量（机制砂），吸水率，氯离子含量</w:t>
            </w:r>
          </w:p>
        </w:tc>
        <w:tc>
          <w:tcPr>
            <w:tcW w:w="693" w:type="dxa"/>
            <w:tcBorders>
              <w:top w:val="single" w:color="auto" w:sz="4" w:space="0"/>
              <w:left w:val="single" w:color="auto" w:sz="4" w:space="0"/>
              <w:bottom w:val="single" w:color="auto" w:sz="4" w:space="0"/>
              <w:right w:val="single" w:color="auto" w:sz="4" w:space="0"/>
            </w:tcBorders>
            <w:noWrap w:val="0"/>
            <w:vAlign w:val="center"/>
          </w:tcPr>
          <w:p w14:paraId="726D961F">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组</w:t>
            </w:r>
          </w:p>
        </w:tc>
        <w:tc>
          <w:tcPr>
            <w:tcW w:w="0" w:type="auto"/>
            <w:tcBorders>
              <w:top w:val="single" w:color="auto" w:sz="4" w:space="0"/>
              <w:left w:val="single" w:color="auto" w:sz="4" w:space="0"/>
              <w:bottom w:val="single" w:color="auto" w:sz="4" w:space="0"/>
              <w:right w:val="single" w:color="auto" w:sz="4" w:space="0"/>
            </w:tcBorders>
            <w:noWrap/>
            <w:vAlign w:val="center"/>
          </w:tcPr>
          <w:p w14:paraId="063D4AA1">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12</w:t>
            </w:r>
          </w:p>
        </w:tc>
        <w:tc>
          <w:tcPr>
            <w:tcW w:w="693" w:type="dxa"/>
            <w:tcBorders>
              <w:top w:val="single" w:color="auto" w:sz="4" w:space="0"/>
              <w:left w:val="single" w:color="auto" w:sz="4" w:space="0"/>
              <w:bottom w:val="single" w:color="auto" w:sz="4" w:space="0"/>
              <w:right w:val="single" w:color="auto" w:sz="4" w:space="0"/>
            </w:tcBorders>
            <w:noWrap w:val="0"/>
            <w:vAlign w:val="center"/>
          </w:tcPr>
          <w:p w14:paraId="5B98A9B1">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12</w:t>
            </w:r>
          </w:p>
        </w:tc>
        <w:tc>
          <w:tcPr>
            <w:tcW w:w="693" w:type="dxa"/>
            <w:tcBorders>
              <w:top w:val="single" w:color="auto" w:sz="4" w:space="0"/>
              <w:left w:val="single" w:color="auto" w:sz="4" w:space="0"/>
              <w:bottom w:val="single" w:color="auto" w:sz="4" w:space="0"/>
              <w:right w:val="single" w:color="auto" w:sz="4" w:space="0"/>
            </w:tcBorders>
            <w:noWrap w:val="0"/>
            <w:vAlign w:val="center"/>
          </w:tcPr>
          <w:p w14:paraId="06029A39">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12</w:t>
            </w:r>
          </w:p>
        </w:tc>
        <w:tc>
          <w:tcPr>
            <w:tcW w:w="693" w:type="dxa"/>
            <w:tcBorders>
              <w:top w:val="single" w:color="auto" w:sz="4" w:space="0"/>
              <w:left w:val="single" w:color="auto" w:sz="4" w:space="0"/>
              <w:bottom w:val="single" w:color="auto" w:sz="4" w:space="0"/>
              <w:right w:val="single" w:color="auto" w:sz="4" w:space="0"/>
            </w:tcBorders>
            <w:noWrap w:val="0"/>
            <w:vAlign w:val="center"/>
          </w:tcPr>
          <w:p w14:paraId="2231149E">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12</w:t>
            </w:r>
          </w:p>
        </w:tc>
        <w:tc>
          <w:tcPr>
            <w:tcW w:w="693" w:type="dxa"/>
            <w:tcBorders>
              <w:top w:val="single" w:color="auto" w:sz="4" w:space="0"/>
              <w:left w:val="single" w:color="auto" w:sz="4" w:space="0"/>
              <w:bottom w:val="single" w:color="auto" w:sz="4" w:space="0"/>
              <w:right w:val="single" w:color="auto" w:sz="4" w:space="0"/>
            </w:tcBorders>
            <w:noWrap w:val="0"/>
            <w:vAlign w:val="center"/>
          </w:tcPr>
          <w:p w14:paraId="7CB617EB">
            <w:pPr>
              <w:jc w:val="left"/>
              <w:rPr>
                <w:rFonts w:hint="eastAsia" w:ascii="宋体" w:hAnsi="宋体" w:eastAsia="宋体" w:cs="宋体"/>
                <w:i w:val="0"/>
                <w:iCs w:val="0"/>
                <w:color w:val="auto"/>
                <w:sz w:val="20"/>
                <w:szCs w:val="20"/>
                <w:highlight w:val="none"/>
                <w:u w:val="none"/>
              </w:rPr>
            </w:pPr>
          </w:p>
        </w:tc>
      </w:tr>
      <w:tr w14:paraId="5CAF03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0" w:hRule="atLeast"/>
        </w:trPr>
        <w:tc>
          <w:tcPr>
            <w:tcW w:w="975" w:type="dxa"/>
            <w:tcBorders>
              <w:top w:val="single" w:color="auto" w:sz="4" w:space="0"/>
              <w:left w:val="single" w:color="auto" w:sz="4" w:space="0"/>
              <w:bottom w:val="single" w:color="auto" w:sz="4" w:space="0"/>
              <w:right w:val="single" w:color="auto" w:sz="4" w:space="0"/>
            </w:tcBorders>
            <w:noWrap w:val="0"/>
            <w:vAlign w:val="center"/>
          </w:tcPr>
          <w:p w14:paraId="4BAE7E85">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3</w:t>
            </w:r>
          </w:p>
        </w:tc>
        <w:tc>
          <w:tcPr>
            <w:tcW w:w="1083" w:type="dxa"/>
            <w:tcBorders>
              <w:top w:val="single" w:color="auto" w:sz="4" w:space="0"/>
              <w:left w:val="single" w:color="auto" w:sz="4" w:space="0"/>
              <w:bottom w:val="single" w:color="auto" w:sz="4" w:space="0"/>
              <w:right w:val="single" w:color="auto" w:sz="4" w:space="0"/>
            </w:tcBorders>
            <w:noWrap w:val="0"/>
            <w:vAlign w:val="center"/>
          </w:tcPr>
          <w:p w14:paraId="3757D553">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粗骨料</w:t>
            </w:r>
          </w:p>
        </w:tc>
        <w:tc>
          <w:tcPr>
            <w:tcW w:w="3067" w:type="dxa"/>
            <w:tcBorders>
              <w:top w:val="single" w:color="auto" w:sz="4" w:space="0"/>
              <w:left w:val="single" w:color="auto" w:sz="4" w:space="0"/>
              <w:bottom w:val="single" w:color="auto" w:sz="4" w:space="0"/>
              <w:right w:val="single" w:color="auto" w:sz="4" w:space="0"/>
            </w:tcBorders>
            <w:noWrap w:val="0"/>
            <w:vAlign w:val="center"/>
          </w:tcPr>
          <w:p w14:paraId="2D127A6F">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颗粒级配，压碎指标值，针片状颗粒总含量，含泥 量，泥块含量，紧密空隙率，吸水率，氯化物含量</w:t>
            </w:r>
          </w:p>
        </w:tc>
        <w:tc>
          <w:tcPr>
            <w:tcW w:w="693" w:type="dxa"/>
            <w:tcBorders>
              <w:top w:val="single" w:color="auto" w:sz="4" w:space="0"/>
              <w:left w:val="single" w:color="auto" w:sz="4" w:space="0"/>
              <w:bottom w:val="single" w:color="auto" w:sz="4" w:space="0"/>
              <w:right w:val="single" w:color="auto" w:sz="4" w:space="0"/>
            </w:tcBorders>
            <w:noWrap w:val="0"/>
            <w:vAlign w:val="center"/>
          </w:tcPr>
          <w:p w14:paraId="3ED2BD8E">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组</w:t>
            </w:r>
          </w:p>
        </w:tc>
        <w:tc>
          <w:tcPr>
            <w:tcW w:w="0" w:type="auto"/>
            <w:tcBorders>
              <w:top w:val="single" w:color="auto" w:sz="4" w:space="0"/>
              <w:left w:val="single" w:color="auto" w:sz="4" w:space="0"/>
              <w:bottom w:val="single" w:color="auto" w:sz="4" w:space="0"/>
              <w:right w:val="single" w:color="auto" w:sz="4" w:space="0"/>
            </w:tcBorders>
            <w:noWrap/>
            <w:vAlign w:val="center"/>
          </w:tcPr>
          <w:p w14:paraId="64988D33">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12</w:t>
            </w:r>
          </w:p>
        </w:tc>
        <w:tc>
          <w:tcPr>
            <w:tcW w:w="693" w:type="dxa"/>
            <w:tcBorders>
              <w:top w:val="single" w:color="auto" w:sz="4" w:space="0"/>
              <w:left w:val="single" w:color="auto" w:sz="4" w:space="0"/>
              <w:bottom w:val="single" w:color="auto" w:sz="4" w:space="0"/>
              <w:right w:val="single" w:color="auto" w:sz="4" w:space="0"/>
            </w:tcBorders>
            <w:noWrap w:val="0"/>
            <w:vAlign w:val="center"/>
          </w:tcPr>
          <w:p w14:paraId="3F6794AC">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12</w:t>
            </w:r>
          </w:p>
        </w:tc>
        <w:tc>
          <w:tcPr>
            <w:tcW w:w="693" w:type="dxa"/>
            <w:tcBorders>
              <w:top w:val="single" w:color="auto" w:sz="4" w:space="0"/>
              <w:left w:val="single" w:color="auto" w:sz="4" w:space="0"/>
              <w:bottom w:val="single" w:color="auto" w:sz="4" w:space="0"/>
              <w:right w:val="single" w:color="auto" w:sz="4" w:space="0"/>
            </w:tcBorders>
            <w:noWrap w:val="0"/>
            <w:vAlign w:val="center"/>
          </w:tcPr>
          <w:p w14:paraId="69F9F685">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12</w:t>
            </w:r>
          </w:p>
        </w:tc>
        <w:tc>
          <w:tcPr>
            <w:tcW w:w="693" w:type="dxa"/>
            <w:tcBorders>
              <w:top w:val="single" w:color="auto" w:sz="4" w:space="0"/>
              <w:left w:val="single" w:color="auto" w:sz="4" w:space="0"/>
              <w:bottom w:val="single" w:color="auto" w:sz="4" w:space="0"/>
              <w:right w:val="single" w:color="auto" w:sz="4" w:space="0"/>
            </w:tcBorders>
            <w:noWrap w:val="0"/>
            <w:vAlign w:val="center"/>
          </w:tcPr>
          <w:p w14:paraId="1355EBA5">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12</w:t>
            </w:r>
          </w:p>
        </w:tc>
        <w:tc>
          <w:tcPr>
            <w:tcW w:w="693" w:type="dxa"/>
            <w:tcBorders>
              <w:top w:val="single" w:color="auto" w:sz="4" w:space="0"/>
              <w:left w:val="single" w:color="auto" w:sz="4" w:space="0"/>
              <w:bottom w:val="single" w:color="auto" w:sz="4" w:space="0"/>
              <w:right w:val="single" w:color="auto" w:sz="4" w:space="0"/>
            </w:tcBorders>
            <w:noWrap w:val="0"/>
            <w:vAlign w:val="center"/>
          </w:tcPr>
          <w:p w14:paraId="49498CB3">
            <w:pPr>
              <w:jc w:val="left"/>
              <w:rPr>
                <w:rFonts w:hint="eastAsia" w:ascii="宋体" w:hAnsi="宋体" w:eastAsia="宋体" w:cs="宋体"/>
                <w:i w:val="0"/>
                <w:iCs w:val="0"/>
                <w:color w:val="auto"/>
                <w:sz w:val="20"/>
                <w:szCs w:val="20"/>
                <w:highlight w:val="none"/>
                <w:u w:val="none"/>
              </w:rPr>
            </w:pPr>
          </w:p>
        </w:tc>
      </w:tr>
      <w:tr w14:paraId="247B33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0" w:hRule="atLeast"/>
        </w:trPr>
        <w:tc>
          <w:tcPr>
            <w:tcW w:w="975" w:type="dxa"/>
            <w:tcBorders>
              <w:top w:val="single" w:color="auto" w:sz="4" w:space="0"/>
              <w:left w:val="single" w:color="auto" w:sz="4" w:space="0"/>
              <w:bottom w:val="single" w:color="auto" w:sz="4" w:space="0"/>
              <w:right w:val="single" w:color="auto" w:sz="4" w:space="0"/>
            </w:tcBorders>
            <w:noWrap w:val="0"/>
            <w:vAlign w:val="center"/>
          </w:tcPr>
          <w:p w14:paraId="5BD34442">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4</w:t>
            </w:r>
          </w:p>
        </w:tc>
        <w:tc>
          <w:tcPr>
            <w:tcW w:w="1083" w:type="dxa"/>
            <w:tcBorders>
              <w:top w:val="single" w:color="auto" w:sz="4" w:space="0"/>
              <w:left w:val="single" w:color="auto" w:sz="4" w:space="0"/>
              <w:bottom w:val="single" w:color="auto" w:sz="4" w:space="0"/>
              <w:right w:val="single" w:color="auto" w:sz="4" w:space="0"/>
            </w:tcBorders>
            <w:noWrap w:val="0"/>
            <w:vAlign w:val="center"/>
          </w:tcPr>
          <w:p w14:paraId="7BFC33CF">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粉煤灰</w:t>
            </w:r>
          </w:p>
        </w:tc>
        <w:tc>
          <w:tcPr>
            <w:tcW w:w="3067" w:type="dxa"/>
            <w:tcBorders>
              <w:top w:val="single" w:color="auto" w:sz="4" w:space="0"/>
              <w:left w:val="single" w:color="auto" w:sz="4" w:space="0"/>
              <w:bottom w:val="single" w:color="auto" w:sz="4" w:space="0"/>
              <w:right w:val="single" w:color="auto" w:sz="4" w:space="0"/>
            </w:tcBorders>
            <w:noWrap w:val="0"/>
            <w:vAlign w:val="center"/>
          </w:tcPr>
          <w:p w14:paraId="16FEF8B1">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细度，需水量比，烧失量，含水率，SO3 含量，CaO 含量，Cl-含量</w:t>
            </w:r>
          </w:p>
        </w:tc>
        <w:tc>
          <w:tcPr>
            <w:tcW w:w="693" w:type="dxa"/>
            <w:tcBorders>
              <w:top w:val="single" w:color="auto" w:sz="4" w:space="0"/>
              <w:left w:val="single" w:color="auto" w:sz="4" w:space="0"/>
              <w:bottom w:val="single" w:color="auto" w:sz="4" w:space="0"/>
              <w:right w:val="single" w:color="auto" w:sz="4" w:space="0"/>
            </w:tcBorders>
            <w:noWrap w:val="0"/>
            <w:vAlign w:val="center"/>
          </w:tcPr>
          <w:p w14:paraId="0DC2A6AA">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组</w:t>
            </w:r>
          </w:p>
        </w:tc>
        <w:tc>
          <w:tcPr>
            <w:tcW w:w="0" w:type="auto"/>
            <w:tcBorders>
              <w:top w:val="single" w:color="auto" w:sz="4" w:space="0"/>
              <w:left w:val="single" w:color="auto" w:sz="4" w:space="0"/>
              <w:bottom w:val="single" w:color="auto" w:sz="4" w:space="0"/>
              <w:right w:val="single" w:color="auto" w:sz="4" w:space="0"/>
            </w:tcBorders>
            <w:noWrap/>
            <w:vAlign w:val="center"/>
          </w:tcPr>
          <w:p w14:paraId="34BD6817">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12</w:t>
            </w:r>
          </w:p>
        </w:tc>
        <w:tc>
          <w:tcPr>
            <w:tcW w:w="693" w:type="dxa"/>
            <w:tcBorders>
              <w:top w:val="single" w:color="auto" w:sz="4" w:space="0"/>
              <w:left w:val="single" w:color="auto" w:sz="4" w:space="0"/>
              <w:bottom w:val="single" w:color="auto" w:sz="4" w:space="0"/>
              <w:right w:val="single" w:color="auto" w:sz="4" w:space="0"/>
            </w:tcBorders>
            <w:noWrap w:val="0"/>
            <w:vAlign w:val="center"/>
          </w:tcPr>
          <w:p w14:paraId="03DF102B">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12</w:t>
            </w:r>
          </w:p>
        </w:tc>
        <w:tc>
          <w:tcPr>
            <w:tcW w:w="693" w:type="dxa"/>
            <w:tcBorders>
              <w:top w:val="single" w:color="auto" w:sz="4" w:space="0"/>
              <w:left w:val="single" w:color="auto" w:sz="4" w:space="0"/>
              <w:bottom w:val="single" w:color="auto" w:sz="4" w:space="0"/>
              <w:right w:val="single" w:color="auto" w:sz="4" w:space="0"/>
            </w:tcBorders>
            <w:noWrap w:val="0"/>
            <w:vAlign w:val="center"/>
          </w:tcPr>
          <w:p w14:paraId="7DB500EC">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12</w:t>
            </w:r>
          </w:p>
        </w:tc>
        <w:tc>
          <w:tcPr>
            <w:tcW w:w="693" w:type="dxa"/>
            <w:tcBorders>
              <w:top w:val="single" w:color="auto" w:sz="4" w:space="0"/>
              <w:left w:val="single" w:color="auto" w:sz="4" w:space="0"/>
              <w:bottom w:val="single" w:color="auto" w:sz="4" w:space="0"/>
              <w:right w:val="single" w:color="auto" w:sz="4" w:space="0"/>
            </w:tcBorders>
            <w:noWrap w:val="0"/>
            <w:vAlign w:val="center"/>
          </w:tcPr>
          <w:p w14:paraId="4093F8B9">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12</w:t>
            </w:r>
          </w:p>
        </w:tc>
        <w:tc>
          <w:tcPr>
            <w:tcW w:w="693" w:type="dxa"/>
            <w:tcBorders>
              <w:top w:val="single" w:color="auto" w:sz="4" w:space="0"/>
              <w:left w:val="single" w:color="auto" w:sz="4" w:space="0"/>
              <w:bottom w:val="single" w:color="auto" w:sz="4" w:space="0"/>
              <w:right w:val="single" w:color="auto" w:sz="4" w:space="0"/>
            </w:tcBorders>
            <w:noWrap w:val="0"/>
            <w:vAlign w:val="center"/>
          </w:tcPr>
          <w:p w14:paraId="3502CD29">
            <w:pPr>
              <w:jc w:val="left"/>
              <w:rPr>
                <w:rFonts w:hint="eastAsia" w:ascii="宋体" w:hAnsi="宋体" w:eastAsia="宋体" w:cs="宋体"/>
                <w:i w:val="0"/>
                <w:iCs w:val="0"/>
                <w:color w:val="auto"/>
                <w:sz w:val="20"/>
                <w:szCs w:val="20"/>
                <w:highlight w:val="none"/>
                <w:u w:val="none"/>
              </w:rPr>
            </w:pPr>
          </w:p>
        </w:tc>
      </w:tr>
      <w:tr w14:paraId="36917B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0" w:hRule="atLeast"/>
        </w:trPr>
        <w:tc>
          <w:tcPr>
            <w:tcW w:w="975" w:type="dxa"/>
            <w:tcBorders>
              <w:top w:val="single" w:color="auto" w:sz="4" w:space="0"/>
              <w:left w:val="single" w:color="auto" w:sz="4" w:space="0"/>
              <w:bottom w:val="single" w:color="auto" w:sz="4" w:space="0"/>
              <w:right w:val="single" w:color="auto" w:sz="4" w:space="0"/>
            </w:tcBorders>
            <w:noWrap w:val="0"/>
            <w:vAlign w:val="center"/>
          </w:tcPr>
          <w:p w14:paraId="18009577">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5</w:t>
            </w:r>
          </w:p>
        </w:tc>
        <w:tc>
          <w:tcPr>
            <w:tcW w:w="1083" w:type="dxa"/>
            <w:tcBorders>
              <w:top w:val="single" w:color="auto" w:sz="4" w:space="0"/>
              <w:left w:val="single" w:color="auto" w:sz="4" w:space="0"/>
              <w:bottom w:val="single" w:color="auto" w:sz="4" w:space="0"/>
              <w:right w:val="single" w:color="auto" w:sz="4" w:space="0"/>
            </w:tcBorders>
            <w:noWrap w:val="0"/>
            <w:vAlign w:val="center"/>
          </w:tcPr>
          <w:p w14:paraId="24FF563E">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水</w:t>
            </w:r>
          </w:p>
        </w:tc>
        <w:tc>
          <w:tcPr>
            <w:tcW w:w="3067" w:type="dxa"/>
            <w:tcBorders>
              <w:top w:val="single" w:color="auto" w:sz="4" w:space="0"/>
              <w:left w:val="single" w:color="auto" w:sz="4" w:space="0"/>
              <w:bottom w:val="single" w:color="auto" w:sz="4" w:space="0"/>
              <w:right w:val="single" w:color="auto" w:sz="4" w:space="0"/>
            </w:tcBorders>
            <w:noWrap w:val="0"/>
            <w:vAlign w:val="center"/>
          </w:tcPr>
          <w:p w14:paraId="1D421DBD">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pH 值，不溶物含量，可溶物含量，氯化物含量，硫 酸盐含量，碱含量</w:t>
            </w:r>
          </w:p>
        </w:tc>
        <w:tc>
          <w:tcPr>
            <w:tcW w:w="693" w:type="dxa"/>
            <w:tcBorders>
              <w:top w:val="single" w:color="auto" w:sz="4" w:space="0"/>
              <w:left w:val="single" w:color="auto" w:sz="4" w:space="0"/>
              <w:bottom w:val="single" w:color="auto" w:sz="4" w:space="0"/>
              <w:right w:val="single" w:color="auto" w:sz="4" w:space="0"/>
            </w:tcBorders>
            <w:noWrap w:val="0"/>
            <w:vAlign w:val="center"/>
          </w:tcPr>
          <w:p w14:paraId="3FE838D1">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组</w:t>
            </w:r>
          </w:p>
        </w:tc>
        <w:tc>
          <w:tcPr>
            <w:tcW w:w="0" w:type="auto"/>
            <w:tcBorders>
              <w:top w:val="single" w:color="auto" w:sz="4" w:space="0"/>
              <w:left w:val="single" w:color="auto" w:sz="4" w:space="0"/>
              <w:bottom w:val="single" w:color="auto" w:sz="4" w:space="0"/>
              <w:right w:val="single" w:color="auto" w:sz="4" w:space="0"/>
            </w:tcBorders>
            <w:noWrap/>
            <w:vAlign w:val="center"/>
          </w:tcPr>
          <w:p w14:paraId="5378D465">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4</w:t>
            </w:r>
          </w:p>
        </w:tc>
        <w:tc>
          <w:tcPr>
            <w:tcW w:w="693" w:type="dxa"/>
            <w:tcBorders>
              <w:top w:val="single" w:color="auto" w:sz="4" w:space="0"/>
              <w:left w:val="single" w:color="auto" w:sz="4" w:space="0"/>
              <w:bottom w:val="single" w:color="auto" w:sz="4" w:space="0"/>
              <w:right w:val="single" w:color="auto" w:sz="4" w:space="0"/>
            </w:tcBorders>
            <w:noWrap w:val="0"/>
            <w:vAlign w:val="center"/>
          </w:tcPr>
          <w:p w14:paraId="2559C109">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4</w:t>
            </w:r>
          </w:p>
        </w:tc>
        <w:tc>
          <w:tcPr>
            <w:tcW w:w="693" w:type="dxa"/>
            <w:tcBorders>
              <w:top w:val="single" w:color="auto" w:sz="4" w:space="0"/>
              <w:left w:val="single" w:color="auto" w:sz="4" w:space="0"/>
              <w:bottom w:val="single" w:color="auto" w:sz="4" w:space="0"/>
              <w:right w:val="single" w:color="auto" w:sz="4" w:space="0"/>
            </w:tcBorders>
            <w:noWrap w:val="0"/>
            <w:vAlign w:val="center"/>
          </w:tcPr>
          <w:p w14:paraId="68F609F2">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4</w:t>
            </w:r>
          </w:p>
        </w:tc>
        <w:tc>
          <w:tcPr>
            <w:tcW w:w="693" w:type="dxa"/>
            <w:tcBorders>
              <w:top w:val="single" w:color="auto" w:sz="4" w:space="0"/>
              <w:left w:val="single" w:color="auto" w:sz="4" w:space="0"/>
              <w:bottom w:val="single" w:color="auto" w:sz="4" w:space="0"/>
              <w:right w:val="single" w:color="auto" w:sz="4" w:space="0"/>
            </w:tcBorders>
            <w:noWrap w:val="0"/>
            <w:vAlign w:val="center"/>
          </w:tcPr>
          <w:p w14:paraId="3A76D2B5">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4</w:t>
            </w:r>
          </w:p>
        </w:tc>
        <w:tc>
          <w:tcPr>
            <w:tcW w:w="693" w:type="dxa"/>
            <w:tcBorders>
              <w:top w:val="single" w:color="auto" w:sz="4" w:space="0"/>
              <w:left w:val="single" w:color="auto" w:sz="4" w:space="0"/>
              <w:bottom w:val="single" w:color="auto" w:sz="4" w:space="0"/>
              <w:right w:val="single" w:color="auto" w:sz="4" w:space="0"/>
            </w:tcBorders>
            <w:noWrap w:val="0"/>
            <w:vAlign w:val="center"/>
          </w:tcPr>
          <w:p w14:paraId="4FE5143E">
            <w:pPr>
              <w:jc w:val="left"/>
              <w:rPr>
                <w:rFonts w:hint="eastAsia" w:ascii="宋体" w:hAnsi="宋体" w:eastAsia="宋体" w:cs="宋体"/>
                <w:i w:val="0"/>
                <w:iCs w:val="0"/>
                <w:color w:val="auto"/>
                <w:sz w:val="20"/>
                <w:szCs w:val="20"/>
                <w:highlight w:val="none"/>
                <w:u w:val="none"/>
              </w:rPr>
            </w:pPr>
          </w:p>
        </w:tc>
      </w:tr>
      <w:tr w14:paraId="5B8120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0" w:hRule="atLeast"/>
        </w:trPr>
        <w:tc>
          <w:tcPr>
            <w:tcW w:w="975" w:type="dxa"/>
            <w:tcBorders>
              <w:top w:val="single" w:color="auto" w:sz="4" w:space="0"/>
              <w:left w:val="single" w:color="auto" w:sz="4" w:space="0"/>
              <w:bottom w:val="single" w:color="auto" w:sz="4" w:space="0"/>
              <w:right w:val="single" w:color="auto" w:sz="4" w:space="0"/>
            </w:tcBorders>
            <w:noWrap w:val="0"/>
            <w:vAlign w:val="center"/>
          </w:tcPr>
          <w:p w14:paraId="11D80E64">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6</w:t>
            </w:r>
          </w:p>
        </w:tc>
        <w:tc>
          <w:tcPr>
            <w:tcW w:w="1083" w:type="dxa"/>
            <w:tcBorders>
              <w:top w:val="single" w:color="auto" w:sz="4" w:space="0"/>
              <w:left w:val="single" w:color="auto" w:sz="4" w:space="0"/>
              <w:bottom w:val="single" w:color="auto" w:sz="4" w:space="0"/>
              <w:right w:val="single" w:color="auto" w:sz="4" w:space="0"/>
            </w:tcBorders>
            <w:noWrap w:val="0"/>
            <w:vAlign w:val="center"/>
          </w:tcPr>
          <w:p w14:paraId="3469A5E7">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矿粉</w:t>
            </w:r>
          </w:p>
        </w:tc>
        <w:tc>
          <w:tcPr>
            <w:tcW w:w="3067" w:type="dxa"/>
            <w:tcBorders>
              <w:top w:val="single" w:color="auto" w:sz="4" w:space="0"/>
              <w:left w:val="single" w:color="auto" w:sz="4" w:space="0"/>
              <w:bottom w:val="single" w:color="auto" w:sz="4" w:space="0"/>
              <w:right w:val="single" w:color="auto" w:sz="4" w:space="0"/>
            </w:tcBorders>
            <w:noWrap w:val="0"/>
            <w:vAlign w:val="center"/>
          </w:tcPr>
          <w:p w14:paraId="1B5C344E">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密度，比表面积，流动度比，安定性，含水量，氯 离子，烧失量</w:t>
            </w:r>
          </w:p>
        </w:tc>
        <w:tc>
          <w:tcPr>
            <w:tcW w:w="693" w:type="dxa"/>
            <w:tcBorders>
              <w:top w:val="single" w:color="auto" w:sz="4" w:space="0"/>
              <w:left w:val="single" w:color="auto" w:sz="4" w:space="0"/>
              <w:bottom w:val="single" w:color="auto" w:sz="4" w:space="0"/>
              <w:right w:val="single" w:color="auto" w:sz="4" w:space="0"/>
            </w:tcBorders>
            <w:noWrap w:val="0"/>
            <w:vAlign w:val="center"/>
          </w:tcPr>
          <w:p w14:paraId="27FFA249">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组</w:t>
            </w:r>
          </w:p>
        </w:tc>
        <w:tc>
          <w:tcPr>
            <w:tcW w:w="0" w:type="auto"/>
            <w:tcBorders>
              <w:top w:val="single" w:color="auto" w:sz="4" w:space="0"/>
              <w:left w:val="single" w:color="auto" w:sz="4" w:space="0"/>
              <w:bottom w:val="single" w:color="auto" w:sz="4" w:space="0"/>
              <w:right w:val="single" w:color="auto" w:sz="4" w:space="0"/>
            </w:tcBorders>
            <w:noWrap/>
            <w:vAlign w:val="center"/>
          </w:tcPr>
          <w:p w14:paraId="5321938F">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12</w:t>
            </w:r>
          </w:p>
        </w:tc>
        <w:tc>
          <w:tcPr>
            <w:tcW w:w="693" w:type="dxa"/>
            <w:tcBorders>
              <w:top w:val="single" w:color="auto" w:sz="4" w:space="0"/>
              <w:left w:val="single" w:color="auto" w:sz="4" w:space="0"/>
              <w:bottom w:val="single" w:color="auto" w:sz="4" w:space="0"/>
              <w:right w:val="single" w:color="auto" w:sz="4" w:space="0"/>
            </w:tcBorders>
            <w:noWrap w:val="0"/>
            <w:vAlign w:val="center"/>
          </w:tcPr>
          <w:p w14:paraId="403EA380">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12</w:t>
            </w:r>
          </w:p>
        </w:tc>
        <w:tc>
          <w:tcPr>
            <w:tcW w:w="693" w:type="dxa"/>
            <w:tcBorders>
              <w:top w:val="single" w:color="auto" w:sz="4" w:space="0"/>
              <w:left w:val="single" w:color="auto" w:sz="4" w:space="0"/>
              <w:bottom w:val="single" w:color="auto" w:sz="4" w:space="0"/>
              <w:right w:val="single" w:color="auto" w:sz="4" w:space="0"/>
            </w:tcBorders>
            <w:noWrap w:val="0"/>
            <w:vAlign w:val="center"/>
          </w:tcPr>
          <w:p w14:paraId="47B5D56A">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12</w:t>
            </w:r>
          </w:p>
        </w:tc>
        <w:tc>
          <w:tcPr>
            <w:tcW w:w="693" w:type="dxa"/>
            <w:tcBorders>
              <w:top w:val="single" w:color="auto" w:sz="4" w:space="0"/>
              <w:left w:val="single" w:color="auto" w:sz="4" w:space="0"/>
              <w:bottom w:val="single" w:color="auto" w:sz="4" w:space="0"/>
              <w:right w:val="single" w:color="auto" w:sz="4" w:space="0"/>
            </w:tcBorders>
            <w:noWrap w:val="0"/>
            <w:vAlign w:val="center"/>
          </w:tcPr>
          <w:p w14:paraId="4E74048D">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12</w:t>
            </w:r>
          </w:p>
        </w:tc>
        <w:tc>
          <w:tcPr>
            <w:tcW w:w="693" w:type="dxa"/>
            <w:tcBorders>
              <w:top w:val="single" w:color="auto" w:sz="4" w:space="0"/>
              <w:left w:val="single" w:color="auto" w:sz="4" w:space="0"/>
              <w:bottom w:val="single" w:color="auto" w:sz="4" w:space="0"/>
              <w:right w:val="single" w:color="auto" w:sz="4" w:space="0"/>
            </w:tcBorders>
            <w:noWrap w:val="0"/>
            <w:vAlign w:val="center"/>
          </w:tcPr>
          <w:p w14:paraId="48845C56">
            <w:pPr>
              <w:jc w:val="left"/>
              <w:rPr>
                <w:rFonts w:hint="eastAsia" w:ascii="宋体" w:hAnsi="宋体" w:eastAsia="宋体" w:cs="宋体"/>
                <w:i w:val="0"/>
                <w:iCs w:val="0"/>
                <w:color w:val="auto"/>
                <w:sz w:val="20"/>
                <w:szCs w:val="20"/>
                <w:highlight w:val="none"/>
                <w:u w:val="none"/>
              </w:rPr>
            </w:pPr>
          </w:p>
        </w:tc>
      </w:tr>
      <w:tr w14:paraId="04E0AE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0" w:hRule="atLeast"/>
        </w:trPr>
        <w:tc>
          <w:tcPr>
            <w:tcW w:w="975" w:type="dxa"/>
            <w:tcBorders>
              <w:top w:val="single" w:color="auto" w:sz="4" w:space="0"/>
              <w:left w:val="single" w:color="auto" w:sz="4" w:space="0"/>
              <w:bottom w:val="single" w:color="auto" w:sz="4" w:space="0"/>
              <w:right w:val="single" w:color="auto" w:sz="4" w:space="0"/>
            </w:tcBorders>
            <w:noWrap w:val="0"/>
            <w:vAlign w:val="center"/>
          </w:tcPr>
          <w:p w14:paraId="0C08FC67">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7</w:t>
            </w:r>
          </w:p>
        </w:tc>
        <w:tc>
          <w:tcPr>
            <w:tcW w:w="1083" w:type="dxa"/>
            <w:tcBorders>
              <w:top w:val="single" w:color="auto" w:sz="4" w:space="0"/>
              <w:left w:val="single" w:color="auto" w:sz="4" w:space="0"/>
              <w:bottom w:val="single" w:color="auto" w:sz="4" w:space="0"/>
              <w:right w:val="single" w:color="auto" w:sz="4" w:space="0"/>
            </w:tcBorders>
            <w:noWrap w:val="0"/>
            <w:vAlign w:val="center"/>
          </w:tcPr>
          <w:p w14:paraId="399354B5">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减水剂</w:t>
            </w:r>
          </w:p>
        </w:tc>
        <w:tc>
          <w:tcPr>
            <w:tcW w:w="3067" w:type="dxa"/>
            <w:tcBorders>
              <w:top w:val="single" w:color="auto" w:sz="4" w:space="0"/>
              <w:left w:val="single" w:color="auto" w:sz="4" w:space="0"/>
              <w:bottom w:val="single" w:color="auto" w:sz="4" w:space="0"/>
              <w:right w:val="single" w:color="auto" w:sz="4" w:space="0"/>
            </w:tcBorders>
            <w:noWrap w:val="0"/>
            <w:vAlign w:val="center"/>
          </w:tcPr>
          <w:p w14:paraId="0734E58C">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减水率，含气量，泌水率比，压力泌水率比，抗压 强度比</w:t>
            </w:r>
          </w:p>
        </w:tc>
        <w:tc>
          <w:tcPr>
            <w:tcW w:w="693" w:type="dxa"/>
            <w:tcBorders>
              <w:top w:val="single" w:color="auto" w:sz="4" w:space="0"/>
              <w:left w:val="single" w:color="auto" w:sz="4" w:space="0"/>
              <w:bottom w:val="single" w:color="auto" w:sz="4" w:space="0"/>
              <w:right w:val="single" w:color="auto" w:sz="4" w:space="0"/>
            </w:tcBorders>
            <w:noWrap w:val="0"/>
            <w:vAlign w:val="center"/>
          </w:tcPr>
          <w:p w14:paraId="22FE2217">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组</w:t>
            </w:r>
          </w:p>
        </w:tc>
        <w:tc>
          <w:tcPr>
            <w:tcW w:w="0" w:type="auto"/>
            <w:tcBorders>
              <w:top w:val="single" w:color="auto" w:sz="4" w:space="0"/>
              <w:left w:val="single" w:color="auto" w:sz="4" w:space="0"/>
              <w:bottom w:val="single" w:color="auto" w:sz="4" w:space="0"/>
              <w:right w:val="single" w:color="auto" w:sz="4" w:space="0"/>
            </w:tcBorders>
            <w:noWrap/>
            <w:vAlign w:val="center"/>
          </w:tcPr>
          <w:p w14:paraId="6CD2C6EA">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12</w:t>
            </w:r>
          </w:p>
        </w:tc>
        <w:tc>
          <w:tcPr>
            <w:tcW w:w="693" w:type="dxa"/>
            <w:tcBorders>
              <w:top w:val="single" w:color="auto" w:sz="4" w:space="0"/>
              <w:left w:val="single" w:color="auto" w:sz="4" w:space="0"/>
              <w:bottom w:val="single" w:color="auto" w:sz="4" w:space="0"/>
              <w:right w:val="single" w:color="auto" w:sz="4" w:space="0"/>
            </w:tcBorders>
            <w:noWrap w:val="0"/>
            <w:vAlign w:val="center"/>
          </w:tcPr>
          <w:p w14:paraId="38AF759F">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12</w:t>
            </w:r>
          </w:p>
        </w:tc>
        <w:tc>
          <w:tcPr>
            <w:tcW w:w="693" w:type="dxa"/>
            <w:tcBorders>
              <w:top w:val="single" w:color="auto" w:sz="4" w:space="0"/>
              <w:left w:val="single" w:color="auto" w:sz="4" w:space="0"/>
              <w:bottom w:val="single" w:color="auto" w:sz="4" w:space="0"/>
              <w:right w:val="single" w:color="auto" w:sz="4" w:space="0"/>
            </w:tcBorders>
            <w:noWrap w:val="0"/>
            <w:vAlign w:val="center"/>
          </w:tcPr>
          <w:p w14:paraId="1983A0A6">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12</w:t>
            </w:r>
          </w:p>
        </w:tc>
        <w:tc>
          <w:tcPr>
            <w:tcW w:w="693" w:type="dxa"/>
            <w:tcBorders>
              <w:top w:val="single" w:color="auto" w:sz="4" w:space="0"/>
              <w:left w:val="single" w:color="auto" w:sz="4" w:space="0"/>
              <w:bottom w:val="single" w:color="auto" w:sz="4" w:space="0"/>
              <w:right w:val="single" w:color="auto" w:sz="4" w:space="0"/>
            </w:tcBorders>
            <w:noWrap w:val="0"/>
            <w:vAlign w:val="center"/>
          </w:tcPr>
          <w:p w14:paraId="57BB5FC3">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12</w:t>
            </w:r>
          </w:p>
        </w:tc>
        <w:tc>
          <w:tcPr>
            <w:tcW w:w="693" w:type="dxa"/>
            <w:tcBorders>
              <w:top w:val="single" w:color="auto" w:sz="4" w:space="0"/>
              <w:left w:val="single" w:color="auto" w:sz="4" w:space="0"/>
              <w:bottom w:val="single" w:color="auto" w:sz="4" w:space="0"/>
              <w:right w:val="single" w:color="auto" w:sz="4" w:space="0"/>
            </w:tcBorders>
            <w:noWrap w:val="0"/>
            <w:vAlign w:val="center"/>
          </w:tcPr>
          <w:p w14:paraId="436A0F32">
            <w:pPr>
              <w:jc w:val="left"/>
              <w:rPr>
                <w:rFonts w:hint="eastAsia" w:ascii="宋体" w:hAnsi="宋体" w:eastAsia="宋体" w:cs="宋体"/>
                <w:i w:val="0"/>
                <w:iCs w:val="0"/>
                <w:color w:val="auto"/>
                <w:sz w:val="20"/>
                <w:szCs w:val="20"/>
                <w:highlight w:val="none"/>
                <w:u w:val="none"/>
              </w:rPr>
            </w:pPr>
          </w:p>
        </w:tc>
      </w:tr>
      <w:tr w14:paraId="74821B4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0" w:hRule="atLeast"/>
        </w:trPr>
        <w:tc>
          <w:tcPr>
            <w:tcW w:w="975" w:type="dxa"/>
            <w:tcBorders>
              <w:top w:val="single" w:color="auto" w:sz="4" w:space="0"/>
              <w:left w:val="single" w:color="auto" w:sz="4" w:space="0"/>
              <w:bottom w:val="single" w:color="auto" w:sz="4" w:space="0"/>
              <w:right w:val="single" w:color="auto" w:sz="4" w:space="0"/>
            </w:tcBorders>
            <w:noWrap w:val="0"/>
            <w:vAlign w:val="center"/>
          </w:tcPr>
          <w:p w14:paraId="799A0DA6">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8</w:t>
            </w:r>
          </w:p>
        </w:tc>
        <w:tc>
          <w:tcPr>
            <w:tcW w:w="1083" w:type="dxa"/>
            <w:tcBorders>
              <w:top w:val="single" w:color="auto" w:sz="4" w:space="0"/>
              <w:left w:val="single" w:color="auto" w:sz="4" w:space="0"/>
              <w:bottom w:val="single" w:color="auto" w:sz="4" w:space="0"/>
              <w:right w:val="single" w:color="auto" w:sz="4" w:space="0"/>
            </w:tcBorders>
            <w:noWrap w:val="0"/>
            <w:vAlign w:val="center"/>
          </w:tcPr>
          <w:p w14:paraId="5C9B7BE9">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速凝剂</w:t>
            </w:r>
          </w:p>
        </w:tc>
        <w:tc>
          <w:tcPr>
            <w:tcW w:w="3067" w:type="dxa"/>
            <w:tcBorders>
              <w:top w:val="single" w:color="auto" w:sz="4" w:space="0"/>
              <w:left w:val="single" w:color="auto" w:sz="4" w:space="0"/>
              <w:bottom w:val="single" w:color="auto" w:sz="4" w:space="0"/>
              <w:right w:val="single" w:color="auto" w:sz="4" w:space="0"/>
            </w:tcBorders>
            <w:noWrap w:val="0"/>
            <w:vAlign w:val="center"/>
          </w:tcPr>
          <w:p w14:paraId="50A19BB8">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含固量（液体），ph 值（液体），细度（粉体）， 氯离子含量，总碱量，凝结时间，抗压强度比</w:t>
            </w:r>
          </w:p>
        </w:tc>
        <w:tc>
          <w:tcPr>
            <w:tcW w:w="693" w:type="dxa"/>
            <w:tcBorders>
              <w:top w:val="single" w:color="auto" w:sz="4" w:space="0"/>
              <w:left w:val="single" w:color="auto" w:sz="4" w:space="0"/>
              <w:bottom w:val="single" w:color="auto" w:sz="4" w:space="0"/>
              <w:right w:val="single" w:color="auto" w:sz="4" w:space="0"/>
            </w:tcBorders>
            <w:noWrap w:val="0"/>
            <w:vAlign w:val="center"/>
          </w:tcPr>
          <w:p w14:paraId="26EC05FC">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组</w:t>
            </w:r>
          </w:p>
        </w:tc>
        <w:tc>
          <w:tcPr>
            <w:tcW w:w="0" w:type="auto"/>
            <w:tcBorders>
              <w:top w:val="single" w:color="auto" w:sz="4" w:space="0"/>
              <w:left w:val="single" w:color="auto" w:sz="4" w:space="0"/>
              <w:bottom w:val="single" w:color="auto" w:sz="4" w:space="0"/>
              <w:right w:val="single" w:color="auto" w:sz="4" w:space="0"/>
            </w:tcBorders>
            <w:noWrap/>
            <w:vAlign w:val="center"/>
          </w:tcPr>
          <w:p w14:paraId="137F7D97">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12</w:t>
            </w:r>
          </w:p>
        </w:tc>
        <w:tc>
          <w:tcPr>
            <w:tcW w:w="693" w:type="dxa"/>
            <w:tcBorders>
              <w:top w:val="single" w:color="auto" w:sz="4" w:space="0"/>
              <w:left w:val="single" w:color="auto" w:sz="4" w:space="0"/>
              <w:bottom w:val="single" w:color="auto" w:sz="4" w:space="0"/>
              <w:right w:val="single" w:color="auto" w:sz="4" w:space="0"/>
            </w:tcBorders>
            <w:noWrap w:val="0"/>
            <w:vAlign w:val="center"/>
          </w:tcPr>
          <w:p w14:paraId="705ACFD3">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12</w:t>
            </w:r>
          </w:p>
        </w:tc>
        <w:tc>
          <w:tcPr>
            <w:tcW w:w="693" w:type="dxa"/>
            <w:tcBorders>
              <w:top w:val="single" w:color="auto" w:sz="4" w:space="0"/>
              <w:left w:val="single" w:color="auto" w:sz="4" w:space="0"/>
              <w:bottom w:val="single" w:color="auto" w:sz="4" w:space="0"/>
              <w:right w:val="single" w:color="auto" w:sz="4" w:space="0"/>
            </w:tcBorders>
            <w:noWrap w:val="0"/>
            <w:vAlign w:val="center"/>
          </w:tcPr>
          <w:p w14:paraId="68951F61">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12</w:t>
            </w:r>
          </w:p>
        </w:tc>
        <w:tc>
          <w:tcPr>
            <w:tcW w:w="693" w:type="dxa"/>
            <w:tcBorders>
              <w:top w:val="single" w:color="auto" w:sz="4" w:space="0"/>
              <w:left w:val="single" w:color="auto" w:sz="4" w:space="0"/>
              <w:bottom w:val="single" w:color="auto" w:sz="4" w:space="0"/>
              <w:right w:val="single" w:color="auto" w:sz="4" w:space="0"/>
            </w:tcBorders>
            <w:noWrap w:val="0"/>
            <w:vAlign w:val="center"/>
          </w:tcPr>
          <w:p w14:paraId="148B8D50">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12</w:t>
            </w:r>
          </w:p>
        </w:tc>
        <w:tc>
          <w:tcPr>
            <w:tcW w:w="693" w:type="dxa"/>
            <w:tcBorders>
              <w:top w:val="single" w:color="auto" w:sz="4" w:space="0"/>
              <w:left w:val="single" w:color="auto" w:sz="4" w:space="0"/>
              <w:bottom w:val="single" w:color="auto" w:sz="4" w:space="0"/>
              <w:right w:val="single" w:color="auto" w:sz="4" w:space="0"/>
            </w:tcBorders>
            <w:noWrap w:val="0"/>
            <w:vAlign w:val="center"/>
          </w:tcPr>
          <w:p w14:paraId="15A3E8B7">
            <w:pPr>
              <w:jc w:val="left"/>
              <w:rPr>
                <w:rFonts w:hint="eastAsia" w:ascii="宋体" w:hAnsi="宋体" w:eastAsia="宋体" w:cs="宋体"/>
                <w:i w:val="0"/>
                <w:iCs w:val="0"/>
                <w:color w:val="auto"/>
                <w:sz w:val="20"/>
                <w:szCs w:val="20"/>
                <w:highlight w:val="none"/>
                <w:u w:val="none"/>
              </w:rPr>
            </w:pPr>
          </w:p>
        </w:tc>
      </w:tr>
      <w:tr w14:paraId="11DE66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0" w:hRule="atLeast"/>
        </w:trPr>
        <w:tc>
          <w:tcPr>
            <w:tcW w:w="975" w:type="dxa"/>
            <w:tcBorders>
              <w:top w:val="single" w:color="auto" w:sz="4" w:space="0"/>
              <w:left w:val="single" w:color="auto" w:sz="4" w:space="0"/>
              <w:bottom w:val="single" w:color="auto" w:sz="4" w:space="0"/>
              <w:right w:val="single" w:color="auto" w:sz="4" w:space="0"/>
            </w:tcBorders>
            <w:noWrap w:val="0"/>
            <w:vAlign w:val="center"/>
          </w:tcPr>
          <w:p w14:paraId="28992D8E">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9</w:t>
            </w:r>
          </w:p>
        </w:tc>
        <w:tc>
          <w:tcPr>
            <w:tcW w:w="1083" w:type="dxa"/>
            <w:tcBorders>
              <w:top w:val="single" w:color="auto" w:sz="4" w:space="0"/>
              <w:left w:val="single" w:color="auto" w:sz="4" w:space="0"/>
              <w:bottom w:val="single" w:color="auto" w:sz="4" w:space="0"/>
              <w:right w:val="single" w:color="auto" w:sz="4" w:space="0"/>
            </w:tcBorders>
            <w:noWrap w:val="0"/>
            <w:vAlign w:val="center"/>
          </w:tcPr>
          <w:p w14:paraId="73DA9873">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钢筋</w:t>
            </w:r>
          </w:p>
        </w:tc>
        <w:tc>
          <w:tcPr>
            <w:tcW w:w="3067" w:type="dxa"/>
            <w:tcBorders>
              <w:top w:val="single" w:color="auto" w:sz="4" w:space="0"/>
              <w:left w:val="single" w:color="auto" w:sz="4" w:space="0"/>
              <w:bottom w:val="single" w:color="auto" w:sz="4" w:space="0"/>
              <w:right w:val="single" w:color="auto" w:sz="4" w:space="0"/>
            </w:tcBorders>
            <w:noWrap w:val="0"/>
            <w:vAlign w:val="center"/>
          </w:tcPr>
          <w:p w14:paraId="2B7012C6">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拉伸性能、屈服强度、伸长率，冷弯性能，重量偏差</w:t>
            </w:r>
          </w:p>
        </w:tc>
        <w:tc>
          <w:tcPr>
            <w:tcW w:w="693" w:type="dxa"/>
            <w:tcBorders>
              <w:top w:val="single" w:color="auto" w:sz="4" w:space="0"/>
              <w:left w:val="single" w:color="auto" w:sz="4" w:space="0"/>
              <w:bottom w:val="single" w:color="auto" w:sz="4" w:space="0"/>
              <w:right w:val="single" w:color="auto" w:sz="4" w:space="0"/>
            </w:tcBorders>
            <w:noWrap w:val="0"/>
            <w:vAlign w:val="center"/>
          </w:tcPr>
          <w:p w14:paraId="3BA1344C">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组</w:t>
            </w:r>
          </w:p>
        </w:tc>
        <w:tc>
          <w:tcPr>
            <w:tcW w:w="0" w:type="auto"/>
            <w:tcBorders>
              <w:top w:val="single" w:color="auto" w:sz="4" w:space="0"/>
              <w:left w:val="single" w:color="auto" w:sz="4" w:space="0"/>
              <w:bottom w:val="single" w:color="auto" w:sz="4" w:space="0"/>
              <w:right w:val="single" w:color="auto" w:sz="4" w:space="0"/>
            </w:tcBorders>
            <w:noWrap/>
            <w:vAlign w:val="center"/>
          </w:tcPr>
          <w:p w14:paraId="362DFA1B">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12</w:t>
            </w:r>
          </w:p>
        </w:tc>
        <w:tc>
          <w:tcPr>
            <w:tcW w:w="693" w:type="dxa"/>
            <w:tcBorders>
              <w:top w:val="single" w:color="auto" w:sz="4" w:space="0"/>
              <w:left w:val="single" w:color="auto" w:sz="4" w:space="0"/>
              <w:bottom w:val="single" w:color="auto" w:sz="4" w:space="0"/>
              <w:right w:val="single" w:color="auto" w:sz="4" w:space="0"/>
            </w:tcBorders>
            <w:noWrap w:val="0"/>
            <w:vAlign w:val="center"/>
          </w:tcPr>
          <w:p w14:paraId="04C7926F">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12</w:t>
            </w:r>
          </w:p>
        </w:tc>
        <w:tc>
          <w:tcPr>
            <w:tcW w:w="693" w:type="dxa"/>
            <w:tcBorders>
              <w:top w:val="single" w:color="auto" w:sz="4" w:space="0"/>
              <w:left w:val="single" w:color="auto" w:sz="4" w:space="0"/>
              <w:bottom w:val="single" w:color="auto" w:sz="4" w:space="0"/>
              <w:right w:val="single" w:color="auto" w:sz="4" w:space="0"/>
            </w:tcBorders>
            <w:noWrap w:val="0"/>
            <w:vAlign w:val="center"/>
          </w:tcPr>
          <w:p w14:paraId="2CA7BF8D">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12</w:t>
            </w:r>
          </w:p>
        </w:tc>
        <w:tc>
          <w:tcPr>
            <w:tcW w:w="693" w:type="dxa"/>
            <w:tcBorders>
              <w:top w:val="single" w:color="auto" w:sz="4" w:space="0"/>
              <w:left w:val="single" w:color="auto" w:sz="4" w:space="0"/>
              <w:bottom w:val="single" w:color="auto" w:sz="4" w:space="0"/>
              <w:right w:val="single" w:color="auto" w:sz="4" w:space="0"/>
            </w:tcBorders>
            <w:noWrap w:val="0"/>
            <w:vAlign w:val="center"/>
          </w:tcPr>
          <w:p w14:paraId="7D6B0EA0">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12</w:t>
            </w:r>
          </w:p>
        </w:tc>
        <w:tc>
          <w:tcPr>
            <w:tcW w:w="693" w:type="dxa"/>
            <w:tcBorders>
              <w:top w:val="single" w:color="auto" w:sz="4" w:space="0"/>
              <w:left w:val="single" w:color="auto" w:sz="4" w:space="0"/>
              <w:bottom w:val="single" w:color="auto" w:sz="4" w:space="0"/>
              <w:right w:val="single" w:color="auto" w:sz="4" w:space="0"/>
            </w:tcBorders>
            <w:noWrap w:val="0"/>
            <w:vAlign w:val="center"/>
          </w:tcPr>
          <w:p w14:paraId="1D685F8A">
            <w:pPr>
              <w:jc w:val="left"/>
              <w:rPr>
                <w:rFonts w:hint="eastAsia" w:ascii="宋体" w:hAnsi="宋体" w:eastAsia="宋体" w:cs="宋体"/>
                <w:i w:val="0"/>
                <w:iCs w:val="0"/>
                <w:color w:val="auto"/>
                <w:sz w:val="20"/>
                <w:szCs w:val="20"/>
                <w:highlight w:val="none"/>
                <w:u w:val="none"/>
              </w:rPr>
            </w:pPr>
          </w:p>
        </w:tc>
      </w:tr>
      <w:tr w14:paraId="0251903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0" w:hRule="atLeast"/>
        </w:trPr>
        <w:tc>
          <w:tcPr>
            <w:tcW w:w="975" w:type="dxa"/>
            <w:tcBorders>
              <w:top w:val="single" w:color="auto" w:sz="4" w:space="0"/>
              <w:left w:val="single" w:color="auto" w:sz="4" w:space="0"/>
              <w:bottom w:val="single" w:color="auto" w:sz="4" w:space="0"/>
              <w:right w:val="single" w:color="auto" w:sz="4" w:space="0"/>
            </w:tcBorders>
            <w:noWrap w:val="0"/>
            <w:vAlign w:val="center"/>
          </w:tcPr>
          <w:p w14:paraId="6141DD7F">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10</w:t>
            </w:r>
          </w:p>
        </w:tc>
        <w:tc>
          <w:tcPr>
            <w:tcW w:w="1083" w:type="dxa"/>
            <w:tcBorders>
              <w:top w:val="single" w:color="auto" w:sz="4" w:space="0"/>
              <w:left w:val="single" w:color="auto" w:sz="4" w:space="0"/>
              <w:bottom w:val="single" w:color="auto" w:sz="4" w:space="0"/>
              <w:right w:val="single" w:color="auto" w:sz="4" w:space="0"/>
            </w:tcBorders>
            <w:noWrap w:val="0"/>
            <w:vAlign w:val="center"/>
          </w:tcPr>
          <w:p w14:paraId="4DFF28BD">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钢筋连接件</w:t>
            </w:r>
          </w:p>
        </w:tc>
        <w:tc>
          <w:tcPr>
            <w:tcW w:w="3067" w:type="dxa"/>
            <w:tcBorders>
              <w:top w:val="single" w:color="auto" w:sz="4" w:space="0"/>
              <w:left w:val="single" w:color="auto" w:sz="4" w:space="0"/>
              <w:bottom w:val="single" w:color="auto" w:sz="4" w:space="0"/>
              <w:right w:val="single" w:color="auto" w:sz="4" w:space="0"/>
            </w:tcBorders>
            <w:noWrap w:val="0"/>
            <w:vAlign w:val="center"/>
          </w:tcPr>
          <w:p w14:paraId="318358D5">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抗弯、抗拉强度</w:t>
            </w:r>
          </w:p>
        </w:tc>
        <w:tc>
          <w:tcPr>
            <w:tcW w:w="693" w:type="dxa"/>
            <w:tcBorders>
              <w:top w:val="single" w:color="auto" w:sz="4" w:space="0"/>
              <w:left w:val="single" w:color="auto" w:sz="4" w:space="0"/>
              <w:bottom w:val="single" w:color="auto" w:sz="4" w:space="0"/>
              <w:right w:val="single" w:color="auto" w:sz="4" w:space="0"/>
            </w:tcBorders>
            <w:noWrap w:val="0"/>
            <w:vAlign w:val="center"/>
          </w:tcPr>
          <w:p w14:paraId="7A0936C4">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组</w:t>
            </w:r>
          </w:p>
        </w:tc>
        <w:tc>
          <w:tcPr>
            <w:tcW w:w="0" w:type="auto"/>
            <w:tcBorders>
              <w:top w:val="single" w:color="auto" w:sz="4" w:space="0"/>
              <w:left w:val="single" w:color="auto" w:sz="4" w:space="0"/>
              <w:bottom w:val="single" w:color="auto" w:sz="4" w:space="0"/>
              <w:right w:val="single" w:color="auto" w:sz="4" w:space="0"/>
            </w:tcBorders>
            <w:noWrap/>
            <w:vAlign w:val="center"/>
          </w:tcPr>
          <w:p w14:paraId="4B372583">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12</w:t>
            </w:r>
          </w:p>
        </w:tc>
        <w:tc>
          <w:tcPr>
            <w:tcW w:w="693" w:type="dxa"/>
            <w:tcBorders>
              <w:top w:val="single" w:color="auto" w:sz="4" w:space="0"/>
              <w:left w:val="single" w:color="auto" w:sz="4" w:space="0"/>
              <w:bottom w:val="single" w:color="auto" w:sz="4" w:space="0"/>
              <w:right w:val="single" w:color="auto" w:sz="4" w:space="0"/>
            </w:tcBorders>
            <w:noWrap w:val="0"/>
            <w:vAlign w:val="center"/>
          </w:tcPr>
          <w:p w14:paraId="1C3E399B">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12</w:t>
            </w:r>
          </w:p>
        </w:tc>
        <w:tc>
          <w:tcPr>
            <w:tcW w:w="693" w:type="dxa"/>
            <w:tcBorders>
              <w:top w:val="single" w:color="auto" w:sz="4" w:space="0"/>
              <w:left w:val="single" w:color="auto" w:sz="4" w:space="0"/>
              <w:bottom w:val="single" w:color="auto" w:sz="4" w:space="0"/>
              <w:right w:val="single" w:color="auto" w:sz="4" w:space="0"/>
            </w:tcBorders>
            <w:noWrap w:val="0"/>
            <w:vAlign w:val="center"/>
          </w:tcPr>
          <w:p w14:paraId="3D048610">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12</w:t>
            </w:r>
          </w:p>
        </w:tc>
        <w:tc>
          <w:tcPr>
            <w:tcW w:w="693" w:type="dxa"/>
            <w:tcBorders>
              <w:top w:val="single" w:color="auto" w:sz="4" w:space="0"/>
              <w:left w:val="single" w:color="auto" w:sz="4" w:space="0"/>
              <w:bottom w:val="single" w:color="auto" w:sz="4" w:space="0"/>
              <w:right w:val="single" w:color="auto" w:sz="4" w:space="0"/>
            </w:tcBorders>
            <w:noWrap w:val="0"/>
            <w:vAlign w:val="center"/>
          </w:tcPr>
          <w:p w14:paraId="34C7ECA7">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12</w:t>
            </w:r>
          </w:p>
        </w:tc>
        <w:tc>
          <w:tcPr>
            <w:tcW w:w="693" w:type="dxa"/>
            <w:tcBorders>
              <w:top w:val="single" w:color="auto" w:sz="4" w:space="0"/>
              <w:left w:val="single" w:color="auto" w:sz="4" w:space="0"/>
              <w:bottom w:val="single" w:color="auto" w:sz="4" w:space="0"/>
              <w:right w:val="single" w:color="auto" w:sz="4" w:space="0"/>
            </w:tcBorders>
            <w:noWrap w:val="0"/>
            <w:vAlign w:val="center"/>
          </w:tcPr>
          <w:p w14:paraId="6CCB939A">
            <w:pPr>
              <w:jc w:val="left"/>
              <w:rPr>
                <w:rFonts w:hint="eastAsia" w:ascii="宋体" w:hAnsi="宋体" w:eastAsia="宋体" w:cs="宋体"/>
                <w:i w:val="0"/>
                <w:iCs w:val="0"/>
                <w:color w:val="auto"/>
                <w:sz w:val="20"/>
                <w:szCs w:val="20"/>
                <w:highlight w:val="none"/>
                <w:u w:val="none"/>
              </w:rPr>
            </w:pPr>
          </w:p>
        </w:tc>
      </w:tr>
      <w:tr w14:paraId="66F2BE7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0" w:hRule="atLeast"/>
        </w:trPr>
        <w:tc>
          <w:tcPr>
            <w:tcW w:w="975" w:type="dxa"/>
            <w:tcBorders>
              <w:top w:val="single" w:color="auto" w:sz="4" w:space="0"/>
              <w:left w:val="single" w:color="auto" w:sz="4" w:space="0"/>
              <w:bottom w:val="single" w:color="auto" w:sz="4" w:space="0"/>
              <w:right w:val="single" w:color="auto" w:sz="4" w:space="0"/>
            </w:tcBorders>
            <w:noWrap w:val="0"/>
            <w:vAlign w:val="center"/>
          </w:tcPr>
          <w:p w14:paraId="5648469C">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11</w:t>
            </w:r>
          </w:p>
        </w:tc>
        <w:tc>
          <w:tcPr>
            <w:tcW w:w="1083" w:type="dxa"/>
            <w:tcBorders>
              <w:top w:val="single" w:color="auto" w:sz="4" w:space="0"/>
              <w:left w:val="single" w:color="auto" w:sz="4" w:space="0"/>
              <w:bottom w:val="single" w:color="auto" w:sz="4" w:space="0"/>
              <w:right w:val="single" w:color="auto" w:sz="4" w:space="0"/>
            </w:tcBorders>
            <w:noWrap w:val="0"/>
            <w:vAlign w:val="center"/>
          </w:tcPr>
          <w:p w14:paraId="2CDF83D2">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钢材</w:t>
            </w:r>
          </w:p>
        </w:tc>
        <w:tc>
          <w:tcPr>
            <w:tcW w:w="3067" w:type="dxa"/>
            <w:tcBorders>
              <w:top w:val="single" w:color="auto" w:sz="4" w:space="0"/>
              <w:left w:val="single" w:color="auto" w:sz="4" w:space="0"/>
              <w:bottom w:val="single" w:color="auto" w:sz="4" w:space="0"/>
              <w:right w:val="single" w:color="auto" w:sz="4" w:space="0"/>
            </w:tcBorders>
            <w:noWrap w:val="0"/>
            <w:vAlign w:val="center"/>
          </w:tcPr>
          <w:p w14:paraId="431A7570">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尺寸、重量偏差，拉伸实验，弯曲试验，力学性能，弹性模量</w:t>
            </w:r>
          </w:p>
        </w:tc>
        <w:tc>
          <w:tcPr>
            <w:tcW w:w="693" w:type="dxa"/>
            <w:tcBorders>
              <w:top w:val="single" w:color="auto" w:sz="4" w:space="0"/>
              <w:left w:val="single" w:color="auto" w:sz="4" w:space="0"/>
              <w:bottom w:val="single" w:color="auto" w:sz="4" w:space="0"/>
              <w:right w:val="single" w:color="auto" w:sz="4" w:space="0"/>
            </w:tcBorders>
            <w:noWrap w:val="0"/>
            <w:vAlign w:val="center"/>
          </w:tcPr>
          <w:p w14:paraId="733FED84">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组</w:t>
            </w:r>
          </w:p>
        </w:tc>
        <w:tc>
          <w:tcPr>
            <w:tcW w:w="0" w:type="auto"/>
            <w:tcBorders>
              <w:top w:val="single" w:color="auto" w:sz="4" w:space="0"/>
              <w:left w:val="single" w:color="auto" w:sz="4" w:space="0"/>
              <w:bottom w:val="single" w:color="auto" w:sz="4" w:space="0"/>
              <w:right w:val="single" w:color="auto" w:sz="4" w:space="0"/>
            </w:tcBorders>
            <w:noWrap/>
            <w:vAlign w:val="center"/>
          </w:tcPr>
          <w:p w14:paraId="4E02DAE3">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12</w:t>
            </w:r>
          </w:p>
        </w:tc>
        <w:tc>
          <w:tcPr>
            <w:tcW w:w="693" w:type="dxa"/>
            <w:tcBorders>
              <w:top w:val="single" w:color="auto" w:sz="4" w:space="0"/>
              <w:left w:val="single" w:color="auto" w:sz="4" w:space="0"/>
              <w:bottom w:val="single" w:color="auto" w:sz="4" w:space="0"/>
              <w:right w:val="single" w:color="auto" w:sz="4" w:space="0"/>
            </w:tcBorders>
            <w:noWrap w:val="0"/>
            <w:vAlign w:val="center"/>
          </w:tcPr>
          <w:p w14:paraId="0D7FDBAC">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12</w:t>
            </w:r>
          </w:p>
        </w:tc>
        <w:tc>
          <w:tcPr>
            <w:tcW w:w="693" w:type="dxa"/>
            <w:tcBorders>
              <w:top w:val="single" w:color="auto" w:sz="4" w:space="0"/>
              <w:left w:val="single" w:color="auto" w:sz="4" w:space="0"/>
              <w:bottom w:val="single" w:color="auto" w:sz="4" w:space="0"/>
              <w:right w:val="single" w:color="auto" w:sz="4" w:space="0"/>
            </w:tcBorders>
            <w:noWrap w:val="0"/>
            <w:vAlign w:val="center"/>
          </w:tcPr>
          <w:p w14:paraId="11E5045D">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12</w:t>
            </w:r>
          </w:p>
        </w:tc>
        <w:tc>
          <w:tcPr>
            <w:tcW w:w="693" w:type="dxa"/>
            <w:tcBorders>
              <w:top w:val="single" w:color="auto" w:sz="4" w:space="0"/>
              <w:left w:val="single" w:color="auto" w:sz="4" w:space="0"/>
              <w:bottom w:val="single" w:color="auto" w:sz="4" w:space="0"/>
              <w:right w:val="single" w:color="auto" w:sz="4" w:space="0"/>
            </w:tcBorders>
            <w:noWrap w:val="0"/>
            <w:vAlign w:val="center"/>
          </w:tcPr>
          <w:p w14:paraId="38C90AF2">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12</w:t>
            </w:r>
          </w:p>
        </w:tc>
        <w:tc>
          <w:tcPr>
            <w:tcW w:w="693" w:type="dxa"/>
            <w:tcBorders>
              <w:top w:val="single" w:color="auto" w:sz="4" w:space="0"/>
              <w:left w:val="single" w:color="auto" w:sz="4" w:space="0"/>
              <w:bottom w:val="single" w:color="auto" w:sz="4" w:space="0"/>
              <w:right w:val="single" w:color="auto" w:sz="4" w:space="0"/>
            </w:tcBorders>
            <w:noWrap w:val="0"/>
            <w:vAlign w:val="center"/>
          </w:tcPr>
          <w:p w14:paraId="0368FB83">
            <w:pPr>
              <w:jc w:val="left"/>
              <w:rPr>
                <w:rFonts w:hint="eastAsia" w:ascii="宋体" w:hAnsi="宋体" w:eastAsia="宋体" w:cs="宋体"/>
                <w:i w:val="0"/>
                <w:iCs w:val="0"/>
                <w:color w:val="auto"/>
                <w:sz w:val="20"/>
                <w:szCs w:val="20"/>
                <w:highlight w:val="none"/>
                <w:u w:val="none"/>
              </w:rPr>
            </w:pPr>
          </w:p>
        </w:tc>
      </w:tr>
      <w:tr w14:paraId="024CEB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0" w:hRule="atLeast"/>
        </w:trPr>
        <w:tc>
          <w:tcPr>
            <w:tcW w:w="975" w:type="dxa"/>
            <w:tcBorders>
              <w:top w:val="single" w:color="auto" w:sz="4" w:space="0"/>
              <w:left w:val="single" w:color="auto" w:sz="4" w:space="0"/>
              <w:bottom w:val="single" w:color="auto" w:sz="4" w:space="0"/>
              <w:right w:val="single" w:color="auto" w:sz="4" w:space="0"/>
            </w:tcBorders>
            <w:noWrap w:val="0"/>
            <w:vAlign w:val="center"/>
          </w:tcPr>
          <w:p w14:paraId="1AB0F65D">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12</w:t>
            </w:r>
          </w:p>
        </w:tc>
        <w:tc>
          <w:tcPr>
            <w:tcW w:w="1083" w:type="dxa"/>
            <w:tcBorders>
              <w:top w:val="single" w:color="auto" w:sz="4" w:space="0"/>
              <w:left w:val="single" w:color="auto" w:sz="4" w:space="0"/>
              <w:bottom w:val="single" w:color="auto" w:sz="4" w:space="0"/>
              <w:right w:val="single" w:color="auto" w:sz="4" w:space="0"/>
            </w:tcBorders>
            <w:noWrap w:val="0"/>
            <w:vAlign w:val="center"/>
          </w:tcPr>
          <w:p w14:paraId="5ED39A94">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钢绞线</w:t>
            </w:r>
          </w:p>
        </w:tc>
        <w:tc>
          <w:tcPr>
            <w:tcW w:w="3067" w:type="dxa"/>
            <w:tcBorders>
              <w:top w:val="single" w:color="auto" w:sz="4" w:space="0"/>
              <w:left w:val="single" w:color="auto" w:sz="4" w:space="0"/>
              <w:bottom w:val="single" w:color="auto" w:sz="4" w:space="0"/>
              <w:right w:val="single" w:color="auto" w:sz="4" w:space="0"/>
            </w:tcBorders>
            <w:noWrap w:val="0"/>
            <w:vAlign w:val="center"/>
          </w:tcPr>
          <w:p w14:paraId="2C80B2B8">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抗拉强度，最大力，规定非比例延伸力，最大力总 伸长率，弹性模量</w:t>
            </w:r>
          </w:p>
        </w:tc>
        <w:tc>
          <w:tcPr>
            <w:tcW w:w="693" w:type="dxa"/>
            <w:tcBorders>
              <w:top w:val="single" w:color="auto" w:sz="4" w:space="0"/>
              <w:left w:val="single" w:color="auto" w:sz="4" w:space="0"/>
              <w:bottom w:val="single" w:color="auto" w:sz="4" w:space="0"/>
              <w:right w:val="single" w:color="auto" w:sz="4" w:space="0"/>
            </w:tcBorders>
            <w:noWrap w:val="0"/>
            <w:vAlign w:val="center"/>
          </w:tcPr>
          <w:p w14:paraId="0D5B2F4E">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组</w:t>
            </w:r>
          </w:p>
        </w:tc>
        <w:tc>
          <w:tcPr>
            <w:tcW w:w="0" w:type="auto"/>
            <w:tcBorders>
              <w:top w:val="single" w:color="auto" w:sz="4" w:space="0"/>
              <w:left w:val="single" w:color="auto" w:sz="4" w:space="0"/>
              <w:bottom w:val="single" w:color="auto" w:sz="4" w:space="0"/>
              <w:right w:val="single" w:color="auto" w:sz="4" w:space="0"/>
            </w:tcBorders>
            <w:noWrap/>
            <w:vAlign w:val="center"/>
          </w:tcPr>
          <w:p w14:paraId="77D97F02">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12</w:t>
            </w:r>
          </w:p>
        </w:tc>
        <w:tc>
          <w:tcPr>
            <w:tcW w:w="693" w:type="dxa"/>
            <w:tcBorders>
              <w:top w:val="single" w:color="auto" w:sz="4" w:space="0"/>
              <w:left w:val="single" w:color="auto" w:sz="4" w:space="0"/>
              <w:bottom w:val="single" w:color="auto" w:sz="4" w:space="0"/>
              <w:right w:val="single" w:color="auto" w:sz="4" w:space="0"/>
            </w:tcBorders>
            <w:noWrap w:val="0"/>
            <w:vAlign w:val="center"/>
          </w:tcPr>
          <w:p w14:paraId="405933CB">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12</w:t>
            </w:r>
          </w:p>
        </w:tc>
        <w:tc>
          <w:tcPr>
            <w:tcW w:w="693" w:type="dxa"/>
            <w:tcBorders>
              <w:top w:val="single" w:color="auto" w:sz="4" w:space="0"/>
              <w:left w:val="single" w:color="auto" w:sz="4" w:space="0"/>
              <w:bottom w:val="single" w:color="auto" w:sz="4" w:space="0"/>
              <w:right w:val="single" w:color="auto" w:sz="4" w:space="0"/>
            </w:tcBorders>
            <w:noWrap w:val="0"/>
            <w:vAlign w:val="center"/>
          </w:tcPr>
          <w:p w14:paraId="602DC933">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12</w:t>
            </w:r>
          </w:p>
        </w:tc>
        <w:tc>
          <w:tcPr>
            <w:tcW w:w="693" w:type="dxa"/>
            <w:tcBorders>
              <w:top w:val="single" w:color="auto" w:sz="4" w:space="0"/>
              <w:left w:val="single" w:color="auto" w:sz="4" w:space="0"/>
              <w:bottom w:val="single" w:color="auto" w:sz="4" w:space="0"/>
              <w:right w:val="single" w:color="auto" w:sz="4" w:space="0"/>
            </w:tcBorders>
            <w:noWrap w:val="0"/>
            <w:vAlign w:val="center"/>
          </w:tcPr>
          <w:p w14:paraId="1CF13F88">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12</w:t>
            </w:r>
          </w:p>
        </w:tc>
        <w:tc>
          <w:tcPr>
            <w:tcW w:w="693" w:type="dxa"/>
            <w:tcBorders>
              <w:top w:val="single" w:color="auto" w:sz="4" w:space="0"/>
              <w:left w:val="single" w:color="auto" w:sz="4" w:space="0"/>
              <w:bottom w:val="single" w:color="auto" w:sz="4" w:space="0"/>
              <w:right w:val="single" w:color="auto" w:sz="4" w:space="0"/>
            </w:tcBorders>
            <w:noWrap w:val="0"/>
            <w:vAlign w:val="center"/>
          </w:tcPr>
          <w:p w14:paraId="59B57F74">
            <w:pPr>
              <w:jc w:val="left"/>
              <w:rPr>
                <w:rFonts w:hint="eastAsia" w:ascii="宋体" w:hAnsi="宋体" w:eastAsia="宋体" w:cs="宋体"/>
                <w:i w:val="0"/>
                <w:iCs w:val="0"/>
                <w:color w:val="auto"/>
                <w:sz w:val="20"/>
                <w:szCs w:val="20"/>
                <w:highlight w:val="none"/>
                <w:u w:val="none"/>
              </w:rPr>
            </w:pPr>
          </w:p>
        </w:tc>
      </w:tr>
      <w:tr w14:paraId="2A4C809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0" w:hRule="atLeast"/>
        </w:trPr>
        <w:tc>
          <w:tcPr>
            <w:tcW w:w="975" w:type="dxa"/>
            <w:tcBorders>
              <w:top w:val="single" w:color="auto" w:sz="4" w:space="0"/>
              <w:left w:val="single" w:color="auto" w:sz="4" w:space="0"/>
              <w:bottom w:val="single" w:color="auto" w:sz="4" w:space="0"/>
              <w:right w:val="single" w:color="auto" w:sz="4" w:space="0"/>
            </w:tcBorders>
            <w:noWrap w:val="0"/>
            <w:vAlign w:val="center"/>
          </w:tcPr>
          <w:p w14:paraId="6A787329">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13</w:t>
            </w:r>
          </w:p>
        </w:tc>
        <w:tc>
          <w:tcPr>
            <w:tcW w:w="1083" w:type="dxa"/>
            <w:tcBorders>
              <w:top w:val="single" w:color="auto" w:sz="4" w:space="0"/>
              <w:left w:val="single" w:color="auto" w:sz="4" w:space="0"/>
              <w:bottom w:val="single" w:color="auto" w:sz="4" w:space="0"/>
              <w:right w:val="single" w:color="auto" w:sz="4" w:space="0"/>
            </w:tcBorders>
            <w:noWrap w:val="0"/>
            <w:vAlign w:val="center"/>
          </w:tcPr>
          <w:p w14:paraId="741DE23F">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防水板</w:t>
            </w:r>
          </w:p>
        </w:tc>
        <w:tc>
          <w:tcPr>
            <w:tcW w:w="3067" w:type="dxa"/>
            <w:tcBorders>
              <w:top w:val="single" w:color="auto" w:sz="4" w:space="0"/>
              <w:left w:val="single" w:color="auto" w:sz="4" w:space="0"/>
              <w:bottom w:val="single" w:color="auto" w:sz="4" w:space="0"/>
              <w:right w:val="single" w:color="auto" w:sz="4" w:space="0"/>
            </w:tcBorders>
            <w:noWrap w:val="0"/>
            <w:vAlign w:val="center"/>
          </w:tcPr>
          <w:p w14:paraId="77E129E3">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断裂拉伸强度，扯断伸长率，撕裂强度，不透水性， 低温弯折性</w:t>
            </w:r>
          </w:p>
        </w:tc>
        <w:tc>
          <w:tcPr>
            <w:tcW w:w="693" w:type="dxa"/>
            <w:tcBorders>
              <w:top w:val="single" w:color="auto" w:sz="4" w:space="0"/>
              <w:left w:val="single" w:color="auto" w:sz="4" w:space="0"/>
              <w:bottom w:val="single" w:color="auto" w:sz="4" w:space="0"/>
              <w:right w:val="single" w:color="auto" w:sz="4" w:space="0"/>
            </w:tcBorders>
            <w:noWrap w:val="0"/>
            <w:vAlign w:val="center"/>
          </w:tcPr>
          <w:p w14:paraId="19449A85">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组</w:t>
            </w:r>
          </w:p>
        </w:tc>
        <w:tc>
          <w:tcPr>
            <w:tcW w:w="0" w:type="auto"/>
            <w:tcBorders>
              <w:top w:val="single" w:color="auto" w:sz="4" w:space="0"/>
              <w:left w:val="single" w:color="auto" w:sz="4" w:space="0"/>
              <w:bottom w:val="single" w:color="auto" w:sz="4" w:space="0"/>
              <w:right w:val="single" w:color="auto" w:sz="4" w:space="0"/>
            </w:tcBorders>
            <w:noWrap/>
            <w:vAlign w:val="center"/>
          </w:tcPr>
          <w:p w14:paraId="448D6C57">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12</w:t>
            </w:r>
          </w:p>
        </w:tc>
        <w:tc>
          <w:tcPr>
            <w:tcW w:w="693" w:type="dxa"/>
            <w:tcBorders>
              <w:top w:val="single" w:color="auto" w:sz="4" w:space="0"/>
              <w:left w:val="single" w:color="auto" w:sz="4" w:space="0"/>
              <w:bottom w:val="single" w:color="auto" w:sz="4" w:space="0"/>
              <w:right w:val="single" w:color="auto" w:sz="4" w:space="0"/>
            </w:tcBorders>
            <w:noWrap w:val="0"/>
            <w:vAlign w:val="center"/>
          </w:tcPr>
          <w:p w14:paraId="4808A2B2">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12</w:t>
            </w:r>
          </w:p>
        </w:tc>
        <w:tc>
          <w:tcPr>
            <w:tcW w:w="693" w:type="dxa"/>
            <w:tcBorders>
              <w:top w:val="single" w:color="auto" w:sz="4" w:space="0"/>
              <w:left w:val="single" w:color="auto" w:sz="4" w:space="0"/>
              <w:bottom w:val="single" w:color="auto" w:sz="4" w:space="0"/>
              <w:right w:val="single" w:color="auto" w:sz="4" w:space="0"/>
            </w:tcBorders>
            <w:noWrap w:val="0"/>
            <w:vAlign w:val="center"/>
          </w:tcPr>
          <w:p w14:paraId="615A0E6E">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12</w:t>
            </w:r>
          </w:p>
        </w:tc>
        <w:tc>
          <w:tcPr>
            <w:tcW w:w="693" w:type="dxa"/>
            <w:tcBorders>
              <w:top w:val="single" w:color="auto" w:sz="4" w:space="0"/>
              <w:left w:val="single" w:color="auto" w:sz="4" w:space="0"/>
              <w:bottom w:val="single" w:color="auto" w:sz="4" w:space="0"/>
              <w:right w:val="single" w:color="auto" w:sz="4" w:space="0"/>
            </w:tcBorders>
            <w:noWrap w:val="0"/>
            <w:vAlign w:val="center"/>
          </w:tcPr>
          <w:p w14:paraId="2BB36151">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12</w:t>
            </w:r>
          </w:p>
        </w:tc>
        <w:tc>
          <w:tcPr>
            <w:tcW w:w="693" w:type="dxa"/>
            <w:tcBorders>
              <w:top w:val="single" w:color="auto" w:sz="4" w:space="0"/>
              <w:left w:val="single" w:color="auto" w:sz="4" w:space="0"/>
              <w:bottom w:val="single" w:color="auto" w:sz="4" w:space="0"/>
              <w:right w:val="single" w:color="auto" w:sz="4" w:space="0"/>
            </w:tcBorders>
            <w:noWrap w:val="0"/>
            <w:vAlign w:val="center"/>
          </w:tcPr>
          <w:p w14:paraId="49579F67">
            <w:pPr>
              <w:jc w:val="left"/>
              <w:rPr>
                <w:rFonts w:hint="eastAsia" w:ascii="宋体" w:hAnsi="宋体" w:eastAsia="宋体" w:cs="宋体"/>
                <w:i w:val="0"/>
                <w:iCs w:val="0"/>
                <w:color w:val="auto"/>
                <w:sz w:val="20"/>
                <w:szCs w:val="20"/>
                <w:highlight w:val="none"/>
                <w:u w:val="none"/>
              </w:rPr>
            </w:pPr>
          </w:p>
        </w:tc>
      </w:tr>
      <w:tr w14:paraId="60B5F42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0" w:hRule="atLeast"/>
        </w:trPr>
        <w:tc>
          <w:tcPr>
            <w:tcW w:w="975" w:type="dxa"/>
            <w:tcBorders>
              <w:top w:val="single" w:color="auto" w:sz="4" w:space="0"/>
              <w:left w:val="single" w:color="auto" w:sz="4" w:space="0"/>
              <w:bottom w:val="single" w:color="auto" w:sz="4" w:space="0"/>
              <w:right w:val="single" w:color="auto" w:sz="4" w:space="0"/>
            </w:tcBorders>
            <w:noWrap w:val="0"/>
            <w:vAlign w:val="center"/>
          </w:tcPr>
          <w:p w14:paraId="518C831D">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14</w:t>
            </w:r>
          </w:p>
        </w:tc>
        <w:tc>
          <w:tcPr>
            <w:tcW w:w="1083" w:type="dxa"/>
            <w:tcBorders>
              <w:top w:val="single" w:color="auto" w:sz="4" w:space="0"/>
              <w:left w:val="single" w:color="auto" w:sz="4" w:space="0"/>
              <w:bottom w:val="single" w:color="auto" w:sz="4" w:space="0"/>
              <w:right w:val="single" w:color="auto" w:sz="4" w:space="0"/>
            </w:tcBorders>
            <w:noWrap w:val="0"/>
            <w:vAlign w:val="center"/>
          </w:tcPr>
          <w:p w14:paraId="07CFC0E9">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止水带</w:t>
            </w:r>
          </w:p>
        </w:tc>
        <w:tc>
          <w:tcPr>
            <w:tcW w:w="3067" w:type="dxa"/>
            <w:tcBorders>
              <w:top w:val="single" w:color="auto" w:sz="4" w:space="0"/>
              <w:left w:val="single" w:color="auto" w:sz="4" w:space="0"/>
              <w:bottom w:val="single" w:color="auto" w:sz="4" w:space="0"/>
              <w:right w:val="single" w:color="auto" w:sz="4" w:space="0"/>
            </w:tcBorders>
            <w:noWrap w:val="0"/>
            <w:vAlign w:val="center"/>
          </w:tcPr>
          <w:p w14:paraId="1C896C30">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硬度，拉伸强度，扯断伸长率，压缩永久变形，撕 裂强度，脆性温度</w:t>
            </w:r>
          </w:p>
        </w:tc>
        <w:tc>
          <w:tcPr>
            <w:tcW w:w="693" w:type="dxa"/>
            <w:tcBorders>
              <w:top w:val="single" w:color="auto" w:sz="4" w:space="0"/>
              <w:left w:val="single" w:color="auto" w:sz="4" w:space="0"/>
              <w:bottom w:val="single" w:color="auto" w:sz="4" w:space="0"/>
              <w:right w:val="single" w:color="auto" w:sz="4" w:space="0"/>
            </w:tcBorders>
            <w:noWrap w:val="0"/>
            <w:vAlign w:val="center"/>
          </w:tcPr>
          <w:p w14:paraId="65598C91">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组</w:t>
            </w:r>
          </w:p>
        </w:tc>
        <w:tc>
          <w:tcPr>
            <w:tcW w:w="0" w:type="auto"/>
            <w:tcBorders>
              <w:top w:val="single" w:color="auto" w:sz="4" w:space="0"/>
              <w:left w:val="single" w:color="auto" w:sz="4" w:space="0"/>
              <w:bottom w:val="single" w:color="auto" w:sz="4" w:space="0"/>
              <w:right w:val="single" w:color="auto" w:sz="4" w:space="0"/>
            </w:tcBorders>
            <w:noWrap/>
            <w:vAlign w:val="center"/>
          </w:tcPr>
          <w:p w14:paraId="2548620E">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12</w:t>
            </w:r>
          </w:p>
        </w:tc>
        <w:tc>
          <w:tcPr>
            <w:tcW w:w="693" w:type="dxa"/>
            <w:tcBorders>
              <w:top w:val="single" w:color="auto" w:sz="4" w:space="0"/>
              <w:left w:val="single" w:color="auto" w:sz="4" w:space="0"/>
              <w:bottom w:val="single" w:color="auto" w:sz="4" w:space="0"/>
              <w:right w:val="single" w:color="auto" w:sz="4" w:space="0"/>
            </w:tcBorders>
            <w:noWrap w:val="0"/>
            <w:vAlign w:val="center"/>
          </w:tcPr>
          <w:p w14:paraId="33C66EB5">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12</w:t>
            </w:r>
          </w:p>
        </w:tc>
        <w:tc>
          <w:tcPr>
            <w:tcW w:w="693" w:type="dxa"/>
            <w:tcBorders>
              <w:top w:val="single" w:color="auto" w:sz="4" w:space="0"/>
              <w:left w:val="single" w:color="auto" w:sz="4" w:space="0"/>
              <w:bottom w:val="single" w:color="auto" w:sz="4" w:space="0"/>
              <w:right w:val="single" w:color="auto" w:sz="4" w:space="0"/>
            </w:tcBorders>
            <w:noWrap w:val="0"/>
            <w:vAlign w:val="center"/>
          </w:tcPr>
          <w:p w14:paraId="0D69854B">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12</w:t>
            </w:r>
          </w:p>
        </w:tc>
        <w:tc>
          <w:tcPr>
            <w:tcW w:w="693" w:type="dxa"/>
            <w:tcBorders>
              <w:top w:val="single" w:color="auto" w:sz="4" w:space="0"/>
              <w:left w:val="single" w:color="auto" w:sz="4" w:space="0"/>
              <w:bottom w:val="single" w:color="auto" w:sz="4" w:space="0"/>
              <w:right w:val="single" w:color="auto" w:sz="4" w:space="0"/>
            </w:tcBorders>
            <w:noWrap w:val="0"/>
            <w:vAlign w:val="center"/>
          </w:tcPr>
          <w:p w14:paraId="5B1C0BBF">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12</w:t>
            </w:r>
          </w:p>
        </w:tc>
        <w:tc>
          <w:tcPr>
            <w:tcW w:w="693" w:type="dxa"/>
            <w:tcBorders>
              <w:top w:val="single" w:color="auto" w:sz="4" w:space="0"/>
              <w:left w:val="single" w:color="auto" w:sz="4" w:space="0"/>
              <w:bottom w:val="single" w:color="auto" w:sz="4" w:space="0"/>
              <w:right w:val="single" w:color="auto" w:sz="4" w:space="0"/>
            </w:tcBorders>
            <w:noWrap w:val="0"/>
            <w:vAlign w:val="center"/>
          </w:tcPr>
          <w:p w14:paraId="3355B66C">
            <w:pPr>
              <w:jc w:val="left"/>
              <w:rPr>
                <w:rFonts w:hint="eastAsia" w:ascii="宋体" w:hAnsi="宋体" w:eastAsia="宋体" w:cs="宋体"/>
                <w:i w:val="0"/>
                <w:iCs w:val="0"/>
                <w:color w:val="auto"/>
                <w:sz w:val="20"/>
                <w:szCs w:val="20"/>
                <w:highlight w:val="none"/>
                <w:u w:val="none"/>
              </w:rPr>
            </w:pPr>
          </w:p>
        </w:tc>
      </w:tr>
      <w:tr w14:paraId="7E1CD9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0" w:hRule="atLeast"/>
        </w:trPr>
        <w:tc>
          <w:tcPr>
            <w:tcW w:w="975" w:type="dxa"/>
            <w:tcBorders>
              <w:top w:val="single" w:color="auto" w:sz="4" w:space="0"/>
              <w:left w:val="single" w:color="auto" w:sz="4" w:space="0"/>
              <w:bottom w:val="single" w:color="auto" w:sz="4" w:space="0"/>
              <w:right w:val="single" w:color="auto" w:sz="4" w:space="0"/>
            </w:tcBorders>
            <w:noWrap w:val="0"/>
            <w:vAlign w:val="center"/>
          </w:tcPr>
          <w:p w14:paraId="3074F892">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15</w:t>
            </w:r>
          </w:p>
        </w:tc>
        <w:tc>
          <w:tcPr>
            <w:tcW w:w="1083" w:type="dxa"/>
            <w:tcBorders>
              <w:top w:val="single" w:color="auto" w:sz="4" w:space="0"/>
              <w:left w:val="single" w:color="auto" w:sz="4" w:space="0"/>
              <w:bottom w:val="single" w:color="auto" w:sz="4" w:space="0"/>
              <w:right w:val="single" w:color="auto" w:sz="4" w:space="0"/>
            </w:tcBorders>
            <w:noWrap w:val="0"/>
            <w:vAlign w:val="center"/>
          </w:tcPr>
          <w:p w14:paraId="3204FCCB">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波纹管</w:t>
            </w:r>
          </w:p>
        </w:tc>
        <w:tc>
          <w:tcPr>
            <w:tcW w:w="3067" w:type="dxa"/>
            <w:tcBorders>
              <w:top w:val="single" w:color="auto" w:sz="4" w:space="0"/>
              <w:left w:val="single" w:color="auto" w:sz="4" w:space="0"/>
              <w:bottom w:val="single" w:color="auto" w:sz="4" w:space="0"/>
              <w:right w:val="single" w:color="auto" w:sz="4" w:space="0"/>
            </w:tcBorders>
            <w:noWrap w:val="0"/>
            <w:vAlign w:val="center"/>
          </w:tcPr>
          <w:p w14:paraId="298FBC88">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内外径尺寸，环刚度，环柔性，抗冲击性能</w:t>
            </w:r>
          </w:p>
        </w:tc>
        <w:tc>
          <w:tcPr>
            <w:tcW w:w="693" w:type="dxa"/>
            <w:tcBorders>
              <w:top w:val="single" w:color="auto" w:sz="4" w:space="0"/>
              <w:left w:val="single" w:color="auto" w:sz="4" w:space="0"/>
              <w:bottom w:val="single" w:color="auto" w:sz="4" w:space="0"/>
              <w:right w:val="single" w:color="auto" w:sz="4" w:space="0"/>
            </w:tcBorders>
            <w:noWrap w:val="0"/>
            <w:vAlign w:val="center"/>
          </w:tcPr>
          <w:p w14:paraId="1D58CF40">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组</w:t>
            </w:r>
          </w:p>
        </w:tc>
        <w:tc>
          <w:tcPr>
            <w:tcW w:w="0" w:type="auto"/>
            <w:tcBorders>
              <w:top w:val="single" w:color="auto" w:sz="4" w:space="0"/>
              <w:left w:val="single" w:color="auto" w:sz="4" w:space="0"/>
              <w:bottom w:val="single" w:color="auto" w:sz="4" w:space="0"/>
              <w:right w:val="single" w:color="auto" w:sz="4" w:space="0"/>
            </w:tcBorders>
            <w:noWrap/>
            <w:vAlign w:val="center"/>
          </w:tcPr>
          <w:p w14:paraId="5B45C452">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12</w:t>
            </w:r>
          </w:p>
        </w:tc>
        <w:tc>
          <w:tcPr>
            <w:tcW w:w="693" w:type="dxa"/>
            <w:tcBorders>
              <w:top w:val="single" w:color="auto" w:sz="4" w:space="0"/>
              <w:left w:val="single" w:color="auto" w:sz="4" w:space="0"/>
              <w:bottom w:val="single" w:color="auto" w:sz="4" w:space="0"/>
              <w:right w:val="single" w:color="auto" w:sz="4" w:space="0"/>
            </w:tcBorders>
            <w:noWrap w:val="0"/>
            <w:vAlign w:val="center"/>
          </w:tcPr>
          <w:p w14:paraId="209020B9">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12</w:t>
            </w:r>
          </w:p>
        </w:tc>
        <w:tc>
          <w:tcPr>
            <w:tcW w:w="693" w:type="dxa"/>
            <w:tcBorders>
              <w:top w:val="single" w:color="auto" w:sz="4" w:space="0"/>
              <w:left w:val="single" w:color="auto" w:sz="4" w:space="0"/>
              <w:bottom w:val="single" w:color="auto" w:sz="4" w:space="0"/>
              <w:right w:val="single" w:color="auto" w:sz="4" w:space="0"/>
            </w:tcBorders>
            <w:noWrap w:val="0"/>
            <w:vAlign w:val="center"/>
          </w:tcPr>
          <w:p w14:paraId="0F6406CA">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12</w:t>
            </w:r>
          </w:p>
        </w:tc>
        <w:tc>
          <w:tcPr>
            <w:tcW w:w="693" w:type="dxa"/>
            <w:tcBorders>
              <w:top w:val="single" w:color="auto" w:sz="4" w:space="0"/>
              <w:left w:val="single" w:color="auto" w:sz="4" w:space="0"/>
              <w:bottom w:val="single" w:color="auto" w:sz="4" w:space="0"/>
              <w:right w:val="single" w:color="auto" w:sz="4" w:space="0"/>
            </w:tcBorders>
            <w:noWrap w:val="0"/>
            <w:vAlign w:val="center"/>
          </w:tcPr>
          <w:p w14:paraId="1225EEA1">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12</w:t>
            </w:r>
          </w:p>
        </w:tc>
        <w:tc>
          <w:tcPr>
            <w:tcW w:w="693" w:type="dxa"/>
            <w:tcBorders>
              <w:top w:val="single" w:color="auto" w:sz="4" w:space="0"/>
              <w:left w:val="single" w:color="auto" w:sz="4" w:space="0"/>
              <w:bottom w:val="single" w:color="auto" w:sz="4" w:space="0"/>
              <w:right w:val="single" w:color="auto" w:sz="4" w:space="0"/>
            </w:tcBorders>
            <w:noWrap w:val="0"/>
            <w:vAlign w:val="center"/>
          </w:tcPr>
          <w:p w14:paraId="54F94B90">
            <w:pPr>
              <w:jc w:val="left"/>
              <w:rPr>
                <w:rFonts w:hint="eastAsia" w:ascii="宋体" w:hAnsi="宋体" w:eastAsia="宋体" w:cs="宋体"/>
                <w:i w:val="0"/>
                <w:iCs w:val="0"/>
                <w:color w:val="auto"/>
                <w:sz w:val="20"/>
                <w:szCs w:val="20"/>
                <w:highlight w:val="none"/>
                <w:u w:val="none"/>
              </w:rPr>
            </w:pPr>
          </w:p>
        </w:tc>
      </w:tr>
      <w:tr w14:paraId="01A18F8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0" w:hRule="atLeast"/>
        </w:trPr>
        <w:tc>
          <w:tcPr>
            <w:tcW w:w="975" w:type="dxa"/>
            <w:tcBorders>
              <w:top w:val="single" w:color="auto" w:sz="4" w:space="0"/>
              <w:left w:val="single" w:color="auto" w:sz="4" w:space="0"/>
              <w:bottom w:val="single" w:color="auto" w:sz="4" w:space="0"/>
              <w:right w:val="single" w:color="auto" w:sz="4" w:space="0"/>
            </w:tcBorders>
            <w:noWrap w:val="0"/>
            <w:vAlign w:val="center"/>
          </w:tcPr>
          <w:p w14:paraId="28D8A725">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16</w:t>
            </w:r>
          </w:p>
        </w:tc>
        <w:tc>
          <w:tcPr>
            <w:tcW w:w="1083" w:type="dxa"/>
            <w:tcBorders>
              <w:top w:val="single" w:color="auto" w:sz="4" w:space="0"/>
              <w:left w:val="single" w:color="auto" w:sz="4" w:space="0"/>
              <w:bottom w:val="single" w:color="auto" w:sz="4" w:space="0"/>
              <w:right w:val="single" w:color="auto" w:sz="4" w:space="0"/>
            </w:tcBorders>
            <w:noWrap w:val="0"/>
            <w:vAlign w:val="center"/>
          </w:tcPr>
          <w:p w14:paraId="04950EC3">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土工布</w:t>
            </w:r>
          </w:p>
        </w:tc>
        <w:tc>
          <w:tcPr>
            <w:tcW w:w="3067" w:type="dxa"/>
            <w:tcBorders>
              <w:top w:val="single" w:color="auto" w:sz="4" w:space="0"/>
              <w:left w:val="single" w:color="auto" w:sz="4" w:space="0"/>
              <w:bottom w:val="single" w:color="auto" w:sz="4" w:space="0"/>
              <w:right w:val="single" w:color="auto" w:sz="4" w:space="0"/>
            </w:tcBorders>
            <w:noWrap w:val="0"/>
            <w:vAlign w:val="center"/>
          </w:tcPr>
          <w:p w14:paraId="207E4559">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单位面积质量，断裂强度，延伸率，顶破强度，梯 形撕裂强度</w:t>
            </w:r>
          </w:p>
        </w:tc>
        <w:tc>
          <w:tcPr>
            <w:tcW w:w="693" w:type="dxa"/>
            <w:tcBorders>
              <w:top w:val="single" w:color="auto" w:sz="4" w:space="0"/>
              <w:left w:val="single" w:color="auto" w:sz="4" w:space="0"/>
              <w:bottom w:val="single" w:color="auto" w:sz="4" w:space="0"/>
              <w:right w:val="single" w:color="auto" w:sz="4" w:space="0"/>
            </w:tcBorders>
            <w:noWrap w:val="0"/>
            <w:vAlign w:val="center"/>
          </w:tcPr>
          <w:p w14:paraId="2D97D4FA">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组</w:t>
            </w:r>
          </w:p>
        </w:tc>
        <w:tc>
          <w:tcPr>
            <w:tcW w:w="0" w:type="auto"/>
            <w:tcBorders>
              <w:top w:val="single" w:color="auto" w:sz="4" w:space="0"/>
              <w:left w:val="single" w:color="auto" w:sz="4" w:space="0"/>
              <w:bottom w:val="single" w:color="auto" w:sz="4" w:space="0"/>
              <w:right w:val="single" w:color="auto" w:sz="4" w:space="0"/>
            </w:tcBorders>
            <w:noWrap/>
            <w:vAlign w:val="center"/>
          </w:tcPr>
          <w:p w14:paraId="33C26328">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8</w:t>
            </w:r>
          </w:p>
        </w:tc>
        <w:tc>
          <w:tcPr>
            <w:tcW w:w="693" w:type="dxa"/>
            <w:tcBorders>
              <w:top w:val="single" w:color="auto" w:sz="4" w:space="0"/>
              <w:left w:val="single" w:color="auto" w:sz="4" w:space="0"/>
              <w:bottom w:val="single" w:color="auto" w:sz="4" w:space="0"/>
              <w:right w:val="single" w:color="auto" w:sz="4" w:space="0"/>
            </w:tcBorders>
            <w:noWrap w:val="0"/>
            <w:vAlign w:val="center"/>
          </w:tcPr>
          <w:p w14:paraId="7FD95665">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8</w:t>
            </w:r>
          </w:p>
        </w:tc>
        <w:tc>
          <w:tcPr>
            <w:tcW w:w="693" w:type="dxa"/>
            <w:tcBorders>
              <w:top w:val="single" w:color="auto" w:sz="4" w:space="0"/>
              <w:left w:val="single" w:color="auto" w:sz="4" w:space="0"/>
              <w:bottom w:val="single" w:color="auto" w:sz="4" w:space="0"/>
              <w:right w:val="single" w:color="auto" w:sz="4" w:space="0"/>
            </w:tcBorders>
            <w:noWrap w:val="0"/>
            <w:vAlign w:val="center"/>
          </w:tcPr>
          <w:p w14:paraId="341FA12C">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8</w:t>
            </w:r>
          </w:p>
        </w:tc>
        <w:tc>
          <w:tcPr>
            <w:tcW w:w="693" w:type="dxa"/>
            <w:tcBorders>
              <w:top w:val="single" w:color="auto" w:sz="4" w:space="0"/>
              <w:left w:val="single" w:color="auto" w:sz="4" w:space="0"/>
              <w:bottom w:val="single" w:color="auto" w:sz="4" w:space="0"/>
              <w:right w:val="single" w:color="auto" w:sz="4" w:space="0"/>
            </w:tcBorders>
            <w:noWrap w:val="0"/>
            <w:vAlign w:val="center"/>
          </w:tcPr>
          <w:p w14:paraId="6D4328AE">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8</w:t>
            </w:r>
          </w:p>
        </w:tc>
        <w:tc>
          <w:tcPr>
            <w:tcW w:w="693" w:type="dxa"/>
            <w:tcBorders>
              <w:top w:val="single" w:color="auto" w:sz="4" w:space="0"/>
              <w:left w:val="single" w:color="auto" w:sz="4" w:space="0"/>
              <w:bottom w:val="single" w:color="auto" w:sz="4" w:space="0"/>
              <w:right w:val="single" w:color="auto" w:sz="4" w:space="0"/>
            </w:tcBorders>
            <w:noWrap w:val="0"/>
            <w:vAlign w:val="center"/>
          </w:tcPr>
          <w:p w14:paraId="52296660">
            <w:pPr>
              <w:jc w:val="left"/>
              <w:rPr>
                <w:rFonts w:hint="eastAsia" w:ascii="宋体" w:hAnsi="宋体" w:eastAsia="宋体" w:cs="宋体"/>
                <w:i w:val="0"/>
                <w:iCs w:val="0"/>
                <w:color w:val="auto"/>
                <w:sz w:val="20"/>
                <w:szCs w:val="20"/>
                <w:highlight w:val="none"/>
                <w:u w:val="none"/>
              </w:rPr>
            </w:pPr>
          </w:p>
        </w:tc>
      </w:tr>
      <w:tr w14:paraId="543BCC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0" w:hRule="atLeast"/>
        </w:trPr>
        <w:tc>
          <w:tcPr>
            <w:tcW w:w="975" w:type="dxa"/>
            <w:tcBorders>
              <w:top w:val="single" w:color="auto" w:sz="4" w:space="0"/>
              <w:left w:val="single" w:color="auto" w:sz="4" w:space="0"/>
              <w:bottom w:val="single" w:color="auto" w:sz="4" w:space="0"/>
              <w:right w:val="single" w:color="auto" w:sz="4" w:space="0"/>
            </w:tcBorders>
            <w:noWrap w:val="0"/>
            <w:vAlign w:val="center"/>
          </w:tcPr>
          <w:p w14:paraId="75DDE9E6">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17</w:t>
            </w:r>
          </w:p>
        </w:tc>
        <w:tc>
          <w:tcPr>
            <w:tcW w:w="1083" w:type="dxa"/>
            <w:tcBorders>
              <w:top w:val="single" w:color="auto" w:sz="4" w:space="0"/>
              <w:left w:val="single" w:color="auto" w:sz="4" w:space="0"/>
              <w:bottom w:val="single" w:color="auto" w:sz="4" w:space="0"/>
              <w:right w:val="single" w:color="auto" w:sz="4" w:space="0"/>
            </w:tcBorders>
            <w:noWrap w:val="0"/>
            <w:vAlign w:val="center"/>
          </w:tcPr>
          <w:p w14:paraId="0B676D8A">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土工格栅</w:t>
            </w:r>
          </w:p>
        </w:tc>
        <w:tc>
          <w:tcPr>
            <w:tcW w:w="3067" w:type="dxa"/>
            <w:tcBorders>
              <w:top w:val="single" w:color="auto" w:sz="4" w:space="0"/>
              <w:left w:val="single" w:color="auto" w:sz="4" w:space="0"/>
              <w:bottom w:val="single" w:color="auto" w:sz="4" w:space="0"/>
              <w:right w:val="single" w:color="auto" w:sz="4" w:space="0"/>
            </w:tcBorders>
            <w:noWrap w:val="0"/>
            <w:vAlign w:val="center"/>
          </w:tcPr>
          <w:p w14:paraId="0C419C5E">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断裂强度，每延米屈服力，延伸率</w:t>
            </w:r>
          </w:p>
        </w:tc>
        <w:tc>
          <w:tcPr>
            <w:tcW w:w="693" w:type="dxa"/>
            <w:tcBorders>
              <w:top w:val="single" w:color="auto" w:sz="4" w:space="0"/>
              <w:left w:val="single" w:color="auto" w:sz="4" w:space="0"/>
              <w:bottom w:val="single" w:color="auto" w:sz="4" w:space="0"/>
              <w:right w:val="single" w:color="auto" w:sz="4" w:space="0"/>
            </w:tcBorders>
            <w:noWrap w:val="0"/>
            <w:vAlign w:val="center"/>
          </w:tcPr>
          <w:p w14:paraId="734C5D07">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组</w:t>
            </w:r>
          </w:p>
        </w:tc>
        <w:tc>
          <w:tcPr>
            <w:tcW w:w="0" w:type="auto"/>
            <w:tcBorders>
              <w:top w:val="single" w:color="auto" w:sz="4" w:space="0"/>
              <w:left w:val="single" w:color="auto" w:sz="4" w:space="0"/>
              <w:bottom w:val="single" w:color="auto" w:sz="4" w:space="0"/>
              <w:right w:val="single" w:color="auto" w:sz="4" w:space="0"/>
            </w:tcBorders>
            <w:noWrap/>
            <w:vAlign w:val="center"/>
          </w:tcPr>
          <w:p w14:paraId="30354887">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8</w:t>
            </w:r>
          </w:p>
        </w:tc>
        <w:tc>
          <w:tcPr>
            <w:tcW w:w="693" w:type="dxa"/>
            <w:tcBorders>
              <w:top w:val="single" w:color="auto" w:sz="4" w:space="0"/>
              <w:left w:val="single" w:color="auto" w:sz="4" w:space="0"/>
              <w:bottom w:val="single" w:color="auto" w:sz="4" w:space="0"/>
              <w:right w:val="single" w:color="auto" w:sz="4" w:space="0"/>
            </w:tcBorders>
            <w:noWrap w:val="0"/>
            <w:vAlign w:val="center"/>
          </w:tcPr>
          <w:p w14:paraId="62C77F20">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8</w:t>
            </w:r>
          </w:p>
        </w:tc>
        <w:tc>
          <w:tcPr>
            <w:tcW w:w="693" w:type="dxa"/>
            <w:tcBorders>
              <w:top w:val="single" w:color="auto" w:sz="4" w:space="0"/>
              <w:left w:val="single" w:color="auto" w:sz="4" w:space="0"/>
              <w:bottom w:val="single" w:color="auto" w:sz="4" w:space="0"/>
              <w:right w:val="single" w:color="auto" w:sz="4" w:space="0"/>
            </w:tcBorders>
            <w:noWrap w:val="0"/>
            <w:vAlign w:val="center"/>
          </w:tcPr>
          <w:p w14:paraId="7E604B2B">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8</w:t>
            </w:r>
          </w:p>
        </w:tc>
        <w:tc>
          <w:tcPr>
            <w:tcW w:w="693" w:type="dxa"/>
            <w:tcBorders>
              <w:top w:val="single" w:color="auto" w:sz="4" w:space="0"/>
              <w:left w:val="single" w:color="auto" w:sz="4" w:space="0"/>
              <w:bottom w:val="single" w:color="auto" w:sz="4" w:space="0"/>
              <w:right w:val="single" w:color="auto" w:sz="4" w:space="0"/>
            </w:tcBorders>
            <w:noWrap w:val="0"/>
            <w:vAlign w:val="center"/>
          </w:tcPr>
          <w:p w14:paraId="6450054D">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8</w:t>
            </w:r>
          </w:p>
        </w:tc>
        <w:tc>
          <w:tcPr>
            <w:tcW w:w="693" w:type="dxa"/>
            <w:tcBorders>
              <w:top w:val="single" w:color="auto" w:sz="4" w:space="0"/>
              <w:left w:val="single" w:color="auto" w:sz="4" w:space="0"/>
              <w:bottom w:val="single" w:color="auto" w:sz="4" w:space="0"/>
              <w:right w:val="single" w:color="auto" w:sz="4" w:space="0"/>
            </w:tcBorders>
            <w:noWrap w:val="0"/>
            <w:vAlign w:val="center"/>
          </w:tcPr>
          <w:p w14:paraId="147EB85E">
            <w:pPr>
              <w:jc w:val="left"/>
              <w:rPr>
                <w:rFonts w:hint="eastAsia" w:ascii="宋体" w:hAnsi="宋体" w:eastAsia="宋体" w:cs="宋体"/>
                <w:i w:val="0"/>
                <w:iCs w:val="0"/>
                <w:color w:val="auto"/>
                <w:sz w:val="20"/>
                <w:szCs w:val="20"/>
                <w:highlight w:val="none"/>
                <w:u w:val="none"/>
              </w:rPr>
            </w:pPr>
          </w:p>
        </w:tc>
      </w:tr>
      <w:tr w14:paraId="7ADCBC2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0" w:hRule="atLeast"/>
        </w:trPr>
        <w:tc>
          <w:tcPr>
            <w:tcW w:w="975" w:type="dxa"/>
            <w:tcBorders>
              <w:top w:val="single" w:color="auto" w:sz="4" w:space="0"/>
              <w:left w:val="single" w:color="auto" w:sz="4" w:space="0"/>
              <w:bottom w:val="single" w:color="auto" w:sz="4" w:space="0"/>
              <w:right w:val="single" w:color="auto" w:sz="4" w:space="0"/>
            </w:tcBorders>
            <w:noWrap w:val="0"/>
            <w:vAlign w:val="center"/>
          </w:tcPr>
          <w:p w14:paraId="1785E120">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18</w:t>
            </w:r>
          </w:p>
        </w:tc>
        <w:tc>
          <w:tcPr>
            <w:tcW w:w="1083" w:type="dxa"/>
            <w:tcBorders>
              <w:top w:val="single" w:color="auto" w:sz="4" w:space="0"/>
              <w:left w:val="single" w:color="auto" w:sz="4" w:space="0"/>
              <w:bottom w:val="single" w:color="auto" w:sz="4" w:space="0"/>
              <w:right w:val="single" w:color="auto" w:sz="4" w:space="0"/>
            </w:tcBorders>
            <w:noWrap w:val="0"/>
            <w:vAlign w:val="center"/>
          </w:tcPr>
          <w:p w14:paraId="762415F5">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锚夹具</w:t>
            </w:r>
          </w:p>
        </w:tc>
        <w:tc>
          <w:tcPr>
            <w:tcW w:w="3067" w:type="dxa"/>
            <w:tcBorders>
              <w:top w:val="single" w:color="auto" w:sz="4" w:space="0"/>
              <w:left w:val="single" w:color="auto" w:sz="4" w:space="0"/>
              <w:bottom w:val="single" w:color="auto" w:sz="4" w:space="0"/>
              <w:right w:val="single" w:color="auto" w:sz="4" w:space="0"/>
            </w:tcBorders>
            <w:noWrap w:val="0"/>
            <w:vAlign w:val="center"/>
          </w:tcPr>
          <w:p w14:paraId="5C6D1230">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硬度</w:t>
            </w:r>
          </w:p>
        </w:tc>
        <w:tc>
          <w:tcPr>
            <w:tcW w:w="693" w:type="dxa"/>
            <w:tcBorders>
              <w:top w:val="single" w:color="auto" w:sz="4" w:space="0"/>
              <w:left w:val="single" w:color="auto" w:sz="4" w:space="0"/>
              <w:bottom w:val="single" w:color="auto" w:sz="4" w:space="0"/>
              <w:right w:val="single" w:color="auto" w:sz="4" w:space="0"/>
            </w:tcBorders>
            <w:noWrap w:val="0"/>
            <w:vAlign w:val="center"/>
          </w:tcPr>
          <w:p w14:paraId="560C4E3A">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组</w:t>
            </w:r>
          </w:p>
        </w:tc>
        <w:tc>
          <w:tcPr>
            <w:tcW w:w="0" w:type="auto"/>
            <w:tcBorders>
              <w:top w:val="single" w:color="auto" w:sz="4" w:space="0"/>
              <w:left w:val="single" w:color="auto" w:sz="4" w:space="0"/>
              <w:bottom w:val="single" w:color="auto" w:sz="4" w:space="0"/>
              <w:right w:val="single" w:color="auto" w:sz="4" w:space="0"/>
            </w:tcBorders>
            <w:noWrap/>
            <w:vAlign w:val="center"/>
          </w:tcPr>
          <w:p w14:paraId="6BAC1266">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8</w:t>
            </w:r>
          </w:p>
        </w:tc>
        <w:tc>
          <w:tcPr>
            <w:tcW w:w="693" w:type="dxa"/>
            <w:tcBorders>
              <w:top w:val="single" w:color="auto" w:sz="4" w:space="0"/>
              <w:left w:val="single" w:color="auto" w:sz="4" w:space="0"/>
              <w:bottom w:val="single" w:color="auto" w:sz="4" w:space="0"/>
              <w:right w:val="single" w:color="auto" w:sz="4" w:space="0"/>
            </w:tcBorders>
            <w:noWrap w:val="0"/>
            <w:vAlign w:val="center"/>
          </w:tcPr>
          <w:p w14:paraId="1AFC5879">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8</w:t>
            </w:r>
          </w:p>
        </w:tc>
        <w:tc>
          <w:tcPr>
            <w:tcW w:w="693" w:type="dxa"/>
            <w:tcBorders>
              <w:top w:val="single" w:color="auto" w:sz="4" w:space="0"/>
              <w:left w:val="single" w:color="auto" w:sz="4" w:space="0"/>
              <w:bottom w:val="single" w:color="auto" w:sz="4" w:space="0"/>
              <w:right w:val="single" w:color="auto" w:sz="4" w:space="0"/>
            </w:tcBorders>
            <w:noWrap w:val="0"/>
            <w:vAlign w:val="center"/>
          </w:tcPr>
          <w:p w14:paraId="7CF34B50">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8</w:t>
            </w:r>
          </w:p>
        </w:tc>
        <w:tc>
          <w:tcPr>
            <w:tcW w:w="693" w:type="dxa"/>
            <w:tcBorders>
              <w:top w:val="single" w:color="auto" w:sz="4" w:space="0"/>
              <w:left w:val="single" w:color="auto" w:sz="4" w:space="0"/>
              <w:bottom w:val="single" w:color="auto" w:sz="4" w:space="0"/>
              <w:right w:val="single" w:color="auto" w:sz="4" w:space="0"/>
            </w:tcBorders>
            <w:noWrap w:val="0"/>
            <w:vAlign w:val="center"/>
          </w:tcPr>
          <w:p w14:paraId="5FA8B98C">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8</w:t>
            </w:r>
          </w:p>
        </w:tc>
        <w:tc>
          <w:tcPr>
            <w:tcW w:w="693" w:type="dxa"/>
            <w:tcBorders>
              <w:top w:val="single" w:color="auto" w:sz="4" w:space="0"/>
              <w:left w:val="single" w:color="auto" w:sz="4" w:space="0"/>
              <w:bottom w:val="single" w:color="auto" w:sz="4" w:space="0"/>
              <w:right w:val="single" w:color="auto" w:sz="4" w:space="0"/>
            </w:tcBorders>
            <w:noWrap w:val="0"/>
            <w:vAlign w:val="center"/>
          </w:tcPr>
          <w:p w14:paraId="5E775088">
            <w:pPr>
              <w:jc w:val="left"/>
              <w:rPr>
                <w:rFonts w:hint="eastAsia" w:ascii="宋体" w:hAnsi="宋体" w:eastAsia="宋体" w:cs="宋体"/>
                <w:i w:val="0"/>
                <w:iCs w:val="0"/>
                <w:color w:val="auto"/>
                <w:sz w:val="20"/>
                <w:szCs w:val="20"/>
                <w:highlight w:val="none"/>
                <w:u w:val="none"/>
              </w:rPr>
            </w:pPr>
          </w:p>
        </w:tc>
      </w:tr>
      <w:tr w14:paraId="3FAA59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0" w:hRule="atLeast"/>
        </w:trPr>
        <w:tc>
          <w:tcPr>
            <w:tcW w:w="975" w:type="dxa"/>
            <w:tcBorders>
              <w:top w:val="single" w:color="auto" w:sz="4" w:space="0"/>
              <w:left w:val="single" w:color="auto" w:sz="4" w:space="0"/>
              <w:bottom w:val="single" w:color="auto" w:sz="4" w:space="0"/>
              <w:right w:val="single" w:color="auto" w:sz="4" w:space="0"/>
            </w:tcBorders>
            <w:noWrap w:val="0"/>
            <w:vAlign w:val="center"/>
          </w:tcPr>
          <w:p w14:paraId="0ADE0803">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19</w:t>
            </w:r>
          </w:p>
        </w:tc>
        <w:tc>
          <w:tcPr>
            <w:tcW w:w="1083" w:type="dxa"/>
            <w:tcBorders>
              <w:top w:val="single" w:color="auto" w:sz="4" w:space="0"/>
              <w:left w:val="single" w:color="auto" w:sz="4" w:space="0"/>
              <w:bottom w:val="single" w:color="auto" w:sz="4" w:space="0"/>
              <w:right w:val="single" w:color="auto" w:sz="4" w:space="0"/>
            </w:tcBorders>
            <w:noWrap w:val="0"/>
            <w:vAlign w:val="center"/>
          </w:tcPr>
          <w:p w14:paraId="13D9DEA0">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防水涂料</w:t>
            </w:r>
          </w:p>
        </w:tc>
        <w:tc>
          <w:tcPr>
            <w:tcW w:w="3067" w:type="dxa"/>
            <w:tcBorders>
              <w:top w:val="single" w:color="auto" w:sz="4" w:space="0"/>
              <w:left w:val="single" w:color="auto" w:sz="4" w:space="0"/>
              <w:bottom w:val="single" w:color="auto" w:sz="4" w:space="0"/>
              <w:right w:val="single" w:color="auto" w:sz="4" w:space="0"/>
            </w:tcBorders>
            <w:noWrap w:val="0"/>
            <w:vAlign w:val="center"/>
          </w:tcPr>
          <w:p w14:paraId="43BAB5D1">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固体含量，拉伸强度，延伸性，不透水性，粘结强 度，热处理，碱处理，抗冻性</w:t>
            </w:r>
          </w:p>
        </w:tc>
        <w:tc>
          <w:tcPr>
            <w:tcW w:w="693" w:type="dxa"/>
            <w:tcBorders>
              <w:top w:val="single" w:color="auto" w:sz="4" w:space="0"/>
              <w:left w:val="single" w:color="auto" w:sz="4" w:space="0"/>
              <w:bottom w:val="single" w:color="auto" w:sz="4" w:space="0"/>
              <w:right w:val="single" w:color="auto" w:sz="4" w:space="0"/>
            </w:tcBorders>
            <w:noWrap w:val="0"/>
            <w:vAlign w:val="center"/>
          </w:tcPr>
          <w:p w14:paraId="60A830E1">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组</w:t>
            </w:r>
          </w:p>
        </w:tc>
        <w:tc>
          <w:tcPr>
            <w:tcW w:w="0" w:type="auto"/>
            <w:tcBorders>
              <w:top w:val="single" w:color="auto" w:sz="4" w:space="0"/>
              <w:left w:val="single" w:color="auto" w:sz="4" w:space="0"/>
              <w:bottom w:val="single" w:color="auto" w:sz="4" w:space="0"/>
              <w:right w:val="single" w:color="auto" w:sz="4" w:space="0"/>
            </w:tcBorders>
            <w:noWrap/>
            <w:vAlign w:val="center"/>
          </w:tcPr>
          <w:p w14:paraId="77DEB18F">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8</w:t>
            </w:r>
          </w:p>
        </w:tc>
        <w:tc>
          <w:tcPr>
            <w:tcW w:w="693" w:type="dxa"/>
            <w:tcBorders>
              <w:top w:val="single" w:color="auto" w:sz="4" w:space="0"/>
              <w:left w:val="single" w:color="auto" w:sz="4" w:space="0"/>
              <w:bottom w:val="single" w:color="auto" w:sz="4" w:space="0"/>
              <w:right w:val="single" w:color="auto" w:sz="4" w:space="0"/>
            </w:tcBorders>
            <w:noWrap w:val="0"/>
            <w:vAlign w:val="center"/>
          </w:tcPr>
          <w:p w14:paraId="20496789">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8</w:t>
            </w:r>
          </w:p>
        </w:tc>
        <w:tc>
          <w:tcPr>
            <w:tcW w:w="693" w:type="dxa"/>
            <w:tcBorders>
              <w:top w:val="single" w:color="auto" w:sz="4" w:space="0"/>
              <w:left w:val="single" w:color="auto" w:sz="4" w:space="0"/>
              <w:bottom w:val="single" w:color="auto" w:sz="4" w:space="0"/>
              <w:right w:val="single" w:color="auto" w:sz="4" w:space="0"/>
            </w:tcBorders>
            <w:noWrap w:val="0"/>
            <w:vAlign w:val="center"/>
          </w:tcPr>
          <w:p w14:paraId="3DEE8C71">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8</w:t>
            </w:r>
          </w:p>
        </w:tc>
        <w:tc>
          <w:tcPr>
            <w:tcW w:w="693" w:type="dxa"/>
            <w:tcBorders>
              <w:top w:val="single" w:color="auto" w:sz="4" w:space="0"/>
              <w:left w:val="single" w:color="auto" w:sz="4" w:space="0"/>
              <w:bottom w:val="single" w:color="auto" w:sz="4" w:space="0"/>
              <w:right w:val="single" w:color="auto" w:sz="4" w:space="0"/>
            </w:tcBorders>
            <w:noWrap w:val="0"/>
            <w:vAlign w:val="center"/>
          </w:tcPr>
          <w:p w14:paraId="6B3ECBFD">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8</w:t>
            </w:r>
          </w:p>
        </w:tc>
        <w:tc>
          <w:tcPr>
            <w:tcW w:w="693" w:type="dxa"/>
            <w:tcBorders>
              <w:top w:val="single" w:color="auto" w:sz="4" w:space="0"/>
              <w:left w:val="single" w:color="auto" w:sz="4" w:space="0"/>
              <w:bottom w:val="single" w:color="auto" w:sz="4" w:space="0"/>
              <w:right w:val="single" w:color="auto" w:sz="4" w:space="0"/>
            </w:tcBorders>
            <w:noWrap w:val="0"/>
            <w:vAlign w:val="center"/>
          </w:tcPr>
          <w:p w14:paraId="579B8E64">
            <w:pPr>
              <w:jc w:val="left"/>
              <w:rPr>
                <w:rFonts w:hint="eastAsia" w:ascii="宋体" w:hAnsi="宋体" w:eastAsia="宋体" w:cs="宋体"/>
                <w:i w:val="0"/>
                <w:iCs w:val="0"/>
                <w:color w:val="auto"/>
                <w:sz w:val="20"/>
                <w:szCs w:val="20"/>
                <w:highlight w:val="none"/>
                <w:u w:val="none"/>
              </w:rPr>
            </w:pPr>
          </w:p>
        </w:tc>
      </w:tr>
      <w:tr w14:paraId="3E9FCB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0" w:hRule="atLeast"/>
        </w:trPr>
        <w:tc>
          <w:tcPr>
            <w:tcW w:w="975" w:type="dxa"/>
            <w:tcBorders>
              <w:top w:val="single" w:color="auto" w:sz="4" w:space="0"/>
              <w:left w:val="single" w:color="auto" w:sz="4" w:space="0"/>
              <w:bottom w:val="single" w:color="auto" w:sz="4" w:space="0"/>
              <w:right w:val="single" w:color="auto" w:sz="4" w:space="0"/>
            </w:tcBorders>
            <w:noWrap w:val="0"/>
            <w:vAlign w:val="center"/>
          </w:tcPr>
          <w:p w14:paraId="7799B2C7">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20</w:t>
            </w:r>
          </w:p>
        </w:tc>
        <w:tc>
          <w:tcPr>
            <w:tcW w:w="1083" w:type="dxa"/>
            <w:tcBorders>
              <w:top w:val="single" w:color="auto" w:sz="4" w:space="0"/>
              <w:left w:val="single" w:color="auto" w:sz="4" w:space="0"/>
              <w:bottom w:val="single" w:color="auto" w:sz="4" w:space="0"/>
              <w:right w:val="single" w:color="auto" w:sz="4" w:space="0"/>
            </w:tcBorders>
            <w:noWrap w:val="0"/>
            <w:vAlign w:val="center"/>
          </w:tcPr>
          <w:p w14:paraId="05EDA5F5">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防水卷材</w:t>
            </w:r>
          </w:p>
        </w:tc>
        <w:tc>
          <w:tcPr>
            <w:tcW w:w="3067" w:type="dxa"/>
            <w:tcBorders>
              <w:top w:val="single" w:color="auto" w:sz="4" w:space="0"/>
              <w:left w:val="single" w:color="auto" w:sz="4" w:space="0"/>
              <w:bottom w:val="single" w:color="auto" w:sz="4" w:space="0"/>
              <w:right w:val="single" w:color="auto" w:sz="4" w:space="0"/>
            </w:tcBorders>
            <w:noWrap w:val="0"/>
            <w:vAlign w:val="center"/>
          </w:tcPr>
          <w:p w14:paraId="272C2A7C">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外观，不透水性，热处理尺寸变化(加热伸缩)，抗 拉强度，断裂延伸率，柔度，吸水率，撕裂强度</w:t>
            </w:r>
          </w:p>
        </w:tc>
        <w:tc>
          <w:tcPr>
            <w:tcW w:w="693" w:type="dxa"/>
            <w:tcBorders>
              <w:top w:val="single" w:color="auto" w:sz="4" w:space="0"/>
              <w:left w:val="single" w:color="auto" w:sz="4" w:space="0"/>
              <w:bottom w:val="single" w:color="auto" w:sz="4" w:space="0"/>
              <w:right w:val="single" w:color="auto" w:sz="4" w:space="0"/>
            </w:tcBorders>
            <w:noWrap w:val="0"/>
            <w:vAlign w:val="center"/>
          </w:tcPr>
          <w:p w14:paraId="4504CDCA">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组</w:t>
            </w:r>
          </w:p>
        </w:tc>
        <w:tc>
          <w:tcPr>
            <w:tcW w:w="0" w:type="auto"/>
            <w:tcBorders>
              <w:top w:val="single" w:color="auto" w:sz="4" w:space="0"/>
              <w:left w:val="single" w:color="auto" w:sz="4" w:space="0"/>
              <w:bottom w:val="single" w:color="auto" w:sz="4" w:space="0"/>
              <w:right w:val="single" w:color="auto" w:sz="4" w:space="0"/>
            </w:tcBorders>
            <w:noWrap/>
            <w:vAlign w:val="center"/>
          </w:tcPr>
          <w:p w14:paraId="096F0D46">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8</w:t>
            </w:r>
          </w:p>
        </w:tc>
        <w:tc>
          <w:tcPr>
            <w:tcW w:w="693" w:type="dxa"/>
            <w:tcBorders>
              <w:top w:val="single" w:color="auto" w:sz="4" w:space="0"/>
              <w:left w:val="single" w:color="auto" w:sz="4" w:space="0"/>
              <w:bottom w:val="single" w:color="auto" w:sz="4" w:space="0"/>
              <w:right w:val="single" w:color="auto" w:sz="4" w:space="0"/>
            </w:tcBorders>
            <w:noWrap w:val="0"/>
            <w:vAlign w:val="center"/>
          </w:tcPr>
          <w:p w14:paraId="0630C63C">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8</w:t>
            </w:r>
          </w:p>
        </w:tc>
        <w:tc>
          <w:tcPr>
            <w:tcW w:w="693" w:type="dxa"/>
            <w:tcBorders>
              <w:top w:val="single" w:color="auto" w:sz="4" w:space="0"/>
              <w:left w:val="single" w:color="auto" w:sz="4" w:space="0"/>
              <w:bottom w:val="single" w:color="auto" w:sz="4" w:space="0"/>
              <w:right w:val="single" w:color="auto" w:sz="4" w:space="0"/>
            </w:tcBorders>
            <w:noWrap w:val="0"/>
            <w:vAlign w:val="center"/>
          </w:tcPr>
          <w:p w14:paraId="73560553">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8</w:t>
            </w:r>
          </w:p>
        </w:tc>
        <w:tc>
          <w:tcPr>
            <w:tcW w:w="0" w:type="auto"/>
            <w:tcBorders>
              <w:top w:val="single" w:color="auto" w:sz="4" w:space="0"/>
              <w:left w:val="single" w:color="auto" w:sz="4" w:space="0"/>
              <w:bottom w:val="single" w:color="auto" w:sz="4" w:space="0"/>
              <w:right w:val="single" w:color="auto" w:sz="4" w:space="0"/>
            </w:tcBorders>
            <w:noWrap/>
            <w:vAlign w:val="center"/>
          </w:tcPr>
          <w:p w14:paraId="52407463">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8</w:t>
            </w:r>
          </w:p>
        </w:tc>
        <w:tc>
          <w:tcPr>
            <w:tcW w:w="0" w:type="auto"/>
            <w:tcBorders>
              <w:top w:val="single" w:color="auto" w:sz="4" w:space="0"/>
              <w:left w:val="single" w:color="auto" w:sz="4" w:space="0"/>
              <w:bottom w:val="single" w:color="auto" w:sz="4" w:space="0"/>
              <w:right w:val="single" w:color="auto" w:sz="4" w:space="0"/>
            </w:tcBorders>
            <w:noWrap/>
            <w:vAlign w:val="center"/>
          </w:tcPr>
          <w:p w14:paraId="4ED1D93D">
            <w:pPr>
              <w:rPr>
                <w:rFonts w:hint="eastAsia" w:ascii="宋体" w:hAnsi="宋体" w:eastAsia="宋体" w:cs="宋体"/>
                <w:i w:val="0"/>
                <w:iCs w:val="0"/>
                <w:color w:val="auto"/>
                <w:sz w:val="22"/>
                <w:szCs w:val="22"/>
                <w:highlight w:val="none"/>
                <w:u w:val="none"/>
              </w:rPr>
            </w:pPr>
          </w:p>
        </w:tc>
      </w:tr>
      <w:tr w14:paraId="7DB3136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0" w:hRule="atLeast"/>
        </w:trPr>
        <w:tc>
          <w:tcPr>
            <w:tcW w:w="975" w:type="dxa"/>
            <w:tcBorders>
              <w:top w:val="single" w:color="auto" w:sz="4" w:space="0"/>
              <w:left w:val="single" w:color="auto" w:sz="4" w:space="0"/>
              <w:bottom w:val="single" w:color="auto" w:sz="4" w:space="0"/>
              <w:right w:val="single" w:color="auto" w:sz="4" w:space="0"/>
            </w:tcBorders>
            <w:noWrap w:val="0"/>
            <w:vAlign w:val="center"/>
          </w:tcPr>
          <w:p w14:paraId="2F6A83DD">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21</w:t>
            </w:r>
          </w:p>
        </w:tc>
        <w:tc>
          <w:tcPr>
            <w:tcW w:w="1083" w:type="dxa"/>
            <w:tcBorders>
              <w:top w:val="single" w:color="auto" w:sz="4" w:space="0"/>
              <w:left w:val="single" w:color="auto" w:sz="4" w:space="0"/>
              <w:bottom w:val="single" w:color="auto" w:sz="4" w:space="0"/>
              <w:right w:val="single" w:color="auto" w:sz="4" w:space="0"/>
            </w:tcBorders>
            <w:noWrap w:val="0"/>
            <w:vAlign w:val="center"/>
          </w:tcPr>
          <w:p w14:paraId="28B4CD99">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砖</w:t>
            </w:r>
          </w:p>
        </w:tc>
        <w:tc>
          <w:tcPr>
            <w:tcW w:w="3067" w:type="dxa"/>
            <w:tcBorders>
              <w:top w:val="single" w:color="auto" w:sz="4" w:space="0"/>
              <w:left w:val="single" w:color="auto" w:sz="4" w:space="0"/>
              <w:bottom w:val="single" w:color="auto" w:sz="4" w:space="0"/>
              <w:right w:val="single" w:color="auto" w:sz="4" w:space="0"/>
            </w:tcBorders>
            <w:noWrap w:val="0"/>
            <w:vAlign w:val="center"/>
          </w:tcPr>
          <w:p w14:paraId="0DA5A53E">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抗压强度，吸水率，孔洞率，干燥收缩，体积密度， 抗渗性</w:t>
            </w:r>
          </w:p>
        </w:tc>
        <w:tc>
          <w:tcPr>
            <w:tcW w:w="693" w:type="dxa"/>
            <w:tcBorders>
              <w:top w:val="single" w:color="auto" w:sz="4" w:space="0"/>
              <w:left w:val="single" w:color="auto" w:sz="4" w:space="0"/>
              <w:bottom w:val="single" w:color="auto" w:sz="4" w:space="0"/>
              <w:right w:val="single" w:color="auto" w:sz="4" w:space="0"/>
            </w:tcBorders>
            <w:noWrap w:val="0"/>
            <w:vAlign w:val="center"/>
          </w:tcPr>
          <w:p w14:paraId="075B2242">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组</w:t>
            </w:r>
          </w:p>
        </w:tc>
        <w:tc>
          <w:tcPr>
            <w:tcW w:w="0" w:type="auto"/>
            <w:tcBorders>
              <w:top w:val="single" w:color="auto" w:sz="4" w:space="0"/>
              <w:left w:val="single" w:color="auto" w:sz="4" w:space="0"/>
              <w:bottom w:val="single" w:color="auto" w:sz="4" w:space="0"/>
              <w:right w:val="single" w:color="auto" w:sz="4" w:space="0"/>
            </w:tcBorders>
            <w:noWrap/>
            <w:vAlign w:val="center"/>
          </w:tcPr>
          <w:p w14:paraId="20D78F98">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8</w:t>
            </w:r>
          </w:p>
        </w:tc>
        <w:tc>
          <w:tcPr>
            <w:tcW w:w="693" w:type="dxa"/>
            <w:tcBorders>
              <w:top w:val="single" w:color="auto" w:sz="4" w:space="0"/>
              <w:left w:val="single" w:color="auto" w:sz="4" w:space="0"/>
              <w:bottom w:val="single" w:color="auto" w:sz="4" w:space="0"/>
              <w:right w:val="single" w:color="auto" w:sz="4" w:space="0"/>
            </w:tcBorders>
            <w:noWrap w:val="0"/>
            <w:vAlign w:val="center"/>
          </w:tcPr>
          <w:p w14:paraId="41D54CB1">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8</w:t>
            </w:r>
          </w:p>
        </w:tc>
        <w:tc>
          <w:tcPr>
            <w:tcW w:w="693" w:type="dxa"/>
            <w:tcBorders>
              <w:top w:val="single" w:color="auto" w:sz="4" w:space="0"/>
              <w:left w:val="single" w:color="auto" w:sz="4" w:space="0"/>
              <w:bottom w:val="single" w:color="auto" w:sz="4" w:space="0"/>
              <w:right w:val="single" w:color="auto" w:sz="4" w:space="0"/>
            </w:tcBorders>
            <w:noWrap w:val="0"/>
            <w:vAlign w:val="center"/>
          </w:tcPr>
          <w:p w14:paraId="19F18B8F">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8</w:t>
            </w:r>
          </w:p>
        </w:tc>
        <w:tc>
          <w:tcPr>
            <w:tcW w:w="693" w:type="dxa"/>
            <w:tcBorders>
              <w:top w:val="single" w:color="auto" w:sz="4" w:space="0"/>
              <w:left w:val="single" w:color="auto" w:sz="4" w:space="0"/>
              <w:bottom w:val="single" w:color="auto" w:sz="4" w:space="0"/>
              <w:right w:val="single" w:color="auto" w:sz="4" w:space="0"/>
            </w:tcBorders>
            <w:noWrap w:val="0"/>
            <w:vAlign w:val="center"/>
          </w:tcPr>
          <w:p w14:paraId="1ED00861">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8</w:t>
            </w:r>
          </w:p>
        </w:tc>
        <w:tc>
          <w:tcPr>
            <w:tcW w:w="693" w:type="dxa"/>
            <w:tcBorders>
              <w:top w:val="single" w:color="auto" w:sz="4" w:space="0"/>
              <w:left w:val="single" w:color="auto" w:sz="4" w:space="0"/>
              <w:bottom w:val="single" w:color="auto" w:sz="4" w:space="0"/>
              <w:right w:val="single" w:color="auto" w:sz="4" w:space="0"/>
            </w:tcBorders>
            <w:noWrap w:val="0"/>
            <w:vAlign w:val="center"/>
          </w:tcPr>
          <w:p w14:paraId="3F71461C">
            <w:pPr>
              <w:jc w:val="center"/>
              <w:rPr>
                <w:rFonts w:hint="eastAsia" w:ascii="宋体" w:hAnsi="宋体" w:eastAsia="宋体" w:cs="宋体"/>
                <w:i w:val="0"/>
                <w:iCs w:val="0"/>
                <w:color w:val="auto"/>
                <w:sz w:val="18"/>
                <w:szCs w:val="18"/>
                <w:highlight w:val="none"/>
                <w:u w:val="none"/>
              </w:rPr>
            </w:pPr>
          </w:p>
        </w:tc>
      </w:tr>
      <w:tr w14:paraId="277373C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0" w:hRule="atLeast"/>
        </w:trPr>
        <w:tc>
          <w:tcPr>
            <w:tcW w:w="975" w:type="dxa"/>
            <w:tcBorders>
              <w:top w:val="single" w:color="auto" w:sz="4" w:space="0"/>
              <w:left w:val="single" w:color="auto" w:sz="4" w:space="0"/>
              <w:bottom w:val="single" w:color="auto" w:sz="4" w:space="0"/>
              <w:right w:val="single" w:color="auto" w:sz="4" w:space="0"/>
            </w:tcBorders>
            <w:noWrap w:val="0"/>
            <w:vAlign w:val="center"/>
          </w:tcPr>
          <w:p w14:paraId="55583C15">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22</w:t>
            </w:r>
          </w:p>
        </w:tc>
        <w:tc>
          <w:tcPr>
            <w:tcW w:w="1083" w:type="dxa"/>
            <w:tcBorders>
              <w:top w:val="single" w:color="auto" w:sz="4" w:space="0"/>
              <w:left w:val="single" w:color="auto" w:sz="4" w:space="0"/>
              <w:bottom w:val="single" w:color="auto" w:sz="4" w:space="0"/>
              <w:right w:val="single" w:color="auto" w:sz="4" w:space="0"/>
            </w:tcBorders>
            <w:noWrap w:val="0"/>
            <w:vAlign w:val="center"/>
          </w:tcPr>
          <w:p w14:paraId="635272A1">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pvc 管</w:t>
            </w:r>
          </w:p>
        </w:tc>
        <w:tc>
          <w:tcPr>
            <w:tcW w:w="3067" w:type="dxa"/>
            <w:tcBorders>
              <w:top w:val="single" w:color="auto" w:sz="4" w:space="0"/>
              <w:left w:val="single" w:color="auto" w:sz="4" w:space="0"/>
              <w:bottom w:val="single" w:color="auto" w:sz="4" w:space="0"/>
              <w:right w:val="single" w:color="auto" w:sz="4" w:space="0"/>
            </w:tcBorders>
            <w:noWrap w:val="0"/>
            <w:vAlign w:val="center"/>
          </w:tcPr>
          <w:p w14:paraId="3E5E8959">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外径，壁厚，拉伸屈服强度，落锤冲击试验</w:t>
            </w:r>
          </w:p>
        </w:tc>
        <w:tc>
          <w:tcPr>
            <w:tcW w:w="693" w:type="dxa"/>
            <w:tcBorders>
              <w:top w:val="single" w:color="auto" w:sz="4" w:space="0"/>
              <w:left w:val="single" w:color="auto" w:sz="4" w:space="0"/>
              <w:bottom w:val="single" w:color="auto" w:sz="4" w:space="0"/>
              <w:right w:val="single" w:color="auto" w:sz="4" w:space="0"/>
            </w:tcBorders>
            <w:noWrap w:val="0"/>
            <w:vAlign w:val="center"/>
          </w:tcPr>
          <w:p w14:paraId="12620392">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组</w:t>
            </w:r>
          </w:p>
        </w:tc>
        <w:tc>
          <w:tcPr>
            <w:tcW w:w="0" w:type="auto"/>
            <w:tcBorders>
              <w:top w:val="single" w:color="auto" w:sz="4" w:space="0"/>
              <w:left w:val="single" w:color="auto" w:sz="4" w:space="0"/>
              <w:bottom w:val="single" w:color="auto" w:sz="4" w:space="0"/>
              <w:right w:val="single" w:color="auto" w:sz="4" w:space="0"/>
            </w:tcBorders>
            <w:noWrap/>
            <w:vAlign w:val="center"/>
          </w:tcPr>
          <w:p w14:paraId="19123DBD">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8</w:t>
            </w:r>
          </w:p>
        </w:tc>
        <w:tc>
          <w:tcPr>
            <w:tcW w:w="693" w:type="dxa"/>
            <w:tcBorders>
              <w:top w:val="single" w:color="auto" w:sz="4" w:space="0"/>
              <w:left w:val="single" w:color="auto" w:sz="4" w:space="0"/>
              <w:bottom w:val="single" w:color="auto" w:sz="4" w:space="0"/>
              <w:right w:val="single" w:color="auto" w:sz="4" w:space="0"/>
            </w:tcBorders>
            <w:noWrap w:val="0"/>
            <w:vAlign w:val="center"/>
          </w:tcPr>
          <w:p w14:paraId="32D48312">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8</w:t>
            </w:r>
          </w:p>
        </w:tc>
        <w:tc>
          <w:tcPr>
            <w:tcW w:w="693" w:type="dxa"/>
            <w:tcBorders>
              <w:top w:val="single" w:color="auto" w:sz="4" w:space="0"/>
              <w:left w:val="single" w:color="auto" w:sz="4" w:space="0"/>
              <w:bottom w:val="single" w:color="auto" w:sz="4" w:space="0"/>
              <w:right w:val="single" w:color="auto" w:sz="4" w:space="0"/>
            </w:tcBorders>
            <w:noWrap w:val="0"/>
            <w:vAlign w:val="center"/>
          </w:tcPr>
          <w:p w14:paraId="3D80D49D">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8</w:t>
            </w:r>
          </w:p>
        </w:tc>
        <w:tc>
          <w:tcPr>
            <w:tcW w:w="693" w:type="dxa"/>
            <w:tcBorders>
              <w:top w:val="single" w:color="auto" w:sz="4" w:space="0"/>
              <w:left w:val="single" w:color="auto" w:sz="4" w:space="0"/>
              <w:bottom w:val="single" w:color="auto" w:sz="4" w:space="0"/>
              <w:right w:val="single" w:color="auto" w:sz="4" w:space="0"/>
            </w:tcBorders>
            <w:noWrap w:val="0"/>
            <w:vAlign w:val="center"/>
          </w:tcPr>
          <w:p w14:paraId="6BD54F75">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8</w:t>
            </w:r>
          </w:p>
        </w:tc>
        <w:tc>
          <w:tcPr>
            <w:tcW w:w="693" w:type="dxa"/>
            <w:tcBorders>
              <w:top w:val="single" w:color="auto" w:sz="4" w:space="0"/>
              <w:left w:val="single" w:color="auto" w:sz="4" w:space="0"/>
              <w:bottom w:val="single" w:color="auto" w:sz="4" w:space="0"/>
              <w:right w:val="single" w:color="auto" w:sz="4" w:space="0"/>
            </w:tcBorders>
            <w:noWrap w:val="0"/>
            <w:vAlign w:val="center"/>
          </w:tcPr>
          <w:p w14:paraId="04D31FD1">
            <w:pPr>
              <w:jc w:val="center"/>
              <w:rPr>
                <w:rFonts w:hint="eastAsia" w:ascii="宋体" w:hAnsi="宋体" w:eastAsia="宋体" w:cs="宋体"/>
                <w:i w:val="0"/>
                <w:iCs w:val="0"/>
                <w:color w:val="auto"/>
                <w:sz w:val="18"/>
                <w:szCs w:val="18"/>
                <w:highlight w:val="none"/>
                <w:u w:val="none"/>
              </w:rPr>
            </w:pPr>
          </w:p>
        </w:tc>
      </w:tr>
    </w:tbl>
    <w:p w14:paraId="2F40F8C7">
      <w:pPr>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br w:type="page"/>
      </w:r>
    </w:p>
    <w:tbl>
      <w:tblPr>
        <w:tblStyle w:val="45"/>
        <w:tblW w:w="9053" w:type="dxa"/>
        <w:tblInd w:w="96"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821"/>
        <w:gridCol w:w="854"/>
        <w:gridCol w:w="981"/>
        <w:gridCol w:w="1269"/>
        <w:gridCol w:w="693"/>
        <w:gridCol w:w="993"/>
        <w:gridCol w:w="993"/>
        <w:gridCol w:w="993"/>
        <w:gridCol w:w="993"/>
        <w:gridCol w:w="463"/>
      </w:tblGrid>
      <w:tr w14:paraId="1DD91DE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7" w:hRule="atLeast"/>
        </w:trPr>
        <w:tc>
          <w:tcPr>
            <w:tcW w:w="9053" w:type="dxa"/>
            <w:gridSpan w:val="10"/>
            <w:tcBorders>
              <w:top w:val="nil"/>
              <w:left w:val="nil"/>
              <w:bottom w:val="single" w:color="auto" w:sz="4" w:space="0"/>
              <w:right w:val="nil"/>
            </w:tcBorders>
            <w:noWrap/>
            <w:vAlign w:val="center"/>
          </w:tcPr>
          <w:p w14:paraId="1051EA92">
            <w:pPr>
              <w:keepNext w:val="0"/>
              <w:keepLines w:val="0"/>
              <w:widowControl/>
              <w:suppressLineNumbers w:val="0"/>
              <w:jc w:val="center"/>
              <w:textAlignment w:val="center"/>
              <w:rPr>
                <w:rFonts w:hint="eastAsia" w:ascii="宋体" w:hAnsi="宋体" w:eastAsia="宋体" w:cs="宋体"/>
                <w:b/>
                <w:bCs/>
                <w:i w:val="0"/>
                <w:iCs w:val="0"/>
                <w:color w:val="auto"/>
                <w:kern w:val="0"/>
                <w:sz w:val="28"/>
                <w:szCs w:val="28"/>
                <w:highlight w:val="none"/>
                <w:u w:val="none"/>
                <w:lang w:val="en-US" w:eastAsia="zh-CN" w:bidi="ar"/>
              </w:rPr>
            </w:pPr>
            <w:r>
              <w:rPr>
                <w:rStyle w:val="127"/>
                <w:rFonts w:hint="eastAsia" w:ascii="宋体" w:hAnsi="宋体" w:eastAsia="宋体" w:cs="宋体"/>
                <w:color w:val="auto"/>
                <w:sz w:val="28"/>
                <w:szCs w:val="28"/>
                <w:highlight w:val="none"/>
                <w:lang w:val="en-US" w:eastAsia="zh-CN" w:bidi="ar"/>
              </w:rPr>
              <w:t>2026年公路、铁路工程质量监督检测服务清单（铁路部分）</w:t>
            </w:r>
          </w:p>
          <w:p w14:paraId="5BF06399">
            <w:pPr>
              <w:keepNext w:val="0"/>
              <w:keepLines w:val="0"/>
              <w:widowControl/>
              <w:suppressLineNumbers w:val="0"/>
              <w:jc w:val="center"/>
              <w:textAlignment w:val="center"/>
              <w:rPr>
                <w:rFonts w:hint="eastAsia" w:ascii="宋体" w:hAnsi="宋体" w:eastAsia="宋体" w:cs="宋体"/>
                <w:b/>
                <w:bCs/>
                <w:i w:val="0"/>
                <w:iCs w:val="0"/>
                <w:color w:val="auto"/>
                <w:sz w:val="32"/>
                <w:szCs w:val="32"/>
                <w:highlight w:val="none"/>
                <w:u w:val="none"/>
              </w:rPr>
            </w:pPr>
            <w:r>
              <w:rPr>
                <w:rFonts w:hint="eastAsia" w:ascii="宋体" w:hAnsi="宋体" w:eastAsia="宋体" w:cs="宋体"/>
                <w:b/>
                <w:bCs/>
                <w:i w:val="0"/>
                <w:iCs w:val="0"/>
                <w:color w:val="auto"/>
                <w:kern w:val="0"/>
                <w:sz w:val="28"/>
                <w:szCs w:val="28"/>
                <w:highlight w:val="none"/>
                <w:u w:val="none"/>
                <w:lang w:val="en-US" w:eastAsia="zh-CN" w:bidi="ar"/>
              </w:rPr>
              <w:t>实体检测</w:t>
            </w:r>
          </w:p>
        </w:tc>
      </w:tr>
      <w:tr w14:paraId="64A48E7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7" w:hRule="atLeast"/>
        </w:trPr>
        <w:tc>
          <w:tcPr>
            <w:tcW w:w="821" w:type="dxa"/>
            <w:tcBorders>
              <w:top w:val="single" w:color="auto" w:sz="4" w:space="0"/>
              <w:left w:val="single" w:color="auto" w:sz="4" w:space="0"/>
              <w:bottom w:val="single" w:color="auto" w:sz="4" w:space="0"/>
              <w:right w:val="single" w:color="auto" w:sz="4" w:space="0"/>
            </w:tcBorders>
            <w:noWrap w:val="0"/>
            <w:vAlign w:val="center"/>
          </w:tcPr>
          <w:p w14:paraId="73620E69">
            <w:pPr>
              <w:keepNext w:val="0"/>
              <w:keepLines w:val="0"/>
              <w:widowControl/>
              <w:suppressLineNumbers w:val="0"/>
              <w:jc w:val="center"/>
              <w:textAlignment w:val="center"/>
              <w:rPr>
                <w:rFonts w:hint="eastAsia" w:ascii="宋体" w:hAnsi="宋体" w:eastAsia="宋体" w:cs="宋体"/>
                <w:b/>
                <w:bCs/>
                <w:i w:val="0"/>
                <w:iCs w:val="0"/>
                <w:color w:val="auto"/>
                <w:sz w:val="18"/>
                <w:szCs w:val="18"/>
                <w:highlight w:val="none"/>
                <w:u w:val="none"/>
              </w:rPr>
            </w:pPr>
            <w:r>
              <w:rPr>
                <w:rFonts w:hint="eastAsia" w:ascii="宋体" w:hAnsi="宋体" w:eastAsia="宋体" w:cs="宋体"/>
                <w:b/>
                <w:bCs/>
                <w:i w:val="0"/>
                <w:iCs w:val="0"/>
                <w:color w:val="auto"/>
                <w:kern w:val="0"/>
                <w:sz w:val="18"/>
                <w:szCs w:val="18"/>
                <w:highlight w:val="none"/>
                <w:u w:val="none"/>
                <w:lang w:val="en-US" w:eastAsia="zh-CN" w:bidi="ar"/>
              </w:rPr>
              <w:t>序号</w:t>
            </w:r>
          </w:p>
        </w:tc>
        <w:tc>
          <w:tcPr>
            <w:tcW w:w="1835" w:type="dxa"/>
            <w:gridSpan w:val="2"/>
            <w:tcBorders>
              <w:top w:val="single" w:color="auto" w:sz="4" w:space="0"/>
              <w:left w:val="single" w:color="auto" w:sz="4" w:space="0"/>
              <w:bottom w:val="single" w:color="auto" w:sz="4" w:space="0"/>
              <w:right w:val="single" w:color="auto" w:sz="4" w:space="0"/>
            </w:tcBorders>
            <w:noWrap w:val="0"/>
            <w:vAlign w:val="center"/>
          </w:tcPr>
          <w:p w14:paraId="6073D47A">
            <w:pPr>
              <w:keepNext w:val="0"/>
              <w:keepLines w:val="0"/>
              <w:widowControl/>
              <w:suppressLineNumbers w:val="0"/>
              <w:jc w:val="center"/>
              <w:textAlignment w:val="center"/>
              <w:rPr>
                <w:rFonts w:hint="eastAsia" w:ascii="宋体" w:hAnsi="宋体" w:eastAsia="宋体" w:cs="宋体"/>
                <w:b/>
                <w:bCs/>
                <w:i w:val="0"/>
                <w:iCs w:val="0"/>
                <w:color w:val="auto"/>
                <w:sz w:val="18"/>
                <w:szCs w:val="18"/>
                <w:highlight w:val="none"/>
                <w:u w:val="none"/>
              </w:rPr>
            </w:pPr>
            <w:r>
              <w:rPr>
                <w:rFonts w:hint="eastAsia" w:ascii="宋体" w:hAnsi="宋体" w:eastAsia="宋体" w:cs="宋体"/>
                <w:b/>
                <w:bCs/>
                <w:i w:val="0"/>
                <w:iCs w:val="0"/>
                <w:color w:val="auto"/>
                <w:kern w:val="0"/>
                <w:sz w:val="18"/>
                <w:szCs w:val="18"/>
                <w:highlight w:val="none"/>
                <w:u w:val="none"/>
                <w:lang w:val="en-US" w:eastAsia="zh-CN" w:bidi="ar"/>
              </w:rPr>
              <w:t>项目</w:t>
            </w:r>
          </w:p>
        </w:tc>
        <w:tc>
          <w:tcPr>
            <w:tcW w:w="1269" w:type="dxa"/>
            <w:tcBorders>
              <w:top w:val="single" w:color="auto" w:sz="4" w:space="0"/>
              <w:left w:val="single" w:color="auto" w:sz="4" w:space="0"/>
              <w:bottom w:val="single" w:color="auto" w:sz="4" w:space="0"/>
              <w:right w:val="single" w:color="auto" w:sz="4" w:space="0"/>
            </w:tcBorders>
            <w:noWrap w:val="0"/>
            <w:vAlign w:val="center"/>
          </w:tcPr>
          <w:p w14:paraId="6F41337E">
            <w:pPr>
              <w:keepNext w:val="0"/>
              <w:keepLines w:val="0"/>
              <w:widowControl/>
              <w:suppressLineNumbers w:val="0"/>
              <w:jc w:val="center"/>
              <w:textAlignment w:val="center"/>
              <w:rPr>
                <w:rFonts w:hint="eastAsia" w:ascii="宋体" w:hAnsi="宋体" w:eastAsia="宋体" w:cs="宋体"/>
                <w:b/>
                <w:bCs/>
                <w:i w:val="0"/>
                <w:iCs w:val="0"/>
                <w:color w:val="auto"/>
                <w:sz w:val="18"/>
                <w:szCs w:val="18"/>
                <w:highlight w:val="none"/>
                <w:u w:val="none"/>
              </w:rPr>
            </w:pPr>
            <w:r>
              <w:rPr>
                <w:rFonts w:hint="eastAsia" w:ascii="宋体" w:hAnsi="宋体" w:eastAsia="宋体" w:cs="宋体"/>
                <w:b/>
                <w:bCs/>
                <w:i w:val="0"/>
                <w:iCs w:val="0"/>
                <w:color w:val="auto"/>
                <w:kern w:val="0"/>
                <w:sz w:val="18"/>
                <w:szCs w:val="18"/>
                <w:highlight w:val="none"/>
                <w:u w:val="none"/>
                <w:lang w:val="en-US" w:eastAsia="zh-CN" w:bidi="ar"/>
              </w:rPr>
              <w:t>参数</w:t>
            </w:r>
          </w:p>
        </w:tc>
        <w:tc>
          <w:tcPr>
            <w:tcW w:w="693" w:type="dxa"/>
            <w:tcBorders>
              <w:top w:val="single" w:color="auto" w:sz="4" w:space="0"/>
              <w:left w:val="single" w:color="auto" w:sz="4" w:space="0"/>
              <w:bottom w:val="single" w:color="auto" w:sz="4" w:space="0"/>
              <w:right w:val="single" w:color="auto" w:sz="4" w:space="0"/>
            </w:tcBorders>
            <w:noWrap w:val="0"/>
            <w:vAlign w:val="center"/>
          </w:tcPr>
          <w:p w14:paraId="78A1E0AD">
            <w:pPr>
              <w:keepNext w:val="0"/>
              <w:keepLines w:val="0"/>
              <w:widowControl/>
              <w:suppressLineNumbers w:val="0"/>
              <w:jc w:val="center"/>
              <w:textAlignment w:val="center"/>
              <w:rPr>
                <w:rFonts w:hint="eastAsia" w:ascii="宋体" w:hAnsi="宋体" w:eastAsia="宋体" w:cs="宋体"/>
                <w:b/>
                <w:bCs/>
                <w:i w:val="0"/>
                <w:iCs w:val="0"/>
                <w:color w:val="auto"/>
                <w:sz w:val="18"/>
                <w:szCs w:val="18"/>
                <w:highlight w:val="none"/>
                <w:u w:val="none"/>
              </w:rPr>
            </w:pPr>
            <w:r>
              <w:rPr>
                <w:rFonts w:hint="eastAsia" w:ascii="宋体" w:hAnsi="宋体" w:eastAsia="宋体" w:cs="宋体"/>
                <w:b/>
                <w:bCs/>
                <w:i w:val="0"/>
                <w:iCs w:val="0"/>
                <w:color w:val="auto"/>
                <w:kern w:val="0"/>
                <w:sz w:val="18"/>
                <w:szCs w:val="18"/>
                <w:highlight w:val="none"/>
                <w:u w:val="none"/>
                <w:lang w:val="en-US" w:eastAsia="zh-CN" w:bidi="ar"/>
              </w:rPr>
              <w:t>单位</w:t>
            </w:r>
          </w:p>
        </w:tc>
        <w:tc>
          <w:tcPr>
            <w:tcW w:w="993" w:type="dxa"/>
            <w:tcBorders>
              <w:top w:val="single" w:color="auto" w:sz="4" w:space="0"/>
              <w:left w:val="single" w:color="auto" w:sz="4" w:space="0"/>
              <w:bottom w:val="single" w:color="auto" w:sz="4" w:space="0"/>
              <w:right w:val="single" w:color="auto" w:sz="4" w:space="0"/>
            </w:tcBorders>
            <w:noWrap w:val="0"/>
            <w:vAlign w:val="center"/>
          </w:tcPr>
          <w:p w14:paraId="713FEA19">
            <w:pPr>
              <w:keepNext w:val="0"/>
              <w:keepLines w:val="0"/>
              <w:widowControl/>
              <w:suppressLineNumbers w:val="0"/>
              <w:jc w:val="center"/>
              <w:textAlignment w:val="center"/>
              <w:rPr>
                <w:rFonts w:hint="eastAsia" w:ascii="宋体" w:hAnsi="宋体" w:eastAsia="宋体" w:cs="宋体"/>
                <w:b/>
                <w:bCs/>
                <w:i w:val="0"/>
                <w:iCs w:val="0"/>
                <w:color w:val="auto"/>
                <w:sz w:val="18"/>
                <w:szCs w:val="18"/>
                <w:highlight w:val="none"/>
                <w:u w:val="none"/>
              </w:rPr>
            </w:pPr>
            <w:r>
              <w:rPr>
                <w:rFonts w:hint="eastAsia" w:ascii="宋体" w:hAnsi="宋体" w:eastAsia="宋体" w:cs="宋体"/>
                <w:b/>
                <w:bCs/>
                <w:i w:val="0"/>
                <w:iCs w:val="0"/>
                <w:color w:val="auto"/>
                <w:kern w:val="0"/>
                <w:sz w:val="18"/>
                <w:szCs w:val="18"/>
                <w:highlight w:val="none"/>
                <w:u w:val="none"/>
                <w:lang w:val="en-US" w:eastAsia="zh-CN" w:bidi="ar"/>
              </w:rPr>
              <w:t>GLTLJD1标段数量</w:t>
            </w:r>
          </w:p>
        </w:tc>
        <w:tc>
          <w:tcPr>
            <w:tcW w:w="993" w:type="dxa"/>
            <w:tcBorders>
              <w:top w:val="single" w:color="auto" w:sz="4" w:space="0"/>
              <w:left w:val="single" w:color="auto" w:sz="4" w:space="0"/>
              <w:bottom w:val="single" w:color="auto" w:sz="4" w:space="0"/>
              <w:right w:val="single" w:color="auto" w:sz="4" w:space="0"/>
            </w:tcBorders>
            <w:noWrap w:val="0"/>
            <w:vAlign w:val="center"/>
          </w:tcPr>
          <w:p w14:paraId="68BD3D00">
            <w:pPr>
              <w:keepNext w:val="0"/>
              <w:keepLines w:val="0"/>
              <w:widowControl/>
              <w:suppressLineNumbers w:val="0"/>
              <w:jc w:val="center"/>
              <w:textAlignment w:val="center"/>
              <w:rPr>
                <w:rFonts w:hint="eastAsia" w:ascii="宋体" w:hAnsi="宋体" w:eastAsia="宋体" w:cs="宋体"/>
                <w:b/>
                <w:bCs/>
                <w:i w:val="0"/>
                <w:iCs w:val="0"/>
                <w:color w:val="auto"/>
                <w:sz w:val="18"/>
                <w:szCs w:val="18"/>
                <w:highlight w:val="none"/>
                <w:u w:val="none"/>
              </w:rPr>
            </w:pPr>
            <w:r>
              <w:rPr>
                <w:rFonts w:hint="eastAsia" w:ascii="宋体" w:hAnsi="宋体" w:eastAsia="宋体" w:cs="宋体"/>
                <w:b/>
                <w:bCs/>
                <w:i w:val="0"/>
                <w:iCs w:val="0"/>
                <w:color w:val="auto"/>
                <w:kern w:val="0"/>
                <w:sz w:val="18"/>
                <w:szCs w:val="18"/>
                <w:highlight w:val="none"/>
                <w:u w:val="none"/>
                <w:lang w:val="en-US" w:eastAsia="zh-CN" w:bidi="ar"/>
              </w:rPr>
              <w:t>GLTLJD2标段数量</w:t>
            </w:r>
          </w:p>
        </w:tc>
        <w:tc>
          <w:tcPr>
            <w:tcW w:w="993" w:type="dxa"/>
            <w:tcBorders>
              <w:top w:val="single" w:color="auto" w:sz="4" w:space="0"/>
              <w:left w:val="single" w:color="auto" w:sz="4" w:space="0"/>
              <w:bottom w:val="single" w:color="auto" w:sz="4" w:space="0"/>
              <w:right w:val="single" w:color="auto" w:sz="4" w:space="0"/>
            </w:tcBorders>
            <w:noWrap w:val="0"/>
            <w:vAlign w:val="center"/>
          </w:tcPr>
          <w:p w14:paraId="56E64B15">
            <w:pPr>
              <w:keepNext w:val="0"/>
              <w:keepLines w:val="0"/>
              <w:widowControl/>
              <w:suppressLineNumbers w:val="0"/>
              <w:jc w:val="center"/>
              <w:textAlignment w:val="center"/>
              <w:rPr>
                <w:rFonts w:hint="eastAsia" w:ascii="宋体" w:hAnsi="宋体" w:eastAsia="宋体" w:cs="宋体"/>
                <w:b/>
                <w:bCs/>
                <w:i w:val="0"/>
                <w:iCs w:val="0"/>
                <w:color w:val="auto"/>
                <w:sz w:val="18"/>
                <w:szCs w:val="18"/>
                <w:highlight w:val="none"/>
                <w:u w:val="none"/>
              </w:rPr>
            </w:pPr>
            <w:r>
              <w:rPr>
                <w:rFonts w:hint="eastAsia" w:ascii="宋体" w:hAnsi="宋体" w:eastAsia="宋体" w:cs="宋体"/>
                <w:b/>
                <w:bCs/>
                <w:i w:val="0"/>
                <w:iCs w:val="0"/>
                <w:color w:val="auto"/>
                <w:kern w:val="0"/>
                <w:sz w:val="18"/>
                <w:szCs w:val="18"/>
                <w:highlight w:val="none"/>
                <w:u w:val="none"/>
                <w:lang w:val="en-US" w:eastAsia="zh-CN" w:bidi="ar"/>
              </w:rPr>
              <w:t>GLTLJD3标段数量</w:t>
            </w:r>
          </w:p>
        </w:tc>
        <w:tc>
          <w:tcPr>
            <w:tcW w:w="993" w:type="dxa"/>
            <w:tcBorders>
              <w:top w:val="single" w:color="auto" w:sz="4" w:space="0"/>
              <w:left w:val="single" w:color="auto" w:sz="4" w:space="0"/>
              <w:bottom w:val="single" w:color="auto" w:sz="4" w:space="0"/>
              <w:right w:val="single" w:color="auto" w:sz="4" w:space="0"/>
            </w:tcBorders>
            <w:noWrap w:val="0"/>
            <w:vAlign w:val="center"/>
          </w:tcPr>
          <w:p w14:paraId="6E56083B">
            <w:pPr>
              <w:keepNext w:val="0"/>
              <w:keepLines w:val="0"/>
              <w:widowControl/>
              <w:suppressLineNumbers w:val="0"/>
              <w:jc w:val="center"/>
              <w:textAlignment w:val="center"/>
              <w:rPr>
                <w:rFonts w:hint="eastAsia" w:ascii="宋体" w:hAnsi="宋体" w:eastAsia="宋体" w:cs="宋体"/>
                <w:b/>
                <w:bCs/>
                <w:i w:val="0"/>
                <w:iCs w:val="0"/>
                <w:color w:val="auto"/>
                <w:sz w:val="18"/>
                <w:szCs w:val="18"/>
                <w:highlight w:val="none"/>
                <w:u w:val="none"/>
              </w:rPr>
            </w:pPr>
            <w:r>
              <w:rPr>
                <w:rFonts w:hint="eastAsia" w:ascii="宋体" w:hAnsi="宋体" w:eastAsia="宋体" w:cs="宋体"/>
                <w:b/>
                <w:bCs/>
                <w:i w:val="0"/>
                <w:iCs w:val="0"/>
                <w:color w:val="auto"/>
                <w:kern w:val="0"/>
                <w:sz w:val="18"/>
                <w:szCs w:val="18"/>
                <w:highlight w:val="none"/>
                <w:u w:val="none"/>
                <w:lang w:val="en-US" w:eastAsia="zh-CN" w:bidi="ar"/>
              </w:rPr>
              <w:t>GLTLJD4标段数量</w:t>
            </w:r>
          </w:p>
        </w:tc>
        <w:tc>
          <w:tcPr>
            <w:tcW w:w="463" w:type="dxa"/>
            <w:tcBorders>
              <w:top w:val="single" w:color="auto" w:sz="4" w:space="0"/>
              <w:left w:val="single" w:color="auto" w:sz="4" w:space="0"/>
              <w:bottom w:val="single" w:color="auto" w:sz="4" w:space="0"/>
              <w:right w:val="single" w:color="auto" w:sz="4" w:space="0"/>
            </w:tcBorders>
            <w:noWrap w:val="0"/>
            <w:vAlign w:val="center"/>
          </w:tcPr>
          <w:p w14:paraId="1EC76E22">
            <w:pPr>
              <w:keepNext w:val="0"/>
              <w:keepLines w:val="0"/>
              <w:widowControl/>
              <w:suppressLineNumbers w:val="0"/>
              <w:jc w:val="center"/>
              <w:textAlignment w:val="center"/>
              <w:rPr>
                <w:rFonts w:hint="eastAsia" w:ascii="宋体" w:hAnsi="宋体" w:eastAsia="宋体" w:cs="宋体"/>
                <w:b/>
                <w:bCs/>
                <w:i w:val="0"/>
                <w:iCs w:val="0"/>
                <w:color w:val="auto"/>
                <w:sz w:val="18"/>
                <w:szCs w:val="18"/>
                <w:highlight w:val="none"/>
                <w:u w:val="none"/>
              </w:rPr>
            </w:pPr>
            <w:r>
              <w:rPr>
                <w:rFonts w:hint="eastAsia" w:ascii="宋体" w:hAnsi="宋体" w:eastAsia="宋体" w:cs="宋体"/>
                <w:b/>
                <w:bCs/>
                <w:i w:val="0"/>
                <w:iCs w:val="0"/>
                <w:color w:val="auto"/>
                <w:kern w:val="0"/>
                <w:sz w:val="18"/>
                <w:szCs w:val="18"/>
                <w:highlight w:val="none"/>
                <w:u w:val="none"/>
                <w:lang w:val="en-US" w:eastAsia="zh-CN" w:bidi="ar"/>
              </w:rPr>
              <w:t>备注</w:t>
            </w:r>
          </w:p>
        </w:tc>
      </w:tr>
      <w:tr w14:paraId="134FEA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7" w:hRule="atLeast"/>
        </w:trPr>
        <w:tc>
          <w:tcPr>
            <w:tcW w:w="821" w:type="dxa"/>
            <w:tcBorders>
              <w:top w:val="single" w:color="auto" w:sz="4" w:space="0"/>
              <w:left w:val="single" w:color="auto" w:sz="4" w:space="0"/>
              <w:bottom w:val="single" w:color="auto" w:sz="4" w:space="0"/>
              <w:right w:val="single" w:color="auto" w:sz="4" w:space="0"/>
            </w:tcBorders>
            <w:noWrap w:val="0"/>
            <w:vAlign w:val="center"/>
          </w:tcPr>
          <w:p w14:paraId="4D222B36">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1</w:t>
            </w:r>
          </w:p>
        </w:tc>
        <w:tc>
          <w:tcPr>
            <w:tcW w:w="854" w:type="dxa"/>
            <w:vMerge w:val="restart"/>
            <w:tcBorders>
              <w:top w:val="single" w:color="auto" w:sz="4" w:space="0"/>
              <w:left w:val="single" w:color="auto" w:sz="4" w:space="0"/>
              <w:bottom w:val="single" w:color="auto" w:sz="4" w:space="0"/>
              <w:right w:val="single" w:color="auto" w:sz="4" w:space="0"/>
            </w:tcBorders>
            <w:noWrap w:val="0"/>
            <w:vAlign w:val="center"/>
          </w:tcPr>
          <w:p w14:paraId="3754579C">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路基</w:t>
            </w:r>
          </w:p>
        </w:tc>
        <w:tc>
          <w:tcPr>
            <w:tcW w:w="981" w:type="dxa"/>
            <w:tcBorders>
              <w:top w:val="single" w:color="auto" w:sz="4" w:space="0"/>
              <w:left w:val="single" w:color="auto" w:sz="4" w:space="0"/>
              <w:bottom w:val="single" w:color="auto" w:sz="4" w:space="0"/>
              <w:right w:val="single" w:color="auto" w:sz="4" w:space="0"/>
            </w:tcBorders>
            <w:noWrap w:val="0"/>
            <w:vAlign w:val="center"/>
          </w:tcPr>
          <w:p w14:paraId="23756BC8">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抗滑桩</w:t>
            </w:r>
          </w:p>
        </w:tc>
        <w:tc>
          <w:tcPr>
            <w:tcW w:w="1269" w:type="dxa"/>
            <w:tcBorders>
              <w:top w:val="single" w:color="auto" w:sz="4" w:space="0"/>
              <w:left w:val="single" w:color="auto" w:sz="4" w:space="0"/>
              <w:bottom w:val="single" w:color="auto" w:sz="4" w:space="0"/>
              <w:right w:val="single" w:color="auto" w:sz="4" w:space="0"/>
            </w:tcBorders>
            <w:noWrap w:val="0"/>
            <w:vAlign w:val="center"/>
          </w:tcPr>
          <w:p w14:paraId="600D7095">
            <w:pPr>
              <w:keepNext w:val="0"/>
              <w:keepLines w:val="0"/>
              <w:widowControl/>
              <w:suppressLineNumbers w:val="0"/>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完整性</w:t>
            </w:r>
          </w:p>
        </w:tc>
        <w:tc>
          <w:tcPr>
            <w:tcW w:w="693" w:type="dxa"/>
            <w:tcBorders>
              <w:top w:val="single" w:color="auto" w:sz="4" w:space="0"/>
              <w:left w:val="single" w:color="auto" w:sz="4" w:space="0"/>
              <w:bottom w:val="single" w:color="auto" w:sz="4" w:space="0"/>
              <w:right w:val="single" w:color="auto" w:sz="4" w:space="0"/>
            </w:tcBorders>
            <w:noWrap w:val="0"/>
            <w:vAlign w:val="center"/>
          </w:tcPr>
          <w:p w14:paraId="2E4CB8EB">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根</w:t>
            </w:r>
          </w:p>
        </w:tc>
        <w:tc>
          <w:tcPr>
            <w:tcW w:w="993" w:type="dxa"/>
            <w:tcBorders>
              <w:top w:val="single" w:color="auto" w:sz="4" w:space="0"/>
              <w:left w:val="single" w:color="auto" w:sz="4" w:space="0"/>
              <w:bottom w:val="single" w:color="auto" w:sz="4" w:space="0"/>
              <w:right w:val="single" w:color="auto" w:sz="4" w:space="0"/>
            </w:tcBorders>
            <w:noWrap/>
            <w:vAlign w:val="center"/>
          </w:tcPr>
          <w:p w14:paraId="6E471DEA">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75</w:t>
            </w:r>
          </w:p>
        </w:tc>
        <w:tc>
          <w:tcPr>
            <w:tcW w:w="993" w:type="dxa"/>
            <w:tcBorders>
              <w:top w:val="single" w:color="auto" w:sz="4" w:space="0"/>
              <w:left w:val="single" w:color="auto" w:sz="4" w:space="0"/>
              <w:bottom w:val="single" w:color="auto" w:sz="4" w:space="0"/>
              <w:right w:val="single" w:color="auto" w:sz="4" w:space="0"/>
            </w:tcBorders>
            <w:noWrap w:val="0"/>
            <w:vAlign w:val="center"/>
          </w:tcPr>
          <w:p w14:paraId="1DAC06BE">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75</w:t>
            </w:r>
          </w:p>
        </w:tc>
        <w:tc>
          <w:tcPr>
            <w:tcW w:w="993" w:type="dxa"/>
            <w:tcBorders>
              <w:top w:val="single" w:color="auto" w:sz="4" w:space="0"/>
              <w:left w:val="single" w:color="auto" w:sz="4" w:space="0"/>
              <w:bottom w:val="single" w:color="auto" w:sz="4" w:space="0"/>
              <w:right w:val="single" w:color="auto" w:sz="4" w:space="0"/>
            </w:tcBorders>
            <w:noWrap w:val="0"/>
            <w:vAlign w:val="center"/>
          </w:tcPr>
          <w:p w14:paraId="555D38E7">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75</w:t>
            </w:r>
          </w:p>
        </w:tc>
        <w:tc>
          <w:tcPr>
            <w:tcW w:w="993" w:type="dxa"/>
            <w:tcBorders>
              <w:top w:val="single" w:color="auto" w:sz="4" w:space="0"/>
              <w:left w:val="single" w:color="auto" w:sz="4" w:space="0"/>
              <w:bottom w:val="single" w:color="auto" w:sz="4" w:space="0"/>
              <w:right w:val="single" w:color="auto" w:sz="4" w:space="0"/>
            </w:tcBorders>
            <w:noWrap w:val="0"/>
            <w:vAlign w:val="center"/>
          </w:tcPr>
          <w:p w14:paraId="53C9B727">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75</w:t>
            </w:r>
          </w:p>
        </w:tc>
        <w:tc>
          <w:tcPr>
            <w:tcW w:w="463" w:type="dxa"/>
            <w:tcBorders>
              <w:top w:val="single" w:color="auto" w:sz="4" w:space="0"/>
              <w:left w:val="single" w:color="auto" w:sz="4" w:space="0"/>
              <w:bottom w:val="single" w:color="auto" w:sz="4" w:space="0"/>
              <w:right w:val="single" w:color="auto" w:sz="4" w:space="0"/>
            </w:tcBorders>
            <w:noWrap w:val="0"/>
            <w:vAlign w:val="center"/>
          </w:tcPr>
          <w:p w14:paraId="66F29A48">
            <w:pPr>
              <w:rPr>
                <w:rFonts w:hint="eastAsia" w:ascii="宋体" w:hAnsi="宋体" w:eastAsia="宋体" w:cs="宋体"/>
                <w:i w:val="0"/>
                <w:iCs w:val="0"/>
                <w:color w:val="auto"/>
                <w:sz w:val="20"/>
                <w:szCs w:val="20"/>
                <w:highlight w:val="none"/>
                <w:u w:val="none"/>
              </w:rPr>
            </w:pPr>
          </w:p>
        </w:tc>
      </w:tr>
      <w:tr w14:paraId="0C794F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7" w:hRule="atLeast"/>
        </w:trPr>
        <w:tc>
          <w:tcPr>
            <w:tcW w:w="821" w:type="dxa"/>
            <w:tcBorders>
              <w:top w:val="single" w:color="auto" w:sz="4" w:space="0"/>
              <w:left w:val="single" w:color="auto" w:sz="4" w:space="0"/>
              <w:bottom w:val="single" w:color="auto" w:sz="4" w:space="0"/>
              <w:right w:val="single" w:color="auto" w:sz="4" w:space="0"/>
            </w:tcBorders>
            <w:noWrap w:val="0"/>
            <w:vAlign w:val="center"/>
          </w:tcPr>
          <w:p w14:paraId="2C02A9C7">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2</w:t>
            </w:r>
          </w:p>
        </w:tc>
        <w:tc>
          <w:tcPr>
            <w:tcW w:w="854" w:type="dxa"/>
            <w:vMerge w:val="continue"/>
            <w:tcBorders>
              <w:top w:val="single" w:color="auto" w:sz="4" w:space="0"/>
              <w:left w:val="single" w:color="auto" w:sz="4" w:space="0"/>
              <w:bottom w:val="single" w:color="auto" w:sz="4" w:space="0"/>
              <w:right w:val="single" w:color="auto" w:sz="4" w:space="0"/>
            </w:tcBorders>
            <w:noWrap w:val="0"/>
            <w:vAlign w:val="center"/>
          </w:tcPr>
          <w:p w14:paraId="69C25D1D">
            <w:pPr>
              <w:jc w:val="center"/>
              <w:rPr>
                <w:rFonts w:hint="eastAsia" w:ascii="宋体" w:hAnsi="宋体" w:eastAsia="宋体" w:cs="宋体"/>
                <w:i w:val="0"/>
                <w:iCs w:val="0"/>
                <w:color w:val="auto"/>
                <w:sz w:val="18"/>
                <w:szCs w:val="18"/>
                <w:highlight w:val="none"/>
                <w:u w:val="none"/>
              </w:rPr>
            </w:pPr>
          </w:p>
        </w:tc>
        <w:tc>
          <w:tcPr>
            <w:tcW w:w="981" w:type="dxa"/>
            <w:vMerge w:val="restart"/>
            <w:tcBorders>
              <w:top w:val="single" w:color="auto" w:sz="4" w:space="0"/>
              <w:left w:val="single" w:color="auto" w:sz="4" w:space="0"/>
              <w:bottom w:val="single" w:color="auto" w:sz="4" w:space="0"/>
              <w:right w:val="single" w:color="auto" w:sz="4" w:space="0"/>
            </w:tcBorders>
            <w:noWrap w:val="0"/>
            <w:vAlign w:val="center"/>
          </w:tcPr>
          <w:p w14:paraId="40A493C7">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挡土墙</w:t>
            </w:r>
          </w:p>
        </w:tc>
        <w:tc>
          <w:tcPr>
            <w:tcW w:w="1269" w:type="dxa"/>
            <w:tcBorders>
              <w:top w:val="single" w:color="auto" w:sz="4" w:space="0"/>
              <w:left w:val="single" w:color="auto" w:sz="4" w:space="0"/>
              <w:bottom w:val="single" w:color="auto" w:sz="4" w:space="0"/>
              <w:right w:val="single" w:color="auto" w:sz="4" w:space="0"/>
            </w:tcBorders>
            <w:noWrap w:val="0"/>
            <w:vAlign w:val="center"/>
          </w:tcPr>
          <w:p w14:paraId="5D7E2D4A">
            <w:pPr>
              <w:keepNext w:val="0"/>
              <w:keepLines w:val="0"/>
              <w:widowControl/>
              <w:suppressLineNumbers w:val="0"/>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混凝土厚度、密实度</w:t>
            </w:r>
          </w:p>
        </w:tc>
        <w:tc>
          <w:tcPr>
            <w:tcW w:w="693" w:type="dxa"/>
            <w:tcBorders>
              <w:top w:val="single" w:color="auto" w:sz="4" w:space="0"/>
              <w:left w:val="single" w:color="auto" w:sz="4" w:space="0"/>
              <w:bottom w:val="single" w:color="auto" w:sz="4" w:space="0"/>
              <w:right w:val="single" w:color="auto" w:sz="4" w:space="0"/>
            </w:tcBorders>
            <w:noWrap w:val="0"/>
            <w:vAlign w:val="center"/>
          </w:tcPr>
          <w:p w14:paraId="71809657">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测线米</w:t>
            </w:r>
          </w:p>
        </w:tc>
        <w:tc>
          <w:tcPr>
            <w:tcW w:w="993" w:type="dxa"/>
            <w:tcBorders>
              <w:top w:val="single" w:color="auto" w:sz="4" w:space="0"/>
              <w:left w:val="single" w:color="auto" w:sz="4" w:space="0"/>
              <w:bottom w:val="single" w:color="auto" w:sz="4" w:space="0"/>
              <w:right w:val="single" w:color="auto" w:sz="4" w:space="0"/>
            </w:tcBorders>
            <w:noWrap/>
            <w:vAlign w:val="center"/>
          </w:tcPr>
          <w:p w14:paraId="41293FF8">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60</w:t>
            </w:r>
          </w:p>
        </w:tc>
        <w:tc>
          <w:tcPr>
            <w:tcW w:w="993" w:type="dxa"/>
            <w:tcBorders>
              <w:top w:val="single" w:color="auto" w:sz="4" w:space="0"/>
              <w:left w:val="single" w:color="auto" w:sz="4" w:space="0"/>
              <w:bottom w:val="single" w:color="auto" w:sz="4" w:space="0"/>
              <w:right w:val="single" w:color="auto" w:sz="4" w:space="0"/>
            </w:tcBorders>
            <w:noWrap w:val="0"/>
            <w:vAlign w:val="center"/>
          </w:tcPr>
          <w:p w14:paraId="05E5C6BC">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60</w:t>
            </w:r>
          </w:p>
        </w:tc>
        <w:tc>
          <w:tcPr>
            <w:tcW w:w="993" w:type="dxa"/>
            <w:tcBorders>
              <w:top w:val="single" w:color="auto" w:sz="4" w:space="0"/>
              <w:left w:val="single" w:color="auto" w:sz="4" w:space="0"/>
              <w:bottom w:val="single" w:color="auto" w:sz="4" w:space="0"/>
              <w:right w:val="single" w:color="auto" w:sz="4" w:space="0"/>
            </w:tcBorders>
            <w:noWrap w:val="0"/>
            <w:vAlign w:val="center"/>
          </w:tcPr>
          <w:p w14:paraId="29D5A7FE">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60</w:t>
            </w:r>
          </w:p>
        </w:tc>
        <w:tc>
          <w:tcPr>
            <w:tcW w:w="993" w:type="dxa"/>
            <w:tcBorders>
              <w:top w:val="single" w:color="auto" w:sz="4" w:space="0"/>
              <w:left w:val="single" w:color="auto" w:sz="4" w:space="0"/>
              <w:bottom w:val="single" w:color="auto" w:sz="4" w:space="0"/>
              <w:right w:val="single" w:color="auto" w:sz="4" w:space="0"/>
            </w:tcBorders>
            <w:noWrap w:val="0"/>
            <w:vAlign w:val="center"/>
          </w:tcPr>
          <w:p w14:paraId="2B8A0FC1">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60</w:t>
            </w:r>
          </w:p>
        </w:tc>
        <w:tc>
          <w:tcPr>
            <w:tcW w:w="463" w:type="dxa"/>
            <w:tcBorders>
              <w:top w:val="single" w:color="auto" w:sz="4" w:space="0"/>
              <w:left w:val="single" w:color="auto" w:sz="4" w:space="0"/>
              <w:bottom w:val="single" w:color="auto" w:sz="4" w:space="0"/>
              <w:right w:val="single" w:color="auto" w:sz="4" w:space="0"/>
            </w:tcBorders>
            <w:noWrap w:val="0"/>
            <w:vAlign w:val="center"/>
          </w:tcPr>
          <w:p w14:paraId="4889F39E">
            <w:pPr>
              <w:rPr>
                <w:rFonts w:hint="eastAsia" w:ascii="宋体" w:hAnsi="宋体" w:eastAsia="宋体" w:cs="宋体"/>
                <w:i w:val="0"/>
                <w:iCs w:val="0"/>
                <w:color w:val="auto"/>
                <w:sz w:val="20"/>
                <w:szCs w:val="20"/>
                <w:highlight w:val="none"/>
                <w:u w:val="none"/>
              </w:rPr>
            </w:pPr>
          </w:p>
        </w:tc>
      </w:tr>
      <w:tr w14:paraId="12B0B8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7" w:hRule="atLeast"/>
        </w:trPr>
        <w:tc>
          <w:tcPr>
            <w:tcW w:w="821" w:type="dxa"/>
            <w:tcBorders>
              <w:top w:val="single" w:color="auto" w:sz="4" w:space="0"/>
              <w:left w:val="single" w:color="auto" w:sz="4" w:space="0"/>
              <w:bottom w:val="single" w:color="auto" w:sz="4" w:space="0"/>
              <w:right w:val="single" w:color="auto" w:sz="4" w:space="0"/>
            </w:tcBorders>
            <w:noWrap w:val="0"/>
            <w:vAlign w:val="center"/>
          </w:tcPr>
          <w:p w14:paraId="3EBA93DB">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3</w:t>
            </w:r>
          </w:p>
        </w:tc>
        <w:tc>
          <w:tcPr>
            <w:tcW w:w="854" w:type="dxa"/>
            <w:vMerge w:val="continue"/>
            <w:tcBorders>
              <w:top w:val="single" w:color="auto" w:sz="4" w:space="0"/>
              <w:left w:val="single" w:color="auto" w:sz="4" w:space="0"/>
              <w:bottom w:val="single" w:color="auto" w:sz="4" w:space="0"/>
              <w:right w:val="single" w:color="auto" w:sz="4" w:space="0"/>
            </w:tcBorders>
            <w:noWrap w:val="0"/>
            <w:vAlign w:val="center"/>
          </w:tcPr>
          <w:p w14:paraId="499CFDFA">
            <w:pPr>
              <w:jc w:val="center"/>
              <w:rPr>
                <w:rFonts w:hint="eastAsia" w:ascii="宋体" w:hAnsi="宋体" w:eastAsia="宋体" w:cs="宋体"/>
                <w:i w:val="0"/>
                <w:iCs w:val="0"/>
                <w:color w:val="auto"/>
                <w:sz w:val="18"/>
                <w:szCs w:val="18"/>
                <w:highlight w:val="none"/>
                <w:u w:val="none"/>
              </w:rPr>
            </w:pPr>
          </w:p>
        </w:tc>
        <w:tc>
          <w:tcPr>
            <w:tcW w:w="981" w:type="dxa"/>
            <w:vMerge w:val="continue"/>
            <w:tcBorders>
              <w:top w:val="single" w:color="auto" w:sz="4" w:space="0"/>
              <w:left w:val="single" w:color="auto" w:sz="4" w:space="0"/>
              <w:bottom w:val="single" w:color="auto" w:sz="4" w:space="0"/>
              <w:right w:val="single" w:color="auto" w:sz="4" w:space="0"/>
            </w:tcBorders>
            <w:noWrap w:val="0"/>
            <w:vAlign w:val="center"/>
          </w:tcPr>
          <w:p w14:paraId="13A33F73">
            <w:pPr>
              <w:jc w:val="center"/>
              <w:rPr>
                <w:rFonts w:hint="eastAsia" w:ascii="宋体" w:hAnsi="宋体" w:eastAsia="宋体" w:cs="宋体"/>
                <w:i w:val="0"/>
                <w:iCs w:val="0"/>
                <w:color w:val="auto"/>
                <w:sz w:val="18"/>
                <w:szCs w:val="18"/>
                <w:highlight w:val="none"/>
                <w:u w:val="none"/>
              </w:rPr>
            </w:pPr>
          </w:p>
        </w:tc>
        <w:tc>
          <w:tcPr>
            <w:tcW w:w="1269" w:type="dxa"/>
            <w:tcBorders>
              <w:top w:val="single" w:color="auto" w:sz="4" w:space="0"/>
              <w:left w:val="single" w:color="auto" w:sz="4" w:space="0"/>
              <w:bottom w:val="single" w:color="auto" w:sz="4" w:space="0"/>
              <w:right w:val="single" w:color="auto" w:sz="4" w:space="0"/>
            </w:tcBorders>
            <w:noWrap w:val="0"/>
            <w:vAlign w:val="center"/>
          </w:tcPr>
          <w:p w14:paraId="0EFB8AA1">
            <w:pPr>
              <w:keepNext w:val="0"/>
              <w:keepLines w:val="0"/>
              <w:widowControl/>
              <w:suppressLineNumbers w:val="0"/>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混凝土强度</w:t>
            </w:r>
          </w:p>
        </w:tc>
        <w:tc>
          <w:tcPr>
            <w:tcW w:w="693" w:type="dxa"/>
            <w:tcBorders>
              <w:top w:val="single" w:color="auto" w:sz="4" w:space="0"/>
              <w:left w:val="single" w:color="auto" w:sz="4" w:space="0"/>
              <w:bottom w:val="single" w:color="auto" w:sz="4" w:space="0"/>
              <w:right w:val="single" w:color="auto" w:sz="4" w:space="0"/>
            </w:tcBorders>
            <w:noWrap w:val="0"/>
            <w:vAlign w:val="center"/>
          </w:tcPr>
          <w:p w14:paraId="3D65E523">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测区</w:t>
            </w:r>
          </w:p>
        </w:tc>
        <w:tc>
          <w:tcPr>
            <w:tcW w:w="993" w:type="dxa"/>
            <w:tcBorders>
              <w:top w:val="single" w:color="auto" w:sz="4" w:space="0"/>
              <w:left w:val="single" w:color="auto" w:sz="4" w:space="0"/>
              <w:bottom w:val="single" w:color="auto" w:sz="4" w:space="0"/>
              <w:right w:val="single" w:color="auto" w:sz="4" w:space="0"/>
            </w:tcBorders>
            <w:noWrap/>
            <w:vAlign w:val="center"/>
          </w:tcPr>
          <w:p w14:paraId="295F35BB">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35</w:t>
            </w:r>
          </w:p>
        </w:tc>
        <w:tc>
          <w:tcPr>
            <w:tcW w:w="993" w:type="dxa"/>
            <w:tcBorders>
              <w:top w:val="single" w:color="auto" w:sz="4" w:space="0"/>
              <w:left w:val="single" w:color="auto" w:sz="4" w:space="0"/>
              <w:bottom w:val="single" w:color="auto" w:sz="4" w:space="0"/>
              <w:right w:val="single" w:color="auto" w:sz="4" w:space="0"/>
            </w:tcBorders>
            <w:noWrap w:val="0"/>
            <w:vAlign w:val="center"/>
          </w:tcPr>
          <w:p w14:paraId="6F7B5B6A">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35</w:t>
            </w:r>
          </w:p>
        </w:tc>
        <w:tc>
          <w:tcPr>
            <w:tcW w:w="993" w:type="dxa"/>
            <w:tcBorders>
              <w:top w:val="single" w:color="auto" w:sz="4" w:space="0"/>
              <w:left w:val="single" w:color="auto" w:sz="4" w:space="0"/>
              <w:bottom w:val="single" w:color="auto" w:sz="4" w:space="0"/>
              <w:right w:val="single" w:color="auto" w:sz="4" w:space="0"/>
            </w:tcBorders>
            <w:noWrap w:val="0"/>
            <w:vAlign w:val="center"/>
          </w:tcPr>
          <w:p w14:paraId="509DB5C0">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35</w:t>
            </w:r>
          </w:p>
        </w:tc>
        <w:tc>
          <w:tcPr>
            <w:tcW w:w="993" w:type="dxa"/>
            <w:tcBorders>
              <w:top w:val="single" w:color="auto" w:sz="4" w:space="0"/>
              <w:left w:val="single" w:color="auto" w:sz="4" w:space="0"/>
              <w:bottom w:val="single" w:color="auto" w:sz="4" w:space="0"/>
              <w:right w:val="single" w:color="auto" w:sz="4" w:space="0"/>
            </w:tcBorders>
            <w:noWrap w:val="0"/>
            <w:vAlign w:val="center"/>
          </w:tcPr>
          <w:p w14:paraId="33B5C4DA">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35</w:t>
            </w:r>
          </w:p>
        </w:tc>
        <w:tc>
          <w:tcPr>
            <w:tcW w:w="463" w:type="dxa"/>
            <w:tcBorders>
              <w:top w:val="single" w:color="auto" w:sz="4" w:space="0"/>
              <w:left w:val="single" w:color="auto" w:sz="4" w:space="0"/>
              <w:bottom w:val="single" w:color="auto" w:sz="4" w:space="0"/>
              <w:right w:val="single" w:color="auto" w:sz="4" w:space="0"/>
            </w:tcBorders>
            <w:noWrap w:val="0"/>
            <w:vAlign w:val="center"/>
          </w:tcPr>
          <w:p w14:paraId="47BF5E57">
            <w:pPr>
              <w:jc w:val="left"/>
              <w:rPr>
                <w:rFonts w:hint="eastAsia" w:ascii="宋体" w:hAnsi="宋体" w:eastAsia="宋体" w:cs="宋体"/>
                <w:i w:val="0"/>
                <w:iCs w:val="0"/>
                <w:color w:val="auto"/>
                <w:sz w:val="20"/>
                <w:szCs w:val="20"/>
                <w:highlight w:val="none"/>
                <w:u w:val="none"/>
              </w:rPr>
            </w:pPr>
          </w:p>
        </w:tc>
      </w:tr>
      <w:tr w14:paraId="088795B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7" w:hRule="atLeast"/>
        </w:trPr>
        <w:tc>
          <w:tcPr>
            <w:tcW w:w="821" w:type="dxa"/>
            <w:tcBorders>
              <w:top w:val="single" w:color="auto" w:sz="4" w:space="0"/>
              <w:left w:val="single" w:color="auto" w:sz="4" w:space="0"/>
              <w:bottom w:val="single" w:color="auto" w:sz="4" w:space="0"/>
              <w:right w:val="single" w:color="auto" w:sz="4" w:space="0"/>
            </w:tcBorders>
            <w:noWrap w:val="0"/>
            <w:vAlign w:val="center"/>
          </w:tcPr>
          <w:p w14:paraId="7E28A122">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4</w:t>
            </w:r>
          </w:p>
        </w:tc>
        <w:tc>
          <w:tcPr>
            <w:tcW w:w="854" w:type="dxa"/>
            <w:vMerge w:val="continue"/>
            <w:tcBorders>
              <w:top w:val="single" w:color="auto" w:sz="4" w:space="0"/>
              <w:left w:val="single" w:color="auto" w:sz="4" w:space="0"/>
              <w:bottom w:val="single" w:color="auto" w:sz="4" w:space="0"/>
              <w:right w:val="single" w:color="auto" w:sz="4" w:space="0"/>
            </w:tcBorders>
            <w:noWrap w:val="0"/>
            <w:vAlign w:val="center"/>
          </w:tcPr>
          <w:p w14:paraId="1A07607C">
            <w:pPr>
              <w:jc w:val="center"/>
              <w:rPr>
                <w:rFonts w:hint="eastAsia" w:ascii="宋体" w:hAnsi="宋体" w:eastAsia="宋体" w:cs="宋体"/>
                <w:i w:val="0"/>
                <w:iCs w:val="0"/>
                <w:color w:val="auto"/>
                <w:sz w:val="18"/>
                <w:szCs w:val="18"/>
                <w:highlight w:val="none"/>
                <w:u w:val="none"/>
              </w:rPr>
            </w:pPr>
          </w:p>
        </w:tc>
        <w:tc>
          <w:tcPr>
            <w:tcW w:w="981" w:type="dxa"/>
            <w:vMerge w:val="restart"/>
            <w:tcBorders>
              <w:top w:val="single" w:color="auto" w:sz="4" w:space="0"/>
              <w:left w:val="single" w:color="auto" w:sz="4" w:space="0"/>
              <w:bottom w:val="single" w:color="auto" w:sz="4" w:space="0"/>
              <w:right w:val="single" w:color="auto" w:sz="4" w:space="0"/>
            </w:tcBorders>
            <w:noWrap w:val="0"/>
            <w:vAlign w:val="center"/>
          </w:tcPr>
          <w:p w14:paraId="70B48FD4">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路基填筑</w:t>
            </w:r>
          </w:p>
        </w:tc>
        <w:tc>
          <w:tcPr>
            <w:tcW w:w="1269" w:type="dxa"/>
            <w:tcBorders>
              <w:top w:val="single" w:color="auto" w:sz="4" w:space="0"/>
              <w:left w:val="single" w:color="auto" w:sz="4" w:space="0"/>
              <w:bottom w:val="single" w:color="auto" w:sz="4" w:space="0"/>
              <w:right w:val="single" w:color="auto" w:sz="4" w:space="0"/>
            </w:tcBorders>
            <w:noWrap w:val="0"/>
            <w:vAlign w:val="center"/>
          </w:tcPr>
          <w:p w14:paraId="7E80D58A">
            <w:pPr>
              <w:keepNext w:val="0"/>
              <w:keepLines w:val="0"/>
              <w:widowControl/>
              <w:suppressLineNumbers w:val="0"/>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地基系数 K30</w:t>
            </w:r>
          </w:p>
        </w:tc>
        <w:tc>
          <w:tcPr>
            <w:tcW w:w="693" w:type="dxa"/>
            <w:tcBorders>
              <w:top w:val="single" w:color="auto" w:sz="4" w:space="0"/>
              <w:left w:val="single" w:color="auto" w:sz="4" w:space="0"/>
              <w:bottom w:val="single" w:color="auto" w:sz="4" w:space="0"/>
              <w:right w:val="single" w:color="auto" w:sz="4" w:space="0"/>
            </w:tcBorders>
            <w:noWrap w:val="0"/>
            <w:vAlign w:val="center"/>
          </w:tcPr>
          <w:p w14:paraId="3932D739">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点</w:t>
            </w:r>
          </w:p>
        </w:tc>
        <w:tc>
          <w:tcPr>
            <w:tcW w:w="993" w:type="dxa"/>
            <w:tcBorders>
              <w:top w:val="single" w:color="auto" w:sz="4" w:space="0"/>
              <w:left w:val="single" w:color="auto" w:sz="4" w:space="0"/>
              <w:bottom w:val="single" w:color="auto" w:sz="4" w:space="0"/>
              <w:right w:val="single" w:color="auto" w:sz="4" w:space="0"/>
            </w:tcBorders>
            <w:noWrap/>
            <w:vAlign w:val="center"/>
          </w:tcPr>
          <w:p w14:paraId="58197E37">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45</w:t>
            </w:r>
          </w:p>
        </w:tc>
        <w:tc>
          <w:tcPr>
            <w:tcW w:w="993" w:type="dxa"/>
            <w:tcBorders>
              <w:top w:val="single" w:color="auto" w:sz="4" w:space="0"/>
              <w:left w:val="single" w:color="auto" w:sz="4" w:space="0"/>
              <w:bottom w:val="single" w:color="auto" w:sz="4" w:space="0"/>
              <w:right w:val="single" w:color="auto" w:sz="4" w:space="0"/>
            </w:tcBorders>
            <w:noWrap w:val="0"/>
            <w:vAlign w:val="center"/>
          </w:tcPr>
          <w:p w14:paraId="192F418D">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45</w:t>
            </w:r>
          </w:p>
        </w:tc>
        <w:tc>
          <w:tcPr>
            <w:tcW w:w="993" w:type="dxa"/>
            <w:tcBorders>
              <w:top w:val="single" w:color="auto" w:sz="4" w:space="0"/>
              <w:left w:val="single" w:color="auto" w:sz="4" w:space="0"/>
              <w:bottom w:val="single" w:color="auto" w:sz="4" w:space="0"/>
              <w:right w:val="single" w:color="auto" w:sz="4" w:space="0"/>
            </w:tcBorders>
            <w:noWrap w:val="0"/>
            <w:vAlign w:val="center"/>
          </w:tcPr>
          <w:p w14:paraId="62200557">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45</w:t>
            </w:r>
          </w:p>
        </w:tc>
        <w:tc>
          <w:tcPr>
            <w:tcW w:w="993" w:type="dxa"/>
            <w:tcBorders>
              <w:top w:val="single" w:color="auto" w:sz="4" w:space="0"/>
              <w:left w:val="single" w:color="auto" w:sz="4" w:space="0"/>
              <w:bottom w:val="single" w:color="auto" w:sz="4" w:space="0"/>
              <w:right w:val="single" w:color="auto" w:sz="4" w:space="0"/>
            </w:tcBorders>
            <w:noWrap w:val="0"/>
            <w:vAlign w:val="center"/>
          </w:tcPr>
          <w:p w14:paraId="399DAA3B">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45</w:t>
            </w:r>
          </w:p>
        </w:tc>
        <w:tc>
          <w:tcPr>
            <w:tcW w:w="463" w:type="dxa"/>
            <w:tcBorders>
              <w:top w:val="single" w:color="auto" w:sz="4" w:space="0"/>
              <w:left w:val="single" w:color="auto" w:sz="4" w:space="0"/>
              <w:bottom w:val="single" w:color="auto" w:sz="4" w:space="0"/>
              <w:right w:val="single" w:color="auto" w:sz="4" w:space="0"/>
            </w:tcBorders>
            <w:noWrap w:val="0"/>
            <w:vAlign w:val="center"/>
          </w:tcPr>
          <w:p w14:paraId="301F0150">
            <w:pPr>
              <w:rPr>
                <w:rFonts w:hint="eastAsia" w:ascii="宋体" w:hAnsi="宋体" w:eastAsia="宋体" w:cs="宋体"/>
                <w:i w:val="0"/>
                <w:iCs w:val="0"/>
                <w:color w:val="auto"/>
                <w:sz w:val="20"/>
                <w:szCs w:val="20"/>
                <w:highlight w:val="none"/>
                <w:u w:val="none"/>
              </w:rPr>
            </w:pPr>
          </w:p>
        </w:tc>
      </w:tr>
      <w:tr w14:paraId="6307AC6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7" w:hRule="atLeast"/>
        </w:trPr>
        <w:tc>
          <w:tcPr>
            <w:tcW w:w="821" w:type="dxa"/>
            <w:tcBorders>
              <w:top w:val="single" w:color="auto" w:sz="4" w:space="0"/>
              <w:left w:val="single" w:color="auto" w:sz="4" w:space="0"/>
              <w:bottom w:val="single" w:color="auto" w:sz="4" w:space="0"/>
              <w:right w:val="single" w:color="auto" w:sz="4" w:space="0"/>
            </w:tcBorders>
            <w:noWrap w:val="0"/>
            <w:vAlign w:val="center"/>
          </w:tcPr>
          <w:p w14:paraId="248B2747">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5</w:t>
            </w:r>
          </w:p>
        </w:tc>
        <w:tc>
          <w:tcPr>
            <w:tcW w:w="854" w:type="dxa"/>
            <w:vMerge w:val="continue"/>
            <w:tcBorders>
              <w:top w:val="single" w:color="auto" w:sz="4" w:space="0"/>
              <w:left w:val="single" w:color="auto" w:sz="4" w:space="0"/>
              <w:bottom w:val="single" w:color="auto" w:sz="4" w:space="0"/>
              <w:right w:val="single" w:color="auto" w:sz="4" w:space="0"/>
            </w:tcBorders>
            <w:noWrap w:val="0"/>
            <w:vAlign w:val="center"/>
          </w:tcPr>
          <w:p w14:paraId="46D4CDB5">
            <w:pPr>
              <w:jc w:val="center"/>
              <w:rPr>
                <w:rFonts w:hint="eastAsia" w:ascii="宋体" w:hAnsi="宋体" w:eastAsia="宋体" w:cs="宋体"/>
                <w:i w:val="0"/>
                <w:iCs w:val="0"/>
                <w:color w:val="auto"/>
                <w:sz w:val="18"/>
                <w:szCs w:val="18"/>
                <w:highlight w:val="none"/>
                <w:u w:val="none"/>
              </w:rPr>
            </w:pPr>
          </w:p>
        </w:tc>
        <w:tc>
          <w:tcPr>
            <w:tcW w:w="981" w:type="dxa"/>
            <w:vMerge w:val="continue"/>
            <w:tcBorders>
              <w:top w:val="single" w:color="auto" w:sz="4" w:space="0"/>
              <w:left w:val="single" w:color="auto" w:sz="4" w:space="0"/>
              <w:bottom w:val="single" w:color="auto" w:sz="4" w:space="0"/>
              <w:right w:val="single" w:color="auto" w:sz="4" w:space="0"/>
            </w:tcBorders>
            <w:noWrap w:val="0"/>
            <w:vAlign w:val="center"/>
          </w:tcPr>
          <w:p w14:paraId="1A3CCA20">
            <w:pPr>
              <w:jc w:val="center"/>
              <w:rPr>
                <w:rFonts w:hint="eastAsia" w:ascii="宋体" w:hAnsi="宋体" w:eastAsia="宋体" w:cs="宋体"/>
                <w:i w:val="0"/>
                <w:iCs w:val="0"/>
                <w:color w:val="auto"/>
                <w:sz w:val="18"/>
                <w:szCs w:val="18"/>
                <w:highlight w:val="none"/>
                <w:u w:val="none"/>
              </w:rPr>
            </w:pPr>
          </w:p>
        </w:tc>
        <w:tc>
          <w:tcPr>
            <w:tcW w:w="1269" w:type="dxa"/>
            <w:tcBorders>
              <w:top w:val="single" w:color="auto" w:sz="4" w:space="0"/>
              <w:left w:val="single" w:color="auto" w:sz="4" w:space="0"/>
              <w:bottom w:val="single" w:color="auto" w:sz="4" w:space="0"/>
              <w:right w:val="single" w:color="auto" w:sz="4" w:space="0"/>
            </w:tcBorders>
            <w:noWrap w:val="0"/>
            <w:vAlign w:val="center"/>
          </w:tcPr>
          <w:p w14:paraId="2F319BCE">
            <w:pPr>
              <w:keepNext w:val="0"/>
              <w:keepLines w:val="0"/>
              <w:widowControl/>
              <w:suppressLineNumbers w:val="0"/>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压实系数</w:t>
            </w:r>
          </w:p>
        </w:tc>
        <w:tc>
          <w:tcPr>
            <w:tcW w:w="693" w:type="dxa"/>
            <w:tcBorders>
              <w:top w:val="single" w:color="auto" w:sz="4" w:space="0"/>
              <w:left w:val="single" w:color="auto" w:sz="4" w:space="0"/>
              <w:bottom w:val="single" w:color="auto" w:sz="4" w:space="0"/>
              <w:right w:val="single" w:color="auto" w:sz="4" w:space="0"/>
            </w:tcBorders>
            <w:noWrap w:val="0"/>
            <w:vAlign w:val="center"/>
          </w:tcPr>
          <w:p w14:paraId="4894FA5E">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点</w:t>
            </w:r>
          </w:p>
        </w:tc>
        <w:tc>
          <w:tcPr>
            <w:tcW w:w="993" w:type="dxa"/>
            <w:tcBorders>
              <w:top w:val="single" w:color="auto" w:sz="4" w:space="0"/>
              <w:left w:val="single" w:color="auto" w:sz="4" w:space="0"/>
              <w:bottom w:val="single" w:color="auto" w:sz="4" w:space="0"/>
              <w:right w:val="single" w:color="auto" w:sz="4" w:space="0"/>
            </w:tcBorders>
            <w:noWrap/>
            <w:vAlign w:val="center"/>
          </w:tcPr>
          <w:p w14:paraId="3ED1D761">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45</w:t>
            </w:r>
          </w:p>
        </w:tc>
        <w:tc>
          <w:tcPr>
            <w:tcW w:w="993" w:type="dxa"/>
            <w:tcBorders>
              <w:top w:val="single" w:color="auto" w:sz="4" w:space="0"/>
              <w:left w:val="single" w:color="auto" w:sz="4" w:space="0"/>
              <w:bottom w:val="single" w:color="auto" w:sz="4" w:space="0"/>
              <w:right w:val="single" w:color="auto" w:sz="4" w:space="0"/>
            </w:tcBorders>
            <w:noWrap w:val="0"/>
            <w:vAlign w:val="center"/>
          </w:tcPr>
          <w:p w14:paraId="69E222D4">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45</w:t>
            </w:r>
          </w:p>
        </w:tc>
        <w:tc>
          <w:tcPr>
            <w:tcW w:w="993" w:type="dxa"/>
            <w:tcBorders>
              <w:top w:val="single" w:color="auto" w:sz="4" w:space="0"/>
              <w:left w:val="single" w:color="auto" w:sz="4" w:space="0"/>
              <w:bottom w:val="single" w:color="auto" w:sz="4" w:space="0"/>
              <w:right w:val="single" w:color="auto" w:sz="4" w:space="0"/>
            </w:tcBorders>
            <w:noWrap w:val="0"/>
            <w:vAlign w:val="center"/>
          </w:tcPr>
          <w:p w14:paraId="66D20295">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45</w:t>
            </w:r>
          </w:p>
        </w:tc>
        <w:tc>
          <w:tcPr>
            <w:tcW w:w="993" w:type="dxa"/>
            <w:tcBorders>
              <w:top w:val="single" w:color="auto" w:sz="4" w:space="0"/>
              <w:left w:val="single" w:color="auto" w:sz="4" w:space="0"/>
              <w:bottom w:val="single" w:color="auto" w:sz="4" w:space="0"/>
              <w:right w:val="single" w:color="auto" w:sz="4" w:space="0"/>
            </w:tcBorders>
            <w:noWrap w:val="0"/>
            <w:vAlign w:val="center"/>
          </w:tcPr>
          <w:p w14:paraId="0E2502B0">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45</w:t>
            </w:r>
          </w:p>
        </w:tc>
        <w:tc>
          <w:tcPr>
            <w:tcW w:w="463" w:type="dxa"/>
            <w:tcBorders>
              <w:top w:val="single" w:color="auto" w:sz="4" w:space="0"/>
              <w:left w:val="single" w:color="auto" w:sz="4" w:space="0"/>
              <w:bottom w:val="single" w:color="auto" w:sz="4" w:space="0"/>
              <w:right w:val="single" w:color="auto" w:sz="4" w:space="0"/>
            </w:tcBorders>
            <w:noWrap w:val="0"/>
            <w:vAlign w:val="center"/>
          </w:tcPr>
          <w:p w14:paraId="470E6E58">
            <w:pPr>
              <w:jc w:val="left"/>
              <w:rPr>
                <w:rFonts w:hint="eastAsia" w:ascii="宋体" w:hAnsi="宋体" w:eastAsia="宋体" w:cs="宋体"/>
                <w:i w:val="0"/>
                <w:iCs w:val="0"/>
                <w:color w:val="auto"/>
                <w:sz w:val="20"/>
                <w:szCs w:val="20"/>
                <w:highlight w:val="none"/>
                <w:u w:val="none"/>
              </w:rPr>
            </w:pPr>
          </w:p>
        </w:tc>
      </w:tr>
      <w:tr w14:paraId="1DF5B82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7" w:hRule="atLeast"/>
        </w:trPr>
        <w:tc>
          <w:tcPr>
            <w:tcW w:w="821" w:type="dxa"/>
            <w:tcBorders>
              <w:top w:val="single" w:color="auto" w:sz="4" w:space="0"/>
              <w:left w:val="single" w:color="auto" w:sz="4" w:space="0"/>
              <w:bottom w:val="single" w:color="auto" w:sz="4" w:space="0"/>
              <w:right w:val="single" w:color="auto" w:sz="4" w:space="0"/>
            </w:tcBorders>
            <w:noWrap w:val="0"/>
            <w:vAlign w:val="center"/>
          </w:tcPr>
          <w:p w14:paraId="23FB76C6">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6</w:t>
            </w:r>
          </w:p>
        </w:tc>
        <w:tc>
          <w:tcPr>
            <w:tcW w:w="854" w:type="dxa"/>
            <w:vMerge w:val="restart"/>
            <w:tcBorders>
              <w:top w:val="single" w:color="auto" w:sz="4" w:space="0"/>
              <w:left w:val="single" w:color="auto" w:sz="4" w:space="0"/>
              <w:bottom w:val="single" w:color="auto" w:sz="4" w:space="0"/>
              <w:right w:val="single" w:color="auto" w:sz="4" w:space="0"/>
            </w:tcBorders>
            <w:noWrap w:val="0"/>
            <w:vAlign w:val="center"/>
          </w:tcPr>
          <w:p w14:paraId="40F0BECC">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桥涵</w:t>
            </w:r>
          </w:p>
        </w:tc>
        <w:tc>
          <w:tcPr>
            <w:tcW w:w="981" w:type="dxa"/>
            <w:vMerge w:val="restart"/>
            <w:tcBorders>
              <w:top w:val="single" w:color="auto" w:sz="4" w:space="0"/>
              <w:left w:val="single" w:color="auto" w:sz="4" w:space="0"/>
              <w:bottom w:val="single" w:color="auto" w:sz="4" w:space="0"/>
              <w:right w:val="single" w:color="auto" w:sz="4" w:space="0"/>
            </w:tcBorders>
            <w:noWrap w:val="0"/>
            <w:vAlign w:val="center"/>
          </w:tcPr>
          <w:p w14:paraId="083AB3F8">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桩基</w:t>
            </w:r>
          </w:p>
        </w:tc>
        <w:tc>
          <w:tcPr>
            <w:tcW w:w="1269" w:type="dxa"/>
            <w:tcBorders>
              <w:top w:val="single" w:color="auto" w:sz="4" w:space="0"/>
              <w:left w:val="single" w:color="auto" w:sz="4" w:space="0"/>
              <w:bottom w:val="single" w:color="auto" w:sz="4" w:space="0"/>
              <w:right w:val="single" w:color="auto" w:sz="4" w:space="0"/>
            </w:tcBorders>
            <w:noWrap w:val="0"/>
            <w:vAlign w:val="center"/>
          </w:tcPr>
          <w:p w14:paraId="0D0C31A2">
            <w:pPr>
              <w:keepNext w:val="0"/>
              <w:keepLines w:val="0"/>
              <w:widowControl/>
              <w:suppressLineNumbers w:val="0"/>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完整性（声测法）</w:t>
            </w:r>
          </w:p>
        </w:tc>
        <w:tc>
          <w:tcPr>
            <w:tcW w:w="693" w:type="dxa"/>
            <w:tcBorders>
              <w:top w:val="single" w:color="auto" w:sz="4" w:space="0"/>
              <w:left w:val="single" w:color="auto" w:sz="4" w:space="0"/>
              <w:bottom w:val="single" w:color="auto" w:sz="4" w:space="0"/>
              <w:right w:val="single" w:color="auto" w:sz="4" w:space="0"/>
            </w:tcBorders>
            <w:noWrap w:val="0"/>
            <w:vAlign w:val="center"/>
          </w:tcPr>
          <w:p w14:paraId="27869DD2">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根</w:t>
            </w:r>
          </w:p>
        </w:tc>
        <w:tc>
          <w:tcPr>
            <w:tcW w:w="993" w:type="dxa"/>
            <w:tcBorders>
              <w:top w:val="single" w:color="auto" w:sz="4" w:space="0"/>
              <w:left w:val="single" w:color="auto" w:sz="4" w:space="0"/>
              <w:bottom w:val="single" w:color="auto" w:sz="4" w:space="0"/>
              <w:right w:val="single" w:color="auto" w:sz="4" w:space="0"/>
            </w:tcBorders>
            <w:noWrap/>
            <w:vAlign w:val="center"/>
          </w:tcPr>
          <w:p w14:paraId="479F25EC">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45</w:t>
            </w:r>
          </w:p>
        </w:tc>
        <w:tc>
          <w:tcPr>
            <w:tcW w:w="993" w:type="dxa"/>
            <w:tcBorders>
              <w:top w:val="single" w:color="auto" w:sz="4" w:space="0"/>
              <w:left w:val="single" w:color="auto" w:sz="4" w:space="0"/>
              <w:bottom w:val="single" w:color="auto" w:sz="4" w:space="0"/>
              <w:right w:val="single" w:color="auto" w:sz="4" w:space="0"/>
            </w:tcBorders>
            <w:noWrap w:val="0"/>
            <w:vAlign w:val="center"/>
          </w:tcPr>
          <w:p w14:paraId="2C3F3827">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45</w:t>
            </w:r>
          </w:p>
        </w:tc>
        <w:tc>
          <w:tcPr>
            <w:tcW w:w="993" w:type="dxa"/>
            <w:tcBorders>
              <w:top w:val="single" w:color="auto" w:sz="4" w:space="0"/>
              <w:left w:val="single" w:color="auto" w:sz="4" w:space="0"/>
              <w:bottom w:val="single" w:color="auto" w:sz="4" w:space="0"/>
              <w:right w:val="single" w:color="auto" w:sz="4" w:space="0"/>
            </w:tcBorders>
            <w:noWrap w:val="0"/>
            <w:vAlign w:val="center"/>
          </w:tcPr>
          <w:p w14:paraId="65F63C08">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45</w:t>
            </w:r>
          </w:p>
        </w:tc>
        <w:tc>
          <w:tcPr>
            <w:tcW w:w="993" w:type="dxa"/>
            <w:tcBorders>
              <w:top w:val="single" w:color="auto" w:sz="4" w:space="0"/>
              <w:left w:val="single" w:color="auto" w:sz="4" w:space="0"/>
              <w:bottom w:val="single" w:color="auto" w:sz="4" w:space="0"/>
              <w:right w:val="single" w:color="auto" w:sz="4" w:space="0"/>
            </w:tcBorders>
            <w:noWrap w:val="0"/>
            <w:vAlign w:val="center"/>
          </w:tcPr>
          <w:p w14:paraId="2378BC1B">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45</w:t>
            </w:r>
          </w:p>
        </w:tc>
        <w:tc>
          <w:tcPr>
            <w:tcW w:w="463" w:type="dxa"/>
            <w:tcBorders>
              <w:top w:val="single" w:color="auto" w:sz="4" w:space="0"/>
              <w:left w:val="single" w:color="auto" w:sz="4" w:space="0"/>
              <w:bottom w:val="single" w:color="auto" w:sz="4" w:space="0"/>
              <w:right w:val="single" w:color="auto" w:sz="4" w:space="0"/>
            </w:tcBorders>
            <w:noWrap w:val="0"/>
            <w:vAlign w:val="center"/>
          </w:tcPr>
          <w:p w14:paraId="4141D752">
            <w:pPr>
              <w:rPr>
                <w:rFonts w:hint="eastAsia" w:ascii="宋体" w:hAnsi="宋体" w:eastAsia="宋体" w:cs="宋体"/>
                <w:i w:val="0"/>
                <w:iCs w:val="0"/>
                <w:color w:val="auto"/>
                <w:sz w:val="20"/>
                <w:szCs w:val="20"/>
                <w:highlight w:val="none"/>
                <w:u w:val="none"/>
              </w:rPr>
            </w:pPr>
          </w:p>
        </w:tc>
      </w:tr>
      <w:tr w14:paraId="0BDF64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7" w:hRule="atLeast"/>
        </w:trPr>
        <w:tc>
          <w:tcPr>
            <w:tcW w:w="821" w:type="dxa"/>
            <w:tcBorders>
              <w:top w:val="single" w:color="auto" w:sz="4" w:space="0"/>
              <w:left w:val="single" w:color="auto" w:sz="4" w:space="0"/>
              <w:bottom w:val="single" w:color="auto" w:sz="4" w:space="0"/>
              <w:right w:val="single" w:color="auto" w:sz="4" w:space="0"/>
            </w:tcBorders>
            <w:noWrap w:val="0"/>
            <w:vAlign w:val="center"/>
          </w:tcPr>
          <w:p w14:paraId="34369F09">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7</w:t>
            </w:r>
          </w:p>
        </w:tc>
        <w:tc>
          <w:tcPr>
            <w:tcW w:w="854" w:type="dxa"/>
            <w:vMerge w:val="continue"/>
            <w:tcBorders>
              <w:top w:val="single" w:color="auto" w:sz="4" w:space="0"/>
              <w:left w:val="single" w:color="auto" w:sz="4" w:space="0"/>
              <w:bottom w:val="single" w:color="auto" w:sz="4" w:space="0"/>
              <w:right w:val="single" w:color="auto" w:sz="4" w:space="0"/>
            </w:tcBorders>
            <w:noWrap w:val="0"/>
            <w:vAlign w:val="center"/>
          </w:tcPr>
          <w:p w14:paraId="3764D0C9">
            <w:pPr>
              <w:jc w:val="center"/>
              <w:rPr>
                <w:rFonts w:hint="eastAsia" w:ascii="宋体" w:hAnsi="宋体" w:eastAsia="宋体" w:cs="宋体"/>
                <w:i w:val="0"/>
                <w:iCs w:val="0"/>
                <w:color w:val="auto"/>
                <w:sz w:val="18"/>
                <w:szCs w:val="18"/>
                <w:highlight w:val="none"/>
                <w:u w:val="none"/>
              </w:rPr>
            </w:pPr>
          </w:p>
        </w:tc>
        <w:tc>
          <w:tcPr>
            <w:tcW w:w="981" w:type="dxa"/>
            <w:vMerge w:val="continue"/>
            <w:tcBorders>
              <w:top w:val="single" w:color="auto" w:sz="4" w:space="0"/>
              <w:left w:val="single" w:color="auto" w:sz="4" w:space="0"/>
              <w:bottom w:val="single" w:color="auto" w:sz="4" w:space="0"/>
              <w:right w:val="single" w:color="auto" w:sz="4" w:space="0"/>
            </w:tcBorders>
            <w:noWrap w:val="0"/>
            <w:vAlign w:val="center"/>
          </w:tcPr>
          <w:p w14:paraId="4B696AA2">
            <w:pPr>
              <w:jc w:val="center"/>
              <w:rPr>
                <w:rFonts w:hint="eastAsia" w:ascii="宋体" w:hAnsi="宋体" w:eastAsia="宋体" w:cs="宋体"/>
                <w:i w:val="0"/>
                <w:iCs w:val="0"/>
                <w:color w:val="auto"/>
                <w:sz w:val="18"/>
                <w:szCs w:val="18"/>
                <w:highlight w:val="none"/>
                <w:u w:val="none"/>
              </w:rPr>
            </w:pPr>
          </w:p>
        </w:tc>
        <w:tc>
          <w:tcPr>
            <w:tcW w:w="1269" w:type="dxa"/>
            <w:tcBorders>
              <w:top w:val="single" w:color="auto" w:sz="4" w:space="0"/>
              <w:left w:val="single" w:color="auto" w:sz="4" w:space="0"/>
              <w:bottom w:val="single" w:color="auto" w:sz="4" w:space="0"/>
              <w:right w:val="single" w:color="auto" w:sz="4" w:space="0"/>
            </w:tcBorders>
            <w:noWrap w:val="0"/>
            <w:vAlign w:val="center"/>
          </w:tcPr>
          <w:p w14:paraId="63B8C188">
            <w:pPr>
              <w:keepNext w:val="0"/>
              <w:keepLines w:val="0"/>
              <w:widowControl/>
              <w:suppressLineNumbers w:val="0"/>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完整性（低应变）</w:t>
            </w:r>
          </w:p>
        </w:tc>
        <w:tc>
          <w:tcPr>
            <w:tcW w:w="693" w:type="dxa"/>
            <w:tcBorders>
              <w:top w:val="single" w:color="auto" w:sz="4" w:space="0"/>
              <w:left w:val="single" w:color="auto" w:sz="4" w:space="0"/>
              <w:bottom w:val="single" w:color="auto" w:sz="4" w:space="0"/>
              <w:right w:val="single" w:color="auto" w:sz="4" w:space="0"/>
            </w:tcBorders>
            <w:noWrap w:val="0"/>
            <w:vAlign w:val="center"/>
          </w:tcPr>
          <w:p w14:paraId="0AC76011">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根</w:t>
            </w:r>
          </w:p>
        </w:tc>
        <w:tc>
          <w:tcPr>
            <w:tcW w:w="993" w:type="dxa"/>
            <w:tcBorders>
              <w:top w:val="single" w:color="auto" w:sz="4" w:space="0"/>
              <w:left w:val="single" w:color="auto" w:sz="4" w:space="0"/>
              <w:bottom w:val="single" w:color="auto" w:sz="4" w:space="0"/>
              <w:right w:val="single" w:color="auto" w:sz="4" w:space="0"/>
            </w:tcBorders>
            <w:noWrap/>
            <w:vAlign w:val="center"/>
          </w:tcPr>
          <w:p w14:paraId="7CB9A6B7">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120</w:t>
            </w:r>
          </w:p>
        </w:tc>
        <w:tc>
          <w:tcPr>
            <w:tcW w:w="993" w:type="dxa"/>
            <w:tcBorders>
              <w:top w:val="single" w:color="auto" w:sz="4" w:space="0"/>
              <w:left w:val="single" w:color="auto" w:sz="4" w:space="0"/>
              <w:bottom w:val="single" w:color="auto" w:sz="4" w:space="0"/>
              <w:right w:val="single" w:color="auto" w:sz="4" w:space="0"/>
            </w:tcBorders>
            <w:noWrap w:val="0"/>
            <w:vAlign w:val="center"/>
          </w:tcPr>
          <w:p w14:paraId="2079F8CF">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120</w:t>
            </w:r>
          </w:p>
        </w:tc>
        <w:tc>
          <w:tcPr>
            <w:tcW w:w="993" w:type="dxa"/>
            <w:tcBorders>
              <w:top w:val="single" w:color="auto" w:sz="4" w:space="0"/>
              <w:left w:val="single" w:color="auto" w:sz="4" w:space="0"/>
              <w:bottom w:val="single" w:color="auto" w:sz="4" w:space="0"/>
              <w:right w:val="single" w:color="auto" w:sz="4" w:space="0"/>
            </w:tcBorders>
            <w:noWrap w:val="0"/>
            <w:vAlign w:val="center"/>
          </w:tcPr>
          <w:p w14:paraId="2683A771">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120</w:t>
            </w:r>
          </w:p>
        </w:tc>
        <w:tc>
          <w:tcPr>
            <w:tcW w:w="993" w:type="dxa"/>
            <w:tcBorders>
              <w:top w:val="single" w:color="auto" w:sz="4" w:space="0"/>
              <w:left w:val="single" w:color="auto" w:sz="4" w:space="0"/>
              <w:bottom w:val="single" w:color="auto" w:sz="4" w:space="0"/>
              <w:right w:val="single" w:color="auto" w:sz="4" w:space="0"/>
            </w:tcBorders>
            <w:noWrap w:val="0"/>
            <w:vAlign w:val="center"/>
          </w:tcPr>
          <w:p w14:paraId="32C63442">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120</w:t>
            </w:r>
          </w:p>
        </w:tc>
        <w:tc>
          <w:tcPr>
            <w:tcW w:w="463" w:type="dxa"/>
            <w:tcBorders>
              <w:top w:val="single" w:color="auto" w:sz="4" w:space="0"/>
              <w:left w:val="single" w:color="auto" w:sz="4" w:space="0"/>
              <w:bottom w:val="single" w:color="auto" w:sz="4" w:space="0"/>
              <w:right w:val="single" w:color="auto" w:sz="4" w:space="0"/>
            </w:tcBorders>
            <w:noWrap w:val="0"/>
            <w:vAlign w:val="center"/>
          </w:tcPr>
          <w:p w14:paraId="6D52533B">
            <w:pPr>
              <w:jc w:val="left"/>
              <w:rPr>
                <w:rFonts w:hint="eastAsia" w:ascii="宋体" w:hAnsi="宋体" w:eastAsia="宋体" w:cs="宋体"/>
                <w:i w:val="0"/>
                <w:iCs w:val="0"/>
                <w:color w:val="auto"/>
                <w:sz w:val="20"/>
                <w:szCs w:val="20"/>
                <w:highlight w:val="none"/>
                <w:u w:val="none"/>
              </w:rPr>
            </w:pPr>
          </w:p>
        </w:tc>
      </w:tr>
      <w:tr w14:paraId="56A92A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7" w:hRule="atLeast"/>
        </w:trPr>
        <w:tc>
          <w:tcPr>
            <w:tcW w:w="821" w:type="dxa"/>
            <w:tcBorders>
              <w:top w:val="single" w:color="auto" w:sz="4" w:space="0"/>
              <w:left w:val="single" w:color="auto" w:sz="4" w:space="0"/>
              <w:bottom w:val="single" w:color="auto" w:sz="4" w:space="0"/>
              <w:right w:val="single" w:color="auto" w:sz="4" w:space="0"/>
            </w:tcBorders>
            <w:noWrap w:val="0"/>
            <w:vAlign w:val="center"/>
          </w:tcPr>
          <w:p w14:paraId="7B6E87A4">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8</w:t>
            </w:r>
          </w:p>
        </w:tc>
        <w:tc>
          <w:tcPr>
            <w:tcW w:w="854" w:type="dxa"/>
            <w:vMerge w:val="continue"/>
            <w:tcBorders>
              <w:top w:val="single" w:color="auto" w:sz="4" w:space="0"/>
              <w:left w:val="single" w:color="auto" w:sz="4" w:space="0"/>
              <w:bottom w:val="single" w:color="auto" w:sz="4" w:space="0"/>
              <w:right w:val="single" w:color="auto" w:sz="4" w:space="0"/>
            </w:tcBorders>
            <w:noWrap w:val="0"/>
            <w:vAlign w:val="center"/>
          </w:tcPr>
          <w:p w14:paraId="591E7607">
            <w:pPr>
              <w:jc w:val="center"/>
              <w:rPr>
                <w:rFonts w:hint="eastAsia" w:ascii="宋体" w:hAnsi="宋体" w:eastAsia="宋体" w:cs="宋体"/>
                <w:i w:val="0"/>
                <w:iCs w:val="0"/>
                <w:color w:val="auto"/>
                <w:sz w:val="18"/>
                <w:szCs w:val="18"/>
                <w:highlight w:val="none"/>
                <w:u w:val="none"/>
              </w:rPr>
            </w:pPr>
          </w:p>
        </w:tc>
        <w:tc>
          <w:tcPr>
            <w:tcW w:w="981" w:type="dxa"/>
            <w:vMerge w:val="restart"/>
            <w:tcBorders>
              <w:top w:val="single" w:color="auto" w:sz="4" w:space="0"/>
              <w:left w:val="single" w:color="auto" w:sz="4" w:space="0"/>
              <w:bottom w:val="single" w:color="auto" w:sz="4" w:space="0"/>
              <w:right w:val="single" w:color="auto" w:sz="4" w:space="0"/>
            </w:tcBorders>
            <w:noWrap w:val="0"/>
            <w:vAlign w:val="center"/>
          </w:tcPr>
          <w:p w14:paraId="08CF3C16">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墩台</w:t>
            </w:r>
          </w:p>
        </w:tc>
        <w:tc>
          <w:tcPr>
            <w:tcW w:w="1269" w:type="dxa"/>
            <w:tcBorders>
              <w:top w:val="single" w:color="auto" w:sz="4" w:space="0"/>
              <w:left w:val="single" w:color="auto" w:sz="4" w:space="0"/>
              <w:bottom w:val="single" w:color="auto" w:sz="4" w:space="0"/>
              <w:right w:val="single" w:color="auto" w:sz="4" w:space="0"/>
            </w:tcBorders>
            <w:noWrap w:val="0"/>
            <w:vAlign w:val="center"/>
          </w:tcPr>
          <w:p w14:paraId="541FD762">
            <w:pPr>
              <w:keepNext w:val="0"/>
              <w:keepLines w:val="0"/>
              <w:widowControl/>
              <w:suppressLineNumbers w:val="0"/>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混凝土强度</w:t>
            </w:r>
          </w:p>
        </w:tc>
        <w:tc>
          <w:tcPr>
            <w:tcW w:w="693" w:type="dxa"/>
            <w:tcBorders>
              <w:top w:val="single" w:color="auto" w:sz="4" w:space="0"/>
              <w:left w:val="single" w:color="auto" w:sz="4" w:space="0"/>
              <w:bottom w:val="single" w:color="auto" w:sz="4" w:space="0"/>
              <w:right w:val="single" w:color="auto" w:sz="4" w:space="0"/>
            </w:tcBorders>
            <w:noWrap w:val="0"/>
            <w:vAlign w:val="center"/>
          </w:tcPr>
          <w:p w14:paraId="16C34BF6">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测区</w:t>
            </w:r>
          </w:p>
        </w:tc>
        <w:tc>
          <w:tcPr>
            <w:tcW w:w="993" w:type="dxa"/>
            <w:tcBorders>
              <w:top w:val="single" w:color="auto" w:sz="4" w:space="0"/>
              <w:left w:val="single" w:color="auto" w:sz="4" w:space="0"/>
              <w:bottom w:val="single" w:color="auto" w:sz="4" w:space="0"/>
              <w:right w:val="single" w:color="auto" w:sz="4" w:space="0"/>
            </w:tcBorders>
            <w:noWrap/>
            <w:vAlign w:val="center"/>
          </w:tcPr>
          <w:p w14:paraId="15504A98">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220</w:t>
            </w:r>
          </w:p>
        </w:tc>
        <w:tc>
          <w:tcPr>
            <w:tcW w:w="993" w:type="dxa"/>
            <w:tcBorders>
              <w:top w:val="single" w:color="auto" w:sz="4" w:space="0"/>
              <w:left w:val="single" w:color="auto" w:sz="4" w:space="0"/>
              <w:bottom w:val="single" w:color="auto" w:sz="4" w:space="0"/>
              <w:right w:val="single" w:color="auto" w:sz="4" w:space="0"/>
            </w:tcBorders>
            <w:noWrap w:val="0"/>
            <w:vAlign w:val="center"/>
          </w:tcPr>
          <w:p w14:paraId="2269BCC7">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220</w:t>
            </w:r>
          </w:p>
        </w:tc>
        <w:tc>
          <w:tcPr>
            <w:tcW w:w="993" w:type="dxa"/>
            <w:tcBorders>
              <w:top w:val="single" w:color="auto" w:sz="4" w:space="0"/>
              <w:left w:val="single" w:color="auto" w:sz="4" w:space="0"/>
              <w:bottom w:val="single" w:color="auto" w:sz="4" w:space="0"/>
              <w:right w:val="single" w:color="auto" w:sz="4" w:space="0"/>
            </w:tcBorders>
            <w:noWrap w:val="0"/>
            <w:vAlign w:val="center"/>
          </w:tcPr>
          <w:p w14:paraId="5B5163E7">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220</w:t>
            </w:r>
          </w:p>
        </w:tc>
        <w:tc>
          <w:tcPr>
            <w:tcW w:w="993" w:type="dxa"/>
            <w:tcBorders>
              <w:top w:val="single" w:color="auto" w:sz="4" w:space="0"/>
              <w:left w:val="single" w:color="auto" w:sz="4" w:space="0"/>
              <w:bottom w:val="single" w:color="auto" w:sz="4" w:space="0"/>
              <w:right w:val="single" w:color="auto" w:sz="4" w:space="0"/>
            </w:tcBorders>
            <w:noWrap w:val="0"/>
            <w:vAlign w:val="center"/>
          </w:tcPr>
          <w:p w14:paraId="4A954183">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220</w:t>
            </w:r>
          </w:p>
        </w:tc>
        <w:tc>
          <w:tcPr>
            <w:tcW w:w="463" w:type="dxa"/>
            <w:tcBorders>
              <w:top w:val="single" w:color="auto" w:sz="4" w:space="0"/>
              <w:left w:val="single" w:color="auto" w:sz="4" w:space="0"/>
              <w:bottom w:val="single" w:color="auto" w:sz="4" w:space="0"/>
              <w:right w:val="single" w:color="auto" w:sz="4" w:space="0"/>
            </w:tcBorders>
            <w:noWrap w:val="0"/>
            <w:vAlign w:val="center"/>
          </w:tcPr>
          <w:p w14:paraId="331961A9">
            <w:pPr>
              <w:rPr>
                <w:rFonts w:hint="eastAsia" w:ascii="宋体" w:hAnsi="宋体" w:eastAsia="宋体" w:cs="宋体"/>
                <w:i w:val="0"/>
                <w:iCs w:val="0"/>
                <w:color w:val="auto"/>
                <w:sz w:val="20"/>
                <w:szCs w:val="20"/>
                <w:highlight w:val="none"/>
                <w:u w:val="none"/>
              </w:rPr>
            </w:pPr>
          </w:p>
        </w:tc>
      </w:tr>
      <w:tr w14:paraId="5F0FE3E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7" w:hRule="atLeast"/>
        </w:trPr>
        <w:tc>
          <w:tcPr>
            <w:tcW w:w="821" w:type="dxa"/>
            <w:tcBorders>
              <w:top w:val="single" w:color="auto" w:sz="4" w:space="0"/>
              <w:left w:val="single" w:color="auto" w:sz="4" w:space="0"/>
              <w:bottom w:val="single" w:color="auto" w:sz="4" w:space="0"/>
              <w:right w:val="single" w:color="auto" w:sz="4" w:space="0"/>
            </w:tcBorders>
            <w:noWrap w:val="0"/>
            <w:vAlign w:val="center"/>
          </w:tcPr>
          <w:p w14:paraId="327E532F">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9</w:t>
            </w:r>
          </w:p>
        </w:tc>
        <w:tc>
          <w:tcPr>
            <w:tcW w:w="854" w:type="dxa"/>
            <w:vMerge w:val="continue"/>
            <w:tcBorders>
              <w:top w:val="single" w:color="auto" w:sz="4" w:space="0"/>
              <w:left w:val="single" w:color="auto" w:sz="4" w:space="0"/>
              <w:bottom w:val="single" w:color="auto" w:sz="4" w:space="0"/>
              <w:right w:val="single" w:color="auto" w:sz="4" w:space="0"/>
            </w:tcBorders>
            <w:noWrap w:val="0"/>
            <w:vAlign w:val="center"/>
          </w:tcPr>
          <w:p w14:paraId="2798CC49">
            <w:pPr>
              <w:jc w:val="center"/>
              <w:rPr>
                <w:rFonts w:hint="eastAsia" w:ascii="宋体" w:hAnsi="宋体" w:eastAsia="宋体" w:cs="宋体"/>
                <w:i w:val="0"/>
                <w:iCs w:val="0"/>
                <w:color w:val="auto"/>
                <w:sz w:val="18"/>
                <w:szCs w:val="18"/>
                <w:highlight w:val="none"/>
                <w:u w:val="none"/>
              </w:rPr>
            </w:pPr>
          </w:p>
        </w:tc>
        <w:tc>
          <w:tcPr>
            <w:tcW w:w="981" w:type="dxa"/>
            <w:vMerge w:val="continue"/>
            <w:tcBorders>
              <w:top w:val="single" w:color="auto" w:sz="4" w:space="0"/>
              <w:left w:val="single" w:color="auto" w:sz="4" w:space="0"/>
              <w:bottom w:val="single" w:color="auto" w:sz="4" w:space="0"/>
              <w:right w:val="single" w:color="auto" w:sz="4" w:space="0"/>
            </w:tcBorders>
            <w:noWrap w:val="0"/>
            <w:vAlign w:val="center"/>
          </w:tcPr>
          <w:p w14:paraId="0EEBFD9C">
            <w:pPr>
              <w:jc w:val="center"/>
              <w:rPr>
                <w:rFonts w:hint="eastAsia" w:ascii="宋体" w:hAnsi="宋体" w:eastAsia="宋体" w:cs="宋体"/>
                <w:i w:val="0"/>
                <w:iCs w:val="0"/>
                <w:color w:val="auto"/>
                <w:sz w:val="20"/>
                <w:szCs w:val="20"/>
                <w:highlight w:val="none"/>
                <w:u w:val="none"/>
              </w:rPr>
            </w:pPr>
          </w:p>
        </w:tc>
        <w:tc>
          <w:tcPr>
            <w:tcW w:w="1269" w:type="dxa"/>
            <w:tcBorders>
              <w:top w:val="single" w:color="auto" w:sz="4" w:space="0"/>
              <w:left w:val="single" w:color="auto" w:sz="4" w:space="0"/>
              <w:bottom w:val="single" w:color="auto" w:sz="4" w:space="0"/>
              <w:right w:val="single" w:color="auto" w:sz="4" w:space="0"/>
            </w:tcBorders>
            <w:noWrap w:val="0"/>
            <w:vAlign w:val="center"/>
          </w:tcPr>
          <w:p w14:paraId="48D674C9">
            <w:pPr>
              <w:keepNext w:val="0"/>
              <w:keepLines w:val="0"/>
              <w:widowControl/>
              <w:suppressLineNumbers w:val="0"/>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钢筋保护层厚度</w:t>
            </w:r>
          </w:p>
        </w:tc>
        <w:tc>
          <w:tcPr>
            <w:tcW w:w="693" w:type="dxa"/>
            <w:tcBorders>
              <w:top w:val="single" w:color="auto" w:sz="4" w:space="0"/>
              <w:left w:val="single" w:color="auto" w:sz="4" w:space="0"/>
              <w:bottom w:val="single" w:color="auto" w:sz="4" w:space="0"/>
              <w:right w:val="single" w:color="auto" w:sz="4" w:space="0"/>
            </w:tcBorders>
            <w:noWrap w:val="0"/>
            <w:vAlign w:val="center"/>
          </w:tcPr>
          <w:p w14:paraId="20C9AAAC">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构件</w:t>
            </w:r>
          </w:p>
        </w:tc>
        <w:tc>
          <w:tcPr>
            <w:tcW w:w="993" w:type="dxa"/>
            <w:tcBorders>
              <w:top w:val="single" w:color="auto" w:sz="4" w:space="0"/>
              <w:left w:val="single" w:color="auto" w:sz="4" w:space="0"/>
              <w:bottom w:val="single" w:color="auto" w:sz="4" w:space="0"/>
              <w:right w:val="single" w:color="auto" w:sz="4" w:space="0"/>
            </w:tcBorders>
            <w:noWrap/>
            <w:vAlign w:val="center"/>
          </w:tcPr>
          <w:p w14:paraId="6AA966B7">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45</w:t>
            </w:r>
          </w:p>
        </w:tc>
        <w:tc>
          <w:tcPr>
            <w:tcW w:w="993" w:type="dxa"/>
            <w:tcBorders>
              <w:top w:val="single" w:color="auto" w:sz="4" w:space="0"/>
              <w:left w:val="single" w:color="auto" w:sz="4" w:space="0"/>
              <w:bottom w:val="single" w:color="auto" w:sz="4" w:space="0"/>
              <w:right w:val="single" w:color="auto" w:sz="4" w:space="0"/>
            </w:tcBorders>
            <w:noWrap w:val="0"/>
            <w:vAlign w:val="center"/>
          </w:tcPr>
          <w:p w14:paraId="3CF96905">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45</w:t>
            </w:r>
          </w:p>
        </w:tc>
        <w:tc>
          <w:tcPr>
            <w:tcW w:w="993" w:type="dxa"/>
            <w:tcBorders>
              <w:top w:val="single" w:color="auto" w:sz="4" w:space="0"/>
              <w:left w:val="single" w:color="auto" w:sz="4" w:space="0"/>
              <w:bottom w:val="single" w:color="auto" w:sz="4" w:space="0"/>
              <w:right w:val="single" w:color="auto" w:sz="4" w:space="0"/>
            </w:tcBorders>
            <w:noWrap w:val="0"/>
            <w:vAlign w:val="center"/>
          </w:tcPr>
          <w:p w14:paraId="1806ED6C">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45</w:t>
            </w:r>
          </w:p>
        </w:tc>
        <w:tc>
          <w:tcPr>
            <w:tcW w:w="993" w:type="dxa"/>
            <w:tcBorders>
              <w:top w:val="single" w:color="auto" w:sz="4" w:space="0"/>
              <w:left w:val="single" w:color="auto" w:sz="4" w:space="0"/>
              <w:bottom w:val="single" w:color="auto" w:sz="4" w:space="0"/>
              <w:right w:val="single" w:color="auto" w:sz="4" w:space="0"/>
            </w:tcBorders>
            <w:noWrap w:val="0"/>
            <w:vAlign w:val="center"/>
          </w:tcPr>
          <w:p w14:paraId="4FDBD7CF">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45</w:t>
            </w:r>
          </w:p>
        </w:tc>
        <w:tc>
          <w:tcPr>
            <w:tcW w:w="463" w:type="dxa"/>
            <w:tcBorders>
              <w:top w:val="single" w:color="auto" w:sz="4" w:space="0"/>
              <w:left w:val="single" w:color="auto" w:sz="4" w:space="0"/>
              <w:bottom w:val="single" w:color="auto" w:sz="4" w:space="0"/>
              <w:right w:val="single" w:color="auto" w:sz="4" w:space="0"/>
            </w:tcBorders>
            <w:noWrap w:val="0"/>
            <w:vAlign w:val="center"/>
          </w:tcPr>
          <w:p w14:paraId="48FD009F">
            <w:pPr>
              <w:jc w:val="left"/>
              <w:rPr>
                <w:rFonts w:hint="eastAsia" w:ascii="宋体" w:hAnsi="宋体" w:eastAsia="宋体" w:cs="宋体"/>
                <w:i w:val="0"/>
                <w:iCs w:val="0"/>
                <w:color w:val="auto"/>
                <w:sz w:val="20"/>
                <w:szCs w:val="20"/>
                <w:highlight w:val="none"/>
                <w:u w:val="none"/>
              </w:rPr>
            </w:pPr>
          </w:p>
        </w:tc>
      </w:tr>
      <w:tr w14:paraId="4863B7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7" w:hRule="atLeast"/>
        </w:trPr>
        <w:tc>
          <w:tcPr>
            <w:tcW w:w="821" w:type="dxa"/>
            <w:tcBorders>
              <w:top w:val="single" w:color="auto" w:sz="4" w:space="0"/>
              <w:left w:val="single" w:color="auto" w:sz="4" w:space="0"/>
              <w:bottom w:val="single" w:color="auto" w:sz="4" w:space="0"/>
              <w:right w:val="single" w:color="auto" w:sz="4" w:space="0"/>
            </w:tcBorders>
            <w:noWrap w:val="0"/>
            <w:vAlign w:val="center"/>
          </w:tcPr>
          <w:p w14:paraId="28705D85">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10</w:t>
            </w:r>
          </w:p>
        </w:tc>
        <w:tc>
          <w:tcPr>
            <w:tcW w:w="854" w:type="dxa"/>
            <w:vMerge w:val="continue"/>
            <w:tcBorders>
              <w:top w:val="single" w:color="auto" w:sz="4" w:space="0"/>
              <w:left w:val="single" w:color="auto" w:sz="4" w:space="0"/>
              <w:bottom w:val="single" w:color="auto" w:sz="4" w:space="0"/>
              <w:right w:val="single" w:color="auto" w:sz="4" w:space="0"/>
            </w:tcBorders>
            <w:noWrap w:val="0"/>
            <w:vAlign w:val="center"/>
          </w:tcPr>
          <w:p w14:paraId="552509ED">
            <w:pPr>
              <w:jc w:val="center"/>
              <w:rPr>
                <w:rFonts w:hint="eastAsia" w:ascii="宋体" w:hAnsi="宋体" w:eastAsia="宋体" w:cs="宋体"/>
                <w:i w:val="0"/>
                <w:iCs w:val="0"/>
                <w:color w:val="auto"/>
                <w:sz w:val="18"/>
                <w:szCs w:val="18"/>
                <w:highlight w:val="none"/>
                <w:u w:val="none"/>
              </w:rPr>
            </w:pPr>
          </w:p>
        </w:tc>
        <w:tc>
          <w:tcPr>
            <w:tcW w:w="981" w:type="dxa"/>
            <w:vMerge w:val="restart"/>
            <w:tcBorders>
              <w:top w:val="single" w:color="auto" w:sz="4" w:space="0"/>
              <w:left w:val="single" w:color="auto" w:sz="4" w:space="0"/>
              <w:bottom w:val="single" w:color="auto" w:sz="4" w:space="0"/>
              <w:right w:val="single" w:color="auto" w:sz="4" w:space="0"/>
            </w:tcBorders>
            <w:noWrap w:val="0"/>
            <w:vAlign w:val="center"/>
          </w:tcPr>
          <w:p w14:paraId="6E727692">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梁</w:t>
            </w:r>
          </w:p>
        </w:tc>
        <w:tc>
          <w:tcPr>
            <w:tcW w:w="1269" w:type="dxa"/>
            <w:tcBorders>
              <w:top w:val="single" w:color="auto" w:sz="4" w:space="0"/>
              <w:left w:val="single" w:color="auto" w:sz="4" w:space="0"/>
              <w:bottom w:val="single" w:color="auto" w:sz="4" w:space="0"/>
              <w:right w:val="single" w:color="auto" w:sz="4" w:space="0"/>
            </w:tcBorders>
            <w:noWrap w:val="0"/>
            <w:vAlign w:val="center"/>
          </w:tcPr>
          <w:p w14:paraId="2AEFFB87">
            <w:pPr>
              <w:keepNext w:val="0"/>
              <w:keepLines w:val="0"/>
              <w:widowControl/>
              <w:suppressLineNumbers w:val="0"/>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混凝土强度</w:t>
            </w:r>
          </w:p>
        </w:tc>
        <w:tc>
          <w:tcPr>
            <w:tcW w:w="693" w:type="dxa"/>
            <w:tcBorders>
              <w:top w:val="single" w:color="auto" w:sz="4" w:space="0"/>
              <w:left w:val="single" w:color="auto" w:sz="4" w:space="0"/>
              <w:bottom w:val="single" w:color="auto" w:sz="4" w:space="0"/>
              <w:right w:val="single" w:color="auto" w:sz="4" w:space="0"/>
            </w:tcBorders>
            <w:noWrap w:val="0"/>
            <w:vAlign w:val="center"/>
          </w:tcPr>
          <w:p w14:paraId="7E063B86">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测区</w:t>
            </w:r>
          </w:p>
        </w:tc>
        <w:tc>
          <w:tcPr>
            <w:tcW w:w="993" w:type="dxa"/>
            <w:tcBorders>
              <w:top w:val="single" w:color="auto" w:sz="4" w:space="0"/>
              <w:left w:val="single" w:color="auto" w:sz="4" w:space="0"/>
              <w:bottom w:val="single" w:color="auto" w:sz="4" w:space="0"/>
              <w:right w:val="single" w:color="auto" w:sz="4" w:space="0"/>
            </w:tcBorders>
            <w:noWrap/>
            <w:vAlign w:val="center"/>
          </w:tcPr>
          <w:p w14:paraId="63CD5B00">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120</w:t>
            </w:r>
          </w:p>
        </w:tc>
        <w:tc>
          <w:tcPr>
            <w:tcW w:w="993" w:type="dxa"/>
            <w:tcBorders>
              <w:top w:val="single" w:color="auto" w:sz="4" w:space="0"/>
              <w:left w:val="single" w:color="auto" w:sz="4" w:space="0"/>
              <w:bottom w:val="single" w:color="auto" w:sz="4" w:space="0"/>
              <w:right w:val="single" w:color="auto" w:sz="4" w:space="0"/>
            </w:tcBorders>
            <w:noWrap w:val="0"/>
            <w:vAlign w:val="center"/>
          </w:tcPr>
          <w:p w14:paraId="469D006C">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120</w:t>
            </w:r>
          </w:p>
        </w:tc>
        <w:tc>
          <w:tcPr>
            <w:tcW w:w="993" w:type="dxa"/>
            <w:tcBorders>
              <w:top w:val="single" w:color="auto" w:sz="4" w:space="0"/>
              <w:left w:val="single" w:color="auto" w:sz="4" w:space="0"/>
              <w:bottom w:val="single" w:color="auto" w:sz="4" w:space="0"/>
              <w:right w:val="single" w:color="auto" w:sz="4" w:space="0"/>
            </w:tcBorders>
            <w:noWrap w:val="0"/>
            <w:vAlign w:val="center"/>
          </w:tcPr>
          <w:p w14:paraId="05BE4C03">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120</w:t>
            </w:r>
          </w:p>
        </w:tc>
        <w:tc>
          <w:tcPr>
            <w:tcW w:w="993" w:type="dxa"/>
            <w:tcBorders>
              <w:top w:val="single" w:color="auto" w:sz="4" w:space="0"/>
              <w:left w:val="single" w:color="auto" w:sz="4" w:space="0"/>
              <w:bottom w:val="single" w:color="auto" w:sz="4" w:space="0"/>
              <w:right w:val="single" w:color="auto" w:sz="4" w:space="0"/>
            </w:tcBorders>
            <w:noWrap w:val="0"/>
            <w:vAlign w:val="center"/>
          </w:tcPr>
          <w:p w14:paraId="434B2B1F">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120</w:t>
            </w:r>
          </w:p>
        </w:tc>
        <w:tc>
          <w:tcPr>
            <w:tcW w:w="463" w:type="dxa"/>
            <w:tcBorders>
              <w:top w:val="single" w:color="auto" w:sz="4" w:space="0"/>
              <w:left w:val="single" w:color="auto" w:sz="4" w:space="0"/>
              <w:bottom w:val="single" w:color="auto" w:sz="4" w:space="0"/>
              <w:right w:val="single" w:color="auto" w:sz="4" w:space="0"/>
            </w:tcBorders>
            <w:noWrap w:val="0"/>
            <w:vAlign w:val="center"/>
          </w:tcPr>
          <w:p w14:paraId="713AA69A">
            <w:pPr>
              <w:rPr>
                <w:rFonts w:hint="eastAsia" w:ascii="宋体" w:hAnsi="宋体" w:eastAsia="宋体" w:cs="宋体"/>
                <w:i w:val="0"/>
                <w:iCs w:val="0"/>
                <w:color w:val="auto"/>
                <w:sz w:val="20"/>
                <w:szCs w:val="20"/>
                <w:highlight w:val="none"/>
                <w:u w:val="none"/>
              </w:rPr>
            </w:pPr>
          </w:p>
        </w:tc>
      </w:tr>
      <w:tr w14:paraId="4ABFCB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7" w:hRule="atLeast"/>
        </w:trPr>
        <w:tc>
          <w:tcPr>
            <w:tcW w:w="821" w:type="dxa"/>
            <w:tcBorders>
              <w:top w:val="single" w:color="auto" w:sz="4" w:space="0"/>
              <w:left w:val="single" w:color="auto" w:sz="4" w:space="0"/>
              <w:bottom w:val="single" w:color="auto" w:sz="4" w:space="0"/>
              <w:right w:val="single" w:color="auto" w:sz="4" w:space="0"/>
            </w:tcBorders>
            <w:noWrap w:val="0"/>
            <w:vAlign w:val="center"/>
          </w:tcPr>
          <w:p w14:paraId="47B287EA">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11</w:t>
            </w:r>
          </w:p>
        </w:tc>
        <w:tc>
          <w:tcPr>
            <w:tcW w:w="854" w:type="dxa"/>
            <w:vMerge w:val="continue"/>
            <w:tcBorders>
              <w:top w:val="single" w:color="auto" w:sz="4" w:space="0"/>
              <w:left w:val="single" w:color="auto" w:sz="4" w:space="0"/>
              <w:bottom w:val="single" w:color="auto" w:sz="4" w:space="0"/>
              <w:right w:val="single" w:color="auto" w:sz="4" w:space="0"/>
            </w:tcBorders>
            <w:noWrap w:val="0"/>
            <w:vAlign w:val="center"/>
          </w:tcPr>
          <w:p w14:paraId="3B026079">
            <w:pPr>
              <w:jc w:val="center"/>
              <w:rPr>
                <w:rFonts w:hint="eastAsia" w:ascii="宋体" w:hAnsi="宋体" w:eastAsia="宋体" w:cs="宋体"/>
                <w:i w:val="0"/>
                <w:iCs w:val="0"/>
                <w:color w:val="auto"/>
                <w:sz w:val="18"/>
                <w:szCs w:val="18"/>
                <w:highlight w:val="none"/>
                <w:u w:val="none"/>
              </w:rPr>
            </w:pPr>
          </w:p>
        </w:tc>
        <w:tc>
          <w:tcPr>
            <w:tcW w:w="981" w:type="dxa"/>
            <w:vMerge w:val="continue"/>
            <w:tcBorders>
              <w:top w:val="single" w:color="auto" w:sz="4" w:space="0"/>
              <w:left w:val="single" w:color="auto" w:sz="4" w:space="0"/>
              <w:bottom w:val="single" w:color="auto" w:sz="4" w:space="0"/>
              <w:right w:val="single" w:color="auto" w:sz="4" w:space="0"/>
            </w:tcBorders>
            <w:noWrap w:val="0"/>
            <w:vAlign w:val="center"/>
          </w:tcPr>
          <w:p w14:paraId="40CEEFFD">
            <w:pPr>
              <w:jc w:val="center"/>
              <w:rPr>
                <w:rFonts w:hint="eastAsia" w:ascii="宋体" w:hAnsi="宋体" w:eastAsia="宋体" w:cs="宋体"/>
                <w:i w:val="0"/>
                <w:iCs w:val="0"/>
                <w:color w:val="auto"/>
                <w:sz w:val="20"/>
                <w:szCs w:val="20"/>
                <w:highlight w:val="none"/>
                <w:u w:val="none"/>
              </w:rPr>
            </w:pPr>
          </w:p>
        </w:tc>
        <w:tc>
          <w:tcPr>
            <w:tcW w:w="1269" w:type="dxa"/>
            <w:tcBorders>
              <w:top w:val="single" w:color="auto" w:sz="4" w:space="0"/>
              <w:left w:val="single" w:color="auto" w:sz="4" w:space="0"/>
              <w:bottom w:val="single" w:color="auto" w:sz="4" w:space="0"/>
              <w:right w:val="single" w:color="auto" w:sz="4" w:space="0"/>
            </w:tcBorders>
            <w:noWrap w:val="0"/>
            <w:vAlign w:val="center"/>
          </w:tcPr>
          <w:p w14:paraId="75975072">
            <w:pPr>
              <w:keepNext w:val="0"/>
              <w:keepLines w:val="0"/>
              <w:widowControl/>
              <w:suppressLineNumbers w:val="0"/>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钢筋保护层厚度</w:t>
            </w:r>
          </w:p>
        </w:tc>
        <w:tc>
          <w:tcPr>
            <w:tcW w:w="693" w:type="dxa"/>
            <w:tcBorders>
              <w:top w:val="single" w:color="auto" w:sz="4" w:space="0"/>
              <w:left w:val="single" w:color="auto" w:sz="4" w:space="0"/>
              <w:bottom w:val="single" w:color="auto" w:sz="4" w:space="0"/>
              <w:right w:val="single" w:color="auto" w:sz="4" w:space="0"/>
            </w:tcBorders>
            <w:noWrap w:val="0"/>
            <w:vAlign w:val="center"/>
          </w:tcPr>
          <w:p w14:paraId="7935AB3C">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构件</w:t>
            </w:r>
          </w:p>
        </w:tc>
        <w:tc>
          <w:tcPr>
            <w:tcW w:w="993" w:type="dxa"/>
            <w:tcBorders>
              <w:top w:val="single" w:color="auto" w:sz="4" w:space="0"/>
              <w:left w:val="single" w:color="auto" w:sz="4" w:space="0"/>
              <w:bottom w:val="single" w:color="auto" w:sz="4" w:space="0"/>
              <w:right w:val="single" w:color="auto" w:sz="4" w:space="0"/>
            </w:tcBorders>
            <w:noWrap/>
            <w:vAlign w:val="center"/>
          </w:tcPr>
          <w:p w14:paraId="437FF0DF">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12</w:t>
            </w:r>
          </w:p>
        </w:tc>
        <w:tc>
          <w:tcPr>
            <w:tcW w:w="993" w:type="dxa"/>
            <w:tcBorders>
              <w:top w:val="single" w:color="auto" w:sz="4" w:space="0"/>
              <w:left w:val="single" w:color="auto" w:sz="4" w:space="0"/>
              <w:bottom w:val="single" w:color="auto" w:sz="4" w:space="0"/>
              <w:right w:val="single" w:color="auto" w:sz="4" w:space="0"/>
            </w:tcBorders>
            <w:noWrap w:val="0"/>
            <w:vAlign w:val="center"/>
          </w:tcPr>
          <w:p w14:paraId="520B3C3F">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12</w:t>
            </w:r>
          </w:p>
        </w:tc>
        <w:tc>
          <w:tcPr>
            <w:tcW w:w="993" w:type="dxa"/>
            <w:tcBorders>
              <w:top w:val="single" w:color="auto" w:sz="4" w:space="0"/>
              <w:left w:val="single" w:color="auto" w:sz="4" w:space="0"/>
              <w:bottom w:val="single" w:color="auto" w:sz="4" w:space="0"/>
              <w:right w:val="single" w:color="auto" w:sz="4" w:space="0"/>
            </w:tcBorders>
            <w:noWrap w:val="0"/>
            <w:vAlign w:val="center"/>
          </w:tcPr>
          <w:p w14:paraId="27EE9020">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12</w:t>
            </w:r>
          </w:p>
        </w:tc>
        <w:tc>
          <w:tcPr>
            <w:tcW w:w="993" w:type="dxa"/>
            <w:tcBorders>
              <w:top w:val="single" w:color="auto" w:sz="4" w:space="0"/>
              <w:left w:val="single" w:color="auto" w:sz="4" w:space="0"/>
              <w:bottom w:val="single" w:color="auto" w:sz="4" w:space="0"/>
              <w:right w:val="single" w:color="auto" w:sz="4" w:space="0"/>
            </w:tcBorders>
            <w:noWrap w:val="0"/>
            <w:vAlign w:val="center"/>
          </w:tcPr>
          <w:p w14:paraId="27187F3F">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12</w:t>
            </w:r>
          </w:p>
        </w:tc>
        <w:tc>
          <w:tcPr>
            <w:tcW w:w="463" w:type="dxa"/>
            <w:tcBorders>
              <w:top w:val="single" w:color="auto" w:sz="4" w:space="0"/>
              <w:left w:val="single" w:color="auto" w:sz="4" w:space="0"/>
              <w:bottom w:val="single" w:color="auto" w:sz="4" w:space="0"/>
              <w:right w:val="single" w:color="auto" w:sz="4" w:space="0"/>
            </w:tcBorders>
            <w:noWrap w:val="0"/>
            <w:vAlign w:val="center"/>
          </w:tcPr>
          <w:p w14:paraId="08523CF4">
            <w:pPr>
              <w:jc w:val="left"/>
              <w:rPr>
                <w:rFonts w:hint="eastAsia" w:ascii="宋体" w:hAnsi="宋体" w:eastAsia="宋体" w:cs="宋体"/>
                <w:i w:val="0"/>
                <w:iCs w:val="0"/>
                <w:color w:val="auto"/>
                <w:sz w:val="20"/>
                <w:szCs w:val="20"/>
                <w:highlight w:val="none"/>
                <w:u w:val="none"/>
              </w:rPr>
            </w:pPr>
          </w:p>
        </w:tc>
      </w:tr>
      <w:tr w14:paraId="625FE92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7" w:hRule="atLeast"/>
        </w:trPr>
        <w:tc>
          <w:tcPr>
            <w:tcW w:w="821" w:type="dxa"/>
            <w:tcBorders>
              <w:top w:val="single" w:color="auto" w:sz="4" w:space="0"/>
              <w:left w:val="single" w:color="auto" w:sz="4" w:space="0"/>
              <w:bottom w:val="single" w:color="auto" w:sz="4" w:space="0"/>
              <w:right w:val="single" w:color="auto" w:sz="4" w:space="0"/>
            </w:tcBorders>
            <w:noWrap w:val="0"/>
            <w:vAlign w:val="center"/>
          </w:tcPr>
          <w:p w14:paraId="4A9A8403">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12</w:t>
            </w:r>
          </w:p>
        </w:tc>
        <w:tc>
          <w:tcPr>
            <w:tcW w:w="854" w:type="dxa"/>
            <w:vMerge w:val="continue"/>
            <w:tcBorders>
              <w:top w:val="single" w:color="auto" w:sz="4" w:space="0"/>
              <w:left w:val="single" w:color="auto" w:sz="4" w:space="0"/>
              <w:bottom w:val="single" w:color="auto" w:sz="4" w:space="0"/>
              <w:right w:val="single" w:color="auto" w:sz="4" w:space="0"/>
            </w:tcBorders>
            <w:noWrap w:val="0"/>
            <w:vAlign w:val="center"/>
          </w:tcPr>
          <w:p w14:paraId="1B10EFFD">
            <w:pPr>
              <w:jc w:val="center"/>
              <w:rPr>
                <w:rFonts w:hint="eastAsia" w:ascii="宋体" w:hAnsi="宋体" w:eastAsia="宋体" w:cs="宋体"/>
                <w:i w:val="0"/>
                <w:iCs w:val="0"/>
                <w:color w:val="auto"/>
                <w:sz w:val="18"/>
                <w:szCs w:val="18"/>
                <w:highlight w:val="none"/>
                <w:u w:val="none"/>
              </w:rPr>
            </w:pPr>
          </w:p>
        </w:tc>
        <w:tc>
          <w:tcPr>
            <w:tcW w:w="981" w:type="dxa"/>
            <w:vMerge w:val="continue"/>
            <w:tcBorders>
              <w:top w:val="single" w:color="auto" w:sz="4" w:space="0"/>
              <w:left w:val="single" w:color="auto" w:sz="4" w:space="0"/>
              <w:bottom w:val="single" w:color="auto" w:sz="4" w:space="0"/>
              <w:right w:val="single" w:color="auto" w:sz="4" w:space="0"/>
            </w:tcBorders>
            <w:noWrap w:val="0"/>
            <w:vAlign w:val="center"/>
          </w:tcPr>
          <w:p w14:paraId="06EBFD49">
            <w:pPr>
              <w:jc w:val="center"/>
              <w:rPr>
                <w:rFonts w:hint="eastAsia" w:ascii="宋体" w:hAnsi="宋体" w:eastAsia="宋体" w:cs="宋体"/>
                <w:i w:val="0"/>
                <w:iCs w:val="0"/>
                <w:color w:val="auto"/>
                <w:sz w:val="20"/>
                <w:szCs w:val="20"/>
                <w:highlight w:val="none"/>
                <w:u w:val="none"/>
              </w:rPr>
            </w:pPr>
          </w:p>
        </w:tc>
        <w:tc>
          <w:tcPr>
            <w:tcW w:w="1269" w:type="dxa"/>
            <w:tcBorders>
              <w:top w:val="single" w:color="auto" w:sz="4" w:space="0"/>
              <w:left w:val="single" w:color="auto" w:sz="4" w:space="0"/>
              <w:bottom w:val="single" w:color="auto" w:sz="4" w:space="0"/>
              <w:right w:val="single" w:color="auto" w:sz="4" w:space="0"/>
            </w:tcBorders>
            <w:noWrap w:val="0"/>
            <w:vAlign w:val="center"/>
          </w:tcPr>
          <w:p w14:paraId="6907D24A">
            <w:pPr>
              <w:keepNext w:val="0"/>
              <w:keepLines w:val="0"/>
              <w:widowControl/>
              <w:suppressLineNumbers w:val="0"/>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锚下预应力</w:t>
            </w:r>
          </w:p>
        </w:tc>
        <w:tc>
          <w:tcPr>
            <w:tcW w:w="693" w:type="dxa"/>
            <w:tcBorders>
              <w:top w:val="single" w:color="auto" w:sz="4" w:space="0"/>
              <w:left w:val="single" w:color="auto" w:sz="4" w:space="0"/>
              <w:bottom w:val="single" w:color="auto" w:sz="4" w:space="0"/>
              <w:right w:val="single" w:color="auto" w:sz="4" w:space="0"/>
            </w:tcBorders>
            <w:noWrap w:val="0"/>
            <w:vAlign w:val="center"/>
          </w:tcPr>
          <w:p w14:paraId="561A9A21">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片</w:t>
            </w:r>
          </w:p>
        </w:tc>
        <w:tc>
          <w:tcPr>
            <w:tcW w:w="993" w:type="dxa"/>
            <w:tcBorders>
              <w:top w:val="single" w:color="auto" w:sz="4" w:space="0"/>
              <w:left w:val="single" w:color="auto" w:sz="4" w:space="0"/>
              <w:bottom w:val="single" w:color="auto" w:sz="4" w:space="0"/>
              <w:right w:val="single" w:color="auto" w:sz="4" w:space="0"/>
            </w:tcBorders>
            <w:noWrap/>
            <w:vAlign w:val="center"/>
          </w:tcPr>
          <w:p w14:paraId="7F0539EA">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4</w:t>
            </w:r>
          </w:p>
        </w:tc>
        <w:tc>
          <w:tcPr>
            <w:tcW w:w="993" w:type="dxa"/>
            <w:tcBorders>
              <w:top w:val="single" w:color="auto" w:sz="4" w:space="0"/>
              <w:left w:val="single" w:color="auto" w:sz="4" w:space="0"/>
              <w:bottom w:val="single" w:color="auto" w:sz="4" w:space="0"/>
              <w:right w:val="single" w:color="auto" w:sz="4" w:space="0"/>
            </w:tcBorders>
            <w:noWrap w:val="0"/>
            <w:vAlign w:val="center"/>
          </w:tcPr>
          <w:p w14:paraId="5A3AA3D8">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4</w:t>
            </w:r>
          </w:p>
        </w:tc>
        <w:tc>
          <w:tcPr>
            <w:tcW w:w="993" w:type="dxa"/>
            <w:tcBorders>
              <w:top w:val="single" w:color="auto" w:sz="4" w:space="0"/>
              <w:left w:val="single" w:color="auto" w:sz="4" w:space="0"/>
              <w:bottom w:val="single" w:color="auto" w:sz="4" w:space="0"/>
              <w:right w:val="single" w:color="auto" w:sz="4" w:space="0"/>
            </w:tcBorders>
            <w:noWrap w:val="0"/>
            <w:vAlign w:val="center"/>
          </w:tcPr>
          <w:p w14:paraId="2CBBE042">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4</w:t>
            </w:r>
          </w:p>
        </w:tc>
        <w:tc>
          <w:tcPr>
            <w:tcW w:w="993" w:type="dxa"/>
            <w:tcBorders>
              <w:top w:val="single" w:color="auto" w:sz="4" w:space="0"/>
              <w:left w:val="single" w:color="auto" w:sz="4" w:space="0"/>
              <w:bottom w:val="single" w:color="auto" w:sz="4" w:space="0"/>
              <w:right w:val="single" w:color="auto" w:sz="4" w:space="0"/>
            </w:tcBorders>
            <w:noWrap w:val="0"/>
            <w:vAlign w:val="center"/>
          </w:tcPr>
          <w:p w14:paraId="33491C30">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4</w:t>
            </w:r>
          </w:p>
        </w:tc>
        <w:tc>
          <w:tcPr>
            <w:tcW w:w="463" w:type="dxa"/>
            <w:tcBorders>
              <w:top w:val="single" w:color="auto" w:sz="4" w:space="0"/>
              <w:left w:val="single" w:color="auto" w:sz="4" w:space="0"/>
              <w:bottom w:val="single" w:color="auto" w:sz="4" w:space="0"/>
              <w:right w:val="single" w:color="auto" w:sz="4" w:space="0"/>
            </w:tcBorders>
            <w:noWrap w:val="0"/>
            <w:vAlign w:val="center"/>
          </w:tcPr>
          <w:p w14:paraId="6F6DB49B">
            <w:pPr>
              <w:jc w:val="left"/>
              <w:rPr>
                <w:rFonts w:hint="eastAsia" w:ascii="宋体" w:hAnsi="宋体" w:eastAsia="宋体" w:cs="宋体"/>
                <w:i w:val="0"/>
                <w:iCs w:val="0"/>
                <w:color w:val="auto"/>
                <w:sz w:val="20"/>
                <w:szCs w:val="20"/>
                <w:highlight w:val="none"/>
                <w:u w:val="none"/>
              </w:rPr>
            </w:pPr>
          </w:p>
        </w:tc>
      </w:tr>
      <w:tr w14:paraId="5FCAC30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7" w:hRule="atLeast"/>
        </w:trPr>
        <w:tc>
          <w:tcPr>
            <w:tcW w:w="821" w:type="dxa"/>
            <w:tcBorders>
              <w:top w:val="single" w:color="auto" w:sz="4" w:space="0"/>
              <w:left w:val="single" w:color="auto" w:sz="4" w:space="0"/>
              <w:bottom w:val="single" w:color="auto" w:sz="4" w:space="0"/>
              <w:right w:val="single" w:color="auto" w:sz="4" w:space="0"/>
            </w:tcBorders>
            <w:noWrap w:val="0"/>
            <w:vAlign w:val="center"/>
          </w:tcPr>
          <w:p w14:paraId="7A43FF1C">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13</w:t>
            </w:r>
          </w:p>
        </w:tc>
        <w:tc>
          <w:tcPr>
            <w:tcW w:w="854" w:type="dxa"/>
            <w:vMerge w:val="restart"/>
            <w:tcBorders>
              <w:top w:val="single" w:color="auto" w:sz="4" w:space="0"/>
              <w:left w:val="single" w:color="auto" w:sz="4" w:space="0"/>
              <w:bottom w:val="single" w:color="auto" w:sz="4" w:space="0"/>
              <w:right w:val="single" w:color="auto" w:sz="4" w:space="0"/>
            </w:tcBorders>
            <w:noWrap w:val="0"/>
            <w:vAlign w:val="center"/>
          </w:tcPr>
          <w:p w14:paraId="2671664B">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隧道</w:t>
            </w:r>
          </w:p>
        </w:tc>
        <w:tc>
          <w:tcPr>
            <w:tcW w:w="981" w:type="dxa"/>
            <w:vMerge w:val="restart"/>
            <w:tcBorders>
              <w:top w:val="single" w:color="auto" w:sz="4" w:space="0"/>
              <w:left w:val="single" w:color="auto" w:sz="4" w:space="0"/>
              <w:bottom w:val="single" w:color="auto" w:sz="4" w:space="0"/>
              <w:right w:val="single" w:color="auto" w:sz="4" w:space="0"/>
            </w:tcBorders>
            <w:noWrap w:val="0"/>
            <w:vAlign w:val="center"/>
          </w:tcPr>
          <w:p w14:paraId="6DB75758">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初支</w:t>
            </w:r>
          </w:p>
        </w:tc>
        <w:tc>
          <w:tcPr>
            <w:tcW w:w="1269" w:type="dxa"/>
            <w:tcBorders>
              <w:top w:val="single" w:color="auto" w:sz="4" w:space="0"/>
              <w:left w:val="single" w:color="auto" w:sz="4" w:space="0"/>
              <w:bottom w:val="single" w:color="auto" w:sz="4" w:space="0"/>
              <w:right w:val="single" w:color="auto" w:sz="4" w:space="0"/>
            </w:tcBorders>
            <w:noWrap w:val="0"/>
            <w:vAlign w:val="center"/>
          </w:tcPr>
          <w:p w14:paraId="26CB0135">
            <w:pPr>
              <w:keepNext w:val="0"/>
              <w:keepLines w:val="0"/>
              <w:widowControl/>
              <w:suppressLineNumbers w:val="0"/>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混凝土厚度、背后脱空</w:t>
            </w:r>
          </w:p>
        </w:tc>
        <w:tc>
          <w:tcPr>
            <w:tcW w:w="693" w:type="dxa"/>
            <w:tcBorders>
              <w:top w:val="single" w:color="auto" w:sz="4" w:space="0"/>
              <w:left w:val="single" w:color="auto" w:sz="4" w:space="0"/>
              <w:bottom w:val="single" w:color="auto" w:sz="4" w:space="0"/>
              <w:right w:val="single" w:color="auto" w:sz="4" w:space="0"/>
            </w:tcBorders>
            <w:noWrap w:val="0"/>
            <w:vAlign w:val="center"/>
          </w:tcPr>
          <w:p w14:paraId="6D4ADF80">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点</w:t>
            </w:r>
          </w:p>
        </w:tc>
        <w:tc>
          <w:tcPr>
            <w:tcW w:w="993" w:type="dxa"/>
            <w:tcBorders>
              <w:top w:val="single" w:color="auto" w:sz="4" w:space="0"/>
              <w:left w:val="single" w:color="auto" w:sz="4" w:space="0"/>
              <w:bottom w:val="single" w:color="auto" w:sz="4" w:space="0"/>
              <w:right w:val="single" w:color="auto" w:sz="4" w:space="0"/>
            </w:tcBorders>
            <w:noWrap/>
            <w:vAlign w:val="center"/>
          </w:tcPr>
          <w:p w14:paraId="77249E7A">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80</w:t>
            </w:r>
          </w:p>
        </w:tc>
        <w:tc>
          <w:tcPr>
            <w:tcW w:w="993" w:type="dxa"/>
            <w:tcBorders>
              <w:top w:val="single" w:color="auto" w:sz="4" w:space="0"/>
              <w:left w:val="single" w:color="auto" w:sz="4" w:space="0"/>
              <w:bottom w:val="single" w:color="auto" w:sz="4" w:space="0"/>
              <w:right w:val="single" w:color="auto" w:sz="4" w:space="0"/>
            </w:tcBorders>
            <w:noWrap w:val="0"/>
            <w:vAlign w:val="center"/>
          </w:tcPr>
          <w:p w14:paraId="5A77B6CB">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80</w:t>
            </w:r>
          </w:p>
        </w:tc>
        <w:tc>
          <w:tcPr>
            <w:tcW w:w="993" w:type="dxa"/>
            <w:tcBorders>
              <w:top w:val="single" w:color="auto" w:sz="4" w:space="0"/>
              <w:left w:val="single" w:color="auto" w:sz="4" w:space="0"/>
              <w:bottom w:val="single" w:color="auto" w:sz="4" w:space="0"/>
              <w:right w:val="single" w:color="auto" w:sz="4" w:space="0"/>
            </w:tcBorders>
            <w:noWrap w:val="0"/>
            <w:vAlign w:val="center"/>
          </w:tcPr>
          <w:p w14:paraId="0E175B77">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80</w:t>
            </w:r>
          </w:p>
        </w:tc>
        <w:tc>
          <w:tcPr>
            <w:tcW w:w="993" w:type="dxa"/>
            <w:tcBorders>
              <w:top w:val="single" w:color="auto" w:sz="4" w:space="0"/>
              <w:left w:val="single" w:color="auto" w:sz="4" w:space="0"/>
              <w:bottom w:val="single" w:color="auto" w:sz="4" w:space="0"/>
              <w:right w:val="single" w:color="auto" w:sz="4" w:space="0"/>
            </w:tcBorders>
            <w:noWrap w:val="0"/>
            <w:vAlign w:val="center"/>
          </w:tcPr>
          <w:p w14:paraId="51D37FA4">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80</w:t>
            </w:r>
          </w:p>
        </w:tc>
        <w:tc>
          <w:tcPr>
            <w:tcW w:w="463" w:type="dxa"/>
            <w:tcBorders>
              <w:top w:val="single" w:color="auto" w:sz="4" w:space="0"/>
              <w:left w:val="single" w:color="auto" w:sz="4" w:space="0"/>
              <w:bottom w:val="single" w:color="auto" w:sz="4" w:space="0"/>
              <w:right w:val="single" w:color="auto" w:sz="4" w:space="0"/>
            </w:tcBorders>
            <w:noWrap w:val="0"/>
            <w:vAlign w:val="center"/>
          </w:tcPr>
          <w:p w14:paraId="3AD15427">
            <w:pPr>
              <w:rPr>
                <w:rFonts w:hint="eastAsia" w:ascii="宋体" w:hAnsi="宋体" w:eastAsia="宋体" w:cs="宋体"/>
                <w:i w:val="0"/>
                <w:iCs w:val="0"/>
                <w:color w:val="auto"/>
                <w:sz w:val="20"/>
                <w:szCs w:val="20"/>
                <w:highlight w:val="none"/>
                <w:u w:val="none"/>
              </w:rPr>
            </w:pPr>
          </w:p>
        </w:tc>
      </w:tr>
      <w:tr w14:paraId="58EF6BA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7" w:hRule="atLeast"/>
        </w:trPr>
        <w:tc>
          <w:tcPr>
            <w:tcW w:w="821" w:type="dxa"/>
            <w:tcBorders>
              <w:top w:val="single" w:color="auto" w:sz="4" w:space="0"/>
              <w:left w:val="single" w:color="auto" w:sz="4" w:space="0"/>
              <w:bottom w:val="single" w:color="auto" w:sz="4" w:space="0"/>
              <w:right w:val="single" w:color="auto" w:sz="4" w:space="0"/>
            </w:tcBorders>
            <w:noWrap w:val="0"/>
            <w:vAlign w:val="center"/>
          </w:tcPr>
          <w:p w14:paraId="6F34F6F9">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14</w:t>
            </w:r>
          </w:p>
        </w:tc>
        <w:tc>
          <w:tcPr>
            <w:tcW w:w="854" w:type="dxa"/>
            <w:vMerge w:val="continue"/>
            <w:tcBorders>
              <w:top w:val="single" w:color="auto" w:sz="4" w:space="0"/>
              <w:left w:val="single" w:color="auto" w:sz="4" w:space="0"/>
              <w:bottom w:val="single" w:color="auto" w:sz="4" w:space="0"/>
              <w:right w:val="single" w:color="auto" w:sz="4" w:space="0"/>
            </w:tcBorders>
            <w:noWrap w:val="0"/>
            <w:vAlign w:val="center"/>
          </w:tcPr>
          <w:p w14:paraId="52A5AC5A">
            <w:pPr>
              <w:jc w:val="center"/>
              <w:rPr>
                <w:rFonts w:hint="eastAsia" w:ascii="宋体" w:hAnsi="宋体" w:eastAsia="宋体" w:cs="宋体"/>
                <w:i w:val="0"/>
                <w:iCs w:val="0"/>
                <w:color w:val="auto"/>
                <w:sz w:val="18"/>
                <w:szCs w:val="18"/>
                <w:highlight w:val="none"/>
                <w:u w:val="none"/>
              </w:rPr>
            </w:pPr>
          </w:p>
        </w:tc>
        <w:tc>
          <w:tcPr>
            <w:tcW w:w="981" w:type="dxa"/>
            <w:vMerge w:val="continue"/>
            <w:tcBorders>
              <w:top w:val="single" w:color="auto" w:sz="4" w:space="0"/>
              <w:left w:val="single" w:color="auto" w:sz="4" w:space="0"/>
              <w:bottom w:val="single" w:color="auto" w:sz="4" w:space="0"/>
              <w:right w:val="single" w:color="auto" w:sz="4" w:space="0"/>
            </w:tcBorders>
            <w:noWrap w:val="0"/>
            <w:vAlign w:val="center"/>
          </w:tcPr>
          <w:p w14:paraId="57FFF6FF">
            <w:pPr>
              <w:jc w:val="center"/>
              <w:rPr>
                <w:rFonts w:hint="eastAsia" w:ascii="宋体" w:hAnsi="宋体" w:eastAsia="宋体" w:cs="宋体"/>
                <w:i w:val="0"/>
                <w:iCs w:val="0"/>
                <w:color w:val="auto"/>
                <w:sz w:val="18"/>
                <w:szCs w:val="18"/>
                <w:highlight w:val="none"/>
                <w:u w:val="none"/>
              </w:rPr>
            </w:pPr>
          </w:p>
        </w:tc>
        <w:tc>
          <w:tcPr>
            <w:tcW w:w="1269" w:type="dxa"/>
            <w:tcBorders>
              <w:top w:val="single" w:color="auto" w:sz="4" w:space="0"/>
              <w:left w:val="single" w:color="auto" w:sz="4" w:space="0"/>
              <w:bottom w:val="single" w:color="auto" w:sz="4" w:space="0"/>
              <w:right w:val="single" w:color="auto" w:sz="4" w:space="0"/>
            </w:tcBorders>
            <w:noWrap w:val="0"/>
            <w:vAlign w:val="center"/>
          </w:tcPr>
          <w:p w14:paraId="2CD29CC1">
            <w:pPr>
              <w:keepNext w:val="0"/>
              <w:keepLines w:val="0"/>
              <w:widowControl/>
              <w:suppressLineNumbers w:val="0"/>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钢架型号、间距</w:t>
            </w:r>
          </w:p>
        </w:tc>
        <w:tc>
          <w:tcPr>
            <w:tcW w:w="693" w:type="dxa"/>
            <w:tcBorders>
              <w:top w:val="single" w:color="auto" w:sz="4" w:space="0"/>
              <w:left w:val="single" w:color="auto" w:sz="4" w:space="0"/>
              <w:bottom w:val="single" w:color="auto" w:sz="4" w:space="0"/>
              <w:right w:val="single" w:color="auto" w:sz="4" w:space="0"/>
            </w:tcBorders>
            <w:noWrap w:val="0"/>
            <w:vAlign w:val="center"/>
          </w:tcPr>
          <w:p w14:paraId="66F6C7A3">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组</w:t>
            </w:r>
          </w:p>
        </w:tc>
        <w:tc>
          <w:tcPr>
            <w:tcW w:w="993" w:type="dxa"/>
            <w:tcBorders>
              <w:top w:val="single" w:color="auto" w:sz="4" w:space="0"/>
              <w:left w:val="single" w:color="auto" w:sz="4" w:space="0"/>
              <w:bottom w:val="single" w:color="auto" w:sz="4" w:space="0"/>
              <w:right w:val="single" w:color="auto" w:sz="4" w:space="0"/>
            </w:tcBorders>
            <w:noWrap/>
            <w:vAlign w:val="center"/>
          </w:tcPr>
          <w:p w14:paraId="1151E960">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30</w:t>
            </w:r>
          </w:p>
        </w:tc>
        <w:tc>
          <w:tcPr>
            <w:tcW w:w="993" w:type="dxa"/>
            <w:tcBorders>
              <w:top w:val="single" w:color="auto" w:sz="4" w:space="0"/>
              <w:left w:val="single" w:color="auto" w:sz="4" w:space="0"/>
              <w:bottom w:val="single" w:color="auto" w:sz="4" w:space="0"/>
              <w:right w:val="single" w:color="auto" w:sz="4" w:space="0"/>
            </w:tcBorders>
            <w:noWrap w:val="0"/>
            <w:vAlign w:val="center"/>
          </w:tcPr>
          <w:p w14:paraId="25B17805">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30</w:t>
            </w:r>
          </w:p>
        </w:tc>
        <w:tc>
          <w:tcPr>
            <w:tcW w:w="993" w:type="dxa"/>
            <w:tcBorders>
              <w:top w:val="single" w:color="auto" w:sz="4" w:space="0"/>
              <w:left w:val="single" w:color="auto" w:sz="4" w:space="0"/>
              <w:bottom w:val="single" w:color="auto" w:sz="4" w:space="0"/>
              <w:right w:val="single" w:color="auto" w:sz="4" w:space="0"/>
            </w:tcBorders>
            <w:noWrap w:val="0"/>
            <w:vAlign w:val="center"/>
          </w:tcPr>
          <w:p w14:paraId="0994B32F">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30</w:t>
            </w:r>
          </w:p>
        </w:tc>
        <w:tc>
          <w:tcPr>
            <w:tcW w:w="993" w:type="dxa"/>
            <w:tcBorders>
              <w:top w:val="single" w:color="auto" w:sz="4" w:space="0"/>
              <w:left w:val="single" w:color="auto" w:sz="4" w:space="0"/>
              <w:bottom w:val="single" w:color="auto" w:sz="4" w:space="0"/>
              <w:right w:val="single" w:color="auto" w:sz="4" w:space="0"/>
            </w:tcBorders>
            <w:noWrap w:val="0"/>
            <w:vAlign w:val="center"/>
          </w:tcPr>
          <w:p w14:paraId="0D373255">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30</w:t>
            </w:r>
          </w:p>
        </w:tc>
        <w:tc>
          <w:tcPr>
            <w:tcW w:w="463" w:type="dxa"/>
            <w:tcBorders>
              <w:top w:val="single" w:color="auto" w:sz="4" w:space="0"/>
              <w:left w:val="single" w:color="auto" w:sz="4" w:space="0"/>
              <w:bottom w:val="single" w:color="auto" w:sz="4" w:space="0"/>
              <w:right w:val="single" w:color="auto" w:sz="4" w:space="0"/>
            </w:tcBorders>
            <w:noWrap w:val="0"/>
            <w:vAlign w:val="center"/>
          </w:tcPr>
          <w:p w14:paraId="323FD557">
            <w:pPr>
              <w:jc w:val="left"/>
              <w:rPr>
                <w:rFonts w:hint="eastAsia" w:ascii="宋体" w:hAnsi="宋体" w:eastAsia="宋体" w:cs="宋体"/>
                <w:i w:val="0"/>
                <w:iCs w:val="0"/>
                <w:color w:val="auto"/>
                <w:sz w:val="20"/>
                <w:szCs w:val="20"/>
                <w:highlight w:val="none"/>
                <w:u w:val="none"/>
              </w:rPr>
            </w:pPr>
          </w:p>
        </w:tc>
      </w:tr>
      <w:tr w14:paraId="35EB189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7" w:hRule="atLeast"/>
        </w:trPr>
        <w:tc>
          <w:tcPr>
            <w:tcW w:w="821" w:type="dxa"/>
            <w:tcBorders>
              <w:top w:val="single" w:color="auto" w:sz="4" w:space="0"/>
              <w:left w:val="single" w:color="auto" w:sz="4" w:space="0"/>
              <w:bottom w:val="single" w:color="auto" w:sz="4" w:space="0"/>
              <w:right w:val="single" w:color="auto" w:sz="4" w:space="0"/>
            </w:tcBorders>
            <w:noWrap w:val="0"/>
            <w:vAlign w:val="center"/>
          </w:tcPr>
          <w:p w14:paraId="5E9E5EEC">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15</w:t>
            </w:r>
          </w:p>
        </w:tc>
        <w:tc>
          <w:tcPr>
            <w:tcW w:w="854" w:type="dxa"/>
            <w:vMerge w:val="continue"/>
            <w:tcBorders>
              <w:top w:val="single" w:color="auto" w:sz="4" w:space="0"/>
              <w:left w:val="single" w:color="auto" w:sz="4" w:space="0"/>
              <w:bottom w:val="single" w:color="auto" w:sz="4" w:space="0"/>
              <w:right w:val="single" w:color="auto" w:sz="4" w:space="0"/>
            </w:tcBorders>
            <w:noWrap w:val="0"/>
            <w:vAlign w:val="center"/>
          </w:tcPr>
          <w:p w14:paraId="3EA558A6">
            <w:pPr>
              <w:jc w:val="center"/>
              <w:rPr>
                <w:rFonts w:hint="eastAsia" w:ascii="宋体" w:hAnsi="宋体" w:eastAsia="宋体" w:cs="宋体"/>
                <w:i w:val="0"/>
                <w:iCs w:val="0"/>
                <w:color w:val="auto"/>
                <w:sz w:val="18"/>
                <w:szCs w:val="18"/>
                <w:highlight w:val="none"/>
                <w:u w:val="none"/>
              </w:rPr>
            </w:pPr>
          </w:p>
        </w:tc>
        <w:tc>
          <w:tcPr>
            <w:tcW w:w="981" w:type="dxa"/>
            <w:vMerge w:val="restart"/>
            <w:tcBorders>
              <w:top w:val="single" w:color="auto" w:sz="4" w:space="0"/>
              <w:left w:val="single" w:color="auto" w:sz="4" w:space="0"/>
              <w:bottom w:val="single" w:color="auto" w:sz="4" w:space="0"/>
              <w:right w:val="single" w:color="auto" w:sz="4" w:space="0"/>
            </w:tcBorders>
            <w:noWrap w:val="0"/>
            <w:vAlign w:val="center"/>
          </w:tcPr>
          <w:p w14:paraId="40CDC6B0">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二衬</w:t>
            </w:r>
          </w:p>
        </w:tc>
        <w:tc>
          <w:tcPr>
            <w:tcW w:w="1269" w:type="dxa"/>
            <w:tcBorders>
              <w:top w:val="single" w:color="auto" w:sz="4" w:space="0"/>
              <w:left w:val="single" w:color="auto" w:sz="4" w:space="0"/>
              <w:bottom w:val="single" w:color="auto" w:sz="4" w:space="0"/>
              <w:right w:val="single" w:color="auto" w:sz="4" w:space="0"/>
            </w:tcBorders>
            <w:noWrap w:val="0"/>
            <w:vAlign w:val="center"/>
          </w:tcPr>
          <w:p w14:paraId="3CF643EC">
            <w:pPr>
              <w:keepNext w:val="0"/>
              <w:keepLines w:val="0"/>
              <w:widowControl/>
              <w:suppressLineNumbers w:val="0"/>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混凝土厚度、密实度，钢 筋布置、背后脱空</w:t>
            </w:r>
          </w:p>
        </w:tc>
        <w:tc>
          <w:tcPr>
            <w:tcW w:w="693" w:type="dxa"/>
            <w:tcBorders>
              <w:top w:val="single" w:color="auto" w:sz="4" w:space="0"/>
              <w:left w:val="single" w:color="auto" w:sz="4" w:space="0"/>
              <w:bottom w:val="single" w:color="auto" w:sz="4" w:space="0"/>
              <w:right w:val="single" w:color="auto" w:sz="4" w:space="0"/>
            </w:tcBorders>
            <w:noWrap w:val="0"/>
            <w:vAlign w:val="center"/>
          </w:tcPr>
          <w:p w14:paraId="64329883">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测线米</w:t>
            </w:r>
          </w:p>
        </w:tc>
        <w:tc>
          <w:tcPr>
            <w:tcW w:w="993" w:type="dxa"/>
            <w:tcBorders>
              <w:top w:val="single" w:color="auto" w:sz="4" w:space="0"/>
              <w:left w:val="single" w:color="auto" w:sz="4" w:space="0"/>
              <w:bottom w:val="single" w:color="auto" w:sz="4" w:space="0"/>
              <w:right w:val="single" w:color="auto" w:sz="4" w:space="0"/>
            </w:tcBorders>
            <w:noWrap/>
            <w:vAlign w:val="center"/>
          </w:tcPr>
          <w:p w14:paraId="3248C7C3">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1200</w:t>
            </w:r>
          </w:p>
        </w:tc>
        <w:tc>
          <w:tcPr>
            <w:tcW w:w="993" w:type="dxa"/>
            <w:tcBorders>
              <w:top w:val="single" w:color="auto" w:sz="4" w:space="0"/>
              <w:left w:val="single" w:color="auto" w:sz="4" w:space="0"/>
              <w:bottom w:val="single" w:color="auto" w:sz="4" w:space="0"/>
              <w:right w:val="single" w:color="auto" w:sz="4" w:space="0"/>
            </w:tcBorders>
            <w:noWrap w:val="0"/>
            <w:vAlign w:val="center"/>
          </w:tcPr>
          <w:p w14:paraId="64F5EA49">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1200</w:t>
            </w:r>
          </w:p>
        </w:tc>
        <w:tc>
          <w:tcPr>
            <w:tcW w:w="993" w:type="dxa"/>
            <w:tcBorders>
              <w:top w:val="single" w:color="auto" w:sz="4" w:space="0"/>
              <w:left w:val="single" w:color="auto" w:sz="4" w:space="0"/>
              <w:bottom w:val="single" w:color="auto" w:sz="4" w:space="0"/>
              <w:right w:val="single" w:color="auto" w:sz="4" w:space="0"/>
            </w:tcBorders>
            <w:noWrap w:val="0"/>
            <w:vAlign w:val="center"/>
          </w:tcPr>
          <w:p w14:paraId="35BF8177">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1200</w:t>
            </w:r>
          </w:p>
        </w:tc>
        <w:tc>
          <w:tcPr>
            <w:tcW w:w="993" w:type="dxa"/>
            <w:tcBorders>
              <w:top w:val="single" w:color="auto" w:sz="4" w:space="0"/>
              <w:left w:val="single" w:color="auto" w:sz="4" w:space="0"/>
              <w:bottom w:val="single" w:color="auto" w:sz="4" w:space="0"/>
              <w:right w:val="single" w:color="auto" w:sz="4" w:space="0"/>
            </w:tcBorders>
            <w:noWrap w:val="0"/>
            <w:vAlign w:val="center"/>
          </w:tcPr>
          <w:p w14:paraId="3A6D0816">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1200</w:t>
            </w:r>
          </w:p>
        </w:tc>
        <w:tc>
          <w:tcPr>
            <w:tcW w:w="463" w:type="dxa"/>
            <w:tcBorders>
              <w:top w:val="single" w:color="auto" w:sz="4" w:space="0"/>
              <w:left w:val="single" w:color="auto" w:sz="4" w:space="0"/>
              <w:bottom w:val="single" w:color="auto" w:sz="4" w:space="0"/>
              <w:right w:val="single" w:color="auto" w:sz="4" w:space="0"/>
            </w:tcBorders>
            <w:noWrap w:val="0"/>
            <w:vAlign w:val="center"/>
          </w:tcPr>
          <w:p w14:paraId="09A3C466">
            <w:pPr>
              <w:rPr>
                <w:rFonts w:hint="eastAsia" w:ascii="宋体" w:hAnsi="宋体" w:eastAsia="宋体" w:cs="宋体"/>
                <w:i w:val="0"/>
                <w:iCs w:val="0"/>
                <w:color w:val="auto"/>
                <w:sz w:val="20"/>
                <w:szCs w:val="20"/>
                <w:highlight w:val="none"/>
                <w:u w:val="none"/>
              </w:rPr>
            </w:pPr>
          </w:p>
        </w:tc>
      </w:tr>
      <w:tr w14:paraId="1D5D35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7" w:hRule="atLeast"/>
        </w:trPr>
        <w:tc>
          <w:tcPr>
            <w:tcW w:w="821" w:type="dxa"/>
            <w:tcBorders>
              <w:top w:val="single" w:color="auto" w:sz="4" w:space="0"/>
              <w:left w:val="single" w:color="auto" w:sz="4" w:space="0"/>
              <w:bottom w:val="single" w:color="auto" w:sz="4" w:space="0"/>
              <w:right w:val="single" w:color="auto" w:sz="4" w:space="0"/>
            </w:tcBorders>
            <w:noWrap w:val="0"/>
            <w:vAlign w:val="center"/>
          </w:tcPr>
          <w:p w14:paraId="48F784C3">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16</w:t>
            </w:r>
          </w:p>
        </w:tc>
        <w:tc>
          <w:tcPr>
            <w:tcW w:w="854" w:type="dxa"/>
            <w:vMerge w:val="continue"/>
            <w:tcBorders>
              <w:top w:val="single" w:color="auto" w:sz="4" w:space="0"/>
              <w:left w:val="single" w:color="auto" w:sz="4" w:space="0"/>
              <w:bottom w:val="single" w:color="auto" w:sz="4" w:space="0"/>
              <w:right w:val="single" w:color="auto" w:sz="4" w:space="0"/>
            </w:tcBorders>
            <w:noWrap w:val="0"/>
            <w:vAlign w:val="center"/>
          </w:tcPr>
          <w:p w14:paraId="4CB6AA2D">
            <w:pPr>
              <w:jc w:val="center"/>
              <w:rPr>
                <w:rFonts w:hint="eastAsia" w:ascii="宋体" w:hAnsi="宋体" w:eastAsia="宋体" w:cs="宋体"/>
                <w:i w:val="0"/>
                <w:iCs w:val="0"/>
                <w:color w:val="auto"/>
                <w:sz w:val="18"/>
                <w:szCs w:val="18"/>
                <w:highlight w:val="none"/>
                <w:u w:val="none"/>
              </w:rPr>
            </w:pPr>
          </w:p>
        </w:tc>
        <w:tc>
          <w:tcPr>
            <w:tcW w:w="981" w:type="dxa"/>
            <w:vMerge w:val="continue"/>
            <w:tcBorders>
              <w:top w:val="single" w:color="auto" w:sz="4" w:space="0"/>
              <w:left w:val="single" w:color="auto" w:sz="4" w:space="0"/>
              <w:bottom w:val="single" w:color="auto" w:sz="4" w:space="0"/>
              <w:right w:val="single" w:color="auto" w:sz="4" w:space="0"/>
            </w:tcBorders>
            <w:noWrap w:val="0"/>
            <w:vAlign w:val="center"/>
          </w:tcPr>
          <w:p w14:paraId="65DF4EB3">
            <w:pPr>
              <w:jc w:val="center"/>
              <w:rPr>
                <w:rFonts w:hint="eastAsia" w:ascii="宋体" w:hAnsi="宋体" w:eastAsia="宋体" w:cs="宋体"/>
                <w:i w:val="0"/>
                <w:iCs w:val="0"/>
                <w:color w:val="auto"/>
                <w:sz w:val="18"/>
                <w:szCs w:val="18"/>
                <w:highlight w:val="none"/>
                <w:u w:val="none"/>
              </w:rPr>
            </w:pPr>
          </w:p>
        </w:tc>
        <w:tc>
          <w:tcPr>
            <w:tcW w:w="1269" w:type="dxa"/>
            <w:tcBorders>
              <w:top w:val="single" w:color="auto" w:sz="4" w:space="0"/>
              <w:left w:val="single" w:color="auto" w:sz="4" w:space="0"/>
              <w:bottom w:val="single" w:color="auto" w:sz="4" w:space="0"/>
              <w:right w:val="single" w:color="auto" w:sz="4" w:space="0"/>
            </w:tcBorders>
            <w:noWrap w:val="0"/>
            <w:vAlign w:val="center"/>
          </w:tcPr>
          <w:p w14:paraId="6AB0CF3D">
            <w:pPr>
              <w:keepNext w:val="0"/>
              <w:keepLines w:val="0"/>
              <w:widowControl/>
              <w:suppressLineNumbers w:val="0"/>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混凝土强度</w:t>
            </w:r>
          </w:p>
        </w:tc>
        <w:tc>
          <w:tcPr>
            <w:tcW w:w="693" w:type="dxa"/>
            <w:tcBorders>
              <w:top w:val="single" w:color="auto" w:sz="4" w:space="0"/>
              <w:left w:val="single" w:color="auto" w:sz="4" w:space="0"/>
              <w:bottom w:val="single" w:color="auto" w:sz="4" w:space="0"/>
              <w:right w:val="single" w:color="auto" w:sz="4" w:space="0"/>
            </w:tcBorders>
            <w:noWrap w:val="0"/>
            <w:vAlign w:val="center"/>
          </w:tcPr>
          <w:p w14:paraId="2D2BFE38">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测区</w:t>
            </w:r>
          </w:p>
        </w:tc>
        <w:tc>
          <w:tcPr>
            <w:tcW w:w="993" w:type="dxa"/>
            <w:tcBorders>
              <w:top w:val="single" w:color="auto" w:sz="4" w:space="0"/>
              <w:left w:val="single" w:color="auto" w:sz="4" w:space="0"/>
              <w:bottom w:val="single" w:color="auto" w:sz="4" w:space="0"/>
              <w:right w:val="single" w:color="auto" w:sz="4" w:space="0"/>
            </w:tcBorders>
            <w:noWrap/>
            <w:vAlign w:val="center"/>
          </w:tcPr>
          <w:p w14:paraId="21C58BE2">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80</w:t>
            </w:r>
          </w:p>
        </w:tc>
        <w:tc>
          <w:tcPr>
            <w:tcW w:w="993" w:type="dxa"/>
            <w:tcBorders>
              <w:top w:val="single" w:color="auto" w:sz="4" w:space="0"/>
              <w:left w:val="single" w:color="auto" w:sz="4" w:space="0"/>
              <w:bottom w:val="single" w:color="auto" w:sz="4" w:space="0"/>
              <w:right w:val="single" w:color="auto" w:sz="4" w:space="0"/>
            </w:tcBorders>
            <w:noWrap w:val="0"/>
            <w:vAlign w:val="center"/>
          </w:tcPr>
          <w:p w14:paraId="071BB5D7">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80</w:t>
            </w:r>
          </w:p>
        </w:tc>
        <w:tc>
          <w:tcPr>
            <w:tcW w:w="993" w:type="dxa"/>
            <w:tcBorders>
              <w:top w:val="single" w:color="auto" w:sz="4" w:space="0"/>
              <w:left w:val="single" w:color="auto" w:sz="4" w:space="0"/>
              <w:bottom w:val="single" w:color="auto" w:sz="4" w:space="0"/>
              <w:right w:val="single" w:color="auto" w:sz="4" w:space="0"/>
            </w:tcBorders>
            <w:noWrap w:val="0"/>
            <w:vAlign w:val="center"/>
          </w:tcPr>
          <w:p w14:paraId="4672DD8A">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80</w:t>
            </w:r>
          </w:p>
        </w:tc>
        <w:tc>
          <w:tcPr>
            <w:tcW w:w="993" w:type="dxa"/>
            <w:tcBorders>
              <w:top w:val="single" w:color="auto" w:sz="4" w:space="0"/>
              <w:left w:val="single" w:color="auto" w:sz="4" w:space="0"/>
              <w:bottom w:val="single" w:color="auto" w:sz="4" w:space="0"/>
              <w:right w:val="single" w:color="auto" w:sz="4" w:space="0"/>
            </w:tcBorders>
            <w:noWrap w:val="0"/>
            <w:vAlign w:val="center"/>
          </w:tcPr>
          <w:p w14:paraId="0CC4848B">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80</w:t>
            </w:r>
          </w:p>
        </w:tc>
        <w:tc>
          <w:tcPr>
            <w:tcW w:w="463" w:type="dxa"/>
            <w:tcBorders>
              <w:top w:val="single" w:color="auto" w:sz="4" w:space="0"/>
              <w:left w:val="single" w:color="auto" w:sz="4" w:space="0"/>
              <w:bottom w:val="single" w:color="auto" w:sz="4" w:space="0"/>
              <w:right w:val="single" w:color="auto" w:sz="4" w:space="0"/>
            </w:tcBorders>
            <w:noWrap w:val="0"/>
            <w:vAlign w:val="center"/>
          </w:tcPr>
          <w:p w14:paraId="50A5555E">
            <w:pPr>
              <w:jc w:val="left"/>
              <w:rPr>
                <w:rFonts w:hint="eastAsia" w:ascii="宋体" w:hAnsi="宋体" w:eastAsia="宋体" w:cs="宋体"/>
                <w:i w:val="0"/>
                <w:iCs w:val="0"/>
                <w:color w:val="auto"/>
                <w:sz w:val="20"/>
                <w:szCs w:val="20"/>
                <w:highlight w:val="none"/>
                <w:u w:val="none"/>
              </w:rPr>
            </w:pPr>
          </w:p>
        </w:tc>
      </w:tr>
      <w:tr w14:paraId="24E1D6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7" w:hRule="atLeast"/>
        </w:trPr>
        <w:tc>
          <w:tcPr>
            <w:tcW w:w="821" w:type="dxa"/>
            <w:tcBorders>
              <w:top w:val="single" w:color="auto" w:sz="4" w:space="0"/>
              <w:left w:val="single" w:color="auto" w:sz="4" w:space="0"/>
              <w:bottom w:val="single" w:color="auto" w:sz="4" w:space="0"/>
              <w:right w:val="single" w:color="auto" w:sz="4" w:space="0"/>
            </w:tcBorders>
            <w:noWrap w:val="0"/>
            <w:vAlign w:val="center"/>
          </w:tcPr>
          <w:p w14:paraId="2A5872DA">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17</w:t>
            </w:r>
          </w:p>
        </w:tc>
        <w:tc>
          <w:tcPr>
            <w:tcW w:w="854" w:type="dxa"/>
            <w:vMerge w:val="continue"/>
            <w:tcBorders>
              <w:top w:val="single" w:color="auto" w:sz="4" w:space="0"/>
              <w:left w:val="single" w:color="auto" w:sz="4" w:space="0"/>
              <w:bottom w:val="single" w:color="auto" w:sz="4" w:space="0"/>
              <w:right w:val="single" w:color="auto" w:sz="4" w:space="0"/>
            </w:tcBorders>
            <w:noWrap w:val="0"/>
            <w:vAlign w:val="center"/>
          </w:tcPr>
          <w:p w14:paraId="54814CA3">
            <w:pPr>
              <w:jc w:val="center"/>
              <w:rPr>
                <w:rFonts w:hint="eastAsia" w:ascii="宋体" w:hAnsi="宋体" w:eastAsia="宋体" w:cs="宋体"/>
                <w:i w:val="0"/>
                <w:iCs w:val="0"/>
                <w:color w:val="auto"/>
                <w:sz w:val="18"/>
                <w:szCs w:val="18"/>
                <w:highlight w:val="none"/>
                <w:u w:val="none"/>
              </w:rPr>
            </w:pPr>
          </w:p>
        </w:tc>
        <w:tc>
          <w:tcPr>
            <w:tcW w:w="981" w:type="dxa"/>
            <w:vMerge w:val="continue"/>
            <w:tcBorders>
              <w:top w:val="single" w:color="auto" w:sz="4" w:space="0"/>
              <w:left w:val="single" w:color="auto" w:sz="4" w:space="0"/>
              <w:bottom w:val="single" w:color="auto" w:sz="4" w:space="0"/>
              <w:right w:val="single" w:color="auto" w:sz="4" w:space="0"/>
            </w:tcBorders>
            <w:noWrap w:val="0"/>
            <w:vAlign w:val="center"/>
          </w:tcPr>
          <w:p w14:paraId="7D45592D">
            <w:pPr>
              <w:jc w:val="center"/>
              <w:rPr>
                <w:rFonts w:hint="eastAsia" w:ascii="宋体" w:hAnsi="宋体" w:eastAsia="宋体" w:cs="宋体"/>
                <w:i w:val="0"/>
                <w:iCs w:val="0"/>
                <w:color w:val="auto"/>
                <w:sz w:val="18"/>
                <w:szCs w:val="18"/>
                <w:highlight w:val="none"/>
                <w:u w:val="none"/>
              </w:rPr>
            </w:pPr>
          </w:p>
        </w:tc>
        <w:tc>
          <w:tcPr>
            <w:tcW w:w="1269" w:type="dxa"/>
            <w:tcBorders>
              <w:top w:val="single" w:color="auto" w:sz="4" w:space="0"/>
              <w:left w:val="single" w:color="auto" w:sz="4" w:space="0"/>
              <w:bottom w:val="single" w:color="auto" w:sz="4" w:space="0"/>
              <w:right w:val="single" w:color="auto" w:sz="4" w:space="0"/>
            </w:tcBorders>
            <w:noWrap w:val="0"/>
            <w:vAlign w:val="center"/>
          </w:tcPr>
          <w:p w14:paraId="66761719">
            <w:pPr>
              <w:keepNext w:val="0"/>
              <w:keepLines w:val="0"/>
              <w:widowControl/>
              <w:suppressLineNumbers w:val="0"/>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净空</w:t>
            </w:r>
          </w:p>
        </w:tc>
        <w:tc>
          <w:tcPr>
            <w:tcW w:w="693" w:type="dxa"/>
            <w:tcBorders>
              <w:top w:val="single" w:color="auto" w:sz="4" w:space="0"/>
              <w:left w:val="single" w:color="auto" w:sz="4" w:space="0"/>
              <w:bottom w:val="single" w:color="auto" w:sz="4" w:space="0"/>
              <w:right w:val="single" w:color="auto" w:sz="4" w:space="0"/>
            </w:tcBorders>
            <w:noWrap w:val="0"/>
            <w:vAlign w:val="center"/>
          </w:tcPr>
          <w:p w14:paraId="4E34D916">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个</w:t>
            </w:r>
          </w:p>
        </w:tc>
        <w:tc>
          <w:tcPr>
            <w:tcW w:w="993" w:type="dxa"/>
            <w:tcBorders>
              <w:top w:val="single" w:color="auto" w:sz="4" w:space="0"/>
              <w:left w:val="single" w:color="auto" w:sz="4" w:space="0"/>
              <w:bottom w:val="single" w:color="auto" w:sz="4" w:space="0"/>
              <w:right w:val="single" w:color="auto" w:sz="4" w:space="0"/>
            </w:tcBorders>
            <w:noWrap/>
            <w:vAlign w:val="center"/>
          </w:tcPr>
          <w:p w14:paraId="10AF2377">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4</w:t>
            </w:r>
          </w:p>
        </w:tc>
        <w:tc>
          <w:tcPr>
            <w:tcW w:w="993" w:type="dxa"/>
            <w:tcBorders>
              <w:top w:val="single" w:color="auto" w:sz="4" w:space="0"/>
              <w:left w:val="single" w:color="auto" w:sz="4" w:space="0"/>
              <w:bottom w:val="single" w:color="auto" w:sz="4" w:space="0"/>
              <w:right w:val="single" w:color="auto" w:sz="4" w:space="0"/>
            </w:tcBorders>
            <w:noWrap w:val="0"/>
            <w:vAlign w:val="center"/>
          </w:tcPr>
          <w:p w14:paraId="6671DB7F">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4</w:t>
            </w:r>
          </w:p>
        </w:tc>
        <w:tc>
          <w:tcPr>
            <w:tcW w:w="993" w:type="dxa"/>
            <w:tcBorders>
              <w:top w:val="single" w:color="auto" w:sz="4" w:space="0"/>
              <w:left w:val="single" w:color="auto" w:sz="4" w:space="0"/>
              <w:bottom w:val="single" w:color="auto" w:sz="4" w:space="0"/>
              <w:right w:val="single" w:color="auto" w:sz="4" w:space="0"/>
            </w:tcBorders>
            <w:noWrap w:val="0"/>
            <w:vAlign w:val="center"/>
          </w:tcPr>
          <w:p w14:paraId="1B388375">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4</w:t>
            </w:r>
          </w:p>
        </w:tc>
        <w:tc>
          <w:tcPr>
            <w:tcW w:w="993" w:type="dxa"/>
            <w:tcBorders>
              <w:top w:val="single" w:color="auto" w:sz="4" w:space="0"/>
              <w:left w:val="single" w:color="auto" w:sz="4" w:space="0"/>
              <w:bottom w:val="single" w:color="auto" w:sz="4" w:space="0"/>
              <w:right w:val="single" w:color="auto" w:sz="4" w:space="0"/>
            </w:tcBorders>
            <w:noWrap w:val="0"/>
            <w:vAlign w:val="center"/>
          </w:tcPr>
          <w:p w14:paraId="2B8D520A">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4</w:t>
            </w:r>
          </w:p>
        </w:tc>
        <w:tc>
          <w:tcPr>
            <w:tcW w:w="463" w:type="dxa"/>
            <w:tcBorders>
              <w:top w:val="single" w:color="auto" w:sz="4" w:space="0"/>
              <w:left w:val="single" w:color="auto" w:sz="4" w:space="0"/>
              <w:bottom w:val="single" w:color="auto" w:sz="4" w:space="0"/>
              <w:right w:val="single" w:color="auto" w:sz="4" w:space="0"/>
            </w:tcBorders>
            <w:noWrap w:val="0"/>
            <w:vAlign w:val="center"/>
          </w:tcPr>
          <w:p w14:paraId="7D237F8F">
            <w:pPr>
              <w:jc w:val="left"/>
              <w:rPr>
                <w:rFonts w:hint="eastAsia" w:ascii="宋体" w:hAnsi="宋体" w:eastAsia="宋体" w:cs="宋体"/>
                <w:i w:val="0"/>
                <w:iCs w:val="0"/>
                <w:color w:val="auto"/>
                <w:sz w:val="20"/>
                <w:szCs w:val="20"/>
                <w:highlight w:val="none"/>
                <w:u w:val="none"/>
              </w:rPr>
            </w:pPr>
          </w:p>
        </w:tc>
      </w:tr>
      <w:tr w14:paraId="01A7535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7" w:hRule="atLeast"/>
        </w:trPr>
        <w:tc>
          <w:tcPr>
            <w:tcW w:w="821" w:type="dxa"/>
            <w:tcBorders>
              <w:top w:val="single" w:color="auto" w:sz="4" w:space="0"/>
              <w:left w:val="single" w:color="auto" w:sz="4" w:space="0"/>
              <w:bottom w:val="single" w:color="auto" w:sz="4" w:space="0"/>
              <w:right w:val="single" w:color="auto" w:sz="4" w:space="0"/>
            </w:tcBorders>
            <w:noWrap w:val="0"/>
            <w:vAlign w:val="center"/>
          </w:tcPr>
          <w:p w14:paraId="5BA62635">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18</w:t>
            </w:r>
          </w:p>
        </w:tc>
        <w:tc>
          <w:tcPr>
            <w:tcW w:w="854" w:type="dxa"/>
            <w:vMerge w:val="continue"/>
            <w:tcBorders>
              <w:top w:val="single" w:color="auto" w:sz="4" w:space="0"/>
              <w:left w:val="single" w:color="auto" w:sz="4" w:space="0"/>
              <w:bottom w:val="single" w:color="auto" w:sz="4" w:space="0"/>
              <w:right w:val="single" w:color="auto" w:sz="4" w:space="0"/>
            </w:tcBorders>
            <w:noWrap w:val="0"/>
            <w:vAlign w:val="center"/>
          </w:tcPr>
          <w:p w14:paraId="7B99A5A3">
            <w:pPr>
              <w:jc w:val="center"/>
              <w:rPr>
                <w:rFonts w:hint="eastAsia" w:ascii="宋体" w:hAnsi="宋体" w:eastAsia="宋体" w:cs="宋体"/>
                <w:i w:val="0"/>
                <w:iCs w:val="0"/>
                <w:color w:val="auto"/>
                <w:sz w:val="18"/>
                <w:szCs w:val="18"/>
                <w:highlight w:val="none"/>
                <w:u w:val="none"/>
              </w:rPr>
            </w:pPr>
          </w:p>
        </w:tc>
        <w:tc>
          <w:tcPr>
            <w:tcW w:w="981" w:type="dxa"/>
            <w:vMerge w:val="restart"/>
            <w:tcBorders>
              <w:top w:val="single" w:color="auto" w:sz="4" w:space="0"/>
              <w:left w:val="single" w:color="auto" w:sz="4" w:space="0"/>
              <w:bottom w:val="single" w:color="auto" w:sz="4" w:space="0"/>
              <w:right w:val="single" w:color="auto" w:sz="4" w:space="0"/>
            </w:tcBorders>
            <w:noWrap w:val="0"/>
            <w:vAlign w:val="center"/>
          </w:tcPr>
          <w:p w14:paraId="671CFF5D">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锚杆</w:t>
            </w:r>
          </w:p>
        </w:tc>
        <w:tc>
          <w:tcPr>
            <w:tcW w:w="1269" w:type="dxa"/>
            <w:tcBorders>
              <w:top w:val="single" w:color="auto" w:sz="4" w:space="0"/>
              <w:left w:val="single" w:color="auto" w:sz="4" w:space="0"/>
              <w:bottom w:val="single" w:color="auto" w:sz="4" w:space="0"/>
              <w:right w:val="single" w:color="auto" w:sz="4" w:space="0"/>
            </w:tcBorders>
            <w:noWrap w:val="0"/>
            <w:vAlign w:val="center"/>
          </w:tcPr>
          <w:p w14:paraId="35A848C7">
            <w:pPr>
              <w:keepNext w:val="0"/>
              <w:keepLines w:val="0"/>
              <w:widowControl/>
              <w:suppressLineNumbers w:val="0"/>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数量、长度、注浆饱满度</w:t>
            </w:r>
          </w:p>
        </w:tc>
        <w:tc>
          <w:tcPr>
            <w:tcW w:w="693" w:type="dxa"/>
            <w:tcBorders>
              <w:top w:val="single" w:color="auto" w:sz="4" w:space="0"/>
              <w:left w:val="single" w:color="auto" w:sz="4" w:space="0"/>
              <w:bottom w:val="single" w:color="auto" w:sz="4" w:space="0"/>
              <w:right w:val="single" w:color="auto" w:sz="4" w:space="0"/>
            </w:tcBorders>
            <w:noWrap w:val="0"/>
            <w:vAlign w:val="center"/>
          </w:tcPr>
          <w:p w14:paraId="25BCBD5B">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组</w:t>
            </w:r>
          </w:p>
        </w:tc>
        <w:tc>
          <w:tcPr>
            <w:tcW w:w="993" w:type="dxa"/>
            <w:tcBorders>
              <w:top w:val="single" w:color="auto" w:sz="4" w:space="0"/>
              <w:left w:val="single" w:color="auto" w:sz="4" w:space="0"/>
              <w:bottom w:val="single" w:color="auto" w:sz="4" w:space="0"/>
              <w:right w:val="single" w:color="auto" w:sz="4" w:space="0"/>
            </w:tcBorders>
            <w:noWrap/>
            <w:vAlign w:val="center"/>
          </w:tcPr>
          <w:p w14:paraId="45F78ECC">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150</w:t>
            </w:r>
          </w:p>
        </w:tc>
        <w:tc>
          <w:tcPr>
            <w:tcW w:w="993" w:type="dxa"/>
            <w:tcBorders>
              <w:top w:val="single" w:color="auto" w:sz="4" w:space="0"/>
              <w:left w:val="single" w:color="auto" w:sz="4" w:space="0"/>
              <w:bottom w:val="single" w:color="auto" w:sz="4" w:space="0"/>
              <w:right w:val="single" w:color="auto" w:sz="4" w:space="0"/>
            </w:tcBorders>
            <w:noWrap w:val="0"/>
            <w:vAlign w:val="center"/>
          </w:tcPr>
          <w:p w14:paraId="6F3614FD">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150</w:t>
            </w:r>
          </w:p>
        </w:tc>
        <w:tc>
          <w:tcPr>
            <w:tcW w:w="993" w:type="dxa"/>
            <w:tcBorders>
              <w:top w:val="single" w:color="auto" w:sz="4" w:space="0"/>
              <w:left w:val="single" w:color="auto" w:sz="4" w:space="0"/>
              <w:bottom w:val="single" w:color="auto" w:sz="4" w:space="0"/>
              <w:right w:val="single" w:color="auto" w:sz="4" w:space="0"/>
            </w:tcBorders>
            <w:noWrap w:val="0"/>
            <w:vAlign w:val="center"/>
          </w:tcPr>
          <w:p w14:paraId="297FE849">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150</w:t>
            </w:r>
          </w:p>
        </w:tc>
        <w:tc>
          <w:tcPr>
            <w:tcW w:w="993" w:type="dxa"/>
            <w:tcBorders>
              <w:top w:val="single" w:color="auto" w:sz="4" w:space="0"/>
              <w:left w:val="single" w:color="auto" w:sz="4" w:space="0"/>
              <w:bottom w:val="single" w:color="auto" w:sz="4" w:space="0"/>
              <w:right w:val="single" w:color="auto" w:sz="4" w:space="0"/>
            </w:tcBorders>
            <w:noWrap w:val="0"/>
            <w:vAlign w:val="center"/>
          </w:tcPr>
          <w:p w14:paraId="3F6BDCF9">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150</w:t>
            </w:r>
          </w:p>
        </w:tc>
        <w:tc>
          <w:tcPr>
            <w:tcW w:w="463" w:type="dxa"/>
            <w:tcBorders>
              <w:top w:val="single" w:color="auto" w:sz="4" w:space="0"/>
              <w:left w:val="single" w:color="auto" w:sz="4" w:space="0"/>
              <w:bottom w:val="single" w:color="auto" w:sz="4" w:space="0"/>
              <w:right w:val="single" w:color="auto" w:sz="4" w:space="0"/>
            </w:tcBorders>
            <w:noWrap w:val="0"/>
            <w:vAlign w:val="center"/>
          </w:tcPr>
          <w:p w14:paraId="428D7BDB">
            <w:pPr>
              <w:rPr>
                <w:rFonts w:hint="eastAsia" w:ascii="宋体" w:hAnsi="宋体" w:eastAsia="宋体" w:cs="宋体"/>
                <w:i w:val="0"/>
                <w:iCs w:val="0"/>
                <w:color w:val="auto"/>
                <w:sz w:val="20"/>
                <w:szCs w:val="20"/>
                <w:highlight w:val="none"/>
                <w:u w:val="none"/>
              </w:rPr>
            </w:pPr>
          </w:p>
        </w:tc>
      </w:tr>
      <w:tr w14:paraId="5620B0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7" w:hRule="atLeast"/>
        </w:trPr>
        <w:tc>
          <w:tcPr>
            <w:tcW w:w="821" w:type="dxa"/>
            <w:tcBorders>
              <w:top w:val="single" w:color="auto" w:sz="4" w:space="0"/>
              <w:left w:val="single" w:color="auto" w:sz="4" w:space="0"/>
              <w:bottom w:val="single" w:color="auto" w:sz="4" w:space="0"/>
              <w:right w:val="single" w:color="auto" w:sz="4" w:space="0"/>
            </w:tcBorders>
            <w:noWrap w:val="0"/>
            <w:vAlign w:val="center"/>
          </w:tcPr>
          <w:p w14:paraId="0EFC94B9">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19</w:t>
            </w:r>
          </w:p>
        </w:tc>
        <w:tc>
          <w:tcPr>
            <w:tcW w:w="854" w:type="dxa"/>
            <w:vMerge w:val="continue"/>
            <w:tcBorders>
              <w:top w:val="single" w:color="auto" w:sz="4" w:space="0"/>
              <w:left w:val="single" w:color="auto" w:sz="4" w:space="0"/>
              <w:bottom w:val="single" w:color="auto" w:sz="4" w:space="0"/>
              <w:right w:val="single" w:color="auto" w:sz="4" w:space="0"/>
            </w:tcBorders>
            <w:noWrap w:val="0"/>
            <w:vAlign w:val="center"/>
          </w:tcPr>
          <w:p w14:paraId="2B5D221E">
            <w:pPr>
              <w:jc w:val="center"/>
              <w:rPr>
                <w:rFonts w:hint="eastAsia" w:ascii="宋体" w:hAnsi="宋体" w:eastAsia="宋体" w:cs="宋体"/>
                <w:i w:val="0"/>
                <w:iCs w:val="0"/>
                <w:color w:val="auto"/>
                <w:sz w:val="18"/>
                <w:szCs w:val="18"/>
                <w:highlight w:val="none"/>
                <w:u w:val="none"/>
              </w:rPr>
            </w:pPr>
          </w:p>
        </w:tc>
        <w:tc>
          <w:tcPr>
            <w:tcW w:w="981" w:type="dxa"/>
            <w:vMerge w:val="continue"/>
            <w:tcBorders>
              <w:top w:val="single" w:color="auto" w:sz="4" w:space="0"/>
              <w:left w:val="single" w:color="auto" w:sz="4" w:space="0"/>
              <w:bottom w:val="single" w:color="auto" w:sz="4" w:space="0"/>
              <w:right w:val="single" w:color="auto" w:sz="4" w:space="0"/>
            </w:tcBorders>
            <w:noWrap w:val="0"/>
            <w:vAlign w:val="center"/>
          </w:tcPr>
          <w:p w14:paraId="68A39D0B">
            <w:pPr>
              <w:jc w:val="center"/>
              <w:rPr>
                <w:rFonts w:hint="eastAsia" w:ascii="宋体" w:hAnsi="宋体" w:eastAsia="宋体" w:cs="宋体"/>
                <w:i w:val="0"/>
                <w:iCs w:val="0"/>
                <w:color w:val="auto"/>
                <w:sz w:val="18"/>
                <w:szCs w:val="18"/>
                <w:highlight w:val="none"/>
                <w:u w:val="none"/>
              </w:rPr>
            </w:pPr>
          </w:p>
        </w:tc>
        <w:tc>
          <w:tcPr>
            <w:tcW w:w="1269" w:type="dxa"/>
            <w:tcBorders>
              <w:top w:val="single" w:color="auto" w:sz="4" w:space="0"/>
              <w:left w:val="single" w:color="auto" w:sz="4" w:space="0"/>
              <w:bottom w:val="single" w:color="auto" w:sz="4" w:space="0"/>
              <w:right w:val="single" w:color="auto" w:sz="4" w:space="0"/>
            </w:tcBorders>
            <w:noWrap w:val="0"/>
            <w:vAlign w:val="center"/>
          </w:tcPr>
          <w:p w14:paraId="5D16434A">
            <w:pPr>
              <w:keepNext w:val="0"/>
              <w:keepLines w:val="0"/>
              <w:widowControl/>
              <w:suppressLineNumbers w:val="0"/>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拉拔力试验</w:t>
            </w:r>
          </w:p>
        </w:tc>
        <w:tc>
          <w:tcPr>
            <w:tcW w:w="693" w:type="dxa"/>
            <w:tcBorders>
              <w:top w:val="single" w:color="auto" w:sz="4" w:space="0"/>
              <w:left w:val="single" w:color="auto" w:sz="4" w:space="0"/>
              <w:bottom w:val="single" w:color="auto" w:sz="4" w:space="0"/>
              <w:right w:val="single" w:color="auto" w:sz="4" w:space="0"/>
            </w:tcBorders>
            <w:noWrap w:val="0"/>
            <w:vAlign w:val="center"/>
          </w:tcPr>
          <w:p w14:paraId="76587125">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组</w:t>
            </w:r>
          </w:p>
        </w:tc>
        <w:tc>
          <w:tcPr>
            <w:tcW w:w="993" w:type="dxa"/>
            <w:tcBorders>
              <w:top w:val="single" w:color="auto" w:sz="4" w:space="0"/>
              <w:left w:val="single" w:color="auto" w:sz="4" w:space="0"/>
              <w:bottom w:val="single" w:color="auto" w:sz="4" w:space="0"/>
              <w:right w:val="single" w:color="auto" w:sz="4" w:space="0"/>
            </w:tcBorders>
            <w:noWrap/>
            <w:vAlign w:val="center"/>
          </w:tcPr>
          <w:p w14:paraId="7D2F61E1">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50</w:t>
            </w:r>
          </w:p>
        </w:tc>
        <w:tc>
          <w:tcPr>
            <w:tcW w:w="993" w:type="dxa"/>
            <w:tcBorders>
              <w:top w:val="single" w:color="auto" w:sz="4" w:space="0"/>
              <w:left w:val="single" w:color="auto" w:sz="4" w:space="0"/>
              <w:bottom w:val="single" w:color="auto" w:sz="4" w:space="0"/>
              <w:right w:val="single" w:color="auto" w:sz="4" w:space="0"/>
            </w:tcBorders>
            <w:noWrap w:val="0"/>
            <w:vAlign w:val="center"/>
          </w:tcPr>
          <w:p w14:paraId="37263997">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50</w:t>
            </w:r>
          </w:p>
        </w:tc>
        <w:tc>
          <w:tcPr>
            <w:tcW w:w="993" w:type="dxa"/>
            <w:tcBorders>
              <w:top w:val="single" w:color="auto" w:sz="4" w:space="0"/>
              <w:left w:val="single" w:color="auto" w:sz="4" w:space="0"/>
              <w:bottom w:val="single" w:color="auto" w:sz="4" w:space="0"/>
              <w:right w:val="single" w:color="auto" w:sz="4" w:space="0"/>
            </w:tcBorders>
            <w:noWrap w:val="0"/>
            <w:vAlign w:val="center"/>
          </w:tcPr>
          <w:p w14:paraId="06FBCBDD">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50</w:t>
            </w:r>
          </w:p>
        </w:tc>
        <w:tc>
          <w:tcPr>
            <w:tcW w:w="993" w:type="dxa"/>
            <w:tcBorders>
              <w:top w:val="single" w:color="auto" w:sz="4" w:space="0"/>
              <w:left w:val="single" w:color="auto" w:sz="4" w:space="0"/>
              <w:bottom w:val="single" w:color="auto" w:sz="4" w:space="0"/>
              <w:right w:val="single" w:color="auto" w:sz="4" w:space="0"/>
            </w:tcBorders>
            <w:noWrap w:val="0"/>
            <w:vAlign w:val="center"/>
          </w:tcPr>
          <w:p w14:paraId="1109AE62">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50</w:t>
            </w:r>
          </w:p>
        </w:tc>
        <w:tc>
          <w:tcPr>
            <w:tcW w:w="463" w:type="dxa"/>
            <w:tcBorders>
              <w:top w:val="single" w:color="auto" w:sz="4" w:space="0"/>
              <w:left w:val="single" w:color="auto" w:sz="4" w:space="0"/>
              <w:bottom w:val="single" w:color="auto" w:sz="4" w:space="0"/>
              <w:right w:val="single" w:color="auto" w:sz="4" w:space="0"/>
            </w:tcBorders>
            <w:noWrap w:val="0"/>
            <w:vAlign w:val="center"/>
          </w:tcPr>
          <w:p w14:paraId="0F340449">
            <w:pPr>
              <w:jc w:val="left"/>
              <w:rPr>
                <w:rFonts w:hint="eastAsia" w:ascii="宋体" w:hAnsi="宋体" w:eastAsia="宋体" w:cs="宋体"/>
                <w:i w:val="0"/>
                <w:iCs w:val="0"/>
                <w:color w:val="auto"/>
                <w:sz w:val="20"/>
                <w:szCs w:val="20"/>
                <w:highlight w:val="none"/>
                <w:u w:val="none"/>
              </w:rPr>
            </w:pPr>
          </w:p>
        </w:tc>
      </w:tr>
      <w:tr w14:paraId="1AD96C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7" w:hRule="atLeast"/>
        </w:trPr>
        <w:tc>
          <w:tcPr>
            <w:tcW w:w="821" w:type="dxa"/>
            <w:tcBorders>
              <w:top w:val="single" w:color="auto" w:sz="4" w:space="0"/>
              <w:left w:val="single" w:color="auto" w:sz="4" w:space="0"/>
              <w:bottom w:val="single" w:color="auto" w:sz="4" w:space="0"/>
              <w:right w:val="single" w:color="auto" w:sz="4" w:space="0"/>
            </w:tcBorders>
            <w:noWrap w:val="0"/>
            <w:vAlign w:val="center"/>
          </w:tcPr>
          <w:p w14:paraId="2CBFA6C8">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20</w:t>
            </w:r>
          </w:p>
        </w:tc>
        <w:tc>
          <w:tcPr>
            <w:tcW w:w="854" w:type="dxa"/>
            <w:vMerge w:val="continue"/>
            <w:tcBorders>
              <w:top w:val="single" w:color="auto" w:sz="4" w:space="0"/>
              <w:left w:val="single" w:color="auto" w:sz="4" w:space="0"/>
              <w:bottom w:val="single" w:color="auto" w:sz="4" w:space="0"/>
              <w:right w:val="single" w:color="auto" w:sz="4" w:space="0"/>
            </w:tcBorders>
            <w:noWrap w:val="0"/>
            <w:vAlign w:val="center"/>
          </w:tcPr>
          <w:p w14:paraId="0C9DD94F">
            <w:pPr>
              <w:jc w:val="center"/>
              <w:rPr>
                <w:rFonts w:hint="eastAsia" w:ascii="宋体" w:hAnsi="宋体" w:eastAsia="宋体" w:cs="宋体"/>
                <w:i w:val="0"/>
                <w:iCs w:val="0"/>
                <w:color w:val="auto"/>
                <w:sz w:val="18"/>
                <w:szCs w:val="18"/>
                <w:highlight w:val="none"/>
                <w:u w:val="none"/>
              </w:rPr>
            </w:pPr>
          </w:p>
        </w:tc>
        <w:tc>
          <w:tcPr>
            <w:tcW w:w="981" w:type="dxa"/>
            <w:vMerge w:val="restart"/>
            <w:tcBorders>
              <w:top w:val="single" w:color="auto" w:sz="4" w:space="0"/>
              <w:left w:val="single" w:color="auto" w:sz="4" w:space="0"/>
              <w:bottom w:val="single" w:color="auto" w:sz="4" w:space="0"/>
              <w:right w:val="single" w:color="auto" w:sz="4" w:space="0"/>
            </w:tcBorders>
            <w:noWrap w:val="0"/>
            <w:vAlign w:val="center"/>
          </w:tcPr>
          <w:p w14:paraId="74197C2F">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仰拱</w:t>
            </w:r>
          </w:p>
        </w:tc>
        <w:tc>
          <w:tcPr>
            <w:tcW w:w="1269" w:type="dxa"/>
            <w:tcBorders>
              <w:top w:val="single" w:color="auto" w:sz="4" w:space="0"/>
              <w:left w:val="single" w:color="auto" w:sz="4" w:space="0"/>
              <w:bottom w:val="single" w:color="auto" w:sz="4" w:space="0"/>
              <w:right w:val="single" w:color="auto" w:sz="4" w:space="0"/>
            </w:tcBorders>
            <w:noWrap w:val="0"/>
            <w:vAlign w:val="center"/>
          </w:tcPr>
          <w:p w14:paraId="19C48881">
            <w:pPr>
              <w:keepNext w:val="0"/>
              <w:keepLines w:val="0"/>
              <w:widowControl/>
              <w:suppressLineNumbers w:val="0"/>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混凝土厚度</w:t>
            </w:r>
          </w:p>
        </w:tc>
        <w:tc>
          <w:tcPr>
            <w:tcW w:w="693" w:type="dxa"/>
            <w:tcBorders>
              <w:top w:val="single" w:color="auto" w:sz="4" w:space="0"/>
              <w:left w:val="single" w:color="auto" w:sz="4" w:space="0"/>
              <w:bottom w:val="single" w:color="auto" w:sz="4" w:space="0"/>
              <w:right w:val="single" w:color="auto" w:sz="4" w:space="0"/>
            </w:tcBorders>
            <w:noWrap w:val="0"/>
            <w:vAlign w:val="center"/>
          </w:tcPr>
          <w:p w14:paraId="112A74FD">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测线米</w:t>
            </w:r>
          </w:p>
        </w:tc>
        <w:tc>
          <w:tcPr>
            <w:tcW w:w="993" w:type="dxa"/>
            <w:tcBorders>
              <w:top w:val="single" w:color="auto" w:sz="4" w:space="0"/>
              <w:left w:val="single" w:color="auto" w:sz="4" w:space="0"/>
              <w:bottom w:val="single" w:color="auto" w:sz="4" w:space="0"/>
              <w:right w:val="single" w:color="auto" w:sz="4" w:space="0"/>
            </w:tcBorders>
            <w:noWrap/>
            <w:vAlign w:val="center"/>
          </w:tcPr>
          <w:p w14:paraId="4AEDB927">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1500</w:t>
            </w:r>
          </w:p>
        </w:tc>
        <w:tc>
          <w:tcPr>
            <w:tcW w:w="993" w:type="dxa"/>
            <w:tcBorders>
              <w:top w:val="single" w:color="auto" w:sz="4" w:space="0"/>
              <w:left w:val="single" w:color="auto" w:sz="4" w:space="0"/>
              <w:bottom w:val="single" w:color="auto" w:sz="4" w:space="0"/>
              <w:right w:val="single" w:color="auto" w:sz="4" w:space="0"/>
            </w:tcBorders>
            <w:noWrap w:val="0"/>
            <w:vAlign w:val="center"/>
          </w:tcPr>
          <w:p w14:paraId="5A4A72FE">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1500</w:t>
            </w:r>
          </w:p>
        </w:tc>
        <w:tc>
          <w:tcPr>
            <w:tcW w:w="993" w:type="dxa"/>
            <w:tcBorders>
              <w:top w:val="single" w:color="auto" w:sz="4" w:space="0"/>
              <w:left w:val="single" w:color="auto" w:sz="4" w:space="0"/>
              <w:bottom w:val="single" w:color="auto" w:sz="4" w:space="0"/>
              <w:right w:val="single" w:color="auto" w:sz="4" w:space="0"/>
            </w:tcBorders>
            <w:noWrap w:val="0"/>
            <w:vAlign w:val="center"/>
          </w:tcPr>
          <w:p w14:paraId="23EED32C">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1500</w:t>
            </w:r>
          </w:p>
        </w:tc>
        <w:tc>
          <w:tcPr>
            <w:tcW w:w="993" w:type="dxa"/>
            <w:tcBorders>
              <w:top w:val="single" w:color="auto" w:sz="4" w:space="0"/>
              <w:left w:val="single" w:color="auto" w:sz="4" w:space="0"/>
              <w:bottom w:val="single" w:color="auto" w:sz="4" w:space="0"/>
              <w:right w:val="single" w:color="auto" w:sz="4" w:space="0"/>
            </w:tcBorders>
            <w:noWrap w:val="0"/>
            <w:vAlign w:val="center"/>
          </w:tcPr>
          <w:p w14:paraId="28B7F510">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1500</w:t>
            </w:r>
          </w:p>
        </w:tc>
        <w:tc>
          <w:tcPr>
            <w:tcW w:w="463" w:type="dxa"/>
            <w:tcBorders>
              <w:top w:val="single" w:color="auto" w:sz="4" w:space="0"/>
              <w:left w:val="single" w:color="auto" w:sz="4" w:space="0"/>
              <w:bottom w:val="single" w:color="auto" w:sz="4" w:space="0"/>
              <w:right w:val="single" w:color="auto" w:sz="4" w:space="0"/>
            </w:tcBorders>
            <w:noWrap w:val="0"/>
            <w:vAlign w:val="center"/>
          </w:tcPr>
          <w:p w14:paraId="01F8051C">
            <w:pPr>
              <w:rPr>
                <w:rFonts w:hint="eastAsia" w:ascii="宋体" w:hAnsi="宋体" w:eastAsia="宋体" w:cs="宋体"/>
                <w:i w:val="0"/>
                <w:iCs w:val="0"/>
                <w:color w:val="auto"/>
                <w:sz w:val="20"/>
                <w:szCs w:val="20"/>
                <w:highlight w:val="none"/>
                <w:u w:val="none"/>
              </w:rPr>
            </w:pPr>
          </w:p>
        </w:tc>
      </w:tr>
      <w:tr w14:paraId="1A4266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7" w:hRule="atLeast"/>
        </w:trPr>
        <w:tc>
          <w:tcPr>
            <w:tcW w:w="821" w:type="dxa"/>
            <w:tcBorders>
              <w:top w:val="single" w:color="auto" w:sz="4" w:space="0"/>
              <w:left w:val="single" w:color="auto" w:sz="4" w:space="0"/>
              <w:bottom w:val="single" w:color="auto" w:sz="4" w:space="0"/>
              <w:right w:val="single" w:color="auto" w:sz="4" w:space="0"/>
            </w:tcBorders>
            <w:noWrap w:val="0"/>
            <w:vAlign w:val="center"/>
          </w:tcPr>
          <w:p w14:paraId="0E277524">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21</w:t>
            </w:r>
          </w:p>
        </w:tc>
        <w:tc>
          <w:tcPr>
            <w:tcW w:w="854" w:type="dxa"/>
            <w:vMerge w:val="continue"/>
            <w:tcBorders>
              <w:top w:val="single" w:color="auto" w:sz="4" w:space="0"/>
              <w:left w:val="single" w:color="auto" w:sz="4" w:space="0"/>
              <w:bottom w:val="single" w:color="auto" w:sz="4" w:space="0"/>
              <w:right w:val="single" w:color="auto" w:sz="4" w:space="0"/>
            </w:tcBorders>
            <w:noWrap w:val="0"/>
            <w:vAlign w:val="center"/>
          </w:tcPr>
          <w:p w14:paraId="0E607D22">
            <w:pPr>
              <w:jc w:val="center"/>
              <w:rPr>
                <w:rFonts w:hint="eastAsia" w:ascii="宋体" w:hAnsi="宋体" w:eastAsia="宋体" w:cs="宋体"/>
                <w:i w:val="0"/>
                <w:iCs w:val="0"/>
                <w:color w:val="auto"/>
                <w:sz w:val="18"/>
                <w:szCs w:val="18"/>
                <w:highlight w:val="none"/>
                <w:u w:val="none"/>
              </w:rPr>
            </w:pPr>
          </w:p>
        </w:tc>
        <w:tc>
          <w:tcPr>
            <w:tcW w:w="981" w:type="dxa"/>
            <w:vMerge w:val="continue"/>
            <w:tcBorders>
              <w:top w:val="single" w:color="auto" w:sz="4" w:space="0"/>
              <w:left w:val="single" w:color="auto" w:sz="4" w:space="0"/>
              <w:bottom w:val="single" w:color="auto" w:sz="4" w:space="0"/>
              <w:right w:val="single" w:color="auto" w:sz="4" w:space="0"/>
            </w:tcBorders>
            <w:noWrap w:val="0"/>
            <w:vAlign w:val="center"/>
          </w:tcPr>
          <w:p w14:paraId="78A44E05">
            <w:pPr>
              <w:jc w:val="center"/>
              <w:rPr>
                <w:rFonts w:hint="eastAsia" w:ascii="宋体" w:hAnsi="宋体" w:eastAsia="宋体" w:cs="宋体"/>
                <w:i w:val="0"/>
                <w:iCs w:val="0"/>
                <w:color w:val="auto"/>
                <w:sz w:val="18"/>
                <w:szCs w:val="18"/>
                <w:highlight w:val="none"/>
                <w:u w:val="none"/>
              </w:rPr>
            </w:pPr>
          </w:p>
        </w:tc>
        <w:tc>
          <w:tcPr>
            <w:tcW w:w="1269" w:type="dxa"/>
            <w:vMerge w:val="restart"/>
            <w:tcBorders>
              <w:top w:val="single" w:color="auto" w:sz="4" w:space="0"/>
              <w:left w:val="single" w:color="auto" w:sz="4" w:space="0"/>
              <w:bottom w:val="single" w:color="auto" w:sz="4" w:space="0"/>
              <w:right w:val="single" w:color="auto" w:sz="4" w:space="0"/>
            </w:tcBorders>
            <w:noWrap w:val="0"/>
            <w:vAlign w:val="center"/>
          </w:tcPr>
          <w:p w14:paraId="0A921D95">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混凝土强度</w:t>
            </w:r>
          </w:p>
        </w:tc>
        <w:tc>
          <w:tcPr>
            <w:tcW w:w="693" w:type="dxa"/>
            <w:tcBorders>
              <w:top w:val="single" w:color="auto" w:sz="4" w:space="0"/>
              <w:left w:val="single" w:color="auto" w:sz="4" w:space="0"/>
              <w:bottom w:val="single" w:color="auto" w:sz="4" w:space="0"/>
              <w:right w:val="single" w:color="auto" w:sz="4" w:space="0"/>
            </w:tcBorders>
            <w:noWrap w:val="0"/>
            <w:vAlign w:val="center"/>
          </w:tcPr>
          <w:p w14:paraId="7053F1C8">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取芯/个</w:t>
            </w:r>
          </w:p>
        </w:tc>
        <w:tc>
          <w:tcPr>
            <w:tcW w:w="993" w:type="dxa"/>
            <w:tcBorders>
              <w:top w:val="single" w:color="auto" w:sz="4" w:space="0"/>
              <w:left w:val="single" w:color="auto" w:sz="4" w:space="0"/>
              <w:bottom w:val="single" w:color="auto" w:sz="4" w:space="0"/>
              <w:right w:val="single" w:color="auto" w:sz="4" w:space="0"/>
            </w:tcBorders>
            <w:noWrap/>
            <w:vAlign w:val="center"/>
          </w:tcPr>
          <w:p w14:paraId="241CEA06">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8</w:t>
            </w:r>
          </w:p>
        </w:tc>
        <w:tc>
          <w:tcPr>
            <w:tcW w:w="993" w:type="dxa"/>
            <w:tcBorders>
              <w:top w:val="single" w:color="auto" w:sz="4" w:space="0"/>
              <w:left w:val="single" w:color="auto" w:sz="4" w:space="0"/>
              <w:bottom w:val="single" w:color="auto" w:sz="4" w:space="0"/>
              <w:right w:val="single" w:color="auto" w:sz="4" w:space="0"/>
            </w:tcBorders>
            <w:noWrap w:val="0"/>
            <w:vAlign w:val="center"/>
          </w:tcPr>
          <w:p w14:paraId="471A4A6E">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8</w:t>
            </w:r>
          </w:p>
        </w:tc>
        <w:tc>
          <w:tcPr>
            <w:tcW w:w="993" w:type="dxa"/>
            <w:tcBorders>
              <w:top w:val="single" w:color="auto" w:sz="4" w:space="0"/>
              <w:left w:val="single" w:color="auto" w:sz="4" w:space="0"/>
              <w:bottom w:val="single" w:color="auto" w:sz="4" w:space="0"/>
              <w:right w:val="single" w:color="auto" w:sz="4" w:space="0"/>
            </w:tcBorders>
            <w:noWrap w:val="0"/>
            <w:vAlign w:val="center"/>
          </w:tcPr>
          <w:p w14:paraId="28484329">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8</w:t>
            </w:r>
          </w:p>
        </w:tc>
        <w:tc>
          <w:tcPr>
            <w:tcW w:w="993" w:type="dxa"/>
            <w:tcBorders>
              <w:top w:val="single" w:color="auto" w:sz="4" w:space="0"/>
              <w:left w:val="single" w:color="auto" w:sz="4" w:space="0"/>
              <w:bottom w:val="single" w:color="auto" w:sz="4" w:space="0"/>
              <w:right w:val="single" w:color="auto" w:sz="4" w:space="0"/>
            </w:tcBorders>
            <w:noWrap w:val="0"/>
            <w:vAlign w:val="center"/>
          </w:tcPr>
          <w:p w14:paraId="4F36D1BD">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8</w:t>
            </w:r>
          </w:p>
        </w:tc>
        <w:tc>
          <w:tcPr>
            <w:tcW w:w="463" w:type="dxa"/>
            <w:tcBorders>
              <w:top w:val="single" w:color="auto" w:sz="4" w:space="0"/>
              <w:left w:val="single" w:color="auto" w:sz="4" w:space="0"/>
              <w:bottom w:val="single" w:color="auto" w:sz="4" w:space="0"/>
              <w:right w:val="single" w:color="auto" w:sz="4" w:space="0"/>
            </w:tcBorders>
            <w:noWrap w:val="0"/>
            <w:vAlign w:val="center"/>
          </w:tcPr>
          <w:p w14:paraId="266303CD">
            <w:pPr>
              <w:rPr>
                <w:rFonts w:hint="eastAsia" w:ascii="宋体" w:hAnsi="宋体" w:eastAsia="宋体" w:cs="宋体"/>
                <w:i w:val="0"/>
                <w:iCs w:val="0"/>
                <w:color w:val="auto"/>
                <w:sz w:val="20"/>
                <w:szCs w:val="20"/>
                <w:highlight w:val="none"/>
                <w:u w:val="none"/>
              </w:rPr>
            </w:pPr>
          </w:p>
        </w:tc>
      </w:tr>
      <w:tr w14:paraId="4A2B14C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7" w:hRule="atLeast"/>
        </w:trPr>
        <w:tc>
          <w:tcPr>
            <w:tcW w:w="821" w:type="dxa"/>
            <w:tcBorders>
              <w:top w:val="single" w:color="auto" w:sz="4" w:space="0"/>
              <w:left w:val="single" w:color="auto" w:sz="4" w:space="0"/>
              <w:bottom w:val="single" w:color="auto" w:sz="4" w:space="0"/>
              <w:right w:val="single" w:color="auto" w:sz="4" w:space="0"/>
            </w:tcBorders>
            <w:noWrap w:val="0"/>
            <w:vAlign w:val="center"/>
          </w:tcPr>
          <w:p w14:paraId="60E60FFB">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22</w:t>
            </w:r>
          </w:p>
        </w:tc>
        <w:tc>
          <w:tcPr>
            <w:tcW w:w="854" w:type="dxa"/>
            <w:vMerge w:val="continue"/>
            <w:tcBorders>
              <w:top w:val="single" w:color="auto" w:sz="4" w:space="0"/>
              <w:left w:val="single" w:color="auto" w:sz="4" w:space="0"/>
              <w:bottom w:val="single" w:color="auto" w:sz="4" w:space="0"/>
              <w:right w:val="single" w:color="auto" w:sz="4" w:space="0"/>
            </w:tcBorders>
            <w:noWrap w:val="0"/>
            <w:vAlign w:val="center"/>
          </w:tcPr>
          <w:p w14:paraId="0A67FB19">
            <w:pPr>
              <w:jc w:val="center"/>
              <w:rPr>
                <w:rFonts w:hint="eastAsia" w:ascii="宋体" w:hAnsi="宋体" w:eastAsia="宋体" w:cs="宋体"/>
                <w:i w:val="0"/>
                <w:iCs w:val="0"/>
                <w:color w:val="auto"/>
                <w:sz w:val="18"/>
                <w:szCs w:val="18"/>
                <w:highlight w:val="none"/>
                <w:u w:val="none"/>
              </w:rPr>
            </w:pPr>
          </w:p>
        </w:tc>
        <w:tc>
          <w:tcPr>
            <w:tcW w:w="981" w:type="dxa"/>
            <w:vMerge w:val="continue"/>
            <w:tcBorders>
              <w:top w:val="single" w:color="auto" w:sz="4" w:space="0"/>
              <w:left w:val="single" w:color="auto" w:sz="4" w:space="0"/>
              <w:bottom w:val="single" w:color="auto" w:sz="4" w:space="0"/>
              <w:right w:val="single" w:color="auto" w:sz="4" w:space="0"/>
            </w:tcBorders>
            <w:noWrap w:val="0"/>
            <w:vAlign w:val="center"/>
          </w:tcPr>
          <w:p w14:paraId="75AD3F26">
            <w:pPr>
              <w:jc w:val="center"/>
              <w:rPr>
                <w:rFonts w:hint="eastAsia" w:ascii="宋体" w:hAnsi="宋体" w:eastAsia="宋体" w:cs="宋体"/>
                <w:i w:val="0"/>
                <w:iCs w:val="0"/>
                <w:color w:val="auto"/>
                <w:sz w:val="18"/>
                <w:szCs w:val="18"/>
                <w:highlight w:val="none"/>
                <w:u w:val="none"/>
              </w:rPr>
            </w:pPr>
          </w:p>
        </w:tc>
        <w:tc>
          <w:tcPr>
            <w:tcW w:w="1269" w:type="dxa"/>
            <w:vMerge w:val="continue"/>
            <w:tcBorders>
              <w:top w:val="single" w:color="auto" w:sz="4" w:space="0"/>
              <w:left w:val="single" w:color="auto" w:sz="4" w:space="0"/>
              <w:bottom w:val="single" w:color="auto" w:sz="4" w:space="0"/>
              <w:right w:val="single" w:color="auto" w:sz="4" w:space="0"/>
            </w:tcBorders>
            <w:noWrap w:val="0"/>
            <w:vAlign w:val="center"/>
          </w:tcPr>
          <w:p w14:paraId="5428459F">
            <w:pPr>
              <w:jc w:val="center"/>
              <w:rPr>
                <w:rFonts w:hint="eastAsia" w:ascii="宋体" w:hAnsi="宋体" w:eastAsia="宋体" w:cs="宋体"/>
                <w:i w:val="0"/>
                <w:iCs w:val="0"/>
                <w:color w:val="auto"/>
                <w:sz w:val="18"/>
                <w:szCs w:val="18"/>
                <w:highlight w:val="none"/>
                <w:u w:val="none"/>
              </w:rPr>
            </w:pPr>
          </w:p>
        </w:tc>
        <w:tc>
          <w:tcPr>
            <w:tcW w:w="693" w:type="dxa"/>
            <w:tcBorders>
              <w:top w:val="single" w:color="auto" w:sz="4" w:space="0"/>
              <w:left w:val="single" w:color="auto" w:sz="4" w:space="0"/>
              <w:bottom w:val="single" w:color="auto" w:sz="4" w:space="0"/>
              <w:right w:val="single" w:color="auto" w:sz="4" w:space="0"/>
            </w:tcBorders>
            <w:noWrap w:val="0"/>
            <w:vAlign w:val="center"/>
          </w:tcPr>
          <w:p w14:paraId="700AF7A0">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测区</w:t>
            </w:r>
          </w:p>
        </w:tc>
        <w:tc>
          <w:tcPr>
            <w:tcW w:w="993" w:type="dxa"/>
            <w:tcBorders>
              <w:top w:val="single" w:color="auto" w:sz="4" w:space="0"/>
              <w:left w:val="single" w:color="auto" w:sz="4" w:space="0"/>
              <w:bottom w:val="single" w:color="auto" w:sz="4" w:space="0"/>
              <w:right w:val="single" w:color="auto" w:sz="4" w:space="0"/>
            </w:tcBorders>
            <w:noWrap/>
            <w:vAlign w:val="center"/>
          </w:tcPr>
          <w:p w14:paraId="5BC37607">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150</w:t>
            </w:r>
          </w:p>
        </w:tc>
        <w:tc>
          <w:tcPr>
            <w:tcW w:w="993" w:type="dxa"/>
            <w:tcBorders>
              <w:top w:val="single" w:color="auto" w:sz="4" w:space="0"/>
              <w:left w:val="single" w:color="auto" w:sz="4" w:space="0"/>
              <w:bottom w:val="single" w:color="auto" w:sz="4" w:space="0"/>
              <w:right w:val="single" w:color="auto" w:sz="4" w:space="0"/>
            </w:tcBorders>
            <w:noWrap w:val="0"/>
            <w:vAlign w:val="center"/>
          </w:tcPr>
          <w:p w14:paraId="50E9A066">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150</w:t>
            </w:r>
          </w:p>
        </w:tc>
        <w:tc>
          <w:tcPr>
            <w:tcW w:w="993" w:type="dxa"/>
            <w:tcBorders>
              <w:top w:val="single" w:color="auto" w:sz="4" w:space="0"/>
              <w:left w:val="single" w:color="auto" w:sz="4" w:space="0"/>
              <w:bottom w:val="single" w:color="auto" w:sz="4" w:space="0"/>
              <w:right w:val="single" w:color="auto" w:sz="4" w:space="0"/>
            </w:tcBorders>
            <w:noWrap w:val="0"/>
            <w:vAlign w:val="center"/>
          </w:tcPr>
          <w:p w14:paraId="015D1D21">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150</w:t>
            </w:r>
          </w:p>
        </w:tc>
        <w:tc>
          <w:tcPr>
            <w:tcW w:w="993" w:type="dxa"/>
            <w:tcBorders>
              <w:top w:val="single" w:color="auto" w:sz="4" w:space="0"/>
              <w:left w:val="single" w:color="auto" w:sz="4" w:space="0"/>
              <w:bottom w:val="single" w:color="auto" w:sz="4" w:space="0"/>
              <w:right w:val="single" w:color="auto" w:sz="4" w:space="0"/>
            </w:tcBorders>
            <w:noWrap/>
            <w:vAlign w:val="center"/>
          </w:tcPr>
          <w:p w14:paraId="234A03BA">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150</w:t>
            </w:r>
          </w:p>
        </w:tc>
        <w:tc>
          <w:tcPr>
            <w:tcW w:w="463" w:type="dxa"/>
            <w:tcBorders>
              <w:top w:val="single" w:color="auto" w:sz="4" w:space="0"/>
              <w:left w:val="single" w:color="auto" w:sz="4" w:space="0"/>
              <w:bottom w:val="single" w:color="auto" w:sz="4" w:space="0"/>
              <w:right w:val="single" w:color="auto" w:sz="4" w:space="0"/>
            </w:tcBorders>
            <w:noWrap/>
            <w:vAlign w:val="center"/>
          </w:tcPr>
          <w:p w14:paraId="5F35656F">
            <w:pPr>
              <w:rPr>
                <w:rFonts w:hint="eastAsia" w:ascii="宋体" w:hAnsi="宋体" w:eastAsia="宋体" w:cs="宋体"/>
                <w:i w:val="0"/>
                <w:iCs w:val="0"/>
                <w:color w:val="auto"/>
                <w:sz w:val="22"/>
                <w:szCs w:val="22"/>
                <w:highlight w:val="none"/>
                <w:u w:val="none"/>
              </w:rPr>
            </w:pPr>
          </w:p>
        </w:tc>
      </w:tr>
    </w:tbl>
    <w:p w14:paraId="79FE1E85">
      <w:pPr>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br w:type="page"/>
      </w:r>
    </w:p>
    <w:tbl>
      <w:tblPr>
        <w:tblStyle w:val="45"/>
        <w:tblW w:w="8932" w:type="dxa"/>
        <w:tblInd w:w="9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975"/>
        <w:gridCol w:w="1044"/>
        <w:gridCol w:w="1906"/>
        <w:gridCol w:w="693"/>
        <w:gridCol w:w="917"/>
        <w:gridCol w:w="914"/>
        <w:gridCol w:w="881"/>
        <w:gridCol w:w="957"/>
        <w:gridCol w:w="645"/>
      </w:tblGrid>
      <w:tr w14:paraId="4F8297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0" w:hRule="atLeast"/>
        </w:trPr>
        <w:tc>
          <w:tcPr>
            <w:tcW w:w="8932" w:type="dxa"/>
            <w:gridSpan w:val="9"/>
            <w:tcBorders>
              <w:top w:val="nil"/>
              <w:left w:val="nil"/>
              <w:bottom w:val="single" w:color="auto" w:sz="4" w:space="0"/>
              <w:right w:val="nil"/>
            </w:tcBorders>
            <w:noWrap/>
            <w:vAlign w:val="center"/>
          </w:tcPr>
          <w:p w14:paraId="04F1A215">
            <w:pPr>
              <w:keepNext w:val="0"/>
              <w:keepLines w:val="0"/>
              <w:widowControl/>
              <w:suppressLineNumbers w:val="0"/>
              <w:jc w:val="center"/>
              <w:textAlignment w:val="center"/>
              <w:rPr>
                <w:rFonts w:hint="eastAsia" w:ascii="宋体" w:hAnsi="宋体" w:eastAsia="宋体" w:cs="宋体"/>
                <w:b/>
                <w:bCs/>
                <w:i w:val="0"/>
                <w:iCs w:val="0"/>
                <w:color w:val="auto"/>
                <w:kern w:val="0"/>
                <w:sz w:val="32"/>
                <w:szCs w:val="32"/>
                <w:highlight w:val="none"/>
                <w:u w:val="none"/>
                <w:lang w:val="en-US" w:eastAsia="zh-CN" w:bidi="ar"/>
              </w:rPr>
            </w:pPr>
            <w:r>
              <w:rPr>
                <w:rStyle w:val="127"/>
                <w:rFonts w:hint="eastAsia" w:ascii="宋体" w:hAnsi="宋体" w:eastAsia="宋体" w:cs="宋体"/>
                <w:color w:val="auto"/>
                <w:sz w:val="28"/>
                <w:szCs w:val="28"/>
                <w:highlight w:val="none"/>
                <w:lang w:val="en-US" w:eastAsia="zh-CN" w:bidi="ar"/>
              </w:rPr>
              <w:t>2026年公路、铁路工程质量监督检测服务清单（铁路部分）</w:t>
            </w:r>
          </w:p>
          <w:p w14:paraId="4EDC3C24">
            <w:pPr>
              <w:keepNext w:val="0"/>
              <w:keepLines w:val="0"/>
              <w:widowControl/>
              <w:suppressLineNumbers w:val="0"/>
              <w:jc w:val="center"/>
              <w:textAlignment w:val="center"/>
              <w:rPr>
                <w:rFonts w:hint="eastAsia" w:ascii="宋体" w:hAnsi="宋体" w:eastAsia="宋体" w:cs="宋体"/>
                <w:b/>
                <w:bCs/>
                <w:i w:val="0"/>
                <w:iCs w:val="0"/>
                <w:color w:val="auto"/>
                <w:sz w:val="32"/>
                <w:szCs w:val="32"/>
                <w:highlight w:val="none"/>
                <w:u w:val="none"/>
              </w:rPr>
            </w:pPr>
            <w:r>
              <w:rPr>
                <w:rFonts w:hint="eastAsia" w:ascii="宋体" w:hAnsi="宋体" w:eastAsia="宋体" w:cs="宋体"/>
                <w:b/>
                <w:bCs/>
                <w:i w:val="0"/>
                <w:iCs w:val="0"/>
                <w:color w:val="auto"/>
                <w:kern w:val="0"/>
                <w:sz w:val="28"/>
                <w:szCs w:val="28"/>
                <w:highlight w:val="none"/>
                <w:u w:val="none"/>
                <w:lang w:val="en-US" w:eastAsia="zh-CN" w:bidi="ar"/>
              </w:rPr>
              <w:t>轨道</w:t>
            </w:r>
          </w:p>
        </w:tc>
      </w:tr>
      <w:tr w14:paraId="44BB0B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0" w:hRule="atLeast"/>
        </w:trPr>
        <w:tc>
          <w:tcPr>
            <w:tcW w:w="975" w:type="dxa"/>
            <w:tcBorders>
              <w:top w:val="single" w:color="auto" w:sz="4" w:space="0"/>
              <w:left w:val="single" w:color="auto" w:sz="4" w:space="0"/>
              <w:bottom w:val="single" w:color="auto" w:sz="4" w:space="0"/>
              <w:right w:val="single" w:color="auto" w:sz="4" w:space="0"/>
            </w:tcBorders>
            <w:noWrap w:val="0"/>
            <w:vAlign w:val="center"/>
          </w:tcPr>
          <w:p w14:paraId="37473815">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序号</w:t>
            </w:r>
          </w:p>
        </w:tc>
        <w:tc>
          <w:tcPr>
            <w:tcW w:w="1044" w:type="dxa"/>
            <w:tcBorders>
              <w:top w:val="single" w:color="auto" w:sz="4" w:space="0"/>
              <w:left w:val="single" w:color="auto" w:sz="4" w:space="0"/>
              <w:bottom w:val="single" w:color="auto" w:sz="4" w:space="0"/>
              <w:right w:val="single" w:color="auto" w:sz="4" w:space="0"/>
            </w:tcBorders>
            <w:noWrap w:val="0"/>
            <w:vAlign w:val="center"/>
          </w:tcPr>
          <w:p w14:paraId="16177B79">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项目</w:t>
            </w:r>
          </w:p>
        </w:tc>
        <w:tc>
          <w:tcPr>
            <w:tcW w:w="1906" w:type="dxa"/>
            <w:tcBorders>
              <w:top w:val="single" w:color="auto" w:sz="4" w:space="0"/>
              <w:left w:val="single" w:color="auto" w:sz="4" w:space="0"/>
              <w:bottom w:val="single" w:color="auto" w:sz="4" w:space="0"/>
              <w:right w:val="single" w:color="auto" w:sz="4" w:space="0"/>
            </w:tcBorders>
            <w:noWrap w:val="0"/>
            <w:vAlign w:val="center"/>
          </w:tcPr>
          <w:p w14:paraId="2A3ABF7F">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参数</w:t>
            </w:r>
          </w:p>
        </w:tc>
        <w:tc>
          <w:tcPr>
            <w:tcW w:w="693" w:type="dxa"/>
            <w:tcBorders>
              <w:top w:val="single" w:color="auto" w:sz="4" w:space="0"/>
              <w:left w:val="single" w:color="auto" w:sz="4" w:space="0"/>
              <w:bottom w:val="single" w:color="auto" w:sz="4" w:space="0"/>
              <w:right w:val="single" w:color="auto" w:sz="4" w:space="0"/>
            </w:tcBorders>
            <w:noWrap w:val="0"/>
            <w:vAlign w:val="center"/>
          </w:tcPr>
          <w:p w14:paraId="045ADC70">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单位</w:t>
            </w:r>
          </w:p>
        </w:tc>
        <w:tc>
          <w:tcPr>
            <w:tcW w:w="917" w:type="dxa"/>
            <w:tcBorders>
              <w:top w:val="single" w:color="auto" w:sz="4" w:space="0"/>
              <w:left w:val="single" w:color="auto" w:sz="4" w:space="0"/>
              <w:bottom w:val="single" w:color="auto" w:sz="4" w:space="0"/>
              <w:right w:val="single" w:color="auto" w:sz="4" w:space="0"/>
            </w:tcBorders>
            <w:noWrap w:val="0"/>
            <w:vAlign w:val="center"/>
          </w:tcPr>
          <w:p w14:paraId="7C800D9D">
            <w:pPr>
              <w:keepNext w:val="0"/>
              <w:keepLines w:val="0"/>
              <w:widowControl/>
              <w:suppressLineNumbers w:val="0"/>
              <w:jc w:val="center"/>
              <w:textAlignment w:val="center"/>
              <w:rPr>
                <w:rFonts w:hint="eastAsia" w:ascii="宋体" w:hAnsi="宋体" w:eastAsia="宋体" w:cs="宋体"/>
                <w:b/>
                <w:bCs/>
                <w:i w:val="0"/>
                <w:iCs w:val="0"/>
                <w:color w:val="auto"/>
                <w:sz w:val="22"/>
                <w:szCs w:val="22"/>
                <w:highlight w:val="none"/>
                <w:u w:val="none"/>
              </w:rPr>
            </w:pPr>
            <w:r>
              <w:rPr>
                <w:rFonts w:hint="eastAsia" w:ascii="宋体" w:hAnsi="宋体" w:eastAsia="宋体" w:cs="宋体"/>
                <w:b/>
                <w:bCs/>
                <w:i w:val="0"/>
                <w:iCs w:val="0"/>
                <w:color w:val="auto"/>
                <w:kern w:val="0"/>
                <w:sz w:val="22"/>
                <w:szCs w:val="22"/>
                <w:highlight w:val="none"/>
                <w:u w:val="none"/>
                <w:lang w:val="en-US" w:eastAsia="zh-CN" w:bidi="ar"/>
              </w:rPr>
              <w:t>GLTLJD1标段数量</w:t>
            </w:r>
          </w:p>
        </w:tc>
        <w:tc>
          <w:tcPr>
            <w:tcW w:w="914" w:type="dxa"/>
            <w:tcBorders>
              <w:top w:val="single" w:color="auto" w:sz="4" w:space="0"/>
              <w:left w:val="single" w:color="auto" w:sz="4" w:space="0"/>
              <w:bottom w:val="single" w:color="auto" w:sz="4" w:space="0"/>
              <w:right w:val="single" w:color="auto" w:sz="4" w:space="0"/>
            </w:tcBorders>
            <w:noWrap w:val="0"/>
            <w:vAlign w:val="center"/>
          </w:tcPr>
          <w:p w14:paraId="68294B9B">
            <w:pPr>
              <w:keepNext w:val="0"/>
              <w:keepLines w:val="0"/>
              <w:widowControl/>
              <w:suppressLineNumbers w:val="0"/>
              <w:jc w:val="center"/>
              <w:textAlignment w:val="center"/>
              <w:rPr>
                <w:rFonts w:hint="eastAsia" w:ascii="宋体" w:hAnsi="宋体" w:eastAsia="宋体" w:cs="宋体"/>
                <w:b/>
                <w:bCs/>
                <w:i w:val="0"/>
                <w:iCs w:val="0"/>
                <w:color w:val="auto"/>
                <w:sz w:val="22"/>
                <w:szCs w:val="22"/>
                <w:highlight w:val="none"/>
                <w:u w:val="none"/>
              </w:rPr>
            </w:pPr>
            <w:r>
              <w:rPr>
                <w:rFonts w:hint="eastAsia" w:ascii="宋体" w:hAnsi="宋体" w:eastAsia="宋体" w:cs="宋体"/>
                <w:b/>
                <w:bCs/>
                <w:i w:val="0"/>
                <w:iCs w:val="0"/>
                <w:color w:val="auto"/>
                <w:kern w:val="0"/>
                <w:sz w:val="22"/>
                <w:szCs w:val="22"/>
                <w:highlight w:val="none"/>
                <w:u w:val="none"/>
                <w:lang w:val="en-US" w:eastAsia="zh-CN" w:bidi="ar"/>
              </w:rPr>
              <w:t>GLTLJD2标段数量</w:t>
            </w:r>
          </w:p>
        </w:tc>
        <w:tc>
          <w:tcPr>
            <w:tcW w:w="881" w:type="dxa"/>
            <w:tcBorders>
              <w:top w:val="single" w:color="auto" w:sz="4" w:space="0"/>
              <w:left w:val="single" w:color="auto" w:sz="4" w:space="0"/>
              <w:bottom w:val="single" w:color="auto" w:sz="4" w:space="0"/>
              <w:right w:val="single" w:color="auto" w:sz="4" w:space="0"/>
            </w:tcBorders>
            <w:noWrap w:val="0"/>
            <w:vAlign w:val="center"/>
          </w:tcPr>
          <w:p w14:paraId="10ADAC2E">
            <w:pPr>
              <w:keepNext w:val="0"/>
              <w:keepLines w:val="0"/>
              <w:widowControl/>
              <w:suppressLineNumbers w:val="0"/>
              <w:jc w:val="center"/>
              <w:textAlignment w:val="center"/>
              <w:rPr>
                <w:rFonts w:hint="eastAsia" w:ascii="宋体" w:hAnsi="宋体" w:eastAsia="宋体" w:cs="宋体"/>
                <w:b/>
                <w:bCs/>
                <w:i w:val="0"/>
                <w:iCs w:val="0"/>
                <w:color w:val="auto"/>
                <w:sz w:val="22"/>
                <w:szCs w:val="22"/>
                <w:highlight w:val="none"/>
                <w:u w:val="none"/>
              </w:rPr>
            </w:pPr>
            <w:r>
              <w:rPr>
                <w:rFonts w:hint="eastAsia" w:ascii="宋体" w:hAnsi="宋体" w:eastAsia="宋体" w:cs="宋体"/>
                <w:b/>
                <w:bCs/>
                <w:i w:val="0"/>
                <w:iCs w:val="0"/>
                <w:color w:val="auto"/>
                <w:kern w:val="0"/>
                <w:sz w:val="22"/>
                <w:szCs w:val="22"/>
                <w:highlight w:val="none"/>
                <w:u w:val="none"/>
                <w:lang w:val="en-US" w:eastAsia="zh-CN" w:bidi="ar"/>
              </w:rPr>
              <w:t>GLTLJD3标段数量</w:t>
            </w:r>
          </w:p>
        </w:tc>
        <w:tc>
          <w:tcPr>
            <w:tcW w:w="957" w:type="dxa"/>
            <w:tcBorders>
              <w:top w:val="single" w:color="auto" w:sz="4" w:space="0"/>
              <w:left w:val="single" w:color="auto" w:sz="4" w:space="0"/>
              <w:bottom w:val="single" w:color="auto" w:sz="4" w:space="0"/>
              <w:right w:val="single" w:color="auto" w:sz="4" w:space="0"/>
            </w:tcBorders>
            <w:noWrap w:val="0"/>
            <w:vAlign w:val="center"/>
          </w:tcPr>
          <w:p w14:paraId="4EAFADC4">
            <w:pPr>
              <w:keepNext w:val="0"/>
              <w:keepLines w:val="0"/>
              <w:widowControl/>
              <w:suppressLineNumbers w:val="0"/>
              <w:jc w:val="center"/>
              <w:textAlignment w:val="center"/>
              <w:rPr>
                <w:rFonts w:hint="eastAsia" w:ascii="宋体" w:hAnsi="宋体" w:eastAsia="宋体" w:cs="宋体"/>
                <w:b/>
                <w:bCs/>
                <w:i w:val="0"/>
                <w:iCs w:val="0"/>
                <w:color w:val="auto"/>
                <w:sz w:val="22"/>
                <w:szCs w:val="22"/>
                <w:highlight w:val="none"/>
                <w:u w:val="none"/>
              </w:rPr>
            </w:pPr>
            <w:r>
              <w:rPr>
                <w:rFonts w:hint="eastAsia" w:ascii="宋体" w:hAnsi="宋体" w:eastAsia="宋体" w:cs="宋体"/>
                <w:b/>
                <w:bCs/>
                <w:i w:val="0"/>
                <w:iCs w:val="0"/>
                <w:color w:val="auto"/>
                <w:kern w:val="0"/>
                <w:sz w:val="22"/>
                <w:szCs w:val="22"/>
                <w:highlight w:val="none"/>
                <w:u w:val="none"/>
                <w:lang w:val="en-US" w:eastAsia="zh-CN" w:bidi="ar"/>
              </w:rPr>
              <w:t>GLTLJD4标段数量</w:t>
            </w:r>
          </w:p>
        </w:tc>
        <w:tc>
          <w:tcPr>
            <w:tcW w:w="645" w:type="dxa"/>
            <w:tcBorders>
              <w:top w:val="single" w:color="auto" w:sz="4" w:space="0"/>
              <w:left w:val="single" w:color="auto" w:sz="4" w:space="0"/>
              <w:bottom w:val="single" w:color="auto" w:sz="4" w:space="0"/>
              <w:right w:val="single" w:color="auto" w:sz="4" w:space="0"/>
            </w:tcBorders>
            <w:noWrap w:val="0"/>
            <w:vAlign w:val="center"/>
          </w:tcPr>
          <w:p w14:paraId="725DB06A">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备注</w:t>
            </w:r>
          </w:p>
        </w:tc>
      </w:tr>
      <w:tr w14:paraId="4248B12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0" w:hRule="atLeast"/>
        </w:trPr>
        <w:tc>
          <w:tcPr>
            <w:tcW w:w="975" w:type="dxa"/>
            <w:tcBorders>
              <w:top w:val="single" w:color="auto" w:sz="4" w:space="0"/>
              <w:left w:val="single" w:color="auto" w:sz="4" w:space="0"/>
              <w:bottom w:val="single" w:color="auto" w:sz="4" w:space="0"/>
              <w:right w:val="single" w:color="auto" w:sz="4" w:space="0"/>
            </w:tcBorders>
            <w:noWrap w:val="0"/>
            <w:vAlign w:val="center"/>
          </w:tcPr>
          <w:p w14:paraId="46899A0C">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1</w:t>
            </w:r>
          </w:p>
        </w:tc>
        <w:tc>
          <w:tcPr>
            <w:tcW w:w="1044" w:type="dxa"/>
            <w:vMerge w:val="restart"/>
            <w:tcBorders>
              <w:top w:val="single" w:color="auto" w:sz="4" w:space="0"/>
              <w:left w:val="single" w:color="auto" w:sz="4" w:space="0"/>
              <w:bottom w:val="single" w:color="auto" w:sz="4" w:space="0"/>
              <w:right w:val="single" w:color="auto" w:sz="4" w:space="0"/>
            </w:tcBorders>
            <w:noWrap w:val="0"/>
            <w:vAlign w:val="center"/>
          </w:tcPr>
          <w:p w14:paraId="1FEB3733">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道砟/底砟</w:t>
            </w:r>
          </w:p>
        </w:tc>
        <w:tc>
          <w:tcPr>
            <w:tcW w:w="1906" w:type="dxa"/>
            <w:tcBorders>
              <w:top w:val="single" w:color="auto" w:sz="4" w:space="0"/>
              <w:left w:val="single" w:color="auto" w:sz="4" w:space="0"/>
              <w:bottom w:val="single" w:color="auto" w:sz="4" w:space="0"/>
              <w:right w:val="single" w:color="auto" w:sz="4" w:space="0"/>
            </w:tcBorders>
            <w:noWrap w:val="0"/>
            <w:vAlign w:val="center"/>
          </w:tcPr>
          <w:p w14:paraId="7F009E68">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洛杉矶磨耗率</w:t>
            </w:r>
          </w:p>
        </w:tc>
        <w:tc>
          <w:tcPr>
            <w:tcW w:w="693" w:type="dxa"/>
            <w:tcBorders>
              <w:top w:val="single" w:color="auto" w:sz="4" w:space="0"/>
              <w:left w:val="single" w:color="auto" w:sz="4" w:space="0"/>
              <w:bottom w:val="single" w:color="auto" w:sz="4" w:space="0"/>
              <w:right w:val="single" w:color="auto" w:sz="4" w:space="0"/>
            </w:tcBorders>
            <w:noWrap w:val="0"/>
            <w:vAlign w:val="center"/>
          </w:tcPr>
          <w:p w14:paraId="7705BE31">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次</w:t>
            </w:r>
          </w:p>
        </w:tc>
        <w:tc>
          <w:tcPr>
            <w:tcW w:w="917" w:type="dxa"/>
            <w:tcBorders>
              <w:top w:val="single" w:color="auto" w:sz="4" w:space="0"/>
              <w:left w:val="single" w:color="auto" w:sz="4" w:space="0"/>
              <w:bottom w:val="single" w:color="auto" w:sz="4" w:space="0"/>
              <w:right w:val="single" w:color="auto" w:sz="4" w:space="0"/>
            </w:tcBorders>
            <w:noWrap/>
            <w:vAlign w:val="center"/>
          </w:tcPr>
          <w:p w14:paraId="7935DE5B">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2</w:t>
            </w:r>
          </w:p>
        </w:tc>
        <w:tc>
          <w:tcPr>
            <w:tcW w:w="914" w:type="dxa"/>
            <w:tcBorders>
              <w:top w:val="single" w:color="auto" w:sz="4" w:space="0"/>
              <w:left w:val="single" w:color="auto" w:sz="4" w:space="0"/>
              <w:bottom w:val="single" w:color="auto" w:sz="4" w:space="0"/>
              <w:right w:val="single" w:color="auto" w:sz="4" w:space="0"/>
            </w:tcBorders>
            <w:noWrap w:val="0"/>
            <w:vAlign w:val="center"/>
          </w:tcPr>
          <w:p w14:paraId="2D172D56">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2</w:t>
            </w:r>
          </w:p>
        </w:tc>
        <w:tc>
          <w:tcPr>
            <w:tcW w:w="881" w:type="dxa"/>
            <w:tcBorders>
              <w:top w:val="single" w:color="auto" w:sz="4" w:space="0"/>
              <w:left w:val="single" w:color="auto" w:sz="4" w:space="0"/>
              <w:bottom w:val="single" w:color="auto" w:sz="4" w:space="0"/>
              <w:right w:val="single" w:color="auto" w:sz="4" w:space="0"/>
            </w:tcBorders>
            <w:noWrap w:val="0"/>
            <w:vAlign w:val="center"/>
          </w:tcPr>
          <w:p w14:paraId="3E7BBB31">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2</w:t>
            </w:r>
          </w:p>
        </w:tc>
        <w:tc>
          <w:tcPr>
            <w:tcW w:w="957" w:type="dxa"/>
            <w:tcBorders>
              <w:top w:val="single" w:color="auto" w:sz="4" w:space="0"/>
              <w:left w:val="single" w:color="auto" w:sz="4" w:space="0"/>
              <w:bottom w:val="single" w:color="auto" w:sz="4" w:space="0"/>
              <w:right w:val="single" w:color="auto" w:sz="4" w:space="0"/>
            </w:tcBorders>
            <w:noWrap w:val="0"/>
            <w:vAlign w:val="center"/>
          </w:tcPr>
          <w:p w14:paraId="2B66B682">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2</w:t>
            </w:r>
          </w:p>
        </w:tc>
        <w:tc>
          <w:tcPr>
            <w:tcW w:w="645" w:type="dxa"/>
            <w:tcBorders>
              <w:top w:val="single" w:color="auto" w:sz="4" w:space="0"/>
              <w:left w:val="single" w:color="auto" w:sz="4" w:space="0"/>
              <w:bottom w:val="single" w:color="auto" w:sz="4" w:space="0"/>
              <w:right w:val="single" w:color="auto" w:sz="4" w:space="0"/>
            </w:tcBorders>
            <w:noWrap w:val="0"/>
            <w:vAlign w:val="center"/>
          </w:tcPr>
          <w:p w14:paraId="1CA4CB52">
            <w:pPr>
              <w:rPr>
                <w:rFonts w:hint="eastAsia" w:ascii="宋体" w:hAnsi="宋体" w:eastAsia="宋体" w:cs="宋体"/>
                <w:i w:val="0"/>
                <w:iCs w:val="0"/>
                <w:color w:val="auto"/>
                <w:sz w:val="20"/>
                <w:szCs w:val="20"/>
                <w:highlight w:val="none"/>
                <w:u w:val="none"/>
              </w:rPr>
            </w:pPr>
          </w:p>
        </w:tc>
      </w:tr>
      <w:tr w14:paraId="5E9EB7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0" w:hRule="atLeast"/>
        </w:trPr>
        <w:tc>
          <w:tcPr>
            <w:tcW w:w="975" w:type="dxa"/>
            <w:tcBorders>
              <w:top w:val="single" w:color="auto" w:sz="4" w:space="0"/>
              <w:left w:val="single" w:color="auto" w:sz="4" w:space="0"/>
              <w:bottom w:val="single" w:color="auto" w:sz="4" w:space="0"/>
              <w:right w:val="single" w:color="auto" w:sz="4" w:space="0"/>
            </w:tcBorders>
            <w:noWrap w:val="0"/>
            <w:vAlign w:val="center"/>
          </w:tcPr>
          <w:p w14:paraId="7095CBBA">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2</w:t>
            </w:r>
          </w:p>
        </w:tc>
        <w:tc>
          <w:tcPr>
            <w:tcW w:w="1044" w:type="dxa"/>
            <w:vMerge w:val="continue"/>
            <w:tcBorders>
              <w:top w:val="single" w:color="auto" w:sz="4" w:space="0"/>
              <w:left w:val="single" w:color="auto" w:sz="4" w:space="0"/>
              <w:bottom w:val="single" w:color="auto" w:sz="4" w:space="0"/>
              <w:right w:val="single" w:color="auto" w:sz="4" w:space="0"/>
            </w:tcBorders>
            <w:noWrap w:val="0"/>
            <w:vAlign w:val="center"/>
          </w:tcPr>
          <w:p w14:paraId="0CDF6708">
            <w:pPr>
              <w:jc w:val="center"/>
              <w:rPr>
                <w:rFonts w:hint="eastAsia" w:ascii="宋体" w:hAnsi="宋体" w:eastAsia="宋体" w:cs="宋体"/>
                <w:i w:val="0"/>
                <w:iCs w:val="0"/>
                <w:color w:val="auto"/>
                <w:sz w:val="18"/>
                <w:szCs w:val="18"/>
                <w:highlight w:val="none"/>
                <w:u w:val="none"/>
              </w:rPr>
            </w:pPr>
          </w:p>
        </w:tc>
        <w:tc>
          <w:tcPr>
            <w:tcW w:w="1906" w:type="dxa"/>
            <w:tcBorders>
              <w:top w:val="single" w:color="auto" w:sz="4" w:space="0"/>
              <w:left w:val="single" w:color="auto" w:sz="4" w:space="0"/>
              <w:bottom w:val="single" w:color="auto" w:sz="4" w:space="0"/>
              <w:right w:val="single" w:color="auto" w:sz="4" w:space="0"/>
            </w:tcBorders>
            <w:noWrap w:val="0"/>
            <w:vAlign w:val="center"/>
          </w:tcPr>
          <w:p w14:paraId="3FE94985">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标准集料压碎率</w:t>
            </w:r>
          </w:p>
        </w:tc>
        <w:tc>
          <w:tcPr>
            <w:tcW w:w="693" w:type="dxa"/>
            <w:tcBorders>
              <w:top w:val="single" w:color="auto" w:sz="4" w:space="0"/>
              <w:left w:val="single" w:color="auto" w:sz="4" w:space="0"/>
              <w:bottom w:val="single" w:color="auto" w:sz="4" w:space="0"/>
              <w:right w:val="single" w:color="auto" w:sz="4" w:space="0"/>
            </w:tcBorders>
            <w:noWrap w:val="0"/>
            <w:vAlign w:val="center"/>
          </w:tcPr>
          <w:p w14:paraId="56C71594">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次</w:t>
            </w:r>
          </w:p>
        </w:tc>
        <w:tc>
          <w:tcPr>
            <w:tcW w:w="917" w:type="dxa"/>
            <w:tcBorders>
              <w:top w:val="single" w:color="auto" w:sz="4" w:space="0"/>
              <w:left w:val="single" w:color="auto" w:sz="4" w:space="0"/>
              <w:bottom w:val="single" w:color="auto" w:sz="4" w:space="0"/>
              <w:right w:val="single" w:color="auto" w:sz="4" w:space="0"/>
            </w:tcBorders>
            <w:noWrap/>
            <w:vAlign w:val="center"/>
          </w:tcPr>
          <w:p w14:paraId="7B81AE25">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2</w:t>
            </w:r>
          </w:p>
        </w:tc>
        <w:tc>
          <w:tcPr>
            <w:tcW w:w="914" w:type="dxa"/>
            <w:tcBorders>
              <w:top w:val="single" w:color="auto" w:sz="4" w:space="0"/>
              <w:left w:val="single" w:color="auto" w:sz="4" w:space="0"/>
              <w:bottom w:val="single" w:color="auto" w:sz="4" w:space="0"/>
              <w:right w:val="single" w:color="auto" w:sz="4" w:space="0"/>
            </w:tcBorders>
            <w:noWrap w:val="0"/>
            <w:vAlign w:val="center"/>
          </w:tcPr>
          <w:p w14:paraId="3497B2CA">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2</w:t>
            </w:r>
          </w:p>
        </w:tc>
        <w:tc>
          <w:tcPr>
            <w:tcW w:w="881" w:type="dxa"/>
            <w:tcBorders>
              <w:top w:val="single" w:color="auto" w:sz="4" w:space="0"/>
              <w:left w:val="single" w:color="auto" w:sz="4" w:space="0"/>
              <w:bottom w:val="single" w:color="auto" w:sz="4" w:space="0"/>
              <w:right w:val="single" w:color="auto" w:sz="4" w:space="0"/>
            </w:tcBorders>
            <w:noWrap w:val="0"/>
            <w:vAlign w:val="center"/>
          </w:tcPr>
          <w:p w14:paraId="063FE781">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2</w:t>
            </w:r>
          </w:p>
        </w:tc>
        <w:tc>
          <w:tcPr>
            <w:tcW w:w="957" w:type="dxa"/>
            <w:tcBorders>
              <w:top w:val="single" w:color="auto" w:sz="4" w:space="0"/>
              <w:left w:val="single" w:color="auto" w:sz="4" w:space="0"/>
              <w:bottom w:val="single" w:color="auto" w:sz="4" w:space="0"/>
              <w:right w:val="single" w:color="auto" w:sz="4" w:space="0"/>
            </w:tcBorders>
            <w:noWrap w:val="0"/>
            <w:vAlign w:val="center"/>
          </w:tcPr>
          <w:p w14:paraId="1B99A630">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2</w:t>
            </w:r>
          </w:p>
        </w:tc>
        <w:tc>
          <w:tcPr>
            <w:tcW w:w="645" w:type="dxa"/>
            <w:tcBorders>
              <w:top w:val="single" w:color="auto" w:sz="4" w:space="0"/>
              <w:left w:val="single" w:color="auto" w:sz="4" w:space="0"/>
              <w:bottom w:val="single" w:color="auto" w:sz="4" w:space="0"/>
              <w:right w:val="single" w:color="auto" w:sz="4" w:space="0"/>
            </w:tcBorders>
            <w:noWrap w:val="0"/>
            <w:vAlign w:val="center"/>
          </w:tcPr>
          <w:p w14:paraId="38D83099">
            <w:pPr>
              <w:jc w:val="center"/>
              <w:rPr>
                <w:rFonts w:hint="eastAsia" w:ascii="宋体" w:hAnsi="宋体" w:eastAsia="宋体" w:cs="宋体"/>
                <w:i w:val="0"/>
                <w:iCs w:val="0"/>
                <w:color w:val="auto"/>
                <w:sz w:val="20"/>
                <w:szCs w:val="20"/>
                <w:highlight w:val="none"/>
                <w:u w:val="none"/>
              </w:rPr>
            </w:pPr>
          </w:p>
        </w:tc>
      </w:tr>
      <w:tr w14:paraId="0B8547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0" w:hRule="atLeast"/>
        </w:trPr>
        <w:tc>
          <w:tcPr>
            <w:tcW w:w="975" w:type="dxa"/>
            <w:tcBorders>
              <w:top w:val="single" w:color="auto" w:sz="4" w:space="0"/>
              <w:left w:val="single" w:color="auto" w:sz="4" w:space="0"/>
              <w:bottom w:val="single" w:color="auto" w:sz="4" w:space="0"/>
              <w:right w:val="single" w:color="auto" w:sz="4" w:space="0"/>
            </w:tcBorders>
            <w:noWrap w:val="0"/>
            <w:vAlign w:val="center"/>
          </w:tcPr>
          <w:p w14:paraId="7F537A84">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3</w:t>
            </w:r>
          </w:p>
        </w:tc>
        <w:tc>
          <w:tcPr>
            <w:tcW w:w="1044" w:type="dxa"/>
            <w:vMerge w:val="continue"/>
            <w:tcBorders>
              <w:top w:val="single" w:color="auto" w:sz="4" w:space="0"/>
              <w:left w:val="single" w:color="auto" w:sz="4" w:space="0"/>
              <w:bottom w:val="single" w:color="auto" w:sz="4" w:space="0"/>
              <w:right w:val="single" w:color="auto" w:sz="4" w:space="0"/>
            </w:tcBorders>
            <w:noWrap w:val="0"/>
            <w:vAlign w:val="center"/>
          </w:tcPr>
          <w:p w14:paraId="345C9B43">
            <w:pPr>
              <w:jc w:val="center"/>
              <w:rPr>
                <w:rFonts w:hint="eastAsia" w:ascii="宋体" w:hAnsi="宋体" w:eastAsia="宋体" w:cs="宋体"/>
                <w:i w:val="0"/>
                <w:iCs w:val="0"/>
                <w:color w:val="auto"/>
                <w:sz w:val="18"/>
                <w:szCs w:val="18"/>
                <w:highlight w:val="none"/>
                <w:u w:val="none"/>
              </w:rPr>
            </w:pPr>
          </w:p>
        </w:tc>
        <w:tc>
          <w:tcPr>
            <w:tcW w:w="1906" w:type="dxa"/>
            <w:tcBorders>
              <w:top w:val="single" w:color="auto" w:sz="4" w:space="0"/>
              <w:left w:val="single" w:color="auto" w:sz="4" w:space="0"/>
              <w:bottom w:val="single" w:color="auto" w:sz="4" w:space="0"/>
              <w:right w:val="single" w:color="auto" w:sz="4" w:space="0"/>
            </w:tcBorders>
            <w:noWrap w:val="0"/>
            <w:vAlign w:val="center"/>
          </w:tcPr>
          <w:p w14:paraId="3251824A">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道砟集料压碎率</w:t>
            </w:r>
          </w:p>
        </w:tc>
        <w:tc>
          <w:tcPr>
            <w:tcW w:w="693" w:type="dxa"/>
            <w:tcBorders>
              <w:top w:val="single" w:color="auto" w:sz="4" w:space="0"/>
              <w:left w:val="single" w:color="auto" w:sz="4" w:space="0"/>
              <w:bottom w:val="single" w:color="auto" w:sz="4" w:space="0"/>
              <w:right w:val="single" w:color="auto" w:sz="4" w:space="0"/>
            </w:tcBorders>
            <w:noWrap w:val="0"/>
            <w:vAlign w:val="center"/>
          </w:tcPr>
          <w:p w14:paraId="582C9E93">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次</w:t>
            </w:r>
          </w:p>
        </w:tc>
        <w:tc>
          <w:tcPr>
            <w:tcW w:w="917" w:type="dxa"/>
            <w:tcBorders>
              <w:top w:val="single" w:color="auto" w:sz="4" w:space="0"/>
              <w:left w:val="single" w:color="auto" w:sz="4" w:space="0"/>
              <w:bottom w:val="single" w:color="auto" w:sz="4" w:space="0"/>
              <w:right w:val="single" w:color="auto" w:sz="4" w:space="0"/>
            </w:tcBorders>
            <w:noWrap/>
            <w:vAlign w:val="center"/>
          </w:tcPr>
          <w:p w14:paraId="60B9AAEB">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2</w:t>
            </w:r>
          </w:p>
        </w:tc>
        <w:tc>
          <w:tcPr>
            <w:tcW w:w="914" w:type="dxa"/>
            <w:tcBorders>
              <w:top w:val="single" w:color="auto" w:sz="4" w:space="0"/>
              <w:left w:val="single" w:color="auto" w:sz="4" w:space="0"/>
              <w:bottom w:val="single" w:color="auto" w:sz="4" w:space="0"/>
              <w:right w:val="single" w:color="auto" w:sz="4" w:space="0"/>
            </w:tcBorders>
            <w:noWrap w:val="0"/>
            <w:vAlign w:val="center"/>
          </w:tcPr>
          <w:p w14:paraId="1941C54B">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2</w:t>
            </w:r>
          </w:p>
        </w:tc>
        <w:tc>
          <w:tcPr>
            <w:tcW w:w="881" w:type="dxa"/>
            <w:tcBorders>
              <w:top w:val="single" w:color="auto" w:sz="4" w:space="0"/>
              <w:left w:val="single" w:color="auto" w:sz="4" w:space="0"/>
              <w:bottom w:val="single" w:color="auto" w:sz="4" w:space="0"/>
              <w:right w:val="single" w:color="auto" w:sz="4" w:space="0"/>
            </w:tcBorders>
            <w:noWrap w:val="0"/>
            <w:vAlign w:val="center"/>
          </w:tcPr>
          <w:p w14:paraId="298A650E">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2</w:t>
            </w:r>
          </w:p>
        </w:tc>
        <w:tc>
          <w:tcPr>
            <w:tcW w:w="957" w:type="dxa"/>
            <w:tcBorders>
              <w:top w:val="single" w:color="auto" w:sz="4" w:space="0"/>
              <w:left w:val="single" w:color="auto" w:sz="4" w:space="0"/>
              <w:bottom w:val="single" w:color="auto" w:sz="4" w:space="0"/>
              <w:right w:val="single" w:color="auto" w:sz="4" w:space="0"/>
            </w:tcBorders>
            <w:noWrap w:val="0"/>
            <w:vAlign w:val="center"/>
          </w:tcPr>
          <w:p w14:paraId="5D1D4E46">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2</w:t>
            </w:r>
          </w:p>
        </w:tc>
        <w:tc>
          <w:tcPr>
            <w:tcW w:w="645" w:type="dxa"/>
            <w:tcBorders>
              <w:top w:val="single" w:color="auto" w:sz="4" w:space="0"/>
              <w:left w:val="single" w:color="auto" w:sz="4" w:space="0"/>
              <w:bottom w:val="single" w:color="auto" w:sz="4" w:space="0"/>
              <w:right w:val="single" w:color="auto" w:sz="4" w:space="0"/>
            </w:tcBorders>
            <w:noWrap w:val="0"/>
            <w:vAlign w:val="center"/>
          </w:tcPr>
          <w:p w14:paraId="000E50C3">
            <w:pPr>
              <w:jc w:val="center"/>
              <w:rPr>
                <w:rFonts w:hint="eastAsia" w:ascii="宋体" w:hAnsi="宋体" w:eastAsia="宋体" w:cs="宋体"/>
                <w:i w:val="0"/>
                <w:iCs w:val="0"/>
                <w:color w:val="auto"/>
                <w:sz w:val="20"/>
                <w:szCs w:val="20"/>
                <w:highlight w:val="none"/>
                <w:u w:val="none"/>
              </w:rPr>
            </w:pPr>
          </w:p>
        </w:tc>
      </w:tr>
      <w:tr w14:paraId="06B533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0" w:hRule="atLeast"/>
        </w:trPr>
        <w:tc>
          <w:tcPr>
            <w:tcW w:w="975" w:type="dxa"/>
            <w:tcBorders>
              <w:top w:val="single" w:color="auto" w:sz="4" w:space="0"/>
              <w:left w:val="single" w:color="auto" w:sz="4" w:space="0"/>
              <w:bottom w:val="single" w:color="auto" w:sz="4" w:space="0"/>
              <w:right w:val="single" w:color="auto" w:sz="4" w:space="0"/>
            </w:tcBorders>
            <w:noWrap w:val="0"/>
            <w:vAlign w:val="center"/>
          </w:tcPr>
          <w:p w14:paraId="450A3703">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4</w:t>
            </w:r>
          </w:p>
        </w:tc>
        <w:tc>
          <w:tcPr>
            <w:tcW w:w="1044" w:type="dxa"/>
            <w:vMerge w:val="continue"/>
            <w:tcBorders>
              <w:top w:val="single" w:color="auto" w:sz="4" w:space="0"/>
              <w:left w:val="single" w:color="auto" w:sz="4" w:space="0"/>
              <w:bottom w:val="single" w:color="auto" w:sz="4" w:space="0"/>
              <w:right w:val="single" w:color="auto" w:sz="4" w:space="0"/>
            </w:tcBorders>
            <w:noWrap w:val="0"/>
            <w:vAlign w:val="center"/>
          </w:tcPr>
          <w:p w14:paraId="35F4743A">
            <w:pPr>
              <w:jc w:val="center"/>
              <w:rPr>
                <w:rFonts w:hint="eastAsia" w:ascii="宋体" w:hAnsi="宋体" w:eastAsia="宋体" w:cs="宋体"/>
                <w:i w:val="0"/>
                <w:iCs w:val="0"/>
                <w:color w:val="auto"/>
                <w:sz w:val="18"/>
                <w:szCs w:val="18"/>
                <w:highlight w:val="none"/>
                <w:u w:val="none"/>
              </w:rPr>
            </w:pPr>
          </w:p>
        </w:tc>
        <w:tc>
          <w:tcPr>
            <w:tcW w:w="1906" w:type="dxa"/>
            <w:tcBorders>
              <w:top w:val="single" w:color="auto" w:sz="4" w:space="0"/>
              <w:left w:val="single" w:color="auto" w:sz="4" w:space="0"/>
              <w:bottom w:val="single" w:color="auto" w:sz="4" w:space="0"/>
              <w:right w:val="single" w:color="auto" w:sz="4" w:space="0"/>
            </w:tcBorders>
            <w:noWrap w:val="0"/>
            <w:vAlign w:val="center"/>
          </w:tcPr>
          <w:p w14:paraId="3C7E714D">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渗透系数</w:t>
            </w:r>
          </w:p>
        </w:tc>
        <w:tc>
          <w:tcPr>
            <w:tcW w:w="693" w:type="dxa"/>
            <w:tcBorders>
              <w:top w:val="single" w:color="auto" w:sz="4" w:space="0"/>
              <w:left w:val="single" w:color="auto" w:sz="4" w:space="0"/>
              <w:bottom w:val="single" w:color="auto" w:sz="4" w:space="0"/>
              <w:right w:val="single" w:color="auto" w:sz="4" w:space="0"/>
            </w:tcBorders>
            <w:noWrap w:val="0"/>
            <w:vAlign w:val="center"/>
          </w:tcPr>
          <w:p w14:paraId="6ACC5F57">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次</w:t>
            </w:r>
          </w:p>
        </w:tc>
        <w:tc>
          <w:tcPr>
            <w:tcW w:w="917" w:type="dxa"/>
            <w:tcBorders>
              <w:top w:val="single" w:color="auto" w:sz="4" w:space="0"/>
              <w:left w:val="single" w:color="auto" w:sz="4" w:space="0"/>
              <w:bottom w:val="single" w:color="auto" w:sz="4" w:space="0"/>
              <w:right w:val="single" w:color="auto" w:sz="4" w:space="0"/>
            </w:tcBorders>
            <w:noWrap/>
            <w:vAlign w:val="center"/>
          </w:tcPr>
          <w:p w14:paraId="5AA3BF86">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2</w:t>
            </w:r>
          </w:p>
        </w:tc>
        <w:tc>
          <w:tcPr>
            <w:tcW w:w="914" w:type="dxa"/>
            <w:tcBorders>
              <w:top w:val="single" w:color="auto" w:sz="4" w:space="0"/>
              <w:left w:val="single" w:color="auto" w:sz="4" w:space="0"/>
              <w:bottom w:val="single" w:color="auto" w:sz="4" w:space="0"/>
              <w:right w:val="single" w:color="auto" w:sz="4" w:space="0"/>
            </w:tcBorders>
            <w:noWrap w:val="0"/>
            <w:vAlign w:val="center"/>
          </w:tcPr>
          <w:p w14:paraId="32B7171F">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2</w:t>
            </w:r>
          </w:p>
        </w:tc>
        <w:tc>
          <w:tcPr>
            <w:tcW w:w="881" w:type="dxa"/>
            <w:tcBorders>
              <w:top w:val="single" w:color="auto" w:sz="4" w:space="0"/>
              <w:left w:val="single" w:color="auto" w:sz="4" w:space="0"/>
              <w:bottom w:val="single" w:color="auto" w:sz="4" w:space="0"/>
              <w:right w:val="single" w:color="auto" w:sz="4" w:space="0"/>
            </w:tcBorders>
            <w:noWrap w:val="0"/>
            <w:vAlign w:val="center"/>
          </w:tcPr>
          <w:p w14:paraId="7A668985">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2</w:t>
            </w:r>
          </w:p>
        </w:tc>
        <w:tc>
          <w:tcPr>
            <w:tcW w:w="957" w:type="dxa"/>
            <w:tcBorders>
              <w:top w:val="single" w:color="auto" w:sz="4" w:space="0"/>
              <w:left w:val="single" w:color="auto" w:sz="4" w:space="0"/>
              <w:bottom w:val="single" w:color="auto" w:sz="4" w:space="0"/>
              <w:right w:val="single" w:color="auto" w:sz="4" w:space="0"/>
            </w:tcBorders>
            <w:noWrap w:val="0"/>
            <w:vAlign w:val="center"/>
          </w:tcPr>
          <w:p w14:paraId="30BBADA1">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2</w:t>
            </w:r>
          </w:p>
        </w:tc>
        <w:tc>
          <w:tcPr>
            <w:tcW w:w="645" w:type="dxa"/>
            <w:tcBorders>
              <w:top w:val="single" w:color="auto" w:sz="4" w:space="0"/>
              <w:left w:val="single" w:color="auto" w:sz="4" w:space="0"/>
              <w:bottom w:val="single" w:color="auto" w:sz="4" w:space="0"/>
              <w:right w:val="single" w:color="auto" w:sz="4" w:space="0"/>
            </w:tcBorders>
            <w:noWrap w:val="0"/>
            <w:vAlign w:val="center"/>
          </w:tcPr>
          <w:p w14:paraId="5885186A">
            <w:pPr>
              <w:jc w:val="center"/>
              <w:rPr>
                <w:rFonts w:hint="eastAsia" w:ascii="宋体" w:hAnsi="宋体" w:eastAsia="宋体" w:cs="宋体"/>
                <w:i w:val="0"/>
                <w:iCs w:val="0"/>
                <w:color w:val="auto"/>
                <w:sz w:val="20"/>
                <w:szCs w:val="20"/>
                <w:highlight w:val="none"/>
                <w:u w:val="none"/>
              </w:rPr>
            </w:pPr>
          </w:p>
        </w:tc>
      </w:tr>
      <w:tr w14:paraId="1F3DE01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0" w:hRule="atLeast"/>
        </w:trPr>
        <w:tc>
          <w:tcPr>
            <w:tcW w:w="975" w:type="dxa"/>
            <w:tcBorders>
              <w:top w:val="single" w:color="auto" w:sz="4" w:space="0"/>
              <w:left w:val="single" w:color="auto" w:sz="4" w:space="0"/>
              <w:bottom w:val="single" w:color="auto" w:sz="4" w:space="0"/>
              <w:right w:val="single" w:color="auto" w:sz="4" w:space="0"/>
            </w:tcBorders>
            <w:noWrap w:val="0"/>
            <w:vAlign w:val="center"/>
          </w:tcPr>
          <w:p w14:paraId="6FEAC3EB">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5</w:t>
            </w:r>
          </w:p>
        </w:tc>
        <w:tc>
          <w:tcPr>
            <w:tcW w:w="1044" w:type="dxa"/>
            <w:vMerge w:val="continue"/>
            <w:tcBorders>
              <w:top w:val="single" w:color="auto" w:sz="4" w:space="0"/>
              <w:left w:val="single" w:color="auto" w:sz="4" w:space="0"/>
              <w:bottom w:val="single" w:color="auto" w:sz="4" w:space="0"/>
              <w:right w:val="single" w:color="auto" w:sz="4" w:space="0"/>
            </w:tcBorders>
            <w:noWrap w:val="0"/>
            <w:vAlign w:val="center"/>
          </w:tcPr>
          <w:p w14:paraId="0997E2F1">
            <w:pPr>
              <w:jc w:val="center"/>
              <w:rPr>
                <w:rFonts w:hint="eastAsia" w:ascii="宋体" w:hAnsi="宋体" w:eastAsia="宋体" w:cs="宋体"/>
                <w:i w:val="0"/>
                <w:iCs w:val="0"/>
                <w:color w:val="auto"/>
                <w:sz w:val="18"/>
                <w:szCs w:val="18"/>
                <w:highlight w:val="none"/>
                <w:u w:val="none"/>
              </w:rPr>
            </w:pPr>
          </w:p>
        </w:tc>
        <w:tc>
          <w:tcPr>
            <w:tcW w:w="1906" w:type="dxa"/>
            <w:tcBorders>
              <w:top w:val="single" w:color="auto" w:sz="4" w:space="0"/>
              <w:left w:val="single" w:color="auto" w:sz="4" w:space="0"/>
              <w:bottom w:val="single" w:color="auto" w:sz="4" w:space="0"/>
              <w:right w:val="single" w:color="auto" w:sz="4" w:space="0"/>
            </w:tcBorders>
            <w:noWrap w:val="0"/>
            <w:vAlign w:val="center"/>
          </w:tcPr>
          <w:p w14:paraId="3AEE5AFF">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石粉液限</w:t>
            </w:r>
          </w:p>
        </w:tc>
        <w:tc>
          <w:tcPr>
            <w:tcW w:w="693" w:type="dxa"/>
            <w:tcBorders>
              <w:top w:val="single" w:color="auto" w:sz="4" w:space="0"/>
              <w:left w:val="single" w:color="auto" w:sz="4" w:space="0"/>
              <w:bottom w:val="single" w:color="auto" w:sz="4" w:space="0"/>
              <w:right w:val="single" w:color="auto" w:sz="4" w:space="0"/>
            </w:tcBorders>
            <w:noWrap w:val="0"/>
            <w:vAlign w:val="center"/>
          </w:tcPr>
          <w:p w14:paraId="2BC616EE">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次</w:t>
            </w:r>
          </w:p>
        </w:tc>
        <w:tc>
          <w:tcPr>
            <w:tcW w:w="917" w:type="dxa"/>
            <w:tcBorders>
              <w:top w:val="single" w:color="auto" w:sz="4" w:space="0"/>
              <w:left w:val="single" w:color="auto" w:sz="4" w:space="0"/>
              <w:bottom w:val="single" w:color="auto" w:sz="4" w:space="0"/>
              <w:right w:val="single" w:color="auto" w:sz="4" w:space="0"/>
            </w:tcBorders>
            <w:noWrap/>
            <w:vAlign w:val="center"/>
          </w:tcPr>
          <w:p w14:paraId="62F7259E">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2</w:t>
            </w:r>
          </w:p>
        </w:tc>
        <w:tc>
          <w:tcPr>
            <w:tcW w:w="914" w:type="dxa"/>
            <w:tcBorders>
              <w:top w:val="single" w:color="auto" w:sz="4" w:space="0"/>
              <w:left w:val="single" w:color="auto" w:sz="4" w:space="0"/>
              <w:bottom w:val="single" w:color="auto" w:sz="4" w:space="0"/>
              <w:right w:val="single" w:color="auto" w:sz="4" w:space="0"/>
            </w:tcBorders>
            <w:noWrap w:val="0"/>
            <w:vAlign w:val="center"/>
          </w:tcPr>
          <w:p w14:paraId="73F552CE">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2</w:t>
            </w:r>
          </w:p>
        </w:tc>
        <w:tc>
          <w:tcPr>
            <w:tcW w:w="881" w:type="dxa"/>
            <w:tcBorders>
              <w:top w:val="single" w:color="auto" w:sz="4" w:space="0"/>
              <w:left w:val="single" w:color="auto" w:sz="4" w:space="0"/>
              <w:bottom w:val="single" w:color="auto" w:sz="4" w:space="0"/>
              <w:right w:val="single" w:color="auto" w:sz="4" w:space="0"/>
            </w:tcBorders>
            <w:noWrap w:val="0"/>
            <w:vAlign w:val="center"/>
          </w:tcPr>
          <w:p w14:paraId="789344C9">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2</w:t>
            </w:r>
          </w:p>
        </w:tc>
        <w:tc>
          <w:tcPr>
            <w:tcW w:w="957" w:type="dxa"/>
            <w:tcBorders>
              <w:top w:val="single" w:color="auto" w:sz="4" w:space="0"/>
              <w:left w:val="single" w:color="auto" w:sz="4" w:space="0"/>
              <w:bottom w:val="single" w:color="auto" w:sz="4" w:space="0"/>
              <w:right w:val="single" w:color="auto" w:sz="4" w:space="0"/>
            </w:tcBorders>
            <w:noWrap w:val="0"/>
            <w:vAlign w:val="center"/>
          </w:tcPr>
          <w:p w14:paraId="7ED6A2D3">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2</w:t>
            </w:r>
          </w:p>
        </w:tc>
        <w:tc>
          <w:tcPr>
            <w:tcW w:w="645" w:type="dxa"/>
            <w:tcBorders>
              <w:top w:val="single" w:color="auto" w:sz="4" w:space="0"/>
              <w:left w:val="single" w:color="auto" w:sz="4" w:space="0"/>
              <w:bottom w:val="single" w:color="auto" w:sz="4" w:space="0"/>
              <w:right w:val="single" w:color="auto" w:sz="4" w:space="0"/>
            </w:tcBorders>
            <w:noWrap w:val="0"/>
            <w:vAlign w:val="center"/>
          </w:tcPr>
          <w:p w14:paraId="79648553">
            <w:pPr>
              <w:jc w:val="center"/>
              <w:rPr>
                <w:rFonts w:hint="eastAsia" w:ascii="宋体" w:hAnsi="宋体" w:eastAsia="宋体" w:cs="宋体"/>
                <w:i w:val="0"/>
                <w:iCs w:val="0"/>
                <w:color w:val="auto"/>
                <w:sz w:val="20"/>
                <w:szCs w:val="20"/>
                <w:highlight w:val="none"/>
                <w:u w:val="none"/>
              </w:rPr>
            </w:pPr>
          </w:p>
        </w:tc>
      </w:tr>
      <w:tr w14:paraId="76DD52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0" w:hRule="atLeast"/>
        </w:trPr>
        <w:tc>
          <w:tcPr>
            <w:tcW w:w="975" w:type="dxa"/>
            <w:tcBorders>
              <w:top w:val="single" w:color="auto" w:sz="4" w:space="0"/>
              <w:left w:val="single" w:color="auto" w:sz="4" w:space="0"/>
              <w:bottom w:val="single" w:color="auto" w:sz="4" w:space="0"/>
              <w:right w:val="single" w:color="auto" w:sz="4" w:space="0"/>
            </w:tcBorders>
            <w:noWrap w:val="0"/>
            <w:vAlign w:val="center"/>
          </w:tcPr>
          <w:p w14:paraId="042B811F">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6</w:t>
            </w:r>
          </w:p>
        </w:tc>
        <w:tc>
          <w:tcPr>
            <w:tcW w:w="1044" w:type="dxa"/>
            <w:vMerge w:val="continue"/>
            <w:tcBorders>
              <w:top w:val="single" w:color="auto" w:sz="4" w:space="0"/>
              <w:left w:val="single" w:color="auto" w:sz="4" w:space="0"/>
              <w:bottom w:val="single" w:color="auto" w:sz="4" w:space="0"/>
              <w:right w:val="single" w:color="auto" w:sz="4" w:space="0"/>
            </w:tcBorders>
            <w:noWrap w:val="0"/>
            <w:vAlign w:val="center"/>
          </w:tcPr>
          <w:p w14:paraId="32B33125">
            <w:pPr>
              <w:jc w:val="center"/>
              <w:rPr>
                <w:rFonts w:hint="eastAsia" w:ascii="宋体" w:hAnsi="宋体" w:eastAsia="宋体" w:cs="宋体"/>
                <w:i w:val="0"/>
                <w:iCs w:val="0"/>
                <w:color w:val="auto"/>
                <w:sz w:val="18"/>
                <w:szCs w:val="18"/>
                <w:highlight w:val="none"/>
                <w:u w:val="none"/>
              </w:rPr>
            </w:pPr>
          </w:p>
        </w:tc>
        <w:tc>
          <w:tcPr>
            <w:tcW w:w="1906" w:type="dxa"/>
            <w:tcBorders>
              <w:top w:val="single" w:color="auto" w:sz="4" w:space="0"/>
              <w:left w:val="single" w:color="auto" w:sz="4" w:space="0"/>
              <w:bottom w:val="single" w:color="auto" w:sz="4" w:space="0"/>
              <w:right w:val="single" w:color="auto" w:sz="4" w:space="0"/>
            </w:tcBorders>
            <w:noWrap w:val="0"/>
            <w:vAlign w:val="center"/>
          </w:tcPr>
          <w:p w14:paraId="1BFC79B6">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石粉塑限</w:t>
            </w:r>
          </w:p>
        </w:tc>
        <w:tc>
          <w:tcPr>
            <w:tcW w:w="693" w:type="dxa"/>
            <w:tcBorders>
              <w:top w:val="single" w:color="auto" w:sz="4" w:space="0"/>
              <w:left w:val="single" w:color="auto" w:sz="4" w:space="0"/>
              <w:bottom w:val="single" w:color="auto" w:sz="4" w:space="0"/>
              <w:right w:val="single" w:color="auto" w:sz="4" w:space="0"/>
            </w:tcBorders>
            <w:noWrap w:val="0"/>
            <w:vAlign w:val="center"/>
          </w:tcPr>
          <w:p w14:paraId="020FE0FB">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次</w:t>
            </w:r>
          </w:p>
        </w:tc>
        <w:tc>
          <w:tcPr>
            <w:tcW w:w="917" w:type="dxa"/>
            <w:tcBorders>
              <w:top w:val="single" w:color="auto" w:sz="4" w:space="0"/>
              <w:left w:val="single" w:color="auto" w:sz="4" w:space="0"/>
              <w:bottom w:val="single" w:color="auto" w:sz="4" w:space="0"/>
              <w:right w:val="single" w:color="auto" w:sz="4" w:space="0"/>
            </w:tcBorders>
            <w:noWrap/>
            <w:vAlign w:val="center"/>
          </w:tcPr>
          <w:p w14:paraId="16825E48">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w:t>
            </w:r>
          </w:p>
        </w:tc>
        <w:tc>
          <w:tcPr>
            <w:tcW w:w="914" w:type="dxa"/>
            <w:tcBorders>
              <w:top w:val="single" w:color="auto" w:sz="4" w:space="0"/>
              <w:left w:val="single" w:color="auto" w:sz="4" w:space="0"/>
              <w:bottom w:val="single" w:color="auto" w:sz="4" w:space="0"/>
              <w:right w:val="single" w:color="auto" w:sz="4" w:space="0"/>
            </w:tcBorders>
            <w:noWrap w:val="0"/>
            <w:vAlign w:val="center"/>
          </w:tcPr>
          <w:p w14:paraId="40423966">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w:t>
            </w:r>
          </w:p>
        </w:tc>
        <w:tc>
          <w:tcPr>
            <w:tcW w:w="881" w:type="dxa"/>
            <w:tcBorders>
              <w:top w:val="single" w:color="auto" w:sz="4" w:space="0"/>
              <w:left w:val="single" w:color="auto" w:sz="4" w:space="0"/>
              <w:bottom w:val="single" w:color="auto" w:sz="4" w:space="0"/>
              <w:right w:val="single" w:color="auto" w:sz="4" w:space="0"/>
            </w:tcBorders>
            <w:noWrap w:val="0"/>
            <w:vAlign w:val="center"/>
          </w:tcPr>
          <w:p w14:paraId="45F3653C">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w:t>
            </w:r>
          </w:p>
        </w:tc>
        <w:tc>
          <w:tcPr>
            <w:tcW w:w="957" w:type="dxa"/>
            <w:tcBorders>
              <w:top w:val="single" w:color="auto" w:sz="4" w:space="0"/>
              <w:left w:val="single" w:color="auto" w:sz="4" w:space="0"/>
              <w:bottom w:val="single" w:color="auto" w:sz="4" w:space="0"/>
              <w:right w:val="single" w:color="auto" w:sz="4" w:space="0"/>
            </w:tcBorders>
            <w:noWrap w:val="0"/>
            <w:vAlign w:val="center"/>
          </w:tcPr>
          <w:p w14:paraId="41792304">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w:t>
            </w:r>
          </w:p>
        </w:tc>
        <w:tc>
          <w:tcPr>
            <w:tcW w:w="645" w:type="dxa"/>
            <w:tcBorders>
              <w:top w:val="single" w:color="auto" w:sz="4" w:space="0"/>
              <w:left w:val="single" w:color="auto" w:sz="4" w:space="0"/>
              <w:bottom w:val="single" w:color="auto" w:sz="4" w:space="0"/>
              <w:right w:val="single" w:color="auto" w:sz="4" w:space="0"/>
            </w:tcBorders>
            <w:noWrap w:val="0"/>
            <w:vAlign w:val="center"/>
          </w:tcPr>
          <w:p w14:paraId="7F447954">
            <w:pPr>
              <w:jc w:val="center"/>
              <w:rPr>
                <w:rFonts w:hint="eastAsia" w:ascii="宋体" w:hAnsi="宋体" w:eastAsia="宋体" w:cs="宋体"/>
                <w:i w:val="0"/>
                <w:iCs w:val="0"/>
                <w:color w:val="auto"/>
                <w:sz w:val="20"/>
                <w:szCs w:val="20"/>
                <w:highlight w:val="none"/>
                <w:u w:val="none"/>
              </w:rPr>
            </w:pPr>
          </w:p>
        </w:tc>
      </w:tr>
      <w:tr w14:paraId="3986CB6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0" w:hRule="atLeast"/>
        </w:trPr>
        <w:tc>
          <w:tcPr>
            <w:tcW w:w="975" w:type="dxa"/>
            <w:tcBorders>
              <w:top w:val="single" w:color="auto" w:sz="4" w:space="0"/>
              <w:left w:val="single" w:color="auto" w:sz="4" w:space="0"/>
              <w:bottom w:val="single" w:color="auto" w:sz="4" w:space="0"/>
              <w:right w:val="single" w:color="auto" w:sz="4" w:space="0"/>
            </w:tcBorders>
            <w:noWrap w:val="0"/>
            <w:vAlign w:val="center"/>
          </w:tcPr>
          <w:p w14:paraId="28FF9103">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7</w:t>
            </w:r>
          </w:p>
        </w:tc>
        <w:tc>
          <w:tcPr>
            <w:tcW w:w="1044" w:type="dxa"/>
            <w:vMerge w:val="continue"/>
            <w:tcBorders>
              <w:top w:val="single" w:color="auto" w:sz="4" w:space="0"/>
              <w:left w:val="single" w:color="auto" w:sz="4" w:space="0"/>
              <w:bottom w:val="single" w:color="auto" w:sz="4" w:space="0"/>
              <w:right w:val="single" w:color="auto" w:sz="4" w:space="0"/>
            </w:tcBorders>
            <w:noWrap w:val="0"/>
            <w:vAlign w:val="center"/>
          </w:tcPr>
          <w:p w14:paraId="4D14067A">
            <w:pPr>
              <w:jc w:val="center"/>
              <w:rPr>
                <w:rFonts w:hint="eastAsia" w:ascii="宋体" w:hAnsi="宋体" w:eastAsia="宋体" w:cs="宋体"/>
                <w:i w:val="0"/>
                <w:iCs w:val="0"/>
                <w:color w:val="auto"/>
                <w:sz w:val="18"/>
                <w:szCs w:val="18"/>
                <w:highlight w:val="none"/>
                <w:u w:val="none"/>
              </w:rPr>
            </w:pPr>
          </w:p>
        </w:tc>
        <w:tc>
          <w:tcPr>
            <w:tcW w:w="1906" w:type="dxa"/>
            <w:tcBorders>
              <w:top w:val="single" w:color="auto" w:sz="4" w:space="0"/>
              <w:left w:val="single" w:color="auto" w:sz="4" w:space="0"/>
              <w:bottom w:val="single" w:color="auto" w:sz="4" w:space="0"/>
              <w:right w:val="single" w:color="auto" w:sz="4" w:space="0"/>
            </w:tcBorders>
            <w:noWrap w:val="0"/>
            <w:vAlign w:val="center"/>
          </w:tcPr>
          <w:p w14:paraId="48A8319A">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硫酸钠溶液浸泡损失率</w:t>
            </w:r>
          </w:p>
        </w:tc>
        <w:tc>
          <w:tcPr>
            <w:tcW w:w="693" w:type="dxa"/>
            <w:tcBorders>
              <w:top w:val="single" w:color="auto" w:sz="4" w:space="0"/>
              <w:left w:val="single" w:color="auto" w:sz="4" w:space="0"/>
              <w:bottom w:val="single" w:color="auto" w:sz="4" w:space="0"/>
              <w:right w:val="single" w:color="auto" w:sz="4" w:space="0"/>
            </w:tcBorders>
            <w:noWrap w:val="0"/>
            <w:vAlign w:val="center"/>
          </w:tcPr>
          <w:p w14:paraId="121CB96B">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次</w:t>
            </w:r>
          </w:p>
        </w:tc>
        <w:tc>
          <w:tcPr>
            <w:tcW w:w="917" w:type="dxa"/>
            <w:tcBorders>
              <w:top w:val="single" w:color="auto" w:sz="4" w:space="0"/>
              <w:left w:val="single" w:color="auto" w:sz="4" w:space="0"/>
              <w:bottom w:val="single" w:color="auto" w:sz="4" w:space="0"/>
              <w:right w:val="single" w:color="auto" w:sz="4" w:space="0"/>
            </w:tcBorders>
            <w:noWrap/>
            <w:vAlign w:val="center"/>
          </w:tcPr>
          <w:p w14:paraId="37E95A86">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w:t>
            </w:r>
          </w:p>
        </w:tc>
        <w:tc>
          <w:tcPr>
            <w:tcW w:w="914" w:type="dxa"/>
            <w:tcBorders>
              <w:top w:val="single" w:color="auto" w:sz="4" w:space="0"/>
              <w:left w:val="single" w:color="auto" w:sz="4" w:space="0"/>
              <w:bottom w:val="single" w:color="auto" w:sz="4" w:space="0"/>
              <w:right w:val="single" w:color="auto" w:sz="4" w:space="0"/>
            </w:tcBorders>
            <w:noWrap w:val="0"/>
            <w:vAlign w:val="center"/>
          </w:tcPr>
          <w:p w14:paraId="15282213">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w:t>
            </w:r>
          </w:p>
        </w:tc>
        <w:tc>
          <w:tcPr>
            <w:tcW w:w="881" w:type="dxa"/>
            <w:tcBorders>
              <w:top w:val="single" w:color="auto" w:sz="4" w:space="0"/>
              <w:left w:val="single" w:color="auto" w:sz="4" w:space="0"/>
              <w:bottom w:val="single" w:color="auto" w:sz="4" w:space="0"/>
              <w:right w:val="single" w:color="auto" w:sz="4" w:space="0"/>
            </w:tcBorders>
            <w:noWrap w:val="0"/>
            <w:vAlign w:val="center"/>
          </w:tcPr>
          <w:p w14:paraId="531BB1AC">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w:t>
            </w:r>
          </w:p>
        </w:tc>
        <w:tc>
          <w:tcPr>
            <w:tcW w:w="957" w:type="dxa"/>
            <w:tcBorders>
              <w:top w:val="single" w:color="auto" w:sz="4" w:space="0"/>
              <w:left w:val="single" w:color="auto" w:sz="4" w:space="0"/>
              <w:bottom w:val="single" w:color="auto" w:sz="4" w:space="0"/>
              <w:right w:val="single" w:color="auto" w:sz="4" w:space="0"/>
            </w:tcBorders>
            <w:noWrap w:val="0"/>
            <w:vAlign w:val="center"/>
          </w:tcPr>
          <w:p w14:paraId="3C3810D4">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w:t>
            </w:r>
          </w:p>
        </w:tc>
        <w:tc>
          <w:tcPr>
            <w:tcW w:w="645" w:type="dxa"/>
            <w:tcBorders>
              <w:top w:val="single" w:color="auto" w:sz="4" w:space="0"/>
              <w:left w:val="single" w:color="auto" w:sz="4" w:space="0"/>
              <w:bottom w:val="single" w:color="auto" w:sz="4" w:space="0"/>
              <w:right w:val="single" w:color="auto" w:sz="4" w:space="0"/>
            </w:tcBorders>
            <w:noWrap w:val="0"/>
            <w:vAlign w:val="center"/>
          </w:tcPr>
          <w:p w14:paraId="5EC241C6">
            <w:pPr>
              <w:jc w:val="center"/>
              <w:rPr>
                <w:rFonts w:hint="eastAsia" w:ascii="宋体" w:hAnsi="宋体" w:eastAsia="宋体" w:cs="宋体"/>
                <w:i w:val="0"/>
                <w:iCs w:val="0"/>
                <w:color w:val="auto"/>
                <w:sz w:val="20"/>
                <w:szCs w:val="20"/>
                <w:highlight w:val="none"/>
                <w:u w:val="none"/>
              </w:rPr>
            </w:pPr>
          </w:p>
        </w:tc>
      </w:tr>
      <w:tr w14:paraId="6490359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0" w:hRule="atLeast"/>
        </w:trPr>
        <w:tc>
          <w:tcPr>
            <w:tcW w:w="975" w:type="dxa"/>
            <w:tcBorders>
              <w:top w:val="single" w:color="auto" w:sz="4" w:space="0"/>
              <w:left w:val="single" w:color="auto" w:sz="4" w:space="0"/>
              <w:bottom w:val="single" w:color="auto" w:sz="4" w:space="0"/>
              <w:right w:val="single" w:color="auto" w:sz="4" w:space="0"/>
            </w:tcBorders>
            <w:noWrap w:val="0"/>
            <w:vAlign w:val="center"/>
          </w:tcPr>
          <w:p w14:paraId="5FDA361B">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8</w:t>
            </w:r>
          </w:p>
        </w:tc>
        <w:tc>
          <w:tcPr>
            <w:tcW w:w="1044" w:type="dxa"/>
            <w:vMerge w:val="continue"/>
            <w:tcBorders>
              <w:top w:val="single" w:color="auto" w:sz="4" w:space="0"/>
              <w:left w:val="single" w:color="auto" w:sz="4" w:space="0"/>
              <w:bottom w:val="single" w:color="auto" w:sz="4" w:space="0"/>
              <w:right w:val="single" w:color="auto" w:sz="4" w:space="0"/>
            </w:tcBorders>
            <w:noWrap w:val="0"/>
            <w:vAlign w:val="center"/>
          </w:tcPr>
          <w:p w14:paraId="0C5107B6">
            <w:pPr>
              <w:jc w:val="center"/>
              <w:rPr>
                <w:rFonts w:hint="eastAsia" w:ascii="宋体" w:hAnsi="宋体" w:eastAsia="宋体" w:cs="宋体"/>
                <w:i w:val="0"/>
                <w:iCs w:val="0"/>
                <w:color w:val="auto"/>
                <w:sz w:val="18"/>
                <w:szCs w:val="18"/>
                <w:highlight w:val="none"/>
                <w:u w:val="none"/>
              </w:rPr>
            </w:pPr>
          </w:p>
        </w:tc>
        <w:tc>
          <w:tcPr>
            <w:tcW w:w="1906" w:type="dxa"/>
            <w:tcBorders>
              <w:top w:val="single" w:color="auto" w:sz="4" w:space="0"/>
              <w:left w:val="single" w:color="auto" w:sz="4" w:space="0"/>
              <w:bottom w:val="single" w:color="auto" w:sz="4" w:space="0"/>
              <w:right w:val="single" w:color="auto" w:sz="4" w:space="0"/>
            </w:tcBorders>
            <w:noWrap w:val="0"/>
            <w:vAlign w:val="center"/>
          </w:tcPr>
          <w:p w14:paraId="52A33CFB">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石料密度</w:t>
            </w:r>
          </w:p>
        </w:tc>
        <w:tc>
          <w:tcPr>
            <w:tcW w:w="693" w:type="dxa"/>
            <w:tcBorders>
              <w:top w:val="single" w:color="auto" w:sz="4" w:space="0"/>
              <w:left w:val="single" w:color="auto" w:sz="4" w:space="0"/>
              <w:bottom w:val="single" w:color="auto" w:sz="4" w:space="0"/>
              <w:right w:val="single" w:color="auto" w:sz="4" w:space="0"/>
            </w:tcBorders>
            <w:noWrap w:val="0"/>
            <w:vAlign w:val="center"/>
          </w:tcPr>
          <w:p w14:paraId="10106F91">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次</w:t>
            </w:r>
          </w:p>
        </w:tc>
        <w:tc>
          <w:tcPr>
            <w:tcW w:w="917" w:type="dxa"/>
            <w:tcBorders>
              <w:top w:val="single" w:color="auto" w:sz="4" w:space="0"/>
              <w:left w:val="single" w:color="auto" w:sz="4" w:space="0"/>
              <w:bottom w:val="single" w:color="auto" w:sz="4" w:space="0"/>
              <w:right w:val="single" w:color="auto" w:sz="4" w:space="0"/>
            </w:tcBorders>
            <w:noWrap/>
            <w:vAlign w:val="center"/>
          </w:tcPr>
          <w:p w14:paraId="56E92E6A">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w:t>
            </w:r>
          </w:p>
        </w:tc>
        <w:tc>
          <w:tcPr>
            <w:tcW w:w="914" w:type="dxa"/>
            <w:tcBorders>
              <w:top w:val="single" w:color="auto" w:sz="4" w:space="0"/>
              <w:left w:val="single" w:color="auto" w:sz="4" w:space="0"/>
              <w:bottom w:val="single" w:color="auto" w:sz="4" w:space="0"/>
              <w:right w:val="single" w:color="auto" w:sz="4" w:space="0"/>
            </w:tcBorders>
            <w:noWrap w:val="0"/>
            <w:vAlign w:val="center"/>
          </w:tcPr>
          <w:p w14:paraId="4D38A9FB">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w:t>
            </w:r>
          </w:p>
        </w:tc>
        <w:tc>
          <w:tcPr>
            <w:tcW w:w="881" w:type="dxa"/>
            <w:tcBorders>
              <w:top w:val="single" w:color="auto" w:sz="4" w:space="0"/>
              <w:left w:val="single" w:color="auto" w:sz="4" w:space="0"/>
              <w:bottom w:val="single" w:color="auto" w:sz="4" w:space="0"/>
              <w:right w:val="single" w:color="auto" w:sz="4" w:space="0"/>
            </w:tcBorders>
            <w:noWrap w:val="0"/>
            <w:vAlign w:val="center"/>
          </w:tcPr>
          <w:p w14:paraId="1DBCC06F">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w:t>
            </w:r>
          </w:p>
        </w:tc>
        <w:tc>
          <w:tcPr>
            <w:tcW w:w="957" w:type="dxa"/>
            <w:tcBorders>
              <w:top w:val="single" w:color="auto" w:sz="4" w:space="0"/>
              <w:left w:val="single" w:color="auto" w:sz="4" w:space="0"/>
              <w:bottom w:val="single" w:color="auto" w:sz="4" w:space="0"/>
              <w:right w:val="single" w:color="auto" w:sz="4" w:space="0"/>
            </w:tcBorders>
            <w:noWrap w:val="0"/>
            <w:vAlign w:val="center"/>
          </w:tcPr>
          <w:p w14:paraId="724FB444">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w:t>
            </w:r>
          </w:p>
        </w:tc>
        <w:tc>
          <w:tcPr>
            <w:tcW w:w="645" w:type="dxa"/>
            <w:tcBorders>
              <w:top w:val="single" w:color="auto" w:sz="4" w:space="0"/>
              <w:left w:val="single" w:color="auto" w:sz="4" w:space="0"/>
              <w:bottom w:val="single" w:color="auto" w:sz="4" w:space="0"/>
              <w:right w:val="single" w:color="auto" w:sz="4" w:space="0"/>
            </w:tcBorders>
            <w:noWrap w:val="0"/>
            <w:vAlign w:val="center"/>
          </w:tcPr>
          <w:p w14:paraId="53CDB63F">
            <w:pPr>
              <w:jc w:val="center"/>
              <w:rPr>
                <w:rFonts w:hint="eastAsia" w:ascii="宋体" w:hAnsi="宋体" w:eastAsia="宋体" w:cs="宋体"/>
                <w:i w:val="0"/>
                <w:iCs w:val="0"/>
                <w:color w:val="auto"/>
                <w:sz w:val="20"/>
                <w:szCs w:val="20"/>
                <w:highlight w:val="none"/>
                <w:u w:val="none"/>
              </w:rPr>
            </w:pPr>
          </w:p>
        </w:tc>
      </w:tr>
      <w:tr w14:paraId="4FD656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0" w:hRule="atLeast"/>
        </w:trPr>
        <w:tc>
          <w:tcPr>
            <w:tcW w:w="975" w:type="dxa"/>
            <w:tcBorders>
              <w:top w:val="single" w:color="auto" w:sz="4" w:space="0"/>
              <w:left w:val="single" w:color="auto" w:sz="4" w:space="0"/>
              <w:bottom w:val="single" w:color="auto" w:sz="4" w:space="0"/>
              <w:right w:val="single" w:color="auto" w:sz="4" w:space="0"/>
            </w:tcBorders>
            <w:noWrap w:val="0"/>
            <w:vAlign w:val="center"/>
          </w:tcPr>
          <w:p w14:paraId="5B0692F4">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9</w:t>
            </w:r>
          </w:p>
        </w:tc>
        <w:tc>
          <w:tcPr>
            <w:tcW w:w="1044" w:type="dxa"/>
            <w:vMerge w:val="continue"/>
            <w:tcBorders>
              <w:top w:val="single" w:color="auto" w:sz="4" w:space="0"/>
              <w:left w:val="single" w:color="auto" w:sz="4" w:space="0"/>
              <w:bottom w:val="single" w:color="auto" w:sz="4" w:space="0"/>
              <w:right w:val="single" w:color="auto" w:sz="4" w:space="0"/>
            </w:tcBorders>
            <w:noWrap w:val="0"/>
            <w:vAlign w:val="center"/>
          </w:tcPr>
          <w:p w14:paraId="19837D5C">
            <w:pPr>
              <w:jc w:val="center"/>
              <w:rPr>
                <w:rFonts w:hint="eastAsia" w:ascii="宋体" w:hAnsi="宋体" w:eastAsia="宋体" w:cs="宋体"/>
                <w:i w:val="0"/>
                <w:iCs w:val="0"/>
                <w:color w:val="auto"/>
                <w:sz w:val="18"/>
                <w:szCs w:val="18"/>
                <w:highlight w:val="none"/>
                <w:u w:val="none"/>
              </w:rPr>
            </w:pPr>
          </w:p>
        </w:tc>
        <w:tc>
          <w:tcPr>
            <w:tcW w:w="1906" w:type="dxa"/>
            <w:tcBorders>
              <w:top w:val="single" w:color="auto" w:sz="4" w:space="0"/>
              <w:left w:val="single" w:color="auto" w:sz="4" w:space="0"/>
              <w:bottom w:val="single" w:color="auto" w:sz="4" w:space="0"/>
              <w:right w:val="single" w:color="auto" w:sz="4" w:space="0"/>
            </w:tcBorders>
            <w:noWrap w:val="0"/>
            <w:vAlign w:val="center"/>
          </w:tcPr>
          <w:p w14:paraId="4299279A">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粒径级配</w:t>
            </w:r>
          </w:p>
        </w:tc>
        <w:tc>
          <w:tcPr>
            <w:tcW w:w="693" w:type="dxa"/>
            <w:tcBorders>
              <w:top w:val="single" w:color="auto" w:sz="4" w:space="0"/>
              <w:left w:val="single" w:color="auto" w:sz="4" w:space="0"/>
              <w:bottom w:val="single" w:color="auto" w:sz="4" w:space="0"/>
              <w:right w:val="single" w:color="auto" w:sz="4" w:space="0"/>
            </w:tcBorders>
            <w:noWrap w:val="0"/>
            <w:vAlign w:val="center"/>
          </w:tcPr>
          <w:p w14:paraId="432CF667">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次</w:t>
            </w:r>
          </w:p>
        </w:tc>
        <w:tc>
          <w:tcPr>
            <w:tcW w:w="917" w:type="dxa"/>
            <w:tcBorders>
              <w:top w:val="single" w:color="auto" w:sz="4" w:space="0"/>
              <w:left w:val="single" w:color="auto" w:sz="4" w:space="0"/>
              <w:bottom w:val="single" w:color="auto" w:sz="4" w:space="0"/>
              <w:right w:val="single" w:color="auto" w:sz="4" w:space="0"/>
            </w:tcBorders>
            <w:noWrap/>
            <w:vAlign w:val="center"/>
          </w:tcPr>
          <w:p w14:paraId="392CC411">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2</w:t>
            </w:r>
          </w:p>
        </w:tc>
        <w:tc>
          <w:tcPr>
            <w:tcW w:w="914" w:type="dxa"/>
            <w:tcBorders>
              <w:top w:val="single" w:color="auto" w:sz="4" w:space="0"/>
              <w:left w:val="single" w:color="auto" w:sz="4" w:space="0"/>
              <w:bottom w:val="single" w:color="auto" w:sz="4" w:space="0"/>
              <w:right w:val="single" w:color="auto" w:sz="4" w:space="0"/>
            </w:tcBorders>
            <w:noWrap w:val="0"/>
            <w:vAlign w:val="center"/>
          </w:tcPr>
          <w:p w14:paraId="1EE1140F">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2</w:t>
            </w:r>
          </w:p>
        </w:tc>
        <w:tc>
          <w:tcPr>
            <w:tcW w:w="881" w:type="dxa"/>
            <w:tcBorders>
              <w:top w:val="single" w:color="auto" w:sz="4" w:space="0"/>
              <w:left w:val="single" w:color="auto" w:sz="4" w:space="0"/>
              <w:bottom w:val="single" w:color="auto" w:sz="4" w:space="0"/>
              <w:right w:val="single" w:color="auto" w:sz="4" w:space="0"/>
            </w:tcBorders>
            <w:noWrap w:val="0"/>
            <w:vAlign w:val="center"/>
          </w:tcPr>
          <w:p w14:paraId="6B464523">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2</w:t>
            </w:r>
          </w:p>
        </w:tc>
        <w:tc>
          <w:tcPr>
            <w:tcW w:w="957" w:type="dxa"/>
            <w:tcBorders>
              <w:top w:val="single" w:color="auto" w:sz="4" w:space="0"/>
              <w:left w:val="single" w:color="auto" w:sz="4" w:space="0"/>
              <w:bottom w:val="single" w:color="auto" w:sz="4" w:space="0"/>
              <w:right w:val="single" w:color="auto" w:sz="4" w:space="0"/>
            </w:tcBorders>
            <w:noWrap w:val="0"/>
            <w:vAlign w:val="center"/>
          </w:tcPr>
          <w:p w14:paraId="21903664">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2</w:t>
            </w:r>
          </w:p>
        </w:tc>
        <w:tc>
          <w:tcPr>
            <w:tcW w:w="645" w:type="dxa"/>
            <w:tcBorders>
              <w:top w:val="single" w:color="auto" w:sz="4" w:space="0"/>
              <w:left w:val="single" w:color="auto" w:sz="4" w:space="0"/>
              <w:bottom w:val="single" w:color="auto" w:sz="4" w:space="0"/>
              <w:right w:val="single" w:color="auto" w:sz="4" w:space="0"/>
            </w:tcBorders>
            <w:noWrap w:val="0"/>
            <w:vAlign w:val="center"/>
          </w:tcPr>
          <w:p w14:paraId="44ECCB33">
            <w:pPr>
              <w:jc w:val="center"/>
              <w:rPr>
                <w:rFonts w:hint="eastAsia" w:ascii="宋体" w:hAnsi="宋体" w:eastAsia="宋体" w:cs="宋体"/>
                <w:i w:val="0"/>
                <w:iCs w:val="0"/>
                <w:color w:val="auto"/>
                <w:sz w:val="20"/>
                <w:szCs w:val="20"/>
                <w:highlight w:val="none"/>
                <w:u w:val="none"/>
              </w:rPr>
            </w:pPr>
          </w:p>
        </w:tc>
      </w:tr>
      <w:tr w14:paraId="0522B0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0" w:hRule="atLeast"/>
        </w:trPr>
        <w:tc>
          <w:tcPr>
            <w:tcW w:w="975" w:type="dxa"/>
            <w:tcBorders>
              <w:top w:val="single" w:color="auto" w:sz="4" w:space="0"/>
              <w:left w:val="single" w:color="auto" w:sz="4" w:space="0"/>
              <w:bottom w:val="single" w:color="auto" w:sz="4" w:space="0"/>
              <w:right w:val="single" w:color="auto" w:sz="4" w:space="0"/>
            </w:tcBorders>
            <w:noWrap w:val="0"/>
            <w:vAlign w:val="center"/>
          </w:tcPr>
          <w:p w14:paraId="379DD1D0">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10</w:t>
            </w:r>
          </w:p>
        </w:tc>
        <w:tc>
          <w:tcPr>
            <w:tcW w:w="1044" w:type="dxa"/>
            <w:vMerge w:val="continue"/>
            <w:tcBorders>
              <w:top w:val="single" w:color="auto" w:sz="4" w:space="0"/>
              <w:left w:val="single" w:color="auto" w:sz="4" w:space="0"/>
              <w:bottom w:val="single" w:color="auto" w:sz="4" w:space="0"/>
              <w:right w:val="single" w:color="auto" w:sz="4" w:space="0"/>
            </w:tcBorders>
            <w:noWrap w:val="0"/>
            <w:vAlign w:val="center"/>
          </w:tcPr>
          <w:p w14:paraId="4583B6D9">
            <w:pPr>
              <w:jc w:val="center"/>
              <w:rPr>
                <w:rFonts w:hint="eastAsia" w:ascii="宋体" w:hAnsi="宋体" w:eastAsia="宋体" w:cs="宋体"/>
                <w:i w:val="0"/>
                <w:iCs w:val="0"/>
                <w:color w:val="auto"/>
                <w:sz w:val="18"/>
                <w:szCs w:val="18"/>
                <w:highlight w:val="none"/>
                <w:u w:val="none"/>
              </w:rPr>
            </w:pPr>
          </w:p>
        </w:tc>
        <w:tc>
          <w:tcPr>
            <w:tcW w:w="1906" w:type="dxa"/>
            <w:tcBorders>
              <w:top w:val="single" w:color="auto" w:sz="4" w:space="0"/>
              <w:left w:val="single" w:color="auto" w:sz="4" w:space="0"/>
              <w:bottom w:val="single" w:color="auto" w:sz="4" w:space="0"/>
              <w:right w:val="single" w:color="auto" w:sz="4" w:space="0"/>
            </w:tcBorders>
            <w:noWrap w:val="0"/>
            <w:vAlign w:val="center"/>
          </w:tcPr>
          <w:p w14:paraId="5D166256">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石料容重</w:t>
            </w:r>
          </w:p>
        </w:tc>
        <w:tc>
          <w:tcPr>
            <w:tcW w:w="693" w:type="dxa"/>
            <w:tcBorders>
              <w:top w:val="single" w:color="auto" w:sz="4" w:space="0"/>
              <w:left w:val="single" w:color="auto" w:sz="4" w:space="0"/>
              <w:bottom w:val="single" w:color="auto" w:sz="4" w:space="0"/>
              <w:right w:val="single" w:color="auto" w:sz="4" w:space="0"/>
            </w:tcBorders>
            <w:noWrap w:val="0"/>
            <w:vAlign w:val="center"/>
          </w:tcPr>
          <w:p w14:paraId="5D49075D">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次</w:t>
            </w:r>
          </w:p>
        </w:tc>
        <w:tc>
          <w:tcPr>
            <w:tcW w:w="917" w:type="dxa"/>
            <w:tcBorders>
              <w:top w:val="single" w:color="auto" w:sz="4" w:space="0"/>
              <w:left w:val="single" w:color="auto" w:sz="4" w:space="0"/>
              <w:bottom w:val="single" w:color="auto" w:sz="4" w:space="0"/>
              <w:right w:val="single" w:color="auto" w:sz="4" w:space="0"/>
            </w:tcBorders>
            <w:noWrap/>
            <w:vAlign w:val="center"/>
          </w:tcPr>
          <w:p w14:paraId="59AC4B81">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2</w:t>
            </w:r>
          </w:p>
        </w:tc>
        <w:tc>
          <w:tcPr>
            <w:tcW w:w="914" w:type="dxa"/>
            <w:tcBorders>
              <w:top w:val="single" w:color="auto" w:sz="4" w:space="0"/>
              <w:left w:val="single" w:color="auto" w:sz="4" w:space="0"/>
              <w:bottom w:val="single" w:color="auto" w:sz="4" w:space="0"/>
              <w:right w:val="single" w:color="auto" w:sz="4" w:space="0"/>
            </w:tcBorders>
            <w:noWrap w:val="0"/>
            <w:vAlign w:val="center"/>
          </w:tcPr>
          <w:p w14:paraId="2E696818">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2</w:t>
            </w:r>
          </w:p>
        </w:tc>
        <w:tc>
          <w:tcPr>
            <w:tcW w:w="881" w:type="dxa"/>
            <w:tcBorders>
              <w:top w:val="single" w:color="auto" w:sz="4" w:space="0"/>
              <w:left w:val="single" w:color="auto" w:sz="4" w:space="0"/>
              <w:bottom w:val="single" w:color="auto" w:sz="4" w:space="0"/>
              <w:right w:val="single" w:color="auto" w:sz="4" w:space="0"/>
            </w:tcBorders>
            <w:noWrap w:val="0"/>
            <w:vAlign w:val="center"/>
          </w:tcPr>
          <w:p w14:paraId="354C969D">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2</w:t>
            </w:r>
          </w:p>
        </w:tc>
        <w:tc>
          <w:tcPr>
            <w:tcW w:w="957" w:type="dxa"/>
            <w:tcBorders>
              <w:top w:val="single" w:color="auto" w:sz="4" w:space="0"/>
              <w:left w:val="single" w:color="auto" w:sz="4" w:space="0"/>
              <w:bottom w:val="single" w:color="auto" w:sz="4" w:space="0"/>
              <w:right w:val="single" w:color="auto" w:sz="4" w:space="0"/>
            </w:tcBorders>
            <w:noWrap w:val="0"/>
            <w:vAlign w:val="center"/>
          </w:tcPr>
          <w:p w14:paraId="6F32E2E1">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2</w:t>
            </w:r>
          </w:p>
        </w:tc>
        <w:tc>
          <w:tcPr>
            <w:tcW w:w="645" w:type="dxa"/>
            <w:tcBorders>
              <w:top w:val="single" w:color="auto" w:sz="4" w:space="0"/>
              <w:left w:val="single" w:color="auto" w:sz="4" w:space="0"/>
              <w:bottom w:val="single" w:color="auto" w:sz="4" w:space="0"/>
              <w:right w:val="single" w:color="auto" w:sz="4" w:space="0"/>
            </w:tcBorders>
            <w:noWrap w:val="0"/>
            <w:vAlign w:val="center"/>
          </w:tcPr>
          <w:p w14:paraId="02E9A822">
            <w:pPr>
              <w:jc w:val="center"/>
              <w:rPr>
                <w:rFonts w:hint="eastAsia" w:ascii="宋体" w:hAnsi="宋体" w:eastAsia="宋体" w:cs="宋体"/>
                <w:i w:val="0"/>
                <w:iCs w:val="0"/>
                <w:color w:val="auto"/>
                <w:sz w:val="20"/>
                <w:szCs w:val="20"/>
                <w:highlight w:val="none"/>
                <w:u w:val="none"/>
              </w:rPr>
            </w:pPr>
          </w:p>
        </w:tc>
      </w:tr>
      <w:tr w14:paraId="2E53409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0" w:hRule="atLeast"/>
        </w:trPr>
        <w:tc>
          <w:tcPr>
            <w:tcW w:w="975" w:type="dxa"/>
            <w:tcBorders>
              <w:top w:val="single" w:color="auto" w:sz="4" w:space="0"/>
              <w:left w:val="single" w:color="auto" w:sz="4" w:space="0"/>
              <w:bottom w:val="single" w:color="auto" w:sz="4" w:space="0"/>
              <w:right w:val="single" w:color="auto" w:sz="4" w:space="0"/>
            </w:tcBorders>
            <w:noWrap w:val="0"/>
            <w:vAlign w:val="center"/>
          </w:tcPr>
          <w:p w14:paraId="3E7AD887">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11</w:t>
            </w:r>
          </w:p>
        </w:tc>
        <w:tc>
          <w:tcPr>
            <w:tcW w:w="1044" w:type="dxa"/>
            <w:tcBorders>
              <w:top w:val="single" w:color="auto" w:sz="4" w:space="0"/>
              <w:left w:val="single" w:color="auto" w:sz="4" w:space="0"/>
              <w:bottom w:val="single" w:color="auto" w:sz="4" w:space="0"/>
              <w:right w:val="single" w:color="auto" w:sz="4" w:space="0"/>
            </w:tcBorders>
            <w:noWrap w:val="0"/>
            <w:vAlign w:val="center"/>
          </w:tcPr>
          <w:p w14:paraId="02BAAEEE">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轨枕</w:t>
            </w:r>
          </w:p>
        </w:tc>
        <w:tc>
          <w:tcPr>
            <w:tcW w:w="1906" w:type="dxa"/>
            <w:tcBorders>
              <w:top w:val="single" w:color="auto" w:sz="4" w:space="0"/>
              <w:left w:val="single" w:color="auto" w:sz="4" w:space="0"/>
              <w:bottom w:val="single" w:color="auto" w:sz="4" w:space="0"/>
              <w:right w:val="single" w:color="auto" w:sz="4" w:space="0"/>
            </w:tcBorders>
            <w:noWrap w:val="0"/>
            <w:vAlign w:val="center"/>
          </w:tcPr>
          <w:p w14:paraId="620A05B1">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道钉抗拔力</w:t>
            </w:r>
          </w:p>
        </w:tc>
        <w:tc>
          <w:tcPr>
            <w:tcW w:w="693" w:type="dxa"/>
            <w:tcBorders>
              <w:top w:val="single" w:color="auto" w:sz="4" w:space="0"/>
              <w:left w:val="single" w:color="auto" w:sz="4" w:space="0"/>
              <w:bottom w:val="single" w:color="auto" w:sz="4" w:space="0"/>
              <w:right w:val="single" w:color="auto" w:sz="4" w:space="0"/>
            </w:tcBorders>
            <w:noWrap w:val="0"/>
            <w:vAlign w:val="center"/>
          </w:tcPr>
          <w:p w14:paraId="6D7B5C8F">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根</w:t>
            </w:r>
          </w:p>
        </w:tc>
        <w:tc>
          <w:tcPr>
            <w:tcW w:w="917" w:type="dxa"/>
            <w:tcBorders>
              <w:top w:val="single" w:color="auto" w:sz="4" w:space="0"/>
              <w:left w:val="single" w:color="auto" w:sz="4" w:space="0"/>
              <w:bottom w:val="single" w:color="auto" w:sz="4" w:space="0"/>
              <w:right w:val="single" w:color="auto" w:sz="4" w:space="0"/>
            </w:tcBorders>
            <w:noWrap/>
            <w:vAlign w:val="center"/>
          </w:tcPr>
          <w:p w14:paraId="65B14DA3">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300</w:t>
            </w:r>
          </w:p>
        </w:tc>
        <w:tc>
          <w:tcPr>
            <w:tcW w:w="914" w:type="dxa"/>
            <w:tcBorders>
              <w:top w:val="single" w:color="auto" w:sz="4" w:space="0"/>
              <w:left w:val="single" w:color="auto" w:sz="4" w:space="0"/>
              <w:bottom w:val="single" w:color="auto" w:sz="4" w:space="0"/>
              <w:right w:val="single" w:color="auto" w:sz="4" w:space="0"/>
            </w:tcBorders>
            <w:noWrap w:val="0"/>
            <w:vAlign w:val="center"/>
          </w:tcPr>
          <w:p w14:paraId="37D87A01">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300</w:t>
            </w:r>
          </w:p>
        </w:tc>
        <w:tc>
          <w:tcPr>
            <w:tcW w:w="881" w:type="dxa"/>
            <w:tcBorders>
              <w:top w:val="single" w:color="auto" w:sz="4" w:space="0"/>
              <w:left w:val="single" w:color="auto" w:sz="4" w:space="0"/>
              <w:bottom w:val="single" w:color="auto" w:sz="4" w:space="0"/>
              <w:right w:val="single" w:color="auto" w:sz="4" w:space="0"/>
            </w:tcBorders>
            <w:noWrap w:val="0"/>
            <w:vAlign w:val="center"/>
          </w:tcPr>
          <w:p w14:paraId="61093524">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300</w:t>
            </w:r>
          </w:p>
        </w:tc>
        <w:tc>
          <w:tcPr>
            <w:tcW w:w="957" w:type="dxa"/>
            <w:tcBorders>
              <w:top w:val="single" w:color="auto" w:sz="4" w:space="0"/>
              <w:left w:val="single" w:color="auto" w:sz="4" w:space="0"/>
              <w:bottom w:val="single" w:color="auto" w:sz="4" w:space="0"/>
              <w:right w:val="single" w:color="auto" w:sz="4" w:space="0"/>
            </w:tcBorders>
            <w:noWrap/>
            <w:vAlign w:val="center"/>
          </w:tcPr>
          <w:p w14:paraId="6A867FFB">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300</w:t>
            </w:r>
          </w:p>
        </w:tc>
        <w:tc>
          <w:tcPr>
            <w:tcW w:w="645" w:type="dxa"/>
            <w:tcBorders>
              <w:top w:val="single" w:color="auto" w:sz="4" w:space="0"/>
              <w:left w:val="single" w:color="auto" w:sz="4" w:space="0"/>
              <w:bottom w:val="single" w:color="auto" w:sz="4" w:space="0"/>
              <w:right w:val="single" w:color="auto" w:sz="4" w:space="0"/>
            </w:tcBorders>
            <w:noWrap/>
            <w:vAlign w:val="center"/>
          </w:tcPr>
          <w:p w14:paraId="166450AA">
            <w:pPr>
              <w:jc w:val="center"/>
              <w:rPr>
                <w:rFonts w:hint="eastAsia" w:ascii="宋体" w:hAnsi="宋体" w:eastAsia="宋体" w:cs="宋体"/>
                <w:i w:val="0"/>
                <w:iCs w:val="0"/>
                <w:color w:val="auto"/>
                <w:sz w:val="22"/>
                <w:szCs w:val="22"/>
                <w:highlight w:val="none"/>
                <w:u w:val="none"/>
              </w:rPr>
            </w:pPr>
          </w:p>
        </w:tc>
      </w:tr>
    </w:tbl>
    <w:p w14:paraId="7A577A25">
      <w:pPr>
        <w:spacing w:line="360" w:lineRule="auto"/>
        <w:rPr>
          <w:rFonts w:hint="eastAsia" w:ascii="宋体" w:hAnsi="宋体" w:eastAsia="宋体" w:cs="宋体"/>
          <w:b/>
          <w:color w:val="auto"/>
          <w:sz w:val="21"/>
          <w:highlight w:val="none"/>
        </w:rPr>
      </w:pPr>
      <w:r>
        <w:rPr>
          <w:rFonts w:hint="eastAsia" w:ascii="宋体" w:hAnsi="宋体" w:eastAsia="宋体" w:cs="宋体"/>
          <w:b/>
          <w:color w:val="auto"/>
          <w:w w:val="95"/>
          <w:sz w:val="21"/>
          <w:highlight w:val="none"/>
        </w:rPr>
        <w:t>注明：以上检测项目和数量可根据工程项目实际情况调整，最终按中标人的实际工作量进行结算。不</w:t>
      </w:r>
      <w:r>
        <w:rPr>
          <w:rFonts w:hint="eastAsia" w:ascii="宋体" w:hAnsi="宋体" w:eastAsia="宋体" w:cs="宋体"/>
          <w:b/>
          <w:color w:val="auto"/>
          <w:sz w:val="21"/>
          <w:highlight w:val="none"/>
        </w:rPr>
        <w:t>足中标金额的，采购人可视情况要求中标人增加相关检测数量。</w:t>
      </w:r>
    </w:p>
    <w:p w14:paraId="18F998D5">
      <w:pPr>
        <w:spacing w:before="49"/>
        <w:ind w:right="0"/>
        <w:jc w:val="both"/>
        <w:rPr>
          <w:rFonts w:hint="eastAsia" w:ascii="宋体" w:hAnsi="宋体" w:eastAsia="宋体" w:cs="宋体"/>
          <w:b/>
          <w:color w:val="auto"/>
          <w:sz w:val="21"/>
          <w:highlight w:val="none"/>
        </w:rPr>
      </w:pPr>
      <w:r>
        <w:rPr>
          <w:rFonts w:hint="eastAsia" w:ascii="宋体" w:hAnsi="宋体" w:eastAsia="宋体" w:cs="宋体"/>
          <w:b/>
          <w:bCs/>
          <w:color w:val="auto"/>
          <w:szCs w:val="21"/>
          <w:highlight w:val="none"/>
        </w:rPr>
        <w:br w:type="page"/>
      </w:r>
      <w:r>
        <w:rPr>
          <w:rFonts w:hint="eastAsia" w:ascii="宋体" w:hAnsi="宋体" w:eastAsia="宋体" w:cs="宋体"/>
          <w:b/>
          <w:color w:val="auto"/>
          <w:sz w:val="21"/>
          <w:highlight w:val="none"/>
        </w:rPr>
        <w:t xml:space="preserve">附表 </w:t>
      </w:r>
      <w:r>
        <w:rPr>
          <w:rFonts w:hint="eastAsia" w:ascii="宋体" w:hAnsi="宋体" w:eastAsia="宋体" w:cs="宋体"/>
          <w:b/>
          <w:color w:val="auto"/>
          <w:sz w:val="21"/>
          <w:highlight w:val="none"/>
          <w:lang w:val="en-US" w:eastAsia="zh-CN"/>
        </w:rPr>
        <w:t>2</w:t>
      </w:r>
      <w:r>
        <w:rPr>
          <w:rFonts w:hint="eastAsia" w:ascii="宋体" w:hAnsi="宋体" w:eastAsia="宋体" w:cs="宋体"/>
          <w:b/>
          <w:color w:val="auto"/>
          <w:sz w:val="21"/>
          <w:highlight w:val="none"/>
        </w:rPr>
        <w:t>《公路</w:t>
      </w:r>
      <w:r>
        <w:rPr>
          <w:rFonts w:hint="eastAsia" w:ascii="宋体" w:hAnsi="宋体" w:eastAsia="宋体" w:cs="宋体"/>
          <w:b/>
          <w:color w:val="auto"/>
          <w:sz w:val="21"/>
          <w:highlight w:val="none"/>
          <w:lang w:eastAsia="zh-CN"/>
        </w:rPr>
        <w:t>、</w:t>
      </w:r>
      <w:r>
        <w:rPr>
          <w:rFonts w:hint="eastAsia" w:ascii="宋体" w:hAnsi="宋体" w:eastAsia="宋体" w:cs="宋体"/>
          <w:b/>
          <w:color w:val="auto"/>
          <w:sz w:val="21"/>
          <w:highlight w:val="none"/>
          <w:lang w:val="en-US" w:eastAsia="zh-CN"/>
        </w:rPr>
        <w:t>铁路</w:t>
      </w:r>
      <w:r>
        <w:rPr>
          <w:rFonts w:hint="eastAsia" w:ascii="宋体" w:hAnsi="宋体" w:eastAsia="宋体" w:cs="宋体"/>
          <w:b/>
          <w:color w:val="auto"/>
          <w:sz w:val="21"/>
          <w:highlight w:val="none"/>
        </w:rPr>
        <w:t>监督</w:t>
      </w:r>
      <w:r>
        <w:rPr>
          <w:rFonts w:hint="eastAsia" w:ascii="宋体" w:hAnsi="宋体" w:eastAsia="宋体" w:cs="宋体"/>
          <w:b/>
          <w:color w:val="auto"/>
          <w:sz w:val="21"/>
          <w:highlight w:val="none"/>
          <w:lang w:val="en-US" w:eastAsia="zh-CN"/>
        </w:rPr>
        <w:t>检测</w:t>
      </w:r>
      <w:r>
        <w:rPr>
          <w:rFonts w:hint="eastAsia" w:ascii="宋体" w:hAnsi="宋体" w:eastAsia="宋体" w:cs="宋体"/>
          <w:b/>
          <w:color w:val="auto"/>
          <w:sz w:val="21"/>
          <w:highlight w:val="none"/>
        </w:rPr>
        <w:t>项目实施人员最低数量要求表》</w:t>
      </w:r>
    </w:p>
    <w:p w14:paraId="2CA87400">
      <w:pPr>
        <w:spacing w:before="129"/>
        <w:ind w:right="0"/>
        <w:jc w:val="center"/>
        <w:rPr>
          <w:rFonts w:hint="eastAsia" w:ascii="宋体" w:hAnsi="宋体" w:eastAsia="宋体" w:cs="宋体"/>
          <w:b/>
          <w:color w:val="auto"/>
          <w:sz w:val="21"/>
          <w:highlight w:val="none"/>
        </w:rPr>
      </w:pPr>
      <w:r>
        <w:rPr>
          <w:rFonts w:hint="eastAsia" w:ascii="宋体" w:hAnsi="宋体" w:eastAsia="宋体" w:cs="宋体"/>
          <w:b/>
          <w:color w:val="auto"/>
          <w:sz w:val="21"/>
          <w:highlight w:val="none"/>
        </w:rPr>
        <w:t>▲公路</w:t>
      </w:r>
      <w:r>
        <w:rPr>
          <w:rFonts w:hint="eastAsia" w:ascii="宋体" w:hAnsi="宋体" w:eastAsia="宋体" w:cs="宋体"/>
          <w:b/>
          <w:color w:val="auto"/>
          <w:sz w:val="21"/>
          <w:highlight w:val="none"/>
          <w:lang w:eastAsia="zh-CN"/>
        </w:rPr>
        <w:t>、</w:t>
      </w:r>
      <w:r>
        <w:rPr>
          <w:rFonts w:hint="eastAsia" w:ascii="宋体" w:hAnsi="宋体" w:eastAsia="宋体" w:cs="宋体"/>
          <w:b/>
          <w:color w:val="auto"/>
          <w:sz w:val="21"/>
          <w:highlight w:val="none"/>
          <w:lang w:val="en-US" w:eastAsia="zh-CN"/>
        </w:rPr>
        <w:t>铁路</w:t>
      </w:r>
      <w:r>
        <w:rPr>
          <w:rFonts w:hint="eastAsia" w:ascii="宋体" w:hAnsi="宋体" w:eastAsia="宋体" w:cs="宋体"/>
          <w:b/>
          <w:color w:val="auto"/>
          <w:sz w:val="21"/>
          <w:highlight w:val="none"/>
        </w:rPr>
        <w:t>监督</w:t>
      </w:r>
      <w:r>
        <w:rPr>
          <w:rFonts w:hint="eastAsia" w:ascii="宋体" w:hAnsi="宋体" w:eastAsia="宋体" w:cs="宋体"/>
          <w:b/>
          <w:color w:val="auto"/>
          <w:sz w:val="21"/>
          <w:highlight w:val="none"/>
          <w:lang w:val="en-US" w:eastAsia="zh-CN"/>
        </w:rPr>
        <w:t>检测</w:t>
      </w:r>
      <w:r>
        <w:rPr>
          <w:rFonts w:hint="eastAsia" w:ascii="宋体" w:hAnsi="宋体" w:eastAsia="宋体" w:cs="宋体"/>
          <w:b/>
          <w:color w:val="auto"/>
          <w:sz w:val="21"/>
          <w:highlight w:val="none"/>
        </w:rPr>
        <w:t>项目实施人员最低数量要求表</w:t>
      </w:r>
    </w:p>
    <w:p w14:paraId="491240AD">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rPr>
        <w:t>根据本项目实际情况，确定本项目实施人员最低数量要求（见下表）。根据现场情况，为保障工程进度、质量等需要，如采购人认为现阶段项目实施人员不能满足工程检测需求时，有权要求中标人增加项目实施人员，中标人须接受采购人要求。</w:t>
      </w:r>
      <w:r>
        <w:rPr>
          <w:rFonts w:hint="eastAsia" w:ascii="宋体" w:hAnsi="宋体" w:eastAsia="宋体" w:cs="宋体"/>
          <w:color w:val="auto"/>
          <w:szCs w:val="21"/>
          <w:highlight w:val="none"/>
          <w:lang w:eastAsia="zh-CN"/>
        </w:rPr>
        <w:t>（注：</w:t>
      </w:r>
      <w:r>
        <w:rPr>
          <w:rFonts w:hint="eastAsia" w:ascii="宋体" w:hAnsi="宋体" w:eastAsia="宋体" w:cs="宋体"/>
          <w:color w:val="auto"/>
          <w:szCs w:val="21"/>
          <w:highlight w:val="none"/>
          <w:lang w:val="en-US" w:eastAsia="zh-CN"/>
        </w:rPr>
        <w:t>1名</w:t>
      </w:r>
      <w:r>
        <w:rPr>
          <w:rFonts w:hint="eastAsia" w:ascii="宋体" w:hAnsi="宋体" w:eastAsia="宋体" w:cs="宋体"/>
          <w:color w:val="auto"/>
          <w:szCs w:val="21"/>
          <w:highlight w:val="none"/>
          <w:lang w:eastAsia="zh-CN"/>
        </w:rPr>
        <w:t>项目负责人、4 名试验检测工程师、4 名助理试验检测师 / 试验检测员共 9 个岗位均不得兼任，须配备 9 名独立在岗人员</w:t>
      </w:r>
      <w:r>
        <w:rPr>
          <w:rFonts w:hint="eastAsia" w:ascii="宋体" w:hAnsi="宋体" w:eastAsia="宋体" w:cs="宋体"/>
          <w:color w:val="auto"/>
          <w:szCs w:val="21"/>
          <w:highlight w:val="none"/>
        </w:rPr>
        <w:t>。</w:t>
      </w:r>
      <w:r>
        <w:rPr>
          <w:rFonts w:hint="eastAsia" w:ascii="宋体" w:hAnsi="宋体" w:eastAsia="宋体" w:cs="宋体"/>
          <w:color w:val="auto"/>
          <w:szCs w:val="21"/>
          <w:highlight w:val="none"/>
          <w:lang w:eastAsia="zh-CN"/>
        </w:rPr>
        <w:t>）</w:t>
      </w:r>
    </w:p>
    <w:tbl>
      <w:tblPr>
        <w:tblStyle w:val="45"/>
        <w:tblpPr w:leftFromText="180" w:rightFromText="180" w:vertAnchor="text" w:horzAnchor="page" w:tblpX="1654" w:tblpY="282"/>
        <w:tblOverlap w:val="never"/>
        <w:tblW w:w="850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1084"/>
        <w:gridCol w:w="1278"/>
        <w:gridCol w:w="1095"/>
        <w:gridCol w:w="3031"/>
        <w:gridCol w:w="2016"/>
      </w:tblGrid>
      <w:tr w14:paraId="30731D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27" w:hRule="atLeast"/>
        </w:trPr>
        <w:tc>
          <w:tcPr>
            <w:tcW w:w="1158" w:type="dxa"/>
            <w:vMerge w:val="restart"/>
            <w:tcBorders>
              <w:tl2br w:val="nil"/>
              <w:tr2bl w:val="nil"/>
            </w:tcBorders>
            <w:noWrap w:val="0"/>
            <w:vAlign w:val="center"/>
          </w:tcPr>
          <w:p w14:paraId="6E4956C1">
            <w:pPr>
              <w:bidi w:val="0"/>
              <w:jc w:val="center"/>
              <w:rPr>
                <w:rFonts w:hint="eastAsia" w:ascii="宋体" w:hAnsi="宋体" w:eastAsia="宋体" w:cs="宋体"/>
                <w:color w:val="auto"/>
                <w:highlight w:val="none"/>
              </w:rPr>
            </w:pPr>
            <w:r>
              <w:rPr>
                <w:rFonts w:hint="eastAsia" w:ascii="宋体" w:hAnsi="宋体" w:eastAsia="宋体" w:cs="宋体"/>
                <w:color w:val="auto"/>
                <w:highlight w:val="none"/>
              </w:rPr>
              <w:t>岗位</w:t>
            </w:r>
          </w:p>
        </w:tc>
        <w:tc>
          <w:tcPr>
            <w:tcW w:w="7930" w:type="dxa"/>
            <w:gridSpan w:val="4"/>
            <w:tcBorders>
              <w:tl2br w:val="nil"/>
              <w:tr2bl w:val="nil"/>
            </w:tcBorders>
            <w:noWrap w:val="0"/>
            <w:vAlign w:val="center"/>
          </w:tcPr>
          <w:p w14:paraId="36754F0A">
            <w:pPr>
              <w:bidi w:val="0"/>
              <w:jc w:val="center"/>
              <w:rPr>
                <w:rFonts w:hint="eastAsia" w:ascii="宋体" w:hAnsi="宋体" w:eastAsia="宋体" w:cs="宋体"/>
                <w:color w:val="auto"/>
                <w:highlight w:val="none"/>
              </w:rPr>
            </w:pPr>
            <w:r>
              <w:rPr>
                <w:rFonts w:hint="eastAsia" w:ascii="宋体" w:hAnsi="宋体" w:eastAsia="宋体" w:cs="宋体"/>
                <w:color w:val="auto"/>
                <w:highlight w:val="none"/>
              </w:rPr>
              <w:t>最低资格要求</w:t>
            </w:r>
          </w:p>
        </w:tc>
      </w:tr>
      <w:tr w14:paraId="12FD54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7" w:hRule="atLeast"/>
        </w:trPr>
        <w:tc>
          <w:tcPr>
            <w:tcW w:w="1158" w:type="dxa"/>
            <w:vMerge w:val="continue"/>
            <w:tcBorders>
              <w:tl2br w:val="nil"/>
              <w:tr2bl w:val="nil"/>
            </w:tcBorders>
            <w:noWrap w:val="0"/>
            <w:vAlign w:val="center"/>
          </w:tcPr>
          <w:p w14:paraId="41888992">
            <w:pPr>
              <w:bidi w:val="0"/>
              <w:jc w:val="center"/>
              <w:rPr>
                <w:rFonts w:hint="eastAsia" w:ascii="宋体" w:hAnsi="宋体" w:eastAsia="宋体" w:cs="宋体"/>
                <w:color w:val="auto"/>
                <w:highlight w:val="none"/>
              </w:rPr>
            </w:pPr>
          </w:p>
        </w:tc>
        <w:tc>
          <w:tcPr>
            <w:tcW w:w="1365" w:type="dxa"/>
            <w:tcBorders>
              <w:tl2br w:val="nil"/>
              <w:tr2bl w:val="nil"/>
            </w:tcBorders>
            <w:noWrap w:val="0"/>
            <w:vAlign w:val="center"/>
          </w:tcPr>
          <w:p w14:paraId="2318AA36">
            <w:pPr>
              <w:bidi w:val="0"/>
              <w:jc w:val="center"/>
              <w:rPr>
                <w:rFonts w:hint="eastAsia" w:ascii="宋体" w:hAnsi="宋体" w:eastAsia="宋体" w:cs="宋体"/>
                <w:color w:val="auto"/>
                <w:highlight w:val="none"/>
              </w:rPr>
            </w:pPr>
            <w:r>
              <w:rPr>
                <w:rFonts w:hint="eastAsia" w:ascii="宋体" w:hAnsi="宋体" w:eastAsia="宋体" w:cs="宋体"/>
                <w:color w:val="auto"/>
                <w:highlight w:val="none"/>
              </w:rPr>
              <w:t>人员数量</w:t>
            </w:r>
          </w:p>
        </w:tc>
        <w:tc>
          <w:tcPr>
            <w:tcW w:w="1170" w:type="dxa"/>
            <w:tcBorders>
              <w:tl2br w:val="nil"/>
              <w:tr2bl w:val="nil"/>
            </w:tcBorders>
            <w:noWrap w:val="0"/>
            <w:vAlign w:val="center"/>
          </w:tcPr>
          <w:p w14:paraId="419A11E6">
            <w:pPr>
              <w:bidi w:val="0"/>
              <w:jc w:val="center"/>
              <w:rPr>
                <w:rFonts w:hint="eastAsia" w:ascii="宋体" w:hAnsi="宋体" w:eastAsia="宋体" w:cs="宋体"/>
                <w:color w:val="auto"/>
                <w:highlight w:val="none"/>
              </w:rPr>
            </w:pPr>
            <w:r>
              <w:rPr>
                <w:rFonts w:hint="eastAsia" w:ascii="宋体" w:hAnsi="宋体" w:eastAsia="宋体" w:cs="宋体"/>
                <w:color w:val="auto"/>
                <w:highlight w:val="none"/>
              </w:rPr>
              <w:t>职称</w:t>
            </w:r>
          </w:p>
        </w:tc>
        <w:tc>
          <w:tcPr>
            <w:tcW w:w="5395" w:type="dxa"/>
            <w:gridSpan w:val="2"/>
            <w:tcBorders>
              <w:tl2br w:val="nil"/>
              <w:tr2bl w:val="nil"/>
            </w:tcBorders>
            <w:noWrap w:val="0"/>
            <w:vAlign w:val="center"/>
          </w:tcPr>
          <w:p w14:paraId="75CFF2DB">
            <w:pPr>
              <w:bidi w:val="0"/>
              <w:jc w:val="center"/>
              <w:rPr>
                <w:rFonts w:hint="eastAsia" w:ascii="宋体" w:hAnsi="宋体" w:eastAsia="宋体" w:cs="宋体"/>
                <w:color w:val="auto"/>
                <w:highlight w:val="none"/>
              </w:rPr>
            </w:pPr>
            <w:r>
              <w:rPr>
                <w:rFonts w:hint="eastAsia" w:ascii="宋体" w:hAnsi="宋体" w:eastAsia="宋体" w:cs="宋体"/>
                <w:color w:val="auto"/>
                <w:highlight w:val="none"/>
                <w:lang w:val="en-US" w:eastAsia="zh-CN"/>
              </w:rPr>
              <w:t>相关</w:t>
            </w:r>
            <w:r>
              <w:rPr>
                <w:rFonts w:hint="eastAsia" w:ascii="宋体" w:hAnsi="宋体" w:eastAsia="宋体" w:cs="宋体"/>
                <w:color w:val="auto"/>
                <w:highlight w:val="none"/>
              </w:rPr>
              <w:t>要求</w:t>
            </w:r>
          </w:p>
        </w:tc>
      </w:tr>
      <w:tr w14:paraId="0EEC49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35" w:hRule="atLeast"/>
        </w:trPr>
        <w:tc>
          <w:tcPr>
            <w:tcW w:w="1158" w:type="dxa"/>
            <w:tcBorders>
              <w:tl2br w:val="nil"/>
              <w:tr2bl w:val="nil"/>
            </w:tcBorders>
            <w:noWrap w:val="0"/>
            <w:vAlign w:val="center"/>
          </w:tcPr>
          <w:p w14:paraId="6AF43205">
            <w:pPr>
              <w:bidi w:val="0"/>
              <w:jc w:val="center"/>
              <w:rPr>
                <w:rFonts w:hint="eastAsia" w:ascii="宋体" w:hAnsi="宋体" w:eastAsia="宋体" w:cs="宋体"/>
                <w:color w:val="auto"/>
                <w:highlight w:val="none"/>
              </w:rPr>
            </w:pPr>
            <w:r>
              <w:rPr>
                <w:rFonts w:hint="eastAsia" w:ascii="宋体" w:hAnsi="宋体" w:eastAsia="宋体" w:cs="宋体"/>
                <w:color w:val="auto"/>
                <w:highlight w:val="none"/>
              </w:rPr>
              <w:t>项目负责人</w:t>
            </w:r>
          </w:p>
        </w:tc>
        <w:tc>
          <w:tcPr>
            <w:tcW w:w="1365" w:type="dxa"/>
            <w:tcBorders>
              <w:tl2br w:val="nil"/>
              <w:tr2bl w:val="nil"/>
            </w:tcBorders>
            <w:noWrap w:val="0"/>
            <w:vAlign w:val="center"/>
          </w:tcPr>
          <w:p w14:paraId="1B9506FC">
            <w:pPr>
              <w:bidi w:val="0"/>
              <w:jc w:val="center"/>
              <w:rPr>
                <w:rFonts w:hint="eastAsia" w:ascii="宋体" w:hAnsi="宋体" w:eastAsia="宋体" w:cs="宋体"/>
                <w:color w:val="auto"/>
                <w:highlight w:val="none"/>
              </w:rPr>
            </w:pPr>
            <w:r>
              <w:rPr>
                <w:rFonts w:hint="eastAsia" w:ascii="宋体" w:hAnsi="宋体" w:eastAsia="宋体" w:cs="宋体"/>
                <w:color w:val="auto"/>
                <w:highlight w:val="none"/>
              </w:rPr>
              <w:t>1</w:t>
            </w:r>
          </w:p>
        </w:tc>
        <w:tc>
          <w:tcPr>
            <w:tcW w:w="1170" w:type="dxa"/>
            <w:tcBorders>
              <w:tl2br w:val="nil"/>
              <w:tr2bl w:val="nil"/>
            </w:tcBorders>
            <w:noWrap w:val="0"/>
            <w:vAlign w:val="center"/>
          </w:tcPr>
          <w:p w14:paraId="5B81152F">
            <w:pPr>
              <w:bidi w:val="0"/>
              <w:jc w:val="center"/>
              <w:rPr>
                <w:rFonts w:hint="eastAsia" w:ascii="宋体" w:hAnsi="宋体" w:eastAsia="宋体" w:cs="宋体"/>
                <w:color w:val="auto"/>
                <w:highlight w:val="none"/>
              </w:rPr>
            </w:pPr>
            <w:r>
              <w:rPr>
                <w:rFonts w:hint="eastAsia" w:ascii="宋体" w:hAnsi="宋体" w:eastAsia="宋体" w:cs="宋体"/>
                <w:color w:val="auto"/>
                <w:highlight w:val="none"/>
              </w:rPr>
              <w:t>高级工程师</w:t>
            </w:r>
          </w:p>
        </w:tc>
        <w:tc>
          <w:tcPr>
            <w:tcW w:w="5395" w:type="dxa"/>
            <w:gridSpan w:val="2"/>
            <w:tcBorders>
              <w:tl2br w:val="nil"/>
              <w:tr2bl w:val="nil"/>
            </w:tcBorders>
            <w:noWrap w:val="0"/>
            <w:vAlign w:val="center"/>
          </w:tcPr>
          <w:p w14:paraId="17CEF517">
            <w:pPr>
              <w:bidi w:val="0"/>
              <w:jc w:val="center"/>
              <w:rPr>
                <w:rFonts w:hint="eastAsia" w:ascii="宋体" w:hAnsi="宋体" w:eastAsia="宋体" w:cs="宋体"/>
                <w:color w:val="auto"/>
                <w:highlight w:val="none"/>
              </w:rPr>
            </w:pPr>
            <w:r>
              <w:rPr>
                <w:rFonts w:hint="eastAsia" w:ascii="宋体" w:hAnsi="宋体" w:eastAsia="宋体" w:cs="宋体"/>
                <w:color w:val="auto"/>
                <w:highlight w:val="none"/>
              </w:rPr>
              <w:t>具备</w:t>
            </w:r>
            <w:r>
              <w:rPr>
                <w:rFonts w:hint="eastAsia" w:ascii="宋体" w:hAnsi="宋体" w:eastAsia="宋体" w:cs="宋体"/>
                <w:color w:val="auto"/>
                <w:sz w:val="18"/>
                <w:szCs w:val="18"/>
                <w:highlight w:val="none"/>
              </w:rPr>
              <w:t>现行有效的交通运输部门颁发的公路工程试验检测工程师证。</w:t>
            </w:r>
          </w:p>
        </w:tc>
      </w:tr>
      <w:tr w14:paraId="1E5C2E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00" w:hRule="atLeast"/>
        </w:trPr>
        <w:tc>
          <w:tcPr>
            <w:tcW w:w="1158" w:type="dxa"/>
            <w:vMerge w:val="restart"/>
            <w:tcBorders>
              <w:tl2br w:val="nil"/>
              <w:tr2bl w:val="nil"/>
            </w:tcBorders>
            <w:noWrap w:val="0"/>
            <w:vAlign w:val="center"/>
          </w:tcPr>
          <w:p w14:paraId="7EA557C8">
            <w:pPr>
              <w:bidi w:val="0"/>
              <w:jc w:val="center"/>
              <w:rPr>
                <w:rFonts w:hint="eastAsia" w:ascii="宋体" w:hAnsi="宋体" w:eastAsia="宋体" w:cs="宋体"/>
                <w:color w:val="auto"/>
                <w:highlight w:val="none"/>
              </w:rPr>
            </w:pPr>
            <w:r>
              <w:rPr>
                <w:rFonts w:hint="eastAsia" w:ascii="宋体" w:hAnsi="宋体" w:eastAsia="宋体" w:cs="宋体"/>
                <w:color w:val="auto"/>
                <w:highlight w:val="none"/>
              </w:rPr>
              <w:t>试验检测工程师</w:t>
            </w:r>
          </w:p>
        </w:tc>
        <w:tc>
          <w:tcPr>
            <w:tcW w:w="1365" w:type="dxa"/>
            <w:vMerge w:val="restart"/>
            <w:tcBorders>
              <w:tl2br w:val="nil"/>
              <w:tr2bl w:val="nil"/>
            </w:tcBorders>
            <w:noWrap w:val="0"/>
            <w:vAlign w:val="center"/>
          </w:tcPr>
          <w:p w14:paraId="592AEE51">
            <w:pPr>
              <w:bidi w:val="0"/>
              <w:jc w:val="center"/>
              <w:rPr>
                <w:rFonts w:hint="eastAsia" w:ascii="宋体" w:hAnsi="宋体" w:eastAsia="宋体" w:cs="宋体"/>
                <w:color w:val="auto"/>
                <w:highlight w:val="none"/>
              </w:rPr>
            </w:pPr>
            <w:r>
              <w:rPr>
                <w:rFonts w:hint="eastAsia" w:ascii="宋体" w:hAnsi="宋体" w:eastAsia="宋体" w:cs="宋体"/>
                <w:color w:val="auto"/>
                <w:highlight w:val="none"/>
              </w:rPr>
              <w:t>4</w:t>
            </w:r>
          </w:p>
        </w:tc>
        <w:tc>
          <w:tcPr>
            <w:tcW w:w="1170" w:type="dxa"/>
            <w:vMerge w:val="restart"/>
            <w:tcBorders>
              <w:tl2br w:val="nil"/>
              <w:tr2bl w:val="nil"/>
            </w:tcBorders>
            <w:noWrap w:val="0"/>
            <w:vAlign w:val="center"/>
          </w:tcPr>
          <w:p w14:paraId="4D1FBFEC">
            <w:pPr>
              <w:bidi w:val="0"/>
              <w:jc w:val="center"/>
              <w:rPr>
                <w:rFonts w:hint="eastAsia" w:ascii="宋体" w:hAnsi="宋体" w:eastAsia="宋体" w:cs="宋体"/>
                <w:color w:val="auto"/>
                <w:highlight w:val="none"/>
              </w:rPr>
            </w:pPr>
            <w:r>
              <w:rPr>
                <w:rFonts w:hint="eastAsia" w:ascii="宋体" w:hAnsi="宋体" w:eastAsia="宋体" w:cs="宋体"/>
                <w:color w:val="auto"/>
                <w:highlight w:val="none"/>
              </w:rPr>
              <w:t>工程师</w:t>
            </w:r>
          </w:p>
        </w:tc>
        <w:tc>
          <w:tcPr>
            <w:tcW w:w="5395" w:type="dxa"/>
            <w:gridSpan w:val="2"/>
            <w:tcBorders>
              <w:tl2br w:val="nil"/>
              <w:tr2bl w:val="nil"/>
            </w:tcBorders>
            <w:noWrap w:val="0"/>
            <w:vAlign w:val="center"/>
          </w:tcPr>
          <w:p w14:paraId="556DF976">
            <w:pPr>
              <w:bidi w:val="0"/>
              <w:jc w:val="center"/>
              <w:rPr>
                <w:rFonts w:hint="eastAsia" w:ascii="宋体" w:hAnsi="宋体" w:eastAsia="宋体" w:cs="宋体"/>
                <w:color w:val="auto"/>
                <w:highlight w:val="none"/>
                <w:lang w:val="en-US" w:eastAsia="zh-CN"/>
              </w:rPr>
            </w:pPr>
            <w:r>
              <w:rPr>
                <w:rFonts w:hint="eastAsia" w:ascii="宋体" w:hAnsi="宋体" w:eastAsia="宋体" w:cs="宋体"/>
                <w:color w:val="auto"/>
                <w:highlight w:val="none"/>
              </w:rPr>
              <w:t>具备现行有效的交通运输部门颁发的公路工程试验检测工程师证，且须满足各专业人数要求。</w:t>
            </w:r>
          </w:p>
        </w:tc>
      </w:tr>
      <w:tr w14:paraId="15B42C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4" w:hRule="atLeast"/>
        </w:trPr>
        <w:tc>
          <w:tcPr>
            <w:tcW w:w="1158" w:type="dxa"/>
            <w:vMerge w:val="continue"/>
            <w:tcBorders>
              <w:tl2br w:val="nil"/>
              <w:tr2bl w:val="nil"/>
            </w:tcBorders>
            <w:noWrap w:val="0"/>
            <w:vAlign w:val="center"/>
          </w:tcPr>
          <w:p w14:paraId="46EA8DBB">
            <w:pPr>
              <w:bidi w:val="0"/>
              <w:jc w:val="center"/>
              <w:rPr>
                <w:rFonts w:hint="eastAsia" w:ascii="宋体" w:hAnsi="宋体" w:eastAsia="宋体" w:cs="宋体"/>
                <w:color w:val="auto"/>
                <w:highlight w:val="none"/>
              </w:rPr>
            </w:pPr>
          </w:p>
        </w:tc>
        <w:tc>
          <w:tcPr>
            <w:tcW w:w="1365" w:type="dxa"/>
            <w:vMerge w:val="continue"/>
            <w:tcBorders>
              <w:tl2br w:val="nil"/>
              <w:tr2bl w:val="nil"/>
            </w:tcBorders>
            <w:noWrap w:val="0"/>
            <w:vAlign w:val="center"/>
          </w:tcPr>
          <w:p w14:paraId="1AEA0494">
            <w:pPr>
              <w:bidi w:val="0"/>
              <w:jc w:val="center"/>
              <w:rPr>
                <w:rFonts w:hint="eastAsia" w:ascii="宋体" w:hAnsi="宋体" w:eastAsia="宋体" w:cs="宋体"/>
                <w:color w:val="auto"/>
                <w:highlight w:val="none"/>
              </w:rPr>
            </w:pPr>
          </w:p>
        </w:tc>
        <w:tc>
          <w:tcPr>
            <w:tcW w:w="1170" w:type="dxa"/>
            <w:vMerge w:val="continue"/>
            <w:tcBorders>
              <w:tl2br w:val="nil"/>
              <w:tr2bl w:val="nil"/>
            </w:tcBorders>
            <w:noWrap w:val="0"/>
            <w:vAlign w:val="center"/>
          </w:tcPr>
          <w:p w14:paraId="67730A5A">
            <w:pPr>
              <w:bidi w:val="0"/>
              <w:jc w:val="center"/>
              <w:rPr>
                <w:rFonts w:hint="eastAsia" w:ascii="宋体" w:hAnsi="宋体" w:eastAsia="宋体" w:cs="宋体"/>
                <w:color w:val="auto"/>
                <w:highlight w:val="none"/>
              </w:rPr>
            </w:pPr>
          </w:p>
        </w:tc>
        <w:tc>
          <w:tcPr>
            <w:tcW w:w="3240" w:type="dxa"/>
            <w:tcBorders>
              <w:tl2br w:val="nil"/>
              <w:tr2bl w:val="nil"/>
            </w:tcBorders>
            <w:noWrap w:val="0"/>
            <w:vAlign w:val="center"/>
          </w:tcPr>
          <w:p w14:paraId="7395B326">
            <w:pPr>
              <w:bidi w:val="0"/>
              <w:jc w:val="center"/>
              <w:rPr>
                <w:rFonts w:hint="eastAsia" w:ascii="宋体" w:hAnsi="宋体" w:eastAsia="宋体" w:cs="宋体"/>
                <w:color w:val="auto"/>
                <w:highlight w:val="none"/>
              </w:rPr>
            </w:pPr>
            <w:r>
              <w:rPr>
                <w:rFonts w:hint="eastAsia" w:ascii="宋体" w:hAnsi="宋体" w:eastAsia="宋体" w:cs="宋体"/>
                <w:color w:val="auto"/>
                <w:highlight w:val="none"/>
              </w:rPr>
              <w:t>道路工程</w:t>
            </w:r>
          </w:p>
        </w:tc>
        <w:tc>
          <w:tcPr>
            <w:tcW w:w="2155" w:type="dxa"/>
            <w:tcBorders>
              <w:tl2br w:val="nil"/>
              <w:tr2bl w:val="nil"/>
            </w:tcBorders>
            <w:noWrap w:val="0"/>
            <w:vAlign w:val="center"/>
          </w:tcPr>
          <w:p w14:paraId="5A925F85">
            <w:pPr>
              <w:bidi w:val="0"/>
              <w:jc w:val="center"/>
              <w:rPr>
                <w:rFonts w:hint="eastAsia" w:ascii="宋体" w:hAnsi="宋体" w:eastAsia="宋体" w:cs="宋体"/>
                <w:color w:val="auto"/>
                <w:highlight w:val="none"/>
              </w:rPr>
            </w:pPr>
            <w:r>
              <w:rPr>
                <w:rFonts w:hint="eastAsia" w:ascii="宋体" w:hAnsi="宋体" w:eastAsia="宋体" w:cs="宋体"/>
                <w:color w:val="auto"/>
                <w:highlight w:val="none"/>
              </w:rPr>
              <w:t>1</w:t>
            </w:r>
          </w:p>
        </w:tc>
      </w:tr>
      <w:tr w14:paraId="1F262D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01" w:hRule="atLeast"/>
        </w:trPr>
        <w:tc>
          <w:tcPr>
            <w:tcW w:w="1158" w:type="dxa"/>
            <w:vMerge w:val="continue"/>
            <w:tcBorders>
              <w:tl2br w:val="nil"/>
              <w:tr2bl w:val="nil"/>
            </w:tcBorders>
            <w:noWrap w:val="0"/>
            <w:vAlign w:val="center"/>
          </w:tcPr>
          <w:p w14:paraId="36C32F2B">
            <w:pPr>
              <w:bidi w:val="0"/>
              <w:jc w:val="center"/>
              <w:rPr>
                <w:rFonts w:hint="eastAsia" w:ascii="宋体" w:hAnsi="宋体" w:eastAsia="宋体" w:cs="宋体"/>
                <w:color w:val="auto"/>
                <w:highlight w:val="none"/>
              </w:rPr>
            </w:pPr>
          </w:p>
        </w:tc>
        <w:tc>
          <w:tcPr>
            <w:tcW w:w="1365" w:type="dxa"/>
            <w:vMerge w:val="continue"/>
            <w:tcBorders>
              <w:tl2br w:val="nil"/>
              <w:tr2bl w:val="nil"/>
            </w:tcBorders>
            <w:noWrap w:val="0"/>
            <w:vAlign w:val="center"/>
          </w:tcPr>
          <w:p w14:paraId="464CA479">
            <w:pPr>
              <w:bidi w:val="0"/>
              <w:jc w:val="center"/>
              <w:rPr>
                <w:rFonts w:hint="eastAsia" w:ascii="宋体" w:hAnsi="宋体" w:eastAsia="宋体" w:cs="宋体"/>
                <w:color w:val="auto"/>
                <w:highlight w:val="none"/>
              </w:rPr>
            </w:pPr>
          </w:p>
        </w:tc>
        <w:tc>
          <w:tcPr>
            <w:tcW w:w="1170" w:type="dxa"/>
            <w:vMerge w:val="continue"/>
            <w:tcBorders>
              <w:tl2br w:val="nil"/>
              <w:tr2bl w:val="nil"/>
            </w:tcBorders>
            <w:noWrap w:val="0"/>
            <w:vAlign w:val="center"/>
          </w:tcPr>
          <w:p w14:paraId="428CE96C">
            <w:pPr>
              <w:bidi w:val="0"/>
              <w:jc w:val="center"/>
              <w:rPr>
                <w:rFonts w:hint="eastAsia" w:ascii="宋体" w:hAnsi="宋体" w:eastAsia="宋体" w:cs="宋体"/>
                <w:color w:val="auto"/>
                <w:highlight w:val="none"/>
              </w:rPr>
            </w:pPr>
          </w:p>
        </w:tc>
        <w:tc>
          <w:tcPr>
            <w:tcW w:w="3240" w:type="dxa"/>
            <w:tcBorders>
              <w:tl2br w:val="nil"/>
              <w:tr2bl w:val="nil"/>
            </w:tcBorders>
            <w:noWrap w:val="0"/>
            <w:vAlign w:val="center"/>
          </w:tcPr>
          <w:p w14:paraId="50DA102C">
            <w:pPr>
              <w:bidi w:val="0"/>
              <w:jc w:val="center"/>
              <w:rPr>
                <w:rFonts w:hint="eastAsia" w:ascii="宋体" w:hAnsi="宋体" w:eastAsia="宋体" w:cs="宋体"/>
                <w:color w:val="auto"/>
                <w:highlight w:val="none"/>
              </w:rPr>
            </w:pPr>
            <w:r>
              <w:rPr>
                <w:rFonts w:hint="eastAsia" w:ascii="宋体" w:hAnsi="宋体" w:eastAsia="宋体" w:cs="宋体"/>
                <w:color w:val="auto"/>
                <w:highlight w:val="none"/>
              </w:rPr>
              <w:t>桥梁隧道工程</w:t>
            </w:r>
          </w:p>
        </w:tc>
        <w:tc>
          <w:tcPr>
            <w:tcW w:w="2155" w:type="dxa"/>
            <w:tcBorders>
              <w:tl2br w:val="nil"/>
              <w:tr2bl w:val="nil"/>
            </w:tcBorders>
            <w:noWrap w:val="0"/>
            <w:vAlign w:val="center"/>
          </w:tcPr>
          <w:p w14:paraId="00117A5F">
            <w:pPr>
              <w:bidi w:val="0"/>
              <w:jc w:val="center"/>
              <w:rPr>
                <w:rFonts w:hint="eastAsia" w:ascii="宋体" w:hAnsi="宋体" w:eastAsia="宋体" w:cs="宋体"/>
                <w:color w:val="auto"/>
                <w:highlight w:val="none"/>
              </w:rPr>
            </w:pPr>
            <w:r>
              <w:rPr>
                <w:rFonts w:hint="eastAsia" w:ascii="宋体" w:hAnsi="宋体" w:eastAsia="宋体" w:cs="宋体"/>
                <w:color w:val="auto"/>
                <w:highlight w:val="none"/>
              </w:rPr>
              <w:t>2</w:t>
            </w:r>
          </w:p>
        </w:tc>
      </w:tr>
      <w:tr w14:paraId="6260AA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07" w:hRule="atLeast"/>
        </w:trPr>
        <w:tc>
          <w:tcPr>
            <w:tcW w:w="1158" w:type="dxa"/>
            <w:vMerge w:val="continue"/>
            <w:tcBorders>
              <w:tl2br w:val="nil"/>
              <w:tr2bl w:val="nil"/>
            </w:tcBorders>
            <w:noWrap w:val="0"/>
            <w:vAlign w:val="center"/>
          </w:tcPr>
          <w:p w14:paraId="743E9292">
            <w:pPr>
              <w:bidi w:val="0"/>
              <w:jc w:val="center"/>
              <w:rPr>
                <w:rFonts w:hint="eastAsia" w:ascii="宋体" w:hAnsi="宋体" w:eastAsia="宋体" w:cs="宋体"/>
                <w:color w:val="auto"/>
                <w:highlight w:val="none"/>
              </w:rPr>
            </w:pPr>
          </w:p>
        </w:tc>
        <w:tc>
          <w:tcPr>
            <w:tcW w:w="1365" w:type="dxa"/>
            <w:vMerge w:val="continue"/>
            <w:tcBorders>
              <w:tl2br w:val="nil"/>
              <w:tr2bl w:val="nil"/>
            </w:tcBorders>
            <w:noWrap w:val="0"/>
            <w:vAlign w:val="center"/>
          </w:tcPr>
          <w:p w14:paraId="24A60911">
            <w:pPr>
              <w:bidi w:val="0"/>
              <w:jc w:val="center"/>
              <w:rPr>
                <w:rFonts w:hint="eastAsia" w:ascii="宋体" w:hAnsi="宋体" w:eastAsia="宋体" w:cs="宋体"/>
                <w:color w:val="auto"/>
                <w:highlight w:val="none"/>
              </w:rPr>
            </w:pPr>
          </w:p>
        </w:tc>
        <w:tc>
          <w:tcPr>
            <w:tcW w:w="1170" w:type="dxa"/>
            <w:vMerge w:val="continue"/>
            <w:tcBorders>
              <w:tl2br w:val="nil"/>
              <w:tr2bl w:val="nil"/>
            </w:tcBorders>
            <w:noWrap w:val="0"/>
            <w:vAlign w:val="center"/>
          </w:tcPr>
          <w:p w14:paraId="47E83711">
            <w:pPr>
              <w:bidi w:val="0"/>
              <w:jc w:val="center"/>
              <w:rPr>
                <w:rFonts w:hint="eastAsia" w:ascii="宋体" w:hAnsi="宋体" w:eastAsia="宋体" w:cs="宋体"/>
                <w:color w:val="auto"/>
                <w:highlight w:val="none"/>
              </w:rPr>
            </w:pPr>
          </w:p>
        </w:tc>
        <w:tc>
          <w:tcPr>
            <w:tcW w:w="3240" w:type="dxa"/>
            <w:tcBorders>
              <w:tl2br w:val="nil"/>
              <w:tr2bl w:val="nil"/>
            </w:tcBorders>
            <w:noWrap w:val="0"/>
            <w:vAlign w:val="center"/>
          </w:tcPr>
          <w:p w14:paraId="3E3C9EEA">
            <w:pPr>
              <w:bidi w:val="0"/>
              <w:jc w:val="center"/>
              <w:rPr>
                <w:rFonts w:hint="eastAsia" w:ascii="宋体" w:hAnsi="宋体" w:eastAsia="宋体" w:cs="宋体"/>
                <w:color w:val="auto"/>
                <w:highlight w:val="none"/>
              </w:rPr>
            </w:pPr>
            <w:r>
              <w:rPr>
                <w:rFonts w:hint="eastAsia" w:ascii="宋体" w:hAnsi="宋体" w:eastAsia="宋体" w:cs="宋体"/>
                <w:color w:val="auto"/>
                <w:highlight w:val="none"/>
              </w:rPr>
              <w:t>交通工程</w:t>
            </w:r>
          </w:p>
        </w:tc>
        <w:tc>
          <w:tcPr>
            <w:tcW w:w="2155" w:type="dxa"/>
            <w:tcBorders>
              <w:tl2br w:val="nil"/>
              <w:tr2bl w:val="nil"/>
            </w:tcBorders>
            <w:noWrap w:val="0"/>
            <w:vAlign w:val="center"/>
          </w:tcPr>
          <w:p w14:paraId="1E49E502">
            <w:pPr>
              <w:bidi w:val="0"/>
              <w:jc w:val="center"/>
              <w:rPr>
                <w:rFonts w:hint="eastAsia" w:ascii="宋体" w:hAnsi="宋体" w:eastAsia="宋体" w:cs="宋体"/>
                <w:color w:val="auto"/>
                <w:highlight w:val="none"/>
              </w:rPr>
            </w:pPr>
            <w:r>
              <w:rPr>
                <w:rFonts w:hint="eastAsia" w:ascii="宋体" w:hAnsi="宋体" w:eastAsia="宋体" w:cs="宋体"/>
                <w:color w:val="auto"/>
                <w:highlight w:val="none"/>
              </w:rPr>
              <w:t>1</w:t>
            </w:r>
          </w:p>
        </w:tc>
      </w:tr>
      <w:tr w14:paraId="73F550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26" w:hRule="atLeast"/>
        </w:trPr>
        <w:tc>
          <w:tcPr>
            <w:tcW w:w="1158" w:type="dxa"/>
            <w:vMerge w:val="restart"/>
            <w:tcBorders>
              <w:tl2br w:val="nil"/>
              <w:tr2bl w:val="nil"/>
            </w:tcBorders>
            <w:noWrap w:val="0"/>
            <w:vAlign w:val="center"/>
          </w:tcPr>
          <w:p w14:paraId="1CAFD8AE">
            <w:pPr>
              <w:bidi w:val="0"/>
              <w:jc w:val="center"/>
              <w:rPr>
                <w:rFonts w:hint="eastAsia" w:ascii="宋体" w:hAnsi="宋体" w:eastAsia="宋体" w:cs="宋体"/>
                <w:color w:val="auto"/>
                <w:highlight w:val="none"/>
              </w:rPr>
            </w:pPr>
            <w:r>
              <w:rPr>
                <w:rFonts w:hint="eastAsia" w:ascii="宋体" w:hAnsi="宋体" w:eastAsia="宋体" w:cs="宋体"/>
                <w:color w:val="auto"/>
                <w:highlight w:val="none"/>
              </w:rPr>
              <w:t>助理试验检测师/ 试验检测员</w:t>
            </w:r>
          </w:p>
        </w:tc>
        <w:tc>
          <w:tcPr>
            <w:tcW w:w="1365" w:type="dxa"/>
            <w:vMerge w:val="restart"/>
            <w:tcBorders>
              <w:tl2br w:val="nil"/>
              <w:tr2bl w:val="nil"/>
            </w:tcBorders>
            <w:noWrap w:val="0"/>
            <w:vAlign w:val="center"/>
          </w:tcPr>
          <w:p w14:paraId="4B0791DC">
            <w:pPr>
              <w:bidi w:val="0"/>
              <w:jc w:val="center"/>
              <w:rPr>
                <w:rFonts w:hint="eastAsia" w:ascii="宋体" w:hAnsi="宋体" w:eastAsia="宋体" w:cs="宋体"/>
                <w:color w:val="auto"/>
                <w:highlight w:val="none"/>
              </w:rPr>
            </w:pPr>
            <w:r>
              <w:rPr>
                <w:rFonts w:hint="eastAsia" w:ascii="宋体" w:hAnsi="宋体" w:eastAsia="宋体" w:cs="宋体"/>
                <w:color w:val="auto"/>
                <w:highlight w:val="none"/>
              </w:rPr>
              <w:t>4</w:t>
            </w:r>
          </w:p>
        </w:tc>
        <w:tc>
          <w:tcPr>
            <w:tcW w:w="1170" w:type="dxa"/>
            <w:vMerge w:val="restart"/>
            <w:tcBorders>
              <w:tl2br w:val="nil"/>
              <w:tr2bl w:val="nil"/>
            </w:tcBorders>
            <w:noWrap w:val="0"/>
            <w:vAlign w:val="center"/>
          </w:tcPr>
          <w:p w14:paraId="74D3A622">
            <w:pPr>
              <w:bidi w:val="0"/>
              <w:jc w:val="center"/>
              <w:rPr>
                <w:rFonts w:hint="eastAsia" w:ascii="宋体" w:hAnsi="宋体" w:eastAsia="宋体" w:cs="宋体"/>
                <w:color w:val="auto"/>
                <w:highlight w:val="none"/>
              </w:rPr>
            </w:pPr>
            <w:r>
              <w:rPr>
                <w:rFonts w:hint="eastAsia" w:ascii="宋体" w:hAnsi="宋体" w:eastAsia="宋体" w:cs="宋体"/>
                <w:color w:val="auto"/>
                <w:highlight w:val="none"/>
              </w:rPr>
              <w:t>/</w:t>
            </w:r>
          </w:p>
        </w:tc>
        <w:tc>
          <w:tcPr>
            <w:tcW w:w="5395" w:type="dxa"/>
            <w:gridSpan w:val="2"/>
            <w:tcBorders>
              <w:tl2br w:val="nil"/>
              <w:tr2bl w:val="nil"/>
            </w:tcBorders>
            <w:noWrap w:val="0"/>
            <w:vAlign w:val="center"/>
          </w:tcPr>
          <w:p w14:paraId="540EE683">
            <w:pPr>
              <w:bidi w:val="0"/>
              <w:jc w:val="center"/>
              <w:rPr>
                <w:rFonts w:hint="eastAsia" w:ascii="宋体" w:hAnsi="宋体" w:eastAsia="宋体" w:cs="宋体"/>
                <w:color w:val="auto"/>
                <w:highlight w:val="none"/>
              </w:rPr>
            </w:pPr>
            <w:r>
              <w:rPr>
                <w:rFonts w:hint="eastAsia" w:ascii="宋体" w:hAnsi="宋体" w:eastAsia="宋体" w:cs="宋体"/>
                <w:color w:val="auto"/>
                <w:highlight w:val="none"/>
              </w:rPr>
              <w:t>具备现行有效的交通运输部门颁发的助理试验检测师/试验检测员证，且须满足各专业人数要求。</w:t>
            </w:r>
          </w:p>
        </w:tc>
      </w:tr>
      <w:tr w14:paraId="5B4BDD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3" w:hRule="atLeast"/>
        </w:trPr>
        <w:tc>
          <w:tcPr>
            <w:tcW w:w="1158" w:type="dxa"/>
            <w:vMerge w:val="continue"/>
            <w:tcBorders>
              <w:tl2br w:val="nil"/>
              <w:tr2bl w:val="nil"/>
            </w:tcBorders>
            <w:noWrap w:val="0"/>
            <w:vAlign w:val="center"/>
          </w:tcPr>
          <w:p w14:paraId="02C175C5">
            <w:pPr>
              <w:bidi w:val="0"/>
              <w:jc w:val="center"/>
              <w:rPr>
                <w:rFonts w:hint="eastAsia" w:ascii="宋体" w:hAnsi="宋体" w:eastAsia="宋体" w:cs="宋体"/>
                <w:color w:val="auto"/>
                <w:highlight w:val="none"/>
              </w:rPr>
            </w:pPr>
          </w:p>
        </w:tc>
        <w:tc>
          <w:tcPr>
            <w:tcW w:w="1365" w:type="dxa"/>
            <w:vMerge w:val="continue"/>
            <w:tcBorders>
              <w:tl2br w:val="nil"/>
              <w:tr2bl w:val="nil"/>
            </w:tcBorders>
            <w:noWrap w:val="0"/>
            <w:vAlign w:val="center"/>
          </w:tcPr>
          <w:p w14:paraId="0DE7CC91">
            <w:pPr>
              <w:bidi w:val="0"/>
              <w:jc w:val="center"/>
              <w:rPr>
                <w:rFonts w:hint="eastAsia" w:ascii="宋体" w:hAnsi="宋体" w:eastAsia="宋体" w:cs="宋体"/>
                <w:color w:val="auto"/>
                <w:highlight w:val="none"/>
              </w:rPr>
            </w:pPr>
          </w:p>
        </w:tc>
        <w:tc>
          <w:tcPr>
            <w:tcW w:w="1170" w:type="dxa"/>
            <w:vMerge w:val="continue"/>
            <w:tcBorders>
              <w:tl2br w:val="nil"/>
              <w:tr2bl w:val="nil"/>
            </w:tcBorders>
            <w:noWrap w:val="0"/>
            <w:vAlign w:val="center"/>
          </w:tcPr>
          <w:p w14:paraId="74E807B8">
            <w:pPr>
              <w:bidi w:val="0"/>
              <w:jc w:val="center"/>
              <w:rPr>
                <w:rFonts w:hint="eastAsia" w:ascii="宋体" w:hAnsi="宋体" w:eastAsia="宋体" w:cs="宋体"/>
                <w:color w:val="auto"/>
                <w:highlight w:val="none"/>
              </w:rPr>
            </w:pPr>
          </w:p>
        </w:tc>
        <w:tc>
          <w:tcPr>
            <w:tcW w:w="3240" w:type="dxa"/>
            <w:tcBorders>
              <w:tl2br w:val="nil"/>
              <w:tr2bl w:val="nil"/>
            </w:tcBorders>
            <w:noWrap w:val="0"/>
            <w:vAlign w:val="center"/>
          </w:tcPr>
          <w:p w14:paraId="3474FA55">
            <w:pPr>
              <w:bidi w:val="0"/>
              <w:jc w:val="center"/>
              <w:rPr>
                <w:rFonts w:hint="eastAsia" w:ascii="宋体" w:hAnsi="宋体" w:eastAsia="宋体" w:cs="宋体"/>
                <w:color w:val="auto"/>
                <w:highlight w:val="none"/>
              </w:rPr>
            </w:pPr>
            <w:r>
              <w:rPr>
                <w:rFonts w:hint="eastAsia" w:ascii="宋体" w:hAnsi="宋体" w:eastAsia="宋体" w:cs="宋体"/>
                <w:color w:val="auto"/>
                <w:highlight w:val="none"/>
              </w:rPr>
              <w:t>道路工程</w:t>
            </w:r>
          </w:p>
        </w:tc>
        <w:tc>
          <w:tcPr>
            <w:tcW w:w="2155" w:type="dxa"/>
            <w:tcBorders>
              <w:tl2br w:val="nil"/>
              <w:tr2bl w:val="nil"/>
            </w:tcBorders>
            <w:noWrap w:val="0"/>
            <w:vAlign w:val="center"/>
          </w:tcPr>
          <w:p w14:paraId="308BB0EF">
            <w:pPr>
              <w:bidi w:val="0"/>
              <w:jc w:val="center"/>
              <w:rPr>
                <w:rFonts w:hint="eastAsia" w:ascii="宋体" w:hAnsi="宋体" w:eastAsia="宋体" w:cs="宋体"/>
                <w:color w:val="auto"/>
                <w:highlight w:val="none"/>
              </w:rPr>
            </w:pPr>
            <w:r>
              <w:rPr>
                <w:rFonts w:hint="eastAsia" w:ascii="宋体" w:hAnsi="宋体" w:eastAsia="宋体" w:cs="宋体"/>
                <w:color w:val="auto"/>
                <w:highlight w:val="none"/>
              </w:rPr>
              <w:t>1</w:t>
            </w:r>
          </w:p>
        </w:tc>
      </w:tr>
      <w:tr w14:paraId="765761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70" w:hRule="atLeast"/>
        </w:trPr>
        <w:tc>
          <w:tcPr>
            <w:tcW w:w="1158" w:type="dxa"/>
            <w:vMerge w:val="continue"/>
            <w:tcBorders>
              <w:tl2br w:val="nil"/>
              <w:tr2bl w:val="nil"/>
            </w:tcBorders>
            <w:noWrap w:val="0"/>
            <w:vAlign w:val="center"/>
          </w:tcPr>
          <w:p w14:paraId="6DA470EF">
            <w:pPr>
              <w:bidi w:val="0"/>
              <w:jc w:val="center"/>
              <w:rPr>
                <w:rFonts w:hint="eastAsia" w:ascii="宋体" w:hAnsi="宋体" w:eastAsia="宋体" w:cs="宋体"/>
                <w:color w:val="auto"/>
                <w:highlight w:val="none"/>
              </w:rPr>
            </w:pPr>
          </w:p>
        </w:tc>
        <w:tc>
          <w:tcPr>
            <w:tcW w:w="1365" w:type="dxa"/>
            <w:vMerge w:val="continue"/>
            <w:tcBorders>
              <w:tl2br w:val="nil"/>
              <w:tr2bl w:val="nil"/>
            </w:tcBorders>
            <w:noWrap w:val="0"/>
            <w:vAlign w:val="center"/>
          </w:tcPr>
          <w:p w14:paraId="3EED9EA9">
            <w:pPr>
              <w:bidi w:val="0"/>
              <w:jc w:val="center"/>
              <w:rPr>
                <w:rFonts w:hint="eastAsia" w:ascii="宋体" w:hAnsi="宋体" w:eastAsia="宋体" w:cs="宋体"/>
                <w:color w:val="auto"/>
                <w:highlight w:val="none"/>
              </w:rPr>
            </w:pPr>
          </w:p>
        </w:tc>
        <w:tc>
          <w:tcPr>
            <w:tcW w:w="1170" w:type="dxa"/>
            <w:vMerge w:val="continue"/>
            <w:tcBorders>
              <w:tl2br w:val="nil"/>
              <w:tr2bl w:val="nil"/>
            </w:tcBorders>
            <w:noWrap w:val="0"/>
            <w:vAlign w:val="center"/>
          </w:tcPr>
          <w:p w14:paraId="23E8EE9D">
            <w:pPr>
              <w:bidi w:val="0"/>
              <w:jc w:val="center"/>
              <w:rPr>
                <w:rFonts w:hint="eastAsia" w:ascii="宋体" w:hAnsi="宋体" w:eastAsia="宋体" w:cs="宋体"/>
                <w:color w:val="auto"/>
                <w:highlight w:val="none"/>
              </w:rPr>
            </w:pPr>
          </w:p>
        </w:tc>
        <w:tc>
          <w:tcPr>
            <w:tcW w:w="3240" w:type="dxa"/>
            <w:tcBorders>
              <w:tl2br w:val="nil"/>
              <w:tr2bl w:val="nil"/>
            </w:tcBorders>
            <w:noWrap w:val="0"/>
            <w:vAlign w:val="center"/>
          </w:tcPr>
          <w:p w14:paraId="27C063C8">
            <w:pPr>
              <w:bidi w:val="0"/>
              <w:jc w:val="center"/>
              <w:rPr>
                <w:rFonts w:hint="eastAsia" w:ascii="宋体" w:hAnsi="宋体" w:eastAsia="宋体" w:cs="宋体"/>
                <w:color w:val="auto"/>
                <w:highlight w:val="none"/>
              </w:rPr>
            </w:pPr>
            <w:r>
              <w:rPr>
                <w:rFonts w:hint="eastAsia" w:ascii="宋体" w:hAnsi="宋体" w:eastAsia="宋体" w:cs="宋体"/>
                <w:color w:val="auto"/>
                <w:highlight w:val="none"/>
              </w:rPr>
              <w:t>桥梁隧道工程</w:t>
            </w:r>
          </w:p>
        </w:tc>
        <w:tc>
          <w:tcPr>
            <w:tcW w:w="2155" w:type="dxa"/>
            <w:tcBorders>
              <w:tl2br w:val="nil"/>
              <w:tr2bl w:val="nil"/>
            </w:tcBorders>
            <w:noWrap w:val="0"/>
            <w:vAlign w:val="center"/>
          </w:tcPr>
          <w:p w14:paraId="0675C819">
            <w:pPr>
              <w:bidi w:val="0"/>
              <w:jc w:val="center"/>
              <w:rPr>
                <w:rFonts w:hint="eastAsia" w:ascii="宋体" w:hAnsi="宋体" w:eastAsia="宋体" w:cs="宋体"/>
                <w:color w:val="auto"/>
                <w:highlight w:val="none"/>
              </w:rPr>
            </w:pPr>
            <w:r>
              <w:rPr>
                <w:rFonts w:hint="eastAsia" w:ascii="宋体" w:hAnsi="宋体" w:eastAsia="宋体" w:cs="宋体"/>
                <w:color w:val="auto"/>
                <w:highlight w:val="none"/>
              </w:rPr>
              <w:t>2</w:t>
            </w:r>
          </w:p>
        </w:tc>
      </w:tr>
      <w:tr w14:paraId="5C5EE1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0" w:hRule="atLeast"/>
        </w:trPr>
        <w:tc>
          <w:tcPr>
            <w:tcW w:w="1158" w:type="dxa"/>
            <w:vMerge w:val="continue"/>
            <w:tcBorders>
              <w:tl2br w:val="nil"/>
              <w:tr2bl w:val="nil"/>
            </w:tcBorders>
            <w:noWrap w:val="0"/>
            <w:vAlign w:val="center"/>
          </w:tcPr>
          <w:p w14:paraId="6F920A2D">
            <w:pPr>
              <w:bidi w:val="0"/>
              <w:jc w:val="center"/>
              <w:rPr>
                <w:rFonts w:hint="eastAsia" w:ascii="宋体" w:hAnsi="宋体" w:eastAsia="宋体" w:cs="宋体"/>
                <w:color w:val="auto"/>
                <w:highlight w:val="none"/>
              </w:rPr>
            </w:pPr>
          </w:p>
        </w:tc>
        <w:tc>
          <w:tcPr>
            <w:tcW w:w="1365" w:type="dxa"/>
            <w:vMerge w:val="continue"/>
            <w:tcBorders>
              <w:tl2br w:val="nil"/>
              <w:tr2bl w:val="nil"/>
            </w:tcBorders>
            <w:noWrap w:val="0"/>
            <w:vAlign w:val="center"/>
          </w:tcPr>
          <w:p w14:paraId="482636CE">
            <w:pPr>
              <w:bidi w:val="0"/>
              <w:jc w:val="center"/>
              <w:rPr>
                <w:rFonts w:hint="eastAsia" w:ascii="宋体" w:hAnsi="宋体" w:eastAsia="宋体" w:cs="宋体"/>
                <w:color w:val="auto"/>
                <w:highlight w:val="none"/>
              </w:rPr>
            </w:pPr>
          </w:p>
        </w:tc>
        <w:tc>
          <w:tcPr>
            <w:tcW w:w="1170" w:type="dxa"/>
            <w:vMerge w:val="continue"/>
            <w:tcBorders>
              <w:tl2br w:val="nil"/>
              <w:tr2bl w:val="nil"/>
            </w:tcBorders>
            <w:noWrap w:val="0"/>
            <w:vAlign w:val="center"/>
          </w:tcPr>
          <w:p w14:paraId="7CE3B6A6">
            <w:pPr>
              <w:bidi w:val="0"/>
              <w:jc w:val="center"/>
              <w:rPr>
                <w:rFonts w:hint="eastAsia" w:ascii="宋体" w:hAnsi="宋体" w:eastAsia="宋体" w:cs="宋体"/>
                <w:color w:val="auto"/>
                <w:highlight w:val="none"/>
              </w:rPr>
            </w:pPr>
          </w:p>
        </w:tc>
        <w:tc>
          <w:tcPr>
            <w:tcW w:w="3240" w:type="dxa"/>
            <w:tcBorders>
              <w:tl2br w:val="nil"/>
              <w:tr2bl w:val="nil"/>
            </w:tcBorders>
            <w:noWrap w:val="0"/>
            <w:vAlign w:val="center"/>
          </w:tcPr>
          <w:p w14:paraId="2DEDF7E0">
            <w:pPr>
              <w:bidi w:val="0"/>
              <w:jc w:val="center"/>
              <w:rPr>
                <w:rFonts w:hint="eastAsia" w:ascii="宋体" w:hAnsi="宋体" w:eastAsia="宋体" w:cs="宋体"/>
                <w:color w:val="auto"/>
                <w:highlight w:val="none"/>
              </w:rPr>
            </w:pPr>
            <w:r>
              <w:rPr>
                <w:rFonts w:hint="eastAsia" w:ascii="宋体" w:hAnsi="宋体" w:eastAsia="宋体" w:cs="宋体"/>
                <w:color w:val="auto"/>
                <w:highlight w:val="none"/>
              </w:rPr>
              <w:t>交通工程</w:t>
            </w:r>
          </w:p>
        </w:tc>
        <w:tc>
          <w:tcPr>
            <w:tcW w:w="2155" w:type="dxa"/>
            <w:tcBorders>
              <w:tl2br w:val="nil"/>
              <w:tr2bl w:val="nil"/>
            </w:tcBorders>
            <w:noWrap w:val="0"/>
            <w:vAlign w:val="center"/>
          </w:tcPr>
          <w:p w14:paraId="3C44F1FF">
            <w:pPr>
              <w:bidi w:val="0"/>
              <w:jc w:val="center"/>
              <w:rPr>
                <w:rFonts w:hint="eastAsia" w:ascii="宋体" w:hAnsi="宋体" w:eastAsia="宋体" w:cs="宋体"/>
                <w:color w:val="auto"/>
                <w:highlight w:val="none"/>
              </w:rPr>
            </w:pPr>
            <w:r>
              <w:rPr>
                <w:rFonts w:hint="eastAsia" w:ascii="宋体" w:hAnsi="宋体" w:eastAsia="宋体" w:cs="宋体"/>
                <w:color w:val="auto"/>
                <w:highlight w:val="none"/>
              </w:rPr>
              <w:t>1</w:t>
            </w:r>
          </w:p>
        </w:tc>
      </w:tr>
    </w:tbl>
    <w:p w14:paraId="0D33D06E">
      <w:pPr>
        <w:pStyle w:val="10"/>
        <w:spacing w:before="155"/>
        <w:rPr>
          <w:rFonts w:hint="eastAsia" w:ascii="宋体" w:hAnsi="宋体" w:eastAsia="宋体" w:cs="宋体"/>
          <w:color w:val="auto"/>
          <w:highlight w:val="none"/>
        </w:rPr>
      </w:pPr>
      <w:r>
        <w:rPr>
          <w:rFonts w:hint="eastAsia" w:ascii="宋体" w:hAnsi="宋体" w:eastAsia="宋体" w:cs="宋体"/>
          <w:color w:val="auto"/>
          <w:highlight w:val="none"/>
        </w:rPr>
        <w:t>注：</w:t>
      </w:r>
    </w:p>
    <w:p w14:paraId="3047D7A8">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lang w:val="en-US" w:eastAsia="zh-CN"/>
        </w:rPr>
        <w:t>1</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rPr>
        <w:t>所有从事现场试验检测人员要求身体状况必须能满足工地现场工作需要。</w:t>
      </w:r>
    </w:p>
    <w:p w14:paraId="3E5CA1CC">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lang w:val="en-US" w:eastAsia="zh-CN"/>
        </w:rPr>
        <w:t>2）</w:t>
      </w:r>
      <w:r>
        <w:rPr>
          <w:rFonts w:hint="eastAsia" w:ascii="宋体" w:hAnsi="宋体" w:eastAsia="宋体" w:cs="宋体"/>
          <w:color w:val="auto"/>
          <w:szCs w:val="21"/>
          <w:highlight w:val="none"/>
        </w:rPr>
        <w:t>以上人员持有的试验检测资格证书须在中标人单位登记，投标文件中提供以上人员有效的身份证正反面复印件、资格（或资质）证书复印件、</w:t>
      </w:r>
      <w:r>
        <w:rPr>
          <w:rFonts w:hint="eastAsia" w:ascii="宋体" w:hAnsi="宋体" w:eastAsia="宋体" w:cs="宋体"/>
          <w:b/>
          <w:bCs/>
          <w:color w:val="auto"/>
          <w:szCs w:val="21"/>
          <w:highlight w:val="none"/>
        </w:rPr>
        <w:t xml:space="preserve">投标人 </w:t>
      </w:r>
      <w:r>
        <w:rPr>
          <w:rFonts w:hint="eastAsia" w:ascii="宋体" w:hAnsi="宋体" w:eastAsia="宋体" w:cs="宋体"/>
          <w:b/>
          <w:bCs/>
          <w:color w:val="auto"/>
          <w:szCs w:val="21"/>
          <w:highlight w:val="none"/>
          <w:lang w:eastAsia="zh-CN"/>
        </w:rPr>
        <w:t>2026年 2 月</w:t>
      </w:r>
      <w:r>
        <w:rPr>
          <w:rFonts w:hint="eastAsia" w:ascii="宋体" w:hAnsi="宋体" w:eastAsia="宋体" w:cs="宋体"/>
          <w:b/>
          <w:bCs/>
          <w:color w:val="auto"/>
          <w:szCs w:val="21"/>
          <w:highlight w:val="none"/>
        </w:rPr>
        <w:t>至 202</w:t>
      </w:r>
      <w:r>
        <w:rPr>
          <w:rFonts w:hint="eastAsia" w:ascii="宋体" w:hAnsi="宋体" w:eastAsia="宋体" w:cs="宋体"/>
          <w:b/>
          <w:bCs/>
          <w:color w:val="auto"/>
          <w:szCs w:val="21"/>
          <w:highlight w:val="none"/>
          <w:lang w:val="en-US" w:eastAsia="zh-CN"/>
        </w:rPr>
        <w:t>6</w:t>
      </w:r>
      <w:r>
        <w:rPr>
          <w:rFonts w:hint="eastAsia" w:ascii="宋体" w:hAnsi="宋体" w:eastAsia="宋体" w:cs="宋体"/>
          <w:b/>
          <w:bCs/>
          <w:color w:val="auto"/>
          <w:szCs w:val="21"/>
          <w:highlight w:val="none"/>
        </w:rPr>
        <w:t xml:space="preserve"> 年</w:t>
      </w:r>
      <w:r>
        <w:rPr>
          <w:rFonts w:hint="eastAsia" w:ascii="宋体" w:hAnsi="宋体" w:eastAsia="宋体" w:cs="宋体"/>
          <w:b/>
          <w:bCs/>
          <w:color w:val="auto"/>
          <w:szCs w:val="21"/>
          <w:highlight w:val="none"/>
          <w:lang w:val="en-US" w:eastAsia="zh-CN"/>
        </w:rPr>
        <w:t>5</w:t>
      </w:r>
      <w:r>
        <w:rPr>
          <w:rFonts w:hint="eastAsia" w:ascii="宋体" w:hAnsi="宋体" w:eastAsia="宋体" w:cs="宋体"/>
          <w:b/>
          <w:bCs/>
          <w:color w:val="auto"/>
          <w:szCs w:val="21"/>
          <w:highlight w:val="none"/>
        </w:rPr>
        <w:t xml:space="preserve"> 月内</w:t>
      </w:r>
      <w:r>
        <w:rPr>
          <w:rFonts w:hint="eastAsia" w:ascii="宋体" w:hAnsi="宋体" w:eastAsia="宋体" w:cs="宋体"/>
          <w:b/>
          <w:bCs/>
          <w:color w:val="auto"/>
          <w:szCs w:val="21"/>
          <w:highlight w:val="none"/>
          <w:lang w:eastAsia="zh-CN"/>
        </w:rPr>
        <w:t>任意</w:t>
      </w:r>
      <w:r>
        <w:rPr>
          <w:rFonts w:hint="eastAsia" w:ascii="宋体" w:hAnsi="宋体" w:eastAsia="宋体" w:cs="宋体"/>
          <w:b/>
          <w:bCs/>
          <w:color w:val="auto"/>
          <w:szCs w:val="21"/>
          <w:highlight w:val="none"/>
          <w:lang w:val="en-US" w:eastAsia="zh-CN"/>
        </w:rPr>
        <w:t>1</w:t>
      </w:r>
      <w:r>
        <w:rPr>
          <w:rFonts w:hint="eastAsia" w:ascii="宋体" w:hAnsi="宋体" w:eastAsia="宋体" w:cs="宋体"/>
          <w:b/>
          <w:bCs/>
          <w:color w:val="auto"/>
          <w:szCs w:val="21"/>
          <w:highlight w:val="none"/>
        </w:rPr>
        <w:t>个月为项目人员缴纳社保的证明材料复印件</w:t>
      </w:r>
      <w:r>
        <w:rPr>
          <w:rFonts w:hint="eastAsia" w:ascii="宋体" w:hAnsi="宋体" w:eastAsia="宋体" w:cs="宋体"/>
          <w:b/>
          <w:bCs/>
          <w:color w:val="auto"/>
          <w:szCs w:val="21"/>
          <w:highlight w:val="none"/>
          <w:lang w:eastAsia="zh-CN"/>
        </w:rPr>
        <w:t>；若为新入职人员（社保缴纳不足 1 个月的），需提供与投标人签订的有效劳动合同复印件</w:t>
      </w:r>
      <w:r>
        <w:rPr>
          <w:rFonts w:hint="eastAsia" w:ascii="宋体" w:hAnsi="宋体" w:eastAsia="宋体" w:cs="宋体"/>
          <w:b/>
          <w:bCs/>
          <w:color w:val="auto"/>
          <w:szCs w:val="21"/>
          <w:highlight w:val="none"/>
        </w:rPr>
        <w:t>。（202</w:t>
      </w:r>
      <w:r>
        <w:rPr>
          <w:rFonts w:hint="eastAsia" w:ascii="宋体" w:hAnsi="宋体" w:cs="宋体"/>
          <w:b/>
          <w:bCs/>
          <w:color w:val="auto"/>
          <w:szCs w:val="21"/>
          <w:highlight w:val="none"/>
          <w:lang w:val="en-US" w:eastAsia="zh-CN"/>
        </w:rPr>
        <w:t>6</w:t>
      </w:r>
      <w:r>
        <w:rPr>
          <w:rFonts w:hint="eastAsia" w:ascii="宋体" w:hAnsi="宋体" w:eastAsia="宋体" w:cs="宋体"/>
          <w:b/>
          <w:bCs/>
          <w:color w:val="auto"/>
          <w:szCs w:val="21"/>
          <w:highlight w:val="none"/>
        </w:rPr>
        <w:t xml:space="preserve"> 年 </w:t>
      </w:r>
      <w:r>
        <w:rPr>
          <w:rFonts w:hint="eastAsia" w:ascii="宋体" w:hAnsi="宋体" w:eastAsia="宋体" w:cs="宋体"/>
          <w:b/>
          <w:bCs/>
          <w:color w:val="auto"/>
          <w:szCs w:val="21"/>
          <w:highlight w:val="none"/>
          <w:lang w:val="en-US" w:eastAsia="zh-CN"/>
        </w:rPr>
        <w:t>5</w:t>
      </w:r>
      <w:r>
        <w:rPr>
          <w:rFonts w:hint="eastAsia" w:ascii="宋体" w:hAnsi="宋体" w:eastAsia="宋体" w:cs="宋体"/>
          <w:b/>
          <w:bCs/>
          <w:color w:val="auto"/>
          <w:szCs w:val="21"/>
          <w:highlight w:val="none"/>
        </w:rPr>
        <w:t>月之后成立的投标人只需提供从成立之月起的缴纳社保的证明材料复印件）</w:t>
      </w:r>
    </w:p>
    <w:p w14:paraId="3AFCFBAB">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lang w:val="en-US" w:eastAsia="zh-CN"/>
        </w:rPr>
        <w:t>3）</w:t>
      </w:r>
      <w:r>
        <w:rPr>
          <w:rFonts w:hint="eastAsia" w:ascii="宋体" w:hAnsi="宋体" w:eastAsia="宋体" w:cs="宋体"/>
          <w:color w:val="auto"/>
          <w:szCs w:val="21"/>
          <w:highlight w:val="none"/>
        </w:rPr>
        <w:t>在机构使用 2016 年以前获得的资格证书时：“材料试验”等同于“道路工程”，“路基路面”等同于“道路工程”，“材料” 等同于“道路工程”，“公路”等同于“道路工程”， “材料、公路”等同于“道路工程”；“工程检测”等同于“桥梁隧道工程”，“桥梁隧道”等同于“桥梁隧道工程”，“桥梁”等同于“桥梁隧道工程”，“隧道”等同于“桥梁隧道工程”，“桥梁、隧道”等同于“桥梁隧道工程”；“交通安全设施”等同于“交通工程”，“机电工程”等同于“交通工程”，“机电工程、交通安全设施”等同于“交通工程”。</w:t>
      </w:r>
    </w:p>
    <w:p w14:paraId="6220B033">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sz w:val="21"/>
          <w:highlight w:val="none"/>
        </w:rPr>
      </w:pP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lang w:val="en-US" w:eastAsia="zh-CN"/>
        </w:rPr>
        <w:t>4）</w:t>
      </w:r>
      <w:r>
        <w:rPr>
          <w:rFonts w:hint="eastAsia" w:ascii="宋体" w:hAnsi="宋体" w:eastAsia="宋体" w:cs="宋体"/>
          <w:color w:val="auto"/>
          <w:szCs w:val="21"/>
          <w:highlight w:val="none"/>
        </w:rPr>
        <w:t>在合同实施过程中, 投标文件中投入项目实施人员不得随意更换，若需更换需征得采购人同意后才能更换，且更换人员资格条件不得降低。若采购人考核认为不能胜任本职工作的,有权要求更换符合招标文件相关资格条件的人员。</w:t>
      </w:r>
    </w:p>
    <w:p w14:paraId="561D5D74">
      <w:pPr>
        <w:rPr>
          <w:rFonts w:hint="default" w:ascii="宋体" w:hAnsi="宋体" w:eastAsia="宋体" w:cs="宋体"/>
          <w:b/>
          <w:bCs/>
          <w:color w:val="auto"/>
          <w:szCs w:val="21"/>
          <w:highlight w:val="none"/>
          <w:lang w:val="en-US" w:eastAsia="zh-CN"/>
        </w:rPr>
      </w:pPr>
      <w:r>
        <w:rPr>
          <w:rFonts w:hint="eastAsia" w:ascii="宋体" w:hAnsi="宋体" w:eastAsia="宋体" w:cs="宋体"/>
          <w:b/>
          <w:bCs/>
          <w:color w:val="auto"/>
          <w:szCs w:val="21"/>
          <w:highlight w:val="none"/>
        </w:rPr>
        <w:br w:type="page"/>
      </w:r>
      <w:r>
        <w:rPr>
          <w:rFonts w:hint="eastAsia" w:ascii="宋体" w:hAnsi="宋体" w:eastAsia="宋体" w:cs="宋体"/>
          <w:b/>
          <w:bCs/>
          <w:color w:val="auto"/>
          <w:szCs w:val="21"/>
          <w:highlight w:val="none"/>
          <w:lang w:eastAsia="zh-CN"/>
        </w:rPr>
        <w:t>附件</w:t>
      </w:r>
      <w:r>
        <w:rPr>
          <w:rFonts w:hint="eastAsia" w:ascii="宋体" w:hAnsi="宋体" w:eastAsia="宋体" w:cs="宋体"/>
          <w:b/>
          <w:bCs/>
          <w:color w:val="auto"/>
          <w:szCs w:val="21"/>
          <w:highlight w:val="none"/>
          <w:lang w:val="en-US" w:eastAsia="zh-CN"/>
        </w:rPr>
        <w:t>3：</w:t>
      </w:r>
      <w:r>
        <w:rPr>
          <w:rFonts w:hint="eastAsia" w:ascii="宋体" w:hAnsi="宋体" w:eastAsia="宋体" w:cs="宋体"/>
          <w:b/>
          <w:color w:val="auto"/>
          <w:sz w:val="28"/>
          <w:highlight w:val="none"/>
        </w:rPr>
        <w:t>▲</w:t>
      </w:r>
      <w:r>
        <w:rPr>
          <w:rFonts w:hint="eastAsia" w:ascii="宋体" w:hAnsi="宋体" w:eastAsia="宋体" w:cs="宋体"/>
          <w:b/>
          <w:bCs/>
          <w:color w:val="auto"/>
          <w:szCs w:val="21"/>
          <w:highlight w:val="none"/>
          <w:lang w:val="en-US" w:eastAsia="zh-CN"/>
        </w:rPr>
        <w:t>《水运工程质量监督检测服务一览表》</w:t>
      </w:r>
    </w:p>
    <w:tbl>
      <w:tblPr>
        <w:tblStyle w:val="45"/>
        <w:tblW w:w="8260" w:type="dxa"/>
        <w:tblInd w:w="9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839"/>
        <w:gridCol w:w="990"/>
        <w:gridCol w:w="1312"/>
        <w:gridCol w:w="3108"/>
        <w:gridCol w:w="1011"/>
        <w:gridCol w:w="1000"/>
      </w:tblGrid>
      <w:tr w14:paraId="696922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80" w:hRule="atLeast"/>
        </w:trPr>
        <w:tc>
          <w:tcPr>
            <w:tcW w:w="8260" w:type="dxa"/>
            <w:gridSpan w:val="6"/>
            <w:tcBorders>
              <w:top w:val="nil"/>
              <w:left w:val="nil"/>
              <w:bottom w:val="single" w:color="auto" w:sz="4" w:space="0"/>
              <w:right w:val="nil"/>
            </w:tcBorders>
            <w:noWrap/>
            <w:vAlign w:val="center"/>
          </w:tcPr>
          <w:p w14:paraId="3273549B">
            <w:pPr>
              <w:keepNext w:val="0"/>
              <w:keepLines w:val="0"/>
              <w:widowControl/>
              <w:suppressLineNumbers w:val="0"/>
              <w:jc w:val="center"/>
              <w:textAlignment w:val="center"/>
              <w:rPr>
                <w:rFonts w:hint="eastAsia" w:ascii="宋体" w:hAnsi="宋体" w:eastAsia="宋体" w:cs="宋体"/>
                <w:i w:val="0"/>
                <w:iCs w:val="0"/>
                <w:color w:val="auto"/>
                <w:sz w:val="32"/>
                <w:szCs w:val="32"/>
                <w:highlight w:val="none"/>
                <w:u w:val="none"/>
              </w:rPr>
            </w:pPr>
            <w:r>
              <w:rPr>
                <w:rStyle w:val="127"/>
                <w:rFonts w:hint="eastAsia" w:ascii="宋体" w:hAnsi="宋体" w:eastAsia="宋体" w:cs="宋体"/>
                <w:i w:val="0"/>
                <w:iCs w:val="0"/>
                <w:color w:val="auto"/>
                <w:sz w:val="28"/>
                <w:szCs w:val="28"/>
                <w:highlight w:val="none"/>
                <w:lang w:val="en-US" w:eastAsia="zh-CN" w:bidi="ar"/>
              </w:rPr>
              <w:t>2026年水运工程质量监督检测服务清单（SYJD1标段）</w:t>
            </w:r>
          </w:p>
        </w:tc>
      </w:tr>
      <w:tr w14:paraId="01A8A0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0" w:hRule="atLeast"/>
        </w:trPr>
        <w:tc>
          <w:tcPr>
            <w:tcW w:w="839" w:type="dxa"/>
            <w:tcBorders>
              <w:top w:val="single" w:color="auto" w:sz="4" w:space="0"/>
              <w:left w:val="single" w:color="auto" w:sz="4" w:space="0"/>
              <w:bottom w:val="single" w:color="auto" w:sz="4" w:space="0"/>
              <w:right w:val="single" w:color="auto" w:sz="4" w:space="0"/>
            </w:tcBorders>
            <w:noWrap w:val="0"/>
            <w:vAlign w:val="center"/>
          </w:tcPr>
          <w:p w14:paraId="5C297FC4">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序号</w:t>
            </w:r>
          </w:p>
        </w:tc>
        <w:tc>
          <w:tcPr>
            <w:tcW w:w="990" w:type="dxa"/>
            <w:tcBorders>
              <w:top w:val="single" w:color="auto" w:sz="4" w:space="0"/>
              <w:left w:val="single" w:color="auto" w:sz="4" w:space="0"/>
              <w:bottom w:val="single" w:color="auto" w:sz="4" w:space="0"/>
              <w:right w:val="single" w:color="auto" w:sz="4" w:space="0"/>
            </w:tcBorders>
            <w:noWrap w:val="0"/>
            <w:vAlign w:val="center"/>
          </w:tcPr>
          <w:p w14:paraId="33E55E44">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检测项目</w:t>
            </w:r>
          </w:p>
        </w:tc>
        <w:tc>
          <w:tcPr>
            <w:tcW w:w="4420" w:type="dxa"/>
            <w:gridSpan w:val="2"/>
            <w:tcBorders>
              <w:top w:val="single" w:color="auto" w:sz="4" w:space="0"/>
              <w:left w:val="single" w:color="auto" w:sz="4" w:space="0"/>
              <w:bottom w:val="single" w:color="auto" w:sz="4" w:space="0"/>
              <w:right w:val="single" w:color="auto" w:sz="4" w:space="0"/>
            </w:tcBorders>
            <w:noWrap w:val="0"/>
            <w:vAlign w:val="center"/>
          </w:tcPr>
          <w:p w14:paraId="53214081">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检测参数</w:t>
            </w:r>
          </w:p>
        </w:tc>
        <w:tc>
          <w:tcPr>
            <w:tcW w:w="1011" w:type="dxa"/>
            <w:tcBorders>
              <w:top w:val="single" w:color="auto" w:sz="4" w:space="0"/>
              <w:left w:val="single" w:color="auto" w:sz="4" w:space="0"/>
              <w:bottom w:val="single" w:color="auto" w:sz="4" w:space="0"/>
              <w:right w:val="single" w:color="auto" w:sz="4" w:space="0"/>
            </w:tcBorders>
            <w:noWrap w:val="0"/>
            <w:vAlign w:val="center"/>
          </w:tcPr>
          <w:p w14:paraId="6E768ECD">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单位</w:t>
            </w:r>
          </w:p>
        </w:tc>
        <w:tc>
          <w:tcPr>
            <w:tcW w:w="1000" w:type="dxa"/>
            <w:tcBorders>
              <w:top w:val="single" w:color="auto" w:sz="4" w:space="0"/>
              <w:left w:val="single" w:color="auto" w:sz="4" w:space="0"/>
              <w:bottom w:val="single" w:color="auto" w:sz="4" w:space="0"/>
              <w:right w:val="single" w:color="auto" w:sz="4" w:space="0"/>
            </w:tcBorders>
            <w:noWrap w:val="0"/>
            <w:vAlign w:val="center"/>
          </w:tcPr>
          <w:p w14:paraId="178959AD">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数量</w:t>
            </w:r>
          </w:p>
        </w:tc>
      </w:tr>
      <w:tr w14:paraId="0F04274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0" w:hRule="atLeast"/>
        </w:trPr>
        <w:tc>
          <w:tcPr>
            <w:tcW w:w="839" w:type="dxa"/>
            <w:tcBorders>
              <w:top w:val="single" w:color="auto" w:sz="4" w:space="0"/>
              <w:left w:val="single" w:color="auto" w:sz="4" w:space="0"/>
              <w:bottom w:val="single" w:color="auto" w:sz="4" w:space="0"/>
              <w:right w:val="single" w:color="auto" w:sz="4" w:space="0"/>
            </w:tcBorders>
            <w:noWrap w:val="0"/>
            <w:vAlign w:val="center"/>
          </w:tcPr>
          <w:p w14:paraId="34941B49">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1</w:t>
            </w:r>
          </w:p>
        </w:tc>
        <w:tc>
          <w:tcPr>
            <w:tcW w:w="990" w:type="dxa"/>
            <w:vMerge w:val="restart"/>
            <w:tcBorders>
              <w:top w:val="single" w:color="auto" w:sz="4" w:space="0"/>
              <w:left w:val="single" w:color="auto" w:sz="4" w:space="0"/>
              <w:bottom w:val="single" w:color="auto" w:sz="4" w:space="0"/>
              <w:right w:val="single" w:color="auto" w:sz="4" w:space="0"/>
            </w:tcBorders>
            <w:noWrap w:val="0"/>
            <w:vAlign w:val="center"/>
          </w:tcPr>
          <w:p w14:paraId="22F49A73">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原材料抽检</w:t>
            </w:r>
          </w:p>
        </w:tc>
        <w:tc>
          <w:tcPr>
            <w:tcW w:w="1312" w:type="dxa"/>
            <w:tcBorders>
              <w:top w:val="single" w:color="auto" w:sz="4" w:space="0"/>
              <w:left w:val="single" w:color="auto" w:sz="4" w:space="0"/>
              <w:bottom w:val="single" w:color="auto" w:sz="4" w:space="0"/>
              <w:right w:val="single" w:color="auto" w:sz="4" w:space="0"/>
            </w:tcBorders>
            <w:noWrap w:val="0"/>
            <w:vAlign w:val="center"/>
          </w:tcPr>
          <w:p w14:paraId="2F103025">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水泥</w:t>
            </w:r>
          </w:p>
        </w:tc>
        <w:tc>
          <w:tcPr>
            <w:tcW w:w="3108" w:type="dxa"/>
            <w:tcBorders>
              <w:top w:val="single" w:color="auto" w:sz="4" w:space="0"/>
              <w:left w:val="single" w:color="auto" w:sz="4" w:space="0"/>
              <w:bottom w:val="single" w:color="auto" w:sz="4" w:space="0"/>
              <w:right w:val="single" w:color="auto" w:sz="4" w:space="0"/>
            </w:tcBorders>
            <w:noWrap w:val="0"/>
            <w:vAlign w:val="center"/>
          </w:tcPr>
          <w:p w14:paraId="0E804C59">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标准稠度用水量、安定性、凝结 时间、胶砂强度</w:t>
            </w:r>
          </w:p>
        </w:tc>
        <w:tc>
          <w:tcPr>
            <w:tcW w:w="1011" w:type="dxa"/>
            <w:tcBorders>
              <w:top w:val="single" w:color="auto" w:sz="4" w:space="0"/>
              <w:left w:val="single" w:color="auto" w:sz="4" w:space="0"/>
              <w:bottom w:val="single" w:color="auto" w:sz="4" w:space="0"/>
              <w:right w:val="single" w:color="auto" w:sz="4" w:space="0"/>
            </w:tcBorders>
            <w:noWrap w:val="0"/>
            <w:vAlign w:val="center"/>
          </w:tcPr>
          <w:p w14:paraId="6DC9E379">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组</w:t>
            </w:r>
          </w:p>
        </w:tc>
        <w:tc>
          <w:tcPr>
            <w:tcW w:w="1000" w:type="dxa"/>
            <w:tcBorders>
              <w:top w:val="single" w:color="auto" w:sz="4" w:space="0"/>
              <w:left w:val="single" w:color="auto" w:sz="4" w:space="0"/>
              <w:bottom w:val="single" w:color="auto" w:sz="4" w:space="0"/>
              <w:right w:val="single" w:color="auto" w:sz="4" w:space="0"/>
            </w:tcBorders>
            <w:noWrap w:val="0"/>
            <w:vAlign w:val="center"/>
          </w:tcPr>
          <w:p w14:paraId="416EDCAA">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40</w:t>
            </w:r>
          </w:p>
        </w:tc>
      </w:tr>
      <w:tr w14:paraId="62044E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0" w:hRule="atLeast"/>
        </w:trPr>
        <w:tc>
          <w:tcPr>
            <w:tcW w:w="839" w:type="dxa"/>
            <w:tcBorders>
              <w:top w:val="single" w:color="auto" w:sz="4" w:space="0"/>
              <w:left w:val="single" w:color="auto" w:sz="4" w:space="0"/>
              <w:bottom w:val="single" w:color="auto" w:sz="4" w:space="0"/>
              <w:right w:val="single" w:color="auto" w:sz="4" w:space="0"/>
            </w:tcBorders>
            <w:noWrap w:val="0"/>
            <w:vAlign w:val="center"/>
          </w:tcPr>
          <w:p w14:paraId="15315858">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2</w:t>
            </w:r>
          </w:p>
        </w:tc>
        <w:tc>
          <w:tcPr>
            <w:tcW w:w="990" w:type="dxa"/>
            <w:vMerge w:val="continue"/>
            <w:tcBorders>
              <w:top w:val="single" w:color="auto" w:sz="4" w:space="0"/>
              <w:left w:val="single" w:color="auto" w:sz="4" w:space="0"/>
              <w:bottom w:val="single" w:color="auto" w:sz="4" w:space="0"/>
              <w:right w:val="single" w:color="auto" w:sz="4" w:space="0"/>
            </w:tcBorders>
            <w:noWrap w:val="0"/>
            <w:vAlign w:val="center"/>
          </w:tcPr>
          <w:p w14:paraId="04418BCF">
            <w:pPr>
              <w:jc w:val="center"/>
              <w:rPr>
                <w:rFonts w:hint="eastAsia" w:ascii="宋体" w:hAnsi="宋体" w:eastAsia="宋体" w:cs="宋体"/>
                <w:i w:val="0"/>
                <w:iCs w:val="0"/>
                <w:color w:val="auto"/>
                <w:sz w:val="18"/>
                <w:szCs w:val="18"/>
                <w:highlight w:val="none"/>
                <w:u w:val="none"/>
              </w:rPr>
            </w:pPr>
          </w:p>
        </w:tc>
        <w:tc>
          <w:tcPr>
            <w:tcW w:w="1312" w:type="dxa"/>
            <w:tcBorders>
              <w:top w:val="single" w:color="auto" w:sz="4" w:space="0"/>
              <w:left w:val="single" w:color="auto" w:sz="4" w:space="0"/>
              <w:bottom w:val="single" w:color="auto" w:sz="4" w:space="0"/>
              <w:right w:val="single" w:color="auto" w:sz="4" w:space="0"/>
            </w:tcBorders>
            <w:noWrap w:val="0"/>
            <w:vAlign w:val="center"/>
          </w:tcPr>
          <w:p w14:paraId="4AC8E532">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钢筋</w:t>
            </w:r>
          </w:p>
        </w:tc>
        <w:tc>
          <w:tcPr>
            <w:tcW w:w="3108" w:type="dxa"/>
            <w:tcBorders>
              <w:top w:val="single" w:color="auto" w:sz="4" w:space="0"/>
              <w:left w:val="single" w:color="auto" w:sz="4" w:space="0"/>
              <w:bottom w:val="single" w:color="auto" w:sz="4" w:space="0"/>
              <w:right w:val="single" w:color="auto" w:sz="4" w:space="0"/>
            </w:tcBorders>
            <w:noWrap w:val="0"/>
            <w:vAlign w:val="center"/>
          </w:tcPr>
          <w:p w14:paraId="712BBE84">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重量偏差、屈服强度、抗拉强度、 断后伸长率、弯曲性能、反向弯 曲(热轧带肋抗震钢筋检)</w:t>
            </w:r>
          </w:p>
        </w:tc>
        <w:tc>
          <w:tcPr>
            <w:tcW w:w="1011" w:type="dxa"/>
            <w:tcBorders>
              <w:top w:val="single" w:color="auto" w:sz="4" w:space="0"/>
              <w:left w:val="single" w:color="auto" w:sz="4" w:space="0"/>
              <w:bottom w:val="single" w:color="auto" w:sz="4" w:space="0"/>
              <w:right w:val="single" w:color="auto" w:sz="4" w:space="0"/>
            </w:tcBorders>
            <w:noWrap w:val="0"/>
            <w:vAlign w:val="center"/>
          </w:tcPr>
          <w:p w14:paraId="326A9B3C">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组</w:t>
            </w:r>
          </w:p>
        </w:tc>
        <w:tc>
          <w:tcPr>
            <w:tcW w:w="1000" w:type="dxa"/>
            <w:tcBorders>
              <w:top w:val="single" w:color="auto" w:sz="4" w:space="0"/>
              <w:left w:val="single" w:color="auto" w:sz="4" w:space="0"/>
              <w:bottom w:val="single" w:color="auto" w:sz="4" w:space="0"/>
              <w:right w:val="single" w:color="auto" w:sz="4" w:space="0"/>
            </w:tcBorders>
            <w:noWrap w:val="0"/>
            <w:vAlign w:val="center"/>
          </w:tcPr>
          <w:p w14:paraId="35333789">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80</w:t>
            </w:r>
          </w:p>
        </w:tc>
      </w:tr>
      <w:tr w14:paraId="7CACE3F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0" w:hRule="atLeast"/>
        </w:trPr>
        <w:tc>
          <w:tcPr>
            <w:tcW w:w="839" w:type="dxa"/>
            <w:tcBorders>
              <w:top w:val="single" w:color="auto" w:sz="4" w:space="0"/>
              <w:left w:val="single" w:color="auto" w:sz="4" w:space="0"/>
              <w:bottom w:val="single" w:color="auto" w:sz="4" w:space="0"/>
              <w:right w:val="single" w:color="auto" w:sz="4" w:space="0"/>
            </w:tcBorders>
            <w:noWrap w:val="0"/>
            <w:vAlign w:val="center"/>
          </w:tcPr>
          <w:p w14:paraId="51E07C79">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3</w:t>
            </w:r>
          </w:p>
        </w:tc>
        <w:tc>
          <w:tcPr>
            <w:tcW w:w="990" w:type="dxa"/>
            <w:vMerge w:val="continue"/>
            <w:tcBorders>
              <w:top w:val="single" w:color="auto" w:sz="4" w:space="0"/>
              <w:left w:val="single" w:color="auto" w:sz="4" w:space="0"/>
              <w:bottom w:val="single" w:color="auto" w:sz="4" w:space="0"/>
              <w:right w:val="single" w:color="auto" w:sz="4" w:space="0"/>
            </w:tcBorders>
            <w:noWrap w:val="0"/>
            <w:vAlign w:val="center"/>
          </w:tcPr>
          <w:p w14:paraId="42C330ED">
            <w:pPr>
              <w:jc w:val="center"/>
              <w:rPr>
                <w:rFonts w:hint="eastAsia" w:ascii="宋体" w:hAnsi="宋体" w:eastAsia="宋体" w:cs="宋体"/>
                <w:i w:val="0"/>
                <w:iCs w:val="0"/>
                <w:color w:val="auto"/>
                <w:sz w:val="18"/>
                <w:szCs w:val="18"/>
                <w:highlight w:val="none"/>
                <w:u w:val="none"/>
              </w:rPr>
            </w:pPr>
          </w:p>
        </w:tc>
        <w:tc>
          <w:tcPr>
            <w:tcW w:w="1312" w:type="dxa"/>
            <w:tcBorders>
              <w:top w:val="single" w:color="auto" w:sz="4" w:space="0"/>
              <w:left w:val="single" w:color="auto" w:sz="4" w:space="0"/>
              <w:bottom w:val="single" w:color="auto" w:sz="4" w:space="0"/>
              <w:right w:val="single" w:color="auto" w:sz="4" w:space="0"/>
            </w:tcBorders>
            <w:noWrap w:val="0"/>
            <w:vAlign w:val="center"/>
          </w:tcPr>
          <w:p w14:paraId="5AFEB9DB">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钢筋焊接接头</w:t>
            </w:r>
          </w:p>
        </w:tc>
        <w:tc>
          <w:tcPr>
            <w:tcW w:w="3108" w:type="dxa"/>
            <w:tcBorders>
              <w:top w:val="single" w:color="auto" w:sz="4" w:space="0"/>
              <w:left w:val="single" w:color="auto" w:sz="4" w:space="0"/>
              <w:bottom w:val="single" w:color="auto" w:sz="4" w:space="0"/>
              <w:right w:val="single" w:color="auto" w:sz="4" w:space="0"/>
            </w:tcBorders>
            <w:noWrap w:val="0"/>
            <w:vAlign w:val="center"/>
          </w:tcPr>
          <w:p w14:paraId="0CEA0068">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抗拉强度、弯曲试验</w:t>
            </w:r>
          </w:p>
        </w:tc>
        <w:tc>
          <w:tcPr>
            <w:tcW w:w="1011" w:type="dxa"/>
            <w:tcBorders>
              <w:top w:val="single" w:color="auto" w:sz="4" w:space="0"/>
              <w:left w:val="single" w:color="auto" w:sz="4" w:space="0"/>
              <w:bottom w:val="single" w:color="auto" w:sz="4" w:space="0"/>
              <w:right w:val="single" w:color="auto" w:sz="4" w:space="0"/>
            </w:tcBorders>
            <w:noWrap w:val="0"/>
            <w:vAlign w:val="center"/>
          </w:tcPr>
          <w:p w14:paraId="4D979394">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组</w:t>
            </w:r>
          </w:p>
        </w:tc>
        <w:tc>
          <w:tcPr>
            <w:tcW w:w="1000" w:type="dxa"/>
            <w:tcBorders>
              <w:top w:val="single" w:color="auto" w:sz="4" w:space="0"/>
              <w:left w:val="single" w:color="auto" w:sz="4" w:space="0"/>
              <w:bottom w:val="single" w:color="auto" w:sz="4" w:space="0"/>
              <w:right w:val="single" w:color="auto" w:sz="4" w:space="0"/>
            </w:tcBorders>
            <w:noWrap w:val="0"/>
            <w:vAlign w:val="center"/>
          </w:tcPr>
          <w:p w14:paraId="01BE5714">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4</w:t>
            </w:r>
          </w:p>
        </w:tc>
      </w:tr>
      <w:tr w14:paraId="6CE8B1C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0" w:hRule="atLeast"/>
        </w:trPr>
        <w:tc>
          <w:tcPr>
            <w:tcW w:w="839" w:type="dxa"/>
            <w:tcBorders>
              <w:top w:val="single" w:color="auto" w:sz="4" w:space="0"/>
              <w:left w:val="single" w:color="auto" w:sz="4" w:space="0"/>
              <w:bottom w:val="single" w:color="auto" w:sz="4" w:space="0"/>
              <w:right w:val="single" w:color="auto" w:sz="4" w:space="0"/>
            </w:tcBorders>
            <w:noWrap w:val="0"/>
            <w:vAlign w:val="center"/>
          </w:tcPr>
          <w:p w14:paraId="7AE276ED">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4</w:t>
            </w:r>
          </w:p>
        </w:tc>
        <w:tc>
          <w:tcPr>
            <w:tcW w:w="990" w:type="dxa"/>
            <w:vMerge w:val="continue"/>
            <w:tcBorders>
              <w:top w:val="single" w:color="auto" w:sz="4" w:space="0"/>
              <w:left w:val="single" w:color="auto" w:sz="4" w:space="0"/>
              <w:bottom w:val="single" w:color="auto" w:sz="4" w:space="0"/>
              <w:right w:val="single" w:color="auto" w:sz="4" w:space="0"/>
            </w:tcBorders>
            <w:noWrap w:val="0"/>
            <w:vAlign w:val="center"/>
          </w:tcPr>
          <w:p w14:paraId="04559EBF">
            <w:pPr>
              <w:jc w:val="center"/>
              <w:rPr>
                <w:rFonts w:hint="eastAsia" w:ascii="宋体" w:hAnsi="宋体" w:eastAsia="宋体" w:cs="宋体"/>
                <w:i w:val="0"/>
                <w:iCs w:val="0"/>
                <w:color w:val="auto"/>
                <w:sz w:val="18"/>
                <w:szCs w:val="18"/>
                <w:highlight w:val="none"/>
                <w:u w:val="none"/>
              </w:rPr>
            </w:pPr>
          </w:p>
        </w:tc>
        <w:tc>
          <w:tcPr>
            <w:tcW w:w="1312" w:type="dxa"/>
            <w:tcBorders>
              <w:top w:val="single" w:color="auto" w:sz="4" w:space="0"/>
              <w:left w:val="single" w:color="auto" w:sz="4" w:space="0"/>
              <w:bottom w:val="single" w:color="auto" w:sz="4" w:space="0"/>
              <w:right w:val="single" w:color="auto" w:sz="4" w:space="0"/>
            </w:tcBorders>
            <w:noWrap w:val="0"/>
            <w:vAlign w:val="center"/>
          </w:tcPr>
          <w:p w14:paraId="142E2EEA">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钢筋机械连接接 头</w:t>
            </w:r>
          </w:p>
        </w:tc>
        <w:tc>
          <w:tcPr>
            <w:tcW w:w="3108" w:type="dxa"/>
            <w:tcBorders>
              <w:top w:val="single" w:color="auto" w:sz="4" w:space="0"/>
              <w:left w:val="single" w:color="auto" w:sz="4" w:space="0"/>
              <w:bottom w:val="single" w:color="auto" w:sz="4" w:space="0"/>
              <w:right w:val="single" w:color="auto" w:sz="4" w:space="0"/>
            </w:tcBorders>
            <w:noWrap w:val="0"/>
            <w:vAlign w:val="center"/>
          </w:tcPr>
          <w:p w14:paraId="39E1844C">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原材抗拉强度、单向接头抗拉强 度</w:t>
            </w:r>
          </w:p>
        </w:tc>
        <w:tc>
          <w:tcPr>
            <w:tcW w:w="1011" w:type="dxa"/>
            <w:tcBorders>
              <w:top w:val="single" w:color="auto" w:sz="4" w:space="0"/>
              <w:left w:val="single" w:color="auto" w:sz="4" w:space="0"/>
              <w:bottom w:val="single" w:color="auto" w:sz="4" w:space="0"/>
              <w:right w:val="single" w:color="auto" w:sz="4" w:space="0"/>
            </w:tcBorders>
            <w:noWrap w:val="0"/>
            <w:vAlign w:val="center"/>
          </w:tcPr>
          <w:p w14:paraId="4979DEB6">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组</w:t>
            </w:r>
          </w:p>
        </w:tc>
        <w:tc>
          <w:tcPr>
            <w:tcW w:w="1000" w:type="dxa"/>
            <w:tcBorders>
              <w:top w:val="single" w:color="auto" w:sz="4" w:space="0"/>
              <w:left w:val="single" w:color="auto" w:sz="4" w:space="0"/>
              <w:bottom w:val="single" w:color="auto" w:sz="4" w:space="0"/>
              <w:right w:val="single" w:color="auto" w:sz="4" w:space="0"/>
            </w:tcBorders>
            <w:noWrap w:val="0"/>
            <w:vAlign w:val="center"/>
          </w:tcPr>
          <w:p w14:paraId="6F751BD0">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90</w:t>
            </w:r>
          </w:p>
        </w:tc>
      </w:tr>
      <w:tr w14:paraId="7DA25D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0" w:hRule="atLeast"/>
        </w:trPr>
        <w:tc>
          <w:tcPr>
            <w:tcW w:w="839" w:type="dxa"/>
            <w:tcBorders>
              <w:top w:val="single" w:color="auto" w:sz="4" w:space="0"/>
              <w:left w:val="single" w:color="auto" w:sz="4" w:space="0"/>
              <w:bottom w:val="single" w:color="auto" w:sz="4" w:space="0"/>
              <w:right w:val="single" w:color="auto" w:sz="4" w:space="0"/>
            </w:tcBorders>
            <w:noWrap w:val="0"/>
            <w:vAlign w:val="center"/>
          </w:tcPr>
          <w:p w14:paraId="3AF54457">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5</w:t>
            </w:r>
          </w:p>
        </w:tc>
        <w:tc>
          <w:tcPr>
            <w:tcW w:w="990" w:type="dxa"/>
            <w:vMerge w:val="continue"/>
            <w:tcBorders>
              <w:top w:val="single" w:color="auto" w:sz="4" w:space="0"/>
              <w:left w:val="single" w:color="auto" w:sz="4" w:space="0"/>
              <w:bottom w:val="single" w:color="auto" w:sz="4" w:space="0"/>
              <w:right w:val="single" w:color="auto" w:sz="4" w:space="0"/>
            </w:tcBorders>
            <w:noWrap w:val="0"/>
            <w:vAlign w:val="center"/>
          </w:tcPr>
          <w:p w14:paraId="67C2A118">
            <w:pPr>
              <w:jc w:val="center"/>
              <w:rPr>
                <w:rFonts w:hint="eastAsia" w:ascii="宋体" w:hAnsi="宋体" w:eastAsia="宋体" w:cs="宋体"/>
                <w:i w:val="0"/>
                <w:iCs w:val="0"/>
                <w:color w:val="auto"/>
                <w:sz w:val="18"/>
                <w:szCs w:val="18"/>
                <w:highlight w:val="none"/>
                <w:u w:val="none"/>
              </w:rPr>
            </w:pPr>
          </w:p>
        </w:tc>
        <w:tc>
          <w:tcPr>
            <w:tcW w:w="1312" w:type="dxa"/>
            <w:tcBorders>
              <w:top w:val="single" w:color="auto" w:sz="4" w:space="0"/>
              <w:left w:val="single" w:color="auto" w:sz="4" w:space="0"/>
              <w:bottom w:val="single" w:color="auto" w:sz="4" w:space="0"/>
              <w:right w:val="single" w:color="auto" w:sz="4" w:space="0"/>
            </w:tcBorders>
            <w:noWrap w:val="0"/>
            <w:vAlign w:val="center"/>
          </w:tcPr>
          <w:p w14:paraId="47FA254E">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砂（机制砂）</w:t>
            </w:r>
          </w:p>
        </w:tc>
        <w:tc>
          <w:tcPr>
            <w:tcW w:w="3108" w:type="dxa"/>
            <w:tcBorders>
              <w:top w:val="single" w:color="auto" w:sz="4" w:space="0"/>
              <w:left w:val="single" w:color="auto" w:sz="4" w:space="0"/>
              <w:bottom w:val="single" w:color="auto" w:sz="4" w:space="0"/>
              <w:right w:val="single" w:color="auto" w:sz="4" w:space="0"/>
            </w:tcBorders>
            <w:noWrap w:val="0"/>
            <w:vAlign w:val="center"/>
          </w:tcPr>
          <w:p w14:paraId="3B396A60">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筛析、堆积密度、含泥量、泥块 含量、氯离子含量、亚甲蓝试验 （机制砂检）、石粉含量（机制 砂检）</w:t>
            </w:r>
          </w:p>
        </w:tc>
        <w:tc>
          <w:tcPr>
            <w:tcW w:w="1011" w:type="dxa"/>
            <w:tcBorders>
              <w:top w:val="single" w:color="auto" w:sz="4" w:space="0"/>
              <w:left w:val="single" w:color="auto" w:sz="4" w:space="0"/>
              <w:bottom w:val="single" w:color="auto" w:sz="4" w:space="0"/>
              <w:right w:val="single" w:color="auto" w:sz="4" w:space="0"/>
            </w:tcBorders>
            <w:noWrap w:val="0"/>
            <w:vAlign w:val="center"/>
          </w:tcPr>
          <w:p w14:paraId="4ABEFA99">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组</w:t>
            </w:r>
          </w:p>
        </w:tc>
        <w:tc>
          <w:tcPr>
            <w:tcW w:w="1000" w:type="dxa"/>
            <w:tcBorders>
              <w:top w:val="single" w:color="auto" w:sz="4" w:space="0"/>
              <w:left w:val="single" w:color="auto" w:sz="4" w:space="0"/>
              <w:bottom w:val="single" w:color="auto" w:sz="4" w:space="0"/>
              <w:right w:val="single" w:color="auto" w:sz="4" w:space="0"/>
            </w:tcBorders>
            <w:noWrap w:val="0"/>
            <w:vAlign w:val="center"/>
          </w:tcPr>
          <w:p w14:paraId="44DA9980">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35</w:t>
            </w:r>
          </w:p>
        </w:tc>
      </w:tr>
      <w:tr w14:paraId="5FF3D6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0" w:hRule="atLeast"/>
        </w:trPr>
        <w:tc>
          <w:tcPr>
            <w:tcW w:w="839" w:type="dxa"/>
            <w:tcBorders>
              <w:top w:val="single" w:color="auto" w:sz="4" w:space="0"/>
              <w:left w:val="single" w:color="auto" w:sz="4" w:space="0"/>
              <w:bottom w:val="single" w:color="auto" w:sz="4" w:space="0"/>
              <w:right w:val="single" w:color="auto" w:sz="4" w:space="0"/>
            </w:tcBorders>
            <w:noWrap w:val="0"/>
            <w:vAlign w:val="center"/>
          </w:tcPr>
          <w:p w14:paraId="6355EE29">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6</w:t>
            </w:r>
          </w:p>
        </w:tc>
        <w:tc>
          <w:tcPr>
            <w:tcW w:w="990" w:type="dxa"/>
            <w:tcBorders>
              <w:top w:val="single" w:color="auto" w:sz="4" w:space="0"/>
              <w:left w:val="single" w:color="auto" w:sz="4" w:space="0"/>
              <w:bottom w:val="single" w:color="auto" w:sz="4" w:space="0"/>
              <w:right w:val="single" w:color="auto" w:sz="4" w:space="0"/>
            </w:tcBorders>
            <w:noWrap w:val="0"/>
            <w:vAlign w:val="center"/>
          </w:tcPr>
          <w:p w14:paraId="47FBDA1F">
            <w:pPr>
              <w:jc w:val="center"/>
              <w:rPr>
                <w:rFonts w:hint="eastAsia" w:ascii="宋体" w:hAnsi="宋体" w:eastAsia="宋体" w:cs="宋体"/>
                <w:i w:val="0"/>
                <w:iCs w:val="0"/>
                <w:color w:val="auto"/>
                <w:sz w:val="18"/>
                <w:szCs w:val="18"/>
                <w:highlight w:val="none"/>
                <w:u w:val="none"/>
              </w:rPr>
            </w:pPr>
          </w:p>
        </w:tc>
        <w:tc>
          <w:tcPr>
            <w:tcW w:w="1312" w:type="dxa"/>
            <w:tcBorders>
              <w:top w:val="single" w:color="auto" w:sz="4" w:space="0"/>
              <w:left w:val="single" w:color="auto" w:sz="4" w:space="0"/>
              <w:bottom w:val="single" w:color="auto" w:sz="4" w:space="0"/>
              <w:right w:val="single" w:color="auto" w:sz="4" w:space="0"/>
            </w:tcBorders>
            <w:noWrap w:val="0"/>
            <w:vAlign w:val="center"/>
          </w:tcPr>
          <w:p w14:paraId="780B2AF9">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高强度螺栓</w:t>
            </w:r>
          </w:p>
        </w:tc>
        <w:tc>
          <w:tcPr>
            <w:tcW w:w="3108" w:type="dxa"/>
            <w:tcBorders>
              <w:top w:val="single" w:color="auto" w:sz="4" w:space="0"/>
              <w:left w:val="single" w:color="auto" w:sz="4" w:space="0"/>
              <w:bottom w:val="single" w:color="auto" w:sz="4" w:space="0"/>
              <w:right w:val="single" w:color="auto" w:sz="4" w:space="0"/>
            </w:tcBorders>
            <w:noWrap w:val="0"/>
            <w:vAlign w:val="center"/>
          </w:tcPr>
          <w:p w14:paraId="72FE7062">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扭矩</w:t>
            </w:r>
          </w:p>
        </w:tc>
        <w:tc>
          <w:tcPr>
            <w:tcW w:w="1011" w:type="dxa"/>
            <w:tcBorders>
              <w:top w:val="single" w:color="auto" w:sz="4" w:space="0"/>
              <w:left w:val="single" w:color="auto" w:sz="4" w:space="0"/>
              <w:bottom w:val="single" w:color="auto" w:sz="4" w:space="0"/>
              <w:right w:val="single" w:color="auto" w:sz="4" w:space="0"/>
            </w:tcBorders>
            <w:noWrap w:val="0"/>
            <w:vAlign w:val="center"/>
          </w:tcPr>
          <w:p w14:paraId="2BF70D6F">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根（组）</w:t>
            </w:r>
          </w:p>
        </w:tc>
        <w:tc>
          <w:tcPr>
            <w:tcW w:w="1000" w:type="dxa"/>
            <w:tcBorders>
              <w:top w:val="single" w:color="auto" w:sz="4" w:space="0"/>
              <w:left w:val="single" w:color="auto" w:sz="4" w:space="0"/>
              <w:bottom w:val="single" w:color="auto" w:sz="4" w:space="0"/>
              <w:right w:val="single" w:color="auto" w:sz="4" w:space="0"/>
            </w:tcBorders>
            <w:noWrap w:val="0"/>
            <w:vAlign w:val="center"/>
          </w:tcPr>
          <w:p w14:paraId="743B1553">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10</w:t>
            </w:r>
          </w:p>
        </w:tc>
      </w:tr>
      <w:tr w14:paraId="30A714B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0" w:hRule="atLeast"/>
        </w:trPr>
        <w:tc>
          <w:tcPr>
            <w:tcW w:w="839" w:type="dxa"/>
            <w:tcBorders>
              <w:top w:val="single" w:color="auto" w:sz="4" w:space="0"/>
              <w:left w:val="single" w:color="auto" w:sz="4" w:space="0"/>
              <w:bottom w:val="single" w:color="auto" w:sz="4" w:space="0"/>
              <w:right w:val="single" w:color="auto" w:sz="4" w:space="0"/>
            </w:tcBorders>
            <w:noWrap w:val="0"/>
            <w:vAlign w:val="center"/>
          </w:tcPr>
          <w:p w14:paraId="0D9C216F">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7</w:t>
            </w:r>
          </w:p>
        </w:tc>
        <w:tc>
          <w:tcPr>
            <w:tcW w:w="990" w:type="dxa"/>
            <w:vMerge w:val="restart"/>
            <w:tcBorders>
              <w:top w:val="single" w:color="auto" w:sz="4" w:space="0"/>
              <w:left w:val="single" w:color="auto" w:sz="4" w:space="0"/>
              <w:bottom w:val="single" w:color="auto" w:sz="4" w:space="0"/>
              <w:right w:val="single" w:color="auto" w:sz="4" w:space="0"/>
            </w:tcBorders>
            <w:noWrap w:val="0"/>
            <w:vAlign w:val="center"/>
          </w:tcPr>
          <w:p w14:paraId="1E158824">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水运工程实 体检测</w:t>
            </w:r>
          </w:p>
        </w:tc>
        <w:tc>
          <w:tcPr>
            <w:tcW w:w="4420" w:type="dxa"/>
            <w:gridSpan w:val="2"/>
            <w:tcBorders>
              <w:top w:val="single" w:color="auto" w:sz="4" w:space="0"/>
              <w:left w:val="single" w:color="auto" w:sz="4" w:space="0"/>
              <w:bottom w:val="single" w:color="auto" w:sz="4" w:space="0"/>
              <w:right w:val="single" w:color="auto" w:sz="4" w:space="0"/>
            </w:tcBorders>
            <w:noWrap w:val="0"/>
            <w:vAlign w:val="center"/>
          </w:tcPr>
          <w:p w14:paraId="0C359B5D">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混凝土强度（超声-回弹综合法）</w:t>
            </w:r>
          </w:p>
        </w:tc>
        <w:tc>
          <w:tcPr>
            <w:tcW w:w="1011" w:type="dxa"/>
            <w:tcBorders>
              <w:top w:val="single" w:color="auto" w:sz="4" w:space="0"/>
              <w:left w:val="single" w:color="auto" w:sz="4" w:space="0"/>
              <w:bottom w:val="single" w:color="auto" w:sz="4" w:space="0"/>
              <w:right w:val="single" w:color="auto" w:sz="4" w:space="0"/>
            </w:tcBorders>
            <w:noWrap w:val="0"/>
            <w:vAlign w:val="center"/>
          </w:tcPr>
          <w:p w14:paraId="34389CC6">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测区</w:t>
            </w:r>
          </w:p>
        </w:tc>
        <w:tc>
          <w:tcPr>
            <w:tcW w:w="1000" w:type="dxa"/>
            <w:tcBorders>
              <w:top w:val="single" w:color="auto" w:sz="4" w:space="0"/>
              <w:left w:val="single" w:color="auto" w:sz="4" w:space="0"/>
              <w:bottom w:val="single" w:color="auto" w:sz="4" w:space="0"/>
              <w:right w:val="single" w:color="auto" w:sz="4" w:space="0"/>
            </w:tcBorders>
            <w:noWrap w:val="0"/>
            <w:vAlign w:val="center"/>
          </w:tcPr>
          <w:p w14:paraId="11D6F2B9">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2800</w:t>
            </w:r>
          </w:p>
        </w:tc>
      </w:tr>
      <w:tr w14:paraId="6511D7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0" w:hRule="atLeast"/>
        </w:trPr>
        <w:tc>
          <w:tcPr>
            <w:tcW w:w="839" w:type="dxa"/>
            <w:tcBorders>
              <w:top w:val="single" w:color="auto" w:sz="4" w:space="0"/>
              <w:left w:val="single" w:color="auto" w:sz="4" w:space="0"/>
              <w:bottom w:val="single" w:color="auto" w:sz="4" w:space="0"/>
              <w:right w:val="single" w:color="auto" w:sz="4" w:space="0"/>
            </w:tcBorders>
            <w:noWrap w:val="0"/>
            <w:vAlign w:val="center"/>
          </w:tcPr>
          <w:p w14:paraId="28A96099">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8</w:t>
            </w:r>
          </w:p>
        </w:tc>
        <w:tc>
          <w:tcPr>
            <w:tcW w:w="990" w:type="dxa"/>
            <w:vMerge w:val="continue"/>
            <w:tcBorders>
              <w:top w:val="single" w:color="auto" w:sz="4" w:space="0"/>
              <w:left w:val="single" w:color="auto" w:sz="4" w:space="0"/>
              <w:bottom w:val="single" w:color="auto" w:sz="4" w:space="0"/>
              <w:right w:val="single" w:color="auto" w:sz="4" w:space="0"/>
            </w:tcBorders>
            <w:noWrap w:val="0"/>
            <w:vAlign w:val="center"/>
          </w:tcPr>
          <w:p w14:paraId="67914E4B">
            <w:pPr>
              <w:jc w:val="center"/>
              <w:rPr>
                <w:rFonts w:hint="eastAsia" w:ascii="宋体" w:hAnsi="宋体" w:eastAsia="宋体" w:cs="宋体"/>
                <w:i w:val="0"/>
                <w:iCs w:val="0"/>
                <w:color w:val="auto"/>
                <w:sz w:val="18"/>
                <w:szCs w:val="18"/>
                <w:highlight w:val="none"/>
                <w:u w:val="none"/>
              </w:rPr>
            </w:pPr>
          </w:p>
        </w:tc>
        <w:tc>
          <w:tcPr>
            <w:tcW w:w="4420" w:type="dxa"/>
            <w:gridSpan w:val="2"/>
            <w:tcBorders>
              <w:top w:val="single" w:color="auto" w:sz="4" w:space="0"/>
              <w:left w:val="single" w:color="auto" w:sz="4" w:space="0"/>
              <w:bottom w:val="single" w:color="auto" w:sz="4" w:space="0"/>
              <w:right w:val="single" w:color="auto" w:sz="4" w:space="0"/>
            </w:tcBorders>
            <w:noWrap w:val="0"/>
            <w:vAlign w:val="center"/>
          </w:tcPr>
          <w:p w14:paraId="7BA577EE">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钢筋保护层厚度</w:t>
            </w:r>
          </w:p>
        </w:tc>
        <w:tc>
          <w:tcPr>
            <w:tcW w:w="1011" w:type="dxa"/>
            <w:tcBorders>
              <w:top w:val="single" w:color="auto" w:sz="4" w:space="0"/>
              <w:left w:val="single" w:color="auto" w:sz="4" w:space="0"/>
              <w:bottom w:val="single" w:color="auto" w:sz="4" w:space="0"/>
              <w:right w:val="single" w:color="auto" w:sz="4" w:space="0"/>
            </w:tcBorders>
            <w:noWrap w:val="0"/>
            <w:vAlign w:val="center"/>
          </w:tcPr>
          <w:p w14:paraId="24CF41C9">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点</w:t>
            </w:r>
          </w:p>
        </w:tc>
        <w:tc>
          <w:tcPr>
            <w:tcW w:w="1000" w:type="dxa"/>
            <w:tcBorders>
              <w:top w:val="single" w:color="auto" w:sz="4" w:space="0"/>
              <w:left w:val="single" w:color="auto" w:sz="4" w:space="0"/>
              <w:bottom w:val="single" w:color="auto" w:sz="4" w:space="0"/>
              <w:right w:val="single" w:color="auto" w:sz="4" w:space="0"/>
            </w:tcBorders>
            <w:noWrap w:val="0"/>
            <w:vAlign w:val="center"/>
          </w:tcPr>
          <w:p w14:paraId="273D834D">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3200</w:t>
            </w:r>
          </w:p>
        </w:tc>
      </w:tr>
      <w:tr w14:paraId="66D584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0" w:hRule="atLeast"/>
        </w:trPr>
        <w:tc>
          <w:tcPr>
            <w:tcW w:w="839" w:type="dxa"/>
            <w:tcBorders>
              <w:top w:val="single" w:color="auto" w:sz="4" w:space="0"/>
              <w:left w:val="single" w:color="auto" w:sz="4" w:space="0"/>
              <w:bottom w:val="single" w:color="auto" w:sz="4" w:space="0"/>
              <w:right w:val="single" w:color="auto" w:sz="4" w:space="0"/>
            </w:tcBorders>
            <w:noWrap w:val="0"/>
            <w:vAlign w:val="center"/>
          </w:tcPr>
          <w:p w14:paraId="5DDECCFF">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9</w:t>
            </w:r>
          </w:p>
        </w:tc>
        <w:tc>
          <w:tcPr>
            <w:tcW w:w="990" w:type="dxa"/>
            <w:vMerge w:val="continue"/>
            <w:tcBorders>
              <w:top w:val="single" w:color="auto" w:sz="4" w:space="0"/>
              <w:left w:val="single" w:color="auto" w:sz="4" w:space="0"/>
              <w:bottom w:val="single" w:color="auto" w:sz="4" w:space="0"/>
              <w:right w:val="single" w:color="auto" w:sz="4" w:space="0"/>
            </w:tcBorders>
            <w:noWrap w:val="0"/>
            <w:vAlign w:val="center"/>
          </w:tcPr>
          <w:p w14:paraId="00415CCE">
            <w:pPr>
              <w:jc w:val="center"/>
              <w:rPr>
                <w:rFonts w:hint="eastAsia" w:ascii="宋体" w:hAnsi="宋体" w:eastAsia="宋体" w:cs="宋体"/>
                <w:i w:val="0"/>
                <w:iCs w:val="0"/>
                <w:color w:val="auto"/>
                <w:sz w:val="18"/>
                <w:szCs w:val="18"/>
                <w:highlight w:val="none"/>
                <w:u w:val="none"/>
              </w:rPr>
            </w:pPr>
          </w:p>
        </w:tc>
        <w:tc>
          <w:tcPr>
            <w:tcW w:w="4420" w:type="dxa"/>
            <w:gridSpan w:val="2"/>
            <w:tcBorders>
              <w:top w:val="single" w:color="auto" w:sz="4" w:space="0"/>
              <w:left w:val="single" w:color="auto" w:sz="4" w:space="0"/>
              <w:bottom w:val="single" w:color="auto" w:sz="4" w:space="0"/>
              <w:right w:val="single" w:color="auto" w:sz="4" w:space="0"/>
            </w:tcBorders>
            <w:noWrap w:val="0"/>
            <w:vAlign w:val="center"/>
          </w:tcPr>
          <w:p w14:paraId="3489B22C">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钢筋位置（钢筋间距）</w:t>
            </w:r>
          </w:p>
        </w:tc>
        <w:tc>
          <w:tcPr>
            <w:tcW w:w="1011" w:type="dxa"/>
            <w:tcBorders>
              <w:top w:val="single" w:color="auto" w:sz="4" w:space="0"/>
              <w:left w:val="single" w:color="auto" w:sz="4" w:space="0"/>
              <w:bottom w:val="single" w:color="auto" w:sz="4" w:space="0"/>
              <w:right w:val="single" w:color="auto" w:sz="4" w:space="0"/>
            </w:tcBorders>
            <w:noWrap w:val="0"/>
            <w:vAlign w:val="center"/>
          </w:tcPr>
          <w:p w14:paraId="0C60E249">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点</w:t>
            </w:r>
          </w:p>
        </w:tc>
        <w:tc>
          <w:tcPr>
            <w:tcW w:w="1000" w:type="dxa"/>
            <w:tcBorders>
              <w:top w:val="single" w:color="auto" w:sz="4" w:space="0"/>
              <w:left w:val="single" w:color="auto" w:sz="4" w:space="0"/>
              <w:bottom w:val="single" w:color="auto" w:sz="4" w:space="0"/>
              <w:right w:val="single" w:color="auto" w:sz="4" w:space="0"/>
            </w:tcBorders>
            <w:noWrap w:val="0"/>
            <w:vAlign w:val="center"/>
          </w:tcPr>
          <w:p w14:paraId="50CE1CA1">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2100</w:t>
            </w:r>
          </w:p>
        </w:tc>
      </w:tr>
      <w:tr w14:paraId="0DC4F4D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0" w:hRule="atLeast"/>
        </w:trPr>
        <w:tc>
          <w:tcPr>
            <w:tcW w:w="839" w:type="dxa"/>
            <w:tcBorders>
              <w:top w:val="single" w:color="auto" w:sz="4" w:space="0"/>
              <w:left w:val="single" w:color="auto" w:sz="4" w:space="0"/>
              <w:bottom w:val="single" w:color="auto" w:sz="4" w:space="0"/>
              <w:right w:val="single" w:color="auto" w:sz="4" w:space="0"/>
            </w:tcBorders>
            <w:noWrap w:val="0"/>
            <w:vAlign w:val="center"/>
          </w:tcPr>
          <w:p w14:paraId="7881C051">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10</w:t>
            </w:r>
          </w:p>
        </w:tc>
        <w:tc>
          <w:tcPr>
            <w:tcW w:w="990" w:type="dxa"/>
            <w:vMerge w:val="continue"/>
            <w:tcBorders>
              <w:top w:val="single" w:color="auto" w:sz="4" w:space="0"/>
              <w:left w:val="single" w:color="auto" w:sz="4" w:space="0"/>
              <w:bottom w:val="single" w:color="auto" w:sz="4" w:space="0"/>
              <w:right w:val="single" w:color="auto" w:sz="4" w:space="0"/>
            </w:tcBorders>
            <w:noWrap w:val="0"/>
            <w:vAlign w:val="center"/>
          </w:tcPr>
          <w:p w14:paraId="7E2649AF">
            <w:pPr>
              <w:jc w:val="center"/>
              <w:rPr>
                <w:rFonts w:hint="eastAsia" w:ascii="宋体" w:hAnsi="宋体" w:eastAsia="宋体" w:cs="宋体"/>
                <w:i w:val="0"/>
                <w:iCs w:val="0"/>
                <w:color w:val="auto"/>
                <w:sz w:val="18"/>
                <w:szCs w:val="18"/>
                <w:highlight w:val="none"/>
                <w:u w:val="none"/>
              </w:rPr>
            </w:pPr>
          </w:p>
        </w:tc>
        <w:tc>
          <w:tcPr>
            <w:tcW w:w="4420" w:type="dxa"/>
            <w:gridSpan w:val="2"/>
            <w:tcBorders>
              <w:top w:val="single" w:color="auto" w:sz="4" w:space="0"/>
              <w:left w:val="single" w:color="auto" w:sz="4" w:space="0"/>
              <w:bottom w:val="single" w:color="auto" w:sz="4" w:space="0"/>
              <w:right w:val="single" w:color="auto" w:sz="4" w:space="0"/>
            </w:tcBorders>
            <w:noWrap w:val="0"/>
            <w:vAlign w:val="center"/>
          </w:tcPr>
          <w:p w14:paraId="774868E2">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混凝土抗氯离子渗透性能（电通量法）</w:t>
            </w:r>
          </w:p>
        </w:tc>
        <w:tc>
          <w:tcPr>
            <w:tcW w:w="1011" w:type="dxa"/>
            <w:tcBorders>
              <w:top w:val="single" w:color="auto" w:sz="4" w:space="0"/>
              <w:left w:val="single" w:color="auto" w:sz="4" w:space="0"/>
              <w:bottom w:val="single" w:color="auto" w:sz="4" w:space="0"/>
              <w:right w:val="single" w:color="auto" w:sz="4" w:space="0"/>
            </w:tcBorders>
            <w:noWrap w:val="0"/>
            <w:vAlign w:val="center"/>
          </w:tcPr>
          <w:p w14:paraId="4D6A1A48">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组</w:t>
            </w:r>
          </w:p>
        </w:tc>
        <w:tc>
          <w:tcPr>
            <w:tcW w:w="1000" w:type="dxa"/>
            <w:tcBorders>
              <w:top w:val="single" w:color="auto" w:sz="4" w:space="0"/>
              <w:left w:val="single" w:color="auto" w:sz="4" w:space="0"/>
              <w:bottom w:val="single" w:color="auto" w:sz="4" w:space="0"/>
              <w:right w:val="single" w:color="auto" w:sz="4" w:space="0"/>
            </w:tcBorders>
            <w:noWrap w:val="0"/>
            <w:vAlign w:val="center"/>
          </w:tcPr>
          <w:p w14:paraId="35DA1D9E">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16</w:t>
            </w:r>
          </w:p>
        </w:tc>
      </w:tr>
      <w:tr w14:paraId="72BAB78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0" w:hRule="atLeast"/>
        </w:trPr>
        <w:tc>
          <w:tcPr>
            <w:tcW w:w="839" w:type="dxa"/>
            <w:tcBorders>
              <w:top w:val="single" w:color="auto" w:sz="4" w:space="0"/>
              <w:left w:val="single" w:color="auto" w:sz="4" w:space="0"/>
              <w:bottom w:val="single" w:color="auto" w:sz="4" w:space="0"/>
              <w:right w:val="single" w:color="auto" w:sz="4" w:space="0"/>
            </w:tcBorders>
            <w:noWrap w:val="0"/>
            <w:vAlign w:val="center"/>
          </w:tcPr>
          <w:p w14:paraId="21BDACC9">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11</w:t>
            </w:r>
          </w:p>
        </w:tc>
        <w:tc>
          <w:tcPr>
            <w:tcW w:w="990" w:type="dxa"/>
            <w:vMerge w:val="continue"/>
            <w:tcBorders>
              <w:top w:val="single" w:color="auto" w:sz="4" w:space="0"/>
              <w:left w:val="single" w:color="auto" w:sz="4" w:space="0"/>
              <w:bottom w:val="single" w:color="auto" w:sz="4" w:space="0"/>
              <w:right w:val="single" w:color="auto" w:sz="4" w:space="0"/>
            </w:tcBorders>
            <w:noWrap w:val="0"/>
            <w:vAlign w:val="center"/>
          </w:tcPr>
          <w:p w14:paraId="1D51BF40">
            <w:pPr>
              <w:jc w:val="center"/>
              <w:rPr>
                <w:rFonts w:hint="eastAsia" w:ascii="宋体" w:hAnsi="宋体" w:eastAsia="宋体" w:cs="宋体"/>
                <w:i w:val="0"/>
                <w:iCs w:val="0"/>
                <w:color w:val="auto"/>
                <w:sz w:val="18"/>
                <w:szCs w:val="18"/>
                <w:highlight w:val="none"/>
                <w:u w:val="none"/>
              </w:rPr>
            </w:pPr>
          </w:p>
        </w:tc>
        <w:tc>
          <w:tcPr>
            <w:tcW w:w="4420" w:type="dxa"/>
            <w:gridSpan w:val="2"/>
            <w:tcBorders>
              <w:top w:val="single" w:color="auto" w:sz="4" w:space="0"/>
              <w:left w:val="single" w:color="auto" w:sz="4" w:space="0"/>
              <w:bottom w:val="single" w:color="auto" w:sz="4" w:space="0"/>
              <w:right w:val="single" w:color="auto" w:sz="4" w:space="0"/>
            </w:tcBorders>
            <w:noWrap w:val="0"/>
            <w:vAlign w:val="center"/>
          </w:tcPr>
          <w:p w14:paraId="1B64680F">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混凝土硅烷浸渍质量（吸水率、浸渍深度、氯化物 吸收量降低效果试验）</w:t>
            </w:r>
          </w:p>
        </w:tc>
        <w:tc>
          <w:tcPr>
            <w:tcW w:w="1011" w:type="dxa"/>
            <w:tcBorders>
              <w:top w:val="single" w:color="auto" w:sz="4" w:space="0"/>
              <w:left w:val="single" w:color="auto" w:sz="4" w:space="0"/>
              <w:bottom w:val="single" w:color="auto" w:sz="4" w:space="0"/>
              <w:right w:val="single" w:color="auto" w:sz="4" w:space="0"/>
            </w:tcBorders>
            <w:noWrap w:val="0"/>
            <w:vAlign w:val="center"/>
          </w:tcPr>
          <w:p w14:paraId="6240F674">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组</w:t>
            </w:r>
          </w:p>
        </w:tc>
        <w:tc>
          <w:tcPr>
            <w:tcW w:w="1000" w:type="dxa"/>
            <w:tcBorders>
              <w:top w:val="single" w:color="auto" w:sz="4" w:space="0"/>
              <w:left w:val="single" w:color="auto" w:sz="4" w:space="0"/>
              <w:bottom w:val="single" w:color="auto" w:sz="4" w:space="0"/>
              <w:right w:val="single" w:color="auto" w:sz="4" w:space="0"/>
            </w:tcBorders>
            <w:noWrap w:val="0"/>
            <w:vAlign w:val="center"/>
          </w:tcPr>
          <w:p w14:paraId="61675BAD">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16</w:t>
            </w:r>
          </w:p>
        </w:tc>
      </w:tr>
      <w:tr w14:paraId="3F8133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0" w:hRule="atLeast"/>
        </w:trPr>
        <w:tc>
          <w:tcPr>
            <w:tcW w:w="839" w:type="dxa"/>
            <w:tcBorders>
              <w:top w:val="single" w:color="auto" w:sz="4" w:space="0"/>
              <w:left w:val="single" w:color="auto" w:sz="4" w:space="0"/>
              <w:bottom w:val="single" w:color="auto" w:sz="4" w:space="0"/>
              <w:right w:val="single" w:color="auto" w:sz="4" w:space="0"/>
            </w:tcBorders>
            <w:noWrap w:val="0"/>
            <w:vAlign w:val="center"/>
          </w:tcPr>
          <w:p w14:paraId="061FF9CE">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12</w:t>
            </w:r>
          </w:p>
        </w:tc>
        <w:tc>
          <w:tcPr>
            <w:tcW w:w="990" w:type="dxa"/>
            <w:vMerge w:val="continue"/>
            <w:tcBorders>
              <w:top w:val="single" w:color="auto" w:sz="4" w:space="0"/>
              <w:left w:val="single" w:color="auto" w:sz="4" w:space="0"/>
              <w:bottom w:val="single" w:color="auto" w:sz="4" w:space="0"/>
              <w:right w:val="single" w:color="auto" w:sz="4" w:space="0"/>
            </w:tcBorders>
            <w:noWrap w:val="0"/>
            <w:vAlign w:val="center"/>
          </w:tcPr>
          <w:p w14:paraId="4AFEE2FC">
            <w:pPr>
              <w:jc w:val="center"/>
              <w:rPr>
                <w:rFonts w:hint="eastAsia" w:ascii="宋体" w:hAnsi="宋体" w:eastAsia="宋体" w:cs="宋体"/>
                <w:i w:val="0"/>
                <w:iCs w:val="0"/>
                <w:color w:val="auto"/>
                <w:sz w:val="18"/>
                <w:szCs w:val="18"/>
                <w:highlight w:val="none"/>
                <w:u w:val="none"/>
              </w:rPr>
            </w:pPr>
          </w:p>
        </w:tc>
        <w:tc>
          <w:tcPr>
            <w:tcW w:w="4420" w:type="dxa"/>
            <w:gridSpan w:val="2"/>
            <w:tcBorders>
              <w:top w:val="single" w:color="auto" w:sz="4" w:space="0"/>
              <w:left w:val="single" w:color="auto" w:sz="4" w:space="0"/>
              <w:bottom w:val="single" w:color="auto" w:sz="4" w:space="0"/>
              <w:right w:val="single" w:color="auto" w:sz="4" w:space="0"/>
            </w:tcBorders>
            <w:noWrap w:val="0"/>
            <w:vAlign w:val="center"/>
          </w:tcPr>
          <w:p w14:paraId="27AB37DA">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超声波探伤</w:t>
            </w:r>
          </w:p>
        </w:tc>
        <w:tc>
          <w:tcPr>
            <w:tcW w:w="1011" w:type="dxa"/>
            <w:tcBorders>
              <w:top w:val="single" w:color="auto" w:sz="4" w:space="0"/>
              <w:left w:val="single" w:color="auto" w:sz="4" w:space="0"/>
              <w:bottom w:val="single" w:color="auto" w:sz="4" w:space="0"/>
              <w:right w:val="single" w:color="auto" w:sz="4" w:space="0"/>
            </w:tcBorders>
            <w:noWrap w:val="0"/>
            <w:vAlign w:val="center"/>
          </w:tcPr>
          <w:p w14:paraId="1C2C10E0">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m</w:t>
            </w:r>
          </w:p>
        </w:tc>
        <w:tc>
          <w:tcPr>
            <w:tcW w:w="1000" w:type="dxa"/>
            <w:tcBorders>
              <w:top w:val="single" w:color="auto" w:sz="4" w:space="0"/>
              <w:left w:val="single" w:color="auto" w:sz="4" w:space="0"/>
              <w:bottom w:val="single" w:color="auto" w:sz="4" w:space="0"/>
              <w:right w:val="single" w:color="auto" w:sz="4" w:space="0"/>
            </w:tcBorders>
            <w:noWrap w:val="0"/>
            <w:vAlign w:val="center"/>
          </w:tcPr>
          <w:p w14:paraId="67F9795C">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50</w:t>
            </w:r>
          </w:p>
        </w:tc>
      </w:tr>
      <w:tr w14:paraId="1ABF8A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0" w:hRule="atLeast"/>
        </w:trPr>
        <w:tc>
          <w:tcPr>
            <w:tcW w:w="839" w:type="dxa"/>
            <w:tcBorders>
              <w:top w:val="single" w:color="auto" w:sz="4" w:space="0"/>
              <w:left w:val="single" w:color="auto" w:sz="4" w:space="0"/>
              <w:bottom w:val="single" w:color="auto" w:sz="4" w:space="0"/>
              <w:right w:val="single" w:color="auto" w:sz="4" w:space="0"/>
            </w:tcBorders>
            <w:noWrap w:val="0"/>
            <w:vAlign w:val="center"/>
          </w:tcPr>
          <w:p w14:paraId="06455015">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13</w:t>
            </w:r>
          </w:p>
        </w:tc>
        <w:tc>
          <w:tcPr>
            <w:tcW w:w="990" w:type="dxa"/>
            <w:vMerge w:val="continue"/>
            <w:tcBorders>
              <w:top w:val="single" w:color="auto" w:sz="4" w:space="0"/>
              <w:left w:val="single" w:color="auto" w:sz="4" w:space="0"/>
              <w:bottom w:val="single" w:color="auto" w:sz="4" w:space="0"/>
              <w:right w:val="single" w:color="auto" w:sz="4" w:space="0"/>
            </w:tcBorders>
            <w:noWrap w:val="0"/>
            <w:vAlign w:val="center"/>
          </w:tcPr>
          <w:p w14:paraId="19FC2B2C">
            <w:pPr>
              <w:jc w:val="center"/>
              <w:rPr>
                <w:rFonts w:hint="eastAsia" w:ascii="宋体" w:hAnsi="宋体" w:eastAsia="宋体" w:cs="宋体"/>
                <w:i w:val="0"/>
                <w:iCs w:val="0"/>
                <w:color w:val="auto"/>
                <w:sz w:val="18"/>
                <w:szCs w:val="18"/>
                <w:highlight w:val="none"/>
                <w:u w:val="none"/>
              </w:rPr>
            </w:pPr>
          </w:p>
        </w:tc>
        <w:tc>
          <w:tcPr>
            <w:tcW w:w="4420" w:type="dxa"/>
            <w:gridSpan w:val="2"/>
            <w:tcBorders>
              <w:top w:val="single" w:color="auto" w:sz="4" w:space="0"/>
              <w:left w:val="single" w:color="auto" w:sz="4" w:space="0"/>
              <w:bottom w:val="single" w:color="auto" w:sz="4" w:space="0"/>
              <w:right w:val="single" w:color="auto" w:sz="4" w:space="0"/>
            </w:tcBorders>
            <w:noWrap w:val="0"/>
            <w:vAlign w:val="center"/>
          </w:tcPr>
          <w:p w14:paraId="1FC155AB">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防腐涂层厚度</w:t>
            </w:r>
          </w:p>
        </w:tc>
        <w:tc>
          <w:tcPr>
            <w:tcW w:w="1011" w:type="dxa"/>
            <w:tcBorders>
              <w:top w:val="single" w:color="auto" w:sz="4" w:space="0"/>
              <w:left w:val="single" w:color="auto" w:sz="4" w:space="0"/>
              <w:bottom w:val="single" w:color="auto" w:sz="4" w:space="0"/>
              <w:right w:val="single" w:color="auto" w:sz="4" w:space="0"/>
            </w:tcBorders>
            <w:noWrap w:val="0"/>
            <w:vAlign w:val="center"/>
          </w:tcPr>
          <w:p w14:paraId="5DCD2B01">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点/处</w:t>
            </w:r>
          </w:p>
        </w:tc>
        <w:tc>
          <w:tcPr>
            <w:tcW w:w="1000" w:type="dxa"/>
            <w:tcBorders>
              <w:top w:val="single" w:color="auto" w:sz="4" w:space="0"/>
              <w:left w:val="single" w:color="auto" w:sz="4" w:space="0"/>
              <w:bottom w:val="single" w:color="auto" w:sz="4" w:space="0"/>
              <w:right w:val="single" w:color="auto" w:sz="4" w:space="0"/>
            </w:tcBorders>
            <w:noWrap w:val="0"/>
            <w:vAlign w:val="center"/>
          </w:tcPr>
          <w:p w14:paraId="2DBC6B1F">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100/10</w:t>
            </w:r>
          </w:p>
        </w:tc>
      </w:tr>
      <w:tr w14:paraId="29FC39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0" w:hRule="atLeast"/>
        </w:trPr>
        <w:tc>
          <w:tcPr>
            <w:tcW w:w="839" w:type="dxa"/>
            <w:tcBorders>
              <w:top w:val="single" w:color="auto" w:sz="4" w:space="0"/>
              <w:left w:val="single" w:color="auto" w:sz="4" w:space="0"/>
              <w:bottom w:val="single" w:color="auto" w:sz="4" w:space="0"/>
              <w:right w:val="single" w:color="auto" w:sz="4" w:space="0"/>
            </w:tcBorders>
            <w:noWrap w:val="0"/>
            <w:vAlign w:val="center"/>
          </w:tcPr>
          <w:p w14:paraId="0008BE38">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14</w:t>
            </w:r>
          </w:p>
        </w:tc>
        <w:tc>
          <w:tcPr>
            <w:tcW w:w="990" w:type="dxa"/>
            <w:tcBorders>
              <w:top w:val="single" w:color="auto" w:sz="4" w:space="0"/>
              <w:left w:val="single" w:color="auto" w:sz="4" w:space="0"/>
              <w:bottom w:val="single" w:color="auto" w:sz="4" w:space="0"/>
              <w:right w:val="single" w:color="auto" w:sz="4" w:space="0"/>
            </w:tcBorders>
            <w:noWrap w:val="0"/>
            <w:vAlign w:val="center"/>
          </w:tcPr>
          <w:p w14:paraId="01DC2116">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桩基、地基 检测</w:t>
            </w:r>
          </w:p>
        </w:tc>
        <w:tc>
          <w:tcPr>
            <w:tcW w:w="4420" w:type="dxa"/>
            <w:gridSpan w:val="2"/>
            <w:tcBorders>
              <w:top w:val="single" w:color="auto" w:sz="4" w:space="0"/>
              <w:left w:val="single" w:color="auto" w:sz="4" w:space="0"/>
              <w:bottom w:val="single" w:color="auto" w:sz="4" w:space="0"/>
              <w:right w:val="single" w:color="auto" w:sz="4" w:space="0"/>
            </w:tcBorders>
            <w:noWrap w:val="0"/>
            <w:vAlign w:val="center"/>
          </w:tcPr>
          <w:p w14:paraId="736A5126">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地基承载力（平板荷载试验）</w:t>
            </w:r>
          </w:p>
        </w:tc>
        <w:tc>
          <w:tcPr>
            <w:tcW w:w="1011" w:type="dxa"/>
            <w:tcBorders>
              <w:top w:val="single" w:color="auto" w:sz="4" w:space="0"/>
              <w:left w:val="single" w:color="auto" w:sz="4" w:space="0"/>
              <w:bottom w:val="single" w:color="auto" w:sz="4" w:space="0"/>
              <w:right w:val="single" w:color="auto" w:sz="4" w:space="0"/>
            </w:tcBorders>
            <w:noWrap w:val="0"/>
            <w:vAlign w:val="center"/>
          </w:tcPr>
          <w:p w14:paraId="546AB248">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点</w:t>
            </w:r>
          </w:p>
        </w:tc>
        <w:tc>
          <w:tcPr>
            <w:tcW w:w="1000" w:type="dxa"/>
            <w:tcBorders>
              <w:top w:val="single" w:color="auto" w:sz="4" w:space="0"/>
              <w:left w:val="single" w:color="auto" w:sz="4" w:space="0"/>
              <w:bottom w:val="single" w:color="auto" w:sz="4" w:space="0"/>
              <w:right w:val="single" w:color="auto" w:sz="4" w:space="0"/>
            </w:tcBorders>
            <w:noWrap w:val="0"/>
            <w:vAlign w:val="center"/>
          </w:tcPr>
          <w:p w14:paraId="66E52E4E">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5</w:t>
            </w:r>
          </w:p>
        </w:tc>
      </w:tr>
    </w:tbl>
    <w:p w14:paraId="5DE943E3">
      <w:pPr>
        <w:keepNext w:val="0"/>
        <w:keepLines w:val="0"/>
        <w:pageBreakBefore w:val="0"/>
        <w:widowControl w:val="0"/>
        <w:kinsoku/>
        <w:wordWrap w:val="0"/>
        <w:overflowPunct/>
        <w:topLinePunct w:val="0"/>
        <w:autoSpaceDE/>
        <w:autoSpaceDN/>
        <w:bidi w:val="0"/>
        <w:adjustRightInd/>
        <w:snapToGrid/>
        <w:spacing w:before="69" w:line="358" w:lineRule="auto"/>
        <w:ind w:right="969"/>
        <w:jc w:val="left"/>
        <w:textAlignment w:val="auto"/>
        <w:rPr>
          <w:rFonts w:hint="eastAsia" w:ascii="宋体" w:hAnsi="宋体" w:eastAsia="宋体" w:cs="宋体"/>
          <w:b/>
          <w:color w:val="auto"/>
          <w:sz w:val="21"/>
          <w:highlight w:val="none"/>
        </w:rPr>
      </w:pPr>
      <w:r>
        <w:rPr>
          <w:rFonts w:hint="eastAsia" w:ascii="宋体" w:hAnsi="宋体" w:eastAsia="宋体" w:cs="宋体"/>
          <w:b/>
          <w:color w:val="auto"/>
          <w:w w:val="95"/>
          <w:sz w:val="21"/>
          <w:highlight w:val="none"/>
        </w:rPr>
        <w:t>注明：以上检测项目和数量可根据工程项目实际情况调整，最终按中标人的实际工作量进行结算。不</w:t>
      </w:r>
      <w:r>
        <w:rPr>
          <w:rFonts w:hint="eastAsia" w:ascii="宋体" w:hAnsi="宋体" w:eastAsia="宋体" w:cs="宋体"/>
          <w:b/>
          <w:color w:val="auto"/>
          <w:sz w:val="21"/>
          <w:highlight w:val="none"/>
        </w:rPr>
        <w:t>足中标金额的，采购人可视情况要求中标人增加相关检测数量。</w:t>
      </w:r>
    </w:p>
    <w:p w14:paraId="14B3EC4A">
      <w:pPr>
        <w:rPr>
          <w:rFonts w:hint="eastAsia" w:ascii="宋体" w:hAnsi="宋体" w:eastAsia="宋体" w:cs="宋体"/>
          <w:b/>
          <w:bCs/>
          <w:color w:val="auto"/>
          <w:szCs w:val="21"/>
          <w:highlight w:val="none"/>
        </w:rPr>
      </w:pPr>
    </w:p>
    <w:tbl>
      <w:tblPr>
        <w:tblStyle w:val="45"/>
        <w:tblW w:w="8825" w:type="dxa"/>
        <w:tblInd w:w="9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039"/>
        <w:gridCol w:w="978"/>
        <w:gridCol w:w="978"/>
        <w:gridCol w:w="3862"/>
        <w:gridCol w:w="1043"/>
        <w:gridCol w:w="925"/>
      </w:tblGrid>
      <w:tr w14:paraId="5A1389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0" w:hRule="atLeast"/>
        </w:trPr>
        <w:tc>
          <w:tcPr>
            <w:tcW w:w="8825" w:type="dxa"/>
            <w:gridSpan w:val="6"/>
            <w:tcBorders>
              <w:top w:val="nil"/>
              <w:left w:val="nil"/>
              <w:bottom w:val="single" w:color="auto" w:sz="4" w:space="0"/>
              <w:right w:val="nil"/>
            </w:tcBorders>
            <w:noWrap/>
            <w:vAlign w:val="center"/>
          </w:tcPr>
          <w:p w14:paraId="5BC00141">
            <w:pPr>
              <w:keepNext w:val="0"/>
              <w:keepLines w:val="0"/>
              <w:widowControl/>
              <w:suppressLineNumbers w:val="0"/>
              <w:jc w:val="center"/>
              <w:textAlignment w:val="center"/>
              <w:rPr>
                <w:rFonts w:hint="eastAsia" w:ascii="宋体" w:hAnsi="宋体" w:eastAsia="宋体" w:cs="宋体"/>
                <w:i w:val="0"/>
                <w:iCs w:val="0"/>
                <w:color w:val="auto"/>
                <w:sz w:val="32"/>
                <w:szCs w:val="32"/>
                <w:highlight w:val="none"/>
                <w:u w:val="none"/>
              </w:rPr>
            </w:pPr>
            <w:r>
              <w:rPr>
                <w:rStyle w:val="127"/>
                <w:rFonts w:hint="eastAsia" w:ascii="宋体" w:hAnsi="宋体" w:eastAsia="宋体" w:cs="宋体"/>
                <w:i w:val="0"/>
                <w:iCs w:val="0"/>
                <w:color w:val="auto"/>
                <w:sz w:val="28"/>
                <w:szCs w:val="28"/>
                <w:highlight w:val="none"/>
                <w:lang w:val="en-US" w:eastAsia="zh-CN" w:bidi="ar"/>
              </w:rPr>
              <w:t>2026年水运工程质量监督检测服务清单（SYJD2标段）</w:t>
            </w:r>
          </w:p>
        </w:tc>
      </w:tr>
      <w:tr w14:paraId="6DCA80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0" w:hRule="atLeast"/>
        </w:trPr>
        <w:tc>
          <w:tcPr>
            <w:tcW w:w="1039" w:type="dxa"/>
            <w:tcBorders>
              <w:top w:val="single" w:color="auto" w:sz="4" w:space="0"/>
              <w:left w:val="single" w:color="auto" w:sz="4" w:space="0"/>
              <w:bottom w:val="single" w:color="auto" w:sz="4" w:space="0"/>
              <w:right w:val="single" w:color="auto" w:sz="4" w:space="0"/>
            </w:tcBorders>
            <w:noWrap w:val="0"/>
            <w:vAlign w:val="center"/>
          </w:tcPr>
          <w:p w14:paraId="7710CA9B">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序号</w:t>
            </w:r>
          </w:p>
        </w:tc>
        <w:tc>
          <w:tcPr>
            <w:tcW w:w="978" w:type="dxa"/>
            <w:tcBorders>
              <w:top w:val="single" w:color="auto" w:sz="4" w:space="0"/>
              <w:left w:val="single" w:color="auto" w:sz="4" w:space="0"/>
              <w:bottom w:val="single" w:color="auto" w:sz="4" w:space="0"/>
              <w:right w:val="single" w:color="auto" w:sz="4" w:space="0"/>
            </w:tcBorders>
            <w:noWrap w:val="0"/>
            <w:vAlign w:val="center"/>
          </w:tcPr>
          <w:p w14:paraId="1362EE37">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检测项目</w:t>
            </w:r>
          </w:p>
        </w:tc>
        <w:tc>
          <w:tcPr>
            <w:tcW w:w="4840" w:type="dxa"/>
            <w:gridSpan w:val="2"/>
            <w:tcBorders>
              <w:top w:val="single" w:color="auto" w:sz="4" w:space="0"/>
              <w:left w:val="single" w:color="auto" w:sz="4" w:space="0"/>
              <w:bottom w:val="single" w:color="auto" w:sz="4" w:space="0"/>
              <w:right w:val="single" w:color="auto" w:sz="4" w:space="0"/>
            </w:tcBorders>
            <w:noWrap w:val="0"/>
            <w:vAlign w:val="center"/>
          </w:tcPr>
          <w:p w14:paraId="31F87670">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检测参数</w:t>
            </w:r>
          </w:p>
        </w:tc>
        <w:tc>
          <w:tcPr>
            <w:tcW w:w="1043" w:type="dxa"/>
            <w:tcBorders>
              <w:top w:val="single" w:color="auto" w:sz="4" w:space="0"/>
              <w:left w:val="single" w:color="auto" w:sz="4" w:space="0"/>
              <w:bottom w:val="single" w:color="auto" w:sz="4" w:space="0"/>
              <w:right w:val="single" w:color="auto" w:sz="4" w:space="0"/>
            </w:tcBorders>
            <w:noWrap w:val="0"/>
            <w:vAlign w:val="center"/>
          </w:tcPr>
          <w:p w14:paraId="21C6A88A">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单位</w:t>
            </w:r>
          </w:p>
        </w:tc>
        <w:tc>
          <w:tcPr>
            <w:tcW w:w="925" w:type="dxa"/>
            <w:tcBorders>
              <w:top w:val="single" w:color="auto" w:sz="4" w:space="0"/>
              <w:left w:val="single" w:color="auto" w:sz="4" w:space="0"/>
              <w:bottom w:val="single" w:color="auto" w:sz="4" w:space="0"/>
              <w:right w:val="single" w:color="auto" w:sz="4" w:space="0"/>
            </w:tcBorders>
            <w:noWrap w:val="0"/>
            <w:vAlign w:val="center"/>
          </w:tcPr>
          <w:p w14:paraId="676D6945">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数量</w:t>
            </w:r>
          </w:p>
        </w:tc>
      </w:tr>
      <w:tr w14:paraId="6940A6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0" w:hRule="atLeast"/>
        </w:trPr>
        <w:tc>
          <w:tcPr>
            <w:tcW w:w="1039" w:type="dxa"/>
            <w:tcBorders>
              <w:top w:val="single" w:color="auto" w:sz="4" w:space="0"/>
              <w:left w:val="single" w:color="auto" w:sz="4" w:space="0"/>
              <w:bottom w:val="single" w:color="auto" w:sz="4" w:space="0"/>
              <w:right w:val="single" w:color="auto" w:sz="4" w:space="0"/>
            </w:tcBorders>
            <w:noWrap w:val="0"/>
            <w:vAlign w:val="center"/>
          </w:tcPr>
          <w:p w14:paraId="447F9A89">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1</w:t>
            </w:r>
          </w:p>
        </w:tc>
        <w:tc>
          <w:tcPr>
            <w:tcW w:w="978" w:type="dxa"/>
            <w:vMerge w:val="restart"/>
            <w:tcBorders>
              <w:top w:val="single" w:color="auto" w:sz="4" w:space="0"/>
              <w:left w:val="single" w:color="auto" w:sz="4" w:space="0"/>
              <w:bottom w:val="single" w:color="auto" w:sz="4" w:space="0"/>
              <w:right w:val="single" w:color="auto" w:sz="4" w:space="0"/>
            </w:tcBorders>
            <w:noWrap w:val="0"/>
            <w:vAlign w:val="center"/>
          </w:tcPr>
          <w:p w14:paraId="417A34C6">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原材料抽检</w:t>
            </w:r>
          </w:p>
        </w:tc>
        <w:tc>
          <w:tcPr>
            <w:tcW w:w="978" w:type="dxa"/>
            <w:tcBorders>
              <w:top w:val="single" w:color="auto" w:sz="4" w:space="0"/>
              <w:left w:val="single" w:color="auto" w:sz="4" w:space="0"/>
              <w:bottom w:val="single" w:color="auto" w:sz="4" w:space="0"/>
              <w:right w:val="single" w:color="auto" w:sz="4" w:space="0"/>
            </w:tcBorders>
            <w:noWrap w:val="0"/>
            <w:vAlign w:val="center"/>
          </w:tcPr>
          <w:p w14:paraId="774F4FAE">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水泥</w:t>
            </w:r>
          </w:p>
        </w:tc>
        <w:tc>
          <w:tcPr>
            <w:tcW w:w="3862" w:type="dxa"/>
            <w:tcBorders>
              <w:top w:val="single" w:color="auto" w:sz="4" w:space="0"/>
              <w:left w:val="single" w:color="auto" w:sz="4" w:space="0"/>
              <w:bottom w:val="single" w:color="auto" w:sz="4" w:space="0"/>
              <w:right w:val="single" w:color="auto" w:sz="4" w:space="0"/>
            </w:tcBorders>
            <w:noWrap w:val="0"/>
            <w:vAlign w:val="center"/>
          </w:tcPr>
          <w:p w14:paraId="3F845605">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标准稠度用水量、安定性、凝结 时间、胶砂强度</w:t>
            </w:r>
          </w:p>
        </w:tc>
        <w:tc>
          <w:tcPr>
            <w:tcW w:w="1043" w:type="dxa"/>
            <w:tcBorders>
              <w:top w:val="single" w:color="auto" w:sz="4" w:space="0"/>
              <w:left w:val="single" w:color="auto" w:sz="4" w:space="0"/>
              <w:bottom w:val="single" w:color="auto" w:sz="4" w:space="0"/>
              <w:right w:val="single" w:color="auto" w:sz="4" w:space="0"/>
            </w:tcBorders>
            <w:noWrap w:val="0"/>
            <w:vAlign w:val="center"/>
          </w:tcPr>
          <w:p w14:paraId="19F822B6">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组</w:t>
            </w:r>
          </w:p>
        </w:tc>
        <w:tc>
          <w:tcPr>
            <w:tcW w:w="925" w:type="dxa"/>
            <w:tcBorders>
              <w:top w:val="single" w:color="auto" w:sz="4" w:space="0"/>
              <w:left w:val="single" w:color="auto" w:sz="4" w:space="0"/>
              <w:bottom w:val="single" w:color="auto" w:sz="4" w:space="0"/>
              <w:right w:val="single" w:color="auto" w:sz="4" w:space="0"/>
            </w:tcBorders>
            <w:noWrap w:val="0"/>
            <w:vAlign w:val="center"/>
          </w:tcPr>
          <w:p w14:paraId="6B0C165A">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40</w:t>
            </w:r>
          </w:p>
        </w:tc>
      </w:tr>
      <w:tr w14:paraId="5D00F89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0" w:hRule="atLeast"/>
        </w:trPr>
        <w:tc>
          <w:tcPr>
            <w:tcW w:w="1039" w:type="dxa"/>
            <w:tcBorders>
              <w:top w:val="single" w:color="auto" w:sz="4" w:space="0"/>
              <w:left w:val="single" w:color="auto" w:sz="4" w:space="0"/>
              <w:bottom w:val="single" w:color="auto" w:sz="4" w:space="0"/>
              <w:right w:val="single" w:color="auto" w:sz="4" w:space="0"/>
            </w:tcBorders>
            <w:noWrap w:val="0"/>
            <w:vAlign w:val="center"/>
          </w:tcPr>
          <w:p w14:paraId="2BA7068B">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2</w:t>
            </w:r>
          </w:p>
        </w:tc>
        <w:tc>
          <w:tcPr>
            <w:tcW w:w="978" w:type="dxa"/>
            <w:vMerge w:val="continue"/>
            <w:tcBorders>
              <w:top w:val="single" w:color="auto" w:sz="4" w:space="0"/>
              <w:left w:val="single" w:color="auto" w:sz="4" w:space="0"/>
              <w:bottom w:val="single" w:color="auto" w:sz="4" w:space="0"/>
              <w:right w:val="single" w:color="auto" w:sz="4" w:space="0"/>
            </w:tcBorders>
            <w:noWrap w:val="0"/>
            <w:vAlign w:val="center"/>
          </w:tcPr>
          <w:p w14:paraId="3845C5EA">
            <w:pPr>
              <w:jc w:val="center"/>
              <w:rPr>
                <w:rFonts w:hint="eastAsia" w:ascii="宋体" w:hAnsi="宋体" w:eastAsia="宋体" w:cs="宋体"/>
                <w:i w:val="0"/>
                <w:iCs w:val="0"/>
                <w:color w:val="auto"/>
                <w:sz w:val="18"/>
                <w:szCs w:val="18"/>
                <w:highlight w:val="none"/>
                <w:u w:val="none"/>
              </w:rPr>
            </w:pPr>
          </w:p>
        </w:tc>
        <w:tc>
          <w:tcPr>
            <w:tcW w:w="978" w:type="dxa"/>
            <w:tcBorders>
              <w:top w:val="single" w:color="auto" w:sz="4" w:space="0"/>
              <w:left w:val="single" w:color="auto" w:sz="4" w:space="0"/>
              <w:bottom w:val="single" w:color="auto" w:sz="4" w:space="0"/>
              <w:right w:val="single" w:color="auto" w:sz="4" w:space="0"/>
            </w:tcBorders>
            <w:noWrap w:val="0"/>
            <w:vAlign w:val="center"/>
          </w:tcPr>
          <w:p w14:paraId="557CCCB2">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钢筋</w:t>
            </w:r>
          </w:p>
        </w:tc>
        <w:tc>
          <w:tcPr>
            <w:tcW w:w="3862" w:type="dxa"/>
            <w:tcBorders>
              <w:top w:val="single" w:color="auto" w:sz="4" w:space="0"/>
              <w:left w:val="single" w:color="auto" w:sz="4" w:space="0"/>
              <w:bottom w:val="single" w:color="auto" w:sz="4" w:space="0"/>
              <w:right w:val="single" w:color="auto" w:sz="4" w:space="0"/>
            </w:tcBorders>
            <w:noWrap w:val="0"/>
            <w:vAlign w:val="center"/>
          </w:tcPr>
          <w:p w14:paraId="77979EE9">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重量偏差、屈服强度、抗拉强度、 断后伸长率、弯曲性能、反向弯 曲(热轧带肋抗震钢筋检)</w:t>
            </w:r>
          </w:p>
        </w:tc>
        <w:tc>
          <w:tcPr>
            <w:tcW w:w="1043" w:type="dxa"/>
            <w:tcBorders>
              <w:top w:val="single" w:color="auto" w:sz="4" w:space="0"/>
              <w:left w:val="single" w:color="auto" w:sz="4" w:space="0"/>
              <w:bottom w:val="single" w:color="auto" w:sz="4" w:space="0"/>
              <w:right w:val="single" w:color="auto" w:sz="4" w:space="0"/>
            </w:tcBorders>
            <w:noWrap w:val="0"/>
            <w:vAlign w:val="center"/>
          </w:tcPr>
          <w:p w14:paraId="7B65A05E">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组</w:t>
            </w:r>
          </w:p>
        </w:tc>
        <w:tc>
          <w:tcPr>
            <w:tcW w:w="925" w:type="dxa"/>
            <w:tcBorders>
              <w:top w:val="single" w:color="auto" w:sz="4" w:space="0"/>
              <w:left w:val="single" w:color="auto" w:sz="4" w:space="0"/>
              <w:bottom w:val="single" w:color="auto" w:sz="4" w:space="0"/>
              <w:right w:val="single" w:color="auto" w:sz="4" w:space="0"/>
            </w:tcBorders>
            <w:noWrap w:val="0"/>
            <w:vAlign w:val="center"/>
          </w:tcPr>
          <w:p w14:paraId="2A99A2B7">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80</w:t>
            </w:r>
          </w:p>
        </w:tc>
      </w:tr>
      <w:tr w14:paraId="2BD3D8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0" w:hRule="atLeast"/>
        </w:trPr>
        <w:tc>
          <w:tcPr>
            <w:tcW w:w="1039" w:type="dxa"/>
            <w:tcBorders>
              <w:top w:val="single" w:color="auto" w:sz="4" w:space="0"/>
              <w:left w:val="single" w:color="auto" w:sz="4" w:space="0"/>
              <w:bottom w:val="single" w:color="auto" w:sz="4" w:space="0"/>
              <w:right w:val="single" w:color="auto" w:sz="4" w:space="0"/>
            </w:tcBorders>
            <w:noWrap w:val="0"/>
            <w:vAlign w:val="center"/>
          </w:tcPr>
          <w:p w14:paraId="098CF549">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3</w:t>
            </w:r>
          </w:p>
        </w:tc>
        <w:tc>
          <w:tcPr>
            <w:tcW w:w="978" w:type="dxa"/>
            <w:vMerge w:val="continue"/>
            <w:tcBorders>
              <w:top w:val="single" w:color="auto" w:sz="4" w:space="0"/>
              <w:left w:val="single" w:color="auto" w:sz="4" w:space="0"/>
              <w:bottom w:val="single" w:color="auto" w:sz="4" w:space="0"/>
              <w:right w:val="single" w:color="auto" w:sz="4" w:space="0"/>
            </w:tcBorders>
            <w:noWrap w:val="0"/>
            <w:vAlign w:val="center"/>
          </w:tcPr>
          <w:p w14:paraId="55F7453D">
            <w:pPr>
              <w:jc w:val="center"/>
              <w:rPr>
                <w:rFonts w:hint="eastAsia" w:ascii="宋体" w:hAnsi="宋体" w:eastAsia="宋体" w:cs="宋体"/>
                <w:i w:val="0"/>
                <w:iCs w:val="0"/>
                <w:color w:val="auto"/>
                <w:sz w:val="18"/>
                <w:szCs w:val="18"/>
                <w:highlight w:val="none"/>
                <w:u w:val="none"/>
              </w:rPr>
            </w:pPr>
          </w:p>
        </w:tc>
        <w:tc>
          <w:tcPr>
            <w:tcW w:w="978" w:type="dxa"/>
            <w:tcBorders>
              <w:top w:val="single" w:color="auto" w:sz="4" w:space="0"/>
              <w:left w:val="single" w:color="auto" w:sz="4" w:space="0"/>
              <w:bottom w:val="single" w:color="auto" w:sz="4" w:space="0"/>
              <w:right w:val="single" w:color="auto" w:sz="4" w:space="0"/>
            </w:tcBorders>
            <w:noWrap w:val="0"/>
            <w:vAlign w:val="center"/>
          </w:tcPr>
          <w:p w14:paraId="5CEA93FF">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钢筋焊接接头</w:t>
            </w:r>
          </w:p>
        </w:tc>
        <w:tc>
          <w:tcPr>
            <w:tcW w:w="3862" w:type="dxa"/>
            <w:tcBorders>
              <w:top w:val="single" w:color="auto" w:sz="4" w:space="0"/>
              <w:left w:val="single" w:color="auto" w:sz="4" w:space="0"/>
              <w:bottom w:val="single" w:color="auto" w:sz="4" w:space="0"/>
              <w:right w:val="single" w:color="auto" w:sz="4" w:space="0"/>
            </w:tcBorders>
            <w:noWrap w:val="0"/>
            <w:vAlign w:val="center"/>
          </w:tcPr>
          <w:p w14:paraId="6E92EB39">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抗拉强度、弯曲试验</w:t>
            </w:r>
          </w:p>
        </w:tc>
        <w:tc>
          <w:tcPr>
            <w:tcW w:w="1043" w:type="dxa"/>
            <w:tcBorders>
              <w:top w:val="single" w:color="auto" w:sz="4" w:space="0"/>
              <w:left w:val="single" w:color="auto" w:sz="4" w:space="0"/>
              <w:bottom w:val="single" w:color="auto" w:sz="4" w:space="0"/>
              <w:right w:val="single" w:color="auto" w:sz="4" w:space="0"/>
            </w:tcBorders>
            <w:noWrap w:val="0"/>
            <w:vAlign w:val="center"/>
          </w:tcPr>
          <w:p w14:paraId="4E79DADD">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组</w:t>
            </w:r>
          </w:p>
        </w:tc>
        <w:tc>
          <w:tcPr>
            <w:tcW w:w="925" w:type="dxa"/>
            <w:tcBorders>
              <w:top w:val="single" w:color="auto" w:sz="4" w:space="0"/>
              <w:left w:val="single" w:color="auto" w:sz="4" w:space="0"/>
              <w:bottom w:val="single" w:color="auto" w:sz="4" w:space="0"/>
              <w:right w:val="single" w:color="auto" w:sz="4" w:space="0"/>
            </w:tcBorders>
            <w:noWrap w:val="0"/>
            <w:vAlign w:val="center"/>
          </w:tcPr>
          <w:p w14:paraId="71713C86">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4</w:t>
            </w:r>
          </w:p>
        </w:tc>
      </w:tr>
      <w:tr w14:paraId="43CC65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0" w:hRule="atLeast"/>
        </w:trPr>
        <w:tc>
          <w:tcPr>
            <w:tcW w:w="1039" w:type="dxa"/>
            <w:tcBorders>
              <w:top w:val="single" w:color="auto" w:sz="4" w:space="0"/>
              <w:left w:val="single" w:color="auto" w:sz="4" w:space="0"/>
              <w:bottom w:val="single" w:color="auto" w:sz="4" w:space="0"/>
              <w:right w:val="single" w:color="auto" w:sz="4" w:space="0"/>
            </w:tcBorders>
            <w:noWrap w:val="0"/>
            <w:vAlign w:val="center"/>
          </w:tcPr>
          <w:p w14:paraId="502811E2">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4</w:t>
            </w:r>
          </w:p>
        </w:tc>
        <w:tc>
          <w:tcPr>
            <w:tcW w:w="978" w:type="dxa"/>
            <w:vMerge w:val="continue"/>
            <w:tcBorders>
              <w:top w:val="single" w:color="auto" w:sz="4" w:space="0"/>
              <w:left w:val="single" w:color="auto" w:sz="4" w:space="0"/>
              <w:bottom w:val="single" w:color="auto" w:sz="4" w:space="0"/>
              <w:right w:val="single" w:color="auto" w:sz="4" w:space="0"/>
            </w:tcBorders>
            <w:noWrap w:val="0"/>
            <w:vAlign w:val="center"/>
          </w:tcPr>
          <w:p w14:paraId="2EE24857">
            <w:pPr>
              <w:jc w:val="center"/>
              <w:rPr>
                <w:rFonts w:hint="eastAsia" w:ascii="宋体" w:hAnsi="宋体" w:eastAsia="宋体" w:cs="宋体"/>
                <w:i w:val="0"/>
                <w:iCs w:val="0"/>
                <w:color w:val="auto"/>
                <w:sz w:val="18"/>
                <w:szCs w:val="18"/>
                <w:highlight w:val="none"/>
                <w:u w:val="none"/>
              </w:rPr>
            </w:pPr>
          </w:p>
        </w:tc>
        <w:tc>
          <w:tcPr>
            <w:tcW w:w="978" w:type="dxa"/>
            <w:tcBorders>
              <w:top w:val="single" w:color="auto" w:sz="4" w:space="0"/>
              <w:left w:val="single" w:color="auto" w:sz="4" w:space="0"/>
              <w:bottom w:val="single" w:color="auto" w:sz="4" w:space="0"/>
              <w:right w:val="single" w:color="auto" w:sz="4" w:space="0"/>
            </w:tcBorders>
            <w:noWrap w:val="0"/>
            <w:vAlign w:val="center"/>
          </w:tcPr>
          <w:p w14:paraId="2A376F94">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钢筋机械连接接 头</w:t>
            </w:r>
          </w:p>
        </w:tc>
        <w:tc>
          <w:tcPr>
            <w:tcW w:w="3862" w:type="dxa"/>
            <w:tcBorders>
              <w:top w:val="single" w:color="auto" w:sz="4" w:space="0"/>
              <w:left w:val="single" w:color="auto" w:sz="4" w:space="0"/>
              <w:bottom w:val="single" w:color="auto" w:sz="4" w:space="0"/>
              <w:right w:val="single" w:color="auto" w:sz="4" w:space="0"/>
            </w:tcBorders>
            <w:noWrap w:val="0"/>
            <w:vAlign w:val="center"/>
          </w:tcPr>
          <w:p w14:paraId="2EF318FC">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原材抗拉强度、单向接头抗拉强 度</w:t>
            </w:r>
          </w:p>
        </w:tc>
        <w:tc>
          <w:tcPr>
            <w:tcW w:w="1043" w:type="dxa"/>
            <w:tcBorders>
              <w:top w:val="single" w:color="auto" w:sz="4" w:space="0"/>
              <w:left w:val="single" w:color="auto" w:sz="4" w:space="0"/>
              <w:bottom w:val="single" w:color="auto" w:sz="4" w:space="0"/>
              <w:right w:val="single" w:color="auto" w:sz="4" w:space="0"/>
            </w:tcBorders>
            <w:noWrap w:val="0"/>
            <w:vAlign w:val="center"/>
          </w:tcPr>
          <w:p w14:paraId="2BE96447">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组</w:t>
            </w:r>
          </w:p>
        </w:tc>
        <w:tc>
          <w:tcPr>
            <w:tcW w:w="925" w:type="dxa"/>
            <w:tcBorders>
              <w:top w:val="single" w:color="auto" w:sz="4" w:space="0"/>
              <w:left w:val="single" w:color="auto" w:sz="4" w:space="0"/>
              <w:bottom w:val="single" w:color="auto" w:sz="4" w:space="0"/>
              <w:right w:val="single" w:color="auto" w:sz="4" w:space="0"/>
            </w:tcBorders>
            <w:noWrap w:val="0"/>
            <w:vAlign w:val="center"/>
          </w:tcPr>
          <w:p w14:paraId="4C963FB5">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90</w:t>
            </w:r>
          </w:p>
        </w:tc>
      </w:tr>
      <w:tr w14:paraId="0EBED6F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0" w:hRule="atLeast"/>
        </w:trPr>
        <w:tc>
          <w:tcPr>
            <w:tcW w:w="1039" w:type="dxa"/>
            <w:tcBorders>
              <w:top w:val="single" w:color="auto" w:sz="4" w:space="0"/>
              <w:left w:val="single" w:color="auto" w:sz="4" w:space="0"/>
              <w:bottom w:val="single" w:color="auto" w:sz="4" w:space="0"/>
              <w:right w:val="single" w:color="auto" w:sz="4" w:space="0"/>
            </w:tcBorders>
            <w:noWrap w:val="0"/>
            <w:vAlign w:val="center"/>
          </w:tcPr>
          <w:p w14:paraId="6EBB527D">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5</w:t>
            </w:r>
          </w:p>
        </w:tc>
        <w:tc>
          <w:tcPr>
            <w:tcW w:w="978" w:type="dxa"/>
            <w:vMerge w:val="continue"/>
            <w:tcBorders>
              <w:top w:val="single" w:color="auto" w:sz="4" w:space="0"/>
              <w:left w:val="single" w:color="auto" w:sz="4" w:space="0"/>
              <w:bottom w:val="single" w:color="auto" w:sz="4" w:space="0"/>
              <w:right w:val="single" w:color="auto" w:sz="4" w:space="0"/>
            </w:tcBorders>
            <w:noWrap w:val="0"/>
            <w:vAlign w:val="center"/>
          </w:tcPr>
          <w:p w14:paraId="0068BE05">
            <w:pPr>
              <w:jc w:val="center"/>
              <w:rPr>
                <w:rFonts w:hint="eastAsia" w:ascii="宋体" w:hAnsi="宋体" w:eastAsia="宋体" w:cs="宋体"/>
                <w:i w:val="0"/>
                <w:iCs w:val="0"/>
                <w:color w:val="auto"/>
                <w:sz w:val="18"/>
                <w:szCs w:val="18"/>
                <w:highlight w:val="none"/>
                <w:u w:val="none"/>
              </w:rPr>
            </w:pPr>
          </w:p>
        </w:tc>
        <w:tc>
          <w:tcPr>
            <w:tcW w:w="978" w:type="dxa"/>
            <w:tcBorders>
              <w:top w:val="single" w:color="auto" w:sz="4" w:space="0"/>
              <w:left w:val="single" w:color="auto" w:sz="4" w:space="0"/>
              <w:bottom w:val="single" w:color="auto" w:sz="4" w:space="0"/>
              <w:right w:val="single" w:color="auto" w:sz="4" w:space="0"/>
            </w:tcBorders>
            <w:noWrap w:val="0"/>
            <w:vAlign w:val="center"/>
          </w:tcPr>
          <w:p w14:paraId="5AF7685D">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砂（机制砂）</w:t>
            </w:r>
          </w:p>
        </w:tc>
        <w:tc>
          <w:tcPr>
            <w:tcW w:w="3862" w:type="dxa"/>
            <w:tcBorders>
              <w:top w:val="single" w:color="auto" w:sz="4" w:space="0"/>
              <w:left w:val="single" w:color="auto" w:sz="4" w:space="0"/>
              <w:bottom w:val="single" w:color="auto" w:sz="4" w:space="0"/>
              <w:right w:val="single" w:color="auto" w:sz="4" w:space="0"/>
            </w:tcBorders>
            <w:noWrap w:val="0"/>
            <w:vAlign w:val="center"/>
          </w:tcPr>
          <w:p w14:paraId="38688FF8">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筛析、堆积密度、含泥量、泥块 含量、氯离子含量、亚甲蓝试验 （机制砂检）、石粉含量（机制 砂检）</w:t>
            </w:r>
          </w:p>
        </w:tc>
        <w:tc>
          <w:tcPr>
            <w:tcW w:w="1043" w:type="dxa"/>
            <w:tcBorders>
              <w:top w:val="single" w:color="auto" w:sz="4" w:space="0"/>
              <w:left w:val="single" w:color="auto" w:sz="4" w:space="0"/>
              <w:bottom w:val="single" w:color="auto" w:sz="4" w:space="0"/>
              <w:right w:val="single" w:color="auto" w:sz="4" w:space="0"/>
            </w:tcBorders>
            <w:noWrap w:val="0"/>
            <w:vAlign w:val="center"/>
          </w:tcPr>
          <w:p w14:paraId="2B091FE0">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组</w:t>
            </w:r>
          </w:p>
        </w:tc>
        <w:tc>
          <w:tcPr>
            <w:tcW w:w="925" w:type="dxa"/>
            <w:tcBorders>
              <w:top w:val="single" w:color="auto" w:sz="4" w:space="0"/>
              <w:left w:val="single" w:color="auto" w:sz="4" w:space="0"/>
              <w:bottom w:val="single" w:color="auto" w:sz="4" w:space="0"/>
              <w:right w:val="single" w:color="auto" w:sz="4" w:space="0"/>
            </w:tcBorders>
            <w:noWrap w:val="0"/>
            <w:vAlign w:val="center"/>
          </w:tcPr>
          <w:p w14:paraId="2366BFEF">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35</w:t>
            </w:r>
          </w:p>
        </w:tc>
      </w:tr>
      <w:tr w14:paraId="67370D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0" w:hRule="atLeast"/>
        </w:trPr>
        <w:tc>
          <w:tcPr>
            <w:tcW w:w="1039" w:type="dxa"/>
            <w:tcBorders>
              <w:top w:val="single" w:color="auto" w:sz="4" w:space="0"/>
              <w:left w:val="single" w:color="auto" w:sz="4" w:space="0"/>
              <w:bottom w:val="single" w:color="auto" w:sz="4" w:space="0"/>
              <w:right w:val="single" w:color="auto" w:sz="4" w:space="0"/>
            </w:tcBorders>
            <w:noWrap w:val="0"/>
            <w:vAlign w:val="center"/>
          </w:tcPr>
          <w:p w14:paraId="5E454034">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6</w:t>
            </w:r>
          </w:p>
        </w:tc>
        <w:tc>
          <w:tcPr>
            <w:tcW w:w="978" w:type="dxa"/>
            <w:tcBorders>
              <w:top w:val="single" w:color="auto" w:sz="4" w:space="0"/>
              <w:left w:val="single" w:color="auto" w:sz="4" w:space="0"/>
              <w:bottom w:val="single" w:color="auto" w:sz="4" w:space="0"/>
              <w:right w:val="single" w:color="auto" w:sz="4" w:space="0"/>
            </w:tcBorders>
            <w:noWrap w:val="0"/>
            <w:vAlign w:val="center"/>
          </w:tcPr>
          <w:p w14:paraId="57445663">
            <w:pPr>
              <w:jc w:val="center"/>
              <w:rPr>
                <w:rFonts w:hint="eastAsia" w:ascii="宋体" w:hAnsi="宋体" w:eastAsia="宋体" w:cs="宋体"/>
                <w:i w:val="0"/>
                <w:iCs w:val="0"/>
                <w:color w:val="auto"/>
                <w:sz w:val="18"/>
                <w:szCs w:val="18"/>
                <w:highlight w:val="none"/>
                <w:u w:val="none"/>
              </w:rPr>
            </w:pPr>
          </w:p>
        </w:tc>
        <w:tc>
          <w:tcPr>
            <w:tcW w:w="978" w:type="dxa"/>
            <w:tcBorders>
              <w:top w:val="single" w:color="auto" w:sz="4" w:space="0"/>
              <w:left w:val="single" w:color="auto" w:sz="4" w:space="0"/>
              <w:bottom w:val="single" w:color="auto" w:sz="4" w:space="0"/>
              <w:right w:val="single" w:color="auto" w:sz="4" w:space="0"/>
            </w:tcBorders>
            <w:noWrap w:val="0"/>
            <w:vAlign w:val="center"/>
          </w:tcPr>
          <w:p w14:paraId="2742942C">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高强度螺栓</w:t>
            </w:r>
          </w:p>
        </w:tc>
        <w:tc>
          <w:tcPr>
            <w:tcW w:w="3862" w:type="dxa"/>
            <w:tcBorders>
              <w:top w:val="single" w:color="auto" w:sz="4" w:space="0"/>
              <w:left w:val="single" w:color="auto" w:sz="4" w:space="0"/>
              <w:bottom w:val="single" w:color="auto" w:sz="4" w:space="0"/>
              <w:right w:val="single" w:color="auto" w:sz="4" w:space="0"/>
            </w:tcBorders>
            <w:noWrap w:val="0"/>
            <w:vAlign w:val="center"/>
          </w:tcPr>
          <w:p w14:paraId="032909E7">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扭矩</w:t>
            </w:r>
          </w:p>
        </w:tc>
        <w:tc>
          <w:tcPr>
            <w:tcW w:w="1043" w:type="dxa"/>
            <w:tcBorders>
              <w:top w:val="single" w:color="auto" w:sz="4" w:space="0"/>
              <w:left w:val="single" w:color="auto" w:sz="4" w:space="0"/>
              <w:bottom w:val="single" w:color="auto" w:sz="4" w:space="0"/>
              <w:right w:val="single" w:color="auto" w:sz="4" w:space="0"/>
            </w:tcBorders>
            <w:noWrap w:val="0"/>
            <w:vAlign w:val="center"/>
          </w:tcPr>
          <w:p w14:paraId="56EC378C">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根（组）</w:t>
            </w:r>
          </w:p>
        </w:tc>
        <w:tc>
          <w:tcPr>
            <w:tcW w:w="925" w:type="dxa"/>
            <w:tcBorders>
              <w:top w:val="single" w:color="auto" w:sz="4" w:space="0"/>
              <w:left w:val="single" w:color="auto" w:sz="4" w:space="0"/>
              <w:bottom w:val="single" w:color="auto" w:sz="4" w:space="0"/>
              <w:right w:val="single" w:color="auto" w:sz="4" w:space="0"/>
            </w:tcBorders>
            <w:noWrap w:val="0"/>
            <w:vAlign w:val="center"/>
          </w:tcPr>
          <w:p w14:paraId="581E292B">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10</w:t>
            </w:r>
          </w:p>
        </w:tc>
      </w:tr>
      <w:tr w14:paraId="313BC8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0" w:hRule="atLeast"/>
        </w:trPr>
        <w:tc>
          <w:tcPr>
            <w:tcW w:w="1039" w:type="dxa"/>
            <w:tcBorders>
              <w:top w:val="single" w:color="auto" w:sz="4" w:space="0"/>
              <w:left w:val="single" w:color="auto" w:sz="4" w:space="0"/>
              <w:bottom w:val="single" w:color="auto" w:sz="4" w:space="0"/>
              <w:right w:val="single" w:color="auto" w:sz="4" w:space="0"/>
            </w:tcBorders>
            <w:noWrap w:val="0"/>
            <w:vAlign w:val="center"/>
          </w:tcPr>
          <w:p w14:paraId="19DBB645">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7</w:t>
            </w:r>
          </w:p>
        </w:tc>
        <w:tc>
          <w:tcPr>
            <w:tcW w:w="978" w:type="dxa"/>
            <w:vMerge w:val="restart"/>
            <w:tcBorders>
              <w:top w:val="single" w:color="auto" w:sz="4" w:space="0"/>
              <w:left w:val="single" w:color="auto" w:sz="4" w:space="0"/>
              <w:bottom w:val="single" w:color="auto" w:sz="4" w:space="0"/>
              <w:right w:val="single" w:color="auto" w:sz="4" w:space="0"/>
            </w:tcBorders>
            <w:noWrap w:val="0"/>
            <w:vAlign w:val="center"/>
          </w:tcPr>
          <w:p w14:paraId="5F36E05D">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水运工程实 体检测</w:t>
            </w:r>
          </w:p>
        </w:tc>
        <w:tc>
          <w:tcPr>
            <w:tcW w:w="4840" w:type="dxa"/>
            <w:gridSpan w:val="2"/>
            <w:tcBorders>
              <w:top w:val="single" w:color="auto" w:sz="4" w:space="0"/>
              <w:left w:val="single" w:color="auto" w:sz="4" w:space="0"/>
              <w:bottom w:val="single" w:color="auto" w:sz="4" w:space="0"/>
              <w:right w:val="single" w:color="auto" w:sz="4" w:space="0"/>
            </w:tcBorders>
            <w:noWrap w:val="0"/>
            <w:vAlign w:val="center"/>
          </w:tcPr>
          <w:p w14:paraId="0315D230">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混凝土强度（超声-回弹综合法）</w:t>
            </w:r>
          </w:p>
        </w:tc>
        <w:tc>
          <w:tcPr>
            <w:tcW w:w="1043" w:type="dxa"/>
            <w:tcBorders>
              <w:top w:val="single" w:color="auto" w:sz="4" w:space="0"/>
              <w:left w:val="single" w:color="auto" w:sz="4" w:space="0"/>
              <w:bottom w:val="single" w:color="auto" w:sz="4" w:space="0"/>
              <w:right w:val="single" w:color="auto" w:sz="4" w:space="0"/>
            </w:tcBorders>
            <w:noWrap w:val="0"/>
            <w:vAlign w:val="center"/>
          </w:tcPr>
          <w:p w14:paraId="672FE943">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测区</w:t>
            </w:r>
          </w:p>
        </w:tc>
        <w:tc>
          <w:tcPr>
            <w:tcW w:w="925" w:type="dxa"/>
            <w:tcBorders>
              <w:top w:val="single" w:color="auto" w:sz="4" w:space="0"/>
              <w:left w:val="single" w:color="auto" w:sz="4" w:space="0"/>
              <w:bottom w:val="single" w:color="auto" w:sz="4" w:space="0"/>
              <w:right w:val="single" w:color="auto" w:sz="4" w:space="0"/>
            </w:tcBorders>
            <w:noWrap w:val="0"/>
            <w:vAlign w:val="center"/>
          </w:tcPr>
          <w:p w14:paraId="51FBF0CE">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2800</w:t>
            </w:r>
          </w:p>
        </w:tc>
      </w:tr>
      <w:tr w14:paraId="2238003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0" w:hRule="atLeast"/>
        </w:trPr>
        <w:tc>
          <w:tcPr>
            <w:tcW w:w="1039" w:type="dxa"/>
            <w:tcBorders>
              <w:top w:val="single" w:color="auto" w:sz="4" w:space="0"/>
              <w:left w:val="single" w:color="auto" w:sz="4" w:space="0"/>
              <w:bottom w:val="single" w:color="auto" w:sz="4" w:space="0"/>
              <w:right w:val="single" w:color="auto" w:sz="4" w:space="0"/>
            </w:tcBorders>
            <w:noWrap w:val="0"/>
            <w:vAlign w:val="center"/>
          </w:tcPr>
          <w:p w14:paraId="5DFD66A6">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8</w:t>
            </w:r>
          </w:p>
        </w:tc>
        <w:tc>
          <w:tcPr>
            <w:tcW w:w="978" w:type="dxa"/>
            <w:vMerge w:val="continue"/>
            <w:tcBorders>
              <w:top w:val="single" w:color="auto" w:sz="4" w:space="0"/>
              <w:left w:val="single" w:color="auto" w:sz="4" w:space="0"/>
              <w:bottom w:val="single" w:color="auto" w:sz="4" w:space="0"/>
              <w:right w:val="single" w:color="auto" w:sz="4" w:space="0"/>
            </w:tcBorders>
            <w:noWrap w:val="0"/>
            <w:vAlign w:val="center"/>
          </w:tcPr>
          <w:p w14:paraId="3B42280E">
            <w:pPr>
              <w:jc w:val="center"/>
              <w:rPr>
                <w:rFonts w:hint="eastAsia" w:ascii="宋体" w:hAnsi="宋体" w:eastAsia="宋体" w:cs="宋体"/>
                <w:i w:val="0"/>
                <w:iCs w:val="0"/>
                <w:color w:val="auto"/>
                <w:sz w:val="18"/>
                <w:szCs w:val="18"/>
                <w:highlight w:val="none"/>
                <w:u w:val="none"/>
              </w:rPr>
            </w:pPr>
          </w:p>
        </w:tc>
        <w:tc>
          <w:tcPr>
            <w:tcW w:w="4840" w:type="dxa"/>
            <w:gridSpan w:val="2"/>
            <w:tcBorders>
              <w:top w:val="single" w:color="auto" w:sz="4" w:space="0"/>
              <w:left w:val="single" w:color="auto" w:sz="4" w:space="0"/>
              <w:bottom w:val="single" w:color="auto" w:sz="4" w:space="0"/>
              <w:right w:val="single" w:color="auto" w:sz="4" w:space="0"/>
            </w:tcBorders>
            <w:noWrap w:val="0"/>
            <w:vAlign w:val="center"/>
          </w:tcPr>
          <w:p w14:paraId="1A591BF9">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钢筋保护层厚度</w:t>
            </w:r>
          </w:p>
        </w:tc>
        <w:tc>
          <w:tcPr>
            <w:tcW w:w="1043" w:type="dxa"/>
            <w:tcBorders>
              <w:top w:val="single" w:color="auto" w:sz="4" w:space="0"/>
              <w:left w:val="single" w:color="auto" w:sz="4" w:space="0"/>
              <w:bottom w:val="single" w:color="auto" w:sz="4" w:space="0"/>
              <w:right w:val="single" w:color="auto" w:sz="4" w:space="0"/>
            </w:tcBorders>
            <w:noWrap w:val="0"/>
            <w:vAlign w:val="center"/>
          </w:tcPr>
          <w:p w14:paraId="0227D565">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点</w:t>
            </w:r>
          </w:p>
        </w:tc>
        <w:tc>
          <w:tcPr>
            <w:tcW w:w="925" w:type="dxa"/>
            <w:tcBorders>
              <w:top w:val="single" w:color="auto" w:sz="4" w:space="0"/>
              <w:left w:val="single" w:color="auto" w:sz="4" w:space="0"/>
              <w:bottom w:val="single" w:color="auto" w:sz="4" w:space="0"/>
              <w:right w:val="single" w:color="auto" w:sz="4" w:space="0"/>
            </w:tcBorders>
            <w:noWrap w:val="0"/>
            <w:vAlign w:val="center"/>
          </w:tcPr>
          <w:p w14:paraId="126A2BBE">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3200</w:t>
            </w:r>
          </w:p>
        </w:tc>
      </w:tr>
      <w:tr w14:paraId="1E6D0F9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0" w:hRule="atLeast"/>
        </w:trPr>
        <w:tc>
          <w:tcPr>
            <w:tcW w:w="1039" w:type="dxa"/>
            <w:tcBorders>
              <w:top w:val="single" w:color="auto" w:sz="4" w:space="0"/>
              <w:left w:val="single" w:color="auto" w:sz="4" w:space="0"/>
              <w:bottom w:val="single" w:color="auto" w:sz="4" w:space="0"/>
              <w:right w:val="single" w:color="auto" w:sz="4" w:space="0"/>
            </w:tcBorders>
            <w:noWrap w:val="0"/>
            <w:vAlign w:val="center"/>
          </w:tcPr>
          <w:p w14:paraId="3A59CDC8">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9</w:t>
            </w:r>
          </w:p>
        </w:tc>
        <w:tc>
          <w:tcPr>
            <w:tcW w:w="978" w:type="dxa"/>
            <w:vMerge w:val="continue"/>
            <w:tcBorders>
              <w:top w:val="single" w:color="auto" w:sz="4" w:space="0"/>
              <w:left w:val="single" w:color="auto" w:sz="4" w:space="0"/>
              <w:bottom w:val="single" w:color="auto" w:sz="4" w:space="0"/>
              <w:right w:val="single" w:color="auto" w:sz="4" w:space="0"/>
            </w:tcBorders>
            <w:noWrap w:val="0"/>
            <w:vAlign w:val="center"/>
          </w:tcPr>
          <w:p w14:paraId="3690ED2B">
            <w:pPr>
              <w:jc w:val="center"/>
              <w:rPr>
                <w:rFonts w:hint="eastAsia" w:ascii="宋体" w:hAnsi="宋体" w:eastAsia="宋体" w:cs="宋体"/>
                <w:i w:val="0"/>
                <w:iCs w:val="0"/>
                <w:color w:val="auto"/>
                <w:sz w:val="18"/>
                <w:szCs w:val="18"/>
                <w:highlight w:val="none"/>
                <w:u w:val="none"/>
              </w:rPr>
            </w:pPr>
          </w:p>
        </w:tc>
        <w:tc>
          <w:tcPr>
            <w:tcW w:w="4840" w:type="dxa"/>
            <w:gridSpan w:val="2"/>
            <w:tcBorders>
              <w:top w:val="single" w:color="auto" w:sz="4" w:space="0"/>
              <w:left w:val="single" w:color="auto" w:sz="4" w:space="0"/>
              <w:bottom w:val="single" w:color="auto" w:sz="4" w:space="0"/>
              <w:right w:val="single" w:color="auto" w:sz="4" w:space="0"/>
            </w:tcBorders>
            <w:noWrap w:val="0"/>
            <w:vAlign w:val="center"/>
          </w:tcPr>
          <w:p w14:paraId="68E73B51">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钢筋位置（钢筋间距）</w:t>
            </w:r>
          </w:p>
        </w:tc>
        <w:tc>
          <w:tcPr>
            <w:tcW w:w="1043" w:type="dxa"/>
            <w:tcBorders>
              <w:top w:val="single" w:color="auto" w:sz="4" w:space="0"/>
              <w:left w:val="single" w:color="auto" w:sz="4" w:space="0"/>
              <w:bottom w:val="single" w:color="auto" w:sz="4" w:space="0"/>
              <w:right w:val="single" w:color="auto" w:sz="4" w:space="0"/>
            </w:tcBorders>
            <w:noWrap w:val="0"/>
            <w:vAlign w:val="center"/>
          </w:tcPr>
          <w:p w14:paraId="294C068D">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点</w:t>
            </w:r>
          </w:p>
        </w:tc>
        <w:tc>
          <w:tcPr>
            <w:tcW w:w="925" w:type="dxa"/>
            <w:tcBorders>
              <w:top w:val="single" w:color="auto" w:sz="4" w:space="0"/>
              <w:left w:val="single" w:color="auto" w:sz="4" w:space="0"/>
              <w:bottom w:val="single" w:color="auto" w:sz="4" w:space="0"/>
              <w:right w:val="single" w:color="auto" w:sz="4" w:space="0"/>
            </w:tcBorders>
            <w:noWrap w:val="0"/>
            <w:vAlign w:val="center"/>
          </w:tcPr>
          <w:p w14:paraId="33CD47EA">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2100</w:t>
            </w:r>
          </w:p>
        </w:tc>
      </w:tr>
      <w:tr w14:paraId="034A43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0" w:hRule="atLeast"/>
        </w:trPr>
        <w:tc>
          <w:tcPr>
            <w:tcW w:w="1039" w:type="dxa"/>
            <w:tcBorders>
              <w:top w:val="single" w:color="auto" w:sz="4" w:space="0"/>
              <w:left w:val="single" w:color="auto" w:sz="4" w:space="0"/>
              <w:bottom w:val="single" w:color="auto" w:sz="4" w:space="0"/>
              <w:right w:val="single" w:color="auto" w:sz="4" w:space="0"/>
            </w:tcBorders>
            <w:noWrap w:val="0"/>
            <w:vAlign w:val="center"/>
          </w:tcPr>
          <w:p w14:paraId="286BB036">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10</w:t>
            </w:r>
          </w:p>
        </w:tc>
        <w:tc>
          <w:tcPr>
            <w:tcW w:w="978" w:type="dxa"/>
            <w:vMerge w:val="continue"/>
            <w:tcBorders>
              <w:top w:val="single" w:color="auto" w:sz="4" w:space="0"/>
              <w:left w:val="single" w:color="auto" w:sz="4" w:space="0"/>
              <w:bottom w:val="single" w:color="auto" w:sz="4" w:space="0"/>
              <w:right w:val="single" w:color="auto" w:sz="4" w:space="0"/>
            </w:tcBorders>
            <w:noWrap w:val="0"/>
            <w:vAlign w:val="center"/>
          </w:tcPr>
          <w:p w14:paraId="54EEE602">
            <w:pPr>
              <w:jc w:val="center"/>
              <w:rPr>
                <w:rFonts w:hint="eastAsia" w:ascii="宋体" w:hAnsi="宋体" w:eastAsia="宋体" w:cs="宋体"/>
                <w:i w:val="0"/>
                <w:iCs w:val="0"/>
                <w:color w:val="auto"/>
                <w:sz w:val="18"/>
                <w:szCs w:val="18"/>
                <w:highlight w:val="none"/>
                <w:u w:val="none"/>
              </w:rPr>
            </w:pPr>
          </w:p>
        </w:tc>
        <w:tc>
          <w:tcPr>
            <w:tcW w:w="4840" w:type="dxa"/>
            <w:gridSpan w:val="2"/>
            <w:tcBorders>
              <w:top w:val="single" w:color="auto" w:sz="4" w:space="0"/>
              <w:left w:val="single" w:color="auto" w:sz="4" w:space="0"/>
              <w:bottom w:val="single" w:color="auto" w:sz="4" w:space="0"/>
              <w:right w:val="single" w:color="auto" w:sz="4" w:space="0"/>
            </w:tcBorders>
            <w:noWrap w:val="0"/>
            <w:vAlign w:val="center"/>
          </w:tcPr>
          <w:p w14:paraId="32E6B9A6">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混凝土抗氯离子渗透性能（电通量法）</w:t>
            </w:r>
          </w:p>
        </w:tc>
        <w:tc>
          <w:tcPr>
            <w:tcW w:w="1043" w:type="dxa"/>
            <w:tcBorders>
              <w:top w:val="single" w:color="auto" w:sz="4" w:space="0"/>
              <w:left w:val="single" w:color="auto" w:sz="4" w:space="0"/>
              <w:bottom w:val="single" w:color="auto" w:sz="4" w:space="0"/>
              <w:right w:val="single" w:color="auto" w:sz="4" w:space="0"/>
            </w:tcBorders>
            <w:noWrap w:val="0"/>
            <w:vAlign w:val="center"/>
          </w:tcPr>
          <w:p w14:paraId="3303B518">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组</w:t>
            </w:r>
          </w:p>
        </w:tc>
        <w:tc>
          <w:tcPr>
            <w:tcW w:w="925" w:type="dxa"/>
            <w:tcBorders>
              <w:top w:val="single" w:color="auto" w:sz="4" w:space="0"/>
              <w:left w:val="single" w:color="auto" w:sz="4" w:space="0"/>
              <w:bottom w:val="single" w:color="auto" w:sz="4" w:space="0"/>
              <w:right w:val="single" w:color="auto" w:sz="4" w:space="0"/>
            </w:tcBorders>
            <w:noWrap w:val="0"/>
            <w:vAlign w:val="center"/>
          </w:tcPr>
          <w:p w14:paraId="30166422">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16</w:t>
            </w:r>
          </w:p>
        </w:tc>
      </w:tr>
      <w:tr w14:paraId="0BE04E4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0" w:hRule="atLeast"/>
        </w:trPr>
        <w:tc>
          <w:tcPr>
            <w:tcW w:w="1039" w:type="dxa"/>
            <w:tcBorders>
              <w:top w:val="single" w:color="auto" w:sz="4" w:space="0"/>
              <w:left w:val="single" w:color="auto" w:sz="4" w:space="0"/>
              <w:bottom w:val="single" w:color="auto" w:sz="4" w:space="0"/>
              <w:right w:val="single" w:color="auto" w:sz="4" w:space="0"/>
            </w:tcBorders>
            <w:noWrap w:val="0"/>
            <w:vAlign w:val="center"/>
          </w:tcPr>
          <w:p w14:paraId="086E1DBA">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11</w:t>
            </w:r>
          </w:p>
        </w:tc>
        <w:tc>
          <w:tcPr>
            <w:tcW w:w="978" w:type="dxa"/>
            <w:vMerge w:val="continue"/>
            <w:tcBorders>
              <w:top w:val="single" w:color="auto" w:sz="4" w:space="0"/>
              <w:left w:val="single" w:color="auto" w:sz="4" w:space="0"/>
              <w:bottom w:val="single" w:color="auto" w:sz="4" w:space="0"/>
              <w:right w:val="single" w:color="auto" w:sz="4" w:space="0"/>
            </w:tcBorders>
            <w:noWrap w:val="0"/>
            <w:vAlign w:val="center"/>
          </w:tcPr>
          <w:p w14:paraId="3E28DF83">
            <w:pPr>
              <w:jc w:val="center"/>
              <w:rPr>
                <w:rFonts w:hint="eastAsia" w:ascii="宋体" w:hAnsi="宋体" w:eastAsia="宋体" w:cs="宋体"/>
                <w:i w:val="0"/>
                <w:iCs w:val="0"/>
                <w:color w:val="auto"/>
                <w:sz w:val="18"/>
                <w:szCs w:val="18"/>
                <w:highlight w:val="none"/>
                <w:u w:val="none"/>
              </w:rPr>
            </w:pPr>
          </w:p>
        </w:tc>
        <w:tc>
          <w:tcPr>
            <w:tcW w:w="4840" w:type="dxa"/>
            <w:gridSpan w:val="2"/>
            <w:tcBorders>
              <w:top w:val="single" w:color="auto" w:sz="4" w:space="0"/>
              <w:left w:val="single" w:color="auto" w:sz="4" w:space="0"/>
              <w:bottom w:val="single" w:color="auto" w:sz="4" w:space="0"/>
              <w:right w:val="single" w:color="auto" w:sz="4" w:space="0"/>
            </w:tcBorders>
            <w:noWrap w:val="0"/>
            <w:vAlign w:val="center"/>
          </w:tcPr>
          <w:p w14:paraId="7E754E2E">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混凝土硅烷浸渍质量（吸水率、浸渍深度、氯化物 吸收量降低效果试验）</w:t>
            </w:r>
          </w:p>
        </w:tc>
        <w:tc>
          <w:tcPr>
            <w:tcW w:w="1043" w:type="dxa"/>
            <w:tcBorders>
              <w:top w:val="single" w:color="auto" w:sz="4" w:space="0"/>
              <w:left w:val="single" w:color="auto" w:sz="4" w:space="0"/>
              <w:bottom w:val="single" w:color="auto" w:sz="4" w:space="0"/>
              <w:right w:val="single" w:color="auto" w:sz="4" w:space="0"/>
            </w:tcBorders>
            <w:noWrap w:val="0"/>
            <w:vAlign w:val="center"/>
          </w:tcPr>
          <w:p w14:paraId="0036894E">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组</w:t>
            </w:r>
          </w:p>
        </w:tc>
        <w:tc>
          <w:tcPr>
            <w:tcW w:w="925" w:type="dxa"/>
            <w:tcBorders>
              <w:top w:val="single" w:color="auto" w:sz="4" w:space="0"/>
              <w:left w:val="single" w:color="auto" w:sz="4" w:space="0"/>
              <w:bottom w:val="single" w:color="auto" w:sz="4" w:space="0"/>
              <w:right w:val="single" w:color="auto" w:sz="4" w:space="0"/>
            </w:tcBorders>
            <w:noWrap w:val="0"/>
            <w:vAlign w:val="center"/>
          </w:tcPr>
          <w:p w14:paraId="4AF4B42B">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16</w:t>
            </w:r>
          </w:p>
        </w:tc>
      </w:tr>
      <w:tr w14:paraId="41AE364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0" w:hRule="atLeast"/>
        </w:trPr>
        <w:tc>
          <w:tcPr>
            <w:tcW w:w="1039" w:type="dxa"/>
            <w:tcBorders>
              <w:top w:val="single" w:color="auto" w:sz="4" w:space="0"/>
              <w:left w:val="single" w:color="auto" w:sz="4" w:space="0"/>
              <w:bottom w:val="single" w:color="auto" w:sz="4" w:space="0"/>
              <w:right w:val="single" w:color="auto" w:sz="4" w:space="0"/>
            </w:tcBorders>
            <w:noWrap w:val="0"/>
            <w:vAlign w:val="center"/>
          </w:tcPr>
          <w:p w14:paraId="72E7B2DC">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12</w:t>
            </w:r>
          </w:p>
        </w:tc>
        <w:tc>
          <w:tcPr>
            <w:tcW w:w="978" w:type="dxa"/>
            <w:vMerge w:val="continue"/>
            <w:tcBorders>
              <w:top w:val="single" w:color="auto" w:sz="4" w:space="0"/>
              <w:left w:val="single" w:color="auto" w:sz="4" w:space="0"/>
              <w:bottom w:val="single" w:color="auto" w:sz="4" w:space="0"/>
              <w:right w:val="single" w:color="auto" w:sz="4" w:space="0"/>
            </w:tcBorders>
            <w:noWrap w:val="0"/>
            <w:vAlign w:val="center"/>
          </w:tcPr>
          <w:p w14:paraId="249EBABE">
            <w:pPr>
              <w:jc w:val="center"/>
              <w:rPr>
                <w:rFonts w:hint="eastAsia" w:ascii="宋体" w:hAnsi="宋体" w:eastAsia="宋体" w:cs="宋体"/>
                <w:i w:val="0"/>
                <w:iCs w:val="0"/>
                <w:color w:val="auto"/>
                <w:sz w:val="18"/>
                <w:szCs w:val="18"/>
                <w:highlight w:val="none"/>
                <w:u w:val="none"/>
              </w:rPr>
            </w:pPr>
          </w:p>
        </w:tc>
        <w:tc>
          <w:tcPr>
            <w:tcW w:w="4840" w:type="dxa"/>
            <w:gridSpan w:val="2"/>
            <w:tcBorders>
              <w:top w:val="single" w:color="auto" w:sz="4" w:space="0"/>
              <w:left w:val="single" w:color="auto" w:sz="4" w:space="0"/>
              <w:bottom w:val="single" w:color="auto" w:sz="4" w:space="0"/>
              <w:right w:val="single" w:color="auto" w:sz="4" w:space="0"/>
            </w:tcBorders>
            <w:noWrap w:val="0"/>
            <w:vAlign w:val="center"/>
          </w:tcPr>
          <w:p w14:paraId="77BE2F83">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超声波探伤</w:t>
            </w:r>
          </w:p>
        </w:tc>
        <w:tc>
          <w:tcPr>
            <w:tcW w:w="1043" w:type="dxa"/>
            <w:tcBorders>
              <w:top w:val="single" w:color="auto" w:sz="4" w:space="0"/>
              <w:left w:val="single" w:color="auto" w:sz="4" w:space="0"/>
              <w:bottom w:val="single" w:color="auto" w:sz="4" w:space="0"/>
              <w:right w:val="single" w:color="auto" w:sz="4" w:space="0"/>
            </w:tcBorders>
            <w:noWrap w:val="0"/>
            <w:vAlign w:val="center"/>
          </w:tcPr>
          <w:p w14:paraId="542BFBDB">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m</w:t>
            </w:r>
          </w:p>
        </w:tc>
        <w:tc>
          <w:tcPr>
            <w:tcW w:w="925" w:type="dxa"/>
            <w:tcBorders>
              <w:top w:val="single" w:color="auto" w:sz="4" w:space="0"/>
              <w:left w:val="single" w:color="auto" w:sz="4" w:space="0"/>
              <w:bottom w:val="single" w:color="auto" w:sz="4" w:space="0"/>
              <w:right w:val="single" w:color="auto" w:sz="4" w:space="0"/>
            </w:tcBorders>
            <w:noWrap w:val="0"/>
            <w:vAlign w:val="center"/>
          </w:tcPr>
          <w:p w14:paraId="327921F6">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50</w:t>
            </w:r>
          </w:p>
        </w:tc>
      </w:tr>
      <w:tr w14:paraId="2459FA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0" w:hRule="atLeast"/>
        </w:trPr>
        <w:tc>
          <w:tcPr>
            <w:tcW w:w="1039" w:type="dxa"/>
            <w:tcBorders>
              <w:top w:val="single" w:color="auto" w:sz="4" w:space="0"/>
              <w:left w:val="single" w:color="auto" w:sz="4" w:space="0"/>
              <w:bottom w:val="single" w:color="auto" w:sz="4" w:space="0"/>
              <w:right w:val="single" w:color="auto" w:sz="4" w:space="0"/>
            </w:tcBorders>
            <w:noWrap w:val="0"/>
            <w:vAlign w:val="center"/>
          </w:tcPr>
          <w:p w14:paraId="3FB33E36">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13</w:t>
            </w:r>
          </w:p>
        </w:tc>
        <w:tc>
          <w:tcPr>
            <w:tcW w:w="978" w:type="dxa"/>
            <w:vMerge w:val="continue"/>
            <w:tcBorders>
              <w:top w:val="single" w:color="auto" w:sz="4" w:space="0"/>
              <w:left w:val="single" w:color="auto" w:sz="4" w:space="0"/>
              <w:bottom w:val="single" w:color="auto" w:sz="4" w:space="0"/>
              <w:right w:val="single" w:color="auto" w:sz="4" w:space="0"/>
            </w:tcBorders>
            <w:noWrap w:val="0"/>
            <w:vAlign w:val="center"/>
          </w:tcPr>
          <w:p w14:paraId="5713C114">
            <w:pPr>
              <w:jc w:val="center"/>
              <w:rPr>
                <w:rFonts w:hint="eastAsia" w:ascii="宋体" w:hAnsi="宋体" w:eastAsia="宋体" w:cs="宋体"/>
                <w:i w:val="0"/>
                <w:iCs w:val="0"/>
                <w:color w:val="auto"/>
                <w:sz w:val="18"/>
                <w:szCs w:val="18"/>
                <w:highlight w:val="none"/>
                <w:u w:val="none"/>
              </w:rPr>
            </w:pPr>
          </w:p>
        </w:tc>
        <w:tc>
          <w:tcPr>
            <w:tcW w:w="4840" w:type="dxa"/>
            <w:gridSpan w:val="2"/>
            <w:tcBorders>
              <w:top w:val="single" w:color="auto" w:sz="4" w:space="0"/>
              <w:left w:val="single" w:color="auto" w:sz="4" w:space="0"/>
              <w:bottom w:val="single" w:color="auto" w:sz="4" w:space="0"/>
              <w:right w:val="single" w:color="auto" w:sz="4" w:space="0"/>
            </w:tcBorders>
            <w:noWrap w:val="0"/>
            <w:vAlign w:val="center"/>
          </w:tcPr>
          <w:p w14:paraId="30A3A3DD">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防腐涂层厚度</w:t>
            </w:r>
          </w:p>
        </w:tc>
        <w:tc>
          <w:tcPr>
            <w:tcW w:w="1043" w:type="dxa"/>
            <w:tcBorders>
              <w:top w:val="single" w:color="auto" w:sz="4" w:space="0"/>
              <w:left w:val="single" w:color="auto" w:sz="4" w:space="0"/>
              <w:bottom w:val="single" w:color="auto" w:sz="4" w:space="0"/>
              <w:right w:val="single" w:color="auto" w:sz="4" w:space="0"/>
            </w:tcBorders>
            <w:noWrap w:val="0"/>
            <w:vAlign w:val="center"/>
          </w:tcPr>
          <w:p w14:paraId="5FFA12ED">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点/处</w:t>
            </w:r>
          </w:p>
        </w:tc>
        <w:tc>
          <w:tcPr>
            <w:tcW w:w="925" w:type="dxa"/>
            <w:tcBorders>
              <w:top w:val="single" w:color="auto" w:sz="4" w:space="0"/>
              <w:left w:val="single" w:color="auto" w:sz="4" w:space="0"/>
              <w:bottom w:val="single" w:color="auto" w:sz="4" w:space="0"/>
              <w:right w:val="single" w:color="auto" w:sz="4" w:space="0"/>
            </w:tcBorders>
            <w:noWrap w:val="0"/>
            <w:vAlign w:val="center"/>
          </w:tcPr>
          <w:p w14:paraId="617AF83D">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100/10</w:t>
            </w:r>
          </w:p>
        </w:tc>
      </w:tr>
      <w:tr w14:paraId="352B86B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0" w:hRule="atLeast"/>
        </w:trPr>
        <w:tc>
          <w:tcPr>
            <w:tcW w:w="1039" w:type="dxa"/>
            <w:tcBorders>
              <w:top w:val="single" w:color="auto" w:sz="4" w:space="0"/>
              <w:left w:val="single" w:color="auto" w:sz="4" w:space="0"/>
              <w:bottom w:val="single" w:color="auto" w:sz="4" w:space="0"/>
              <w:right w:val="single" w:color="auto" w:sz="4" w:space="0"/>
            </w:tcBorders>
            <w:noWrap w:val="0"/>
            <w:vAlign w:val="center"/>
          </w:tcPr>
          <w:p w14:paraId="342815FB">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14</w:t>
            </w:r>
          </w:p>
        </w:tc>
        <w:tc>
          <w:tcPr>
            <w:tcW w:w="978" w:type="dxa"/>
            <w:tcBorders>
              <w:top w:val="single" w:color="auto" w:sz="4" w:space="0"/>
              <w:left w:val="single" w:color="auto" w:sz="4" w:space="0"/>
              <w:bottom w:val="single" w:color="auto" w:sz="4" w:space="0"/>
              <w:right w:val="single" w:color="auto" w:sz="4" w:space="0"/>
            </w:tcBorders>
            <w:noWrap w:val="0"/>
            <w:vAlign w:val="center"/>
          </w:tcPr>
          <w:p w14:paraId="53FED974">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桩基、地基 检测</w:t>
            </w:r>
          </w:p>
        </w:tc>
        <w:tc>
          <w:tcPr>
            <w:tcW w:w="4840" w:type="dxa"/>
            <w:gridSpan w:val="2"/>
            <w:tcBorders>
              <w:top w:val="single" w:color="auto" w:sz="4" w:space="0"/>
              <w:left w:val="single" w:color="auto" w:sz="4" w:space="0"/>
              <w:bottom w:val="single" w:color="auto" w:sz="4" w:space="0"/>
              <w:right w:val="single" w:color="auto" w:sz="4" w:space="0"/>
            </w:tcBorders>
            <w:noWrap w:val="0"/>
            <w:vAlign w:val="center"/>
          </w:tcPr>
          <w:p w14:paraId="2AAA8A4A">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地基承载力（平板荷载试验）</w:t>
            </w:r>
          </w:p>
        </w:tc>
        <w:tc>
          <w:tcPr>
            <w:tcW w:w="1043" w:type="dxa"/>
            <w:tcBorders>
              <w:top w:val="single" w:color="auto" w:sz="4" w:space="0"/>
              <w:left w:val="single" w:color="auto" w:sz="4" w:space="0"/>
              <w:bottom w:val="single" w:color="auto" w:sz="4" w:space="0"/>
              <w:right w:val="single" w:color="auto" w:sz="4" w:space="0"/>
            </w:tcBorders>
            <w:noWrap w:val="0"/>
            <w:vAlign w:val="center"/>
          </w:tcPr>
          <w:p w14:paraId="7A309706">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点</w:t>
            </w:r>
          </w:p>
        </w:tc>
        <w:tc>
          <w:tcPr>
            <w:tcW w:w="925" w:type="dxa"/>
            <w:tcBorders>
              <w:top w:val="single" w:color="auto" w:sz="4" w:space="0"/>
              <w:left w:val="single" w:color="auto" w:sz="4" w:space="0"/>
              <w:bottom w:val="single" w:color="auto" w:sz="4" w:space="0"/>
              <w:right w:val="single" w:color="auto" w:sz="4" w:space="0"/>
            </w:tcBorders>
            <w:noWrap w:val="0"/>
            <w:vAlign w:val="center"/>
          </w:tcPr>
          <w:p w14:paraId="64A2CCCD">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5</w:t>
            </w:r>
          </w:p>
        </w:tc>
      </w:tr>
    </w:tbl>
    <w:p w14:paraId="3432705A">
      <w:pPr>
        <w:rPr>
          <w:rFonts w:hint="eastAsia" w:ascii="宋体" w:hAnsi="宋体" w:eastAsia="宋体" w:cs="宋体"/>
          <w:b/>
          <w:color w:val="auto"/>
          <w:sz w:val="21"/>
          <w:highlight w:val="none"/>
        </w:rPr>
      </w:pPr>
      <w:r>
        <w:rPr>
          <w:rFonts w:hint="eastAsia" w:ascii="宋体" w:hAnsi="宋体" w:eastAsia="宋体" w:cs="宋体"/>
          <w:b/>
          <w:color w:val="auto"/>
          <w:w w:val="95"/>
          <w:sz w:val="21"/>
          <w:highlight w:val="none"/>
        </w:rPr>
        <w:t>注明：以上检测项目和数量可根据工程项目实际情况调整，最终按中标人的实际工作量进行结算。不</w:t>
      </w:r>
      <w:r>
        <w:rPr>
          <w:rFonts w:hint="eastAsia" w:ascii="宋体" w:hAnsi="宋体" w:eastAsia="宋体" w:cs="宋体"/>
          <w:b/>
          <w:color w:val="auto"/>
          <w:sz w:val="21"/>
          <w:highlight w:val="none"/>
        </w:rPr>
        <w:t>足中标金额的，采购人可视情况要求中标人增加相关检测数量。</w:t>
      </w:r>
    </w:p>
    <w:p w14:paraId="33782468">
      <w:pPr>
        <w:spacing w:before="1"/>
        <w:ind w:right="0"/>
        <w:jc w:val="left"/>
        <w:rPr>
          <w:rFonts w:hint="eastAsia" w:ascii="宋体" w:hAnsi="宋体" w:eastAsia="宋体" w:cs="宋体"/>
          <w:b/>
          <w:color w:val="auto"/>
          <w:sz w:val="21"/>
          <w:highlight w:val="none"/>
        </w:rPr>
      </w:pPr>
      <w:r>
        <w:rPr>
          <w:rFonts w:hint="eastAsia" w:ascii="宋体" w:hAnsi="宋体" w:eastAsia="宋体" w:cs="宋体"/>
          <w:b/>
          <w:color w:val="auto"/>
          <w:sz w:val="21"/>
          <w:highlight w:val="none"/>
        </w:rPr>
        <w:br w:type="page"/>
      </w:r>
      <w:r>
        <w:rPr>
          <w:rFonts w:hint="eastAsia" w:ascii="宋体" w:hAnsi="宋体" w:eastAsia="宋体" w:cs="宋体"/>
          <w:b/>
          <w:color w:val="auto"/>
          <w:sz w:val="21"/>
          <w:highlight w:val="none"/>
        </w:rPr>
        <w:t xml:space="preserve">附表 </w:t>
      </w:r>
      <w:r>
        <w:rPr>
          <w:rFonts w:hint="eastAsia" w:ascii="宋体" w:hAnsi="宋体" w:eastAsia="宋体" w:cs="宋体"/>
          <w:b/>
          <w:color w:val="auto"/>
          <w:sz w:val="21"/>
          <w:highlight w:val="none"/>
          <w:lang w:val="en-US" w:eastAsia="zh-CN"/>
        </w:rPr>
        <w:t>4</w:t>
      </w:r>
      <w:r>
        <w:rPr>
          <w:rFonts w:hint="eastAsia" w:ascii="宋体" w:hAnsi="宋体" w:eastAsia="宋体" w:cs="宋体"/>
          <w:b/>
          <w:color w:val="auto"/>
          <w:sz w:val="21"/>
          <w:highlight w:val="none"/>
        </w:rPr>
        <w:t>《水运工程</w:t>
      </w:r>
      <w:r>
        <w:rPr>
          <w:rFonts w:hint="eastAsia" w:ascii="宋体" w:hAnsi="宋体" w:eastAsia="宋体" w:cs="宋体"/>
          <w:b/>
          <w:color w:val="auto"/>
          <w:sz w:val="21"/>
          <w:highlight w:val="none"/>
          <w:lang w:eastAsia="zh-CN"/>
        </w:rPr>
        <w:t>质量监督检测</w:t>
      </w:r>
      <w:r>
        <w:rPr>
          <w:rFonts w:hint="eastAsia" w:ascii="宋体" w:hAnsi="宋体" w:eastAsia="宋体" w:cs="宋体"/>
          <w:b/>
          <w:color w:val="auto"/>
          <w:sz w:val="21"/>
          <w:highlight w:val="none"/>
        </w:rPr>
        <w:t>项目实施人员最低数量要求表》</w:t>
      </w:r>
    </w:p>
    <w:p w14:paraId="314A5F3B">
      <w:pPr>
        <w:spacing w:before="131"/>
        <w:ind w:right="0"/>
        <w:jc w:val="center"/>
        <w:rPr>
          <w:rFonts w:hint="eastAsia" w:ascii="宋体" w:hAnsi="宋体" w:eastAsia="宋体" w:cs="宋体"/>
          <w:b/>
          <w:color w:val="auto"/>
          <w:sz w:val="21"/>
          <w:highlight w:val="none"/>
        </w:rPr>
      </w:pPr>
      <w:r>
        <w:rPr>
          <w:rFonts w:hint="eastAsia" w:ascii="宋体" w:hAnsi="宋体" w:eastAsia="宋体" w:cs="宋体"/>
          <w:b/>
          <w:color w:val="auto"/>
          <w:sz w:val="21"/>
          <w:highlight w:val="none"/>
        </w:rPr>
        <w:t>▲水运工程</w:t>
      </w:r>
      <w:r>
        <w:rPr>
          <w:rFonts w:hint="eastAsia" w:ascii="宋体" w:hAnsi="宋体" w:eastAsia="宋体" w:cs="宋体"/>
          <w:b/>
          <w:color w:val="auto"/>
          <w:sz w:val="21"/>
          <w:highlight w:val="none"/>
          <w:lang w:eastAsia="zh-CN"/>
        </w:rPr>
        <w:t>质量监督检测</w:t>
      </w:r>
      <w:r>
        <w:rPr>
          <w:rFonts w:hint="eastAsia" w:ascii="宋体" w:hAnsi="宋体" w:eastAsia="宋体" w:cs="宋体"/>
          <w:b/>
          <w:color w:val="auto"/>
          <w:sz w:val="21"/>
          <w:highlight w:val="none"/>
          <w:lang w:val="en-US" w:eastAsia="zh-CN"/>
        </w:rPr>
        <w:t>检测</w:t>
      </w:r>
      <w:r>
        <w:rPr>
          <w:rFonts w:hint="eastAsia" w:ascii="宋体" w:hAnsi="宋体" w:eastAsia="宋体" w:cs="宋体"/>
          <w:b/>
          <w:color w:val="auto"/>
          <w:sz w:val="21"/>
          <w:highlight w:val="none"/>
        </w:rPr>
        <w:t>项目实施人员最低数量要求表</w:t>
      </w:r>
    </w:p>
    <w:p w14:paraId="2FDBDC08">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szCs w:val="21"/>
          <w:highlight w:val="none"/>
        </w:rPr>
        <w:t>根据本项目实际情况，确定本项目实施人员最低数量要求（见下表）。根据现场情况，为保障工程进度、质量等需要，如采购人认为现阶段项目实施人员不能满足工程检测需求时，有权要求中标人增加项目实施人员，中标人须接受采购人要求。</w:t>
      </w:r>
      <w:r>
        <w:rPr>
          <w:rFonts w:hint="eastAsia" w:ascii="宋体" w:hAnsi="宋体" w:eastAsia="宋体" w:cs="宋体"/>
          <w:color w:val="auto"/>
          <w:szCs w:val="21"/>
          <w:highlight w:val="none"/>
          <w:lang w:eastAsia="zh-CN"/>
        </w:rPr>
        <w:t>（注：</w:t>
      </w:r>
      <w:r>
        <w:rPr>
          <w:rFonts w:hint="eastAsia" w:ascii="宋体" w:hAnsi="宋体" w:eastAsia="宋体" w:cs="宋体"/>
          <w:color w:val="auto"/>
          <w:szCs w:val="21"/>
          <w:highlight w:val="none"/>
          <w:lang w:val="en-US" w:eastAsia="zh-CN"/>
        </w:rPr>
        <w:t>1名</w:t>
      </w:r>
      <w:r>
        <w:rPr>
          <w:rFonts w:hint="eastAsia" w:ascii="宋体" w:hAnsi="宋体" w:eastAsia="宋体" w:cs="宋体"/>
          <w:color w:val="auto"/>
          <w:szCs w:val="21"/>
          <w:highlight w:val="none"/>
          <w:lang w:eastAsia="zh-CN"/>
        </w:rPr>
        <w:t>项目</w:t>
      </w:r>
      <w:r>
        <w:rPr>
          <w:rFonts w:hint="eastAsia" w:ascii="宋体" w:hAnsi="宋体" w:eastAsia="宋体" w:cs="宋体"/>
          <w:color w:val="auto"/>
          <w:szCs w:val="21"/>
          <w:highlight w:val="none"/>
          <w:lang w:val="en-US" w:eastAsia="zh-CN"/>
        </w:rPr>
        <w:t>主要</w:t>
      </w:r>
      <w:r>
        <w:rPr>
          <w:rFonts w:hint="eastAsia" w:ascii="宋体" w:hAnsi="宋体" w:eastAsia="宋体" w:cs="宋体"/>
          <w:color w:val="auto"/>
          <w:szCs w:val="21"/>
          <w:highlight w:val="none"/>
          <w:lang w:eastAsia="zh-CN"/>
        </w:rPr>
        <w:t>负责人、4 试验检测师（试验检测工程师）、4 助理试验检测师（试验检测员）共 9 个岗位均不得兼任，须配备 9 名独立在岗人员</w:t>
      </w:r>
      <w:r>
        <w:rPr>
          <w:rFonts w:hint="eastAsia" w:ascii="宋体" w:hAnsi="宋体" w:eastAsia="宋体" w:cs="宋体"/>
          <w:color w:val="auto"/>
          <w:szCs w:val="21"/>
          <w:highlight w:val="none"/>
        </w:rPr>
        <w:t>。</w:t>
      </w:r>
      <w:r>
        <w:rPr>
          <w:rFonts w:hint="eastAsia" w:ascii="宋体" w:hAnsi="宋体" w:eastAsia="宋体" w:cs="宋体"/>
          <w:color w:val="auto"/>
          <w:szCs w:val="21"/>
          <w:highlight w:val="none"/>
          <w:lang w:eastAsia="zh-CN"/>
        </w:rPr>
        <w:t>）</w:t>
      </w:r>
    </w:p>
    <w:tbl>
      <w:tblPr>
        <w:tblStyle w:val="45"/>
        <w:tblW w:w="850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1638"/>
        <w:gridCol w:w="1048"/>
        <w:gridCol w:w="1226"/>
        <w:gridCol w:w="2641"/>
        <w:gridCol w:w="1951"/>
      </w:tblGrid>
      <w:tr w14:paraId="0F7673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95" w:hRule="atLeast"/>
          <w:jc w:val="center"/>
        </w:trPr>
        <w:tc>
          <w:tcPr>
            <w:tcW w:w="1706" w:type="dxa"/>
            <w:vMerge w:val="restart"/>
            <w:noWrap w:val="0"/>
            <w:vAlign w:val="center"/>
          </w:tcPr>
          <w:p w14:paraId="42F56962">
            <w:pPr>
              <w:bidi w:val="0"/>
              <w:jc w:val="cente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岗位</w:t>
            </w:r>
          </w:p>
        </w:tc>
        <w:tc>
          <w:tcPr>
            <w:tcW w:w="7148" w:type="dxa"/>
            <w:gridSpan w:val="4"/>
            <w:noWrap w:val="0"/>
            <w:vAlign w:val="center"/>
          </w:tcPr>
          <w:p w14:paraId="52132007">
            <w:pPr>
              <w:bidi w:val="0"/>
              <w:jc w:val="center"/>
              <w:rPr>
                <w:rFonts w:hint="eastAsia" w:ascii="宋体" w:hAnsi="宋体" w:eastAsia="宋体" w:cs="宋体"/>
                <w:color w:val="auto"/>
                <w:highlight w:val="none"/>
              </w:rPr>
            </w:pPr>
            <w:r>
              <w:rPr>
                <w:rFonts w:hint="eastAsia" w:ascii="宋体" w:hAnsi="宋体" w:eastAsia="宋体" w:cs="宋体"/>
                <w:color w:val="auto"/>
                <w:highlight w:val="none"/>
              </w:rPr>
              <w:t>最低资格要求</w:t>
            </w:r>
          </w:p>
        </w:tc>
      </w:tr>
      <w:tr w14:paraId="36325F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94" w:hRule="atLeast"/>
          <w:jc w:val="center"/>
        </w:trPr>
        <w:tc>
          <w:tcPr>
            <w:tcW w:w="1706" w:type="dxa"/>
            <w:vMerge w:val="continue"/>
            <w:noWrap w:val="0"/>
            <w:vAlign w:val="center"/>
          </w:tcPr>
          <w:p w14:paraId="2777B622">
            <w:pPr>
              <w:bidi w:val="0"/>
              <w:jc w:val="center"/>
              <w:rPr>
                <w:rFonts w:hint="eastAsia" w:ascii="宋体" w:hAnsi="宋体" w:eastAsia="宋体" w:cs="宋体"/>
                <w:color w:val="auto"/>
                <w:highlight w:val="none"/>
              </w:rPr>
            </w:pPr>
          </w:p>
        </w:tc>
        <w:tc>
          <w:tcPr>
            <w:tcW w:w="1091" w:type="dxa"/>
            <w:noWrap w:val="0"/>
            <w:vAlign w:val="center"/>
          </w:tcPr>
          <w:p w14:paraId="19B0409A">
            <w:pPr>
              <w:bidi w:val="0"/>
              <w:jc w:val="center"/>
              <w:rPr>
                <w:rFonts w:hint="eastAsia" w:ascii="宋体" w:hAnsi="宋体" w:eastAsia="宋体" w:cs="宋体"/>
                <w:color w:val="auto"/>
                <w:highlight w:val="none"/>
                <w:lang w:val="zh-CN" w:eastAsia="zh-CN"/>
              </w:rPr>
            </w:pPr>
            <w:r>
              <w:rPr>
                <w:rFonts w:hint="eastAsia" w:ascii="宋体" w:hAnsi="宋体" w:eastAsia="宋体" w:cs="宋体"/>
                <w:color w:val="auto"/>
                <w:highlight w:val="none"/>
              </w:rPr>
              <w:t>人员数量</w:t>
            </w:r>
          </w:p>
        </w:tc>
        <w:tc>
          <w:tcPr>
            <w:tcW w:w="1276" w:type="dxa"/>
            <w:noWrap w:val="0"/>
            <w:vAlign w:val="center"/>
          </w:tcPr>
          <w:p w14:paraId="6B1AA08F">
            <w:pPr>
              <w:bidi w:val="0"/>
              <w:jc w:val="center"/>
              <w:rPr>
                <w:rFonts w:hint="eastAsia" w:ascii="宋体" w:hAnsi="宋体" w:eastAsia="宋体" w:cs="宋体"/>
                <w:color w:val="auto"/>
                <w:highlight w:val="none"/>
                <w:lang w:val="zh-CN" w:eastAsia="zh-CN"/>
              </w:rPr>
            </w:pPr>
            <w:r>
              <w:rPr>
                <w:rFonts w:hint="eastAsia" w:ascii="宋体" w:hAnsi="宋体" w:eastAsia="宋体" w:cs="宋体"/>
                <w:color w:val="auto"/>
                <w:highlight w:val="none"/>
              </w:rPr>
              <w:t>职称</w:t>
            </w:r>
          </w:p>
        </w:tc>
        <w:tc>
          <w:tcPr>
            <w:tcW w:w="4781" w:type="dxa"/>
            <w:gridSpan w:val="2"/>
            <w:noWrap w:val="0"/>
            <w:vAlign w:val="center"/>
          </w:tcPr>
          <w:p w14:paraId="5938C938">
            <w:pPr>
              <w:bidi w:val="0"/>
              <w:jc w:val="center"/>
              <w:rPr>
                <w:rFonts w:hint="eastAsia" w:ascii="宋体" w:hAnsi="宋体" w:eastAsia="宋体" w:cs="宋体"/>
                <w:color w:val="auto"/>
                <w:highlight w:val="none"/>
                <w:lang w:val="zh-CN" w:eastAsia="zh-CN"/>
              </w:rPr>
            </w:pPr>
            <w:r>
              <w:rPr>
                <w:rFonts w:hint="eastAsia" w:ascii="宋体" w:hAnsi="宋体" w:eastAsia="宋体" w:cs="宋体"/>
                <w:color w:val="auto"/>
                <w:highlight w:val="none"/>
              </w:rPr>
              <w:t>持证要求</w:t>
            </w:r>
          </w:p>
        </w:tc>
      </w:tr>
      <w:tr w14:paraId="493786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20" w:hRule="atLeast"/>
          <w:jc w:val="center"/>
        </w:trPr>
        <w:tc>
          <w:tcPr>
            <w:tcW w:w="1706" w:type="dxa"/>
            <w:noWrap w:val="0"/>
            <w:vAlign w:val="center"/>
          </w:tcPr>
          <w:p w14:paraId="6D820F64">
            <w:pPr>
              <w:bidi w:val="0"/>
              <w:jc w:val="center"/>
              <w:rPr>
                <w:rFonts w:hint="eastAsia" w:ascii="宋体" w:hAnsi="宋体" w:eastAsia="宋体" w:cs="宋体"/>
                <w:color w:val="auto"/>
                <w:highlight w:val="none"/>
              </w:rPr>
            </w:pPr>
            <w:r>
              <w:rPr>
                <w:rFonts w:hint="eastAsia" w:ascii="宋体" w:hAnsi="宋体" w:eastAsia="宋体" w:cs="宋体"/>
                <w:color w:val="auto"/>
                <w:highlight w:val="none"/>
              </w:rPr>
              <w:t>项目主要负责人</w:t>
            </w:r>
          </w:p>
        </w:tc>
        <w:tc>
          <w:tcPr>
            <w:tcW w:w="1091" w:type="dxa"/>
            <w:noWrap w:val="0"/>
            <w:vAlign w:val="center"/>
          </w:tcPr>
          <w:p w14:paraId="7DB6C500">
            <w:pPr>
              <w:bidi w:val="0"/>
              <w:jc w:val="center"/>
              <w:rPr>
                <w:rFonts w:hint="eastAsia" w:ascii="宋体" w:hAnsi="宋体" w:eastAsia="宋体" w:cs="宋体"/>
                <w:color w:val="auto"/>
                <w:highlight w:val="none"/>
              </w:rPr>
            </w:pPr>
            <w:r>
              <w:rPr>
                <w:rFonts w:hint="eastAsia" w:ascii="宋体" w:hAnsi="宋体" w:eastAsia="宋体" w:cs="宋体"/>
                <w:color w:val="auto"/>
                <w:highlight w:val="none"/>
              </w:rPr>
              <w:t>1</w:t>
            </w:r>
          </w:p>
        </w:tc>
        <w:tc>
          <w:tcPr>
            <w:tcW w:w="1276" w:type="dxa"/>
            <w:noWrap w:val="0"/>
            <w:vAlign w:val="center"/>
          </w:tcPr>
          <w:p w14:paraId="03BE50FF">
            <w:pPr>
              <w:bidi w:val="0"/>
              <w:jc w:val="center"/>
              <w:rPr>
                <w:rFonts w:hint="eastAsia" w:ascii="宋体" w:hAnsi="宋体" w:eastAsia="宋体" w:cs="宋体"/>
                <w:color w:val="auto"/>
                <w:highlight w:val="none"/>
              </w:rPr>
            </w:pPr>
            <w:r>
              <w:rPr>
                <w:rFonts w:hint="eastAsia" w:ascii="宋体" w:hAnsi="宋体" w:eastAsia="宋体" w:cs="宋体"/>
                <w:color w:val="auto"/>
                <w:highlight w:val="none"/>
              </w:rPr>
              <w:t>高级工程师</w:t>
            </w:r>
          </w:p>
        </w:tc>
        <w:tc>
          <w:tcPr>
            <w:tcW w:w="4781" w:type="dxa"/>
            <w:gridSpan w:val="2"/>
            <w:noWrap w:val="0"/>
            <w:vAlign w:val="center"/>
          </w:tcPr>
          <w:p w14:paraId="4C419687">
            <w:pPr>
              <w:bidi w:val="0"/>
              <w:jc w:val="center"/>
              <w:rPr>
                <w:rFonts w:hint="eastAsia" w:ascii="宋体" w:hAnsi="宋体" w:eastAsia="宋体" w:cs="宋体"/>
                <w:color w:val="auto"/>
                <w:highlight w:val="none"/>
              </w:rPr>
            </w:pPr>
            <w:r>
              <w:rPr>
                <w:rFonts w:hint="eastAsia" w:ascii="宋体" w:hAnsi="宋体" w:eastAsia="宋体" w:cs="宋体"/>
                <w:color w:val="auto"/>
                <w:highlight w:val="none"/>
              </w:rPr>
              <w:t>具备现行有效的交通运输部门颁发的水运工程 试验检测师（试验检测工程师）证。</w:t>
            </w:r>
          </w:p>
        </w:tc>
      </w:tr>
      <w:tr w14:paraId="67D0E5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80" w:hRule="atLeast"/>
          <w:jc w:val="center"/>
        </w:trPr>
        <w:tc>
          <w:tcPr>
            <w:tcW w:w="1706" w:type="dxa"/>
            <w:vMerge w:val="restart"/>
            <w:noWrap w:val="0"/>
            <w:vAlign w:val="center"/>
          </w:tcPr>
          <w:p w14:paraId="165765B9">
            <w:pPr>
              <w:bidi w:val="0"/>
              <w:jc w:val="center"/>
              <w:rPr>
                <w:rFonts w:hint="eastAsia" w:ascii="宋体" w:hAnsi="宋体" w:eastAsia="宋体" w:cs="宋体"/>
                <w:color w:val="auto"/>
                <w:highlight w:val="none"/>
              </w:rPr>
            </w:pPr>
            <w:r>
              <w:rPr>
                <w:rFonts w:hint="eastAsia" w:ascii="宋体" w:hAnsi="宋体" w:eastAsia="宋体" w:cs="宋体"/>
                <w:color w:val="auto"/>
                <w:highlight w:val="none"/>
              </w:rPr>
              <w:t>试验检测师（试验检测工程师）</w:t>
            </w:r>
          </w:p>
        </w:tc>
        <w:tc>
          <w:tcPr>
            <w:tcW w:w="1091" w:type="dxa"/>
            <w:vMerge w:val="restart"/>
            <w:noWrap w:val="0"/>
            <w:vAlign w:val="center"/>
          </w:tcPr>
          <w:p w14:paraId="245B68EE">
            <w:pPr>
              <w:bidi w:val="0"/>
              <w:jc w:val="center"/>
              <w:rPr>
                <w:rFonts w:hint="eastAsia" w:ascii="宋体" w:hAnsi="宋体" w:eastAsia="宋体" w:cs="宋体"/>
                <w:color w:val="auto"/>
                <w:highlight w:val="none"/>
              </w:rPr>
            </w:pPr>
            <w:r>
              <w:rPr>
                <w:rFonts w:hint="eastAsia" w:ascii="宋体" w:hAnsi="宋体" w:eastAsia="宋体" w:cs="宋体"/>
                <w:color w:val="auto"/>
                <w:highlight w:val="none"/>
              </w:rPr>
              <w:t>4</w:t>
            </w:r>
          </w:p>
        </w:tc>
        <w:tc>
          <w:tcPr>
            <w:tcW w:w="1276" w:type="dxa"/>
            <w:vMerge w:val="restart"/>
            <w:noWrap w:val="0"/>
            <w:vAlign w:val="center"/>
          </w:tcPr>
          <w:p w14:paraId="120463BD">
            <w:pPr>
              <w:bidi w:val="0"/>
              <w:jc w:val="center"/>
              <w:rPr>
                <w:rFonts w:hint="eastAsia" w:ascii="宋体" w:hAnsi="宋体" w:eastAsia="宋体" w:cs="宋体"/>
                <w:color w:val="auto"/>
                <w:highlight w:val="none"/>
              </w:rPr>
            </w:pPr>
            <w:r>
              <w:rPr>
                <w:rFonts w:hint="eastAsia" w:ascii="宋体" w:hAnsi="宋体" w:eastAsia="宋体" w:cs="宋体"/>
                <w:color w:val="auto"/>
                <w:highlight w:val="none"/>
              </w:rPr>
              <w:t>工程师</w:t>
            </w:r>
          </w:p>
        </w:tc>
        <w:tc>
          <w:tcPr>
            <w:tcW w:w="4781" w:type="dxa"/>
            <w:gridSpan w:val="2"/>
            <w:noWrap w:val="0"/>
            <w:vAlign w:val="center"/>
          </w:tcPr>
          <w:p w14:paraId="35E9CF1B">
            <w:pPr>
              <w:bidi w:val="0"/>
              <w:jc w:val="center"/>
              <w:rPr>
                <w:rFonts w:hint="eastAsia" w:ascii="宋体" w:hAnsi="宋体" w:eastAsia="宋体" w:cs="宋体"/>
                <w:color w:val="auto"/>
                <w:highlight w:val="none"/>
                <w:lang w:val="en-US" w:eastAsia="zh-CN"/>
              </w:rPr>
            </w:pPr>
            <w:r>
              <w:rPr>
                <w:rFonts w:hint="eastAsia" w:ascii="宋体" w:hAnsi="宋体" w:eastAsia="宋体" w:cs="宋体"/>
                <w:color w:val="auto"/>
                <w:highlight w:val="none"/>
              </w:rPr>
              <w:t>具备现行有效的交通运输部门颁发的水运工程试验检测师（试验检测工程师）证，且须满足各专业人数要求。</w:t>
            </w:r>
          </w:p>
        </w:tc>
      </w:tr>
      <w:tr w14:paraId="788BDB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38" w:hRule="atLeast"/>
          <w:jc w:val="center"/>
        </w:trPr>
        <w:tc>
          <w:tcPr>
            <w:tcW w:w="1706" w:type="dxa"/>
            <w:vMerge w:val="continue"/>
            <w:noWrap w:val="0"/>
            <w:vAlign w:val="center"/>
          </w:tcPr>
          <w:p w14:paraId="5BBB5163">
            <w:pPr>
              <w:bidi w:val="0"/>
              <w:jc w:val="center"/>
              <w:rPr>
                <w:rFonts w:hint="eastAsia" w:ascii="宋体" w:hAnsi="宋体" w:eastAsia="宋体" w:cs="宋体"/>
                <w:color w:val="auto"/>
                <w:highlight w:val="none"/>
              </w:rPr>
            </w:pPr>
          </w:p>
        </w:tc>
        <w:tc>
          <w:tcPr>
            <w:tcW w:w="1091" w:type="dxa"/>
            <w:vMerge w:val="continue"/>
            <w:noWrap w:val="0"/>
            <w:vAlign w:val="center"/>
          </w:tcPr>
          <w:p w14:paraId="0FB06085">
            <w:pPr>
              <w:bidi w:val="0"/>
              <w:jc w:val="center"/>
              <w:rPr>
                <w:rFonts w:hint="eastAsia" w:ascii="宋体" w:hAnsi="宋体" w:eastAsia="宋体" w:cs="宋体"/>
                <w:color w:val="auto"/>
                <w:highlight w:val="none"/>
              </w:rPr>
            </w:pPr>
          </w:p>
        </w:tc>
        <w:tc>
          <w:tcPr>
            <w:tcW w:w="1276" w:type="dxa"/>
            <w:vMerge w:val="continue"/>
            <w:noWrap w:val="0"/>
            <w:vAlign w:val="center"/>
          </w:tcPr>
          <w:p w14:paraId="2C41CB7D">
            <w:pPr>
              <w:bidi w:val="0"/>
              <w:jc w:val="center"/>
              <w:rPr>
                <w:rFonts w:hint="eastAsia" w:ascii="宋体" w:hAnsi="宋体" w:eastAsia="宋体" w:cs="宋体"/>
                <w:color w:val="auto"/>
                <w:highlight w:val="none"/>
              </w:rPr>
            </w:pPr>
          </w:p>
        </w:tc>
        <w:tc>
          <w:tcPr>
            <w:tcW w:w="2750" w:type="dxa"/>
            <w:noWrap w:val="0"/>
            <w:vAlign w:val="center"/>
          </w:tcPr>
          <w:p w14:paraId="7F307361">
            <w:pPr>
              <w:bidi w:val="0"/>
              <w:jc w:val="center"/>
              <w:rPr>
                <w:rFonts w:hint="eastAsia" w:ascii="宋体" w:hAnsi="宋体" w:eastAsia="宋体" w:cs="宋体"/>
                <w:color w:val="auto"/>
                <w:highlight w:val="none"/>
              </w:rPr>
            </w:pPr>
            <w:r>
              <w:rPr>
                <w:rFonts w:hint="eastAsia" w:ascii="宋体" w:hAnsi="宋体" w:eastAsia="宋体" w:cs="宋体"/>
                <w:color w:val="auto"/>
                <w:highlight w:val="none"/>
              </w:rPr>
              <w:t>水运材料</w:t>
            </w:r>
          </w:p>
        </w:tc>
        <w:tc>
          <w:tcPr>
            <w:tcW w:w="2031" w:type="dxa"/>
            <w:noWrap w:val="0"/>
            <w:vAlign w:val="center"/>
          </w:tcPr>
          <w:p w14:paraId="779920CB">
            <w:pPr>
              <w:bidi w:val="0"/>
              <w:jc w:val="center"/>
              <w:rPr>
                <w:rFonts w:hint="eastAsia" w:ascii="宋体" w:hAnsi="宋体" w:eastAsia="宋体" w:cs="宋体"/>
                <w:color w:val="auto"/>
                <w:highlight w:val="none"/>
              </w:rPr>
            </w:pPr>
            <w:r>
              <w:rPr>
                <w:rFonts w:hint="eastAsia" w:ascii="宋体" w:hAnsi="宋体" w:eastAsia="宋体" w:cs="宋体"/>
                <w:color w:val="auto"/>
                <w:highlight w:val="none"/>
              </w:rPr>
              <w:t>1</w:t>
            </w:r>
          </w:p>
        </w:tc>
      </w:tr>
      <w:tr w14:paraId="4D3F3F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07" w:hRule="atLeast"/>
          <w:jc w:val="center"/>
        </w:trPr>
        <w:tc>
          <w:tcPr>
            <w:tcW w:w="1706" w:type="dxa"/>
            <w:vMerge w:val="continue"/>
            <w:noWrap w:val="0"/>
            <w:vAlign w:val="center"/>
          </w:tcPr>
          <w:p w14:paraId="6FE35DE8">
            <w:pPr>
              <w:bidi w:val="0"/>
              <w:jc w:val="center"/>
              <w:rPr>
                <w:rFonts w:hint="eastAsia" w:ascii="宋体" w:hAnsi="宋体" w:eastAsia="宋体" w:cs="宋体"/>
                <w:color w:val="auto"/>
                <w:highlight w:val="none"/>
              </w:rPr>
            </w:pPr>
          </w:p>
        </w:tc>
        <w:tc>
          <w:tcPr>
            <w:tcW w:w="1091" w:type="dxa"/>
            <w:vMerge w:val="continue"/>
            <w:noWrap w:val="0"/>
            <w:vAlign w:val="center"/>
          </w:tcPr>
          <w:p w14:paraId="0300B49C">
            <w:pPr>
              <w:bidi w:val="0"/>
              <w:jc w:val="center"/>
              <w:rPr>
                <w:rFonts w:hint="eastAsia" w:ascii="宋体" w:hAnsi="宋体" w:eastAsia="宋体" w:cs="宋体"/>
                <w:color w:val="auto"/>
                <w:highlight w:val="none"/>
              </w:rPr>
            </w:pPr>
          </w:p>
        </w:tc>
        <w:tc>
          <w:tcPr>
            <w:tcW w:w="1276" w:type="dxa"/>
            <w:vMerge w:val="continue"/>
            <w:noWrap w:val="0"/>
            <w:vAlign w:val="center"/>
          </w:tcPr>
          <w:p w14:paraId="69181E1E">
            <w:pPr>
              <w:bidi w:val="0"/>
              <w:jc w:val="center"/>
              <w:rPr>
                <w:rFonts w:hint="eastAsia" w:ascii="宋体" w:hAnsi="宋体" w:eastAsia="宋体" w:cs="宋体"/>
                <w:color w:val="auto"/>
                <w:highlight w:val="none"/>
              </w:rPr>
            </w:pPr>
          </w:p>
        </w:tc>
        <w:tc>
          <w:tcPr>
            <w:tcW w:w="2750" w:type="dxa"/>
            <w:noWrap w:val="0"/>
            <w:vAlign w:val="center"/>
          </w:tcPr>
          <w:p w14:paraId="4491BC2D">
            <w:pPr>
              <w:bidi w:val="0"/>
              <w:jc w:val="center"/>
              <w:rPr>
                <w:rFonts w:hint="eastAsia" w:ascii="宋体" w:hAnsi="宋体" w:eastAsia="宋体" w:cs="宋体"/>
                <w:color w:val="auto"/>
                <w:highlight w:val="none"/>
              </w:rPr>
            </w:pPr>
            <w:r>
              <w:rPr>
                <w:rFonts w:hint="eastAsia" w:ascii="宋体" w:hAnsi="宋体" w:eastAsia="宋体" w:cs="宋体"/>
                <w:color w:val="auto"/>
                <w:highlight w:val="none"/>
              </w:rPr>
              <w:t>水运结构与地基</w:t>
            </w:r>
          </w:p>
        </w:tc>
        <w:tc>
          <w:tcPr>
            <w:tcW w:w="2031" w:type="dxa"/>
            <w:noWrap w:val="0"/>
            <w:vAlign w:val="center"/>
          </w:tcPr>
          <w:p w14:paraId="4F00483F">
            <w:pPr>
              <w:bidi w:val="0"/>
              <w:jc w:val="center"/>
              <w:rPr>
                <w:rFonts w:hint="eastAsia" w:ascii="宋体" w:hAnsi="宋体" w:eastAsia="宋体" w:cs="宋体"/>
                <w:color w:val="auto"/>
                <w:highlight w:val="none"/>
              </w:rPr>
            </w:pPr>
            <w:r>
              <w:rPr>
                <w:rFonts w:hint="eastAsia" w:ascii="宋体" w:hAnsi="宋体" w:eastAsia="宋体" w:cs="宋体"/>
                <w:color w:val="auto"/>
                <w:highlight w:val="none"/>
              </w:rPr>
              <w:t>3</w:t>
            </w:r>
          </w:p>
        </w:tc>
      </w:tr>
      <w:tr w14:paraId="629772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39" w:hRule="atLeast"/>
          <w:jc w:val="center"/>
        </w:trPr>
        <w:tc>
          <w:tcPr>
            <w:tcW w:w="1706" w:type="dxa"/>
            <w:vMerge w:val="restart"/>
            <w:noWrap w:val="0"/>
            <w:vAlign w:val="center"/>
          </w:tcPr>
          <w:p w14:paraId="5DCA3973">
            <w:pPr>
              <w:bidi w:val="0"/>
              <w:jc w:val="center"/>
              <w:rPr>
                <w:rFonts w:hint="eastAsia" w:ascii="宋体" w:hAnsi="宋体" w:eastAsia="宋体" w:cs="宋体"/>
                <w:color w:val="auto"/>
                <w:highlight w:val="none"/>
              </w:rPr>
            </w:pPr>
            <w:r>
              <w:rPr>
                <w:rFonts w:hint="eastAsia" w:ascii="宋体" w:hAnsi="宋体" w:eastAsia="宋体" w:cs="宋体"/>
                <w:color w:val="auto"/>
                <w:highlight w:val="none"/>
              </w:rPr>
              <w:t>助理试验检测师（试验检测员）</w:t>
            </w:r>
          </w:p>
        </w:tc>
        <w:tc>
          <w:tcPr>
            <w:tcW w:w="1091" w:type="dxa"/>
            <w:vMerge w:val="restart"/>
            <w:noWrap w:val="0"/>
            <w:vAlign w:val="center"/>
          </w:tcPr>
          <w:p w14:paraId="06DB10D7">
            <w:pPr>
              <w:bidi w:val="0"/>
              <w:jc w:val="center"/>
              <w:rPr>
                <w:rFonts w:hint="eastAsia" w:ascii="宋体" w:hAnsi="宋体" w:eastAsia="宋体" w:cs="宋体"/>
                <w:color w:val="auto"/>
                <w:highlight w:val="none"/>
              </w:rPr>
            </w:pPr>
            <w:r>
              <w:rPr>
                <w:rFonts w:hint="eastAsia" w:ascii="宋体" w:hAnsi="宋体" w:eastAsia="宋体" w:cs="宋体"/>
                <w:color w:val="auto"/>
                <w:highlight w:val="none"/>
              </w:rPr>
              <w:t>4</w:t>
            </w:r>
          </w:p>
        </w:tc>
        <w:tc>
          <w:tcPr>
            <w:tcW w:w="1276" w:type="dxa"/>
            <w:vMerge w:val="restart"/>
            <w:noWrap w:val="0"/>
            <w:vAlign w:val="center"/>
          </w:tcPr>
          <w:p w14:paraId="5080F5D8">
            <w:pPr>
              <w:bidi w:val="0"/>
              <w:jc w:val="center"/>
              <w:rPr>
                <w:rFonts w:hint="eastAsia" w:ascii="宋体" w:hAnsi="宋体" w:eastAsia="宋体" w:cs="宋体"/>
                <w:color w:val="auto"/>
                <w:highlight w:val="none"/>
              </w:rPr>
            </w:pPr>
            <w:r>
              <w:rPr>
                <w:rFonts w:hint="eastAsia" w:ascii="宋体" w:hAnsi="宋体" w:eastAsia="宋体" w:cs="宋体"/>
                <w:color w:val="auto"/>
                <w:highlight w:val="none"/>
              </w:rPr>
              <w:t>/</w:t>
            </w:r>
          </w:p>
        </w:tc>
        <w:tc>
          <w:tcPr>
            <w:tcW w:w="4781" w:type="dxa"/>
            <w:gridSpan w:val="2"/>
            <w:noWrap w:val="0"/>
            <w:vAlign w:val="center"/>
          </w:tcPr>
          <w:p w14:paraId="15C6DF69">
            <w:pPr>
              <w:bidi w:val="0"/>
              <w:jc w:val="center"/>
              <w:rPr>
                <w:rFonts w:hint="eastAsia" w:ascii="宋体" w:hAnsi="宋体" w:eastAsia="宋体" w:cs="宋体"/>
                <w:color w:val="auto"/>
                <w:highlight w:val="none"/>
              </w:rPr>
            </w:pPr>
            <w:r>
              <w:rPr>
                <w:rFonts w:hint="eastAsia" w:ascii="宋体" w:hAnsi="宋体" w:eastAsia="宋体" w:cs="宋体"/>
                <w:color w:val="auto"/>
                <w:highlight w:val="none"/>
              </w:rPr>
              <w:t>具备交通运输部门颁发的水运工程助理试验检 测师（试验检测员）证，且须满足各专业人数要求</w:t>
            </w:r>
          </w:p>
        </w:tc>
      </w:tr>
      <w:tr w14:paraId="0471B0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79" w:hRule="atLeast"/>
          <w:jc w:val="center"/>
        </w:trPr>
        <w:tc>
          <w:tcPr>
            <w:tcW w:w="1706" w:type="dxa"/>
            <w:vMerge w:val="continue"/>
            <w:noWrap w:val="0"/>
            <w:vAlign w:val="center"/>
          </w:tcPr>
          <w:p w14:paraId="7F460AE1">
            <w:pPr>
              <w:bidi w:val="0"/>
              <w:jc w:val="center"/>
              <w:rPr>
                <w:rFonts w:hint="eastAsia" w:ascii="宋体" w:hAnsi="宋体" w:eastAsia="宋体" w:cs="宋体"/>
                <w:color w:val="auto"/>
                <w:highlight w:val="none"/>
              </w:rPr>
            </w:pPr>
          </w:p>
        </w:tc>
        <w:tc>
          <w:tcPr>
            <w:tcW w:w="1091" w:type="dxa"/>
            <w:vMerge w:val="continue"/>
            <w:noWrap w:val="0"/>
            <w:vAlign w:val="center"/>
          </w:tcPr>
          <w:p w14:paraId="44E6F6FD">
            <w:pPr>
              <w:bidi w:val="0"/>
              <w:jc w:val="center"/>
              <w:rPr>
                <w:rFonts w:hint="eastAsia" w:ascii="宋体" w:hAnsi="宋体" w:eastAsia="宋体" w:cs="宋体"/>
                <w:color w:val="auto"/>
                <w:highlight w:val="none"/>
              </w:rPr>
            </w:pPr>
          </w:p>
        </w:tc>
        <w:tc>
          <w:tcPr>
            <w:tcW w:w="1276" w:type="dxa"/>
            <w:vMerge w:val="continue"/>
            <w:noWrap w:val="0"/>
            <w:vAlign w:val="center"/>
          </w:tcPr>
          <w:p w14:paraId="04E18F6A">
            <w:pPr>
              <w:bidi w:val="0"/>
              <w:jc w:val="center"/>
              <w:rPr>
                <w:rFonts w:hint="eastAsia" w:ascii="宋体" w:hAnsi="宋体" w:eastAsia="宋体" w:cs="宋体"/>
                <w:color w:val="auto"/>
                <w:highlight w:val="none"/>
              </w:rPr>
            </w:pPr>
          </w:p>
        </w:tc>
        <w:tc>
          <w:tcPr>
            <w:tcW w:w="2750" w:type="dxa"/>
            <w:noWrap w:val="0"/>
            <w:vAlign w:val="center"/>
          </w:tcPr>
          <w:p w14:paraId="6A25E95B">
            <w:pPr>
              <w:bidi w:val="0"/>
              <w:jc w:val="center"/>
              <w:rPr>
                <w:rFonts w:hint="eastAsia" w:ascii="宋体" w:hAnsi="宋体" w:eastAsia="宋体" w:cs="宋体"/>
                <w:color w:val="auto"/>
                <w:highlight w:val="none"/>
              </w:rPr>
            </w:pPr>
            <w:r>
              <w:rPr>
                <w:rFonts w:hint="eastAsia" w:ascii="宋体" w:hAnsi="宋体" w:eastAsia="宋体" w:cs="宋体"/>
                <w:color w:val="auto"/>
                <w:highlight w:val="none"/>
              </w:rPr>
              <w:t>水运材料</w:t>
            </w:r>
          </w:p>
        </w:tc>
        <w:tc>
          <w:tcPr>
            <w:tcW w:w="2031" w:type="dxa"/>
            <w:noWrap w:val="0"/>
            <w:vAlign w:val="center"/>
          </w:tcPr>
          <w:p w14:paraId="1D82C4A3">
            <w:pPr>
              <w:bidi w:val="0"/>
              <w:jc w:val="center"/>
              <w:rPr>
                <w:rFonts w:hint="eastAsia" w:ascii="宋体" w:hAnsi="宋体" w:eastAsia="宋体" w:cs="宋体"/>
                <w:color w:val="auto"/>
                <w:highlight w:val="none"/>
              </w:rPr>
            </w:pPr>
            <w:r>
              <w:rPr>
                <w:rFonts w:hint="eastAsia" w:ascii="宋体" w:hAnsi="宋体" w:eastAsia="宋体" w:cs="宋体"/>
                <w:color w:val="auto"/>
                <w:highlight w:val="none"/>
              </w:rPr>
              <w:t>1</w:t>
            </w:r>
          </w:p>
        </w:tc>
      </w:tr>
      <w:tr w14:paraId="2F50BD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86" w:hRule="atLeast"/>
          <w:jc w:val="center"/>
        </w:trPr>
        <w:tc>
          <w:tcPr>
            <w:tcW w:w="1706" w:type="dxa"/>
            <w:vMerge w:val="continue"/>
            <w:noWrap w:val="0"/>
            <w:vAlign w:val="center"/>
          </w:tcPr>
          <w:p w14:paraId="0532A5B1">
            <w:pPr>
              <w:bidi w:val="0"/>
              <w:jc w:val="center"/>
              <w:rPr>
                <w:rFonts w:hint="eastAsia" w:ascii="宋体" w:hAnsi="宋体" w:eastAsia="宋体" w:cs="宋体"/>
                <w:color w:val="auto"/>
                <w:highlight w:val="none"/>
              </w:rPr>
            </w:pPr>
          </w:p>
        </w:tc>
        <w:tc>
          <w:tcPr>
            <w:tcW w:w="1091" w:type="dxa"/>
            <w:vMerge w:val="continue"/>
            <w:noWrap w:val="0"/>
            <w:vAlign w:val="center"/>
          </w:tcPr>
          <w:p w14:paraId="26B23608">
            <w:pPr>
              <w:bidi w:val="0"/>
              <w:jc w:val="center"/>
              <w:rPr>
                <w:rFonts w:hint="eastAsia" w:ascii="宋体" w:hAnsi="宋体" w:eastAsia="宋体" w:cs="宋体"/>
                <w:color w:val="auto"/>
                <w:highlight w:val="none"/>
              </w:rPr>
            </w:pPr>
          </w:p>
        </w:tc>
        <w:tc>
          <w:tcPr>
            <w:tcW w:w="1276" w:type="dxa"/>
            <w:vMerge w:val="continue"/>
            <w:noWrap w:val="0"/>
            <w:vAlign w:val="center"/>
          </w:tcPr>
          <w:p w14:paraId="687D48C2">
            <w:pPr>
              <w:bidi w:val="0"/>
              <w:jc w:val="center"/>
              <w:rPr>
                <w:rFonts w:hint="eastAsia" w:ascii="宋体" w:hAnsi="宋体" w:eastAsia="宋体" w:cs="宋体"/>
                <w:color w:val="auto"/>
                <w:highlight w:val="none"/>
              </w:rPr>
            </w:pPr>
          </w:p>
        </w:tc>
        <w:tc>
          <w:tcPr>
            <w:tcW w:w="2750" w:type="dxa"/>
            <w:noWrap w:val="0"/>
            <w:vAlign w:val="center"/>
          </w:tcPr>
          <w:p w14:paraId="098BB6A1">
            <w:pPr>
              <w:bidi w:val="0"/>
              <w:jc w:val="center"/>
              <w:rPr>
                <w:rFonts w:hint="eastAsia" w:ascii="宋体" w:hAnsi="宋体" w:eastAsia="宋体" w:cs="宋体"/>
                <w:color w:val="auto"/>
                <w:highlight w:val="none"/>
              </w:rPr>
            </w:pPr>
            <w:r>
              <w:rPr>
                <w:rFonts w:hint="eastAsia" w:ascii="宋体" w:hAnsi="宋体" w:eastAsia="宋体" w:cs="宋体"/>
                <w:color w:val="auto"/>
                <w:highlight w:val="none"/>
              </w:rPr>
              <w:t>水运结构与地基</w:t>
            </w:r>
          </w:p>
        </w:tc>
        <w:tc>
          <w:tcPr>
            <w:tcW w:w="2031" w:type="dxa"/>
            <w:noWrap w:val="0"/>
            <w:vAlign w:val="center"/>
          </w:tcPr>
          <w:p w14:paraId="69E6C7CC">
            <w:pPr>
              <w:bidi w:val="0"/>
              <w:jc w:val="center"/>
              <w:rPr>
                <w:rFonts w:hint="eastAsia" w:ascii="宋体" w:hAnsi="宋体" w:eastAsia="宋体" w:cs="宋体"/>
                <w:color w:val="auto"/>
                <w:highlight w:val="none"/>
              </w:rPr>
            </w:pPr>
            <w:r>
              <w:rPr>
                <w:rFonts w:hint="eastAsia" w:ascii="宋体" w:hAnsi="宋体" w:eastAsia="宋体" w:cs="宋体"/>
                <w:color w:val="auto"/>
                <w:highlight w:val="none"/>
              </w:rPr>
              <w:t>3</w:t>
            </w:r>
          </w:p>
        </w:tc>
      </w:tr>
    </w:tbl>
    <w:p w14:paraId="63102299">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rPr>
        <w:t>注：</w:t>
      </w:r>
    </w:p>
    <w:p w14:paraId="6E468AE5">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rPr>
        <w:t>所有从事现场试验检测人员要求身体状况必须能满足工地现场工作需要。</w:t>
      </w:r>
    </w:p>
    <w:p w14:paraId="1C60C6E5">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rPr>
        <w:t>以上人员持有的试验检测资格证书须在投标人单位登记，投标文件中提供以上人员有效的身份证正反面复印件、资格（或资质）证书复印件、</w:t>
      </w:r>
      <w:r>
        <w:rPr>
          <w:rFonts w:hint="eastAsia" w:ascii="宋体" w:hAnsi="宋体" w:eastAsia="宋体" w:cs="宋体"/>
          <w:b/>
          <w:bCs/>
          <w:color w:val="auto"/>
          <w:szCs w:val="21"/>
          <w:highlight w:val="none"/>
        </w:rPr>
        <w:t xml:space="preserve">投标人 </w:t>
      </w:r>
      <w:r>
        <w:rPr>
          <w:rFonts w:hint="eastAsia" w:ascii="宋体" w:hAnsi="宋体" w:eastAsia="宋体" w:cs="宋体"/>
          <w:b/>
          <w:bCs/>
          <w:color w:val="auto"/>
          <w:szCs w:val="21"/>
          <w:highlight w:val="none"/>
          <w:lang w:eastAsia="zh-CN"/>
        </w:rPr>
        <w:t>2026年 2 月</w:t>
      </w:r>
      <w:r>
        <w:rPr>
          <w:rFonts w:hint="eastAsia" w:ascii="宋体" w:hAnsi="宋体" w:eastAsia="宋体" w:cs="宋体"/>
          <w:b/>
          <w:bCs/>
          <w:color w:val="auto"/>
          <w:szCs w:val="21"/>
          <w:highlight w:val="none"/>
        </w:rPr>
        <w:t>至 202</w:t>
      </w:r>
      <w:r>
        <w:rPr>
          <w:rFonts w:hint="eastAsia" w:ascii="宋体" w:hAnsi="宋体" w:eastAsia="宋体" w:cs="宋体"/>
          <w:b/>
          <w:bCs/>
          <w:color w:val="auto"/>
          <w:szCs w:val="21"/>
          <w:highlight w:val="none"/>
          <w:lang w:val="en-US" w:eastAsia="zh-CN"/>
        </w:rPr>
        <w:t>6</w:t>
      </w:r>
      <w:r>
        <w:rPr>
          <w:rFonts w:hint="eastAsia" w:ascii="宋体" w:hAnsi="宋体" w:eastAsia="宋体" w:cs="宋体"/>
          <w:b/>
          <w:bCs/>
          <w:color w:val="auto"/>
          <w:szCs w:val="21"/>
          <w:highlight w:val="none"/>
        </w:rPr>
        <w:t xml:space="preserve"> 年</w:t>
      </w:r>
      <w:r>
        <w:rPr>
          <w:rFonts w:hint="eastAsia" w:ascii="宋体" w:hAnsi="宋体" w:eastAsia="宋体" w:cs="宋体"/>
          <w:b/>
          <w:bCs/>
          <w:color w:val="auto"/>
          <w:szCs w:val="21"/>
          <w:highlight w:val="none"/>
          <w:lang w:val="en-US" w:eastAsia="zh-CN"/>
        </w:rPr>
        <w:t>5</w:t>
      </w:r>
      <w:r>
        <w:rPr>
          <w:rFonts w:hint="eastAsia" w:ascii="宋体" w:hAnsi="宋体" w:eastAsia="宋体" w:cs="宋体"/>
          <w:b/>
          <w:bCs/>
          <w:color w:val="auto"/>
          <w:szCs w:val="21"/>
          <w:highlight w:val="none"/>
        </w:rPr>
        <w:t xml:space="preserve"> 月内</w:t>
      </w:r>
      <w:r>
        <w:rPr>
          <w:rFonts w:hint="eastAsia" w:ascii="宋体" w:hAnsi="宋体" w:eastAsia="宋体" w:cs="宋体"/>
          <w:b/>
          <w:bCs/>
          <w:color w:val="auto"/>
          <w:szCs w:val="21"/>
          <w:highlight w:val="none"/>
          <w:lang w:eastAsia="zh-CN"/>
        </w:rPr>
        <w:t>任意</w:t>
      </w:r>
      <w:r>
        <w:rPr>
          <w:rFonts w:hint="eastAsia" w:ascii="宋体" w:hAnsi="宋体" w:eastAsia="宋体" w:cs="宋体"/>
          <w:b/>
          <w:bCs/>
          <w:color w:val="auto"/>
          <w:szCs w:val="21"/>
          <w:highlight w:val="none"/>
          <w:lang w:val="en-US" w:eastAsia="zh-CN"/>
        </w:rPr>
        <w:t>1</w:t>
      </w:r>
      <w:r>
        <w:rPr>
          <w:rFonts w:hint="eastAsia" w:ascii="宋体" w:hAnsi="宋体" w:eastAsia="宋体" w:cs="宋体"/>
          <w:b/>
          <w:bCs/>
          <w:color w:val="auto"/>
          <w:szCs w:val="21"/>
          <w:highlight w:val="none"/>
        </w:rPr>
        <w:t>个月为项目人员缴纳社保的证明材料复印件</w:t>
      </w:r>
      <w:r>
        <w:rPr>
          <w:rFonts w:hint="eastAsia" w:ascii="宋体" w:hAnsi="宋体" w:eastAsia="宋体" w:cs="宋体"/>
          <w:b/>
          <w:bCs/>
          <w:color w:val="auto"/>
          <w:szCs w:val="21"/>
          <w:highlight w:val="none"/>
          <w:lang w:eastAsia="zh-CN"/>
        </w:rPr>
        <w:t>；若为新入职人员（社保缴纳不足 1 个月的），需提供与投标人签订的有效劳动合同复印件</w:t>
      </w:r>
      <w:r>
        <w:rPr>
          <w:rFonts w:hint="eastAsia" w:ascii="宋体" w:hAnsi="宋体" w:eastAsia="宋体" w:cs="宋体"/>
          <w:b/>
          <w:bCs/>
          <w:color w:val="auto"/>
          <w:highlight w:val="none"/>
        </w:rPr>
        <w:t>。（202</w:t>
      </w:r>
      <w:r>
        <w:rPr>
          <w:rFonts w:hint="eastAsia" w:ascii="宋体" w:hAnsi="宋体" w:cs="宋体"/>
          <w:b/>
          <w:bCs/>
          <w:color w:val="auto"/>
          <w:highlight w:val="none"/>
          <w:lang w:val="en-US" w:eastAsia="zh-CN"/>
        </w:rPr>
        <w:t>6</w:t>
      </w:r>
      <w:r>
        <w:rPr>
          <w:rFonts w:hint="eastAsia" w:ascii="宋体" w:hAnsi="宋体" w:eastAsia="宋体" w:cs="宋体"/>
          <w:b/>
          <w:bCs/>
          <w:color w:val="auto"/>
          <w:highlight w:val="none"/>
        </w:rPr>
        <w:t xml:space="preserve">年 </w:t>
      </w:r>
      <w:r>
        <w:rPr>
          <w:rFonts w:hint="eastAsia" w:ascii="宋体" w:hAnsi="宋体" w:eastAsia="宋体" w:cs="宋体"/>
          <w:b/>
          <w:bCs/>
          <w:color w:val="auto"/>
          <w:highlight w:val="none"/>
          <w:lang w:val="en-US" w:eastAsia="zh-CN"/>
        </w:rPr>
        <w:t>5</w:t>
      </w:r>
      <w:r>
        <w:rPr>
          <w:rFonts w:hint="eastAsia" w:ascii="宋体" w:hAnsi="宋体" w:eastAsia="宋体" w:cs="宋体"/>
          <w:b/>
          <w:bCs/>
          <w:color w:val="auto"/>
          <w:highlight w:val="none"/>
        </w:rPr>
        <w:t xml:space="preserve"> 月之后成立的投标人只需提供从成立之月起的缴纳社保的证明材料复印件）</w:t>
      </w:r>
      <w:r>
        <w:rPr>
          <w:rFonts w:hint="eastAsia" w:ascii="宋体" w:hAnsi="宋体" w:eastAsia="宋体" w:cs="宋体"/>
          <w:color w:val="auto"/>
          <w:highlight w:val="none"/>
        </w:rPr>
        <w:t>。</w:t>
      </w:r>
    </w:p>
    <w:p w14:paraId="7544140F">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rPr>
        <w:t>在合同实施过程中, 投标文件中投入项目实施人员不得随意更换，若需更换需征得采购人同意后才能更换，且更换人员资格条件不得降低。若采购人考核认为不能胜任本职工作的,有权要求更换符合招标文件相关资格条件的人员。</w:t>
      </w:r>
    </w:p>
    <w:p w14:paraId="7CCB4F40">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rPr>
        <w:t>根据交通运输部关于公路水运工程试验检测专业技术人员管理的相关规定, 原试验检测工程师证书效用等同于试验检测师证书，原试验检测员证书效用等同于助理试验检测师证书。新旧试验检测人员证书对应参考以下表格：</w:t>
      </w:r>
    </w:p>
    <w:p w14:paraId="135E3A6F">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rPr>
        <w:drawing>
          <wp:anchor distT="0" distB="0" distL="114300" distR="114300" simplePos="0" relativeHeight="251660288" behindDoc="0" locked="0" layoutInCell="1" allowOverlap="1">
            <wp:simplePos x="0" y="0"/>
            <wp:positionH relativeFrom="page">
              <wp:posOffset>1033145</wp:posOffset>
            </wp:positionH>
            <wp:positionV relativeFrom="paragraph">
              <wp:posOffset>147955</wp:posOffset>
            </wp:positionV>
            <wp:extent cx="5043170" cy="1878330"/>
            <wp:effectExtent l="0" t="0" r="5080" b="7620"/>
            <wp:wrapTopAndBottom/>
            <wp:docPr id="2"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a:picLocks noChangeAspect="1"/>
                    </pic:cNvPicPr>
                  </pic:nvPicPr>
                  <pic:blipFill>
                    <a:blip r:embed="rId10"/>
                    <a:stretch>
                      <a:fillRect/>
                    </a:stretch>
                  </pic:blipFill>
                  <pic:spPr>
                    <a:xfrm>
                      <a:off x="0" y="0"/>
                      <a:ext cx="5043170" cy="1878330"/>
                    </a:xfrm>
                    <a:prstGeom prst="rect">
                      <a:avLst/>
                    </a:prstGeom>
                    <a:noFill/>
                    <a:ln>
                      <a:noFill/>
                    </a:ln>
                  </pic:spPr>
                </pic:pic>
              </a:graphicData>
            </a:graphic>
          </wp:anchor>
        </w:drawing>
      </w:r>
    </w:p>
    <w:p w14:paraId="608425A3">
      <w:pPr>
        <w:rPr>
          <w:rFonts w:hint="eastAsia" w:ascii="宋体" w:hAnsi="宋体" w:eastAsia="宋体" w:cs="宋体"/>
          <w:b/>
          <w:color w:val="auto"/>
          <w:sz w:val="21"/>
          <w:highlight w:val="none"/>
        </w:rPr>
      </w:pPr>
    </w:p>
    <w:p w14:paraId="3C25BE46">
      <w:pPr>
        <w:rPr>
          <w:rFonts w:hint="eastAsia" w:ascii="宋体" w:hAnsi="宋体" w:eastAsia="宋体" w:cs="宋体"/>
          <w:b/>
          <w:color w:val="auto"/>
          <w:sz w:val="21"/>
          <w:highlight w:val="none"/>
        </w:rPr>
        <w:sectPr>
          <w:pgSz w:w="11906" w:h="16838"/>
          <w:pgMar w:top="1440" w:right="1803" w:bottom="1440" w:left="1803" w:header="851" w:footer="992" w:gutter="0"/>
          <w:pgNumType w:fmt="decimal"/>
          <w:cols w:space="720" w:num="1"/>
          <w:docGrid w:type="lines" w:linePitch="319" w:charSpace="0"/>
        </w:sectPr>
      </w:pPr>
    </w:p>
    <w:bookmarkEnd w:id="51"/>
    <w:bookmarkEnd w:id="52"/>
    <w:p w14:paraId="6F5734AB">
      <w:pPr>
        <w:pStyle w:val="3"/>
        <w:jc w:val="center"/>
        <w:rPr>
          <w:rFonts w:hint="eastAsia" w:ascii="宋体" w:hAnsi="宋体" w:eastAsia="宋体" w:cs="宋体"/>
          <w:color w:val="auto"/>
          <w:highlight w:val="none"/>
        </w:rPr>
      </w:pPr>
      <w:r>
        <w:rPr>
          <w:rFonts w:hint="eastAsia" w:ascii="宋体" w:hAnsi="宋体" w:eastAsia="宋体" w:cs="宋体"/>
          <w:color w:val="auto"/>
          <w:highlight w:val="none"/>
        </w:rPr>
        <w:t>第三章</w:t>
      </w:r>
      <w:r>
        <w:rPr>
          <w:rFonts w:hint="eastAsia" w:ascii="宋体" w:hAnsi="宋体" w:eastAsia="宋体" w:cs="宋体"/>
          <w:color w:val="auto"/>
          <w:highlight w:val="none"/>
          <w:lang w:val="en-US" w:eastAsia="zh-CN"/>
        </w:rPr>
        <w:t xml:space="preserve"> </w:t>
      </w:r>
      <w:r>
        <w:rPr>
          <w:rFonts w:hint="eastAsia" w:ascii="宋体" w:hAnsi="宋体" w:eastAsia="宋体" w:cs="宋体"/>
          <w:color w:val="auto"/>
          <w:highlight w:val="none"/>
        </w:rPr>
        <w:t>投标人须知</w:t>
      </w:r>
      <w:bookmarkEnd w:id="46"/>
    </w:p>
    <w:p w14:paraId="7CA046DE">
      <w:pPr>
        <w:jc w:val="center"/>
        <w:rPr>
          <w:rFonts w:hint="eastAsia" w:ascii="宋体" w:hAnsi="宋体" w:eastAsia="宋体" w:cs="宋体"/>
          <w:color w:val="auto"/>
          <w:sz w:val="36"/>
          <w:szCs w:val="36"/>
          <w:highlight w:val="none"/>
        </w:rPr>
      </w:pPr>
      <w:bookmarkStart w:id="53" w:name="_Toc254970667"/>
      <w:bookmarkStart w:id="54" w:name="_Toc254970526"/>
      <w:r>
        <w:rPr>
          <w:rFonts w:hint="eastAsia" w:ascii="宋体" w:hAnsi="宋体" w:eastAsia="宋体" w:cs="宋体"/>
          <w:color w:val="auto"/>
          <w:sz w:val="36"/>
          <w:szCs w:val="36"/>
          <w:highlight w:val="none"/>
        </w:rPr>
        <w:t>投标人须知前附表</w:t>
      </w:r>
      <w:bookmarkEnd w:id="53"/>
      <w:bookmarkEnd w:id="54"/>
    </w:p>
    <w:p w14:paraId="24E8BECE">
      <w:pPr>
        <w:jc w:val="center"/>
        <w:rPr>
          <w:rFonts w:hint="eastAsia" w:ascii="宋体" w:hAnsi="宋体" w:eastAsia="宋体" w:cs="宋体"/>
          <w:color w:val="auto"/>
          <w:sz w:val="36"/>
          <w:szCs w:val="36"/>
          <w:highlight w:val="none"/>
        </w:rPr>
      </w:pPr>
    </w:p>
    <w:tbl>
      <w:tblPr>
        <w:tblStyle w:val="45"/>
        <w:tblW w:w="9603"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895"/>
        <w:gridCol w:w="8708"/>
      </w:tblGrid>
      <w:tr w14:paraId="442ABA7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895" w:type="dxa"/>
            <w:tcBorders>
              <w:top w:val="single" w:color="auto" w:sz="4" w:space="0"/>
              <w:left w:val="single" w:color="auto" w:sz="4" w:space="0"/>
              <w:bottom w:val="single" w:color="auto" w:sz="4" w:space="0"/>
              <w:right w:val="single" w:color="auto" w:sz="4" w:space="0"/>
            </w:tcBorders>
            <w:noWrap w:val="0"/>
            <w:vAlign w:val="center"/>
          </w:tcPr>
          <w:p w14:paraId="6D85F799">
            <w:pPr>
              <w:snapToGrid w:val="0"/>
              <w:spacing w:line="400" w:lineRule="exact"/>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条款号</w:t>
            </w:r>
          </w:p>
        </w:tc>
        <w:tc>
          <w:tcPr>
            <w:tcW w:w="8708" w:type="dxa"/>
            <w:tcBorders>
              <w:top w:val="single" w:color="auto" w:sz="4" w:space="0"/>
              <w:left w:val="single" w:color="auto" w:sz="4" w:space="0"/>
              <w:bottom w:val="single" w:color="auto" w:sz="4" w:space="0"/>
              <w:right w:val="single" w:color="auto" w:sz="4" w:space="0"/>
            </w:tcBorders>
            <w:noWrap w:val="0"/>
            <w:vAlign w:val="center"/>
          </w:tcPr>
          <w:p w14:paraId="7DA94A00">
            <w:pPr>
              <w:snapToGrid w:val="0"/>
              <w:spacing w:line="40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编列内容</w:t>
            </w:r>
          </w:p>
        </w:tc>
      </w:tr>
      <w:tr w14:paraId="4607AAC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895" w:type="dxa"/>
            <w:tcBorders>
              <w:top w:val="single" w:color="auto" w:sz="4" w:space="0"/>
              <w:left w:val="single" w:color="auto" w:sz="4" w:space="0"/>
              <w:bottom w:val="single" w:color="auto" w:sz="4" w:space="0"/>
              <w:right w:val="single" w:color="auto" w:sz="4" w:space="0"/>
            </w:tcBorders>
            <w:noWrap w:val="0"/>
            <w:vAlign w:val="center"/>
          </w:tcPr>
          <w:p w14:paraId="340199CF">
            <w:pPr>
              <w:spacing w:line="40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3</w:t>
            </w:r>
          </w:p>
        </w:tc>
        <w:tc>
          <w:tcPr>
            <w:tcW w:w="8708" w:type="dxa"/>
            <w:tcBorders>
              <w:top w:val="single" w:color="auto" w:sz="4" w:space="0"/>
              <w:left w:val="single" w:color="auto" w:sz="4" w:space="0"/>
              <w:bottom w:val="single" w:color="auto" w:sz="4" w:space="0"/>
              <w:right w:val="single" w:color="auto" w:sz="4" w:space="0"/>
            </w:tcBorders>
            <w:noWrap w:val="0"/>
            <w:vAlign w:val="center"/>
          </w:tcPr>
          <w:p w14:paraId="71D0948D">
            <w:pPr>
              <w:snapToGrid w:val="0"/>
              <w:spacing w:line="400" w:lineRule="exact"/>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投标人的资格要求</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rPr>
              <w:t>详见招标公告。</w:t>
            </w:r>
          </w:p>
        </w:tc>
      </w:tr>
      <w:tr w14:paraId="6F5E7BC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895" w:type="dxa"/>
            <w:tcBorders>
              <w:top w:val="single" w:color="auto" w:sz="4" w:space="0"/>
              <w:left w:val="single" w:color="auto" w:sz="4" w:space="0"/>
              <w:bottom w:val="single" w:color="auto" w:sz="4" w:space="0"/>
              <w:right w:val="single" w:color="auto" w:sz="4" w:space="0"/>
            </w:tcBorders>
            <w:noWrap w:val="0"/>
            <w:vAlign w:val="center"/>
          </w:tcPr>
          <w:p w14:paraId="075824B4">
            <w:pPr>
              <w:spacing w:line="400" w:lineRule="exact"/>
              <w:jc w:val="center"/>
              <w:rPr>
                <w:rFonts w:hint="eastAsia" w:ascii="宋体" w:hAnsi="宋体" w:eastAsia="宋体" w:cs="宋体"/>
                <w:color w:val="auto"/>
                <w:szCs w:val="21"/>
                <w:highlight w:val="none"/>
              </w:rPr>
            </w:pPr>
            <w:bookmarkStart w:id="55" w:name="_8.1"/>
            <w:bookmarkEnd w:id="55"/>
            <w:bookmarkStart w:id="56" w:name="_9.2"/>
            <w:bookmarkEnd w:id="56"/>
            <w:bookmarkStart w:id="57" w:name="_5"/>
            <w:bookmarkEnd w:id="57"/>
            <w:r>
              <w:rPr>
                <w:rFonts w:hint="eastAsia" w:ascii="宋体" w:hAnsi="宋体" w:eastAsia="宋体" w:cs="宋体"/>
                <w:color w:val="auto"/>
                <w:szCs w:val="21"/>
                <w:highlight w:val="none"/>
              </w:rPr>
              <w:t>6.1</w:t>
            </w:r>
          </w:p>
        </w:tc>
        <w:tc>
          <w:tcPr>
            <w:tcW w:w="8708" w:type="dxa"/>
            <w:tcBorders>
              <w:top w:val="single" w:color="auto" w:sz="4" w:space="0"/>
              <w:left w:val="single" w:color="auto" w:sz="4" w:space="0"/>
              <w:bottom w:val="single" w:color="auto" w:sz="4" w:space="0"/>
              <w:right w:val="single" w:color="auto" w:sz="4" w:space="0"/>
            </w:tcBorders>
            <w:noWrap w:val="0"/>
            <w:vAlign w:val="center"/>
          </w:tcPr>
          <w:p w14:paraId="60413850">
            <w:pPr>
              <w:pStyle w:val="17"/>
              <w:spacing w:line="400" w:lineRule="exact"/>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本项目是否接受联合体投标：</w:t>
            </w:r>
            <w:r>
              <w:rPr>
                <w:rFonts w:hint="eastAsia" w:ascii="宋体" w:hAnsi="宋体" w:eastAsia="宋体" w:cs="宋体"/>
                <w:color w:val="auto"/>
                <w:szCs w:val="21"/>
                <w:highlight w:val="none"/>
              </w:rPr>
              <w:t>本项目不接受联合体投标。</w:t>
            </w:r>
          </w:p>
        </w:tc>
      </w:tr>
      <w:tr w14:paraId="1CD04C9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895" w:type="dxa"/>
            <w:tcBorders>
              <w:top w:val="single" w:color="auto" w:sz="4" w:space="0"/>
              <w:left w:val="single" w:color="auto" w:sz="4" w:space="0"/>
              <w:bottom w:val="single" w:color="auto" w:sz="4" w:space="0"/>
              <w:right w:val="single" w:color="auto" w:sz="4" w:space="0"/>
            </w:tcBorders>
            <w:noWrap w:val="0"/>
            <w:vAlign w:val="center"/>
          </w:tcPr>
          <w:p w14:paraId="276E29BE">
            <w:pPr>
              <w:spacing w:line="40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7.2</w:t>
            </w:r>
          </w:p>
        </w:tc>
        <w:tc>
          <w:tcPr>
            <w:tcW w:w="8708" w:type="dxa"/>
            <w:tcBorders>
              <w:top w:val="single" w:color="auto" w:sz="4" w:space="0"/>
              <w:left w:val="single" w:color="auto" w:sz="4" w:space="0"/>
              <w:bottom w:val="single" w:color="auto" w:sz="4" w:space="0"/>
              <w:right w:val="single" w:color="auto" w:sz="4" w:space="0"/>
            </w:tcBorders>
            <w:noWrap w:val="0"/>
            <w:vAlign w:val="center"/>
          </w:tcPr>
          <w:p w14:paraId="5E460FC2">
            <w:pPr>
              <w:pStyle w:val="17"/>
              <w:spacing w:line="400" w:lineRule="exact"/>
              <w:rPr>
                <w:rFonts w:hint="eastAsia" w:ascii="宋体" w:hAnsi="宋体" w:eastAsia="宋体" w:cs="宋体"/>
                <w:color w:val="auto"/>
                <w:szCs w:val="21"/>
                <w:highlight w:val="none"/>
                <w:u w:val="single"/>
                <w:lang w:val="en-US" w:eastAsia="zh-CN"/>
              </w:rPr>
            </w:pPr>
            <w:r>
              <w:rPr>
                <w:rFonts w:hint="eastAsia" w:ascii="宋体" w:hAnsi="宋体" w:eastAsia="宋体" w:cs="宋体"/>
                <w:color w:val="auto"/>
                <w:szCs w:val="21"/>
                <w:highlight w:val="none"/>
                <w:lang w:val="en-US" w:eastAsia="zh-CN"/>
              </w:rPr>
              <w:t>本项目不允许分包。</w:t>
            </w:r>
          </w:p>
        </w:tc>
      </w:tr>
      <w:tr w14:paraId="3759359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895" w:type="dxa"/>
            <w:vMerge w:val="restart"/>
            <w:tcBorders>
              <w:top w:val="single" w:color="auto" w:sz="4" w:space="0"/>
              <w:left w:val="single" w:color="auto" w:sz="4" w:space="0"/>
              <w:right w:val="single" w:color="auto" w:sz="4" w:space="0"/>
            </w:tcBorders>
            <w:noWrap w:val="0"/>
            <w:vAlign w:val="center"/>
          </w:tcPr>
          <w:p w14:paraId="45D9343C">
            <w:pPr>
              <w:spacing w:line="40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11.5</w:t>
            </w:r>
          </w:p>
        </w:tc>
        <w:tc>
          <w:tcPr>
            <w:tcW w:w="8708" w:type="dxa"/>
            <w:tcBorders>
              <w:top w:val="single" w:color="auto" w:sz="4" w:space="0"/>
              <w:left w:val="single" w:color="auto" w:sz="4" w:space="0"/>
              <w:bottom w:val="single" w:color="auto" w:sz="4" w:space="0"/>
              <w:right w:val="single" w:color="auto" w:sz="4" w:space="0"/>
            </w:tcBorders>
            <w:noWrap w:val="0"/>
            <w:vAlign w:val="center"/>
          </w:tcPr>
          <w:p w14:paraId="45A387DE">
            <w:pPr>
              <w:snapToGrid w:val="0"/>
              <w:spacing w:line="40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rPr>
              <w:t>☑本项目不组织现场考察。</w:t>
            </w:r>
          </w:p>
          <w:p w14:paraId="2B48AB67">
            <w:pPr>
              <w:snapToGrid w:val="0"/>
              <w:spacing w:line="400" w:lineRule="exact"/>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rPr>
              <w:t>□本项目组织现场考察</w:t>
            </w:r>
            <w:r>
              <w:rPr>
                <w:rFonts w:hint="eastAsia" w:ascii="宋体" w:hAnsi="宋体" w:eastAsia="宋体" w:cs="宋体"/>
                <w:color w:val="auto"/>
                <w:szCs w:val="21"/>
                <w:highlight w:val="none"/>
                <w:lang w:eastAsia="zh-CN"/>
              </w:rPr>
              <w:t>：</w:t>
            </w:r>
          </w:p>
          <w:p w14:paraId="200E9D2E">
            <w:pPr>
              <w:snapToGrid w:val="0"/>
              <w:spacing w:line="400" w:lineRule="exact"/>
              <w:rPr>
                <w:rFonts w:hint="eastAsia" w:ascii="宋体" w:hAnsi="宋体" w:eastAsia="宋体" w:cs="宋体"/>
                <w:color w:val="auto"/>
                <w:szCs w:val="21"/>
                <w:highlight w:val="none"/>
                <w:u w:val="single"/>
                <w:lang w:eastAsia="zh-CN"/>
              </w:rPr>
            </w:pPr>
            <w:r>
              <w:rPr>
                <w:rFonts w:hint="eastAsia" w:ascii="宋体" w:hAnsi="宋体" w:eastAsia="宋体" w:cs="宋体"/>
                <w:color w:val="auto"/>
                <w:szCs w:val="21"/>
                <w:highlight w:val="none"/>
              </w:rPr>
              <w:t>集中时间</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rPr>
              <w:t>年月日时</w:t>
            </w:r>
            <w:r>
              <w:rPr>
                <w:rFonts w:hint="eastAsia" w:ascii="宋体" w:hAnsi="宋体" w:eastAsia="宋体" w:cs="宋体"/>
                <w:color w:val="auto"/>
                <w:szCs w:val="21"/>
                <w:highlight w:val="none"/>
                <w:u w:val="single"/>
              </w:rPr>
              <w:t>分</w:t>
            </w:r>
            <w:r>
              <w:rPr>
                <w:rFonts w:hint="eastAsia" w:ascii="宋体" w:hAnsi="宋体" w:eastAsia="宋体" w:cs="宋体"/>
                <w:color w:val="auto"/>
                <w:szCs w:val="21"/>
                <w:highlight w:val="none"/>
              </w:rPr>
              <w:t>，逾期后果自负。集中地点</w:t>
            </w:r>
            <w:r>
              <w:rPr>
                <w:rFonts w:hint="eastAsia" w:ascii="宋体" w:hAnsi="宋体" w:eastAsia="宋体" w:cs="宋体"/>
                <w:color w:val="auto"/>
                <w:szCs w:val="21"/>
                <w:highlight w:val="none"/>
                <w:lang w:eastAsia="zh-CN"/>
              </w:rPr>
              <w:t>：</w:t>
            </w:r>
          </w:p>
          <w:p w14:paraId="29342BD7">
            <w:pPr>
              <w:snapToGrid w:val="0"/>
              <w:spacing w:line="400" w:lineRule="exact"/>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rPr>
              <w:t>联系人</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rPr>
              <w:t>；联系电话</w:t>
            </w:r>
            <w:r>
              <w:rPr>
                <w:rFonts w:hint="eastAsia" w:ascii="宋体" w:hAnsi="宋体" w:eastAsia="宋体" w:cs="宋体"/>
                <w:color w:val="auto"/>
                <w:szCs w:val="21"/>
                <w:highlight w:val="none"/>
                <w:lang w:eastAsia="zh-CN"/>
              </w:rPr>
              <w:t>：</w:t>
            </w:r>
          </w:p>
        </w:tc>
      </w:tr>
      <w:tr w14:paraId="035ECA3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895" w:type="dxa"/>
            <w:vMerge w:val="continue"/>
            <w:tcBorders>
              <w:left w:val="single" w:color="auto" w:sz="4" w:space="0"/>
              <w:bottom w:val="single" w:color="auto" w:sz="4" w:space="0"/>
              <w:right w:val="single" w:color="auto" w:sz="4" w:space="0"/>
            </w:tcBorders>
            <w:noWrap w:val="0"/>
            <w:vAlign w:val="center"/>
          </w:tcPr>
          <w:p w14:paraId="347DB7FA">
            <w:pPr>
              <w:spacing w:line="400" w:lineRule="exact"/>
              <w:jc w:val="center"/>
              <w:rPr>
                <w:rFonts w:hint="eastAsia" w:ascii="宋体" w:hAnsi="宋体" w:eastAsia="宋体" w:cs="宋体"/>
                <w:color w:val="auto"/>
                <w:szCs w:val="21"/>
                <w:highlight w:val="none"/>
              </w:rPr>
            </w:pPr>
          </w:p>
        </w:tc>
        <w:tc>
          <w:tcPr>
            <w:tcW w:w="8708" w:type="dxa"/>
            <w:tcBorders>
              <w:top w:val="single" w:color="auto" w:sz="4" w:space="0"/>
              <w:left w:val="single" w:color="auto" w:sz="4" w:space="0"/>
              <w:bottom w:val="single" w:color="auto" w:sz="4" w:space="0"/>
              <w:right w:val="single" w:color="auto" w:sz="4" w:space="0"/>
            </w:tcBorders>
            <w:noWrap w:val="0"/>
            <w:vAlign w:val="center"/>
          </w:tcPr>
          <w:p w14:paraId="1C1F8734">
            <w:pPr>
              <w:snapToGrid w:val="0"/>
              <w:spacing w:line="40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rPr>
              <w:t>☑本项目不组织召开开标前答疑会</w:t>
            </w:r>
          </w:p>
          <w:p w14:paraId="663924AF">
            <w:pPr>
              <w:snapToGrid w:val="0"/>
              <w:spacing w:line="40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rPr>
              <w:fldChar w:fldCharType="begin"/>
            </w:r>
            <w:r>
              <w:rPr>
                <w:rFonts w:hint="eastAsia" w:ascii="宋体" w:hAnsi="宋体" w:eastAsia="宋体" w:cs="宋体"/>
                <w:color w:val="auto"/>
                <w:szCs w:val="21"/>
                <w:highlight w:val="none"/>
              </w:rPr>
              <w:instrText xml:space="preserve"> eq \o\ac(□)</w:instrText>
            </w:r>
            <w:r>
              <w:rPr>
                <w:rFonts w:hint="eastAsia" w:ascii="宋体" w:hAnsi="宋体" w:eastAsia="宋体" w:cs="宋体"/>
                <w:color w:val="auto"/>
                <w:szCs w:val="21"/>
                <w:highlight w:val="none"/>
              </w:rPr>
              <w:fldChar w:fldCharType="end"/>
            </w:r>
            <w:r>
              <w:rPr>
                <w:rFonts w:hint="eastAsia" w:ascii="宋体" w:hAnsi="宋体" w:eastAsia="宋体" w:cs="宋体"/>
                <w:color w:val="auto"/>
                <w:szCs w:val="21"/>
                <w:highlight w:val="none"/>
              </w:rPr>
              <w:t>组织召开开标前答疑会</w:t>
            </w:r>
          </w:p>
          <w:p w14:paraId="7ABA1BCB">
            <w:pPr>
              <w:snapToGrid w:val="0"/>
              <w:spacing w:line="400" w:lineRule="exact"/>
              <w:rPr>
                <w:rFonts w:hint="eastAsia" w:ascii="宋体" w:hAnsi="宋体" w:eastAsia="宋体" w:cs="宋体"/>
                <w:color w:val="auto"/>
                <w:szCs w:val="21"/>
                <w:highlight w:val="none"/>
                <w:u w:val="single"/>
                <w:lang w:eastAsia="zh-CN"/>
              </w:rPr>
            </w:pPr>
            <w:r>
              <w:rPr>
                <w:rFonts w:hint="eastAsia" w:ascii="宋体" w:hAnsi="宋体" w:eastAsia="宋体" w:cs="宋体"/>
                <w:color w:val="auto"/>
                <w:szCs w:val="21"/>
                <w:highlight w:val="none"/>
              </w:rPr>
              <w:t>会议开始时间</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lang w:val="en-US" w:eastAsia="zh-CN"/>
              </w:rPr>
              <w:t xml:space="preserve"> </w:t>
            </w:r>
            <w:r>
              <w:rPr>
                <w:rFonts w:hint="eastAsia" w:ascii="宋体" w:hAnsi="宋体" w:eastAsia="宋体" w:cs="宋体"/>
                <w:color w:val="auto"/>
                <w:szCs w:val="21"/>
                <w:highlight w:val="none"/>
              </w:rPr>
              <w:t>年</w:t>
            </w:r>
            <w:r>
              <w:rPr>
                <w:rFonts w:hint="eastAsia" w:ascii="宋体" w:hAnsi="宋体" w:eastAsia="宋体" w:cs="宋体"/>
                <w:color w:val="auto"/>
                <w:szCs w:val="21"/>
                <w:highlight w:val="none"/>
                <w:lang w:val="en-US" w:eastAsia="zh-CN"/>
              </w:rPr>
              <w:t xml:space="preserve"> </w:t>
            </w:r>
            <w:r>
              <w:rPr>
                <w:rFonts w:hint="eastAsia" w:ascii="宋体" w:hAnsi="宋体" w:eastAsia="宋体" w:cs="宋体"/>
                <w:color w:val="auto"/>
                <w:szCs w:val="21"/>
                <w:highlight w:val="none"/>
              </w:rPr>
              <w:t>月</w:t>
            </w:r>
            <w:r>
              <w:rPr>
                <w:rFonts w:hint="eastAsia" w:ascii="宋体" w:hAnsi="宋体" w:eastAsia="宋体" w:cs="宋体"/>
                <w:color w:val="auto"/>
                <w:szCs w:val="21"/>
                <w:highlight w:val="none"/>
                <w:lang w:val="en-US" w:eastAsia="zh-CN"/>
              </w:rPr>
              <w:t xml:space="preserve"> </w:t>
            </w:r>
            <w:r>
              <w:rPr>
                <w:rFonts w:hint="eastAsia" w:ascii="宋体" w:hAnsi="宋体" w:eastAsia="宋体" w:cs="宋体"/>
                <w:color w:val="auto"/>
                <w:szCs w:val="21"/>
                <w:highlight w:val="none"/>
              </w:rPr>
              <w:t>日</w:t>
            </w:r>
            <w:r>
              <w:rPr>
                <w:rFonts w:hint="eastAsia" w:ascii="宋体" w:hAnsi="宋体" w:eastAsia="宋体" w:cs="宋体"/>
                <w:color w:val="auto"/>
                <w:szCs w:val="21"/>
                <w:highlight w:val="none"/>
                <w:u w:val="single"/>
                <w:lang w:val="en-US" w:eastAsia="zh-CN"/>
              </w:rPr>
              <w:t xml:space="preserve">  </w:t>
            </w:r>
            <w:r>
              <w:rPr>
                <w:rFonts w:hint="eastAsia" w:ascii="宋体" w:hAnsi="宋体" w:eastAsia="宋体" w:cs="宋体"/>
                <w:color w:val="auto"/>
                <w:szCs w:val="21"/>
                <w:highlight w:val="none"/>
              </w:rPr>
              <w:t>时</w:t>
            </w:r>
            <w:r>
              <w:rPr>
                <w:rFonts w:hint="eastAsia" w:ascii="宋体" w:hAnsi="宋体" w:eastAsia="宋体" w:cs="宋体"/>
                <w:color w:val="auto"/>
                <w:szCs w:val="21"/>
                <w:highlight w:val="none"/>
                <w:u w:val="single"/>
                <w:lang w:val="en-US" w:eastAsia="zh-CN"/>
              </w:rPr>
              <w:t xml:space="preserve">  </w:t>
            </w:r>
            <w:r>
              <w:rPr>
                <w:rFonts w:hint="eastAsia" w:ascii="宋体" w:hAnsi="宋体" w:eastAsia="宋体" w:cs="宋体"/>
                <w:color w:val="auto"/>
                <w:szCs w:val="21"/>
                <w:highlight w:val="none"/>
                <w:u w:val="none"/>
              </w:rPr>
              <w:t>分</w:t>
            </w:r>
            <w:r>
              <w:rPr>
                <w:rFonts w:hint="eastAsia" w:ascii="宋体" w:hAnsi="宋体" w:eastAsia="宋体" w:cs="宋体"/>
                <w:color w:val="auto"/>
                <w:szCs w:val="21"/>
                <w:highlight w:val="none"/>
              </w:rPr>
              <w:t>，逾期后果自负。会议地点</w:t>
            </w:r>
            <w:r>
              <w:rPr>
                <w:rFonts w:hint="eastAsia" w:ascii="宋体" w:hAnsi="宋体" w:eastAsia="宋体" w:cs="宋体"/>
                <w:color w:val="auto"/>
                <w:szCs w:val="21"/>
                <w:highlight w:val="none"/>
                <w:lang w:eastAsia="zh-CN"/>
              </w:rPr>
              <w:t>：</w:t>
            </w:r>
          </w:p>
          <w:p w14:paraId="76AA330C">
            <w:pPr>
              <w:snapToGrid w:val="0"/>
              <w:spacing w:line="400" w:lineRule="exact"/>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rPr>
              <w:t>联系人</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rPr>
              <w:t>；联系电话</w:t>
            </w:r>
            <w:r>
              <w:rPr>
                <w:rFonts w:hint="eastAsia" w:ascii="宋体" w:hAnsi="宋体" w:eastAsia="宋体" w:cs="宋体"/>
                <w:color w:val="auto"/>
                <w:szCs w:val="21"/>
                <w:highlight w:val="none"/>
                <w:lang w:eastAsia="zh-CN"/>
              </w:rPr>
              <w:t>：</w:t>
            </w:r>
          </w:p>
        </w:tc>
      </w:tr>
      <w:tr w14:paraId="0C3B124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895" w:type="dxa"/>
            <w:vMerge w:val="restart"/>
            <w:tcBorders>
              <w:top w:val="single" w:color="auto" w:sz="4" w:space="0"/>
              <w:left w:val="single" w:color="auto" w:sz="4" w:space="0"/>
              <w:right w:val="single" w:color="auto" w:sz="4" w:space="0"/>
            </w:tcBorders>
            <w:noWrap w:val="0"/>
            <w:vAlign w:val="center"/>
          </w:tcPr>
          <w:p w14:paraId="4F16C01F">
            <w:pPr>
              <w:spacing w:line="400" w:lineRule="exact"/>
              <w:jc w:val="center"/>
              <w:rPr>
                <w:rFonts w:hint="eastAsia" w:ascii="宋体" w:hAnsi="宋体" w:eastAsia="宋体" w:cs="宋体"/>
                <w:color w:val="auto"/>
                <w:szCs w:val="21"/>
                <w:highlight w:val="none"/>
              </w:rPr>
            </w:pPr>
            <w:bookmarkStart w:id="58" w:name="_13.1"/>
            <w:bookmarkEnd w:id="58"/>
            <w:r>
              <w:rPr>
                <w:rFonts w:hint="eastAsia" w:ascii="宋体" w:hAnsi="宋体" w:eastAsia="宋体" w:cs="宋体"/>
                <w:color w:val="auto"/>
                <w:szCs w:val="21"/>
                <w:highlight w:val="none"/>
              </w:rPr>
              <w:t>13.</w:t>
            </w:r>
            <w:bookmarkStart w:id="59" w:name="_Hlt19632543"/>
            <w:r>
              <w:rPr>
                <w:rFonts w:hint="eastAsia" w:ascii="宋体" w:hAnsi="宋体" w:eastAsia="宋体" w:cs="宋体"/>
                <w:color w:val="auto"/>
                <w:szCs w:val="21"/>
                <w:highlight w:val="none"/>
              </w:rPr>
              <w:t>1</w:t>
            </w:r>
            <w:bookmarkEnd w:id="59"/>
          </w:p>
        </w:tc>
        <w:tc>
          <w:tcPr>
            <w:tcW w:w="8708" w:type="dxa"/>
            <w:tcBorders>
              <w:top w:val="single" w:color="auto" w:sz="4" w:space="0"/>
              <w:left w:val="single" w:color="auto" w:sz="4" w:space="0"/>
              <w:bottom w:val="single" w:color="auto" w:sz="4" w:space="0"/>
              <w:right w:val="single" w:color="auto" w:sz="4" w:space="0"/>
            </w:tcBorders>
            <w:noWrap w:val="0"/>
            <w:vAlign w:val="center"/>
          </w:tcPr>
          <w:p w14:paraId="0EF9CE9C">
            <w:pPr>
              <w:snapToGrid w:val="0"/>
              <w:spacing w:line="400" w:lineRule="exact"/>
              <w:jc w:val="left"/>
              <w:rPr>
                <w:rFonts w:hint="eastAsia" w:ascii="宋体" w:hAnsi="宋体" w:eastAsia="宋体" w:cs="宋体"/>
                <w:b/>
                <w:color w:val="auto"/>
                <w:szCs w:val="21"/>
                <w:highlight w:val="none"/>
                <w:lang w:eastAsia="zh-CN"/>
              </w:rPr>
            </w:pPr>
            <w:r>
              <w:rPr>
                <w:rFonts w:hint="eastAsia" w:ascii="宋体" w:hAnsi="宋体" w:eastAsia="宋体" w:cs="宋体"/>
                <w:b/>
                <w:color w:val="auto"/>
                <w:szCs w:val="21"/>
                <w:highlight w:val="none"/>
              </w:rPr>
              <w:t>报价文件</w:t>
            </w:r>
            <w:r>
              <w:rPr>
                <w:rFonts w:hint="eastAsia" w:ascii="宋体" w:hAnsi="宋体" w:eastAsia="宋体" w:cs="宋体"/>
                <w:b/>
                <w:color w:val="auto"/>
                <w:szCs w:val="21"/>
                <w:highlight w:val="none"/>
                <w:lang w:eastAsia="zh-CN"/>
              </w:rPr>
              <w:t>：</w:t>
            </w:r>
          </w:p>
          <w:p w14:paraId="21A5289D">
            <w:pPr>
              <w:tabs>
                <w:tab w:val="left" w:pos="459"/>
              </w:tabs>
              <w:snapToGrid w:val="0"/>
              <w:spacing w:line="400" w:lineRule="exact"/>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1、投标函（格式后附）；</w:t>
            </w:r>
            <w:r>
              <w:rPr>
                <w:rFonts w:hint="eastAsia" w:ascii="宋体" w:hAnsi="宋体" w:eastAsia="宋体" w:cs="宋体"/>
                <w:b/>
                <w:color w:val="auto"/>
                <w:szCs w:val="21"/>
                <w:highlight w:val="none"/>
              </w:rPr>
              <w:t>（必须提供，否则按无效投标处理）</w:t>
            </w:r>
          </w:p>
          <w:p w14:paraId="32997D34">
            <w:pPr>
              <w:tabs>
                <w:tab w:val="left" w:pos="459"/>
              </w:tabs>
              <w:snapToGrid w:val="0"/>
              <w:spacing w:line="400" w:lineRule="exact"/>
              <w:jc w:val="left"/>
              <w:rPr>
                <w:rFonts w:hint="eastAsia" w:ascii="宋体" w:hAnsi="宋体" w:eastAsia="宋体" w:cs="宋体"/>
                <w:color w:val="auto"/>
                <w:szCs w:val="21"/>
                <w:highlight w:val="none"/>
              </w:rPr>
            </w:pPr>
            <w:bookmarkStart w:id="60" w:name="_Hlk71299233"/>
            <w:r>
              <w:rPr>
                <w:rFonts w:hint="eastAsia" w:ascii="宋体" w:hAnsi="宋体" w:eastAsia="宋体" w:cs="宋体"/>
                <w:color w:val="auto"/>
                <w:szCs w:val="21"/>
                <w:highlight w:val="none"/>
              </w:rPr>
              <w:t>2、开标一览表</w:t>
            </w:r>
            <w:bookmarkEnd w:id="60"/>
            <w:r>
              <w:rPr>
                <w:rFonts w:hint="eastAsia" w:ascii="宋体" w:hAnsi="宋体" w:eastAsia="宋体" w:cs="宋体"/>
                <w:color w:val="auto"/>
                <w:szCs w:val="21"/>
                <w:highlight w:val="none"/>
              </w:rPr>
              <w:t>（格式后附）；（</w:t>
            </w:r>
            <w:r>
              <w:rPr>
                <w:rFonts w:hint="eastAsia" w:ascii="宋体" w:hAnsi="宋体" w:eastAsia="宋体" w:cs="宋体"/>
                <w:b/>
                <w:color w:val="auto"/>
                <w:szCs w:val="21"/>
                <w:highlight w:val="none"/>
              </w:rPr>
              <w:t>必须提供，否则按无效投标处理</w:t>
            </w:r>
            <w:r>
              <w:rPr>
                <w:rFonts w:hint="eastAsia" w:ascii="宋体" w:hAnsi="宋体" w:eastAsia="宋体" w:cs="宋体"/>
                <w:color w:val="auto"/>
                <w:szCs w:val="21"/>
                <w:highlight w:val="none"/>
              </w:rPr>
              <w:t>）</w:t>
            </w:r>
          </w:p>
          <w:p w14:paraId="2157B962">
            <w:pPr>
              <w:tabs>
                <w:tab w:val="left" w:pos="459"/>
              </w:tabs>
              <w:snapToGrid w:val="0"/>
              <w:spacing w:line="400" w:lineRule="exact"/>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3、投标人针对报价需要说明的其他文件和说明（格式自拟）。</w:t>
            </w:r>
          </w:p>
          <w:p w14:paraId="70328D0D">
            <w:pPr>
              <w:snapToGrid w:val="0"/>
              <w:spacing w:line="400" w:lineRule="exact"/>
              <w:ind w:firstLine="420"/>
              <w:jc w:val="left"/>
              <w:rPr>
                <w:rFonts w:hint="eastAsia" w:ascii="宋体" w:hAnsi="宋体" w:eastAsia="宋体" w:cs="宋体"/>
                <w:color w:val="auto"/>
                <w:szCs w:val="21"/>
                <w:highlight w:val="none"/>
              </w:rPr>
            </w:pPr>
            <w:r>
              <w:rPr>
                <w:rFonts w:hint="eastAsia" w:ascii="宋体" w:hAnsi="宋体" w:eastAsia="宋体" w:cs="宋体"/>
                <w:b/>
                <w:bCs/>
                <w:color w:val="auto"/>
                <w:szCs w:val="21"/>
                <w:highlight w:val="none"/>
              </w:rPr>
              <w:t>注</w:t>
            </w:r>
            <w:r>
              <w:rPr>
                <w:rFonts w:hint="eastAsia" w:ascii="宋体" w:hAnsi="宋体" w:eastAsia="宋体" w:cs="宋体"/>
                <w:b/>
                <w:bCs/>
                <w:color w:val="auto"/>
                <w:szCs w:val="21"/>
                <w:highlight w:val="none"/>
                <w:lang w:eastAsia="zh-CN"/>
              </w:rPr>
              <w:t>：</w:t>
            </w:r>
            <w:r>
              <w:rPr>
                <w:rFonts w:hint="eastAsia" w:ascii="宋体" w:hAnsi="宋体" w:eastAsia="宋体" w:cs="宋体"/>
                <w:b/>
                <w:bCs/>
                <w:color w:val="auto"/>
                <w:szCs w:val="21"/>
                <w:highlight w:val="none"/>
              </w:rPr>
              <w:t>投标函、开标一览表必须由法定代表人或者委托代理人在规定签章处逐一签字并加盖投标人公章，否则按无效投标</w:t>
            </w:r>
            <w:r>
              <w:rPr>
                <w:rFonts w:hint="eastAsia" w:ascii="宋体" w:hAnsi="宋体" w:eastAsia="宋体" w:cs="宋体"/>
                <w:b/>
                <w:color w:val="auto"/>
                <w:szCs w:val="21"/>
                <w:highlight w:val="none"/>
              </w:rPr>
              <w:t>处理</w:t>
            </w:r>
            <w:r>
              <w:rPr>
                <w:rFonts w:hint="eastAsia" w:ascii="宋体" w:hAnsi="宋体" w:eastAsia="宋体" w:cs="宋体"/>
                <w:b/>
                <w:bCs/>
                <w:color w:val="auto"/>
                <w:szCs w:val="21"/>
                <w:highlight w:val="none"/>
              </w:rPr>
              <w:t>。</w:t>
            </w:r>
          </w:p>
        </w:tc>
      </w:tr>
      <w:tr w14:paraId="4253B27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895" w:type="dxa"/>
            <w:vMerge w:val="continue"/>
            <w:tcBorders>
              <w:left w:val="single" w:color="auto" w:sz="4" w:space="0"/>
              <w:right w:val="single" w:color="auto" w:sz="4" w:space="0"/>
            </w:tcBorders>
            <w:noWrap w:val="0"/>
            <w:vAlign w:val="center"/>
          </w:tcPr>
          <w:p w14:paraId="0612FD75">
            <w:pPr>
              <w:spacing w:line="400" w:lineRule="exact"/>
              <w:rPr>
                <w:rFonts w:hint="eastAsia" w:ascii="宋体" w:hAnsi="宋体" w:eastAsia="宋体" w:cs="宋体"/>
                <w:color w:val="auto"/>
                <w:szCs w:val="21"/>
                <w:highlight w:val="none"/>
              </w:rPr>
            </w:pPr>
            <w:bookmarkStart w:id="61" w:name="_13.2"/>
            <w:bookmarkEnd w:id="61"/>
          </w:p>
        </w:tc>
        <w:tc>
          <w:tcPr>
            <w:tcW w:w="8708" w:type="dxa"/>
            <w:tcBorders>
              <w:top w:val="single" w:color="auto" w:sz="4" w:space="0"/>
              <w:left w:val="single" w:color="auto" w:sz="4" w:space="0"/>
              <w:bottom w:val="single" w:color="auto" w:sz="4" w:space="0"/>
              <w:right w:val="single" w:color="auto" w:sz="4" w:space="0"/>
            </w:tcBorders>
            <w:noWrap w:val="0"/>
            <w:vAlign w:val="center"/>
          </w:tcPr>
          <w:p w14:paraId="1D3BFC49">
            <w:pPr>
              <w:snapToGrid w:val="0"/>
              <w:spacing w:line="400" w:lineRule="exact"/>
              <w:jc w:val="left"/>
              <w:rPr>
                <w:rFonts w:hint="eastAsia" w:ascii="宋体" w:hAnsi="宋体" w:eastAsia="宋体" w:cs="宋体"/>
                <w:b/>
                <w:color w:val="auto"/>
                <w:szCs w:val="21"/>
                <w:highlight w:val="none"/>
                <w:lang w:eastAsia="zh-CN"/>
              </w:rPr>
            </w:pPr>
            <w:r>
              <w:rPr>
                <w:rFonts w:hint="eastAsia" w:ascii="宋体" w:hAnsi="宋体" w:eastAsia="宋体" w:cs="宋体"/>
                <w:b/>
                <w:color w:val="auto"/>
                <w:szCs w:val="21"/>
                <w:highlight w:val="none"/>
              </w:rPr>
              <w:t>资格证明文件</w:t>
            </w:r>
            <w:r>
              <w:rPr>
                <w:rFonts w:hint="eastAsia" w:ascii="宋体" w:hAnsi="宋体" w:eastAsia="宋体" w:cs="宋体"/>
                <w:b/>
                <w:color w:val="auto"/>
                <w:szCs w:val="21"/>
                <w:highlight w:val="none"/>
                <w:lang w:eastAsia="zh-CN"/>
              </w:rPr>
              <w:t>：</w:t>
            </w:r>
          </w:p>
          <w:p w14:paraId="2958E99B">
            <w:pPr>
              <w:autoSpaceDE w:val="0"/>
              <w:autoSpaceDN w:val="0"/>
              <w:snapToGrid w:val="0"/>
              <w:spacing w:line="400" w:lineRule="exact"/>
              <w:textAlignment w:val="bottom"/>
              <w:rPr>
                <w:rFonts w:hint="eastAsia" w:ascii="宋体" w:hAnsi="宋体" w:eastAsia="宋体" w:cs="宋体"/>
                <w:b/>
                <w:color w:val="auto"/>
                <w:szCs w:val="21"/>
                <w:highlight w:val="none"/>
              </w:rPr>
            </w:pPr>
            <w:r>
              <w:rPr>
                <w:rFonts w:hint="eastAsia" w:ascii="宋体" w:hAnsi="宋体" w:eastAsia="宋体" w:cs="宋体"/>
                <w:color w:val="auto"/>
                <w:szCs w:val="21"/>
                <w:highlight w:val="none"/>
              </w:rPr>
              <w:t>1、供应商为法人或者其他组织的，证明文件为其营业执照复印件（如营业执照或者事业单位法人证书或者执业许可证等）；供应商为自然人的，证明文件为其身份证复印件；</w:t>
            </w:r>
            <w:r>
              <w:rPr>
                <w:rFonts w:hint="eastAsia" w:ascii="宋体" w:hAnsi="宋体" w:eastAsia="宋体" w:cs="宋体"/>
                <w:b/>
                <w:color w:val="auto"/>
                <w:szCs w:val="21"/>
                <w:highlight w:val="none"/>
              </w:rPr>
              <w:t>（必须提供，否则投标文件按无效响应处理）</w:t>
            </w:r>
          </w:p>
          <w:p w14:paraId="741B1D04">
            <w:pPr>
              <w:autoSpaceDE w:val="0"/>
              <w:autoSpaceDN w:val="0"/>
              <w:snapToGrid w:val="0"/>
              <w:spacing w:line="400" w:lineRule="exact"/>
              <w:textAlignment w:val="bottom"/>
              <w:rPr>
                <w:rFonts w:hint="eastAsia" w:ascii="宋体" w:hAnsi="宋体" w:eastAsia="宋体" w:cs="宋体"/>
                <w:b/>
                <w:color w:val="auto"/>
                <w:szCs w:val="21"/>
                <w:highlight w:val="none"/>
              </w:rPr>
            </w:pPr>
            <w:r>
              <w:rPr>
                <w:rFonts w:hint="eastAsia" w:ascii="宋体" w:hAnsi="宋体" w:eastAsia="宋体" w:cs="宋体"/>
                <w:color w:val="auto"/>
                <w:szCs w:val="21"/>
                <w:highlight w:val="none"/>
              </w:rPr>
              <w:t>2、投标人依法缴纳税收的相关材料（</w:t>
            </w:r>
            <w:r>
              <w:rPr>
                <w:rFonts w:hint="eastAsia" w:ascii="宋体" w:hAnsi="宋体" w:eastAsia="宋体" w:cs="宋体"/>
                <w:color w:val="auto"/>
                <w:szCs w:val="21"/>
                <w:highlight w:val="none"/>
                <w:lang w:val="en-US" w:eastAsia="zh-CN"/>
              </w:rPr>
              <w:t>近半年</w:t>
            </w:r>
            <w:r>
              <w:rPr>
                <w:rFonts w:hint="eastAsia" w:ascii="宋体" w:hAnsi="宋体" w:eastAsia="宋体" w:cs="宋体"/>
                <w:color w:val="auto"/>
                <w:szCs w:val="21"/>
                <w:highlight w:val="none"/>
              </w:rPr>
              <w:t>内任意连续3个月的依法缴纳税收的凭据复印件；依法免税的供应商，必须提供相应文件证明其依法免税。从成立之日起到投标文件提交截止时间止不足要求月数的，只需提供从成立之日起的依法缴纳税收相应证明文件）；</w:t>
            </w:r>
            <w:r>
              <w:rPr>
                <w:rFonts w:hint="eastAsia" w:ascii="宋体" w:hAnsi="宋体" w:eastAsia="宋体" w:cs="宋体"/>
                <w:b/>
                <w:color w:val="auto"/>
                <w:szCs w:val="21"/>
                <w:highlight w:val="none"/>
              </w:rPr>
              <w:t>（必须提供，否则按无效投标处理）</w:t>
            </w:r>
          </w:p>
          <w:p w14:paraId="432FFA45">
            <w:pPr>
              <w:autoSpaceDE w:val="0"/>
              <w:autoSpaceDN w:val="0"/>
              <w:snapToGrid w:val="0"/>
              <w:spacing w:line="400" w:lineRule="exact"/>
              <w:textAlignment w:val="bottom"/>
              <w:rPr>
                <w:rFonts w:hint="eastAsia" w:ascii="宋体" w:hAnsi="宋体" w:eastAsia="宋体" w:cs="宋体"/>
                <w:b/>
                <w:color w:val="auto"/>
                <w:szCs w:val="21"/>
                <w:highlight w:val="none"/>
              </w:rPr>
            </w:pPr>
            <w:r>
              <w:rPr>
                <w:rFonts w:hint="eastAsia" w:ascii="宋体" w:hAnsi="宋体" w:eastAsia="宋体" w:cs="宋体"/>
                <w:color w:val="auto"/>
                <w:szCs w:val="21"/>
                <w:highlight w:val="none"/>
              </w:rPr>
              <w:t>3、投标人依法缴纳社会保障资金的相关材料[</w:t>
            </w:r>
            <w:r>
              <w:rPr>
                <w:rFonts w:hint="eastAsia" w:ascii="宋体" w:hAnsi="宋体" w:eastAsia="宋体" w:cs="宋体"/>
                <w:color w:val="auto"/>
                <w:szCs w:val="21"/>
                <w:highlight w:val="none"/>
                <w:lang w:val="en-US" w:eastAsia="zh-CN"/>
              </w:rPr>
              <w:t>近半年</w:t>
            </w:r>
            <w:r>
              <w:rPr>
                <w:rFonts w:hint="eastAsia" w:ascii="宋体" w:hAnsi="宋体" w:eastAsia="宋体" w:cs="宋体"/>
                <w:color w:val="auto"/>
                <w:szCs w:val="21"/>
                <w:highlight w:val="none"/>
              </w:rPr>
              <w:t>内任意连续3个月的依法缴纳社会保障资金的缴费凭证（专用收据或者社会保险缴纳清单）复印件；依法不需要缴纳社会保障资金的供应商，必须提供相应文件证明不需要缴纳社会保障资金。从成立之日起到投标文件提交截止时间止不足要求月数的只需提供从成立之日起的依法缴纳社会保障资金的相应证明文件]；</w:t>
            </w:r>
            <w:r>
              <w:rPr>
                <w:rFonts w:hint="eastAsia" w:ascii="宋体" w:hAnsi="宋体" w:eastAsia="宋体" w:cs="宋体"/>
                <w:b/>
                <w:color w:val="auto"/>
                <w:szCs w:val="21"/>
                <w:highlight w:val="none"/>
              </w:rPr>
              <w:t>（必须提供，否则按无效投标处理）</w:t>
            </w:r>
          </w:p>
          <w:p w14:paraId="7A38003F">
            <w:pPr>
              <w:autoSpaceDE w:val="0"/>
              <w:autoSpaceDN w:val="0"/>
              <w:snapToGrid w:val="0"/>
              <w:spacing w:line="400" w:lineRule="exact"/>
              <w:textAlignment w:val="bottom"/>
              <w:rPr>
                <w:rFonts w:hint="eastAsia" w:ascii="宋体" w:hAnsi="宋体" w:eastAsia="宋体" w:cs="宋体"/>
                <w:b/>
                <w:color w:val="auto"/>
                <w:szCs w:val="21"/>
                <w:highlight w:val="none"/>
              </w:rPr>
            </w:pPr>
            <w:r>
              <w:rPr>
                <w:rFonts w:hint="eastAsia" w:ascii="宋体" w:hAnsi="宋体" w:eastAsia="宋体" w:cs="宋体"/>
                <w:color w:val="auto"/>
                <w:szCs w:val="21"/>
                <w:highlight w:val="none"/>
              </w:rPr>
              <w:t>4、投标人财务状况报告（202</w:t>
            </w:r>
            <w:r>
              <w:rPr>
                <w:rFonts w:hint="eastAsia" w:ascii="宋体" w:hAnsi="宋体" w:eastAsia="宋体" w:cs="宋体"/>
                <w:color w:val="auto"/>
                <w:szCs w:val="21"/>
                <w:highlight w:val="none"/>
                <w:lang w:val="en-US" w:eastAsia="zh-CN"/>
              </w:rPr>
              <w:t>4</w:t>
            </w:r>
            <w:r>
              <w:rPr>
                <w:rFonts w:hint="eastAsia" w:ascii="宋体" w:hAnsi="宋体" w:eastAsia="宋体" w:cs="宋体"/>
                <w:color w:val="auto"/>
                <w:szCs w:val="21"/>
                <w:highlight w:val="none"/>
              </w:rPr>
              <w:t>年度或202</w:t>
            </w:r>
            <w:r>
              <w:rPr>
                <w:rFonts w:hint="eastAsia" w:ascii="宋体" w:hAnsi="宋体" w:eastAsia="宋体" w:cs="宋体"/>
                <w:color w:val="auto"/>
                <w:szCs w:val="21"/>
                <w:highlight w:val="none"/>
                <w:lang w:val="en-US" w:eastAsia="zh-CN"/>
              </w:rPr>
              <w:t>5</w:t>
            </w:r>
            <w:r>
              <w:rPr>
                <w:rFonts w:hint="eastAsia" w:ascii="宋体" w:hAnsi="宋体" w:eastAsia="宋体" w:cs="宋体"/>
                <w:color w:val="auto"/>
                <w:szCs w:val="21"/>
                <w:highlight w:val="none"/>
              </w:rPr>
              <w:t>年度财务报表复印件或者银行出具的资信证明；投标人属于成立时间在规定年度之后的法人或其他组织，需提供成立之日起至投标截止时间前的月报表或银行出具的资信证明；资信证明应在有效期内，未注明有效期的，银行出具时间至投标截止时间不超过一年）；</w:t>
            </w:r>
            <w:r>
              <w:rPr>
                <w:rFonts w:hint="eastAsia" w:ascii="宋体" w:hAnsi="宋体" w:eastAsia="宋体" w:cs="宋体"/>
                <w:b/>
                <w:color w:val="auto"/>
                <w:szCs w:val="21"/>
                <w:highlight w:val="none"/>
              </w:rPr>
              <w:t>（除自然人外必须提供，否则按无效投标处理）</w:t>
            </w:r>
          </w:p>
          <w:p w14:paraId="28C084B0">
            <w:pPr>
              <w:autoSpaceDE w:val="0"/>
              <w:autoSpaceDN w:val="0"/>
              <w:snapToGrid w:val="0"/>
              <w:spacing w:line="400" w:lineRule="exact"/>
              <w:textAlignment w:val="bottom"/>
              <w:rPr>
                <w:rFonts w:hint="eastAsia" w:ascii="宋体" w:hAnsi="宋体" w:eastAsia="宋体" w:cs="宋体"/>
                <w:b/>
                <w:color w:val="auto"/>
                <w:szCs w:val="21"/>
                <w:highlight w:val="none"/>
              </w:rPr>
            </w:pPr>
            <w:r>
              <w:rPr>
                <w:rFonts w:hint="eastAsia" w:ascii="宋体" w:hAnsi="宋体" w:eastAsia="宋体" w:cs="宋体"/>
                <w:color w:val="auto"/>
                <w:szCs w:val="21"/>
                <w:highlight w:val="none"/>
              </w:rPr>
              <w:t>5、投标人直接控股、管理关系信息表（格式后附）；</w:t>
            </w:r>
            <w:r>
              <w:rPr>
                <w:rFonts w:hint="eastAsia" w:ascii="宋体" w:hAnsi="宋体" w:eastAsia="宋体" w:cs="宋体"/>
                <w:b/>
                <w:color w:val="auto"/>
                <w:szCs w:val="21"/>
                <w:highlight w:val="none"/>
              </w:rPr>
              <w:t>（必须提供，否则按无效投标处理）</w:t>
            </w:r>
          </w:p>
          <w:p w14:paraId="664F6860">
            <w:pPr>
              <w:autoSpaceDE w:val="0"/>
              <w:autoSpaceDN w:val="0"/>
              <w:snapToGrid w:val="0"/>
              <w:spacing w:line="400" w:lineRule="exact"/>
              <w:textAlignment w:val="bottom"/>
              <w:rPr>
                <w:rFonts w:hint="eastAsia" w:ascii="宋体" w:hAnsi="宋体" w:eastAsia="宋体" w:cs="宋体"/>
                <w:b/>
                <w:color w:val="auto"/>
                <w:szCs w:val="21"/>
                <w:highlight w:val="none"/>
              </w:rPr>
            </w:pPr>
            <w:r>
              <w:rPr>
                <w:rFonts w:hint="eastAsia" w:ascii="宋体" w:hAnsi="宋体" w:eastAsia="宋体" w:cs="宋体"/>
                <w:color w:val="auto"/>
                <w:szCs w:val="21"/>
                <w:highlight w:val="none"/>
              </w:rPr>
              <w:t>6、投标声明（格式后附）；</w:t>
            </w:r>
            <w:r>
              <w:rPr>
                <w:rFonts w:hint="eastAsia" w:ascii="宋体" w:hAnsi="宋体" w:eastAsia="宋体" w:cs="宋体"/>
                <w:b/>
                <w:color w:val="auto"/>
                <w:szCs w:val="21"/>
                <w:highlight w:val="none"/>
              </w:rPr>
              <w:t>（必须提供，否则按无效投标处理）</w:t>
            </w:r>
          </w:p>
          <w:p w14:paraId="7E3B6EC5">
            <w:pPr>
              <w:spacing w:line="400" w:lineRule="exact"/>
              <w:rPr>
                <w:rFonts w:hint="eastAsia" w:ascii="宋体" w:hAnsi="宋体" w:eastAsia="宋体" w:cs="宋体"/>
                <w:color w:val="auto"/>
                <w:szCs w:val="21"/>
                <w:highlight w:val="none"/>
              </w:rPr>
            </w:pPr>
            <w:r>
              <w:rPr>
                <w:rFonts w:hint="eastAsia" w:ascii="宋体" w:hAnsi="宋体" w:cs="宋体"/>
                <w:color w:val="auto"/>
                <w:szCs w:val="21"/>
                <w:highlight w:val="none"/>
                <w:lang w:val="en-US" w:eastAsia="zh-CN"/>
              </w:rPr>
              <w:t>7</w:t>
            </w:r>
            <w:r>
              <w:rPr>
                <w:rFonts w:hint="eastAsia" w:ascii="宋体" w:hAnsi="宋体" w:eastAsia="宋体" w:cs="宋体"/>
                <w:color w:val="auto"/>
                <w:szCs w:val="21"/>
                <w:highlight w:val="none"/>
              </w:rPr>
              <w:t>、本项目的特定资格要求</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rPr>
              <w:t>须符合“招标公告”的要求</w:t>
            </w:r>
            <w:r>
              <w:rPr>
                <w:rFonts w:hint="eastAsia" w:ascii="宋体" w:hAnsi="宋体" w:eastAsia="宋体" w:cs="宋体"/>
                <w:color w:val="auto"/>
                <w:szCs w:val="21"/>
                <w:highlight w:val="none"/>
                <w:lang w:eastAsia="zh-CN"/>
              </w:rPr>
              <w:t>；</w:t>
            </w:r>
            <w:r>
              <w:rPr>
                <w:rFonts w:hint="eastAsia" w:ascii="宋体" w:hAnsi="宋体" w:eastAsia="宋体" w:cs="宋体"/>
                <w:b/>
                <w:color w:val="auto"/>
                <w:szCs w:val="21"/>
                <w:highlight w:val="none"/>
              </w:rPr>
              <w:t>（必须提供，否则按无效投标处理）</w:t>
            </w:r>
          </w:p>
          <w:p w14:paraId="0D13B193">
            <w:pPr>
              <w:autoSpaceDE w:val="0"/>
              <w:autoSpaceDN w:val="0"/>
              <w:snapToGrid w:val="0"/>
              <w:spacing w:line="400" w:lineRule="exact"/>
              <w:textAlignment w:val="bottom"/>
              <w:rPr>
                <w:rFonts w:hint="eastAsia" w:ascii="宋体" w:hAnsi="宋体" w:eastAsia="宋体" w:cs="宋体"/>
                <w:color w:val="auto"/>
                <w:szCs w:val="21"/>
                <w:highlight w:val="none"/>
              </w:rPr>
            </w:pPr>
            <w:r>
              <w:rPr>
                <w:rFonts w:hint="eastAsia" w:ascii="宋体" w:hAnsi="宋体" w:cs="宋体"/>
                <w:color w:val="auto"/>
                <w:szCs w:val="21"/>
                <w:highlight w:val="none"/>
                <w:lang w:val="en-US" w:eastAsia="zh-CN"/>
              </w:rPr>
              <w:t>8</w:t>
            </w:r>
            <w:r>
              <w:rPr>
                <w:rFonts w:hint="eastAsia" w:ascii="宋体" w:hAnsi="宋体" w:eastAsia="宋体" w:cs="宋体"/>
                <w:color w:val="auto"/>
                <w:szCs w:val="21"/>
                <w:highlight w:val="none"/>
              </w:rPr>
              <w:t>、除招标文件规定必须提供以外，投标人认为需要提供的其他证明材料。</w:t>
            </w:r>
          </w:p>
          <w:p w14:paraId="35F804C1">
            <w:pPr>
              <w:snapToGrid w:val="0"/>
              <w:spacing w:line="400" w:lineRule="exact"/>
              <w:jc w:val="left"/>
              <w:rPr>
                <w:rFonts w:hint="eastAsia" w:ascii="宋体" w:hAnsi="宋体" w:eastAsia="宋体" w:cs="宋体"/>
                <w:b/>
                <w:bCs/>
                <w:color w:val="auto"/>
                <w:szCs w:val="21"/>
                <w:highlight w:val="none"/>
                <w:lang w:eastAsia="zh-CN"/>
              </w:rPr>
            </w:pPr>
            <w:r>
              <w:rPr>
                <w:rFonts w:hint="eastAsia" w:ascii="宋体" w:hAnsi="宋体" w:eastAsia="宋体" w:cs="宋体"/>
                <w:b/>
                <w:bCs/>
                <w:color w:val="auto"/>
                <w:szCs w:val="21"/>
                <w:highlight w:val="none"/>
              </w:rPr>
              <w:t>注</w:t>
            </w:r>
            <w:r>
              <w:rPr>
                <w:rFonts w:hint="eastAsia" w:ascii="宋体" w:hAnsi="宋体" w:eastAsia="宋体" w:cs="宋体"/>
                <w:b/>
                <w:bCs/>
                <w:color w:val="auto"/>
                <w:szCs w:val="21"/>
                <w:highlight w:val="none"/>
                <w:lang w:eastAsia="zh-CN"/>
              </w:rPr>
              <w:t>：</w:t>
            </w:r>
          </w:p>
          <w:p w14:paraId="48DA7B44">
            <w:pPr>
              <w:snapToGrid w:val="0"/>
              <w:spacing w:line="400" w:lineRule="exact"/>
              <w:jc w:val="left"/>
              <w:rPr>
                <w:rFonts w:hint="eastAsia" w:ascii="宋体" w:hAnsi="宋体" w:eastAsia="宋体" w:cs="宋体"/>
                <w:b/>
                <w:color w:val="auto"/>
                <w:szCs w:val="21"/>
                <w:highlight w:val="none"/>
              </w:rPr>
            </w:pPr>
            <w:r>
              <w:rPr>
                <w:rFonts w:hint="eastAsia" w:ascii="宋体" w:hAnsi="宋体" w:eastAsia="宋体" w:cs="宋体"/>
                <w:b/>
                <w:bCs/>
                <w:color w:val="auto"/>
                <w:szCs w:val="21"/>
                <w:highlight w:val="none"/>
              </w:rPr>
              <w:t>（1）以上标明“必须提供”的材料属于复印件的，必须加盖投标人公章，否则按无效投标</w:t>
            </w:r>
            <w:r>
              <w:rPr>
                <w:rFonts w:hint="eastAsia" w:ascii="宋体" w:hAnsi="宋体" w:eastAsia="宋体" w:cs="宋体"/>
                <w:b/>
                <w:color w:val="auto"/>
                <w:szCs w:val="21"/>
                <w:highlight w:val="none"/>
              </w:rPr>
              <w:t>处理。</w:t>
            </w:r>
          </w:p>
          <w:p w14:paraId="6B1543A3">
            <w:pPr>
              <w:snapToGrid w:val="0"/>
              <w:spacing w:line="400" w:lineRule="exact"/>
              <w:jc w:val="left"/>
              <w:rPr>
                <w:rFonts w:hint="eastAsia" w:ascii="宋体" w:hAnsi="宋体" w:eastAsia="宋体" w:cs="宋体"/>
                <w:b/>
                <w:bCs/>
                <w:color w:val="auto"/>
                <w:szCs w:val="21"/>
                <w:highlight w:val="none"/>
              </w:rPr>
            </w:pPr>
            <w:r>
              <w:rPr>
                <w:rFonts w:hint="eastAsia" w:ascii="宋体" w:hAnsi="宋体" w:eastAsia="宋体" w:cs="宋体"/>
                <w:b/>
                <w:color w:val="auto"/>
                <w:szCs w:val="21"/>
                <w:highlight w:val="none"/>
              </w:rPr>
              <w:t>（2）</w:t>
            </w:r>
            <w:r>
              <w:rPr>
                <w:rFonts w:hint="eastAsia" w:ascii="宋体" w:hAnsi="宋体" w:eastAsia="宋体" w:cs="宋体"/>
                <w:b/>
                <w:bCs/>
                <w:color w:val="auto"/>
                <w:szCs w:val="21"/>
                <w:highlight w:val="none"/>
              </w:rPr>
              <w:t>投标声明必须由法定代表人在规定签章处签章并加盖投标人公章，否则按无效投标处理。</w:t>
            </w:r>
          </w:p>
          <w:p w14:paraId="0083E686">
            <w:pPr>
              <w:snapToGrid w:val="0"/>
              <w:spacing w:line="400" w:lineRule="exact"/>
              <w:jc w:val="left"/>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（3）投标人直接控股、管理关系信息表必须由法定代表人或者委托代理人在规定签章处签字并加盖投标人公章，否则按无效投标</w:t>
            </w:r>
            <w:r>
              <w:rPr>
                <w:rFonts w:hint="eastAsia" w:ascii="宋体" w:hAnsi="宋体" w:eastAsia="宋体" w:cs="宋体"/>
                <w:b/>
                <w:color w:val="auto"/>
                <w:szCs w:val="21"/>
                <w:highlight w:val="none"/>
              </w:rPr>
              <w:t>处理</w:t>
            </w:r>
            <w:r>
              <w:rPr>
                <w:rFonts w:hint="eastAsia" w:ascii="宋体" w:hAnsi="宋体" w:eastAsia="宋体" w:cs="宋体"/>
                <w:b/>
                <w:bCs/>
                <w:color w:val="auto"/>
                <w:szCs w:val="21"/>
                <w:highlight w:val="none"/>
              </w:rPr>
              <w:t>。</w:t>
            </w:r>
          </w:p>
          <w:p w14:paraId="76B854E7">
            <w:pPr>
              <w:snapToGrid w:val="0"/>
              <w:spacing w:line="400" w:lineRule="exact"/>
              <w:jc w:val="left"/>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（4）联合体投标时，第1-5项资格证明文件联合体各方均必须分别提供，联合体各方分别盖章和签字，否则按无效投标</w:t>
            </w:r>
            <w:r>
              <w:rPr>
                <w:rFonts w:hint="eastAsia" w:ascii="宋体" w:hAnsi="宋体" w:eastAsia="宋体" w:cs="宋体"/>
                <w:b/>
                <w:color w:val="auto"/>
                <w:szCs w:val="21"/>
                <w:highlight w:val="none"/>
              </w:rPr>
              <w:t>处理</w:t>
            </w:r>
            <w:r>
              <w:rPr>
                <w:rFonts w:hint="eastAsia" w:ascii="宋体" w:hAnsi="宋体" w:eastAsia="宋体" w:cs="宋体"/>
                <w:b/>
                <w:bCs/>
                <w:color w:val="auto"/>
                <w:szCs w:val="21"/>
                <w:highlight w:val="none"/>
              </w:rPr>
              <w:t>。</w:t>
            </w:r>
          </w:p>
        </w:tc>
      </w:tr>
      <w:tr w14:paraId="13AF107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895" w:type="dxa"/>
            <w:vMerge w:val="continue"/>
            <w:tcBorders>
              <w:left w:val="single" w:color="auto" w:sz="4" w:space="0"/>
              <w:right w:val="single" w:color="auto" w:sz="4" w:space="0"/>
            </w:tcBorders>
            <w:noWrap w:val="0"/>
            <w:vAlign w:val="center"/>
          </w:tcPr>
          <w:p w14:paraId="0BD5E25C">
            <w:pPr>
              <w:spacing w:line="400" w:lineRule="exact"/>
              <w:rPr>
                <w:rFonts w:hint="eastAsia" w:ascii="宋体" w:hAnsi="宋体" w:eastAsia="宋体" w:cs="宋体"/>
                <w:color w:val="auto"/>
                <w:szCs w:val="21"/>
                <w:highlight w:val="none"/>
              </w:rPr>
            </w:pPr>
            <w:bookmarkStart w:id="62" w:name="_13.3"/>
            <w:bookmarkEnd w:id="62"/>
          </w:p>
        </w:tc>
        <w:tc>
          <w:tcPr>
            <w:tcW w:w="8708" w:type="dxa"/>
            <w:tcBorders>
              <w:top w:val="single" w:color="auto" w:sz="4" w:space="0"/>
              <w:left w:val="single" w:color="auto" w:sz="4" w:space="0"/>
              <w:bottom w:val="single" w:color="auto" w:sz="4" w:space="0"/>
              <w:right w:val="single" w:color="auto" w:sz="4" w:space="0"/>
            </w:tcBorders>
            <w:noWrap w:val="0"/>
            <w:vAlign w:val="center"/>
          </w:tcPr>
          <w:p w14:paraId="6F604A61">
            <w:pPr>
              <w:snapToGrid w:val="0"/>
              <w:spacing w:line="400" w:lineRule="exact"/>
              <w:jc w:val="left"/>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 xml:space="preserve">商务文件： </w:t>
            </w:r>
          </w:p>
          <w:p w14:paraId="2991C975">
            <w:pPr>
              <w:snapToGrid w:val="0"/>
              <w:spacing w:line="400" w:lineRule="exact"/>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1、无串通投标行为的承诺函（格式后附）；（</w:t>
            </w:r>
            <w:r>
              <w:rPr>
                <w:rFonts w:hint="eastAsia" w:ascii="宋体" w:hAnsi="宋体" w:eastAsia="宋体" w:cs="宋体"/>
                <w:b/>
                <w:color w:val="auto"/>
                <w:szCs w:val="21"/>
                <w:highlight w:val="none"/>
              </w:rPr>
              <w:t>必须提供，否则按无效投标处理</w:t>
            </w:r>
            <w:r>
              <w:rPr>
                <w:rFonts w:hint="eastAsia" w:ascii="宋体" w:hAnsi="宋体" w:eastAsia="宋体" w:cs="宋体"/>
                <w:color w:val="auto"/>
                <w:szCs w:val="21"/>
                <w:highlight w:val="none"/>
              </w:rPr>
              <w:t>）</w:t>
            </w:r>
          </w:p>
          <w:p w14:paraId="0F9BC844">
            <w:pPr>
              <w:snapToGrid w:val="0"/>
              <w:spacing w:line="400" w:lineRule="exact"/>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2、投标保证金提交凭证；（</w:t>
            </w:r>
            <w:r>
              <w:rPr>
                <w:rFonts w:hint="eastAsia" w:ascii="宋体" w:hAnsi="宋体" w:eastAsia="宋体" w:cs="宋体"/>
                <w:b/>
                <w:color w:val="auto"/>
                <w:szCs w:val="21"/>
                <w:highlight w:val="none"/>
              </w:rPr>
              <w:t>必须提供，否则按无效投标处理</w:t>
            </w:r>
            <w:r>
              <w:rPr>
                <w:rFonts w:hint="eastAsia" w:ascii="宋体" w:hAnsi="宋体" w:eastAsia="宋体" w:cs="宋体"/>
                <w:color w:val="auto"/>
                <w:szCs w:val="21"/>
                <w:highlight w:val="none"/>
              </w:rPr>
              <w:t>）</w:t>
            </w:r>
          </w:p>
          <w:p w14:paraId="1C30CA24">
            <w:pPr>
              <w:snapToGrid w:val="0"/>
              <w:spacing w:line="400" w:lineRule="exact"/>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3、法定代表人身份证明及法定代表人有效身份证正反面复印件（格式后附）；（</w:t>
            </w:r>
            <w:r>
              <w:rPr>
                <w:rFonts w:hint="eastAsia" w:ascii="宋体" w:hAnsi="宋体" w:eastAsia="宋体" w:cs="宋体"/>
                <w:b/>
                <w:bCs/>
                <w:color w:val="auto"/>
                <w:szCs w:val="21"/>
                <w:highlight w:val="none"/>
              </w:rPr>
              <w:t>除自然人投标外</w:t>
            </w:r>
            <w:r>
              <w:rPr>
                <w:rFonts w:hint="eastAsia" w:ascii="宋体" w:hAnsi="宋体" w:eastAsia="宋体" w:cs="宋体"/>
                <w:b/>
                <w:color w:val="auto"/>
                <w:szCs w:val="21"/>
                <w:highlight w:val="none"/>
              </w:rPr>
              <w:t>必须提供，否则按无效投标处理</w:t>
            </w:r>
            <w:r>
              <w:rPr>
                <w:rFonts w:hint="eastAsia" w:ascii="宋体" w:hAnsi="宋体" w:eastAsia="宋体" w:cs="宋体"/>
                <w:color w:val="auto"/>
                <w:szCs w:val="21"/>
                <w:highlight w:val="none"/>
              </w:rPr>
              <w:t>）</w:t>
            </w:r>
          </w:p>
          <w:p w14:paraId="0B58BB4F">
            <w:pPr>
              <w:snapToGrid w:val="0"/>
              <w:spacing w:line="400" w:lineRule="exact"/>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4、授权委托书及委托代理人有效身份证正反面复印件（格式后附）；（</w:t>
            </w:r>
            <w:r>
              <w:rPr>
                <w:rFonts w:hint="eastAsia" w:ascii="宋体" w:hAnsi="宋体" w:eastAsia="宋体" w:cs="宋体"/>
                <w:b/>
                <w:color w:val="auto"/>
                <w:szCs w:val="21"/>
                <w:highlight w:val="none"/>
              </w:rPr>
              <w:t>委托时必须提供，否则按无效投标处理</w:t>
            </w:r>
            <w:r>
              <w:rPr>
                <w:rFonts w:hint="eastAsia" w:ascii="宋体" w:hAnsi="宋体" w:eastAsia="宋体" w:cs="宋体"/>
                <w:color w:val="auto"/>
                <w:szCs w:val="21"/>
                <w:highlight w:val="none"/>
              </w:rPr>
              <w:t>）</w:t>
            </w:r>
          </w:p>
          <w:p w14:paraId="75BD8B3C">
            <w:pPr>
              <w:snapToGrid w:val="0"/>
              <w:spacing w:line="400" w:lineRule="exact"/>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5、商务要求偏离表（格式后附）；（</w:t>
            </w:r>
            <w:r>
              <w:rPr>
                <w:rFonts w:hint="eastAsia" w:ascii="宋体" w:hAnsi="宋体" w:eastAsia="宋体" w:cs="宋体"/>
                <w:b/>
                <w:color w:val="auto"/>
                <w:szCs w:val="21"/>
                <w:highlight w:val="none"/>
              </w:rPr>
              <w:t>必须提供，否则按无效投标处理</w:t>
            </w:r>
            <w:r>
              <w:rPr>
                <w:rFonts w:hint="eastAsia" w:ascii="宋体" w:hAnsi="宋体" w:eastAsia="宋体" w:cs="宋体"/>
                <w:color w:val="auto"/>
                <w:szCs w:val="21"/>
                <w:highlight w:val="none"/>
              </w:rPr>
              <w:t>）</w:t>
            </w:r>
          </w:p>
          <w:p w14:paraId="13E5086A">
            <w:pPr>
              <w:snapToGrid w:val="0"/>
              <w:spacing w:line="400" w:lineRule="exact"/>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6、售后服务承诺（格式自拟）；（</w:t>
            </w:r>
            <w:r>
              <w:rPr>
                <w:rFonts w:hint="eastAsia" w:ascii="宋体" w:hAnsi="宋体" w:eastAsia="宋体" w:cs="宋体"/>
                <w:b/>
                <w:color w:val="auto"/>
                <w:szCs w:val="21"/>
                <w:highlight w:val="none"/>
              </w:rPr>
              <w:t>必须提供，否则按无效投标处理</w:t>
            </w:r>
            <w:r>
              <w:rPr>
                <w:rFonts w:hint="eastAsia" w:ascii="宋体" w:hAnsi="宋体" w:eastAsia="宋体" w:cs="宋体"/>
                <w:color w:val="auto"/>
                <w:szCs w:val="21"/>
                <w:highlight w:val="none"/>
              </w:rPr>
              <w:t>）</w:t>
            </w:r>
          </w:p>
          <w:p w14:paraId="548C67FF">
            <w:pPr>
              <w:snapToGrid w:val="0"/>
              <w:spacing w:line="400" w:lineRule="exact"/>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7、投标人情况介绍（格式自拟）；</w:t>
            </w:r>
          </w:p>
          <w:p w14:paraId="5DA7F074">
            <w:pPr>
              <w:snapToGrid w:val="0"/>
              <w:spacing w:line="400" w:lineRule="exact"/>
              <w:jc w:val="left"/>
              <w:rPr>
                <w:rFonts w:hint="eastAsia"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rPr>
              <w:t>8</w:t>
            </w:r>
            <w:r>
              <w:rPr>
                <w:rFonts w:hint="eastAsia" w:ascii="宋体" w:hAnsi="宋体" w:eastAsia="宋体" w:cs="宋体"/>
                <w:color w:val="auto"/>
                <w:szCs w:val="21"/>
                <w:highlight w:val="none"/>
                <w:lang w:val="en-US" w:eastAsia="zh-CN"/>
              </w:rPr>
              <w:t>、中小企业声明函或监狱企业由省级以上监狱管理局、戒毒管理局（含新疆生产建设兵团）出具的属于监狱企业的证明文件或残疾人福利性单位声明函（格式后附）；</w:t>
            </w:r>
          </w:p>
          <w:p w14:paraId="2FD94013">
            <w:pPr>
              <w:snapToGrid w:val="0"/>
              <w:spacing w:line="400" w:lineRule="exact"/>
              <w:jc w:val="left"/>
              <w:rPr>
                <w:rFonts w:hint="eastAsia" w:ascii="宋体" w:hAnsi="宋体" w:eastAsia="宋体" w:cs="宋体"/>
                <w:color w:val="auto"/>
                <w:szCs w:val="21"/>
                <w:highlight w:val="none"/>
              </w:rPr>
            </w:pPr>
            <w:r>
              <w:rPr>
                <w:rFonts w:hint="eastAsia" w:ascii="宋体" w:hAnsi="宋体" w:cs="宋体"/>
                <w:color w:val="auto"/>
                <w:szCs w:val="21"/>
                <w:highlight w:val="none"/>
                <w:lang w:val="en-US" w:eastAsia="zh-CN"/>
              </w:rPr>
              <w:t>9</w:t>
            </w:r>
            <w:r>
              <w:rPr>
                <w:rFonts w:hint="eastAsia" w:ascii="宋体" w:hAnsi="宋体" w:eastAsia="宋体" w:cs="宋体"/>
                <w:color w:val="auto"/>
                <w:szCs w:val="21"/>
                <w:highlight w:val="none"/>
              </w:rPr>
              <w:t>、除招标文件规定必须提供以外，投标人认为需要提供的其他证明材料（格式自拟）。（投标人根据“第二章 采购需求”及“第四章 评标方法及评标标准”提供有关证明材料）。</w:t>
            </w:r>
          </w:p>
          <w:p w14:paraId="46A16480">
            <w:pPr>
              <w:snapToGrid w:val="0"/>
              <w:spacing w:line="400" w:lineRule="exact"/>
              <w:jc w:val="left"/>
              <w:rPr>
                <w:rFonts w:hint="eastAsia" w:ascii="宋体" w:hAnsi="宋体" w:eastAsia="宋体" w:cs="宋体"/>
                <w:b/>
                <w:bCs/>
                <w:color w:val="auto"/>
                <w:szCs w:val="21"/>
                <w:highlight w:val="none"/>
              </w:rPr>
            </w:pPr>
          </w:p>
          <w:p w14:paraId="7C7FEA3B">
            <w:pPr>
              <w:snapToGrid w:val="0"/>
              <w:spacing w:line="400" w:lineRule="exact"/>
              <w:jc w:val="left"/>
              <w:rPr>
                <w:rFonts w:hint="eastAsia" w:ascii="宋体" w:hAnsi="宋体" w:eastAsia="宋体" w:cs="宋体"/>
                <w:color w:val="auto"/>
                <w:szCs w:val="21"/>
                <w:highlight w:val="none"/>
              </w:rPr>
            </w:pPr>
            <w:r>
              <w:rPr>
                <w:rFonts w:hint="eastAsia" w:ascii="宋体" w:hAnsi="宋体" w:eastAsia="宋体" w:cs="宋体"/>
                <w:b/>
                <w:bCs/>
                <w:color w:val="auto"/>
                <w:szCs w:val="21"/>
                <w:highlight w:val="none"/>
              </w:rPr>
              <w:t>注：以上标明“必须提供”的材料属于复印件的，必须加盖投标人公章，否则按无效投标</w:t>
            </w:r>
            <w:r>
              <w:rPr>
                <w:rFonts w:hint="eastAsia" w:ascii="宋体" w:hAnsi="宋体" w:eastAsia="宋体" w:cs="宋体"/>
                <w:b/>
                <w:color w:val="auto"/>
                <w:szCs w:val="21"/>
                <w:highlight w:val="none"/>
              </w:rPr>
              <w:t>处理</w:t>
            </w:r>
            <w:r>
              <w:rPr>
                <w:rFonts w:hint="eastAsia" w:ascii="宋体" w:hAnsi="宋体" w:eastAsia="宋体" w:cs="宋体"/>
                <w:b/>
                <w:bCs/>
                <w:color w:val="auto"/>
                <w:szCs w:val="21"/>
                <w:highlight w:val="none"/>
              </w:rPr>
              <w:t>。</w:t>
            </w:r>
          </w:p>
        </w:tc>
      </w:tr>
      <w:tr w14:paraId="646FDA0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895" w:type="dxa"/>
            <w:vMerge w:val="continue"/>
            <w:tcBorders>
              <w:left w:val="single" w:color="auto" w:sz="4" w:space="0"/>
              <w:bottom w:val="single" w:color="auto" w:sz="4" w:space="0"/>
              <w:right w:val="single" w:color="auto" w:sz="4" w:space="0"/>
            </w:tcBorders>
            <w:noWrap w:val="0"/>
            <w:vAlign w:val="center"/>
          </w:tcPr>
          <w:p w14:paraId="3298C16E">
            <w:pPr>
              <w:spacing w:line="400" w:lineRule="exact"/>
              <w:rPr>
                <w:rFonts w:hint="eastAsia" w:ascii="宋体" w:hAnsi="宋体" w:eastAsia="宋体" w:cs="宋体"/>
                <w:color w:val="auto"/>
                <w:szCs w:val="21"/>
                <w:highlight w:val="none"/>
              </w:rPr>
            </w:pPr>
            <w:bookmarkStart w:id="63" w:name="_13.4"/>
            <w:bookmarkEnd w:id="63"/>
          </w:p>
        </w:tc>
        <w:tc>
          <w:tcPr>
            <w:tcW w:w="8708" w:type="dxa"/>
            <w:tcBorders>
              <w:top w:val="single" w:color="auto" w:sz="4" w:space="0"/>
              <w:left w:val="single" w:color="auto" w:sz="4" w:space="0"/>
              <w:bottom w:val="single" w:color="auto" w:sz="4" w:space="0"/>
              <w:right w:val="single" w:color="auto" w:sz="4" w:space="0"/>
            </w:tcBorders>
            <w:noWrap w:val="0"/>
            <w:vAlign w:val="center"/>
          </w:tcPr>
          <w:p w14:paraId="13D16163">
            <w:pPr>
              <w:snapToGrid w:val="0"/>
              <w:spacing w:line="400" w:lineRule="exact"/>
              <w:jc w:val="left"/>
              <w:rPr>
                <w:rFonts w:hint="eastAsia" w:ascii="宋体" w:hAnsi="宋体" w:eastAsia="宋体" w:cs="宋体"/>
                <w:b/>
                <w:i/>
                <w:color w:val="auto"/>
                <w:szCs w:val="21"/>
                <w:highlight w:val="none"/>
                <w:lang w:eastAsia="zh-CN"/>
              </w:rPr>
            </w:pPr>
            <w:r>
              <w:rPr>
                <w:rFonts w:hint="eastAsia" w:ascii="宋体" w:hAnsi="宋体" w:eastAsia="宋体" w:cs="宋体"/>
                <w:b/>
                <w:color w:val="auto"/>
                <w:szCs w:val="21"/>
                <w:highlight w:val="none"/>
              </w:rPr>
              <w:t>技术文件</w:t>
            </w:r>
            <w:r>
              <w:rPr>
                <w:rFonts w:hint="eastAsia" w:ascii="宋体" w:hAnsi="宋体" w:eastAsia="宋体" w:cs="宋体"/>
                <w:b/>
                <w:color w:val="auto"/>
                <w:szCs w:val="21"/>
                <w:highlight w:val="none"/>
                <w:lang w:eastAsia="zh-CN"/>
              </w:rPr>
              <w:t>：</w:t>
            </w:r>
          </w:p>
          <w:p w14:paraId="306721BD">
            <w:pPr>
              <w:snapToGrid w:val="0"/>
              <w:spacing w:line="400" w:lineRule="exact"/>
              <w:jc w:val="left"/>
              <w:rPr>
                <w:rFonts w:hint="eastAsia" w:ascii="宋体" w:hAnsi="宋体" w:eastAsia="宋体" w:cs="宋体"/>
                <w:b/>
                <w:color w:val="auto"/>
                <w:szCs w:val="21"/>
                <w:highlight w:val="none"/>
              </w:rPr>
            </w:pPr>
            <w:r>
              <w:rPr>
                <w:rFonts w:hint="eastAsia" w:ascii="宋体" w:hAnsi="宋体" w:eastAsia="宋体" w:cs="宋体"/>
                <w:color w:val="auto"/>
                <w:szCs w:val="21"/>
                <w:highlight w:val="none"/>
              </w:rPr>
              <w:t>1、技术要求偏离表（格式后附）；</w:t>
            </w:r>
            <w:r>
              <w:rPr>
                <w:rFonts w:hint="eastAsia" w:ascii="宋体" w:hAnsi="宋体" w:eastAsia="宋体" w:cs="宋体"/>
                <w:b/>
                <w:color w:val="auto"/>
                <w:szCs w:val="21"/>
                <w:highlight w:val="none"/>
              </w:rPr>
              <w:t>（必须提供，否则按无效投标处理）</w:t>
            </w:r>
          </w:p>
          <w:p w14:paraId="68DDF4B8">
            <w:pPr>
              <w:snapToGrid w:val="0"/>
              <w:spacing w:line="400" w:lineRule="exact"/>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2、服务方案（根据评分内容自行编制，格式自拟）；</w:t>
            </w:r>
          </w:p>
          <w:p w14:paraId="38E6AB6A">
            <w:pPr>
              <w:snapToGrid w:val="0"/>
              <w:spacing w:line="400" w:lineRule="exact"/>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3、项目实施人员一览表（格式后附）；（</w:t>
            </w:r>
            <w:r>
              <w:rPr>
                <w:rFonts w:hint="eastAsia" w:ascii="宋体" w:hAnsi="宋体" w:eastAsia="宋体" w:cs="宋体"/>
                <w:b/>
                <w:color w:val="auto"/>
                <w:szCs w:val="21"/>
                <w:highlight w:val="none"/>
              </w:rPr>
              <w:t>必须提供，否则按无效投标处理</w:t>
            </w:r>
            <w:r>
              <w:rPr>
                <w:rFonts w:hint="eastAsia" w:ascii="宋体" w:hAnsi="宋体" w:eastAsia="宋体" w:cs="宋体"/>
                <w:color w:val="auto"/>
                <w:szCs w:val="21"/>
                <w:highlight w:val="none"/>
              </w:rPr>
              <w:t>）</w:t>
            </w:r>
          </w:p>
          <w:p w14:paraId="26B9B9D3">
            <w:pPr>
              <w:snapToGrid w:val="0"/>
              <w:spacing w:line="400" w:lineRule="exact"/>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4、投标人对本项目的合理化建议和改进措施（格式自拟）；</w:t>
            </w:r>
          </w:p>
          <w:p w14:paraId="211763CB">
            <w:pPr>
              <w:snapToGrid w:val="0"/>
              <w:spacing w:line="400" w:lineRule="exact"/>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5、除招标文件规定必须提供以外，投标人需要说明的其他文件和说明（格式自拟）。</w:t>
            </w:r>
          </w:p>
          <w:p w14:paraId="7D508834">
            <w:pPr>
              <w:snapToGrid w:val="0"/>
              <w:spacing w:line="400" w:lineRule="exact"/>
              <w:jc w:val="left"/>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注</w:t>
            </w:r>
            <w:r>
              <w:rPr>
                <w:rFonts w:hint="eastAsia" w:ascii="宋体" w:hAnsi="宋体" w:eastAsia="宋体" w:cs="宋体"/>
                <w:b/>
                <w:bCs/>
                <w:color w:val="auto"/>
                <w:szCs w:val="21"/>
                <w:highlight w:val="none"/>
                <w:lang w:eastAsia="zh-CN"/>
              </w:rPr>
              <w:t>：</w:t>
            </w:r>
            <w:r>
              <w:rPr>
                <w:rFonts w:hint="eastAsia" w:ascii="宋体" w:hAnsi="宋体" w:eastAsia="宋体" w:cs="宋体"/>
                <w:b/>
                <w:bCs/>
                <w:color w:val="auto"/>
                <w:szCs w:val="21"/>
                <w:highlight w:val="none"/>
              </w:rPr>
              <w:t>以上标明“必须提供”的材料属于复印件的，必须加盖投标人公章，否则按无效投标</w:t>
            </w:r>
            <w:r>
              <w:rPr>
                <w:rFonts w:hint="eastAsia" w:ascii="宋体" w:hAnsi="宋体" w:eastAsia="宋体" w:cs="宋体"/>
                <w:b/>
                <w:color w:val="auto"/>
                <w:szCs w:val="21"/>
                <w:highlight w:val="none"/>
              </w:rPr>
              <w:t>处理</w:t>
            </w:r>
            <w:r>
              <w:rPr>
                <w:rFonts w:hint="eastAsia" w:ascii="宋体" w:hAnsi="宋体" w:eastAsia="宋体" w:cs="宋体"/>
                <w:b/>
                <w:bCs/>
                <w:color w:val="auto"/>
                <w:szCs w:val="21"/>
                <w:highlight w:val="none"/>
              </w:rPr>
              <w:t>。</w:t>
            </w:r>
          </w:p>
        </w:tc>
      </w:tr>
      <w:tr w14:paraId="438145F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895" w:type="dxa"/>
            <w:tcBorders>
              <w:top w:val="single" w:color="auto" w:sz="4" w:space="0"/>
              <w:left w:val="single" w:color="auto" w:sz="4" w:space="0"/>
              <w:bottom w:val="single" w:color="auto" w:sz="4" w:space="0"/>
              <w:right w:val="single" w:color="auto" w:sz="4" w:space="0"/>
            </w:tcBorders>
            <w:noWrap w:val="0"/>
            <w:vAlign w:val="center"/>
          </w:tcPr>
          <w:p w14:paraId="25FE5048">
            <w:pPr>
              <w:spacing w:line="400" w:lineRule="exact"/>
              <w:jc w:val="center"/>
              <w:rPr>
                <w:rFonts w:hint="eastAsia" w:ascii="宋体" w:hAnsi="宋体" w:eastAsia="宋体" w:cs="宋体"/>
                <w:color w:val="auto"/>
                <w:szCs w:val="21"/>
                <w:highlight w:val="none"/>
              </w:rPr>
            </w:pPr>
            <w:bookmarkStart w:id="64" w:name="_13.5"/>
            <w:bookmarkEnd w:id="64"/>
            <w:bookmarkStart w:id="65" w:name="_16.2"/>
            <w:bookmarkEnd w:id="65"/>
            <w:r>
              <w:rPr>
                <w:rFonts w:hint="eastAsia" w:ascii="宋体" w:hAnsi="宋体" w:eastAsia="宋体" w:cs="宋体"/>
                <w:color w:val="auto"/>
                <w:szCs w:val="21"/>
                <w:highlight w:val="none"/>
              </w:rPr>
              <w:t>16</w:t>
            </w:r>
            <w:bookmarkStart w:id="66" w:name="_Hlt19194066"/>
            <w:bookmarkStart w:id="67" w:name="_Hlt19693759"/>
            <w:bookmarkStart w:id="68" w:name="_Hlt19194067"/>
            <w:bookmarkStart w:id="69" w:name="_Hlt19693758"/>
            <w:r>
              <w:rPr>
                <w:rFonts w:hint="eastAsia" w:ascii="宋体" w:hAnsi="宋体" w:eastAsia="宋体" w:cs="宋体"/>
                <w:color w:val="auto"/>
                <w:szCs w:val="21"/>
                <w:highlight w:val="none"/>
              </w:rPr>
              <w:t>.</w:t>
            </w:r>
            <w:bookmarkEnd w:id="66"/>
            <w:bookmarkEnd w:id="67"/>
            <w:bookmarkEnd w:id="68"/>
            <w:bookmarkEnd w:id="69"/>
            <w:r>
              <w:rPr>
                <w:rFonts w:hint="eastAsia" w:ascii="宋体" w:hAnsi="宋体" w:eastAsia="宋体" w:cs="宋体"/>
                <w:color w:val="auto"/>
                <w:szCs w:val="21"/>
                <w:highlight w:val="none"/>
              </w:rPr>
              <w:t>2</w:t>
            </w:r>
          </w:p>
        </w:tc>
        <w:tc>
          <w:tcPr>
            <w:tcW w:w="8708" w:type="dxa"/>
            <w:tcBorders>
              <w:top w:val="single" w:color="auto" w:sz="4" w:space="0"/>
              <w:left w:val="single" w:color="auto" w:sz="4" w:space="0"/>
              <w:bottom w:val="single" w:color="auto" w:sz="4" w:space="0"/>
              <w:right w:val="single" w:color="auto" w:sz="4" w:space="0"/>
            </w:tcBorders>
            <w:noWrap w:val="0"/>
            <w:vAlign w:val="center"/>
          </w:tcPr>
          <w:p w14:paraId="6F5DF7CE">
            <w:pPr>
              <w:snapToGrid w:val="0"/>
              <w:spacing w:line="400" w:lineRule="exact"/>
              <w:rPr>
                <w:rFonts w:hint="eastAsia" w:ascii="宋体" w:hAnsi="宋体" w:eastAsia="宋体" w:cs="宋体"/>
                <w:b/>
                <w:color w:val="auto"/>
                <w:szCs w:val="21"/>
                <w:highlight w:val="none"/>
              </w:rPr>
            </w:pPr>
            <w:r>
              <w:rPr>
                <w:rFonts w:hint="eastAsia" w:ascii="宋体" w:hAnsi="宋体" w:eastAsia="宋体" w:cs="宋体"/>
                <w:color w:val="auto"/>
                <w:szCs w:val="21"/>
                <w:highlight w:val="none"/>
              </w:rPr>
              <w:t>投标报价包括但不限于投标人完成本项目所有工作任务（出具成果文件）所需的一切费用（含完成项目过程中产生的劳务、技术服务费、交通差旅费、资料印刷费、调研、材料、设备、仪器、运输、检测与试验、安全警戒、评审、咨询、会务、管理、保险、税费、利润</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lang w:val="en-US" w:eastAsia="zh-CN"/>
              </w:rPr>
              <w:t>代理服务费</w:t>
            </w:r>
            <w:r>
              <w:rPr>
                <w:rFonts w:hint="eastAsia" w:ascii="宋体" w:hAnsi="宋体" w:eastAsia="宋体" w:cs="宋体"/>
                <w:color w:val="auto"/>
                <w:szCs w:val="21"/>
                <w:highlight w:val="none"/>
              </w:rPr>
              <w:t>等，以及合同包含的所有责任、义务和风险等）。合同价不因任何因素而调整。</w:t>
            </w:r>
          </w:p>
        </w:tc>
      </w:tr>
      <w:tr w14:paraId="2B45976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895" w:type="dxa"/>
            <w:tcBorders>
              <w:top w:val="single" w:color="auto" w:sz="4" w:space="0"/>
              <w:left w:val="single" w:color="auto" w:sz="4" w:space="0"/>
              <w:bottom w:val="single" w:color="auto" w:sz="4" w:space="0"/>
              <w:right w:val="single" w:color="auto" w:sz="4" w:space="0"/>
            </w:tcBorders>
            <w:noWrap w:val="0"/>
            <w:vAlign w:val="center"/>
          </w:tcPr>
          <w:p w14:paraId="4F5D884F">
            <w:pPr>
              <w:spacing w:line="400" w:lineRule="exact"/>
              <w:jc w:val="center"/>
              <w:rPr>
                <w:rFonts w:hint="eastAsia" w:ascii="宋体" w:hAnsi="宋体" w:eastAsia="宋体" w:cs="宋体"/>
                <w:color w:val="auto"/>
                <w:szCs w:val="21"/>
                <w:highlight w:val="none"/>
              </w:rPr>
            </w:pPr>
            <w:bookmarkStart w:id="70" w:name="_17.1"/>
            <w:bookmarkEnd w:id="70"/>
            <w:r>
              <w:rPr>
                <w:rFonts w:hint="eastAsia" w:ascii="宋体" w:hAnsi="宋体" w:eastAsia="宋体" w:cs="宋体"/>
                <w:color w:val="auto"/>
                <w:szCs w:val="21"/>
                <w:highlight w:val="none"/>
              </w:rPr>
              <w:t>17.2</w:t>
            </w:r>
          </w:p>
        </w:tc>
        <w:tc>
          <w:tcPr>
            <w:tcW w:w="8708" w:type="dxa"/>
            <w:tcBorders>
              <w:top w:val="single" w:color="auto" w:sz="4" w:space="0"/>
              <w:left w:val="single" w:color="auto" w:sz="4" w:space="0"/>
              <w:bottom w:val="single" w:color="auto" w:sz="4" w:space="0"/>
              <w:right w:val="single" w:color="auto" w:sz="4" w:space="0"/>
            </w:tcBorders>
            <w:noWrap w:val="0"/>
            <w:vAlign w:val="center"/>
          </w:tcPr>
          <w:p w14:paraId="3ED67940">
            <w:pPr>
              <w:snapToGrid w:val="0"/>
              <w:spacing w:line="40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rPr>
              <w:t>投标有效期</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rPr>
              <w:t>投标截止之日起60天内。</w:t>
            </w:r>
          </w:p>
        </w:tc>
      </w:tr>
      <w:tr w14:paraId="497D698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895" w:type="dxa"/>
            <w:tcBorders>
              <w:top w:val="single" w:color="auto" w:sz="4" w:space="0"/>
              <w:left w:val="single" w:color="auto" w:sz="4" w:space="0"/>
              <w:bottom w:val="single" w:color="auto" w:sz="4" w:space="0"/>
              <w:right w:val="single" w:color="auto" w:sz="4" w:space="0"/>
            </w:tcBorders>
            <w:noWrap w:val="0"/>
            <w:vAlign w:val="center"/>
          </w:tcPr>
          <w:p w14:paraId="2C0A1246">
            <w:pPr>
              <w:spacing w:line="400" w:lineRule="exact"/>
              <w:jc w:val="center"/>
              <w:rPr>
                <w:rFonts w:hint="eastAsia" w:ascii="宋体" w:hAnsi="宋体" w:eastAsia="宋体" w:cs="宋体"/>
                <w:color w:val="auto"/>
                <w:szCs w:val="21"/>
                <w:highlight w:val="none"/>
              </w:rPr>
            </w:pPr>
            <w:bookmarkStart w:id="71" w:name="_18"/>
            <w:bookmarkEnd w:id="71"/>
            <w:r>
              <w:rPr>
                <w:rFonts w:hint="eastAsia" w:ascii="宋体" w:hAnsi="宋体" w:eastAsia="宋体" w:cs="宋体"/>
                <w:color w:val="auto"/>
                <w:szCs w:val="21"/>
                <w:highlight w:val="none"/>
              </w:rPr>
              <w:t>18.1</w:t>
            </w:r>
          </w:p>
        </w:tc>
        <w:tc>
          <w:tcPr>
            <w:tcW w:w="8708" w:type="dxa"/>
            <w:tcBorders>
              <w:top w:val="single" w:color="auto" w:sz="4" w:space="0"/>
              <w:left w:val="single" w:color="auto" w:sz="4" w:space="0"/>
              <w:bottom w:val="single" w:color="auto" w:sz="4" w:space="0"/>
              <w:right w:val="single" w:color="auto" w:sz="4" w:space="0"/>
            </w:tcBorders>
            <w:noWrap w:val="0"/>
            <w:vAlign w:val="center"/>
          </w:tcPr>
          <w:p w14:paraId="31107650">
            <w:pPr>
              <w:autoSpaceDE w:val="0"/>
              <w:autoSpaceDN w:val="0"/>
              <w:snapToGrid w:val="0"/>
              <w:spacing w:line="400" w:lineRule="exact"/>
              <w:textAlignment w:val="bottom"/>
              <w:rPr>
                <w:rFonts w:hint="eastAsia" w:ascii="宋体" w:hAnsi="宋体" w:eastAsia="宋体" w:cs="宋体"/>
                <w:color w:val="auto"/>
                <w:szCs w:val="21"/>
                <w:highlight w:val="none"/>
              </w:rPr>
            </w:pP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rPr>
              <w:t>本项目不收取投标保证金。</w:t>
            </w:r>
          </w:p>
          <w:p w14:paraId="261AFFDA">
            <w:pPr>
              <w:snapToGrid w:val="0"/>
              <w:spacing w:line="400" w:lineRule="exact"/>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rPr>
              <w:t>本项目收取投标保证金，具体规定如下</w:t>
            </w:r>
            <w:r>
              <w:rPr>
                <w:rFonts w:hint="eastAsia" w:ascii="宋体" w:hAnsi="宋体" w:eastAsia="宋体" w:cs="宋体"/>
                <w:color w:val="auto"/>
                <w:szCs w:val="21"/>
                <w:highlight w:val="none"/>
                <w:lang w:eastAsia="zh-CN"/>
              </w:rPr>
              <w:t>：</w:t>
            </w:r>
          </w:p>
          <w:p w14:paraId="75683469">
            <w:pPr>
              <w:snapToGrid w:val="0"/>
              <w:spacing w:line="400" w:lineRule="exac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投标保证金（人民币）</w:t>
            </w:r>
            <w:r>
              <w:rPr>
                <w:rFonts w:hint="eastAsia" w:ascii="宋体" w:hAnsi="宋体" w:eastAsia="宋体" w:cs="宋体"/>
                <w:color w:val="auto"/>
                <w:kern w:val="0"/>
                <w:szCs w:val="21"/>
                <w:highlight w:val="none"/>
                <w:lang w:eastAsia="zh-CN"/>
              </w:rPr>
              <w:t>：</w:t>
            </w:r>
            <w:r>
              <w:rPr>
                <w:rFonts w:hint="eastAsia" w:ascii="宋体" w:hAnsi="宋体" w:eastAsia="宋体" w:cs="宋体"/>
                <w:color w:val="auto"/>
                <w:szCs w:val="21"/>
                <w:highlight w:val="none"/>
                <w:lang w:eastAsia="zh-CN"/>
              </w:rPr>
              <w:t>GLTLJD1标段</w:t>
            </w:r>
            <w:r>
              <w:rPr>
                <w:rFonts w:hint="eastAsia" w:ascii="宋体" w:hAnsi="宋体" w:eastAsia="宋体" w:cs="宋体"/>
                <w:color w:val="auto"/>
                <w:szCs w:val="21"/>
                <w:highlight w:val="none"/>
                <w:lang w:val="en-US" w:eastAsia="zh-CN"/>
              </w:rPr>
              <w:t>1</w:t>
            </w:r>
            <w:r>
              <w:rPr>
                <w:rFonts w:hint="eastAsia" w:ascii="宋体" w:hAnsi="宋体" w:cs="宋体"/>
                <w:color w:val="auto"/>
                <w:szCs w:val="21"/>
                <w:highlight w:val="none"/>
                <w:lang w:val="en-US" w:eastAsia="zh-CN"/>
              </w:rPr>
              <w:t>1</w:t>
            </w:r>
            <w:r>
              <w:rPr>
                <w:rFonts w:hint="eastAsia" w:ascii="宋体" w:hAnsi="宋体" w:eastAsia="宋体" w:cs="宋体"/>
                <w:color w:val="auto"/>
                <w:szCs w:val="21"/>
                <w:highlight w:val="none"/>
                <w:lang w:val="en-US" w:eastAsia="zh-CN"/>
              </w:rPr>
              <w:t>000.00</w:t>
            </w:r>
            <w:r>
              <w:rPr>
                <w:rFonts w:hint="eastAsia" w:ascii="宋体" w:hAnsi="宋体" w:eastAsia="宋体" w:cs="宋体"/>
                <w:color w:val="auto"/>
                <w:szCs w:val="21"/>
                <w:highlight w:val="none"/>
              </w:rPr>
              <w:t>元，</w:t>
            </w:r>
            <w:r>
              <w:rPr>
                <w:rFonts w:hint="eastAsia" w:ascii="宋体" w:hAnsi="宋体" w:eastAsia="宋体" w:cs="宋体"/>
                <w:color w:val="auto"/>
                <w:szCs w:val="21"/>
                <w:highlight w:val="none"/>
                <w:lang w:eastAsia="zh-CN"/>
              </w:rPr>
              <w:t>GLTLJD2标段</w:t>
            </w:r>
            <w:r>
              <w:rPr>
                <w:rFonts w:hint="eastAsia" w:ascii="宋体" w:hAnsi="宋体" w:eastAsia="宋体" w:cs="宋体"/>
                <w:color w:val="auto"/>
                <w:szCs w:val="21"/>
                <w:highlight w:val="none"/>
                <w:lang w:val="en-US" w:eastAsia="zh-CN"/>
              </w:rPr>
              <w:t>1</w:t>
            </w:r>
            <w:r>
              <w:rPr>
                <w:rFonts w:hint="eastAsia" w:ascii="宋体" w:hAnsi="宋体" w:cs="宋体"/>
                <w:color w:val="auto"/>
                <w:szCs w:val="21"/>
                <w:highlight w:val="none"/>
                <w:lang w:val="en-US" w:eastAsia="zh-CN"/>
              </w:rPr>
              <w:t>2</w:t>
            </w:r>
            <w:r>
              <w:rPr>
                <w:rFonts w:hint="eastAsia" w:ascii="宋体" w:hAnsi="宋体" w:eastAsia="宋体" w:cs="宋体"/>
                <w:color w:val="auto"/>
                <w:szCs w:val="21"/>
                <w:highlight w:val="none"/>
                <w:lang w:val="en-US" w:eastAsia="zh-CN"/>
              </w:rPr>
              <w:t>000.00</w:t>
            </w:r>
            <w:r>
              <w:rPr>
                <w:rFonts w:hint="eastAsia" w:ascii="宋体" w:hAnsi="宋体" w:eastAsia="宋体" w:cs="宋体"/>
                <w:color w:val="auto"/>
                <w:szCs w:val="21"/>
                <w:highlight w:val="none"/>
              </w:rPr>
              <w:t>元，</w:t>
            </w:r>
            <w:r>
              <w:rPr>
                <w:rFonts w:hint="eastAsia" w:ascii="宋体" w:hAnsi="宋体" w:eastAsia="宋体" w:cs="宋体"/>
                <w:color w:val="auto"/>
                <w:szCs w:val="21"/>
                <w:highlight w:val="none"/>
                <w:lang w:eastAsia="zh-CN"/>
              </w:rPr>
              <w:t>GLTLJD3标段</w:t>
            </w:r>
            <w:r>
              <w:rPr>
                <w:rFonts w:hint="eastAsia" w:ascii="宋体" w:hAnsi="宋体" w:eastAsia="宋体" w:cs="宋体"/>
                <w:color w:val="auto"/>
                <w:szCs w:val="21"/>
                <w:highlight w:val="none"/>
                <w:lang w:val="en-US" w:eastAsia="zh-CN"/>
              </w:rPr>
              <w:t>1</w:t>
            </w:r>
            <w:r>
              <w:rPr>
                <w:rFonts w:hint="eastAsia" w:ascii="宋体" w:hAnsi="宋体" w:cs="宋体"/>
                <w:color w:val="auto"/>
                <w:szCs w:val="21"/>
                <w:highlight w:val="none"/>
                <w:lang w:val="en-US" w:eastAsia="zh-CN"/>
              </w:rPr>
              <w:t>3</w:t>
            </w:r>
            <w:r>
              <w:rPr>
                <w:rFonts w:hint="eastAsia" w:ascii="宋体" w:hAnsi="宋体" w:eastAsia="宋体" w:cs="宋体"/>
                <w:color w:val="auto"/>
                <w:szCs w:val="21"/>
                <w:highlight w:val="none"/>
                <w:lang w:val="en-US" w:eastAsia="zh-CN"/>
              </w:rPr>
              <w:t>000.00</w:t>
            </w:r>
            <w:r>
              <w:rPr>
                <w:rFonts w:hint="eastAsia" w:ascii="宋体" w:hAnsi="宋体" w:eastAsia="宋体" w:cs="宋体"/>
                <w:color w:val="auto"/>
                <w:szCs w:val="21"/>
                <w:highlight w:val="none"/>
              </w:rPr>
              <w:t>元，</w:t>
            </w:r>
            <w:r>
              <w:rPr>
                <w:rFonts w:hint="eastAsia" w:ascii="宋体" w:hAnsi="宋体" w:eastAsia="宋体" w:cs="宋体"/>
                <w:color w:val="auto"/>
                <w:szCs w:val="21"/>
                <w:highlight w:val="none"/>
                <w:lang w:eastAsia="zh-CN"/>
              </w:rPr>
              <w:t>GLTLJD4标段</w:t>
            </w:r>
            <w:r>
              <w:rPr>
                <w:rFonts w:hint="eastAsia" w:ascii="宋体" w:hAnsi="宋体" w:eastAsia="宋体" w:cs="宋体"/>
                <w:color w:val="auto"/>
                <w:szCs w:val="21"/>
                <w:highlight w:val="none"/>
                <w:lang w:val="en-US" w:eastAsia="zh-CN"/>
              </w:rPr>
              <w:t>1</w:t>
            </w:r>
            <w:r>
              <w:rPr>
                <w:rFonts w:hint="eastAsia" w:ascii="宋体" w:hAnsi="宋体" w:cs="宋体"/>
                <w:color w:val="auto"/>
                <w:szCs w:val="21"/>
                <w:highlight w:val="none"/>
                <w:lang w:val="en-US" w:eastAsia="zh-CN"/>
              </w:rPr>
              <w:t>4</w:t>
            </w:r>
            <w:r>
              <w:rPr>
                <w:rFonts w:hint="eastAsia" w:ascii="宋体" w:hAnsi="宋体" w:eastAsia="宋体" w:cs="宋体"/>
                <w:color w:val="auto"/>
                <w:szCs w:val="21"/>
                <w:highlight w:val="none"/>
                <w:lang w:val="en-US" w:eastAsia="zh-CN"/>
              </w:rPr>
              <w:t>000.00</w:t>
            </w:r>
            <w:r>
              <w:rPr>
                <w:rFonts w:hint="eastAsia" w:ascii="宋体" w:hAnsi="宋体" w:eastAsia="宋体" w:cs="宋体"/>
                <w:color w:val="auto"/>
                <w:szCs w:val="21"/>
                <w:highlight w:val="none"/>
              </w:rPr>
              <w:t>元，</w:t>
            </w:r>
            <w:r>
              <w:rPr>
                <w:rFonts w:hint="eastAsia" w:ascii="宋体" w:hAnsi="宋体" w:eastAsia="宋体" w:cs="宋体"/>
                <w:color w:val="auto"/>
                <w:szCs w:val="21"/>
                <w:highlight w:val="none"/>
                <w:lang w:eastAsia="zh-CN"/>
              </w:rPr>
              <w:t>SYJD1标段</w:t>
            </w:r>
            <w:r>
              <w:rPr>
                <w:rFonts w:hint="eastAsia" w:ascii="宋体" w:hAnsi="宋体" w:eastAsia="宋体" w:cs="宋体"/>
                <w:color w:val="auto"/>
                <w:szCs w:val="21"/>
                <w:highlight w:val="none"/>
                <w:lang w:val="en-US" w:eastAsia="zh-CN"/>
              </w:rPr>
              <w:t>5</w:t>
            </w:r>
            <w:r>
              <w:rPr>
                <w:rFonts w:hint="eastAsia" w:ascii="宋体" w:hAnsi="宋体" w:cs="宋体"/>
                <w:color w:val="auto"/>
                <w:szCs w:val="21"/>
                <w:highlight w:val="none"/>
                <w:lang w:val="en-US" w:eastAsia="zh-CN"/>
              </w:rPr>
              <w:t>1</w:t>
            </w:r>
            <w:r>
              <w:rPr>
                <w:rFonts w:hint="eastAsia" w:ascii="宋体" w:hAnsi="宋体" w:eastAsia="宋体" w:cs="宋体"/>
                <w:color w:val="auto"/>
                <w:szCs w:val="21"/>
                <w:highlight w:val="none"/>
                <w:lang w:val="en-US" w:eastAsia="zh-CN"/>
              </w:rPr>
              <w:t>00.00</w:t>
            </w:r>
            <w:r>
              <w:rPr>
                <w:rFonts w:hint="eastAsia" w:ascii="宋体" w:hAnsi="宋体" w:eastAsia="宋体" w:cs="宋体"/>
                <w:color w:val="auto"/>
                <w:szCs w:val="21"/>
                <w:highlight w:val="none"/>
              </w:rPr>
              <w:t>元，</w:t>
            </w:r>
            <w:r>
              <w:rPr>
                <w:rFonts w:hint="eastAsia" w:ascii="宋体" w:hAnsi="宋体" w:eastAsia="宋体" w:cs="宋体"/>
                <w:color w:val="auto"/>
                <w:szCs w:val="21"/>
                <w:highlight w:val="none"/>
                <w:lang w:eastAsia="zh-CN"/>
              </w:rPr>
              <w:t>SYJD2标段</w:t>
            </w:r>
            <w:r>
              <w:rPr>
                <w:rFonts w:hint="eastAsia" w:ascii="宋体" w:hAnsi="宋体" w:eastAsia="宋体" w:cs="宋体"/>
                <w:color w:val="auto"/>
                <w:szCs w:val="21"/>
                <w:highlight w:val="none"/>
                <w:lang w:val="en-US" w:eastAsia="zh-CN"/>
              </w:rPr>
              <w:t>5</w:t>
            </w:r>
            <w:r>
              <w:rPr>
                <w:rFonts w:hint="eastAsia" w:ascii="宋体" w:hAnsi="宋体" w:cs="宋体"/>
                <w:color w:val="auto"/>
                <w:szCs w:val="21"/>
                <w:highlight w:val="none"/>
                <w:lang w:val="en-US" w:eastAsia="zh-CN"/>
              </w:rPr>
              <w:t>2</w:t>
            </w:r>
            <w:r>
              <w:rPr>
                <w:rFonts w:hint="eastAsia" w:ascii="宋体" w:hAnsi="宋体" w:eastAsia="宋体" w:cs="宋体"/>
                <w:color w:val="auto"/>
                <w:szCs w:val="21"/>
                <w:highlight w:val="none"/>
                <w:lang w:val="en-US" w:eastAsia="zh-CN"/>
              </w:rPr>
              <w:t>00.00</w:t>
            </w:r>
            <w:r>
              <w:rPr>
                <w:rFonts w:hint="eastAsia" w:ascii="宋体" w:hAnsi="宋体" w:eastAsia="宋体" w:cs="宋体"/>
                <w:color w:val="auto"/>
                <w:szCs w:val="21"/>
                <w:highlight w:val="none"/>
              </w:rPr>
              <w:t>元</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lang w:val="en-US" w:eastAsia="zh-CN"/>
              </w:rPr>
              <w:t>JSZC标段2000.00元</w:t>
            </w:r>
            <w:r>
              <w:rPr>
                <w:rFonts w:hint="eastAsia" w:ascii="宋体" w:hAnsi="宋体" w:eastAsia="宋体" w:cs="宋体"/>
                <w:color w:val="auto"/>
                <w:kern w:val="0"/>
                <w:szCs w:val="21"/>
                <w:highlight w:val="none"/>
              </w:rPr>
              <w:t>。</w:t>
            </w:r>
          </w:p>
          <w:p w14:paraId="469CFFC2">
            <w:pPr>
              <w:snapToGrid w:val="0"/>
              <w:spacing w:line="400" w:lineRule="exact"/>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投标保证金的交纳方式</w:t>
            </w:r>
            <w:r>
              <w:rPr>
                <w:rFonts w:hint="eastAsia" w:ascii="宋体" w:hAnsi="宋体" w:eastAsia="宋体" w:cs="宋体"/>
                <w:color w:val="auto"/>
                <w:kern w:val="0"/>
                <w:szCs w:val="21"/>
                <w:highlight w:val="none"/>
                <w:lang w:eastAsia="zh-CN"/>
              </w:rPr>
              <w:t>：</w:t>
            </w:r>
            <w:r>
              <w:rPr>
                <w:rFonts w:hint="eastAsia" w:ascii="宋体" w:hAnsi="宋体" w:eastAsia="宋体" w:cs="宋体"/>
                <w:color w:val="auto"/>
                <w:kern w:val="0"/>
                <w:szCs w:val="21"/>
                <w:highlight w:val="none"/>
              </w:rPr>
              <w:t>银行转账、支票、汇票、本票或者金融、担保机构出具的保函，禁止采用现钞方式。采用银行转账方式的，在投标截止时间前交至指定账户并且到账（</w:t>
            </w:r>
            <w:r>
              <w:rPr>
                <w:rFonts w:hint="eastAsia" w:ascii="宋体" w:hAnsi="宋体" w:eastAsia="宋体" w:cs="宋体"/>
                <w:color w:val="auto"/>
                <w:szCs w:val="21"/>
                <w:highlight w:val="none"/>
              </w:rPr>
              <w:t>开户名称</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rPr>
              <w:t>广西科文招标有限公司，开户银行</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rPr>
              <w:t>广西北部湾银行南宁分行营业部，银行账号</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rPr>
              <w:t>0101012090615689</w:t>
            </w:r>
            <w:r>
              <w:rPr>
                <w:rFonts w:hint="eastAsia" w:ascii="宋体" w:hAnsi="宋体" w:eastAsia="宋体" w:cs="宋体"/>
                <w:color w:val="auto"/>
                <w:kern w:val="0"/>
                <w:szCs w:val="21"/>
                <w:highlight w:val="none"/>
              </w:rPr>
              <w:t>）；采用支票、汇票、本票或者保函等方式的，在投标截止时间前，投标人必须递交支票、汇票、本票或者保函原件。否则视为无效投标保证金。</w:t>
            </w:r>
          </w:p>
          <w:p w14:paraId="689E9E5E">
            <w:pPr>
              <w:snapToGrid w:val="0"/>
              <w:spacing w:line="400" w:lineRule="exact"/>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rPr>
              <w:t>相关要求</w:t>
            </w:r>
            <w:r>
              <w:rPr>
                <w:rFonts w:hint="eastAsia" w:ascii="宋体" w:hAnsi="宋体" w:eastAsia="宋体" w:cs="宋体"/>
                <w:color w:val="auto"/>
                <w:szCs w:val="21"/>
                <w:highlight w:val="none"/>
                <w:lang w:eastAsia="zh-CN"/>
              </w:rPr>
              <w:t>：</w:t>
            </w:r>
          </w:p>
          <w:p w14:paraId="19FD2B3C">
            <w:pPr>
              <w:pStyle w:val="17"/>
              <w:spacing w:line="400" w:lineRule="exact"/>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1、投标保证金采用银行转账交纳方式的，在投标截止时间前交至指定账户并且到账，投标人应将银行转账底单的复印件作为投标保证金提交凭证，放置于商务文件中，</w:t>
            </w:r>
            <w:r>
              <w:rPr>
                <w:rFonts w:hint="eastAsia" w:ascii="宋体" w:hAnsi="宋体" w:eastAsia="宋体" w:cs="宋体"/>
                <w:b/>
                <w:color w:val="auto"/>
                <w:szCs w:val="21"/>
                <w:highlight w:val="none"/>
                <w:lang w:val="en-US" w:eastAsia="zh-CN"/>
              </w:rPr>
              <w:t>否则投标无效</w:t>
            </w:r>
            <w:r>
              <w:rPr>
                <w:rFonts w:hint="eastAsia" w:ascii="宋体" w:hAnsi="宋体" w:eastAsia="宋体" w:cs="宋体"/>
                <w:color w:val="auto"/>
                <w:szCs w:val="21"/>
                <w:highlight w:val="none"/>
                <w:lang w:val="en-US" w:eastAsia="zh-CN"/>
              </w:rPr>
              <w:t>。</w:t>
            </w:r>
          </w:p>
          <w:p w14:paraId="6C236ED5">
            <w:pPr>
              <w:snapToGrid w:val="0"/>
              <w:spacing w:line="40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rPr>
              <w:t>2、投标保证金采用支票、汇票、本票或者金融、担保机构出具的保函交纳方式的，投标人应将支票、汇票、本票或者金融、担保机构出具的保函的复印件作为投标保证金提交凭证，放置于商务文件中，</w:t>
            </w:r>
            <w:r>
              <w:rPr>
                <w:rFonts w:hint="eastAsia" w:ascii="宋体" w:hAnsi="宋体" w:eastAsia="宋体" w:cs="宋体"/>
                <w:b/>
                <w:color w:val="auto"/>
                <w:szCs w:val="21"/>
                <w:highlight w:val="none"/>
              </w:rPr>
              <w:t>否则投标无效</w:t>
            </w:r>
            <w:r>
              <w:rPr>
                <w:rFonts w:hint="eastAsia" w:ascii="宋体" w:hAnsi="宋体" w:eastAsia="宋体" w:cs="宋体"/>
                <w:color w:val="auto"/>
                <w:szCs w:val="21"/>
                <w:highlight w:val="none"/>
              </w:rPr>
              <w:t>。</w:t>
            </w:r>
            <w:r>
              <w:rPr>
                <w:rFonts w:hint="eastAsia" w:ascii="宋体" w:hAnsi="宋体" w:eastAsia="宋体" w:cs="宋体"/>
                <w:b/>
                <w:color w:val="auto"/>
                <w:szCs w:val="21"/>
                <w:highlight w:val="none"/>
              </w:rPr>
              <w:t>投标人必须在投标截止时间前将支票、汇票、本票或者金融、担保机构出具的保函原件提交给采购代理机构，由采购代理机构向投标人出具回执，并妥善保管。</w:t>
            </w:r>
          </w:p>
          <w:p w14:paraId="46FC0843">
            <w:pPr>
              <w:snapToGrid w:val="0"/>
              <w:spacing w:line="40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rPr>
              <w:t>3、投标人为联合体的，可以由联合体中的一方或者多方共同交纳投标保证金，其交纳的保证金对联合体各方均具有约束力。</w:t>
            </w:r>
          </w:p>
          <w:p w14:paraId="25AB5BFD">
            <w:pPr>
              <w:snapToGrid w:val="0"/>
              <w:spacing w:line="400" w:lineRule="exact"/>
              <w:rPr>
                <w:rFonts w:hint="eastAsia" w:ascii="宋体" w:hAnsi="宋体" w:eastAsia="宋体" w:cs="宋体"/>
                <w:b/>
                <w:color w:val="auto"/>
                <w:szCs w:val="21"/>
                <w:highlight w:val="none"/>
                <w:lang w:eastAsia="zh-CN"/>
              </w:rPr>
            </w:pPr>
            <w:r>
              <w:rPr>
                <w:rFonts w:hint="eastAsia" w:ascii="宋体" w:hAnsi="宋体" w:eastAsia="宋体" w:cs="宋体"/>
                <w:b/>
                <w:color w:val="auto"/>
                <w:szCs w:val="21"/>
                <w:highlight w:val="none"/>
              </w:rPr>
              <w:t>备注</w:t>
            </w:r>
            <w:r>
              <w:rPr>
                <w:rFonts w:hint="eastAsia" w:ascii="宋体" w:hAnsi="宋体" w:eastAsia="宋体" w:cs="宋体"/>
                <w:b/>
                <w:color w:val="auto"/>
                <w:szCs w:val="21"/>
                <w:highlight w:val="none"/>
                <w:lang w:eastAsia="zh-CN"/>
              </w:rPr>
              <w:t>：</w:t>
            </w:r>
          </w:p>
          <w:p w14:paraId="569A59B1">
            <w:pPr>
              <w:snapToGrid w:val="0"/>
              <w:spacing w:line="400" w:lineRule="exact"/>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1、投标保证金在投标截止时间后提交的，或者不按规定交纳方式交纳的，或者未足额交纳的（包含保函额度不足的），视为无效投标保证金。</w:t>
            </w:r>
          </w:p>
          <w:p w14:paraId="1A5F22A1">
            <w:pPr>
              <w:snapToGrid w:val="0"/>
              <w:spacing w:line="400" w:lineRule="exact"/>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2、投标人采用现钞方式或者从个人账户（自然人投标除外）转出的投标保证金，视为无效投标保证金。</w:t>
            </w:r>
          </w:p>
          <w:p w14:paraId="7E03FAF9">
            <w:pPr>
              <w:snapToGrid w:val="0"/>
              <w:spacing w:line="400" w:lineRule="exact"/>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3、支票、汇票或者本票出现无效或者背书情形的，视为无效投标保证金。</w:t>
            </w:r>
          </w:p>
          <w:p w14:paraId="1CA4BB50">
            <w:pPr>
              <w:snapToGrid w:val="0"/>
              <w:spacing w:line="400" w:lineRule="exact"/>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4、保函有效期低于投标有效期的，视为无效投标保证金。</w:t>
            </w:r>
          </w:p>
          <w:p w14:paraId="270406E2">
            <w:pPr>
              <w:snapToGrid w:val="0"/>
              <w:spacing w:line="400" w:lineRule="exact"/>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5、采用金融、担保机构出具保函的，必须为无条件保函，否则视为无效投标保证金。</w:t>
            </w:r>
          </w:p>
        </w:tc>
      </w:tr>
      <w:tr w14:paraId="0955625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895" w:type="dxa"/>
            <w:tcBorders>
              <w:top w:val="single" w:color="auto" w:sz="4" w:space="0"/>
              <w:left w:val="single" w:color="auto" w:sz="4" w:space="0"/>
              <w:bottom w:val="single" w:color="auto" w:sz="4" w:space="0"/>
              <w:right w:val="single" w:color="auto" w:sz="4" w:space="0"/>
            </w:tcBorders>
            <w:noWrap w:val="0"/>
            <w:vAlign w:val="center"/>
          </w:tcPr>
          <w:p w14:paraId="7721DE09">
            <w:pPr>
              <w:spacing w:line="400" w:lineRule="exact"/>
              <w:jc w:val="center"/>
              <w:rPr>
                <w:rFonts w:hint="eastAsia" w:ascii="宋体" w:hAnsi="宋体" w:eastAsia="宋体" w:cs="宋体"/>
                <w:color w:val="auto"/>
                <w:szCs w:val="21"/>
                <w:highlight w:val="none"/>
              </w:rPr>
            </w:pPr>
            <w:bookmarkStart w:id="72" w:name="_19.2"/>
            <w:bookmarkEnd w:id="72"/>
            <w:r>
              <w:rPr>
                <w:rFonts w:hint="eastAsia" w:ascii="宋体" w:hAnsi="宋体" w:eastAsia="宋体" w:cs="宋体"/>
                <w:color w:val="auto"/>
                <w:szCs w:val="21"/>
                <w:highlight w:val="none"/>
              </w:rPr>
              <w:t>19.2</w:t>
            </w:r>
          </w:p>
        </w:tc>
        <w:tc>
          <w:tcPr>
            <w:tcW w:w="8708" w:type="dxa"/>
            <w:tcBorders>
              <w:top w:val="single" w:color="auto" w:sz="4" w:space="0"/>
              <w:left w:val="single" w:color="auto" w:sz="4" w:space="0"/>
              <w:bottom w:val="single" w:color="auto" w:sz="4" w:space="0"/>
              <w:right w:val="single" w:color="auto" w:sz="4" w:space="0"/>
            </w:tcBorders>
            <w:noWrap w:val="0"/>
            <w:vAlign w:val="center"/>
          </w:tcPr>
          <w:p w14:paraId="24F20739">
            <w:pPr>
              <w:autoSpaceDE w:val="0"/>
              <w:autoSpaceDN w:val="0"/>
              <w:snapToGrid w:val="0"/>
              <w:spacing w:line="400" w:lineRule="exact"/>
              <w:textAlignment w:val="bottom"/>
              <w:rPr>
                <w:rFonts w:hint="eastAsia" w:ascii="宋体" w:hAnsi="宋体" w:eastAsia="宋体" w:cs="宋体"/>
                <w:color w:val="auto"/>
                <w:szCs w:val="21"/>
                <w:highlight w:val="none"/>
              </w:rPr>
            </w:pPr>
            <w:r>
              <w:rPr>
                <w:rFonts w:hint="eastAsia" w:ascii="宋体" w:hAnsi="宋体" w:eastAsia="宋体" w:cs="宋体"/>
                <w:color w:val="auto"/>
                <w:szCs w:val="21"/>
                <w:highlight w:val="none"/>
              </w:rPr>
              <w:t>投标文件应按报价文件、资格证明文件、商务文件、技术文件分别编制，</w:t>
            </w:r>
            <w:r>
              <w:rPr>
                <w:rFonts w:hint="eastAsia" w:ascii="宋体" w:hAnsi="宋体" w:eastAsia="宋体" w:cs="宋体"/>
                <w:color w:val="auto"/>
                <w:szCs w:val="21"/>
                <w:highlight w:val="none"/>
                <w:lang w:bidi="ar"/>
              </w:rPr>
              <w:t>并按“广西政府采购云”平台的要求编制、加密、上传。</w:t>
            </w:r>
          </w:p>
        </w:tc>
      </w:tr>
      <w:tr w14:paraId="76C4FEB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895" w:type="dxa"/>
            <w:tcBorders>
              <w:top w:val="single" w:color="auto" w:sz="4" w:space="0"/>
              <w:left w:val="single" w:color="auto" w:sz="4" w:space="0"/>
              <w:bottom w:val="single" w:color="auto" w:sz="4" w:space="0"/>
              <w:right w:val="single" w:color="auto" w:sz="4" w:space="0"/>
            </w:tcBorders>
            <w:noWrap w:val="0"/>
            <w:vAlign w:val="center"/>
          </w:tcPr>
          <w:p w14:paraId="0476B66C">
            <w:pPr>
              <w:spacing w:line="40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20.1</w:t>
            </w:r>
          </w:p>
        </w:tc>
        <w:tc>
          <w:tcPr>
            <w:tcW w:w="8708" w:type="dxa"/>
            <w:tcBorders>
              <w:top w:val="single" w:color="auto" w:sz="4" w:space="0"/>
              <w:left w:val="single" w:color="auto" w:sz="4" w:space="0"/>
              <w:bottom w:val="single" w:color="auto" w:sz="4" w:space="0"/>
              <w:right w:val="single" w:color="auto" w:sz="4" w:space="0"/>
            </w:tcBorders>
            <w:noWrap w:val="0"/>
            <w:vAlign w:val="center"/>
          </w:tcPr>
          <w:p w14:paraId="3C475E6B">
            <w:pPr>
              <w:autoSpaceDE w:val="0"/>
              <w:autoSpaceDN w:val="0"/>
              <w:snapToGrid w:val="0"/>
              <w:spacing w:line="400" w:lineRule="exact"/>
              <w:textAlignment w:val="bottom"/>
              <w:rPr>
                <w:rFonts w:hint="eastAsia" w:ascii="宋体" w:hAnsi="宋体" w:eastAsia="宋体" w:cs="宋体"/>
                <w:color w:val="auto"/>
                <w:szCs w:val="21"/>
                <w:highlight w:val="none"/>
              </w:rPr>
            </w:pPr>
            <w:r>
              <w:rPr>
                <w:rFonts w:hint="eastAsia" w:ascii="宋体" w:hAnsi="宋体" w:eastAsia="宋体" w:cs="宋体"/>
                <w:color w:val="auto"/>
                <w:szCs w:val="21"/>
                <w:highlight w:val="none"/>
              </w:rPr>
              <w:t>电子投标文件应在制作完成后，投标人应按“广西政府采购云”平台的要求进行加密，并在规定时间内解密，否则，由此产生的后果由投标人自行负责。</w:t>
            </w:r>
          </w:p>
        </w:tc>
      </w:tr>
      <w:tr w14:paraId="2F43BAD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895" w:type="dxa"/>
            <w:tcBorders>
              <w:top w:val="single" w:color="auto" w:sz="4" w:space="0"/>
              <w:left w:val="single" w:color="auto" w:sz="4" w:space="0"/>
              <w:bottom w:val="single" w:color="auto" w:sz="4" w:space="0"/>
              <w:right w:val="single" w:color="auto" w:sz="4" w:space="0"/>
            </w:tcBorders>
            <w:noWrap w:val="0"/>
            <w:vAlign w:val="center"/>
          </w:tcPr>
          <w:p w14:paraId="77369DF3">
            <w:pPr>
              <w:spacing w:line="400" w:lineRule="exact"/>
              <w:jc w:val="center"/>
              <w:rPr>
                <w:rFonts w:hint="eastAsia" w:ascii="宋体" w:hAnsi="宋体" w:eastAsia="宋体" w:cs="宋体"/>
                <w:color w:val="auto"/>
                <w:szCs w:val="21"/>
                <w:highlight w:val="none"/>
              </w:rPr>
            </w:pPr>
            <w:bookmarkStart w:id="73" w:name="_21.1"/>
            <w:bookmarkEnd w:id="73"/>
            <w:r>
              <w:rPr>
                <w:rFonts w:hint="eastAsia" w:ascii="宋体" w:hAnsi="宋体" w:eastAsia="宋体" w:cs="宋体"/>
                <w:color w:val="auto"/>
                <w:szCs w:val="21"/>
                <w:highlight w:val="none"/>
              </w:rPr>
              <w:t>21.1</w:t>
            </w:r>
          </w:p>
        </w:tc>
        <w:tc>
          <w:tcPr>
            <w:tcW w:w="8708" w:type="dxa"/>
            <w:tcBorders>
              <w:top w:val="single" w:color="auto" w:sz="4" w:space="0"/>
              <w:left w:val="single" w:color="auto" w:sz="4" w:space="0"/>
              <w:bottom w:val="single" w:color="auto" w:sz="4" w:space="0"/>
              <w:right w:val="single" w:color="auto" w:sz="4" w:space="0"/>
            </w:tcBorders>
            <w:noWrap w:val="0"/>
            <w:vAlign w:val="center"/>
          </w:tcPr>
          <w:p w14:paraId="7DED686C">
            <w:pPr>
              <w:snapToGrid w:val="0"/>
              <w:spacing w:line="400" w:lineRule="exact"/>
              <w:rPr>
                <w:rFonts w:hint="eastAsia" w:ascii="宋体" w:hAnsi="宋体" w:eastAsia="宋体" w:cs="宋体"/>
                <w:color w:val="auto"/>
                <w:szCs w:val="21"/>
                <w:highlight w:val="none"/>
                <w:u w:val="single"/>
              </w:rPr>
            </w:pPr>
            <w:r>
              <w:rPr>
                <w:rFonts w:hint="eastAsia" w:ascii="宋体" w:hAnsi="宋体" w:eastAsia="宋体" w:cs="宋体"/>
                <w:color w:val="auto"/>
                <w:szCs w:val="21"/>
                <w:highlight w:val="none"/>
              </w:rPr>
              <w:t>1、投标截止时间</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rPr>
              <w:t>详见招标公告</w:t>
            </w:r>
          </w:p>
          <w:p w14:paraId="5FB5E677">
            <w:pPr>
              <w:snapToGrid w:val="0"/>
              <w:spacing w:line="40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rPr>
              <w:t>2、投标地点</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rPr>
              <w:t>详见招标公告</w:t>
            </w:r>
          </w:p>
        </w:tc>
      </w:tr>
      <w:tr w14:paraId="7AAEC85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895" w:type="dxa"/>
            <w:tcBorders>
              <w:top w:val="single" w:color="auto" w:sz="4" w:space="0"/>
              <w:left w:val="single" w:color="auto" w:sz="4" w:space="0"/>
              <w:bottom w:val="single" w:color="auto" w:sz="4" w:space="0"/>
              <w:right w:val="single" w:color="auto" w:sz="4" w:space="0"/>
            </w:tcBorders>
            <w:noWrap w:val="0"/>
            <w:vAlign w:val="center"/>
          </w:tcPr>
          <w:p w14:paraId="5A655B23">
            <w:pPr>
              <w:spacing w:line="400" w:lineRule="exact"/>
              <w:jc w:val="center"/>
              <w:rPr>
                <w:rFonts w:hint="eastAsia" w:ascii="宋体" w:hAnsi="宋体" w:eastAsia="宋体" w:cs="宋体"/>
                <w:color w:val="auto"/>
                <w:szCs w:val="21"/>
                <w:highlight w:val="none"/>
              </w:rPr>
            </w:pPr>
            <w:bookmarkStart w:id="74" w:name="_23"/>
            <w:bookmarkEnd w:id="74"/>
            <w:r>
              <w:rPr>
                <w:rFonts w:hint="eastAsia" w:ascii="宋体" w:hAnsi="宋体" w:eastAsia="宋体" w:cs="宋体"/>
                <w:color w:val="auto"/>
                <w:szCs w:val="21"/>
                <w:highlight w:val="none"/>
              </w:rPr>
              <w:t>23</w:t>
            </w:r>
          </w:p>
        </w:tc>
        <w:tc>
          <w:tcPr>
            <w:tcW w:w="8708" w:type="dxa"/>
            <w:tcBorders>
              <w:top w:val="single" w:color="auto" w:sz="4" w:space="0"/>
              <w:left w:val="single" w:color="auto" w:sz="4" w:space="0"/>
              <w:bottom w:val="single" w:color="auto" w:sz="4" w:space="0"/>
              <w:right w:val="single" w:color="auto" w:sz="4" w:space="0"/>
            </w:tcBorders>
            <w:noWrap w:val="0"/>
            <w:vAlign w:val="center"/>
          </w:tcPr>
          <w:p w14:paraId="073C8267">
            <w:pPr>
              <w:snapToGrid w:val="0"/>
              <w:spacing w:line="40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rPr>
              <w:t>1、开标时间</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rPr>
              <w:t>详见招标公告</w:t>
            </w:r>
          </w:p>
          <w:p w14:paraId="5DC417F6">
            <w:pPr>
              <w:snapToGrid w:val="0"/>
              <w:spacing w:line="40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rPr>
              <w:t>2、开标地点</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rPr>
              <w:t>详见招标公告</w:t>
            </w:r>
          </w:p>
        </w:tc>
      </w:tr>
      <w:tr w14:paraId="6FFF6E7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895" w:type="dxa"/>
            <w:tcBorders>
              <w:top w:val="single" w:color="auto" w:sz="4" w:space="0"/>
              <w:left w:val="single" w:color="auto" w:sz="4" w:space="0"/>
              <w:bottom w:val="single" w:color="auto" w:sz="4" w:space="0"/>
              <w:right w:val="single" w:color="auto" w:sz="4" w:space="0"/>
            </w:tcBorders>
            <w:noWrap w:val="0"/>
            <w:vAlign w:val="center"/>
          </w:tcPr>
          <w:p w14:paraId="260FA662">
            <w:pPr>
              <w:spacing w:line="400" w:lineRule="exact"/>
              <w:jc w:val="center"/>
              <w:rPr>
                <w:rFonts w:hint="eastAsia" w:ascii="宋体" w:hAnsi="宋体" w:eastAsia="宋体" w:cs="宋体"/>
                <w:color w:val="auto"/>
                <w:szCs w:val="21"/>
                <w:highlight w:val="none"/>
              </w:rPr>
            </w:pPr>
            <w:r>
              <w:rPr>
                <w:rFonts w:hint="eastAsia" w:ascii="宋体" w:hAnsi="宋体" w:eastAsia="宋体" w:cs="宋体"/>
                <w:bCs/>
                <w:color w:val="auto"/>
                <w:szCs w:val="21"/>
                <w:highlight w:val="none"/>
              </w:rPr>
              <w:t>24.2</w:t>
            </w:r>
          </w:p>
        </w:tc>
        <w:tc>
          <w:tcPr>
            <w:tcW w:w="8708" w:type="dxa"/>
            <w:tcBorders>
              <w:top w:val="single" w:color="auto" w:sz="4" w:space="0"/>
              <w:left w:val="single" w:color="auto" w:sz="4" w:space="0"/>
              <w:bottom w:val="single" w:color="auto" w:sz="4" w:space="0"/>
              <w:right w:val="single" w:color="auto" w:sz="4" w:space="0"/>
            </w:tcBorders>
            <w:noWrap w:val="0"/>
            <w:vAlign w:val="center"/>
          </w:tcPr>
          <w:p w14:paraId="52860539">
            <w:pPr>
              <w:snapToGrid w:val="0"/>
              <w:spacing w:line="400" w:lineRule="exact"/>
              <w:rPr>
                <w:rFonts w:hint="eastAsia" w:ascii="宋体" w:hAnsi="宋体" w:eastAsia="宋体" w:cs="宋体"/>
                <w:color w:val="auto"/>
                <w:szCs w:val="21"/>
                <w:highlight w:val="none"/>
              </w:rPr>
            </w:pPr>
            <w:r>
              <w:rPr>
                <w:rFonts w:hint="eastAsia" w:ascii="宋体" w:hAnsi="宋体" w:eastAsia="宋体" w:cs="宋体"/>
                <w:bCs/>
                <w:color w:val="auto"/>
                <w:szCs w:val="21"/>
                <w:highlight w:val="none"/>
              </w:rPr>
              <w:t>“广西政府采购云”平台按开标时间自动提取所有投标文件。采购代理机构依托“广西政府采购云”平台向各投标人发出电子加密投标文件【开始解密】通知，由投标人进行投标文件解密。</w:t>
            </w:r>
            <w:r>
              <w:rPr>
                <w:rFonts w:hint="eastAsia" w:ascii="宋体" w:hAnsi="宋体" w:eastAsia="宋体" w:cs="宋体"/>
                <w:b/>
                <w:bCs/>
                <w:color w:val="auto"/>
                <w:szCs w:val="21"/>
                <w:highlight w:val="none"/>
              </w:rPr>
              <w:t>投标人的法定代表人或其委托代理人须携带加密时所用的CA锁准时登录到“广西政府采购云”平台电子开标大厅签到</w:t>
            </w:r>
            <w:r>
              <w:rPr>
                <w:rFonts w:hint="eastAsia" w:ascii="宋体" w:hAnsi="宋体" w:eastAsia="宋体" w:cs="宋体"/>
                <w:b/>
                <w:color w:val="auto"/>
                <w:szCs w:val="21"/>
                <w:highlight w:val="none"/>
              </w:rPr>
              <w:t>并在发起解密</w:t>
            </w:r>
            <w:r>
              <w:rPr>
                <w:rFonts w:hint="eastAsia" w:ascii="宋体" w:hAnsi="宋体" w:eastAsia="宋体" w:cs="宋体"/>
                <w:b/>
                <w:bCs/>
                <w:color w:val="auto"/>
                <w:szCs w:val="21"/>
                <w:highlight w:val="none"/>
              </w:rPr>
              <w:t>通知</w:t>
            </w:r>
            <w:r>
              <w:rPr>
                <w:rFonts w:hint="eastAsia" w:ascii="宋体" w:hAnsi="宋体" w:eastAsia="宋体" w:cs="宋体"/>
                <w:b/>
                <w:color w:val="auto"/>
                <w:szCs w:val="21"/>
                <w:highlight w:val="none"/>
              </w:rPr>
              <w:t>之时起30分钟内完成</w:t>
            </w:r>
            <w:r>
              <w:rPr>
                <w:rFonts w:hint="eastAsia" w:ascii="宋体" w:hAnsi="宋体" w:eastAsia="宋体" w:cs="宋体"/>
                <w:b/>
                <w:bCs/>
                <w:color w:val="auto"/>
                <w:szCs w:val="21"/>
                <w:highlight w:val="none"/>
              </w:rPr>
              <w:t>对电子投标文件解密。投标文件未按时解密的，视为无效投标。</w:t>
            </w:r>
          </w:p>
        </w:tc>
      </w:tr>
      <w:tr w14:paraId="6C5CB8C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895" w:type="dxa"/>
            <w:tcBorders>
              <w:top w:val="single" w:color="auto" w:sz="4" w:space="0"/>
              <w:left w:val="single" w:color="auto" w:sz="4" w:space="0"/>
              <w:bottom w:val="single" w:color="auto" w:sz="4" w:space="0"/>
              <w:right w:val="single" w:color="auto" w:sz="4" w:space="0"/>
            </w:tcBorders>
            <w:noWrap w:val="0"/>
            <w:vAlign w:val="center"/>
          </w:tcPr>
          <w:p w14:paraId="6045E60E">
            <w:pPr>
              <w:spacing w:line="400" w:lineRule="exact"/>
              <w:jc w:val="center"/>
              <w:rPr>
                <w:rFonts w:hint="eastAsia" w:ascii="宋体" w:hAnsi="宋体" w:eastAsia="宋体" w:cs="宋体"/>
                <w:color w:val="auto"/>
                <w:szCs w:val="21"/>
                <w:highlight w:val="none"/>
              </w:rPr>
            </w:pPr>
            <w:bookmarkStart w:id="75" w:name="_25.3"/>
            <w:bookmarkEnd w:id="75"/>
            <w:r>
              <w:rPr>
                <w:rFonts w:hint="eastAsia" w:ascii="宋体" w:hAnsi="宋体" w:eastAsia="宋体" w:cs="宋体"/>
                <w:color w:val="auto"/>
                <w:szCs w:val="21"/>
                <w:highlight w:val="none"/>
              </w:rPr>
              <w:t>25.3（3）</w:t>
            </w:r>
          </w:p>
        </w:tc>
        <w:tc>
          <w:tcPr>
            <w:tcW w:w="8708" w:type="dxa"/>
            <w:tcBorders>
              <w:top w:val="single" w:color="auto" w:sz="4" w:space="0"/>
              <w:left w:val="single" w:color="auto" w:sz="4" w:space="0"/>
              <w:bottom w:val="single" w:color="auto" w:sz="4" w:space="0"/>
              <w:right w:val="single" w:color="auto" w:sz="4" w:space="0"/>
            </w:tcBorders>
            <w:noWrap w:val="0"/>
            <w:vAlign w:val="center"/>
          </w:tcPr>
          <w:p w14:paraId="431C5586">
            <w:pPr>
              <w:snapToGrid w:val="0"/>
              <w:spacing w:line="40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rPr>
              <w:t>采购人或者采购代理机构在资格审查结束前，对投标人进行信用查询。</w:t>
            </w:r>
          </w:p>
          <w:p w14:paraId="60A44EAB">
            <w:pPr>
              <w:snapToGrid w:val="0"/>
              <w:spacing w:line="40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rPr>
              <w:t>查询渠道</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rPr>
              <w:t>“信用中国”网站（www.creditchina.gov.cn）、中国政府采购网（</w:t>
            </w:r>
            <w:r>
              <w:rPr>
                <w:rFonts w:hint="eastAsia" w:ascii="宋体" w:hAnsi="宋体" w:eastAsia="宋体" w:cs="宋体"/>
                <w:color w:val="auto"/>
                <w:szCs w:val="21"/>
                <w:highlight w:val="none"/>
              </w:rPr>
              <w:fldChar w:fldCharType="begin"/>
            </w:r>
            <w:r>
              <w:rPr>
                <w:rFonts w:hint="eastAsia" w:ascii="宋体" w:hAnsi="宋体" w:eastAsia="宋体" w:cs="宋体"/>
                <w:color w:val="auto"/>
                <w:szCs w:val="21"/>
                <w:highlight w:val="none"/>
              </w:rPr>
              <w:instrText xml:space="preserve"> HYPERLINK "http://www.ccgp.gov.cn" </w:instrText>
            </w:r>
            <w:r>
              <w:rPr>
                <w:rFonts w:hint="eastAsia" w:ascii="宋体" w:hAnsi="宋体" w:eastAsia="宋体" w:cs="宋体"/>
                <w:color w:val="auto"/>
                <w:szCs w:val="21"/>
                <w:highlight w:val="none"/>
              </w:rPr>
              <w:fldChar w:fldCharType="separate"/>
            </w:r>
            <w:r>
              <w:rPr>
                <w:rStyle w:val="52"/>
                <w:rFonts w:hint="eastAsia" w:ascii="宋体" w:hAnsi="宋体" w:eastAsia="宋体" w:cs="宋体"/>
                <w:color w:val="auto"/>
                <w:szCs w:val="21"/>
                <w:highlight w:val="none"/>
              </w:rPr>
              <w:t>www.ccgp.gov.cn</w:t>
            </w:r>
            <w:r>
              <w:rPr>
                <w:rFonts w:hint="eastAsia" w:ascii="宋体" w:hAnsi="宋体" w:eastAsia="宋体" w:cs="宋体"/>
                <w:color w:val="auto"/>
                <w:szCs w:val="21"/>
                <w:highlight w:val="none"/>
              </w:rPr>
              <w:fldChar w:fldCharType="end"/>
            </w:r>
            <w:r>
              <w:rPr>
                <w:rFonts w:hint="eastAsia" w:ascii="宋体" w:hAnsi="宋体" w:eastAsia="宋体" w:cs="宋体"/>
                <w:color w:val="auto"/>
                <w:szCs w:val="21"/>
                <w:highlight w:val="none"/>
              </w:rPr>
              <w:t>）。</w:t>
            </w:r>
          </w:p>
          <w:p w14:paraId="71E69A7B">
            <w:pPr>
              <w:snapToGrid w:val="0"/>
              <w:spacing w:line="40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rPr>
              <w:t>信用查询截止时点</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rPr>
              <w:t>资格审查结束前。</w:t>
            </w:r>
          </w:p>
          <w:p w14:paraId="56920FFE">
            <w:pPr>
              <w:snapToGrid w:val="0"/>
              <w:spacing w:line="40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rPr>
              <w:t>查询记录和证据留存方式</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rPr>
              <w:t>将查询网站中的查询记录截图并作为评审资料保存。</w:t>
            </w:r>
          </w:p>
          <w:p w14:paraId="69B6710C">
            <w:pPr>
              <w:snapToGrid w:val="0"/>
              <w:spacing w:line="400" w:lineRule="exact"/>
              <w:rPr>
                <w:rFonts w:hint="eastAsia" w:ascii="宋体" w:hAnsi="宋体" w:eastAsia="宋体" w:cs="宋体"/>
                <w:b/>
                <w:color w:val="auto"/>
                <w:szCs w:val="21"/>
                <w:highlight w:val="none"/>
              </w:rPr>
            </w:pPr>
            <w:r>
              <w:rPr>
                <w:rFonts w:hint="eastAsia" w:ascii="宋体" w:hAnsi="宋体" w:eastAsia="宋体" w:cs="宋体"/>
                <w:color w:val="auto"/>
                <w:szCs w:val="21"/>
                <w:highlight w:val="none"/>
              </w:rPr>
              <w:t>信用信息使用规则</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rPr>
              <w:t>根据财政部《关于在政府采购活动中查询及使用信用记录有关问题的通知》（财库〔2016〕125号）的规定，</w:t>
            </w:r>
            <w:r>
              <w:rPr>
                <w:rFonts w:hint="eastAsia" w:ascii="宋体" w:hAnsi="宋体" w:eastAsia="宋体" w:cs="宋体"/>
                <w:color w:val="auto"/>
                <w:szCs w:val="21"/>
                <w:highlight w:val="none"/>
                <w:lang w:bidi="ar"/>
              </w:rPr>
              <w:t>对在“信用中国”网站（www.creditchina.gov.cn）、中国政府采购网（www.ccgp.gov.cn）被列入失信被执行人、</w:t>
            </w:r>
            <w:r>
              <w:rPr>
                <w:rFonts w:hint="eastAsia" w:ascii="宋体" w:hAnsi="宋体" w:eastAsia="宋体" w:cs="宋体"/>
                <w:color w:val="auto"/>
                <w:szCs w:val="21"/>
                <w:highlight w:val="none"/>
                <w:lang w:eastAsia="zh-CN" w:bidi="ar"/>
              </w:rPr>
              <w:t>重大税收违法失信主体名单</w:t>
            </w:r>
            <w:r>
              <w:rPr>
                <w:rFonts w:hint="eastAsia" w:ascii="宋体" w:hAnsi="宋体" w:eastAsia="宋体" w:cs="宋体"/>
                <w:color w:val="auto"/>
                <w:szCs w:val="21"/>
                <w:highlight w:val="none"/>
                <w:lang w:bidi="ar"/>
              </w:rPr>
              <w:t>、政府采购严重违法失信行为记录名单及其他不符合《中华人民共和国政府采购法》第二十二条规定条件的供应商，不得参与政府采购活动。</w:t>
            </w:r>
          </w:p>
        </w:tc>
      </w:tr>
      <w:tr w14:paraId="21B7E21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895" w:type="dxa"/>
            <w:tcBorders>
              <w:top w:val="single" w:color="auto" w:sz="4" w:space="0"/>
              <w:left w:val="single" w:color="auto" w:sz="4" w:space="0"/>
              <w:bottom w:val="single" w:color="auto" w:sz="4" w:space="0"/>
              <w:right w:val="single" w:color="auto" w:sz="4" w:space="0"/>
            </w:tcBorders>
            <w:noWrap w:val="0"/>
            <w:vAlign w:val="center"/>
          </w:tcPr>
          <w:p w14:paraId="4CA67F65">
            <w:pPr>
              <w:spacing w:line="400" w:lineRule="exact"/>
              <w:jc w:val="center"/>
              <w:rPr>
                <w:rFonts w:hint="eastAsia" w:ascii="宋体" w:hAnsi="宋体" w:eastAsia="宋体" w:cs="宋体"/>
                <w:color w:val="auto"/>
                <w:szCs w:val="21"/>
                <w:highlight w:val="none"/>
              </w:rPr>
            </w:pPr>
            <w:bookmarkStart w:id="76" w:name="_26"/>
            <w:bookmarkEnd w:id="76"/>
            <w:r>
              <w:rPr>
                <w:rFonts w:hint="eastAsia" w:ascii="宋体" w:hAnsi="宋体" w:eastAsia="宋体" w:cs="宋体"/>
                <w:color w:val="auto"/>
                <w:szCs w:val="21"/>
                <w:highlight w:val="none"/>
              </w:rPr>
              <w:t>26</w:t>
            </w:r>
          </w:p>
        </w:tc>
        <w:tc>
          <w:tcPr>
            <w:tcW w:w="8708" w:type="dxa"/>
            <w:tcBorders>
              <w:top w:val="single" w:color="auto" w:sz="4" w:space="0"/>
              <w:left w:val="single" w:color="auto" w:sz="4" w:space="0"/>
              <w:bottom w:val="single" w:color="auto" w:sz="4" w:space="0"/>
              <w:right w:val="single" w:color="auto" w:sz="4" w:space="0"/>
            </w:tcBorders>
            <w:noWrap w:val="0"/>
            <w:vAlign w:val="center"/>
          </w:tcPr>
          <w:p w14:paraId="5037DF23">
            <w:pPr>
              <w:autoSpaceDE w:val="0"/>
              <w:autoSpaceDN w:val="0"/>
              <w:snapToGrid w:val="0"/>
              <w:spacing w:line="400" w:lineRule="exact"/>
              <w:textAlignment w:val="bottom"/>
              <w:rPr>
                <w:rFonts w:hint="eastAsia" w:ascii="宋体" w:hAnsi="宋体" w:eastAsia="宋体" w:cs="宋体"/>
                <w:color w:val="auto"/>
                <w:szCs w:val="21"/>
                <w:highlight w:val="none"/>
              </w:rPr>
            </w:pPr>
            <w:r>
              <w:rPr>
                <w:rFonts w:hint="eastAsia" w:ascii="宋体" w:hAnsi="宋体" w:eastAsia="宋体" w:cs="宋体"/>
                <w:color w:val="auto"/>
                <w:szCs w:val="21"/>
                <w:highlight w:val="none"/>
              </w:rPr>
              <w:t>评标委员会的人数</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rPr>
              <w:t>5人或5人以上单数</w:t>
            </w:r>
            <w:r>
              <w:rPr>
                <w:rFonts w:hint="eastAsia" w:ascii="宋体" w:hAnsi="宋体" w:eastAsia="宋体" w:cs="宋体"/>
                <w:color w:val="auto"/>
                <w:highlight w:val="none"/>
              </w:rPr>
              <w:t>。</w:t>
            </w:r>
          </w:p>
        </w:tc>
      </w:tr>
      <w:tr w14:paraId="314F73E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895" w:type="dxa"/>
            <w:tcBorders>
              <w:top w:val="single" w:color="auto" w:sz="4" w:space="0"/>
              <w:left w:val="single" w:color="auto" w:sz="4" w:space="0"/>
              <w:bottom w:val="single" w:color="auto" w:sz="4" w:space="0"/>
              <w:right w:val="single" w:color="auto" w:sz="4" w:space="0"/>
            </w:tcBorders>
            <w:noWrap w:val="0"/>
            <w:vAlign w:val="center"/>
          </w:tcPr>
          <w:p w14:paraId="320C283D">
            <w:pPr>
              <w:spacing w:line="400" w:lineRule="exact"/>
              <w:jc w:val="center"/>
              <w:rPr>
                <w:rFonts w:hint="eastAsia" w:ascii="宋体" w:hAnsi="宋体" w:eastAsia="宋体" w:cs="宋体"/>
                <w:color w:val="auto"/>
                <w:szCs w:val="21"/>
                <w:highlight w:val="none"/>
              </w:rPr>
            </w:pPr>
            <w:bookmarkStart w:id="77" w:name="_28.3"/>
            <w:bookmarkEnd w:id="77"/>
            <w:r>
              <w:rPr>
                <w:rFonts w:hint="eastAsia" w:ascii="宋体" w:hAnsi="宋体" w:eastAsia="宋体" w:cs="宋体"/>
                <w:color w:val="auto"/>
                <w:szCs w:val="21"/>
                <w:highlight w:val="none"/>
              </w:rPr>
              <w:t>29.1</w:t>
            </w:r>
          </w:p>
        </w:tc>
        <w:tc>
          <w:tcPr>
            <w:tcW w:w="8708" w:type="dxa"/>
            <w:tcBorders>
              <w:top w:val="single" w:color="auto" w:sz="4" w:space="0"/>
              <w:left w:val="single" w:color="auto" w:sz="4" w:space="0"/>
              <w:bottom w:val="single" w:color="auto" w:sz="4" w:space="0"/>
              <w:right w:val="single" w:color="auto" w:sz="4" w:space="0"/>
            </w:tcBorders>
            <w:noWrap w:val="0"/>
            <w:vAlign w:val="center"/>
          </w:tcPr>
          <w:p w14:paraId="43C96ADB">
            <w:pPr>
              <w:autoSpaceDE w:val="0"/>
              <w:autoSpaceDN w:val="0"/>
              <w:snapToGrid w:val="0"/>
              <w:spacing w:line="400" w:lineRule="exact"/>
              <w:textAlignment w:val="bottom"/>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rPr>
              <w:t>评标方法</w:t>
            </w:r>
            <w:r>
              <w:rPr>
                <w:rFonts w:hint="eastAsia" w:ascii="宋体" w:hAnsi="宋体" w:eastAsia="宋体" w:cs="宋体"/>
                <w:color w:val="auto"/>
                <w:szCs w:val="21"/>
                <w:highlight w:val="none"/>
                <w:lang w:eastAsia="zh-CN"/>
              </w:rPr>
              <w:t>：</w:t>
            </w:r>
          </w:p>
          <w:p w14:paraId="46C87E61">
            <w:pPr>
              <w:autoSpaceDE w:val="0"/>
              <w:autoSpaceDN w:val="0"/>
              <w:snapToGrid w:val="0"/>
              <w:spacing w:line="400" w:lineRule="exact"/>
              <w:textAlignment w:val="bottom"/>
              <w:rPr>
                <w:rFonts w:hint="eastAsia" w:ascii="宋体" w:hAnsi="宋体" w:eastAsia="宋体" w:cs="宋体"/>
                <w:color w:val="auto"/>
                <w:szCs w:val="21"/>
                <w:highlight w:val="none"/>
              </w:rPr>
            </w:pPr>
            <w:r>
              <w:rPr>
                <w:rFonts w:hint="eastAsia" w:ascii="宋体" w:hAnsi="宋体" w:eastAsia="宋体" w:cs="宋体"/>
                <w:color w:val="auto"/>
                <w:szCs w:val="21"/>
                <w:highlight w:val="none"/>
              </w:rPr>
              <w:sym w:font="Wingdings 2" w:char="0052"/>
            </w:r>
            <w:r>
              <w:rPr>
                <w:rFonts w:hint="eastAsia" w:ascii="宋体" w:hAnsi="宋体" w:eastAsia="宋体" w:cs="宋体"/>
                <w:color w:val="auto"/>
                <w:szCs w:val="21"/>
                <w:highlight w:val="none"/>
              </w:rPr>
              <w:t>综合评分法</w:t>
            </w:r>
          </w:p>
          <w:p w14:paraId="787FFCF4">
            <w:pPr>
              <w:autoSpaceDE w:val="0"/>
              <w:autoSpaceDN w:val="0"/>
              <w:snapToGrid w:val="0"/>
              <w:spacing w:line="400" w:lineRule="exact"/>
              <w:textAlignment w:val="bottom"/>
              <w:rPr>
                <w:rFonts w:hint="eastAsia" w:ascii="宋体" w:hAnsi="宋体" w:eastAsia="宋体" w:cs="宋体"/>
                <w:color w:val="auto"/>
                <w:szCs w:val="21"/>
                <w:highlight w:val="none"/>
              </w:rPr>
            </w:pPr>
            <w:r>
              <w:rPr>
                <w:rFonts w:hint="eastAsia" w:ascii="宋体" w:hAnsi="宋体" w:eastAsia="宋体" w:cs="宋体"/>
                <w:color w:val="auto"/>
                <w:szCs w:val="21"/>
                <w:highlight w:val="none"/>
              </w:rPr>
              <w:sym w:font="Wingdings 2" w:char="00A3"/>
            </w:r>
            <w:r>
              <w:rPr>
                <w:rFonts w:hint="eastAsia" w:ascii="宋体" w:hAnsi="宋体" w:eastAsia="宋体" w:cs="宋体"/>
                <w:color w:val="auto"/>
                <w:highlight w:val="none"/>
              </w:rPr>
              <w:t>最低评标价法</w:t>
            </w:r>
          </w:p>
        </w:tc>
      </w:tr>
      <w:tr w14:paraId="41A6C81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895" w:type="dxa"/>
            <w:vMerge w:val="restart"/>
            <w:tcBorders>
              <w:top w:val="single" w:color="auto" w:sz="4" w:space="0"/>
              <w:left w:val="single" w:color="auto" w:sz="4" w:space="0"/>
              <w:right w:val="single" w:color="auto" w:sz="4" w:space="0"/>
            </w:tcBorders>
            <w:noWrap w:val="0"/>
            <w:vAlign w:val="center"/>
          </w:tcPr>
          <w:p w14:paraId="2298A9B6">
            <w:pPr>
              <w:spacing w:line="400" w:lineRule="exact"/>
              <w:jc w:val="center"/>
              <w:rPr>
                <w:rFonts w:hint="eastAsia" w:ascii="宋体" w:hAnsi="宋体" w:eastAsia="宋体" w:cs="宋体"/>
                <w:color w:val="auto"/>
                <w:szCs w:val="21"/>
                <w:highlight w:val="none"/>
              </w:rPr>
            </w:pPr>
            <w:bookmarkStart w:id="78" w:name="_29.2.2（2）"/>
            <w:bookmarkEnd w:id="78"/>
            <w:r>
              <w:rPr>
                <w:rFonts w:hint="eastAsia" w:ascii="宋体" w:hAnsi="宋体" w:eastAsia="宋体" w:cs="宋体"/>
                <w:color w:val="auto"/>
                <w:szCs w:val="21"/>
                <w:highlight w:val="none"/>
              </w:rPr>
              <w:t>29.2</w:t>
            </w:r>
          </w:p>
        </w:tc>
        <w:tc>
          <w:tcPr>
            <w:tcW w:w="8708" w:type="dxa"/>
            <w:tcBorders>
              <w:top w:val="single" w:color="auto" w:sz="4" w:space="0"/>
              <w:left w:val="single" w:color="auto" w:sz="4" w:space="0"/>
              <w:right w:val="single" w:color="auto" w:sz="4" w:space="0"/>
            </w:tcBorders>
            <w:noWrap w:val="0"/>
            <w:vAlign w:val="center"/>
          </w:tcPr>
          <w:p w14:paraId="3F32AE49">
            <w:pPr>
              <w:snapToGrid w:val="0"/>
              <w:spacing w:line="40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rPr>
              <w:t>商务要求评审中允许的负偏离条款数为</w:t>
            </w:r>
            <w:r>
              <w:rPr>
                <w:rFonts w:hint="eastAsia" w:ascii="宋体" w:hAnsi="宋体" w:eastAsia="宋体" w:cs="宋体"/>
                <w:color w:val="auto"/>
                <w:szCs w:val="21"/>
                <w:highlight w:val="none"/>
                <w:u w:val="single"/>
                <w:lang w:val="en-US" w:eastAsia="zh-CN"/>
              </w:rPr>
              <w:t>0</w:t>
            </w:r>
            <w:r>
              <w:rPr>
                <w:rFonts w:hint="eastAsia" w:ascii="宋体" w:hAnsi="宋体" w:eastAsia="宋体" w:cs="宋体"/>
                <w:color w:val="auto"/>
                <w:szCs w:val="21"/>
                <w:highlight w:val="none"/>
              </w:rPr>
              <w:t>项。</w:t>
            </w:r>
          </w:p>
          <w:p w14:paraId="36F15733">
            <w:pPr>
              <w:snapToGrid w:val="0"/>
              <w:spacing w:line="40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rPr>
              <w:t>技术要求评审中允许的负偏离条款数为</w:t>
            </w:r>
            <w:r>
              <w:rPr>
                <w:rFonts w:hint="eastAsia" w:ascii="宋体" w:hAnsi="宋体" w:cs="宋体"/>
                <w:color w:val="auto"/>
                <w:szCs w:val="21"/>
                <w:highlight w:val="none"/>
                <w:u w:val="single"/>
                <w:lang w:val="en-US" w:eastAsia="zh-CN"/>
              </w:rPr>
              <w:t>0</w:t>
            </w:r>
            <w:r>
              <w:rPr>
                <w:rFonts w:hint="eastAsia" w:ascii="宋体" w:hAnsi="宋体" w:eastAsia="宋体" w:cs="宋体"/>
                <w:color w:val="auto"/>
                <w:szCs w:val="21"/>
                <w:highlight w:val="none"/>
              </w:rPr>
              <w:t>项。</w:t>
            </w:r>
          </w:p>
        </w:tc>
      </w:tr>
      <w:tr w14:paraId="124970D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895" w:type="dxa"/>
            <w:vMerge w:val="continue"/>
            <w:tcBorders>
              <w:left w:val="single" w:color="auto" w:sz="4" w:space="0"/>
              <w:right w:val="single" w:color="auto" w:sz="4" w:space="0"/>
            </w:tcBorders>
            <w:noWrap w:val="0"/>
            <w:vAlign w:val="center"/>
          </w:tcPr>
          <w:p w14:paraId="71035B19">
            <w:pPr>
              <w:spacing w:line="400" w:lineRule="exact"/>
              <w:jc w:val="center"/>
              <w:rPr>
                <w:rFonts w:hint="eastAsia" w:ascii="宋体" w:hAnsi="宋体" w:eastAsia="宋体" w:cs="宋体"/>
                <w:color w:val="auto"/>
                <w:szCs w:val="21"/>
                <w:highlight w:val="none"/>
              </w:rPr>
            </w:pPr>
          </w:p>
        </w:tc>
        <w:tc>
          <w:tcPr>
            <w:tcW w:w="8708" w:type="dxa"/>
            <w:tcBorders>
              <w:top w:val="single" w:color="auto" w:sz="4" w:space="0"/>
              <w:left w:val="single" w:color="auto" w:sz="4" w:space="0"/>
              <w:right w:val="single" w:color="auto" w:sz="4" w:space="0"/>
            </w:tcBorders>
            <w:noWrap w:val="0"/>
            <w:vAlign w:val="center"/>
          </w:tcPr>
          <w:p w14:paraId="34AB1F47">
            <w:pPr>
              <w:snapToGrid w:val="0"/>
              <w:spacing w:line="400" w:lineRule="exact"/>
              <w:rPr>
                <w:rFonts w:hint="eastAsia" w:ascii="宋体" w:hAnsi="宋体" w:eastAsia="宋体" w:cs="宋体"/>
                <w:color w:val="auto"/>
                <w:highlight w:val="none"/>
              </w:rPr>
            </w:pPr>
            <w:r>
              <w:rPr>
                <w:rFonts w:hint="eastAsia" w:ascii="宋体" w:hAnsi="宋体" w:eastAsia="宋体" w:cs="宋体"/>
                <w:color w:val="auto"/>
                <w:highlight w:val="none"/>
              </w:rPr>
              <w:t>中标候选人推荐数量</w:t>
            </w:r>
            <w:r>
              <w:rPr>
                <w:rFonts w:hint="eastAsia" w:ascii="宋体" w:hAnsi="宋体" w:eastAsia="宋体" w:cs="宋体"/>
                <w:color w:val="auto"/>
                <w:highlight w:val="none"/>
                <w:lang w:eastAsia="zh-CN"/>
              </w:rPr>
              <w:t>：</w:t>
            </w:r>
            <w:r>
              <w:rPr>
                <w:rFonts w:hint="eastAsia" w:ascii="宋体" w:hAnsi="宋体" w:eastAsia="宋体" w:cs="宋体"/>
                <w:color w:val="auto"/>
                <w:highlight w:val="none"/>
              </w:rPr>
              <w:t>3家</w:t>
            </w:r>
          </w:p>
        </w:tc>
      </w:tr>
      <w:tr w14:paraId="04056BB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895" w:type="dxa"/>
            <w:tcBorders>
              <w:top w:val="single" w:color="auto" w:sz="4" w:space="0"/>
              <w:left w:val="single" w:color="auto" w:sz="4" w:space="0"/>
              <w:bottom w:val="single" w:color="auto" w:sz="4" w:space="0"/>
              <w:right w:val="single" w:color="auto" w:sz="4" w:space="0"/>
            </w:tcBorders>
            <w:noWrap w:val="0"/>
            <w:vAlign w:val="center"/>
          </w:tcPr>
          <w:p w14:paraId="619DD4FE">
            <w:pPr>
              <w:spacing w:line="40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30.1</w:t>
            </w:r>
          </w:p>
        </w:tc>
        <w:tc>
          <w:tcPr>
            <w:tcW w:w="8708" w:type="dxa"/>
            <w:tcBorders>
              <w:top w:val="single" w:color="auto" w:sz="4" w:space="0"/>
              <w:left w:val="single" w:color="auto" w:sz="4" w:space="0"/>
              <w:bottom w:val="single" w:color="auto" w:sz="4" w:space="0"/>
              <w:right w:val="single" w:color="auto" w:sz="4" w:space="0"/>
            </w:tcBorders>
            <w:noWrap w:val="0"/>
            <w:vAlign w:val="center"/>
          </w:tcPr>
          <w:p w14:paraId="211A6D73">
            <w:pPr>
              <w:autoSpaceDE w:val="0"/>
              <w:autoSpaceDN w:val="0"/>
              <w:snapToGrid w:val="0"/>
              <w:spacing w:line="400" w:lineRule="exact"/>
              <w:textAlignment w:val="bottom"/>
              <w:rPr>
                <w:rFonts w:hint="eastAsia" w:ascii="宋体" w:hAnsi="宋体" w:eastAsia="宋体" w:cs="宋体"/>
                <w:color w:val="auto"/>
                <w:szCs w:val="21"/>
                <w:highlight w:val="none"/>
              </w:rPr>
            </w:pPr>
            <w:r>
              <w:rPr>
                <w:rFonts w:hint="eastAsia" w:ascii="宋体" w:hAnsi="宋体" w:eastAsia="宋体" w:cs="宋体"/>
                <w:color w:val="auto"/>
                <w:szCs w:val="21"/>
                <w:highlight w:val="none"/>
              </w:rPr>
              <w:t>采用综合评分法的采购项目，采购人确定中标人时，出现中标候选人并列的情形，采购人按以下的方式确定中标人</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rPr>
              <w:t>按综合评分中价格分、技术分总和、信誉业绩分总和得分高低依次确定。</w:t>
            </w:r>
          </w:p>
        </w:tc>
      </w:tr>
      <w:tr w14:paraId="3BE2693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895" w:type="dxa"/>
            <w:tcBorders>
              <w:top w:val="single" w:color="auto" w:sz="4" w:space="0"/>
              <w:left w:val="single" w:color="auto" w:sz="4" w:space="0"/>
              <w:bottom w:val="single" w:color="auto" w:sz="4" w:space="0"/>
              <w:right w:val="single" w:color="auto" w:sz="4" w:space="0"/>
            </w:tcBorders>
            <w:noWrap w:val="0"/>
            <w:vAlign w:val="center"/>
          </w:tcPr>
          <w:p w14:paraId="6B76F64B">
            <w:pPr>
              <w:spacing w:line="400" w:lineRule="exact"/>
              <w:jc w:val="center"/>
              <w:rPr>
                <w:rFonts w:hint="eastAsia" w:ascii="宋体" w:hAnsi="宋体" w:eastAsia="宋体" w:cs="宋体"/>
                <w:color w:val="auto"/>
                <w:szCs w:val="21"/>
                <w:highlight w:val="none"/>
              </w:rPr>
            </w:pPr>
            <w:bookmarkStart w:id="79" w:name="_39.1"/>
            <w:bookmarkEnd w:id="79"/>
            <w:r>
              <w:rPr>
                <w:rFonts w:hint="eastAsia" w:ascii="宋体" w:hAnsi="宋体" w:eastAsia="宋体" w:cs="宋体"/>
                <w:color w:val="auto"/>
                <w:szCs w:val="21"/>
                <w:highlight w:val="none"/>
              </w:rPr>
              <w:t>35.1</w:t>
            </w:r>
          </w:p>
        </w:tc>
        <w:tc>
          <w:tcPr>
            <w:tcW w:w="8708" w:type="dxa"/>
            <w:tcBorders>
              <w:top w:val="single" w:color="auto" w:sz="4" w:space="0"/>
              <w:left w:val="single" w:color="auto" w:sz="4" w:space="0"/>
              <w:bottom w:val="single" w:color="auto" w:sz="4" w:space="0"/>
              <w:right w:val="single" w:color="auto" w:sz="4" w:space="0"/>
            </w:tcBorders>
            <w:noWrap w:val="0"/>
            <w:vAlign w:val="center"/>
          </w:tcPr>
          <w:p w14:paraId="6F9BCF3A">
            <w:pPr>
              <w:autoSpaceDE w:val="0"/>
              <w:autoSpaceDN w:val="0"/>
              <w:snapToGrid w:val="0"/>
              <w:spacing w:line="400" w:lineRule="exact"/>
              <w:textAlignment w:val="bottom"/>
              <w:rPr>
                <w:rFonts w:hint="eastAsia" w:ascii="宋体" w:hAnsi="宋体" w:eastAsia="宋体" w:cs="宋体"/>
                <w:color w:val="auto"/>
                <w:szCs w:val="21"/>
                <w:highlight w:val="none"/>
              </w:rPr>
            </w:pPr>
            <w:r>
              <w:rPr>
                <w:rFonts w:hint="eastAsia" w:ascii="宋体" w:hAnsi="宋体" w:eastAsia="宋体" w:cs="宋体"/>
                <w:color w:val="auto"/>
                <w:szCs w:val="21"/>
                <w:highlight w:val="none"/>
              </w:rPr>
              <w:sym w:font="Wingdings 2" w:char="00A3"/>
            </w:r>
            <w:r>
              <w:rPr>
                <w:rFonts w:hint="eastAsia" w:ascii="宋体" w:hAnsi="宋体" w:eastAsia="宋体" w:cs="宋体"/>
                <w:color w:val="auto"/>
                <w:szCs w:val="21"/>
                <w:highlight w:val="none"/>
              </w:rPr>
              <w:t>本项目不收取履约保证金。</w:t>
            </w:r>
          </w:p>
          <w:p w14:paraId="426522BA">
            <w:pPr>
              <w:autoSpaceDE w:val="0"/>
              <w:autoSpaceDN w:val="0"/>
              <w:snapToGrid w:val="0"/>
              <w:spacing w:line="400" w:lineRule="exact"/>
              <w:textAlignment w:val="bottom"/>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rPr>
              <w:sym w:font="Wingdings 2" w:char="0052"/>
            </w:r>
            <w:r>
              <w:rPr>
                <w:rFonts w:hint="eastAsia" w:ascii="宋体" w:hAnsi="宋体" w:eastAsia="宋体" w:cs="宋体"/>
                <w:color w:val="auto"/>
                <w:szCs w:val="21"/>
                <w:highlight w:val="none"/>
              </w:rPr>
              <w:t>本项目收取履约保证金，具体规定如下</w:t>
            </w:r>
            <w:r>
              <w:rPr>
                <w:rFonts w:hint="eastAsia" w:ascii="宋体" w:hAnsi="宋体" w:eastAsia="宋体" w:cs="宋体"/>
                <w:color w:val="auto"/>
                <w:szCs w:val="21"/>
                <w:highlight w:val="none"/>
                <w:lang w:eastAsia="zh-CN"/>
              </w:rPr>
              <w:t>：</w:t>
            </w:r>
          </w:p>
          <w:p w14:paraId="0CC48685">
            <w:pPr>
              <w:pStyle w:val="17"/>
              <w:spacing w:line="400" w:lineRule="exact"/>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履约保证金金额：按中标金额的</w:t>
            </w:r>
            <w:r>
              <w:rPr>
                <w:rFonts w:hint="eastAsia" w:ascii="宋体" w:hAnsi="宋体" w:eastAsia="宋体" w:cs="宋体"/>
                <w:color w:val="auto"/>
                <w:szCs w:val="21"/>
                <w:highlight w:val="none"/>
                <w:u w:val="single"/>
                <w:lang w:val="en-US" w:eastAsia="zh-CN"/>
              </w:rPr>
              <w:t>5</w:t>
            </w:r>
            <w:r>
              <w:rPr>
                <w:rFonts w:hint="eastAsia" w:ascii="宋体" w:hAnsi="宋体" w:eastAsia="宋体" w:cs="宋体"/>
                <w:color w:val="auto"/>
                <w:szCs w:val="21"/>
                <w:highlight w:val="none"/>
                <w:lang w:val="en-US" w:eastAsia="zh-CN"/>
              </w:rPr>
              <w:t>%（中标单位如为中小企业履约保证金数额按中标金额的2%收取）。</w:t>
            </w:r>
          </w:p>
          <w:p w14:paraId="1DC76A6F">
            <w:pPr>
              <w:autoSpaceDE w:val="0"/>
              <w:autoSpaceDN w:val="0"/>
              <w:snapToGrid w:val="0"/>
              <w:spacing w:line="400" w:lineRule="exact"/>
              <w:textAlignment w:val="bottom"/>
              <w:rPr>
                <w:rFonts w:hint="eastAsia" w:ascii="宋体" w:hAnsi="宋体" w:eastAsia="宋体" w:cs="宋体"/>
                <w:color w:val="auto"/>
                <w:szCs w:val="21"/>
                <w:highlight w:val="none"/>
              </w:rPr>
            </w:pPr>
            <w:r>
              <w:rPr>
                <w:rFonts w:hint="eastAsia" w:ascii="宋体" w:hAnsi="宋体" w:eastAsia="宋体" w:cs="宋体"/>
                <w:color w:val="auto"/>
                <w:szCs w:val="21"/>
                <w:highlight w:val="none"/>
              </w:rPr>
              <w:t>履约保证金递交方式</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rPr>
              <w:t>银行转账、支票、汇票、本票或者金融、担保机构出具的保函等非现金方式。</w:t>
            </w:r>
          </w:p>
          <w:p w14:paraId="554E78C2">
            <w:pPr>
              <w:autoSpaceDE w:val="0"/>
              <w:autoSpaceDN w:val="0"/>
              <w:snapToGrid w:val="0"/>
              <w:spacing w:line="400" w:lineRule="exact"/>
              <w:textAlignment w:val="bottom"/>
              <w:rPr>
                <w:rFonts w:hint="eastAsia" w:ascii="宋体" w:hAnsi="宋体" w:eastAsia="宋体" w:cs="宋体"/>
                <w:color w:val="auto"/>
                <w:szCs w:val="21"/>
                <w:highlight w:val="none"/>
                <w:u w:val="single"/>
              </w:rPr>
            </w:pPr>
            <w:r>
              <w:rPr>
                <w:rFonts w:hint="eastAsia" w:ascii="宋体" w:hAnsi="宋体" w:eastAsia="宋体" w:cs="宋体"/>
                <w:color w:val="auto"/>
                <w:szCs w:val="21"/>
                <w:highlight w:val="none"/>
              </w:rPr>
              <w:t>履约保证金退付方式、时间及条件</w:t>
            </w:r>
            <w:r>
              <w:rPr>
                <w:rFonts w:hint="eastAsia" w:ascii="宋体" w:hAnsi="宋体" w:eastAsia="宋体" w:cs="宋体"/>
                <w:color w:val="auto"/>
                <w:szCs w:val="21"/>
                <w:highlight w:val="none"/>
                <w:lang w:eastAsia="zh-CN"/>
              </w:rPr>
              <w:t>：</w:t>
            </w:r>
            <w:r>
              <w:rPr>
                <w:rFonts w:hint="eastAsia" w:ascii="宋体" w:hAnsi="宋体" w:eastAsia="宋体" w:cs="宋体"/>
                <w:b/>
                <w:color w:val="auto"/>
                <w:szCs w:val="21"/>
                <w:highlight w:val="none"/>
                <w:u w:val="single"/>
              </w:rPr>
              <w:t>服务期满无质量问题可向采购单位申请退还，采购单位在收到合格材料后5个工作日内办理退还手续（不计利息）</w:t>
            </w:r>
            <w:r>
              <w:rPr>
                <w:rFonts w:hint="eastAsia" w:ascii="宋体" w:hAnsi="宋体" w:eastAsia="宋体" w:cs="宋体"/>
                <w:color w:val="auto"/>
                <w:szCs w:val="21"/>
                <w:highlight w:val="none"/>
              </w:rPr>
              <w:t>。</w:t>
            </w:r>
          </w:p>
          <w:p w14:paraId="6C55ABB5">
            <w:pPr>
              <w:spacing w:line="360" w:lineRule="exact"/>
              <w:jc w:val="left"/>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rPr>
              <w:t>履约保证金指定账户</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rPr>
              <w:t>履约保证金提交至采购单位指定账户，账号信息</w:t>
            </w:r>
            <w:r>
              <w:rPr>
                <w:rFonts w:hint="eastAsia" w:ascii="宋体" w:hAnsi="宋体" w:eastAsia="宋体" w:cs="宋体"/>
                <w:color w:val="auto"/>
                <w:szCs w:val="21"/>
                <w:highlight w:val="none"/>
                <w:lang w:eastAsia="zh-CN"/>
              </w:rPr>
              <w:t>：</w:t>
            </w:r>
          </w:p>
          <w:p w14:paraId="2D7E1838">
            <w:pPr>
              <w:spacing w:line="360" w:lineRule="exact"/>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户名</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rPr>
              <w:t>广西壮族自治区交通运输综合行政执法局</w:t>
            </w:r>
          </w:p>
          <w:p w14:paraId="794BF40F">
            <w:pPr>
              <w:spacing w:line="360" w:lineRule="exact"/>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账号</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rPr>
              <w:t>451060309013000948504</w:t>
            </w:r>
          </w:p>
          <w:p w14:paraId="5DA23C9D">
            <w:pPr>
              <w:spacing w:line="360" w:lineRule="exact"/>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开户行</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rPr>
              <w:t>交通银行南宁金源支行</w:t>
            </w:r>
          </w:p>
          <w:p w14:paraId="48D11F88">
            <w:pPr>
              <w:spacing w:line="360" w:lineRule="exact"/>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行号</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rPr>
              <w:t>301611000373</w:t>
            </w:r>
          </w:p>
          <w:p w14:paraId="785FADF6">
            <w:pPr>
              <w:spacing w:line="400" w:lineRule="exact"/>
              <w:jc w:val="left"/>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rPr>
              <w:t>备注</w:t>
            </w:r>
            <w:r>
              <w:rPr>
                <w:rFonts w:hint="eastAsia" w:ascii="宋体" w:hAnsi="宋体" w:eastAsia="宋体" w:cs="宋体"/>
                <w:color w:val="auto"/>
                <w:szCs w:val="21"/>
                <w:highlight w:val="none"/>
                <w:lang w:eastAsia="zh-CN"/>
              </w:rPr>
              <w:t>：</w:t>
            </w:r>
          </w:p>
          <w:p w14:paraId="49A13DD7">
            <w:pPr>
              <w:spacing w:line="400" w:lineRule="exact"/>
              <w:jc w:val="left"/>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1</w:t>
            </w:r>
            <w:bookmarkStart w:id="80" w:name="_Hlk54170335"/>
            <w:r>
              <w:rPr>
                <w:rFonts w:hint="eastAsia" w:ascii="宋体" w:hAnsi="宋体" w:eastAsia="宋体" w:cs="宋体"/>
                <w:b/>
                <w:color w:val="auto"/>
                <w:szCs w:val="21"/>
                <w:highlight w:val="none"/>
              </w:rPr>
              <w:t>、根据《广西壮族自治区财政厅关于贯彻落实政府采购优化营商环境百日攻坚行动方案的通知》（桂财采〔2020〕49号）规定，鼓励采购人在与中小微企业签订政府采购合同时，减少或免于收取履约保证金，有必要收取履约保证金的，收取的履约保证金不得超过政府采购合同金额的5%。</w:t>
            </w:r>
            <w:bookmarkEnd w:id="80"/>
          </w:p>
          <w:p w14:paraId="27282A92">
            <w:pPr>
              <w:spacing w:line="400" w:lineRule="exact"/>
              <w:jc w:val="left"/>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2、履约保证金不足额缴纳的（包含保函额度不足的），或者不按规定提交方式提交的，或者保函有效期低于合同履行期限（即合同中规定的当事人履行自己的义务，如交付标的物、价款或者报酬，履行劳务、完成工作的时间界限）的，不予签订合同。</w:t>
            </w:r>
          </w:p>
          <w:p w14:paraId="6241C03D">
            <w:pPr>
              <w:spacing w:line="400" w:lineRule="exact"/>
              <w:jc w:val="left"/>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3、采用金融、担保机构出具的保函的，必须为无条件保函，否则不予签订合同。</w:t>
            </w:r>
          </w:p>
          <w:p w14:paraId="3EEF0B88">
            <w:pPr>
              <w:spacing w:line="400" w:lineRule="exact"/>
              <w:jc w:val="left"/>
              <w:rPr>
                <w:rFonts w:hint="eastAsia" w:ascii="宋体" w:hAnsi="宋体" w:eastAsia="宋体" w:cs="宋体"/>
                <w:color w:val="auto"/>
                <w:kern w:val="0"/>
                <w:szCs w:val="21"/>
                <w:highlight w:val="none"/>
              </w:rPr>
            </w:pPr>
            <w:r>
              <w:rPr>
                <w:rFonts w:hint="eastAsia" w:ascii="宋体" w:hAnsi="宋体" w:eastAsia="宋体" w:cs="宋体"/>
                <w:b/>
                <w:color w:val="auto"/>
                <w:szCs w:val="21"/>
                <w:highlight w:val="none"/>
              </w:rPr>
              <w:t>4、投标人为联合体的，由联合体其中一方按规定提交的履约保证金，视为有效履约保证金。</w:t>
            </w:r>
          </w:p>
        </w:tc>
      </w:tr>
      <w:tr w14:paraId="2C64E44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895" w:type="dxa"/>
            <w:tcBorders>
              <w:top w:val="single" w:color="auto" w:sz="4" w:space="0"/>
              <w:left w:val="single" w:color="auto" w:sz="4" w:space="0"/>
              <w:bottom w:val="single" w:color="auto" w:sz="4" w:space="0"/>
              <w:right w:val="single" w:color="auto" w:sz="4" w:space="0"/>
            </w:tcBorders>
            <w:noWrap w:val="0"/>
            <w:vAlign w:val="center"/>
          </w:tcPr>
          <w:p w14:paraId="6402E3BE">
            <w:pPr>
              <w:spacing w:line="400" w:lineRule="exact"/>
              <w:jc w:val="center"/>
              <w:rPr>
                <w:rFonts w:hint="eastAsia" w:ascii="宋体" w:hAnsi="宋体" w:eastAsia="宋体" w:cs="宋体"/>
                <w:color w:val="auto"/>
                <w:szCs w:val="21"/>
                <w:highlight w:val="none"/>
              </w:rPr>
            </w:pPr>
            <w:bookmarkStart w:id="81" w:name="_40.1"/>
            <w:bookmarkEnd w:id="81"/>
            <w:r>
              <w:rPr>
                <w:rFonts w:hint="eastAsia" w:ascii="宋体" w:hAnsi="宋体" w:eastAsia="宋体" w:cs="宋体"/>
                <w:color w:val="auto"/>
                <w:szCs w:val="21"/>
                <w:highlight w:val="none"/>
              </w:rPr>
              <w:t>36.1</w:t>
            </w:r>
          </w:p>
        </w:tc>
        <w:tc>
          <w:tcPr>
            <w:tcW w:w="8708" w:type="dxa"/>
            <w:tcBorders>
              <w:top w:val="single" w:color="auto" w:sz="4" w:space="0"/>
              <w:left w:val="single" w:color="auto" w:sz="4" w:space="0"/>
              <w:bottom w:val="single" w:color="auto" w:sz="4" w:space="0"/>
              <w:right w:val="single" w:color="auto" w:sz="4" w:space="0"/>
            </w:tcBorders>
            <w:noWrap w:val="0"/>
            <w:vAlign w:val="center"/>
          </w:tcPr>
          <w:p w14:paraId="1A9E1B9E">
            <w:pPr>
              <w:autoSpaceDE w:val="0"/>
              <w:autoSpaceDN w:val="0"/>
              <w:snapToGrid w:val="0"/>
              <w:spacing w:line="400" w:lineRule="exact"/>
              <w:textAlignment w:val="bottom"/>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rPr>
              <w:t>签订合同携带的证明材料</w:t>
            </w:r>
            <w:r>
              <w:rPr>
                <w:rFonts w:hint="eastAsia" w:ascii="宋体" w:hAnsi="宋体" w:eastAsia="宋体" w:cs="宋体"/>
                <w:color w:val="auto"/>
                <w:szCs w:val="21"/>
                <w:highlight w:val="none"/>
                <w:lang w:eastAsia="zh-CN"/>
              </w:rPr>
              <w:t>：</w:t>
            </w:r>
          </w:p>
          <w:p w14:paraId="3DE4B235">
            <w:pPr>
              <w:autoSpaceDE w:val="0"/>
              <w:autoSpaceDN w:val="0"/>
              <w:snapToGrid w:val="0"/>
              <w:spacing w:line="400" w:lineRule="exact"/>
              <w:textAlignment w:val="bottom"/>
              <w:rPr>
                <w:rFonts w:hint="eastAsia" w:ascii="宋体" w:hAnsi="宋体" w:eastAsia="宋体" w:cs="宋体"/>
                <w:color w:val="auto"/>
                <w:szCs w:val="21"/>
                <w:highlight w:val="none"/>
              </w:rPr>
            </w:pPr>
            <w:r>
              <w:rPr>
                <w:rFonts w:hint="eastAsia" w:ascii="宋体" w:hAnsi="宋体" w:eastAsia="宋体" w:cs="宋体"/>
                <w:color w:val="auto"/>
                <w:szCs w:val="21"/>
                <w:highlight w:val="none"/>
              </w:rPr>
              <w:t>1、委托代理人负责签订合同的，须携带授权委托书及委托代理人身份证原件等其他资格证件。</w:t>
            </w:r>
          </w:p>
          <w:p w14:paraId="221AF6D9">
            <w:pPr>
              <w:autoSpaceDE w:val="0"/>
              <w:autoSpaceDN w:val="0"/>
              <w:snapToGrid w:val="0"/>
              <w:spacing w:line="400" w:lineRule="exact"/>
              <w:textAlignment w:val="bottom"/>
              <w:rPr>
                <w:rFonts w:hint="eastAsia" w:ascii="宋体" w:hAnsi="宋体" w:eastAsia="宋体" w:cs="宋体"/>
                <w:color w:val="auto"/>
                <w:szCs w:val="21"/>
                <w:highlight w:val="none"/>
              </w:rPr>
            </w:pPr>
            <w:r>
              <w:rPr>
                <w:rFonts w:hint="eastAsia" w:ascii="宋体" w:hAnsi="宋体" w:eastAsia="宋体" w:cs="宋体"/>
                <w:color w:val="auto"/>
                <w:szCs w:val="21"/>
                <w:highlight w:val="none"/>
              </w:rPr>
              <w:t>2、法定代表人负责签订合同的，须携带法定代表人身份证明原件及身份证原件等其他证明材料。</w:t>
            </w:r>
          </w:p>
        </w:tc>
      </w:tr>
      <w:tr w14:paraId="1CD145F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895" w:type="dxa"/>
            <w:tcBorders>
              <w:top w:val="single" w:color="auto" w:sz="4" w:space="0"/>
              <w:left w:val="single" w:color="auto" w:sz="4" w:space="0"/>
              <w:bottom w:val="single" w:color="auto" w:sz="4" w:space="0"/>
              <w:right w:val="single" w:color="auto" w:sz="4" w:space="0"/>
            </w:tcBorders>
            <w:noWrap w:val="0"/>
            <w:vAlign w:val="center"/>
          </w:tcPr>
          <w:p w14:paraId="27600092">
            <w:pPr>
              <w:spacing w:line="40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38.2</w:t>
            </w:r>
          </w:p>
        </w:tc>
        <w:tc>
          <w:tcPr>
            <w:tcW w:w="8708" w:type="dxa"/>
            <w:tcBorders>
              <w:top w:val="single" w:color="auto" w:sz="4" w:space="0"/>
              <w:left w:val="single" w:color="auto" w:sz="4" w:space="0"/>
              <w:bottom w:val="single" w:color="auto" w:sz="4" w:space="0"/>
              <w:right w:val="single" w:color="auto" w:sz="4" w:space="0"/>
            </w:tcBorders>
            <w:noWrap w:val="0"/>
            <w:vAlign w:val="center"/>
          </w:tcPr>
          <w:p w14:paraId="6CA957DD">
            <w:pPr>
              <w:snapToGrid w:val="0"/>
              <w:spacing w:line="40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rPr>
              <w:t>接收质疑函方式</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rPr>
              <w:t>以纸质书面形式</w:t>
            </w:r>
          </w:p>
          <w:p w14:paraId="7C124CDB">
            <w:pPr>
              <w:snapToGrid w:val="0"/>
              <w:spacing w:line="40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rPr>
              <w:t>质疑联系部门及联系方式</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rPr>
              <w:t>广西科文招标有限公司，质疑联系人</w:t>
            </w:r>
            <w:r>
              <w:rPr>
                <w:rFonts w:hint="eastAsia" w:ascii="宋体" w:hAnsi="宋体" w:eastAsia="宋体" w:cs="宋体"/>
                <w:color w:val="auto"/>
                <w:szCs w:val="21"/>
                <w:highlight w:val="none"/>
                <w:lang w:eastAsia="zh-CN"/>
              </w:rPr>
              <w:t>：王工、李工</w:t>
            </w:r>
            <w:r>
              <w:rPr>
                <w:rFonts w:hint="eastAsia" w:ascii="宋体" w:hAnsi="宋体" w:eastAsia="宋体" w:cs="宋体"/>
                <w:color w:val="auto"/>
                <w:szCs w:val="21"/>
                <w:highlight w:val="none"/>
              </w:rPr>
              <w:t>，联系电话</w:t>
            </w:r>
            <w:r>
              <w:rPr>
                <w:rFonts w:hint="eastAsia" w:ascii="宋体" w:hAnsi="宋体" w:eastAsia="宋体" w:cs="宋体"/>
                <w:color w:val="auto"/>
                <w:szCs w:val="21"/>
                <w:highlight w:val="none"/>
                <w:lang w:eastAsia="zh-CN"/>
              </w:rPr>
              <w:t>：0771-2026103、19017113082</w:t>
            </w:r>
            <w:r>
              <w:rPr>
                <w:rFonts w:hint="eastAsia" w:ascii="宋体" w:hAnsi="宋体" w:eastAsia="宋体" w:cs="宋体"/>
                <w:color w:val="auto"/>
                <w:szCs w:val="21"/>
                <w:highlight w:val="none"/>
              </w:rPr>
              <w:t>，通讯地址</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rPr>
              <w:t>广西南宁市民族大道141号中鼎万象东方D区五层</w:t>
            </w:r>
          </w:p>
          <w:p w14:paraId="52F1789F">
            <w:pPr>
              <w:autoSpaceDE w:val="0"/>
              <w:autoSpaceDN w:val="0"/>
              <w:snapToGrid w:val="0"/>
              <w:spacing w:line="400" w:lineRule="exact"/>
              <w:textAlignment w:val="bottom"/>
              <w:rPr>
                <w:rFonts w:hint="eastAsia" w:ascii="宋体" w:hAnsi="宋体" w:eastAsia="宋体" w:cs="宋体"/>
                <w:color w:val="auto"/>
                <w:szCs w:val="21"/>
                <w:highlight w:val="none"/>
              </w:rPr>
            </w:pPr>
            <w:r>
              <w:rPr>
                <w:rFonts w:hint="eastAsia" w:ascii="宋体" w:hAnsi="宋体" w:eastAsia="宋体" w:cs="宋体"/>
                <w:color w:val="auto"/>
                <w:highlight w:val="none"/>
              </w:rPr>
              <w:t>现场提交质疑办理业务时间</w:t>
            </w:r>
            <w:r>
              <w:rPr>
                <w:rFonts w:hint="eastAsia" w:ascii="宋体" w:hAnsi="宋体" w:eastAsia="宋体" w:cs="宋体"/>
                <w:color w:val="auto"/>
                <w:highlight w:val="none"/>
                <w:lang w:eastAsia="zh-CN"/>
              </w:rPr>
              <w:t>：</w:t>
            </w:r>
            <w:r>
              <w:rPr>
                <w:rFonts w:hint="eastAsia" w:ascii="宋体" w:hAnsi="宋体" w:eastAsia="宋体" w:cs="宋体"/>
                <w:color w:val="auto"/>
                <w:highlight w:val="none"/>
              </w:rPr>
              <w:t>工作日，</w:t>
            </w:r>
            <w:r>
              <w:rPr>
                <w:rFonts w:hint="eastAsia" w:ascii="宋体" w:hAnsi="宋体" w:eastAsia="宋体" w:cs="宋体"/>
                <w:color w:val="auto"/>
                <w:szCs w:val="21"/>
                <w:highlight w:val="none"/>
              </w:rPr>
              <w:t>上午8:00-12:00；下午1</w:t>
            </w:r>
            <w:r>
              <w:rPr>
                <w:rFonts w:hint="eastAsia" w:ascii="宋体" w:hAnsi="宋体" w:eastAsia="宋体" w:cs="宋体"/>
                <w:color w:val="auto"/>
                <w:highlight w:val="none"/>
              </w:rPr>
              <w:t>5</w:t>
            </w:r>
            <w:r>
              <w:rPr>
                <w:rFonts w:hint="eastAsia" w:ascii="宋体" w:hAnsi="宋体" w:eastAsia="宋体" w:cs="宋体"/>
                <w:color w:val="auto"/>
                <w:szCs w:val="21"/>
                <w:highlight w:val="none"/>
              </w:rPr>
              <w:t>:</w:t>
            </w:r>
            <w:r>
              <w:rPr>
                <w:rFonts w:hint="eastAsia" w:ascii="宋体" w:hAnsi="宋体" w:eastAsia="宋体" w:cs="宋体"/>
                <w:color w:val="auto"/>
                <w:highlight w:val="none"/>
              </w:rPr>
              <w:t>00</w:t>
            </w:r>
            <w:r>
              <w:rPr>
                <w:rFonts w:hint="eastAsia" w:ascii="宋体" w:hAnsi="宋体" w:eastAsia="宋体" w:cs="宋体"/>
                <w:color w:val="auto"/>
                <w:szCs w:val="21"/>
                <w:highlight w:val="none"/>
              </w:rPr>
              <w:t>-1</w:t>
            </w:r>
            <w:r>
              <w:rPr>
                <w:rFonts w:hint="eastAsia" w:ascii="宋体" w:hAnsi="宋体" w:eastAsia="宋体" w:cs="宋体"/>
                <w:color w:val="auto"/>
                <w:highlight w:val="none"/>
              </w:rPr>
              <w:t>8</w:t>
            </w:r>
            <w:r>
              <w:rPr>
                <w:rFonts w:hint="eastAsia" w:ascii="宋体" w:hAnsi="宋体" w:eastAsia="宋体" w:cs="宋体"/>
                <w:color w:val="auto"/>
                <w:szCs w:val="21"/>
                <w:highlight w:val="none"/>
              </w:rPr>
              <w:t>:</w:t>
            </w:r>
            <w:r>
              <w:rPr>
                <w:rFonts w:hint="eastAsia" w:ascii="宋体" w:hAnsi="宋体" w:eastAsia="宋体" w:cs="宋体"/>
                <w:color w:val="auto"/>
                <w:highlight w:val="none"/>
              </w:rPr>
              <w:t>0</w:t>
            </w:r>
            <w:r>
              <w:rPr>
                <w:rFonts w:hint="eastAsia" w:ascii="宋体" w:hAnsi="宋体" w:eastAsia="宋体" w:cs="宋体"/>
                <w:color w:val="auto"/>
                <w:szCs w:val="21"/>
                <w:highlight w:val="none"/>
              </w:rPr>
              <w:t>0（北京时间）</w:t>
            </w:r>
          </w:p>
        </w:tc>
      </w:tr>
      <w:tr w14:paraId="6E2898D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895" w:type="dxa"/>
            <w:tcBorders>
              <w:top w:val="single" w:color="auto" w:sz="4" w:space="0"/>
              <w:left w:val="single" w:color="auto" w:sz="4" w:space="0"/>
              <w:bottom w:val="single" w:color="auto" w:sz="4" w:space="0"/>
              <w:right w:val="single" w:color="auto" w:sz="4" w:space="0"/>
            </w:tcBorders>
            <w:noWrap w:val="0"/>
            <w:vAlign w:val="center"/>
          </w:tcPr>
          <w:p w14:paraId="61771F90">
            <w:pPr>
              <w:spacing w:line="400" w:lineRule="exact"/>
              <w:jc w:val="center"/>
              <w:rPr>
                <w:rFonts w:hint="eastAsia" w:ascii="宋体" w:hAnsi="宋体" w:eastAsia="宋体" w:cs="宋体"/>
                <w:color w:val="auto"/>
                <w:szCs w:val="21"/>
                <w:highlight w:val="none"/>
              </w:rPr>
            </w:pPr>
            <w:bookmarkStart w:id="82" w:name="_41"/>
            <w:bookmarkEnd w:id="82"/>
            <w:bookmarkStart w:id="83" w:name="_42"/>
            <w:bookmarkEnd w:id="83"/>
            <w:bookmarkStart w:id="84" w:name="_Hlt17709148"/>
            <w:r>
              <w:rPr>
                <w:rFonts w:hint="eastAsia" w:ascii="宋体" w:hAnsi="宋体" w:eastAsia="宋体" w:cs="宋体"/>
                <w:color w:val="auto"/>
                <w:szCs w:val="21"/>
                <w:highlight w:val="none"/>
              </w:rPr>
              <w:t>3</w:t>
            </w:r>
            <w:bookmarkEnd w:id="84"/>
            <w:r>
              <w:rPr>
                <w:rFonts w:hint="eastAsia" w:ascii="宋体" w:hAnsi="宋体" w:eastAsia="宋体" w:cs="宋体"/>
                <w:color w:val="auto"/>
                <w:szCs w:val="21"/>
                <w:highlight w:val="none"/>
              </w:rPr>
              <w:t>9.1</w:t>
            </w:r>
          </w:p>
        </w:tc>
        <w:tc>
          <w:tcPr>
            <w:tcW w:w="8708" w:type="dxa"/>
            <w:tcBorders>
              <w:top w:val="single" w:color="auto" w:sz="4" w:space="0"/>
              <w:left w:val="single" w:color="auto" w:sz="4" w:space="0"/>
              <w:bottom w:val="single" w:color="auto" w:sz="4" w:space="0"/>
              <w:right w:val="single" w:color="auto" w:sz="4" w:space="0"/>
            </w:tcBorders>
            <w:noWrap w:val="0"/>
            <w:vAlign w:val="center"/>
          </w:tcPr>
          <w:p w14:paraId="77FD8482">
            <w:pPr>
              <w:pStyle w:val="24"/>
              <w:snapToGrid w:val="0"/>
              <w:spacing w:line="400" w:lineRule="exact"/>
              <w:rPr>
                <w:rFonts w:hint="eastAsia" w:ascii="宋体" w:hAnsi="宋体" w:eastAsia="宋体" w:cs="宋体"/>
                <w:color w:val="auto"/>
                <w:sz w:val="21"/>
                <w:highlight w:val="none"/>
                <w:lang w:val="en-US" w:eastAsia="zh-CN"/>
              </w:rPr>
            </w:pPr>
            <w:r>
              <w:rPr>
                <w:rFonts w:hint="eastAsia" w:ascii="宋体" w:hAnsi="宋体" w:eastAsia="宋体" w:cs="宋体"/>
                <w:color w:val="auto"/>
                <w:sz w:val="21"/>
                <w:highlight w:val="none"/>
                <w:lang w:val="en-US" w:eastAsia="zh-CN"/>
              </w:rPr>
              <w:t>1、采购代理服务费支付方式：本项目的招标代理服务费按以下收费标准向中标人收取，领取中标通知书前，中标人应向采购代理机构一次付清招标代理服务费，否则采购代理机构有权不予以办理。</w:t>
            </w:r>
          </w:p>
          <w:p w14:paraId="4283E42C">
            <w:pPr>
              <w:pStyle w:val="24"/>
              <w:snapToGrid w:val="0"/>
              <w:spacing w:line="400" w:lineRule="exact"/>
              <w:rPr>
                <w:rFonts w:hint="eastAsia" w:ascii="宋体" w:hAnsi="宋体" w:eastAsia="宋体" w:cs="宋体"/>
                <w:color w:val="auto"/>
                <w:sz w:val="21"/>
                <w:highlight w:val="none"/>
                <w:lang w:val="en-US" w:eastAsia="zh-CN"/>
              </w:rPr>
            </w:pPr>
            <w:r>
              <w:rPr>
                <w:rFonts w:hint="eastAsia" w:ascii="宋体" w:hAnsi="宋体" w:eastAsia="宋体" w:cs="宋体"/>
                <w:color w:val="auto"/>
                <w:sz w:val="21"/>
                <w:highlight w:val="none"/>
                <w:lang w:val="en-US" w:eastAsia="zh-CN"/>
              </w:rPr>
              <w:t>2、采购代理服务费收取标准：</w:t>
            </w:r>
          </w:p>
          <w:p w14:paraId="1B1C063F">
            <w:pPr>
              <w:pStyle w:val="24"/>
              <w:snapToGrid w:val="0"/>
              <w:spacing w:line="400" w:lineRule="exact"/>
              <w:rPr>
                <w:rFonts w:hint="eastAsia" w:ascii="宋体" w:hAnsi="宋体" w:eastAsia="宋体" w:cs="宋体"/>
                <w:color w:val="auto"/>
                <w:sz w:val="21"/>
                <w:highlight w:val="none"/>
                <w:u w:val="single"/>
                <w:lang w:val="en-US" w:eastAsia="zh-CN"/>
              </w:rPr>
            </w:pPr>
            <w:r>
              <w:rPr>
                <w:rFonts w:hint="eastAsia" w:ascii="宋体" w:hAnsi="宋体" w:eastAsia="宋体" w:cs="宋体"/>
                <w:color w:val="auto"/>
                <w:sz w:val="21"/>
                <w:highlight w:val="none"/>
                <w:lang w:val="en-US" w:eastAsia="zh-CN"/>
              </w:rPr>
              <w:fldChar w:fldCharType="begin"/>
            </w:r>
            <w:r>
              <w:rPr>
                <w:rFonts w:hint="eastAsia" w:ascii="宋体" w:hAnsi="宋体" w:eastAsia="宋体" w:cs="宋体"/>
                <w:color w:val="auto"/>
                <w:sz w:val="21"/>
                <w:highlight w:val="none"/>
                <w:lang w:val="en-US" w:eastAsia="zh-CN"/>
              </w:rPr>
              <w:instrText xml:space="preserve"> eq \o\ac(□,</w:instrText>
            </w:r>
            <w:r>
              <w:rPr>
                <w:rFonts w:hint="eastAsia" w:ascii="宋体" w:hAnsi="宋体" w:eastAsia="宋体" w:cs="宋体"/>
                <w:color w:val="auto"/>
                <w:position w:val="2"/>
                <w:sz w:val="21"/>
                <w:highlight w:val="none"/>
                <w:lang w:val="en-US" w:eastAsia="zh-CN"/>
              </w:rPr>
              <w:instrText xml:space="preserve">√</w:instrText>
            </w:r>
            <w:r>
              <w:rPr>
                <w:rFonts w:hint="eastAsia" w:ascii="宋体" w:hAnsi="宋体" w:eastAsia="宋体" w:cs="宋体"/>
                <w:color w:val="auto"/>
                <w:sz w:val="21"/>
                <w:highlight w:val="none"/>
                <w:lang w:val="en-US" w:eastAsia="zh-CN"/>
              </w:rPr>
              <w:instrText xml:space="preserve">)</w:instrText>
            </w:r>
            <w:r>
              <w:rPr>
                <w:rFonts w:hint="eastAsia" w:ascii="宋体" w:hAnsi="宋体" w:eastAsia="宋体" w:cs="宋体"/>
                <w:color w:val="auto"/>
                <w:sz w:val="21"/>
                <w:highlight w:val="none"/>
                <w:lang w:val="en-US" w:eastAsia="zh-CN"/>
              </w:rPr>
              <w:fldChar w:fldCharType="end"/>
            </w:r>
            <w:r>
              <w:rPr>
                <w:rFonts w:hint="eastAsia" w:ascii="宋体" w:hAnsi="宋体" w:eastAsia="宋体" w:cs="宋体"/>
                <w:color w:val="auto"/>
                <w:sz w:val="21"/>
                <w:highlight w:val="none"/>
                <w:lang w:val="en-US" w:eastAsia="zh-CN"/>
              </w:rPr>
              <w:t>以项目（</w:t>
            </w:r>
            <w:r>
              <w:rPr>
                <w:rFonts w:hint="eastAsia" w:hAnsi="宋体" w:cs="宋体"/>
                <w:color w:val="auto"/>
                <w:sz w:val="21"/>
                <w:highlight w:val="none"/>
                <w:lang w:val="en-US" w:eastAsia="zh-CN"/>
              </w:rPr>
              <w:t>中标价</w:t>
            </w:r>
            <w:r>
              <w:rPr>
                <w:rFonts w:hint="eastAsia" w:ascii="宋体" w:hAnsi="宋体" w:eastAsia="宋体" w:cs="宋体"/>
                <w:color w:val="auto"/>
                <w:sz w:val="21"/>
                <w:highlight w:val="none"/>
                <w:lang w:val="en-US" w:eastAsia="zh-CN"/>
              </w:rPr>
              <w:t>）为计费额，按本须知正文第39.2条规定的收费计算标准（</w:t>
            </w:r>
            <w:r>
              <w:rPr>
                <w:rFonts w:hint="eastAsia" w:ascii="宋体" w:hAnsi="宋体" w:eastAsia="宋体" w:cs="宋体"/>
                <w:color w:val="auto"/>
                <w:sz w:val="21"/>
                <w:highlight w:val="none"/>
                <w:lang w:val="en-US" w:eastAsia="zh-CN"/>
              </w:rPr>
              <w:fldChar w:fldCharType="begin"/>
            </w:r>
            <w:r>
              <w:rPr>
                <w:rFonts w:hint="eastAsia" w:ascii="宋体" w:hAnsi="宋体" w:eastAsia="宋体" w:cs="宋体"/>
                <w:color w:val="auto"/>
                <w:sz w:val="21"/>
                <w:highlight w:val="none"/>
                <w:lang w:val="en-US" w:eastAsia="zh-CN"/>
              </w:rPr>
              <w:instrText xml:space="preserve"> eq \o\ac(□,</w:instrText>
            </w:r>
            <w:r>
              <w:rPr>
                <w:rFonts w:hint="eastAsia" w:ascii="宋体" w:hAnsi="宋体" w:eastAsia="宋体" w:cs="宋体"/>
                <w:color w:val="auto"/>
                <w:position w:val="2"/>
                <w:sz w:val="21"/>
                <w:highlight w:val="none"/>
                <w:lang w:val="en-US" w:eastAsia="zh-CN"/>
              </w:rPr>
              <w:instrText xml:space="preserve">√</w:instrText>
            </w:r>
            <w:r>
              <w:rPr>
                <w:rFonts w:hint="eastAsia" w:ascii="宋体" w:hAnsi="宋体" w:eastAsia="宋体" w:cs="宋体"/>
                <w:color w:val="auto"/>
                <w:sz w:val="21"/>
                <w:highlight w:val="none"/>
                <w:lang w:val="en-US" w:eastAsia="zh-CN"/>
              </w:rPr>
              <w:instrText xml:space="preserve">)</w:instrText>
            </w:r>
            <w:r>
              <w:rPr>
                <w:rFonts w:hint="eastAsia" w:ascii="宋体" w:hAnsi="宋体" w:eastAsia="宋体" w:cs="宋体"/>
                <w:color w:val="auto"/>
                <w:sz w:val="21"/>
                <w:highlight w:val="none"/>
                <w:lang w:val="en-US" w:eastAsia="zh-CN"/>
              </w:rPr>
              <w:fldChar w:fldCharType="end"/>
            </w:r>
            <w:r>
              <w:rPr>
                <w:rFonts w:hint="eastAsia" w:ascii="宋体" w:hAnsi="宋体" w:eastAsia="宋体" w:cs="宋体"/>
                <w:color w:val="auto"/>
                <w:sz w:val="21"/>
                <w:highlight w:val="none"/>
                <w:lang w:val="en-US" w:eastAsia="zh-CN"/>
              </w:rPr>
              <w:t>服务招标）采用差额定率累进法计算出收费基准价格，采购代理服务费收费以（</w:t>
            </w:r>
            <w:r>
              <w:rPr>
                <w:rFonts w:hint="eastAsia" w:ascii="宋体" w:hAnsi="宋体" w:eastAsia="宋体" w:cs="宋体"/>
                <w:color w:val="auto"/>
                <w:sz w:val="21"/>
                <w:highlight w:val="none"/>
                <w:lang w:val="en-US" w:eastAsia="zh-CN"/>
              </w:rPr>
              <w:fldChar w:fldCharType="begin"/>
            </w:r>
            <w:r>
              <w:rPr>
                <w:rFonts w:hint="eastAsia" w:ascii="宋体" w:hAnsi="宋体" w:eastAsia="宋体" w:cs="宋体"/>
                <w:color w:val="auto"/>
                <w:sz w:val="21"/>
                <w:highlight w:val="none"/>
                <w:lang w:val="en-US" w:eastAsia="zh-CN"/>
              </w:rPr>
              <w:instrText xml:space="preserve"> eq \o\ac(□,</w:instrText>
            </w:r>
            <w:r>
              <w:rPr>
                <w:rFonts w:hint="eastAsia" w:ascii="宋体" w:hAnsi="宋体" w:eastAsia="宋体" w:cs="宋体"/>
                <w:color w:val="auto"/>
                <w:position w:val="2"/>
                <w:sz w:val="21"/>
                <w:highlight w:val="none"/>
                <w:lang w:val="en-US" w:eastAsia="zh-CN"/>
              </w:rPr>
              <w:instrText xml:space="preserve">√</w:instrText>
            </w:r>
            <w:r>
              <w:rPr>
                <w:rFonts w:hint="eastAsia" w:ascii="宋体" w:hAnsi="宋体" w:eastAsia="宋体" w:cs="宋体"/>
                <w:color w:val="auto"/>
                <w:sz w:val="21"/>
                <w:highlight w:val="none"/>
                <w:lang w:val="en-US" w:eastAsia="zh-CN"/>
              </w:rPr>
              <w:instrText xml:space="preserve">)</w:instrText>
            </w:r>
            <w:r>
              <w:rPr>
                <w:rFonts w:hint="eastAsia" w:ascii="宋体" w:hAnsi="宋体" w:eastAsia="宋体" w:cs="宋体"/>
                <w:color w:val="auto"/>
                <w:sz w:val="21"/>
                <w:highlight w:val="none"/>
                <w:lang w:val="en-US" w:eastAsia="zh-CN"/>
              </w:rPr>
              <w:fldChar w:fldCharType="end"/>
            </w:r>
            <w:r>
              <w:rPr>
                <w:rFonts w:hint="eastAsia" w:ascii="宋体" w:hAnsi="宋体" w:eastAsia="宋体" w:cs="宋体"/>
                <w:color w:val="auto"/>
                <w:sz w:val="21"/>
                <w:highlight w:val="none"/>
                <w:lang w:val="en-US" w:eastAsia="zh-CN"/>
              </w:rPr>
              <w:t>收费基准价格</w:t>
            </w:r>
            <w:r>
              <w:rPr>
                <w:rFonts w:hint="eastAsia" w:hAnsi="宋体" w:eastAsia="宋体" w:cs="宋体"/>
                <w:color w:val="auto"/>
                <w:sz w:val="21"/>
                <w:highlight w:val="none"/>
                <w:lang w:val="en-US" w:eastAsia="zh-CN"/>
              </w:rPr>
              <w:t>下浮25%</w:t>
            </w:r>
            <w:r>
              <w:rPr>
                <w:rFonts w:hint="eastAsia" w:ascii="宋体" w:hAnsi="宋体" w:eastAsia="宋体" w:cs="宋体"/>
                <w:color w:val="auto"/>
                <w:sz w:val="21"/>
                <w:highlight w:val="none"/>
                <w:lang w:val="en-US" w:eastAsia="zh-CN"/>
              </w:rPr>
              <w:t>）收取。</w:t>
            </w:r>
            <w:bookmarkStart w:id="163" w:name="_GoBack"/>
            <w:bookmarkEnd w:id="163"/>
          </w:p>
          <w:p w14:paraId="21078C2D">
            <w:pPr>
              <w:pStyle w:val="24"/>
              <w:snapToGrid w:val="0"/>
              <w:spacing w:line="400" w:lineRule="exact"/>
              <w:rPr>
                <w:rFonts w:hint="eastAsia" w:ascii="宋体" w:hAnsi="宋体" w:eastAsia="宋体" w:cs="宋体"/>
                <w:color w:val="auto"/>
                <w:sz w:val="21"/>
                <w:highlight w:val="none"/>
                <w:lang w:val="en-US" w:eastAsia="zh-CN"/>
              </w:rPr>
            </w:pPr>
            <w:r>
              <w:rPr>
                <w:rFonts w:hint="eastAsia" w:ascii="宋体" w:hAnsi="宋体" w:eastAsia="宋体" w:cs="宋体"/>
                <w:color w:val="auto"/>
                <w:sz w:val="21"/>
                <w:highlight w:val="none"/>
                <w:lang w:val="en-US" w:eastAsia="zh-CN"/>
              </w:rPr>
              <w:t>3、账户名称：</w:t>
            </w:r>
            <w:r>
              <w:rPr>
                <w:rFonts w:hint="eastAsia" w:hAnsi="宋体" w:eastAsia="宋体" w:cs="宋体"/>
                <w:color w:val="auto"/>
                <w:sz w:val="21"/>
                <w:highlight w:val="none"/>
                <w:lang w:val="en-US" w:eastAsia="zh-CN"/>
              </w:rPr>
              <w:t>广西科文招标有限公司南宁四分公司</w:t>
            </w:r>
          </w:p>
          <w:p w14:paraId="7B2D4453">
            <w:pPr>
              <w:pStyle w:val="24"/>
              <w:snapToGrid w:val="0"/>
              <w:spacing w:line="400" w:lineRule="exact"/>
              <w:rPr>
                <w:rFonts w:hint="eastAsia" w:ascii="宋体" w:hAnsi="宋体" w:eastAsia="宋体" w:cs="宋体"/>
                <w:color w:val="auto"/>
                <w:sz w:val="21"/>
                <w:highlight w:val="none"/>
                <w:lang w:val="en-US" w:eastAsia="zh-CN"/>
              </w:rPr>
            </w:pPr>
            <w:r>
              <w:rPr>
                <w:rFonts w:hint="eastAsia" w:ascii="宋体" w:hAnsi="宋体" w:eastAsia="宋体" w:cs="宋体"/>
                <w:color w:val="auto"/>
                <w:sz w:val="21"/>
                <w:highlight w:val="none"/>
                <w:lang w:val="en-US" w:eastAsia="zh-CN"/>
              </w:rPr>
              <w:t>开户银行：广西北部湾银行股份有限公司南宁市云景支行</w:t>
            </w:r>
          </w:p>
          <w:p w14:paraId="48203065">
            <w:pPr>
              <w:pStyle w:val="24"/>
              <w:snapToGrid w:val="0"/>
              <w:spacing w:line="400" w:lineRule="exact"/>
              <w:rPr>
                <w:rFonts w:hint="eastAsia" w:ascii="宋体" w:hAnsi="宋体" w:eastAsia="宋体" w:cs="宋体"/>
                <w:color w:val="auto"/>
                <w:sz w:val="21"/>
                <w:highlight w:val="none"/>
                <w:lang w:val="en-US" w:eastAsia="zh-CN"/>
              </w:rPr>
            </w:pPr>
            <w:r>
              <w:rPr>
                <w:rFonts w:hint="eastAsia" w:ascii="宋体" w:hAnsi="宋体" w:eastAsia="宋体" w:cs="宋体"/>
                <w:color w:val="auto"/>
                <w:sz w:val="21"/>
                <w:highlight w:val="none"/>
                <w:lang w:val="en-US" w:eastAsia="zh-CN"/>
              </w:rPr>
              <w:t>银行账号：805029834500001</w:t>
            </w:r>
          </w:p>
        </w:tc>
      </w:tr>
      <w:tr w14:paraId="53F4D8F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895" w:type="dxa"/>
            <w:tcBorders>
              <w:top w:val="single" w:color="auto" w:sz="4" w:space="0"/>
              <w:left w:val="single" w:color="auto" w:sz="4" w:space="0"/>
              <w:bottom w:val="single" w:color="auto" w:sz="4" w:space="0"/>
              <w:right w:val="single" w:color="auto" w:sz="4" w:space="0"/>
            </w:tcBorders>
            <w:noWrap w:val="0"/>
            <w:vAlign w:val="center"/>
          </w:tcPr>
          <w:p w14:paraId="1ED80F1A">
            <w:pPr>
              <w:snapToGrid w:val="0"/>
              <w:spacing w:line="40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40.1</w:t>
            </w:r>
          </w:p>
        </w:tc>
        <w:tc>
          <w:tcPr>
            <w:tcW w:w="8708" w:type="dxa"/>
            <w:tcBorders>
              <w:top w:val="single" w:color="auto" w:sz="4" w:space="0"/>
              <w:left w:val="single" w:color="auto" w:sz="4" w:space="0"/>
              <w:bottom w:val="single" w:color="auto" w:sz="4" w:space="0"/>
              <w:right w:val="single" w:color="auto" w:sz="4" w:space="0"/>
            </w:tcBorders>
            <w:noWrap w:val="0"/>
            <w:vAlign w:val="center"/>
          </w:tcPr>
          <w:p w14:paraId="7F5DA87B">
            <w:pPr>
              <w:snapToGrid w:val="0"/>
              <w:spacing w:line="40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rPr>
              <w:t>解释</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rPr>
              <w:t>构成本招标文件的各个组成文件应互为解释，互为说明；除招标文件中有特别规定外，仅适用于招标投标阶段的规定，按更正公告（澄清公告）、招标公告、采购需求、投标人须知、评标方法及评标标准、拟签订的合同文本、投标文件格式的先后顺序解释；同一组成文件中就同一事项的规定或者约定不一致的，以编排顺序在后者为准；同一组成文件不同版本之间有不一致的，以形成时间在后者为准；更正公告（澄清公告）与同步更新的招标文件不一致时以更正公告（澄清公告）为准。按本款前述规定仍不能形成结论的，由采购人或者采购代理机构负责解释。</w:t>
            </w:r>
          </w:p>
        </w:tc>
      </w:tr>
      <w:tr w14:paraId="6479D2D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895" w:type="dxa"/>
            <w:tcBorders>
              <w:top w:val="single" w:color="auto" w:sz="4" w:space="0"/>
              <w:left w:val="single" w:color="auto" w:sz="4" w:space="0"/>
              <w:bottom w:val="single" w:color="auto" w:sz="4" w:space="0"/>
              <w:right w:val="single" w:color="auto" w:sz="4" w:space="0"/>
            </w:tcBorders>
            <w:noWrap w:val="0"/>
            <w:vAlign w:val="center"/>
          </w:tcPr>
          <w:p w14:paraId="4BD5BE4C">
            <w:pPr>
              <w:snapToGrid w:val="0"/>
              <w:spacing w:line="40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40.2</w:t>
            </w:r>
          </w:p>
        </w:tc>
        <w:tc>
          <w:tcPr>
            <w:tcW w:w="8708" w:type="dxa"/>
            <w:tcBorders>
              <w:top w:val="single" w:color="auto" w:sz="4" w:space="0"/>
              <w:left w:val="single" w:color="auto" w:sz="4" w:space="0"/>
              <w:bottom w:val="single" w:color="auto" w:sz="4" w:space="0"/>
              <w:right w:val="single" w:color="auto" w:sz="4" w:space="0"/>
            </w:tcBorders>
            <w:noWrap w:val="0"/>
            <w:vAlign w:val="center"/>
          </w:tcPr>
          <w:p w14:paraId="6C03067E">
            <w:pPr>
              <w:pStyle w:val="24"/>
              <w:snapToGrid w:val="0"/>
              <w:spacing w:line="400" w:lineRule="exact"/>
              <w:rPr>
                <w:rFonts w:hint="eastAsia" w:ascii="宋体" w:hAnsi="宋体" w:eastAsia="宋体" w:cs="宋体"/>
                <w:bCs/>
                <w:color w:val="auto"/>
                <w:sz w:val="21"/>
                <w:highlight w:val="none"/>
                <w:lang w:val="en-US" w:eastAsia="zh-CN"/>
              </w:rPr>
            </w:pPr>
            <w:r>
              <w:rPr>
                <w:rFonts w:hint="eastAsia" w:ascii="宋体" w:hAnsi="宋体" w:eastAsia="宋体" w:cs="宋体"/>
                <w:bCs/>
                <w:color w:val="auto"/>
                <w:sz w:val="21"/>
                <w:highlight w:val="none"/>
                <w:lang w:val="en-US" w:eastAsia="zh-CN"/>
              </w:rPr>
              <w:t>1、本招标文件中描述投标人的“公章”是指根据我国对公章的管理规定，用投标人法定主体行为名称制作的印章</w:t>
            </w:r>
            <w:r>
              <w:rPr>
                <w:rFonts w:hint="eastAsia" w:ascii="宋体" w:hAnsi="宋体" w:eastAsia="宋体" w:cs="宋体"/>
                <w:color w:val="auto"/>
                <w:sz w:val="21"/>
                <w:highlight w:val="none"/>
                <w:lang w:val="en-US" w:eastAsia="zh-CN"/>
              </w:rPr>
              <w:t>（含电子印章）</w:t>
            </w:r>
            <w:r>
              <w:rPr>
                <w:rFonts w:hint="eastAsia" w:ascii="宋体" w:hAnsi="宋体" w:eastAsia="宋体" w:cs="宋体"/>
                <w:bCs/>
                <w:color w:val="auto"/>
                <w:sz w:val="21"/>
                <w:highlight w:val="none"/>
                <w:lang w:val="en-US" w:eastAsia="zh-CN"/>
              </w:rPr>
              <w:t>，除本招标文件有特殊规定外，投标人的财务章、部门章、分公司章、工会章、合同章、投标专用章、业务专用章及银行的转账章、现金收讫章、现金付讫章等其他形式印章均不能代替公章。</w:t>
            </w:r>
          </w:p>
          <w:p w14:paraId="61CF64D9">
            <w:pPr>
              <w:pStyle w:val="24"/>
              <w:snapToGrid w:val="0"/>
              <w:spacing w:line="400" w:lineRule="exact"/>
              <w:rPr>
                <w:rFonts w:hint="eastAsia" w:ascii="宋体" w:hAnsi="宋体" w:eastAsia="宋体" w:cs="宋体"/>
                <w:bCs/>
                <w:color w:val="auto"/>
                <w:sz w:val="21"/>
                <w:highlight w:val="none"/>
                <w:lang w:val="en-US" w:eastAsia="zh-CN"/>
              </w:rPr>
            </w:pPr>
            <w:r>
              <w:rPr>
                <w:rFonts w:hint="eastAsia" w:ascii="宋体" w:hAnsi="宋体" w:eastAsia="宋体" w:cs="宋体"/>
                <w:bCs/>
                <w:color w:val="auto"/>
                <w:sz w:val="21"/>
                <w:highlight w:val="none"/>
                <w:lang w:val="en-US" w:eastAsia="zh-CN"/>
              </w:rPr>
              <w:t>2、投标人为其他组织或者自然人时，本招标文件规定的法定代表人指负责人或者自然人。本招标文件所称负责人是指参加投标的其他组织营业执照或者执业许可证等证照上的负责人，本招标文件所称自然人指参与投标的自然人本人，且应具备独立承担民事责任能力，自然人应当为年满18岁以上成年人（十六周岁以上的未成年人，以自己的劳动收入为主要生活来源的，视为完全民事行为能力人）。</w:t>
            </w:r>
          </w:p>
          <w:p w14:paraId="78B3787F">
            <w:pPr>
              <w:pStyle w:val="24"/>
              <w:snapToGrid w:val="0"/>
              <w:spacing w:line="400" w:lineRule="exact"/>
              <w:rPr>
                <w:rFonts w:hint="eastAsia" w:ascii="宋体" w:hAnsi="宋体" w:eastAsia="宋体" w:cs="宋体"/>
                <w:bCs/>
                <w:color w:val="auto"/>
                <w:sz w:val="21"/>
                <w:highlight w:val="none"/>
                <w:lang w:val="en-US" w:eastAsia="zh-CN"/>
              </w:rPr>
            </w:pPr>
            <w:r>
              <w:rPr>
                <w:rFonts w:hint="eastAsia" w:ascii="宋体" w:hAnsi="宋体" w:eastAsia="宋体" w:cs="宋体"/>
                <w:bCs/>
                <w:color w:val="auto"/>
                <w:sz w:val="21"/>
                <w:highlight w:val="none"/>
                <w:lang w:val="en-US" w:eastAsia="zh-CN"/>
              </w:rPr>
              <w:t>3、本招标文件中描述投标人的“签字”是指投标人的法定代表人或者委托代理人</w:t>
            </w:r>
            <w:r>
              <w:rPr>
                <w:rFonts w:hint="eastAsia" w:ascii="宋体" w:hAnsi="宋体" w:eastAsia="宋体" w:cs="宋体"/>
                <w:color w:val="auto"/>
                <w:sz w:val="21"/>
                <w:highlight w:val="none"/>
                <w:lang w:val="en-US" w:eastAsia="zh-CN"/>
              </w:rPr>
              <w:t>在文件规定签署处签名（含电子签名）的行为，私章、印鉴等其他形式均不能代替签字</w:t>
            </w:r>
            <w:r>
              <w:rPr>
                <w:rFonts w:hint="eastAsia" w:ascii="宋体" w:hAnsi="宋体" w:eastAsia="宋体" w:cs="宋体"/>
                <w:bCs/>
                <w:color w:val="auto"/>
                <w:sz w:val="21"/>
                <w:highlight w:val="none"/>
                <w:lang w:val="en-US" w:eastAsia="zh-CN"/>
              </w:rPr>
              <w:t>。</w:t>
            </w:r>
          </w:p>
          <w:p w14:paraId="34EF3334">
            <w:pPr>
              <w:pStyle w:val="24"/>
              <w:snapToGrid w:val="0"/>
              <w:spacing w:line="400" w:lineRule="exact"/>
              <w:rPr>
                <w:rFonts w:hint="eastAsia" w:ascii="宋体" w:hAnsi="宋体" w:eastAsia="宋体" w:cs="宋体"/>
                <w:bCs/>
                <w:color w:val="auto"/>
                <w:sz w:val="21"/>
                <w:highlight w:val="none"/>
                <w:lang w:val="en-US" w:eastAsia="zh-CN"/>
              </w:rPr>
            </w:pPr>
            <w:r>
              <w:rPr>
                <w:rFonts w:hint="eastAsia" w:ascii="宋体" w:hAnsi="宋体" w:eastAsia="宋体" w:cs="宋体"/>
                <w:bCs/>
                <w:color w:val="auto"/>
                <w:sz w:val="21"/>
                <w:highlight w:val="none"/>
                <w:lang w:val="en-US" w:eastAsia="zh-CN"/>
              </w:rPr>
              <w:t>4、自然人投标的，招标文件规定盖公章处由自然人摁手指指印。</w:t>
            </w:r>
          </w:p>
          <w:p w14:paraId="0FA4911B">
            <w:pPr>
              <w:spacing w:line="400" w:lineRule="exact"/>
              <w:jc w:val="left"/>
              <w:rPr>
                <w:rFonts w:hint="eastAsia" w:ascii="宋体" w:hAnsi="宋体" w:eastAsia="宋体" w:cs="宋体"/>
                <w:color w:val="auto"/>
                <w:szCs w:val="21"/>
                <w:highlight w:val="none"/>
              </w:rPr>
            </w:pPr>
            <w:r>
              <w:rPr>
                <w:rFonts w:hint="eastAsia" w:ascii="宋体" w:hAnsi="宋体" w:eastAsia="宋体" w:cs="宋体"/>
                <w:bCs/>
                <w:color w:val="auto"/>
                <w:szCs w:val="21"/>
                <w:highlight w:val="none"/>
              </w:rPr>
              <w:t>5、本招标文件所称的“以上”“以下”“以内”“届满”，包括本数；所称的“不满”“超过”“以外”，不包括本数。</w:t>
            </w:r>
          </w:p>
        </w:tc>
      </w:tr>
    </w:tbl>
    <w:p w14:paraId="556FF5AD">
      <w:pPr>
        <w:snapToGrid w:val="0"/>
        <w:rPr>
          <w:rFonts w:hint="eastAsia" w:ascii="宋体" w:hAnsi="宋体" w:eastAsia="宋体" w:cs="宋体"/>
          <w:color w:val="auto"/>
          <w:sz w:val="24"/>
          <w:szCs w:val="20"/>
          <w:highlight w:val="none"/>
        </w:rPr>
      </w:pPr>
    </w:p>
    <w:p w14:paraId="5BE6F9F0">
      <w:pPr>
        <w:snapToGrid w:val="0"/>
        <w:rPr>
          <w:rFonts w:hint="eastAsia" w:ascii="宋体" w:hAnsi="宋体" w:eastAsia="宋体" w:cs="宋体"/>
          <w:color w:val="auto"/>
          <w:sz w:val="24"/>
          <w:szCs w:val="20"/>
          <w:highlight w:val="none"/>
        </w:rPr>
      </w:pPr>
    </w:p>
    <w:p w14:paraId="4543E09C">
      <w:pPr>
        <w:pStyle w:val="5"/>
        <w:keepNext w:val="0"/>
        <w:keepLines w:val="0"/>
        <w:jc w:val="center"/>
        <w:rPr>
          <w:rFonts w:hint="eastAsia" w:ascii="宋体" w:hAnsi="宋体" w:eastAsia="宋体" w:cs="宋体"/>
          <w:color w:val="auto"/>
          <w:highlight w:val="none"/>
        </w:rPr>
      </w:pPr>
      <w:r>
        <w:rPr>
          <w:rFonts w:hint="eastAsia" w:ascii="宋体" w:hAnsi="宋体" w:eastAsia="宋体" w:cs="宋体"/>
          <w:color w:val="auto"/>
          <w:highlight w:val="none"/>
        </w:rPr>
        <w:br w:type="page"/>
      </w:r>
      <w:r>
        <w:rPr>
          <w:rFonts w:hint="eastAsia" w:ascii="宋体" w:hAnsi="宋体" w:eastAsia="宋体" w:cs="宋体"/>
          <w:color w:val="auto"/>
          <w:highlight w:val="none"/>
        </w:rPr>
        <w:t>投标人须知正文</w:t>
      </w:r>
    </w:p>
    <w:p w14:paraId="215DCE69">
      <w:pPr>
        <w:pStyle w:val="5"/>
        <w:keepNext w:val="0"/>
        <w:keepLines w:val="0"/>
        <w:jc w:val="center"/>
        <w:rPr>
          <w:rFonts w:hint="eastAsia" w:ascii="宋体" w:hAnsi="宋体" w:eastAsia="宋体" w:cs="宋体"/>
          <w:color w:val="auto"/>
          <w:highlight w:val="none"/>
        </w:rPr>
      </w:pPr>
      <w:r>
        <w:rPr>
          <w:rFonts w:hint="eastAsia" w:ascii="宋体" w:hAnsi="宋体" w:eastAsia="宋体" w:cs="宋体"/>
          <w:color w:val="auto"/>
          <w:highlight w:val="none"/>
        </w:rPr>
        <w:t>一、总  则</w:t>
      </w:r>
    </w:p>
    <w:p w14:paraId="73DCA94F">
      <w:pPr>
        <w:pStyle w:val="7"/>
        <w:keepNext w:val="0"/>
        <w:keepLines w:val="0"/>
        <w:spacing w:before="0" w:after="0" w:line="360" w:lineRule="auto"/>
        <w:ind w:left="420" w:leftChars="200"/>
        <w:rPr>
          <w:rFonts w:hint="eastAsia" w:ascii="宋体" w:hAnsi="宋体" w:eastAsia="宋体" w:cs="宋体"/>
          <w:color w:val="auto"/>
          <w:sz w:val="24"/>
          <w:highlight w:val="none"/>
        </w:rPr>
      </w:pPr>
      <w:bookmarkStart w:id="85" w:name="_Toc254970668"/>
      <w:bookmarkStart w:id="86" w:name="_Toc254970527"/>
      <w:r>
        <w:rPr>
          <w:rFonts w:hint="eastAsia" w:ascii="宋体" w:hAnsi="宋体" w:eastAsia="宋体" w:cs="宋体"/>
          <w:color w:val="auto"/>
          <w:sz w:val="24"/>
          <w:highlight w:val="none"/>
        </w:rPr>
        <w:t>1.适用范围</w:t>
      </w:r>
      <w:bookmarkEnd w:id="85"/>
      <w:bookmarkEnd w:id="86"/>
    </w:p>
    <w:p w14:paraId="1982351A">
      <w:pPr>
        <w:snapToGrid w:val="0"/>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1.1适用法律：本项目采购人、采购代理机构、投标人、评标委员会的相关行为均受《中华人民共和国政府采购法》《中华人民共和国政府采购法实施条例》《政府采购货物和服务招标投标管理办法》及本项目本级和上级财政部门政府采购有关规定的约束和保护。</w:t>
      </w:r>
    </w:p>
    <w:p w14:paraId="5BC3DD0A">
      <w:pPr>
        <w:snapToGrid w:val="0"/>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1.2本招标文件</w:t>
      </w:r>
      <w:r>
        <w:rPr>
          <w:rFonts w:hint="eastAsia" w:ascii="宋体" w:hAnsi="宋体" w:eastAsia="宋体" w:cs="宋体"/>
          <w:color w:val="auto"/>
          <w:spacing w:val="-6"/>
          <w:szCs w:val="21"/>
          <w:highlight w:val="none"/>
        </w:rPr>
        <w:t>适用于本项目的所有采购程序和环节（法律、法规另有规定的，从其规定）。</w:t>
      </w:r>
    </w:p>
    <w:p w14:paraId="38760C5A">
      <w:pPr>
        <w:pStyle w:val="7"/>
        <w:keepNext w:val="0"/>
        <w:keepLines w:val="0"/>
        <w:spacing w:before="0" w:after="0" w:line="360" w:lineRule="auto"/>
        <w:ind w:left="420" w:leftChars="200"/>
        <w:rPr>
          <w:rFonts w:hint="eastAsia" w:ascii="宋体" w:hAnsi="宋体" w:eastAsia="宋体" w:cs="宋体"/>
          <w:color w:val="auto"/>
          <w:sz w:val="24"/>
          <w:highlight w:val="none"/>
        </w:rPr>
      </w:pPr>
      <w:bookmarkStart w:id="87" w:name="_Toc254970528"/>
      <w:bookmarkStart w:id="88" w:name="_Toc254970669"/>
      <w:r>
        <w:rPr>
          <w:rFonts w:hint="eastAsia" w:ascii="宋体" w:hAnsi="宋体" w:eastAsia="宋体" w:cs="宋体"/>
          <w:color w:val="auto"/>
          <w:sz w:val="24"/>
          <w:highlight w:val="none"/>
        </w:rPr>
        <w:t>2.定义</w:t>
      </w:r>
      <w:bookmarkEnd w:id="87"/>
      <w:bookmarkEnd w:id="88"/>
    </w:p>
    <w:p w14:paraId="61C00E6D">
      <w:pPr>
        <w:pStyle w:val="7"/>
        <w:keepNext w:val="0"/>
        <w:keepLines w:val="0"/>
        <w:spacing w:before="0" w:after="0" w:line="360" w:lineRule="auto"/>
        <w:ind w:left="420" w:leftChars="200"/>
        <w:rPr>
          <w:rFonts w:hint="eastAsia" w:ascii="宋体" w:hAnsi="宋体" w:eastAsia="宋体" w:cs="宋体"/>
          <w:b w:val="0"/>
          <w:color w:val="auto"/>
          <w:sz w:val="21"/>
          <w:szCs w:val="21"/>
          <w:highlight w:val="none"/>
        </w:rPr>
      </w:pPr>
      <w:r>
        <w:rPr>
          <w:rFonts w:hint="eastAsia" w:ascii="宋体" w:hAnsi="宋体" w:eastAsia="宋体" w:cs="宋体"/>
          <w:b w:val="0"/>
          <w:color w:val="auto"/>
          <w:sz w:val="21"/>
          <w:szCs w:val="21"/>
          <w:highlight w:val="none"/>
        </w:rPr>
        <w:t>2.1“采购人”是指依法进行政府采购的国家机关、事业单位、团体组织。</w:t>
      </w:r>
    </w:p>
    <w:p w14:paraId="0E7C52ED">
      <w:pPr>
        <w:pStyle w:val="7"/>
        <w:keepNext w:val="0"/>
        <w:keepLines w:val="0"/>
        <w:spacing w:before="0" w:after="0" w:line="360" w:lineRule="auto"/>
        <w:ind w:left="420" w:leftChars="200"/>
        <w:rPr>
          <w:rFonts w:hint="eastAsia" w:ascii="宋体" w:hAnsi="宋体" w:eastAsia="宋体" w:cs="宋体"/>
          <w:b w:val="0"/>
          <w:color w:val="auto"/>
          <w:sz w:val="21"/>
          <w:szCs w:val="21"/>
          <w:highlight w:val="none"/>
        </w:rPr>
      </w:pPr>
      <w:r>
        <w:rPr>
          <w:rFonts w:hint="eastAsia" w:ascii="宋体" w:hAnsi="宋体" w:eastAsia="宋体" w:cs="宋体"/>
          <w:b w:val="0"/>
          <w:color w:val="auto"/>
          <w:sz w:val="21"/>
          <w:szCs w:val="21"/>
          <w:highlight w:val="none"/>
        </w:rPr>
        <w:t>2.2“采购代理机构”是指政府采购集中采购机构和集中采购机构以外的采购代理机构。</w:t>
      </w:r>
    </w:p>
    <w:p w14:paraId="0A56E37B">
      <w:pPr>
        <w:pStyle w:val="7"/>
        <w:keepNext w:val="0"/>
        <w:keepLines w:val="0"/>
        <w:spacing w:before="0" w:after="0" w:line="360" w:lineRule="auto"/>
        <w:ind w:left="420" w:leftChars="200"/>
        <w:rPr>
          <w:rFonts w:hint="eastAsia" w:ascii="宋体" w:hAnsi="宋体" w:eastAsia="宋体" w:cs="宋体"/>
          <w:b w:val="0"/>
          <w:color w:val="auto"/>
          <w:sz w:val="21"/>
          <w:szCs w:val="21"/>
          <w:highlight w:val="none"/>
        </w:rPr>
      </w:pPr>
      <w:r>
        <w:rPr>
          <w:rFonts w:hint="eastAsia" w:ascii="宋体" w:hAnsi="宋体" w:eastAsia="宋体" w:cs="宋体"/>
          <w:b w:val="0"/>
          <w:color w:val="auto"/>
          <w:sz w:val="21"/>
          <w:szCs w:val="21"/>
          <w:highlight w:val="none"/>
        </w:rPr>
        <w:t>2.3“供应商”是指向采购人提供货物、工程或者服务的法人、其他组织或者自然人。</w:t>
      </w:r>
    </w:p>
    <w:p w14:paraId="4C73EB44">
      <w:pPr>
        <w:pStyle w:val="8"/>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2.4“投标人”是指响应招标、参加投标竞争的法人、其他组织或者自然人。</w:t>
      </w:r>
    </w:p>
    <w:p w14:paraId="7A70257F">
      <w:pPr>
        <w:pStyle w:val="7"/>
        <w:keepNext w:val="0"/>
        <w:keepLines w:val="0"/>
        <w:spacing w:before="0" w:after="0" w:line="360" w:lineRule="auto"/>
        <w:ind w:firstLine="420" w:firstLineChars="200"/>
        <w:rPr>
          <w:rFonts w:hint="eastAsia" w:ascii="宋体" w:hAnsi="宋体" w:eastAsia="宋体" w:cs="宋体"/>
          <w:b w:val="0"/>
          <w:color w:val="auto"/>
          <w:sz w:val="21"/>
          <w:szCs w:val="21"/>
          <w:highlight w:val="none"/>
        </w:rPr>
      </w:pPr>
      <w:r>
        <w:rPr>
          <w:rFonts w:hint="eastAsia" w:ascii="宋体" w:hAnsi="宋体" w:eastAsia="宋体" w:cs="宋体"/>
          <w:b w:val="0"/>
          <w:color w:val="auto"/>
          <w:sz w:val="21"/>
          <w:szCs w:val="21"/>
          <w:highlight w:val="none"/>
        </w:rPr>
        <w:t>2.5“货物”是指各种形态和种类的物品，包括原材料、燃料、设备、产品等；“服务”是指除货物和工程以外的其他政府采购对象。</w:t>
      </w:r>
    </w:p>
    <w:p w14:paraId="45F13E21">
      <w:pPr>
        <w:pStyle w:val="7"/>
        <w:keepNext w:val="0"/>
        <w:keepLines w:val="0"/>
        <w:spacing w:before="0" w:after="0" w:line="360" w:lineRule="auto"/>
        <w:ind w:firstLine="420" w:firstLineChars="200"/>
        <w:rPr>
          <w:rFonts w:hint="eastAsia" w:ascii="宋体" w:hAnsi="宋体" w:eastAsia="宋体" w:cs="宋体"/>
          <w:b w:val="0"/>
          <w:color w:val="auto"/>
          <w:sz w:val="21"/>
          <w:szCs w:val="21"/>
          <w:highlight w:val="none"/>
        </w:rPr>
      </w:pPr>
      <w:r>
        <w:rPr>
          <w:rFonts w:hint="eastAsia" w:ascii="宋体" w:hAnsi="宋体" w:eastAsia="宋体" w:cs="宋体"/>
          <w:b w:val="0"/>
          <w:color w:val="auto"/>
          <w:sz w:val="21"/>
          <w:szCs w:val="21"/>
          <w:highlight w:val="none"/>
        </w:rPr>
        <w:t>2.6“售后服务” 是指商品出售以后所提供的各种服务，包含但不限于投标人须承担的备品备件、包装、运输、装卸、保险、货到就位以及安装、调试、培训、保修以及其他各种服务。</w:t>
      </w:r>
    </w:p>
    <w:p w14:paraId="2C8C011D">
      <w:pPr>
        <w:pStyle w:val="7"/>
        <w:keepNext w:val="0"/>
        <w:keepLines w:val="0"/>
        <w:spacing w:before="0" w:after="0" w:line="360" w:lineRule="auto"/>
        <w:rPr>
          <w:rFonts w:hint="eastAsia" w:ascii="宋体" w:hAnsi="宋体" w:eastAsia="宋体" w:cs="宋体"/>
          <w:b w:val="0"/>
          <w:color w:val="auto"/>
          <w:sz w:val="21"/>
          <w:szCs w:val="21"/>
          <w:highlight w:val="none"/>
        </w:rPr>
      </w:pPr>
      <w:r>
        <w:rPr>
          <w:rFonts w:hint="eastAsia" w:ascii="宋体" w:hAnsi="宋体" w:eastAsia="宋体" w:cs="宋体"/>
          <w:b w:val="0"/>
          <w:color w:val="auto"/>
          <w:sz w:val="21"/>
          <w:szCs w:val="21"/>
          <w:highlight w:val="none"/>
        </w:rPr>
        <w:t xml:space="preserve">    2.7“书面形式”是指合同书、信件和数据电文（包括电报、电传、传真、电子数据交换和电子邮件）等可以有形地表现所载内容的形式。</w:t>
      </w:r>
    </w:p>
    <w:p w14:paraId="73793D0D">
      <w:pPr>
        <w:pStyle w:val="7"/>
        <w:keepNext w:val="0"/>
        <w:keepLines w:val="0"/>
        <w:spacing w:before="0" w:after="0" w:line="360" w:lineRule="auto"/>
        <w:ind w:firstLine="420" w:firstLineChars="200"/>
        <w:rPr>
          <w:rFonts w:hint="eastAsia" w:ascii="宋体" w:hAnsi="宋体" w:eastAsia="宋体" w:cs="宋体"/>
          <w:b w:val="0"/>
          <w:color w:val="auto"/>
          <w:sz w:val="21"/>
          <w:szCs w:val="21"/>
          <w:highlight w:val="none"/>
        </w:rPr>
      </w:pPr>
      <w:r>
        <w:rPr>
          <w:rFonts w:hint="eastAsia" w:ascii="宋体" w:hAnsi="宋体" w:eastAsia="宋体" w:cs="宋体"/>
          <w:b w:val="0"/>
          <w:color w:val="auto"/>
          <w:sz w:val="21"/>
          <w:szCs w:val="21"/>
          <w:highlight w:val="none"/>
        </w:rPr>
        <w:t>2.8“实质性要求”是指招标文件中已经指明不满足则投标无效的条款，或者不能负偏离的条款，或者采购需求中带“▲”的条款。</w:t>
      </w:r>
    </w:p>
    <w:p w14:paraId="17B5B1D1">
      <w:pPr>
        <w:snapToGrid w:val="0"/>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2.9 “正偏离”，是指投标文件对招标文件“采购需求”中有关条款作出的响应优于条款要求并有利于采购人的情形。</w:t>
      </w:r>
    </w:p>
    <w:p w14:paraId="29EEDC19">
      <w:pPr>
        <w:snapToGrid w:val="0"/>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2.10“负偏离”，是指投标文件对招标文件“采购需求”中有关条款作出的响应不满足条款要求，导致采购人要求不能得到满足的情形。</w:t>
      </w:r>
    </w:p>
    <w:p w14:paraId="1E22E4CE">
      <w:pPr>
        <w:snapToGrid w:val="0"/>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2.11“允许负偏离的条款”是指采购需求中的不属于“实质性要求”的条款。</w:t>
      </w:r>
      <w:bookmarkStart w:id="89" w:name="_Toc254970670"/>
      <w:bookmarkStart w:id="90" w:name="_Toc254970529"/>
    </w:p>
    <w:p w14:paraId="2B9D52EE">
      <w:pPr>
        <w:pStyle w:val="7"/>
        <w:keepNext w:val="0"/>
        <w:keepLines w:val="0"/>
        <w:spacing w:before="0" w:after="0" w:line="360" w:lineRule="auto"/>
        <w:ind w:left="420" w:left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3.</w:t>
      </w:r>
      <w:bookmarkEnd w:id="89"/>
      <w:bookmarkEnd w:id="90"/>
      <w:r>
        <w:rPr>
          <w:rFonts w:hint="eastAsia" w:ascii="宋体" w:hAnsi="宋体" w:eastAsia="宋体" w:cs="宋体"/>
          <w:color w:val="auto"/>
          <w:sz w:val="24"/>
          <w:highlight w:val="none"/>
        </w:rPr>
        <w:t>投标人的资格要求</w:t>
      </w:r>
    </w:p>
    <w:p w14:paraId="59862D76">
      <w:pPr>
        <w:snapToGrid w:val="0"/>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投标人的资格要求详见“投标人须知前附表”。</w:t>
      </w:r>
    </w:p>
    <w:p w14:paraId="4C831657">
      <w:pPr>
        <w:pStyle w:val="7"/>
        <w:keepNext w:val="0"/>
        <w:keepLines w:val="0"/>
        <w:spacing w:before="0" w:after="0" w:line="360" w:lineRule="auto"/>
        <w:ind w:left="420" w:leftChars="200"/>
        <w:rPr>
          <w:rFonts w:hint="eastAsia" w:ascii="宋体" w:hAnsi="宋体" w:eastAsia="宋体" w:cs="宋体"/>
          <w:color w:val="auto"/>
          <w:sz w:val="24"/>
          <w:highlight w:val="none"/>
        </w:rPr>
      </w:pPr>
      <w:bookmarkStart w:id="91" w:name="_Toc254970530"/>
      <w:bookmarkStart w:id="92" w:name="_Toc254970671"/>
      <w:r>
        <w:rPr>
          <w:rFonts w:hint="eastAsia" w:ascii="宋体" w:hAnsi="宋体" w:eastAsia="宋体" w:cs="宋体"/>
          <w:color w:val="auto"/>
          <w:sz w:val="24"/>
          <w:highlight w:val="none"/>
        </w:rPr>
        <w:t>4.投标委托</w:t>
      </w:r>
      <w:bookmarkEnd w:id="91"/>
      <w:bookmarkEnd w:id="92"/>
    </w:p>
    <w:p w14:paraId="7CACCABA">
      <w:pPr>
        <w:snapToGrid w:val="0"/>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投标人代表参加投标活动过程中必须携带个人有效身份证件。如投标人代表不是法定代表人，须持有授权委托书（按第六章要求格式填写）。</w:t>
      </w:r>
    </w:p>
    <w:p w14:paraId="39C496B6">
      <w:pPr>
        <w:pStyle w:val="7"/>
        <w:keepNext w:val="0"/>
        <w:keepLines w:val="0"/>
        <w:spacing w:before="0" w:after="0" w:line="360" w:lineRule="auto"/>
        <w:ind w:left="420" w:leftChars="200"/>
        <w:rPr>
          <w:rFonts w:hint="eastAsia" w:ascii="宋体" w:hAnsi="宋体" w:eastAsia="宋体" w:cs="宋体"/>
          <w:color w:val="auto"/>
          <w:sz w:val="24"/>
          <w:highlight w:val="none"/>
        </w:rPr>
      </w:pPr>
      <w:bookmarkStart w:id="93" w:name="_5.投标费用"/>
      <w:bookmarkEnd w:id="93"/>
      <w:bookmarkStart w:id="94" w:name="_Toc254970531"/>
      <w:bookmarkStart w:id="95" w:name="_Toc254970672"/>
      <w:r>
        <w:rPr>
          <w:rFonts w:hint="eastAsia" w:ascii="宋体" w:hAnsi="宋体" w:eastAsia="宋体" w:cs="宋体"/>
          <w:color w:val="auto"/>
          <w:sz w:val="24"/>
          <w:highlight w:val="none"/>
        </w:rPr>
        <w:t>5.投标费用</w:t>
      </w:r>
      <w:bookmarkEnd w:id="94"/>
      <w:bookmarkEnd w:id="95"/>
    </w:p>
    <w:p w14:paraId="34051069">
      <w:pPr>
        <w:snapToGrid w:val="0"/>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投标费用：投标人应承担参与本次采购活动有关的所有费用，包括但不限于获取招标文件、勘查现场、编制和提交投标文件、参加澄清说明、签订合同等，不论投标结果如何，均应自行承担。</w:t>
      </w:r>
    </w:p>
    <w:p w14:paraId="255FB838">
      <w:pPr>
        <w:pStyle w:val="7"/>
        <w:keepNext w:val="0"/>
        <w:keepLines w:val="0"/>
        <w:spacing w:before="0" w:after="0" w:line="360" w:lineRule="auto"/>
        <w:ind w:left="420" w:left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6.联合体投标</w:t>
      </w:r>
    </w:p>
    <w:p w14:paraId="62C9E143">
      <w:pPr>
        <w:snapToGrid w:val="0"/>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6.1本项目是否接受联合体投标，详见“投标人须知前附表”。</w:t>
      </w:r>
    </w:p>
    <w:p w14:paraId="29FB7E6E">
      <w:pPr>
        <w:snapToGrid w:val="0"/>
        <w:spacing w:line="360" w:lineRule="auto"/>
        <w:ind w:firstLine="420" w:firstLineChars="200"/>
        <w:jc w:val="left"/>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6.2如接受联合体投标，联合体投标要求详见“投标人须知前附表”。</w:t>
      </w:r>
    </w:p>
    <w:p w14:paraId="7E47BBA1">
      <w:pPr>
        <w:pStyle w:val="7"/>
        <w:keepNext w:val="0"/>
        <w:keepLines w:val="0"/>
        <w:spacing w:before="0" w:after="0" w:line="360" w:lineRule="auto"/>
        <w:ind w:firstLine="424" w:firstLineChars="202"/>
        <w:rPr>
          <w:rFonts w:hint="eastAsia" w:ascii="宋体" w:hAnsi="宋体" w:eastAsia="宋体" w:cs="宋体"/>
          <w:color w:val="auto"/>
          <w:sz w:val="24"/>
          <w:highlight w:val="none"/>
        </w:rPr>
      </w:pPr>
      <w:r>
        <w:rPr>
          <w:rFonts w:hint="eastAsia" w:ascii="宋体" w:hAnsi="宋体" w:eastAsia="宋体" w:cs="宋体"/>
          <w:b w:val="0"/>
          <w:bCs/>
          <w:color w:val="auto"/>
          <w:sz w:val="21"/>
          <w:szCs w:val="21"/>
          <w:highlight w:val="none"/>
        </w:rPr>
        <w:t xml:space="preserve">6.3 </w:t>
      </w:r>
      <w:bookmarkStart w:id="96" w:name="_Hlk65857072"/>
      <w:r>
        <w:rPr>
          <w:rFonts w:hint="eastAsia" w:ascii="宋体" w:hAnsi="宋体" w:eastAsia="宋体" w:cs="宋体"/>
          <w:b w:val="0"/>
          <w:bCs/>
          <w:color w:val="auto"/>
          <w:sz w:val="21"/>
          <w:szCs w:val="21"/>
          <w:highlight w:val="none"/>
        </w:rPr>
        <w:t>根据《政府采购促进中小企业发展管理办法》（财库〔2020〕46号）第九条第二款的规定，接受大中型企业与小微企业组成联合体或者允许大中型企业向一家或者多家小微企业分包的采购项目，对于联合协议或者分包意向协议约定小微企业的合同份额占到合同总金额30%以上的，采购人、采购代理机构应当对联合体或者大中型企业的报价给予2%</w:t>
      </w:r>
      <w:r>
        <w:rPr>
          <w:rFonts w:hint="eastAsia" w:ascii="宋体" w:hAnsi="宋体" w:eastAsia="宋体" w:cs="宋体"/>
          <w:b w:val="0"/>
          <w:bCs/>
          <w:color w:val="auto"/>
          <w:sz w:val="21"/>
          <w:szCs w:val="21"/>
          <w:highlight w:val="none"/>
          <w:lang w:eastAsia="zh-CN"/>
        </w:rPr>
        <w:t>～</w:t>
      </w:r>
      <w:r>
        <w:rPr>
          <w:rFonts w:hint="eastAsia" w:ascii="宋体" w:hAnsi="宋体" w:eastAsia="宋体" w:cs="宋体"/>
          <w:b w:val="0"/>
          <w:bCs/>
          <w:color w:val="auto"/>
          <w:sz w:val="21"/>
          <w:szCs w:val="21"/>
          <w:highlight w:val="none"/>
        </w:rPr>
        <w:t>3%的扣除，用扣除后的价格参加评审。</w:t>
      </w:r>
      <w:bookmarkEnd w:id="96"/>
    </w:p>
    <w:p w14:paraId="135740B2">
      <w:pPr>
        <w:pStyle w:val="7"/>
        <w:keepNext w:val="0"/>
        <w:keepLines w:val="0"/>
        <w:spacing w:before="0" w:after="0" w:line="360" w:lineRule="auto"/>
        <w:ind w:left="420" w:left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7.转包与分包             </w:t>
      </w:r>
    </w:p>
    <w:p w14:paraId="794101C1">
      <w:pPr>
        <w:pStyle w:val="7"/>
        <w:keepNext w:val="0"/>
        <w:keepLines w:val="0"/>
        <w:spacing w:before="0" w:after="0" w:line="360" w:lineRule="auto"/>
        <w:ind w:left="420" w:leftChars="200"/>
        <w:rPr>
          <w:rFonts w:hint="eastAsia" w:ascii="宋体" w:hAnsi="宋体" w:eastAsia="宋体" w:cs="宋体"/>
          <w:b w:val="0"/>
          <w:color w:val="auto"/>
          <w:sz w:val="21"/>
          <w:szCs w:val="21"/>
          <w:highlight w:val="none"/>
        </w:rPr>
      </w:pPr>
      <w:r>
        <w:rPr>
          <w:rFonts w:hint="eastAsia" w:ascii="宋体" w:hAnsi="宋体" w:eastAsia="宋体" w:cs="宋体"/>
          <w:b w:val="0"/>
          <w:color w:val="auto"/>
          <w:sz w:val="21"/>
          <w:szCs w:val="21"/>
          <w:highlight w:val="none"/>
        </w:rPr>
        <w:t>7.1本项目不允许转包。</w:t>
      </w:r>
    </w:p>
    <w:p w14:paraId="47CB0906">
      <w:pPr>
        <w:pStyle w:val="7"/>
        <w:keepNext w:val="0"/>
        <w:keepLines w:val="0"/>
        <w:spacing w:before="0" w:after="0" w:line="360" w:lineRule="auto"/>
        <w:ind w:firstLine="315" w:firstLineChars="150"/>
        <w:rPr>
          <w:rFonts w:hint="eastAsia" w:ascii="宋体" w:hAnsi="宋体" w:eastAsia="宋体" w:cs="宋体"/>
          <w:b w:val="0"/>
          <w:color w:val="auto"/>
          <w:sz w:val="21"/>
          <w:szCs w:val="21"/>
          <w:highlight w:val="none"/>
        </w:rPr>
      </w:pPr>
      <w:r>
        <w:rPr>
          <w:rFonts w:hint="eastAsia" w:ascii="宋体" w:hAnsi="宋体" w:eastAsia="宋体" w:cs="宋体"/>
          <w:b w:val="0"/>
          <w:color w:val="auto"/>
          <w:sz w:val="21"/>
          <w:szCs w:val="21"/>
          <w:highlight w:val="none"/>
        </w:rPr>
        <w:t xml:space="preserve"> 7.2本项目是否允许分包详见“投标人须知前附表”，本项目不允许违法分包。允许分包的非主体、非关键性工作，根据法律法规规定承担该工作需要行政许可的，如该工作由投标人自行承担，投标人应具备相应的行政许可，如投标人不具备相应的行政许可必须采用分包的方式，但分包投标人应具备相应行政许可。</w:t>
      </w:r>
    </w:p>
    <w:p w14:paraId="7BCBCD86">
      <w:pPr>
        <w:pStyle w:val="7"/>
        <w:keepNext w:val="0"/>
        <w:keepLines w:val="0"/>
        <w:spacing w:before="0" w:after="0" w:line="360" w:lineRule="auto"/>
        <w:ind w:firstLine="315" w:firstLineChars="150"/>
        <w:rPr>
          <w:rFonts w:hint="eastAsia" w:ascii="宋体" w:hAnsi="宋体" w:eastAsia="宋体" w:cs="宋体"/>
          <w:b w:val="0"/>
          <w:color w:val="auto"/>
          <w:sz w:val="21"/>
          <w:szCs w:val="21"/>
          <w:highlight w:val="none"/>
        </w:rPr>
      </w:pPr>
      <w:r>
        <w:rPr>
          <w:rFonts w:hint="eastAsia" w:ascii="宋体" w:hAnsi="宋体" w:eastAsia="宋体" w:cs="宋体"/>
          <w:b w:val="0"/>
          <w:color w:val="auto"/>
          <w:sz w:val="21"/>
          <w:szCs w:val="21"/>
          <w:highlight w:val="none"/>
        </w:rPr>
        <w:t xml:space="preserve"> 7.3投标人根据招标文件的规定和采购项目的实际情况，拟在中标后将中标项目的非主体、非关键性工作分包的，应当在投标文件中载明分包承担主体，分包承担主体应当具备相应资质条件且不得再次分包。</w:t>
      </w:r>
    </w:p>
    <w:p w14:paraId="32CF989D">
      <w:pPr>
        <w:pStyle w:val="7"/>
        <w:keepNext w:val="0"/>
        <w:keepLines w:val="0"/>
        <w:spacing w:before="0" w:after="0" w:line="360" w:lineRule="auto"/>
        <w:ind w:left="420" w:leftChars="200"/>
        <w:rPr>
          <w:rFonts w:hint="eastAsia" w:ascii="宋体" w:hAnsi="宋体" w:eastAsia="宋体" w:cs="宋体"/>
          <w:color w:val="auto"/>
          <w:sz w:val="24"/>
          <w:highlight w:val="none"/>
        </w:rPr>
      </w:pPr>
      <w:bookmarkStart w:id="97" w:name="_Toc254970673"/>
      <w:bookmarkStart w:id="98" w:name="_Toc254970532"/>
      <w:r>
        <w:rPr>
          <w:rFonts w:hint="eastAsia" w:ascii="宋体" w:hAnsi="宋体" w:eastAsia="宋体" w:cs="宋体"/>
          <w:color w:val="auto"/>
          <w:sz w:val="24"/>
          <w:highlight w:val="none"/>
        </w:rPr>
        <w:t>8.特别说明</w:t>
      </w:r>
      <w:bookmarkEnd w:id="97"/>
      <w:bookmarkEnd w:id="98"/>
    </w:p>
    <w:p w14:paraId="1D533A55">
      <w:pPr>
        <w:pStyle w:val="7"/>
        <w:keepNext w:val="0"/>
        <w:keepLines w:val="0"/>
        <w:spacing w:before="0" w:after="0" w:line="360" w:lineRule="auto"/>
        <w:ind w:firstLine="315" w:firstLineChars="150"/>
        <w:rPr>
          <w:rFonts w:hint="eastAsia" w:ascii="宋体" w:hAnsi="宋体" w:eastAsia="宋体" w:cs="宋体"/>
          <w:b w:val="0"/>
          <w:color w:val="auto"/>
          <w:sz w:val="21"/>
          <w:szCs w:val="21"/>
          <w:highlight w:val="none"/>
        </w:rPr>
      </w:pPr>
      <w:bookmarkStart w:id="99" w:name="_8.1提供相同品牌产品且通过资格审查、符合性审查的不同投标人参加同一合"/>
      <w:bookmarkEnd w:id="99"/>
      <w:r>
        <w:rPr>
          <w:rFonts w:hint="eastAsia" w:ascii="宋体" w:hAnsi="宋体" w:eastAsia="宋体" w:cs="宋体"/>
          <w:b w:val="0"/>
          <w:color w:val="auto"/>
          <w:sz w:val="21"/>
          <w:szCs w:val="21"/>
          <w:highlight w:val="none"/>
        </w:rPr>
        <w:t>8.1如果本招标文件要求提供投标人或制造商的资格、信誉、荣誉、业绩与企业认证等材料的，资格、信誉、荣誉、业绩与企业认证等必须为投标人或者制造商所拥有或自身获得 。</w:t>
      </w:r>
    </w:p>
    <w:p w14:paraId="4C447EE5">
      <w:pPr>
        <w:pStyle w:val="7"/>
        <w:keepNext w:val="0"/>
        <w:keepLines w:val="0"/>
        <w:spacing w:before="0" w:after="0" w:line="360" w:lineRule="auto"/>
        <w:ind w:firstLine="315" w:firstLineChars="150"/>
        <w:rPr>
          <w:rFonts w:hint="eastAsia" w:ascii="宋体" w:hAnsi="宋体" w:eastAsia="宋体" w:cs="宋体"/>
          <w:b w:val="0"/>
          <w:color w:val="auto"/>
          <w:sz w:val="21"/>
          <w:szCs w:val="21"/>
          <w:highlight w:val="none"/>
        </w:rPr>
      </w:pPr>
      <w:r>
        <w:rPr>
          <w:rFonts w:hint="eastAsia" w:ascii="宋体" w:hAnsi="宋体" w:eastAsia="宋体" w:cs="宋体"/>
          <w:b w:val="0"/>
          <w:color w:val="auto"/>
          <w:sz w:val="21"/>
          <w:szCs w:val="21"/>
          <w:highlight w:val="none"/>
        </w:rPr>
        <w:t>8.2投标人应仔细阅读招标文件的所有内容，按照招标文件的要求提交投标文件，并对所提供的全部资料的真实性承担法律责任。</w:t>
      </w:r>
    </w:p>
    <w:p w14:paraId="4B2884C5">
      <w:pPr>
        <w:pStyle w:val="7"/>
        <w:keepNext w:val="0"/>
        <w:keepLines w:val="0"/>
        <w:spacing w:before="0" w:after="0" w:line="360" w:lineRule="auto"/>
        <w:ind w:firstLine="315" w:firstLineChars="150"/>
        <w:rPr>
          <w:rFonts w:hint="eastAsia" w:ascii="宋体" w:hAnsi="宋体" w:eastAsia="宋体" w:cs="宋体"/>
          <w:b w:val="0"/>
          <w:color w:val="auto"/>
          <w:sz w:val="21"/>
          <w:szCs w:val="21"/>
          <w:highlight w:val="none"/>
        </w:rPr>
      </w:pPr>
      <w:r>
        <w:rPr>
          <w:rFonts w:hint="eastAsia" w:ascii="宋体" w:hAnsi="宋体" w:eastAsia="宋体" w:cs="宋体"/>
          <w:b w:val="0"/>
          <w:color w:val="auto"/>
          <w:sz w:val="21"/>
          <w:szCs w:val="21"/>
          <w:highlight w:val="none"/>
        </w:rPr>
        <w:t>8.3投标人在投标活动中提供任何虚假材料，将报监管部门查处；中标后发现的，中标人须依法赔偿采购人，且民事赔偿并不免除违法投标人的行政与刑事责任。</w:t>
      </w:r>
    </w:p>
    <w:p w14:paraId="6682D33F">
      <w:pPr>
        <w:pStyle w:val="7"/>
        <w:keepNext w:val="0"/>
        <w:keepLines w:val="0"/>
        <w:spacing w:before="0" w:after="0" w:line="360" w:lineRule="auto"/>
        <w:ind w:left="420" w:left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9.回避与串通投标</w:t>
      </w:r>
    </w:p>
    <w:p w14:paraId="69735D72">
      <w:pPr>
        <w:pStyle w:val="7"/>
        <w:keepNext w:val="0"/>
        <w:keepLines w:val="0"/>
        <w:spacing w:before="0" w:after="0" w:line="360" w:lineRule="auto"/>
        <w:ind w:firstLine="367" w:firstLineChars="175"/>
        <w:rPr>
          <w:rFonts w:hint="eastAsia" w:ascii="宋体" w:hAnsi="宋体" w:eastAsia="宋体" w:cs="宋体"/>
          <w:b w:val="0"/>
          <w:color w:val="auto"/>
          <w:sz w:val="21"/>
          <w:szCs w:val="21"/>
          <w:highlight w:val="none"/>
        </w:rPr>
      </w:pPr>
      <w:r>
        <w:rPr>
          <w:rFonts w:hint="eastAsia" w:ascii="宋体" w:hAnsi="宋体" w:eastAsia="宋体" w:cs="宋体"/>
          <w:b w:val="0"/>
          <w:color w:val="auto"/>
          <w:sz w:val="21"/>
          <w:szCs w:val="21"/>
          <w:highlight w:val="none"/>
        </w:rPr>
        <w:t>9.1在政府采购活动中，采购人员及相关人员与供应商有下列利害关系之一的，应当回避：</w:t>
      </w:r>
    </w:p>
    <w:p w14:paraId="2A95D5D4">
      <w:pPr>
        <w:pStyle w:val="24"/>
        <w:snapToGrid w:val="0"/>
        <w:spacing w:line="360" w:lineRule="auto"/>
        <w:ind w:left="2" w:leftChars="1" w:firstLine="420" w:firstLineChars="200"/>
        <w:rPr>
          <w:rFonts w:hint="eastAsia" w:hAnsi="宋体" w:eastAsia="宋体" w:cs="宋体"/>
          <w:color w:val="auto"/>
          <w:kern w:val="2"/>
          <w:sz w:val="21"/>
          <w:highlight w:val="none"/>
        </w:rPr>
      </w:pPr>
      <w:r>
        <w:rPr>
          <w:rFonts w:hint="eastAsia" w:hAnsi="宋体" w:eastAsia="宋体" w:cs="宋体"/>
          <w:color w:val="auto"/>
          <w:kern w:val="2"/>
          <w:sz w:val="21"/>
          <w:highlight w:val="none"/>
        </w:rPr>
        <w:t>（1）参加采购活动前3年内与供应商存在劳动关系；</w:t>
      </w:r>
    </w:p>
    <w:p w14:paraId="0C151C4E">
      <w:pPr>
        <w:pStyle w:val="24"/>
        <w:snapToGrid w:val="0"/>
        <w:spacing w:line="360" w:lineRule="auto"/>
        <w:ind w:left="2" w:leftChars="1" w:firstLine="420" w:firstLineChars="200"/>
        <w:rPr>
          <w:rFonts w:hint="eastAsia" w:hAnsi="宋体" w:eastAsia="宋体" w:cs="宋体"/>
          <w:color w:val="auto"/>
          <w:kern w:val="2"/>
          <w:sz w:val="21"/>
          <w:highlight w:val="none"/>
        </w:rPr>
      </w:pPr>
      <w:r>
        <w:rPr>
          <w:rFonts w:hint="eastAsia" w:hAnsi="宋体" w:eastAsia="宋体" w:cs="宋体"/>
          <w:color w:val="auto"/>
          <w:kern w:val="2"/>
          <w:sz w:val="21"/>
          <w:highlight w:val="none"/>
        </w:rPr>
        <w:t>（2）参加采购活动前3年内担任供应商的董事、监事；</w:t>
      </w:r>
    </w:p>
    <w:p w14:paraId="05CF58E9">
      <w:pPr>
        <w:pStyle w:val="24"/>
        <w:snapToGrid w:val="0"/>
        <w:spacing w:line="360" w:lineRule="auto"/>
        <w:ind w:left="2" w:leftChars="1" w:firstLine="420" w:firstLineChars="200"/>
        <w:rPr>
          <w:rFonts w:hint="eastAsia" w:hAnsi="宋体" w:eastAsia="宋体" w:cs="宋体"/>
          <w:color w:val="auto"/>
          <w:kern w:val="2"/>
          <w:sz w:val="21"/>
          <w:highlight w:val="none"/>
        </w:rPr>
      </w:pPr>
      <w:r>
        <w:rPr>
          <w:rFonts w:hint="eastAsia" w:hAnsi="宋体" w:eastAsia="宋体" w:cs="宋体"/>
          <w:color w:val="auto"/>
          <w:kern w:val="2"/>
          <w:sz w:val="21"/>
          <w:highlight w:val="none"/>
        </w:rPr>
        <w:t>（3）参加采购活动前3年内是供应商的控股股东或者实际控制人；</w:t>
      </w:r>
    </w:p>
    <w:p w14:paraId="6019530A">
      <w:pPr>
        <w:pStyle w:val="24"/>
        <w:snapToGrid w:val="0"/>
        <w:spacing w:line="360" w:lineRule="auto"/>
        <w:ind w:left="2" w:leftChars="1" w:firstLine="420" w:firstLineChars="200"/>
        <w:rPr>
          <w:rFonts w:hint="eastAsia" w:hAnsi="宋体" w:eastAsia="宋体" w:cs="宋体"/>
          <w:color w:val="auto"/>
          <w:kern w:val="2"/>
          <w:sz w:val="21"/>
          <w:highlight w:val="none"/>
        </w:rPr>
      </w:pPr>
      <w:r>
        <w:rPr>
          <w:rFonts w:hint="eastAsia" w:hAnsi="宋体" w:eastAsia="宋体" w:cs="宋体"/>
          <w:color w:val="auto"/>
          <w:kern w:val="2"/>
          <w:sz w:val="21"/>
          <w:highlight w:val="none"/>
        </w:rPr>
        <w:t>（4）与供应商的法定代表人或者负责人有夫妻、直系血亲、三代以内旁系血亲或者近姻亲关系；</w:t>
      </w:r>
    </w:p>
    <w:p w14:paraId="21825E9B">
      <w:pPr>
        <w:pStyle w:val="24"/>
        <w:snapToGrid w:val="0"/>
        <w:spacing w:line="360" w:lineRule="auto"/>
        <w:ind w:left="2" w:leftChars="1" w:firstLine="420" w:firstLineChars="200"/>
        <w:rPr>
          <w:rFonts w:hint="eastAsia" w:hAnsi="宋体" w:eastAsia="宋体" w:cs="宋体"/>
          <w:color w:val="auto"/>
          <w:kern w:val="2"/>
          <w:sz w:val="21"/>
          <w:highlight w:val="none"/>
        </w:rPr>
      </w:pPr>
      <w:r>
        <w:rPr>
          <w:rFonts w:hint="eastAsia" w:hAnsi="宋体" w:eastAsia="宋体" w:cs="宋体"/>
          <w:color w:val="auto"/>
          <w:kern w:val="2"/>
          <w:sz w:val="21"/>
          <w:highlight w:val="none"/>
        </w:rPr>
        <w:t>（5）与供应商有其他可能影响政府采购活动公平、公正进行的关系。</w:t>
      </w:r>
    </w:p>
    <w:p w14:paraId="297E04CE">
      <w:pPr>
        <w:pStyle w:val="24"/>
        <w:snapToGrid w:val="0"/>
        <w:spacing w:line="360" w:lineRule="auto"/>
        <w:ind w:left="2" w:leftChars="1" w:firstLine="420" w:firstLineChars="200"/>
        <w:rPr>
          <w:rFonts w:hint="eastAsia" w:hAnsi="宋体" w:eastAsia="宋体" w:cs="宋体"/>
          <w:color w:val="auto"/>
          <w:kern w:val="2"/>
          <w:sz w:val="21"/>
          <w:highlight w:val="none"/>
        </w:rPr>
      </w:pPr>
      <w:r>
        <w:rPr>
          <w:rFonts w:hint="eastAsia" w:hAnsi="宋体" w:eastAsia="宋体" w:cs="宋体"/>
          <w:color w:val="auto"/>
          <w:kern w:val="2"/>
          <w:sz w:val="21"/>
          <w:highlight w:val="none"/>
        </w:rPr>
        <w:t>供应商认为采购人员及相关人员与其他供应商有利害关系的，可以向采购人或者采购代理机构书面提出回避申请，并说明理由。采购人或者采购代理机构应当及时询问被申请回避人员，有利害关系的被申请回避人员应当回避。</w:t>
      </w:r>
    </w:p>
    <w:p w14:paraId="12B9BAB3">
      <w:pPr>
        <w:pStyle w:val="7"/>
        <w:keepNext w:val="0"/>
        <w:keepLines w:val="0"/>
        <w:spacing w:before="0" w:after="0" w:line="360" w:lineRule="auto"/>
        <w:ind w:left="420" w:left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9.2有下列情形之一的视为投标人相互串通投标，投标文件将被视为无效：</w:t>
      </w:r>
    </w:p>
    <w:p w14:paraId="02ACC83D">
      <w:pPr>
        <w:pStyle w:val="24"/>
        <w:snapToGrid w:val="0"/>
        <w:spacing w:line="360" w:lineRule="auto"/>
        <w:ind w:left="2" w:leftChars="1" w:firstLine="422" w:firstLineChars="200"/>
        <w:rPr>
          <w:rFonts w:hint="eastAsia" w:hAnsi="宋体" w:eastAsia="宋体" w:cs="宋体"/>
          <w:b/>
          <w:color w:val="auto"/>
          <w:kern w:val="2"/>
          <w:sz w:val="21"/>
          <w:highlight w:val="none"/>
        </w:rPr>
      </w:pPr>
      <w:r>
        <w:rPr>
          <w:rFonts w:hint="eastAsia" w:hAnsi="宋体" w:eastAsia="宋体" w:cs="宋体"/>
          <w:b/>
          <w:color w:val="auto"/>
          <w:kern w:val="2"/>
          <w:sz w:val="21"/>
          <w:highlight w:val="none"/>
        </w:rPr>
        <w:t xml:space="preserve">（1）不同投标人的投标文件由同一单位或者个人编制； </w:t>
      </w:r>
    </w:p>
    <w:p w14:paraId="25DCBD25">
      <w:pPr>
        <w:pStyle w:val="24"/>
        <w:snapToGrid w:val="0"/>
        <w:spacing w:line="360" w:lineRule="auto"/>
        <w:ind w:left="2" w:leftChars="1" w:firstLine="422" w:firstLineChars="200"/>
        <w:rPr>
          <w:rFonts w:hint="eastAsia" w:hAnsi="宋体" w:eastAsia="宋体" w:cs="宋体"/>
          <w:b/>
          <w:color w:val="auto"/>
          <w:kern w:val="2"/>
          <w:sz w:val="21"/>
          <w:highlight w:val="none"/>
        </w:rPr>
      </w:pPr>
      <w:r>
        <w:rPr>
          <w:rFonts w:hint="eastAsia" w:hAnsi="宋体" w:eastAsia="宋体" w:cs="宋体"/>
          <w:b/>
          <w:color w:val="auto"/>
          <w:kern w:val="2"/>
          <w:sz w:val="21"/>
          <w:highlight w:val="none"/>
        </w:rPr>
        <w:t>（2）不同投标人委托同一单位或者个人办理投标事宜；</w:t>
      </w:r>
    </w:p>
    <w:p w14:paraId="4C385E19">
      <w:pPr>
        <w:pStyle w:val="24"/>
        <w:snapToGrid w:val="0"/>
        <w:spacing w:line="360" w:lineRule="auto"/>
        <w:ind w:left="2" w:leftChars="1" w:firstLine="422" w:firstLineChars="200"/>
        <w:rPr>
          <w:rFonts w:hint="eastAsia" w:hAnsi="宋体" w:eastAsia="宋体" w:cs="宋体"/>
          <w:b/>
          <w:color w:val="auto"/>
          <w:kern w:val="2"/>
          <w:sz w:val="21"/>
          <w:highlight w:val="none"/>
        </w:rPr>
      </w:pPr>
      <w:r>
        <w:rPr>
          <w:rFonts w:hint="eastAsia" w:hAnsi="宋体" w:eastAsia="宋体" w:cs="宋体"/>
          <w:b/>
          <w:color w:val="auto"/>
          <w:kern w:val="2"/>
          <w:sz w:val="21"/>
          <w:highlight w:val="none"/>
        </w:rPr>
        <w:t>（3）不同的投标人的投标文件载明的项目管</w:t>
      </w:r>
      <w:r>
        <w:rPr>
          <w:rFonts w:hint="eastAsia" w:hAnsi="宋体" w:eastAsia="宋体" w:cs="宋体"/>
          <w:b/>
          <w:color w:val="auto"/>
          <w:kern w:val="2"/>
          <w:sz w:val="21"/>
          <w:highlight w:val="none"/>
          <w:lang w:eastAsia="zh-CN"/>
        </w:rPr>
        <w:t>理人</w:t>
      </w:r>
      <w:r>
        <w:rPr>
          <w:rFonts w:hint="eastAsia" w:hAnsi="宋体" w:eastAsia="宋体" w:cs="宋体"/>
          <w:b/>
          <w:color w:val="auto"/>
          <w:kern w:val="2"/>
          <w:sz w:val="21"/>
          <w:highlight w:val="none"/>
        </w:rPr>
        <w:t>员为同一个人；</w:t>
      </w:r>
    </w:p>
    <w:p w14:paraId="260A98D8">
      <w:pPr>
        <w:pStyle w:val="24"/>
        <w:snapToGrid w:val="0"/>
        <w:spacing w:line="360" w:lineRule="auto"/>
        <w:ind w:left="2" w:leftChars="1" w:firstLine="422" w:firstLineChars="200"/>
        <w:rPr>
          <w:rFonts w:hint="eastAsia" w:hAnsi="宋体" w:eastAsia="宋体" w:cs="宋体"/>
          <w:b/>
          <w:color w:val="auto"/>
          <w:kern w:val="2"/>
          <w:sz w:val="21"/>
          <w:highlight w:val="none"/>
        </w:rPr>
      </w:pPr>
      <w:r>
        <w:rPr>
          <w:rFonts w:hint="eastAsia" w:hAnsi="宋体" w:eastAsia="宋体" w:cs="宋体"/>
          <w:b/>
          <w:color w:val="auto"/>
          <w:kern w:val="2"/>
          <w:sz w:val="21"/>
          <w:highlight w:val="none"/>
        </w:rPr>
        <w:t>（4）不同投标人的投标文件异常一致或者投标报价呈规律性差异；</w:t>
      </w:r>
    </w:p>
    <w:p w14:paraId="3A15AB29">
      <w:pPr>
        <w:pStyle w:val="24"/>
        <w:snapToGrid w:val="0"/>
        <w:spacing w:line="360" w:lineRule="auto"/>
        <w:ind w:left="2" w:leftChars="1" w:firstLine="422" w:firstLineChars="200"/>
        <w:rPr>
          <w:rFonts w:hint="eastAsia" w:hAnsi="宋体" w:eastAsia="宋体" w:cs="宋体"/>
          <w:b/>
          <w:color w:val="auto"/>
          <w:kern w:val="2"/>
          <w:sz w:val="21"/>
          <w:highlight w:val="none"/>
        </w:rPr>
      </w:pPr>
      <w:r>
        <w:rPr>
          <w:rFonts w:hint="eastAsia" w:hAnsi="宋体" w:eastAsia="宋体" w:cs="宋体"/>
          <w:b/>
          <w:color w:val="auto"/>
          <w:kern w:val="2"/>
          <w:sz w:val="21"/>
          <w:highlight w:val="none"/>
        </w:rPr>
        <w:t>（5）不同投标人的投标文件相互混装；</w:t>
      </w:r>
    </w:p>
    <w:p w14:paraId="599A770E">
      <w:pPr>
        <w:pStyle w:val="24"/>
        <w:snapToGrid w:val="0"/>
        <w:spacing w:line="360" w:lineRule="auto"/>
        <w:ind w:left="2" w:leftChars="1" w:firstLine="422" w:firstLineChars="200"/>
        <w:rPr>
          <w:rFonts w:hint="eastAsia" w:hAnsi="宋体" w:eastAsia="宋体" w:cs="宋体"/>
          <w:b/>
          <w:color w:val="auto"/>
          <w:kern w:val="2"/>
          <w:sz w:val="21"/>
          <w:highlight w:val="none"/>
        </w:rPr>
      </w:pPr>
      <w:r>
        <w:rPr>
          <w:rFonts w:hint="eastAsia" w:hAnsi="宋体" w:eastAsia="宋体" w:cs="宋体"/>
          <w:b/>
          <w:color w:val="auto"/>
          <w:kern w:val="2"/>
          <w:sz w:val="21"/>
          <w:highlight w:val="none"/>
        </w:rPr>
        <w:t>（6）不同投标人的投标保证金从同一单位或者个人账户转出。</w:t>
      </w:r>
    </w:p>
    <w:p w14:paraId="142819C9">
      <w:pPr>
        <w:pStyle w:val="7"/>
        <w:keepNext w:val="0"/>
        <w:keepLines w:val="0"/>
        <w:spacing w:before="0" w:after="0" w:line="360" w:lineRule="auto"/>
        <w:ind w:left="420" w:leftChars="200"/>
        <w:rPr>
          <w:rFonts w:hint="eastAsia" w:ascii="宋体" w:hAnsi="宋体" w:eastAsia="宋体" w:cs="宋体"/>
          <w:b w:val="0"/>
          <w:color w:val="auto"/>
          <w:sz w:val="21"/>
          <w:szCs w:val="21"/>
          <w:highlight w:val="none"/>
        </w:rPr>
      </w:pPr>
      <w:r>
        <w:rPr>
          <w:rFonts w:hint="eastAsia" w:ascii="宋体" w:hAnsi="宋体" w:eastAsia="宋体" w:cs="宋体"/>
          <w:b w:val="0"/>
          <w:color w:val="auto"/>
          <w:sz w:val="21"/>
          <w:szCs w:val="21"/>
          <w:highlight w:val="none"/>
        </w:rPr>
        <w:t>9.3供应商有下列情形之一的，属于恶意串通行为，将报同级监督管理部门：</w:t>
      </w:r>
    </w:p>
    <w:p w14:paraId="76E582A7">
      <w:pPr>
        <w:pStyle w:val="24"/>
        <w:snapToGrid w:val="0"/>
        <w:spacing w:line="360" w:lineRule="auto"/>
        <w:ind w:left="2" w:leftChars="1" w:firstLine="420" w:firstLineChars="200"/>
        <w:rPr>
          <w:rFonts w:hint="eastAsia" w:hAnsi="宋体" w:eastAsia="宋体" w:cs="宋体"/>
          <w:color w:val="auto"/>
          <w:kern w:val="2"/>
          <w:sz w:val="21"/>
          <w:highlight w:val="none"/>
        </w:rPr>
      </w:pPr>
      <w:r>
        <w:rPr>
          <w:rFonts w:hint="eastAsia" w:hAnsi="宋体" w:eastAsia="宋体" w:cs="宋体"/>
          <w:color w:val="auto"/>
          <w:kern w:val="2"/>
          <w:sz w:val="21"/>
          <w:highlight w:val="none"/>
        </w:rPr>
        <w:t>（1）供应商直接或者间接从采购人或者采购代理机构处获得其他供应商的相关信息并修改其投标文件或者响应文件；</w:t>
      </w:r>
    </w:p>
    <w:p w14:paraId="5B3E2B82">
      <w:pPr>
        <w:pStyle w:val="24"/>
        <w:snapToGrid w:val="0"/>
        <w:spacing w:line="360" w:lineRule="auto"/>
        <w:ind w:left="2" w:leftChars="1" w:firstLine="420" w:firstLineChars="200"/>
        <w:rPr>
          <w:rFonts w:hint="eastAsia" w:hAnsi="宋体" w:eastAsia="宋体" w:cs="宋体"/>
          <w:color w:val="auto"/>
          <w:kern w:val="2"/>
          <w:sz w:val="21"/>
          <w:highlight w:val="none"/>
        </w:rPr>
      </w:pPr>
      <w:r>
        <w:rPr>
          <w:rFonts w:hint="eastAsia" w:hAnsi="宋体" w:eastAsia="宋体" w:cs="宋体"/>
          <w:color w:val="auto"/>
          <w:kern w:val="2"/>
          <w:sz w:val="21"/>
          <w:highlight w:val="none"/>
        </w:rPr>
        <w:t>（2）供应商按照采购人或者采购代理机构的授意撤换、修改投标文件或者响应文件；</w:t>
      </w:r>
    </w:p>
    <w:p w14:paraId="477C451B">
      <w:pPr>
        <w:pStyle w:val="24"/>
        <w:snapToGrid w:val="0"/>
        <w:spacing w:line="360" w:lineRule="auto"/>
        <w:ind w:left="2" w:leftChars="1" w:firstLine="420" w:firstLineChars="200"/>
        <w:rPr>
          <w:rFonts w:hint="eastAsia" w:hAnsi="宋体" w:eastAsia="宋体" w:cs="宋体"/>
          <w:color w:val="auto"/>
          <w:kern w:val="2"/>
          <w:sz w:val="21"/>
          <w:highlight w:val="none"/>
        </w:rPr>
      </w:pPr>
      <w:r>
        <w:rPr>
          <w:rFonts w:hint="eastAsia" w:hAnsi="宋体" w:eastAsia="宋体" w:cs="宋体"/>
          <w:color w:val="auto"/>
          <w:kern w:val="2"/>
          <w:sz w:val="21"/>
          <w:highlight w:val="none"/>
        </w:rPr>
        <w:t>（3）供应商之间协商报价、技术方案等投标文件或者响应文件的实质性内容；</w:t>
      </w:r>
    </w:p>
    <w:p w14:paraId="610D5E9C">
      <w:pPr>
        <w:pStyle w:val="24"/>
        <w:snapToGrid w:val="0"/>
        <w:spacing w:line="360" w:lineRule="auto"/>
        <w:ind w:left="2" w:leftChars="1" w:firstLine="420" w:firstLineChars="200"/>
        <w:rPr>
          <w:rFonts w:hint="eastAsia" w:hAnsi="宋体" w:eastAsia="宋体" w:cs="宋体"/>
          <w:color w:val="auto"/>
          <w:kern w:val="2"/>
          <w:sz w:val="21"/>
          <w:highlight w:val="none"/>
        </w:rPr>
      </w:pPr>
      <w:r>
        <w:rPr>
          <w:rFonts w:hint="eastAsia" w:hAnsi="宋体" w:eastAsia="宋体" w:cs="宋体"/>
          <w:color w:val="auto"/>
          <w:kern w:val="2"/>
          <w:sz w:val="21"/>
          <w:highlight w:val="none"/>
        </w:rPr>
        <w:t>（4）属于同一集团、协会、商会等组织成员的供应商按照该组织要求协同参加政府采购活动；</w:t>
      </w:r>
    </w:p>
    <w:p w14:paraId="699C2773">
      <w:pPr>
        <w:pStyle w:val="24"/>
        <w:snapToGrid w:val="0"/>
        <w:spacing w:line="360" w:lineRule="auto"/>
        <w:ind w:left="2" w:leftChars="1" w:firstLine="420" w:firstLineChars="200"/>
        <w:rPr>
          <w:rFonts w:hint="eastAsia" w:hAnsi="宋体" w:eastAsia="宋体" w:cs="宋体"/>
          <w:color w:val="auto"/>
          <w:kern w:val="2"/>
          <w:sz w:val="21"/>
          <w:highlight w:val="none"/>
        </w:rPr>
      </w:pPr>
      <w:r>
        <w:rPr>
          <w:rFonts w:hint="eastAsia" w:hAnsi="宋体" w:eastAsia="宋体" w:cs="宋体"/>
          <w:color w:val="auto"/>
          <w:kern w:val="2"/>
          <w:sz w:val="21"/>
          <w:highlight w:val="none"/>
        </w:rPr>
        <w:t>（5）供应商之间事先约定一致抬高或者压低投标报价，或者在招标项目中事先约定轮流以高价位或者低价位中标，或者事先约定由某一特定供应商中标，然后再参加投标；</w:t>
      </w:r>
    </w:p>
    <w:p w14:paraId="2AE0B286">
      <w:pPr>
        <w:pStyle w:val="24"/>
        <w:snapToGrid w:val="0"/>
        <w:spacing w:line="360" w:lineRule="auto"/>
        <w:ind w:left="2" w:leftChars="1" w:firstLine="420" w:firstLineChars="200"/>
        <w:rPr>
          <w:rFonts w:hint="eastAsia" w:hAnsi="宋体" w:eastAsia="宋体" w:cs="宋体"/>
          <w:color w:val="auto"/>
          <w:kern w:val="2"/>
          <w:sz w:val="21"/>
          <w:highlight w:val="none"/>
        </w:rPr>
      </w:pPr>
      <w:r>
        <w:rPr>
          <w:rFonts w:hint="eastAsia" w:hAnsi="宋体" w:eastAsia="宋体" w:cs="宋体"/>
          <w:color w:val="auto"/>
          <w:kern w:val="2"/>
          <w:sz w:val="21"/>
          <w:highlight w:val="none"/>
        </w:rPr>
        <w:t>（6）供应商之间商定部分供应商放弃参加政府采购活动或者放弃中标；</w:t>
      </w:r>
    </w:p>
    <w:p w14:paraId="69C0918D">
      <w:pPr>
        <w:pStyle w:val="24"/>
        <w:snapToGrid w:val="0"/>
        <w:spacing w:line="360" w:lineRule="auto"/>
        <w:ind w:left="2" w:leftChars="1" w:firstLine="420" w:firstLineChars="200"/>
        <w:rPr>
          <w:rFonts w:hint="eastAsia" w:hAnsi="宋体" w:eastAsia="宋体" w:cs="宋体"/>
          <w:color w:val="auto"/>
          <w:kern w:val="2"/>
          <w:sz w:val="21"/>
          <w:highlight w:val="none"/>
        </w:rPr>
      </w:pPr>
      <w:r>
        <w:rPr>
          <w:rFonts w:hint="eastAsia" w:hAnsi="宋体" w:eastAsia="宋体" w:cs="宋体"/>
          <w:color w:val="auto"/>
          <w:kern w:val="2"/>
          <w:sz w:val="21"/>
          <w:highlight w:val="none"/>
        </w:rPr>
        <w:t>（7）供应商与采购人或者采购代理机构之间、供应商相互之间，为谋求特定供应商中标或者排斥其他供应商的其他串通行为。</w:t>
      </w:r>
    </w:p>
    <w:p w14:paraId="2A98EEEE">
      <w:pPr>
        <w:pStyle w:val="24"/>
        <w:snapToGrid w:val="0"/>
        <w:spacing w:line="360" w:lineRule="auto"/>
        <w:ind w:left="2" w:leftChars="1" w:firstLine="422" w:firstLineChars="200"/>
        <w:rPr>
          <w:rFonts w:hint="eastAsia" w:hAnsi="宋体" w:eastAsia="宋体" w:cs="宋体"/>
          <w:b/>
          <w:color w:val="auto"/>
          <w:kern w:val="2"/>
          <w:sz w:val="21"/>
          <w:highlight w:val="none"/>
        </w:rPr>
      </w:pPr>
    </w:p>
    <w:p w14:paraId="43AB0329">
      <w:pPr>
        <w:pStyle w:val="5"/>
        <w:keepNext w:val="0"/>
        <w:keepLines w:val="0"/>
        <w:jc w:val="center"/>
        <w:rPr>
          <w:rFonts w:hint="eastAsia" w:ascii="宋体" w:hAnsi="宋体" w:eastAsia="宋体" w:cs="宋体"/>
          <w:color w:val="auto"/>
          <w:highlight w:val="none"/>
        </w:rPr>
      </w:pPr>
      <w:bookmarkStart w:id="100" w:name="_Toc254970534"/>
      <w:bookmarkStart w:id="101" w:name="_Toc254970675"/>
      <w:r>
        <w:rPr>
          <w:rFonts w:hint="eastAsia" w:ascii="宋体" w:hAnsi="宋体" w:eastAsia="宋体" w:cs="宋体"/>
          <w:color w:val="auto"/>
          <w:highlight w:val="none"/>
        </w:rPr>
        <w:t>二、招标文件</w:t>
      </w:r>
      <w:bookmarkEnd w:id="100"/>
      <w:bookmarkEnd w:id="101"/>
    </w:p>
    <w:p w14:paraId="69479DB9">
      <w:pPr>
        <w:pStyle w:val="7"/>
        <w:keepNext w:val="0"/>
        <w:keepLines w:val="0"/>
        <w:spacing w:before="0" w:after="0" w:line="360" w:lineRule="auto"/>
        <w:ind w:left="420" w:left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10.招标文件的组成</w:t>
      </w:r>
    </w:p>
    <w:p w14:paraId="5CAD6F80">
      <w:pPr>
        <w:snapToGrid w:val="0"/>
        <w:spacing w:line="360" w:lineRule="auto"/>
        <w:ind w:firstLine="42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（1）招标公告；</w:t>
      </w:r>
    </w:p>
    <w:p w14:paraId="780B218E">
      <w:pPr>
        <w:snapToGrid w:val="0"/>
        <w:spacing w:line="360" w:lineRule="auto"/>
        <w:ind w:firstLine="42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（2）采购需求； </w:t>
      </w:r>
    </w:p>
    <w:p w14:paraId="288F36E5">
      <w:pPr>
        <w:snapToGrid w:val="0"/>
        <w:spacing w:line="360" w:lineRule="auto"/>
        <w:ind w:firstLine="42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（3）投标人须知；</w:t>
      </w:r>
    </w:p>
    <w:p w14:paraId="3D661A34">
      <w:pPr>
        <w:snapToGrid w:val="0"/>
        <w:spacing w:line="360" w:lineRule="auto"/>
        <w:ind w:firstLine="42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（4）评标方法及评标标准；</w:t>
      </w:r>
    </w:p>
    <w:p w14:paraId="0E61786E">
      <w:pPr>
        <w:snapToGrid w:val="0"/>
        <w:spacing w:line="360" w:lineRule="auto"/>
        <w:ind w:firstLine="42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（5）拟签订的合同文本；</w:t>
      </w:r>
    </w:p>
    <w:p w14:paraId="2C5ABB62">
      <w:pPr>
        <w:snapToGrid w:val="0"/>
        <w:spacing w:line="360" w:lineRule="auto"/>
        <w:ind w:firstLine="42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（6）投标文件格式。</w:t>
      </w:r>
    </w:p>
    <w:p w14:paraId="284460C9">
      <w:pPr>
        <w:pStyle w:val="7"/>
        <w:keepNext w:val="0"/>
        <w:keepLines w:val="0"/>
        <w:spacing w:before="0" w:after="0" w:line="360" w:lineRule="auto"/>
        <w:ind w:left="420" w:left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11.招标文件的澄清、修改 、现场考察和答疑会</w:t>
      </w:r>
    </w:p>
    <w:p w14:paraId="4B09EC14">
      <w:pPr>
        <w:pStyle w:val="7"/>
        <w:keepNext w:val="0"/>
        <w:keepLines w:val="0"/>
        <w:spacing w:before="0" w:after="0" w:line="360" w:lineRule="auto"/>
        <w:ind w:firstLine="315" w:firstLineChars="150"/>
        <w:rPr>
          <w:rFonts w:hint="eastAsia" w:ascii="宋体" w:hAnsi="宋体" w:eastAsia="宋体" w:cs="宋体"/>
          <w:b w:val="0"/>
          <w:color w:val="auto"/>
          <w:sz w:val="21"/>
          <w:szCs w:val="21"/>
          <w:highlight w:val="none"/>
        </w:rPr>
      </w:pPr>
      <w:r>
        <w:rPr>
          <w:rFonts w:hint="eastAsia" w:ascii="宋体" w:hAnsi="宋体" w:eastAsia="宋体" w:cs="宋体"/>
          <w:b w:val="0"/>
          <w:color w:val="auto"/>
          <w:sz w:val="21"/>
          <w:szCs w:val="21"/>
          <w:highlight w:val="none"/>
        </w:rPr>
        <w:t xml:space="preserve"> 11.1投标人应认真审阅本招标文件，如有疑问，或发现其中有误或有要求不合理的，应在招标公告公告期限届满之日起7个工作日内以纸质书面形式要求采购人或采购代理机构对招标文件予以澄清；否则，由此产生的后果由投标人自行负责。</w:t>
      </w:r>
    </w:p>
    <w:p w14:paraId="211C0BB0">
      <w:pPr>
        <w:pStyle w:val="7"/>
        <w:keepNext w:val="0"/>
        <w:keepLines w:val="0"/>
        <w:numPr>
          <w:ilvl w:val="0"/>
          <w:numId w:val="0"/>
        </w:numPr>
        <w:spacing w:before="0" w:after="0" w:line="360" w:lineRule="auto"/>
        <w:ind w:firstLine="420" w:firstLineChars="200"/>
        <w:rPr>
          <w:rFonts w:hint="eastAsia" w:ascii="宋体" w:hAnsi="宋体" w:eastAsia="宋体" w:cs="宋体"/>
          <w:color w:val="auto"/>
          <w:highlight w:val="none"/>
        </w:rPr>
      </w:pPr>
      <w:r>
        <w:rPr>
          <w:rFonts w:hint="eastAsia" w:ascii="宋体" w:hAnsi="宋体" w:eastAsia="宋体" w:cs="宋体"/>
          <w:b w:val="0"/>
          <w:color w:val="auto"/>
          <w:sz w:val="21"/>
          <w:szCs w:val="21"/>
          <w:highlight w:val="none"/>
        </w:rPr>
        <w:t>11.2采购人或者采购代理机构可以对已发出的招标文件进行必要的澄清或者修改，但不得改变采购标的和资格条件。澄清或者修改将在原公告发布媒体上发布更正公告。澄清或者修改的内容为招标文件的组成部分。澄清或者修改的内容可能影响投标文件编制的，采购人或者采购代理机构应当在投标截止时间至少15日前，在原公告发布媒体上发布更正公告；不足15日的，采购人或者采购代理机构应当顺延提交投标文件的截止时间。</w:t>
      </w:r>
    </w:p>
    <w:p w14:paraId="08A0A961">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highlight w:val="none"/>
        </w:rPr>
        <w:t>11.3采购人和采购代理机构可以视采购具体情况，变更投标截止时间和开标时间，并</w:t>
      </w:r>
      <w:r>
        <w:rPr>
          <w:rFonts w:hint="eastAsia" w:ascii="宋体" w:hAnsi="宋体" w:eastAsia="宋体" w:cs="宋体"/>
          <w:color w:val="auto"/>
          <w:szCs w:val="21"/>
          <w:highlight w:val="none"/>
        </w:rPr>
        <w:t>在原公告发布媒体上发布更正公告。</w:t>
      </w:r>
    </w:p>
    <w:p w14:paraId="7F651D20">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szCs w:val="21"/>
          <w:highlight w:val="none"/>
        </w:rPr>
        <w:t>11.4招标文件澄清、答复、修改、补充的内容为招标文件的组成部分。</w:t>
      </w:r>
      <w:r>
        <w:rPr>
          <w:rFonts w:hint="eastAsia" w:ascii="宋体" w:hAnsi="宋体" w:eastAsia="宋体" w:cs="宋体"/>
          <w:b/>
          <w:color w:val="auto"/>
          <w:szCs w:val="21"/>
          <w:highlight w:val="none"/>
        </w:rPr>
        <w:t>当招标文件与招标文件的澄清、答复、修改、补充通知就同一内容的表述不一致时，以最后发出的文件为准。</w:t>
      </w:r>
    </w:p>
    <w:p w14:paraId="45AE9A95">
      <w:pPr>
        <w:pStyle w:val="24"/>
        <w:snapToGrid w:val="0"/>
        <w:spacing w:line="360" w:lineRule="auto"/>
        <w:ind w:firstLine="420" w:firstLineChars="200"/>
        <w:rPr>
          <w:rFonts w:hint="eastAsia" w:hAnsi="宋体" w:eastAsia="宋体" w:cs="宋体"/>
          <w:color w:val="auto"/>
          <w:sz w:val="21"/>
          <w:highlight w:val="none"/>
        </w:rPr>
      </w:pPr>
      <w:r>
        <w:rPr>
          <w:rFonts w:hint="eastAsia" w:hAnsi="宋体" w:eastAsia="宋体" w:cs="宋体"/>
          <w:color w:val="auto"/>
          <w:sz w:val="21"/>
          <w:highlight w:val="none"/>
        </w:rPr>
        <w:t>11.</w:t>
      </w:r>
      <w:bookmarkStart w:id="102" w:name="_Hlk53134511"/>
      <w:r>
        <w:rPr>
          <w:rFonts w:hint="eastAsia" w:hAnsi="宋体" w:eastAsia="宋体" w:cs="宋体"/>
          <w:color w:val="auto"/>
          <w:sz w:val="21"/>
          <w:highlight w:val="none"/>
        </w:rPr>
        <w:t>5采购人或者采购代理机构可以在招标文件提供期限截止后，组织已获取招标文件的潜在投标人现场考察或者召开开标前答疑会，具体详见“投标人须知前附表”。</w:t>
      </w:r>
    </w:p>
    <w:p w14:paraId="1A356F41">
      <w:pPr>
        <w:pStyle w:val="24"/>
        <w:snapToGrid w:val="0"/>
        <w:spacing w:line="360" w:lineRule="auto"/>
        <w:ind w:firstLine="420" w:firstLineChars="200"/>
        <w:rPr>
          <w:rFonts w:hint="eastAsia" w:hAnsi="宋体" w:eastAsia="宋体" w:cs="宋体"/>
          <w:color w:val="auto"/>
          <w:sz w:val="21"/>
          <w:highlight w:val="none"/>
        </w:rPr>
      </w:pPr>
    </w:p>
    <w:bookmarkEnd w:id="102"/>
    <w:p w14:paraId="1BBBE595">
      <w:pPr>
        <w:pStyle w:val="5"/>
        <w:keepNext w:val="0"/>
        <w:keepLines w:val="0"/>
        <w:jc w:val="center"/>
        <w:rPr>
          <w:rFonts w:hint="eastAsia" w:ascii="宋体" w:hAnsi="宋体" w:eastAsia="宋体" w:cs="宋体"/>
          <w:color w:val="auto"/>
          <w:highlight w:val="none"/>
        </w:rPr>
      </w:pPr>
      <w:bookmarkStart w:id="103" w:name="_Toc254970676"/>
      <w:bookmarkStart w:id="104" w:name="_Toc254970535"/>
      <w:r>
        <w:rPr>
          <w:rFonts w:hint="eastAsia" w:ascii="宋体" w:hAnsi="宋体" w:eastAsia="宋体" w:cs="宋体"/>
          <w:color w:val="auto"/>
          <w:highlight w:val="none"/>
        </w:rPr>
        <w:t>三、投标文件的编制</w:t>
      </w:r>
      <w:bookmarkEnd w:id="103"/>
      <w:bookmarkEnd w:id="104"/>
    </w:p>
    <w:p w14:paraId="0413BE5A">
      <w:pPr>
        <w:pStyle w:val="7"/>
        <w:keepNext w:val="0"/>
        <w:keepLines w:val="0"/>
        <w:spacing w:before="0" w:after="0" w:line="360" w:lineRule="auto"/>
        <w:ind w:left="420" w:leftChars="200"/>
        <w:rPr>
          <w:rFonts w:hint="eastAsia" w:ascii="宋体" w:hAnsi="宋体" w:eastAsia="宋体" w:cs="宋体"/>
          <w:color w:val="auto"/>
          <w:sz w:val="24"/>
          <w:highlight w:val="none"/>
        </w:rPr>
      </w:pPr>
      <w:bookmarkStart w:id="105" w:name="_Toc254970536"/>
      <w:bookmarkStart w:id="106" w:name="_Toc254970677"/>
      <w:r>
        <w:rPr>
          <w:rFonts w:hint="eastAsia" w:ascii="宋体" w:hAnsi="宋体" w:eastAsia="宋体" w:cs="宋体"/>
          <w:color w:val="auto"/>
          <w:sz w:val="24"/>
          <w:highlight w:val="none"/>
        </w:rPr>
        <w:t>12.投标文件的编制原则</w:t>
      </w:r>
    </w:p>
    <w:p w14:paraId="08F9F6A6">
      <w:pPr>
        <w:snapToGrid w:val="0"/>
        <w:spacing w:line="360" w:lineRule="auto"/>
        <w:ind w:firstLine="42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投标人必须按照招标文件的要求编制投标文件。投标文件必须对招标文件提出的要求和条件作出明确响应。</w:t>
      </w:r>
    </w:p>
    <w:p w14:paraId="66DDC523">
      <w:pPr>
        <w:pStyle w:val="7"/>
        <w:keepNext w:val="0"/>
        <w:keepLines w:val="0"/>
        <w:spacing w:before="0" w:after="0" w:line="360" w:lineRule="auto"/>
        <w:ind w:left="420" w:left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13.投标文件的组成</w:t>
      </w:r>
      <w:bookmarkEnd w:id="105"/>
      <w:bookmarkEnd w:id="106"/>
    </w:p>
    <w:p w14:paraId="02B0A8DB">
      <w:pPr>
        <w:snapToGrid w:val="0"/>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13.1投标文件由报价文件、资格证明文件、商务文件、技术文件四部分组成。</w:t>
      </w:r>
    </w:p>
    <w:p w14:paraId="7DA73B95">
      <w:pPr>
        <w:pStyle w:val="7"/>
        <w:keepNext w:val="0"/>
        <w:keepLines w:val="0"/>
        <w:spacing w:before="0" w:after="0" w:line="360" w:lineRule="auto"/>
        <w:ind w:left="420" w:leftChars="200"/>
        <w:rPr>
          <w:rFonts w:hint="eastAsia" w:ascii="宋体" w:hAnsi="宋体" w:eastAsia="宋体" w:cs="宋体"/>
          <w:b w:val="0"/>
          <w:color w:val="auto"/>
          <w:sz w:val="21"/>
          <w:szCs w:val="21"/>
          <w:highlight w:val="none"/>
        </w:rPr>
      </w:pPr>
      <w:bookmarkStart w:id="107" w:name="_13.1报价文件:_具体材料见“投标人须知前附表”。"/>
      <w:bookmarkEnd w:id="107"/>
      <w:r>
        <w:rPr>
          <w:rFonts w:hint="eastAsia" w:ascii="宋体" w:hAnsi="宋体" w:eastAsia="宋体" w:cs="宋体"/>
          <w:b w:val="0"/>
          <w:color w:val="auto"/>
          <w:sz w:val="21"/>
          <w:szCs w:val="21"/>
          <w:highlight w:val="none"/>
        </w:rPr>
        <w:t>（1）报价文件： 具体材料见“投标人须知前附表”。</w:t>
      </w:r>
    </w:p>
    <w:p w14:paraId="0BCD6556">
      <w:pPr>
        <w:pStyle w:val="7"/>
        <w:keepNext w:val="0"/>
        <w:keepLines w:val="0"/>
        <w:spacing w:before="0" w:after="0" w:line="360" w:lineRule="auto"/>
        <w:ind w:left="420" w:leftChars="200"/>
        <w:rPr>
          <w:rFonts w:hint="eastAsia" w:ascii="宋体" w:hAnsi="宋体" w:eastAsia="宋体" w:cs="宋体"/>
          <w:b w:val="0"/>
          <w:color w:val="auto"/>
          <w:sz w:val="21"/>
          <w:szCs w:val="21"/>
          <w:highlight w:val="none"/>
        </w:rPr>
      </w:pPr>
      <w:bookmarkStart w:id="108" w:name="_13.2资格证明文件：具体材料见“投标人须知前附表”。"/>
      <w:bookmarkEnd w:id="108"/>
      <w:r>
        <w:rPr>
          <w:rFonts w:hint="eastAsia" w:ascii="宋体" w:hAnsi="宋体" w:eastAsia="宋体" w:cs="宋体"/>
          <w:b w:val="0"/>
          <w:color w:val="auto"/>
          <w:sz w:val="21"/>
          <w:szCs w:val="21"/>
          <w:highlight w:val="none"/>
        </w:rPr>
        <w:t>（2）资格证明文件：具体材料见“投标人须知前附表”。</w:t>
      </w:r>
    </w:p>
    <w:p w14:paraId="7262C406">
      <w:pPr>
        <w:pStyle w:val="7"/>
        <w:keepNext w:val="0"/>
        <w:keepLines w:val="0"/>
        <w:spacing w:before="0" w:after="0" w:line="360" w:lineRule="auto"/>
        <w:ind w:left="420" w:leftChars="200"/>
        <w:rPr>
          <w:rFonts w:hint="eastAsia" w:ascii="宋体" w:hAnsi="宋体" w:eastAsia="宋体" w:cs="宋体"/>
          <w:b w:val="0"/>
          <w:color w:val="auto"/>
          <w:sz w:val="21"/>
          <w:szCs w:val="21"/>
          <w:highlight w:val="none"/>
        </w:rPr>
      </w:pPr>
      <w:bookmarkStart w:id="109" w:name="_13.3商务文件:_具体材料见“投标人须知前附表”。"/>
      <w:bookmarkEnd w:id="109"/>
      <w:r>
        <w:rPr>
          <w:rFonts w:hint="eastAsia" w:ascii="宋体" w:hAnsi="宋体" w:eastAsia="宋体" w:cs="宋体"/>
          <w:b w:val="0"/>
          <w:color w:val="auto"/>
          <w:sz w:val="21"/>
          <w:szCs w:val="21"/>
          <w:highlight w:val="none"/>
        </w:rPr>
        <w:t>（3）商务文件：具体材料见“投标人须知前附表”。</w:t>
      </w:r>
    </w:p>
    <w:p w14:paraId="3F303506">
      <w:pPr>
        <w:pStyle w:val="7"/>
        <w:keepNext w:val="0"/>
        <w:keepLines w:val="0"/>
        <w:spacing w:before="0" w:after="0" w:line="360" w:lineRule="auto"/>
        <w:ind w:left="420" w:leftChars="200"/>
        <w:rPr>
          <w:rFonts w:hint="eastAsia" w:ascii="宋体" w:hAnsi="宋体" w:eastAsia="宋体" w:cs="宋体"/>
          <w:b w:val="0"/>
          <w:color w:val="auto"/>
          <w:sz w:val="21"/>
          <w:szCs w:val="21"/>
          <w:highlight w:val="none"/>
        </w:rPr>
      </w:pPr>
      <w:bookmarkStart w:id="110" w:name="_13.4技术文件：具体材料见“投标人须知前附表”。"/>
      <w:bookmarkEnd w:id="110"/>
      <w:r>
        <w:rPr>
          <w:rFonts w:hint="eastAsia" w:ascii="宋体" w:hAnsi="宋体" w:eastAsia="宋体" w:cs="宋体"/>
          <w:b w:val="0"/>
          <w:color w:val="auto"/>
          <w:sz w:val="21"/>
          <w:szCs w:val="21"/>
          <w:highlight w:val="none"/>
        </w:rPr>
        <w:t>（4）技术文件：具体材料见“投标人须知前附表”。</w:t>
      </w:r>
      <w:bookmarkStart w:id="111" w:name="_13.5投标文件电子版：具体材料见“投标人须知前附表”。"/>
      <w:bookmarkEnd w:id="111"/>
    </w:p>
    <w:p w14:paraId="33EF7AB5">
      <w:pPr>
        <w:pStyle w:val="7"/>
        <w:keepNext w:val="0"/>
        <w:keepLines w:val="0"/>
        <w:spacing w:before="0" w:after="0" w:line="360" w:lineRule="auto"/>
        <w:ind w:left="420" w:leftChars="200"/>
        <w:rPr>
          <w:rFonts w:hint="eastAsia" w:ascii="宋体" w:hAnsi="宋体" w:eastAsia="宋体" w:cs="宋体"/>
          <w:color w:val="auto"/>
          <w:sz w:val="24"/>
          <w:highlight w:val="none"/>
        </w:rPr>
      </w:pPr>
      <w:bookmarkStart w:id="112" w:name="_Toc254970537"/>
      <w:bookmarkStart w:id="113" w:name="_Toc254970678"/>
      <w:r>
        <w:rPr>
          <w:rFonts w:hint="eastAsia" w:ascii="宋体" w:hAnsi="宋体" w:eastAsia="宋体" w:cs="宋体"/>
          <w:color w:val="auto"/>
          <w:sz w:val="24"/>
          <w:highlight w:val="none"/>
        </w:rPr>
        <w:t>14.投标文件的语言及计量</w:t>
      </w:r>
      <w:bookmarkEnd w:id="112"/>
      <w:bookmarkEnd w:id="113"/>
    </w:p>
    <w:p w14:paraId="445C0F46">
      <w:pPr>
        <w:pStyle w:val="7"/>
        <w:keepNext w:val="0"/>
        <w:keepLines w:val="0"/>
        <w:spacing w:before="0" w:after="0" w:line="360" w:lineRule="auto"/>
        <w:ind w:left="420" w:leftChars="200"/>
        <w:rPr>
          <w:rFonts w:hint="eastAsia" w:ascii="宋体" w:hAnsi="宋体" w:eastAsia="宋体" w:cs="宋体"/>
          <w:b w:val="0"/>
          <w:color w:val="auto"/>
          <w:sz w:val="21"/>
          <w:szCs w:val="21"/>
          <w:highlight w:val="none"/>
        </w:rPr>
      </w:pPr>
      <w:r>
        <w:rPr>
          <w:rFonts w:hint="eastAsia" w:ascii="宋体" w:hAnsi="宋体" w:eastAsia="宋体" w:cs="宋体"/>
          <w:b w:val="0"/>
          <w:color w:val="auto"/>
          <w:sz w:val="21"/>
          <w:szCs w:val="21"/>
          <w:highlight w:val="none"/>
        </w:rPr>
        <w:t>14.1语言文字</w:t>
      </w:r>
    </w:p>
    <w:p w14:paraId="6E807D94">
      <w:pPr>
        <w:pStyle w:val="7"/>
        <w:keepNext w:val="0"/>
        <w:keepLines w:val="0"/>
        <w:spacing w:before="0" w:after="0" w:line="360" w:lineRule="auto"/>
        <w:ind w:firstLine="420" w:firstLineChars="200"/>
        <w:rPr>
          <w:rFonts w:hint="eastAsia" w:ascii="宋体" w:hAnsi="宋体" w:eastAsia="宋体" w:cs="宋体"/>
          <w:b w:val="0"/>
          <w:color w:val="auto"/>
          <w:sz w:val="21"/>
          <w:szCs w:val="21"/>
          <w:highlight w:val="none"/>
        </w:rPr>
      </w:pPr>
      <w:r>
        <w:rPr>
          <w:rFonts w:hint="eastAsia" w:ascii="宋体" w:hAnsi="宋体" w:eastAsia="宋体" w:cs="宋体"/>
          <w:b w:val="0"/>
          <w:color w:val="auto"/>
          <w:sz w:val="21"/>
          <w:szCs w:val="21"/>
          <w:highlight w:val="none"/>
        </w:rPr>
        <w:t>投标文件以及投标人与采购人就有关投标事宜的所有来往函电，均应以中文书写（除专用术语外，与招标投标有关的语言均使用中文。必要时专用术语应附有中文注释）。投标人提交的支持文件和印刷的文献可以使用别的语言，但其相应内容应同时附中文翻译文本，在解释投标文件时以中文翻译文本为主。对不同文字文本投标文件的解释发生异议的，以中文文本为准。</w:t>
      </w:r>
    </w:p>
    <w:p w14:paraId="4D014CFB">
      <w:pPr>
        <w:pStyle w:val="7"/>
        <w:keepNext w:val="0"/>
        <w:keepLines w:val="0"/>
        <w:spacing w:before="0" w:after="0" w:line="360" w:lineRule="auto"/>
        <w:ind w:firstLine="420" w:firstLineChars="200"/>
        <w:rPr>
          <w:rFonts w:hint="eastAsia" w:ascii="宋体" w:hAnsi="宋体" w:eastAsia="宋体" w:cs="宋体"/>
          <w:b w:val="0"/>
          <w:color w:val="auto"/>
          <w:sz w:val="21"/>
          <w:szCs w:val="21"/>
          <w:highlight w:val="none"/>
        </w:rPr>
      </w:pPr>
      <w:r>
        <w:rPr>
          <w:rFonts w:hint="eastAsia" w:ascii="宋体" w:hAnsi="宋体" w:eastAsia="宋体" w:cs="宋体"/>
          <w:b w:val="0"/>
          <w:color w:val="auto"/>
          <w:sz w:val="21"/>
          <w:szCs w:val="21"/>
          <w:highlight w:val="none"/>
        </w:rPr>
        <w:t>14.2投标计量单位</w:t>
      </w:r>
    </w:p>
    <w:p w14:paraId="73F672BA">
      <w:pPr>
        <w:pStyle w:val="7"/>
        <w:keepNext w:val="0"/>
        <w:keepLines w:val="0"/>
        <w:spacing w:before="0" w:after="0" w:line="360" w:lineRule="auto"/>
        <w:ind w:firstLine="420" w:firstLineChars="200"/>
        <w:rPr>
          <w:rFonts w:hint="eastAsia" w:ascii="宋体" w:hAnsi="宋体" w:eastAsia="宋体" w:cs="宋体"/>
          <w:b w:val="0"/>
          <w:color w:val="auto"/>
          <w:sz w:val="21"/>
          <w:szCs w:val="21"/>
          <w:highlight w:val="none"/>
        </w:rPr>
      </w:pPr>
      <w:r>
        <w:rPr>
          <w:rFonts w:hint="eastAsia" w:ascii="宋体" w:hAnsi="宋体" w:eastAsia="宋体" w:cs="宋体"/>
          <w:b w:val="0"/>
          <w:color w:val="auto"/>
          <w:sz w:val="21"/>
          <w:szCs w:val="21"/>
          <w:highlight w:val="none"/>
        </w:rPr>
        <w:t>招标文件已有明确规定的，使用招标文件规定的计量单位；招标文件没有规定的，应采用中华人民共和国法定计量单位，货币种类为人民币，否则视同未响应。</w:t>
      </w:r>
    </w:p>
    <w:p w14:paraId="1A597EE9">
      <w:pPr>
        <w:pStyle w:val="7"/>
        <w:keepNext w:val="0"/>
        <w:keepLines w:val="0"/>
        <w:spacing w:before="0" w:after="0" w:line="360" w:lineRule="auto"/>
        <w:ind w:left="420" w:left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15.投标的风险</w:t>
      </w:r>
    </w:p>
    <w:p w14:paraId="14123622">
      <w:pPr>
        <w:pStyle w:val="24"/>
        <w:snapToGrid w:val="0"/>
        <w:spacing w:line="360" w:lineRule="auto"/>
        <w:ind w:firstLine="420" w:firstLineChars="200"/>
        <w:jc w:val="left"/>
        <w:rPr>
          <w:rFonts w:hint="eastAsia" w:hAnsi="宋体" w:eastAsia="宋体" w:cs="宋体"/>
          <w:color w:val="auto"/>
          <w:sz w:val="21"/>
          <w:highlight w:val="none"/>
        </w:rPr>
      </w:pPr>
      <w:r>
        <w:rPr>
          <w:rFonts w:hint="eastAsia" w:hAnsi="宋体" w:eastAsia="宋体" w:cs="宋体"/>
          <w:color w:val="auto"/>
          <w:sz w:val="21"/>
          <w:highlight w:val="none"/>
        </w:rPr>
        <w:t>投标人没有按照招标文件要求提供全部资料，或者投标人没有对招标文件作出实质性响应是投标人的风险，并可能导致其投标被拒绝。</w:t>
      </w:r>
    </w:p>
    <w:p w14:paraId="3089B32F">
      <w:pPr>
        <w:pStyle w:val="7"/>
        <w:keepNext w:val="0"/>
        <w:keepLines w:val="0"/>
        <w:spacing w:before="0" w:after="0" w:line="360" w:lineRule="auto"/>
        <w:ind w:left="420" w:leftChars="200"/>
        <w:rPr>
          <w:rFonts w:hint="eastAsia" w:ascii="宋体" w:hAnsi="宋体" w:eastAsia="宋体" w:cs="宋体"/>
          <w:color w:val="auto"/>
          <w:sz w:val="24"/>
          <w:highlight w:val="none"/>
        </w:rPr>
      </w:pPr>
      <w:bookmarkStart w:id="114" w:name="_Toc254970538"/>
      <w:bookmarkStart w:id="115" w:name="_Toc254970679"/>
      <w:r>
        <w:rPr>
          <w:rFonts w:hint="eastAsia" w:ascii="宋体" w:hAnsi="宋体" w:eastAsia="宋体" w:cs="宋体"/>
          <w:color w:val="auto"/>
          <w:sz w:val="24"/>
          <w:highlight w:val="none"/>
        </w:rPr>
        <w:t>16.投标报价</w:t>
      </w:r>
      <w:bookmarkEnd w:id="114"/>
      <w:bookmarkEnd w:id="115"/>
    </w:p>
    <w:p w14:paraId="1627F5A5">
      <w:pPr>
        <w:pStyle w:val="7"/>
        <w:keepNext w:val="0"/>
        <w:keepLines w:val="0"/>
        <w:spacing w:before="0" w:after="0" w:line="360" w:lineRule="auto"/>
        <w:ind w:left="420" w:leftChars="200"/>
        <w:rPr>
          <w:rFonts w:hint="eastAsia" w:ascii="宋体" w:hAnsi="宋体" w:eastAsia="宋体" w:cs="宋体"/>
          <w:b w:val="0"/>
          <w:color w:val="auto"/>
          <w:sz w:val="21"/>
          <w:szCs w:val="21"/>
          <w:highlight w:val="none"/>
        </w:rPr>
      </w:pPr>
      <w:r>
        <w:rPr>
          <w:rFonts w:hint="eastAsia" w:ascii="宋体" w:hAnsi="宋体" w:eastAsia="宋体" w:cs="宋体"/>
          <w:b w:val="0"/>
          <w:color w:val="auto"/>
          <w:sz w:val="21"/>
          <w:szCs w:val="21"/>
          <w:highlight w:val="none"/>
        </w:rPr>
        <w:t>16.1投标报价应按“第六章　投标文件格式”中“开标一览表”格式填写。</w:t>
      </w:r>
    </w:p>
    <w:p w14:paraId="6C572314">
      <w:pPr>
        <w:pStyle w:val="7"/>
        <w:keepNext w:val="0"/>
        <w:keepLines w:val="0"/>
        <w:spacing w:before="0" w:after="0" w:line="360" w:lineRule="auto"/>
        <w:ind w:left="420" w:leftChars="200"/>
        <w:rPr>
          <w:rFonts w:hint="eastAsia" w:ascii="宋体" w:hAnsi="宋体" w:eastAsia="宋体" w:cs="宋体"/>
          <w:b w:val="0"/>
          <w:color w:val="auto"/>
          <w:sz w:val="21"/>
          <w:szCs w:val="21"/>
          <w:highlight w:val="none"/>
        </w:rPr>
      </w:pPr>
      <w:bookmarkStart w:id="116" w:name="_16.2投标报价具体定义见投标人须知前附表。"/>
      <w:bookmarkEnd w:id="116"/>
      <w:r>
        <w:rPr>
          <w:rFonts w:hint="eastAsia" w:ascii="宋体" w:hAnsi="宋体" w:eastAsia="宋体" w:cs="宋体"/>
          <w:b w:val="0"/>
          <w:color w:val="auto"/>
          <w:sz w:val="21"/>
          <w:szCs w:val="21"/>
          <w:highlight w:val="none"/>
        </w:rPr>
        <w:t>16.2投标报价具体包括内容详见“投标人须知前附表”。</w:t>
      </w:r>
    </w:p>
    <w:p w14:paraId="1E708655">
      <w:pPr>
        <w:pStyle w:val="7"/>
        <w:keepNext w:val="0"/>
        <w:keepLines w:val="0"/>
        <w:spacing w:before="0" w:after="0" w:line="360" w:lineRule="auto"/>
        <w:ind w:firstLine="420" w:firstLineChars="200"/>
        <w:rPr>
          <w:rFonts w:hint="eastAsia" w:ascii="宋体" w:hAnsi="宋体" w:eastAsia="宋体" w:cs="宋体"/>
          <w:b w:val="0"/>
          <w:color w:val="auto"/>
          <w:sz w:val="21"/>
          <w:szCs w:val="21"/>
          <w:highlight w:val="none"/>
        </w:rPr>
      </w:pPr>
      <w:r>
        <w:rPr>
          <w:rFonts w:hint="eastAsia" w:ascii="宋体" w:hAnsi="宋体" w:eastAsia="宋体" w:cs="宋体"/>
          <w:b w:val="0"/>
          <w:color w:val="auto"/>
          <w:sz w:val="21"/>
          <w:szCs w:val="21"/>
          <w:highlight w:val="none"/>
        </w:rPr>
        <w:t>16.3投标人必须就所投每个分标的全部内容分别作完整唯一总价报价，不得存在漏项报价；投标人必须就所投分标的单项内容作唯一报价。</w:t>
      </w:r>
    </w:p>
    <w:p w14:paraId="4FA87ED0">
      <w:pPr>
        <w:pStyle w:val="7"/>
        <w:keepNext w:val="0"/>
        <w:keepLines w:val="0"/>
        <w:spacing w:before="0" w:after="0" w:line="360" w:lineRule="auto"/>
        <w:ind w:left="420" w:left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17.投标有效期</w:t>
      </w:r>
    </w:p>
    <w:p w14:paraId="3D909026">
      <w:pPr>
        <w:pStyle w:val="7"/>
        <w:keepNext w:val="0"/>
        <w:keepLines w:val="0"/>
        <w:spacing w:before="0" w:after="0" w:line="360" w:lineRule="auto"/>
        <w:ind w:firstLine="420" w:firstLineChars="200"/>
        <w:rPr>
          <w:rFonts w:hint="eastAsia" w:ascii="宋体" w:hAnsi="宋体" w:eastAsia="宋体" w:cs="宋体"/>
          <w:b w:val="0"/>
          <w:color w:val="auto"/>
          <w:sz w:val="21"/>
          <w:szCs w:val="21"/>
          <w:highlight w:val="none"/>
        </w:rPr>
      </w:pPr>
      <w:bookmarkStart w:id="117" w:name="_17.1投标有效期应按“投标人须知中的前附表”规定的期限。"/>
      <w:bookmarkEnd w:id="117"/>
      <w:r>
        <w:rPr>
          <w:rFonts w:hint="eastAsia" w:ascii="宋体" w:hAnsi="宋体" w:eastAsia="宋体" w:cs="宋体"/>
          <w:b w:val="0"/>
          <w:color w:val="auto"/>
          <w:sz w:val="21"/>
          <w:szCs w:val="21"/>
          <w:highlight w:val="none"/>
        </w:rPr>
        <w:t>17.1投标有效期是指为保证采购人有足够的时间在开标后完成评标、定标、合同签订等工作而要求投标人提交的投标文件在一定时间内保持有效的期限。</w:t>
      </w:r>
    </w:p>
    <w:p w14:paraId="02B662C9">
      <w:pPr>
        <w:pStyle w:val="7"/>
        <w:keepNext w:val="0"/>
        <w:keepLines w:val="0"/>
        <w:spacing w:before="0" w:after="0" w:line="360" w:lineRule="auto"/>
        <w:ind w:left="420" w:leftChars="200"/>
        <w:rPr>
          <w:rFonts w:hint="eastAsia" w:ascii="宋体" w:hAnsi="宋体" w:eastAsia="宋体" w:cs="宋体"/>
          <w:b w:val="0"/>
          <w:color w:val="auto"/>
          <w:sz w:val="21"/>
          <w:szCs w:val="21"/>
          <w:highlight w:val="none"/>
        </w:rPr>
      </w:pPr>
      <w:r>
        <w:rPr>
          <w:rFonts w:hint="eastAsia" w:ascii="宋体" w:hAnsi="宋体" w:eastAsia="宋体" w:cs="宋体"/>
          <w:b w:val="0"/>
          <w:color w:val="auto"/>
          <w:sz w:val="21"/>
          <w:szCs w:val="21"/>
          <w:highlight w:val="none"/>
        </w:rPr>
        <w:t>17.2</w:t>
      </w:r>
      <w:bookmarkStart w:id="118" w:name="_Toc254970681"/>
      <w:bookmarkStart w:id="119" w:name="_Toc254970540"/>
      <w:r>
        <w:rPr>
          <w:rFonts w:hint="eastAsia" w:ascii="宋体" w:hAnsi="宋体" w:eastAsia="宋体" w:cs="宋体"/>
          <w:b w:val="0"/>
          <w:color w:val="auto"/>
          <w:sz w:val="21"/>
          <w:szCs w:val="21"/>
          <w:highlight w:val="none"/>
        </w:rPr>
        <w:t xml:space="preserve"> 投标有效期应按规定的期限作出承诺，具体详见“投标人须知前附表”。</w:t>
      </w:r>
    </w:p>
    <w:p w14:paraId="6EFE1A0F">
      <w:pPr>
        <w:pStyle w:val="7"/>
        <w:keepNext w:val="0"/>
        <w:keepLines w:val="0"/>
        <w:spacing w:before="0" w:after="0" w:line="360" w:lineRule="auto"/>
        <w:ind w:left="420" w:leftChars="200"/>
        <w:rPr>
          <w:rFonts w:hint="eastAsia" w:ascii="宋体" w:hAnsi="宋体" w:eastAsia="宋体" w:cs="宋体"/>
          <w:b w:val="0"/>
          <w:color w:val="auto"/>
          <w:sz w:val="21"/>
          <w:szCs w:val="21"/>
          <w:highlight w:val="none"/>
        </w:rPr>
      </w:pPr>
      <w:r>
        <w:rPr>
          <w:rFonts w:hint="eastAsia" w:ascii="宋体" w:hAnsi="宋体" w:eastAsia="宋体" w:cs="宋体"/>
          <w:b w:val="0"/>
          <w:color w:val="auto"/>
          <w:sz w:val="21"/>
          <w:szCs w:val="21"/>
          <w:highlight w:val="none"/>
        </w:rPr>
        <w:t>17.3投标人的投标文件在投标有效期内均保持有效。</w:t>
      </w:r>
      <w:bookmarkEnd w:id="118"/>
      <w:bookmarkEnd w:id="119"/>
    </w:p>
    <w:p w14:paraId="763E5AE9">
      <w:pPr>
        <w:pStyle w:val="7"/>
        <w:keepNext w:val="0"/>
        <w:keepLines w:val="0"/>
        <w:spacing w:before="0" w:after="0" w:line="360" w:lineRule="auto"/>
        <w:ind w:left="420" w:leftChars="200"/>
        <w:rPr>
          <w:rFonts w:hint="eastAsia" w:ascii="宋体" w:hAnsi="宋体" w:eastAsia="宋体" w:cs="宋体"/>
          <w:color w:val="auto"/>
          <w:sz w:val="24"/>
          <w:highlight w:val="none"/>
        </w:rPr>
      </w:pPr>
      <w:bookmarkStart w:id="120" w:name="_18.投标保证金"/>
      <w:bookmarkEnd w:id="120"/>
      <w:bookmarkStart w:id="121" w:name="_Toc254970682"/>
      <w:bookmarkStart w:id="122" w:name="_Toc254970541"/>
      <w:r>
        <w:rPr>
          <w:rFonts w:hint="eastAsia" w:ascii="宋体" w:hAnsi="宋体" w:eastAsia="宋体" w:cs="宋体"/>
          <w:color w:val="auto"/>
          <w:sz w:val="24"/>
          <w:highlight w:val="none"/>
        </w:rPr>
        <w:t>18.投标保证金</w:t>
      </w:r>
      <w:bookmarkEnd w:id="121"/>
      <w:bookmarkEnd w:id="122"/>
    </w:p>
    <w:p w14:paraId="45F93057">
      <w:pPr>
        <w:pStyle w:val="7"/>
        <w:keepNext w:val="0"/>
        <w:keepLines w:val="0"/>
        <w:spacing w:before="0" w:after="0" w:line="360" w:lineRule="auto"/>
        <w:ind w:left="420" w:leftChars="200"/>
        <w:rPr>
          <w:rFonts w:hint="eastAsia" w:ascii="宋体" w:hAnsi="宋体" w:eastAsia="宋体" w:cs="宋体"/>
          <w:b w:val="0"/>
          <w:color w:val="auto"/>
          <w:sz w:val="21"/>
          <w:szCs w:val="21"/>
          <w:highlight w:val="none"/>
        </w:rPr>
      </w:pPr>
      <w:r>
        <w:rPr>
          <w:rFonts w:hint="eastAsia" w:ascii="宋体" w:hAnsi="宋体" w:eastAsia="宋体" w:cs="宋体"/>
          <w:b w:val="0"/>
          <w:color w:val="auto"/>
          <w:sz w:val="21"/>
          <w:szCs w:val="21"/>
          <w:highlight w:val="none"/>
        </w:rPr>
        <w:t>18.1投标人须按“投标人须知前附表” 的规定提交投标保证金。</w:t>
      </w:r>
    </w:p>
    <w:p w14:paraId="40490F2C">
      <w:pPr>
        <w:pStyle w:val="7"/>
        <w:keepNext w:val="0"/>
        <w:keepLines w:val="0"/>
        <w:spacing w:before="0" w:after="0" w:line="360" w:lineRule="auto"/>
        <w:ind w:firstLine="420" w:firstLineChars="200"/>
        <w:rPr>
          <w:rFonts w:hint="eastAsia" w:ascii="宋体" w:hAnsi="宋体" w:eastAsia="宋体" w:cs="宋体"/>
          <w:b w:val="0"/>
          <w:color w:val="auto"/>
          <w:sz w:val="21"/>
          <w:szCs w:val="21"/>
          <w:highlight w:val="none"/>
        </w:rPr>
      </w:pPr>
      <w:r>
        <w:rPr>
          <w:rFonts w:hint="eastAsia" w:ascii="宋体" w:hAnsi="宋体" w:eastAsia="宋体" w:cs="宋体"/>
          <w:b w:val="0"/>
          <w:color w:val="auto"/>
          <w:sz w:val="21"/>
          <w:szCs w:val="21"/>
          <w:highlight w:val="none"/>
        </w:rPr>
        <w:t>18.2投标保证金的退还</w:t>
      </w:r>
    </w:p>
    <w:p w14:paraId="3681649A">
      <w:pPr>
        <w:pStyle w:val="7"/>
        <w:keepNext w:val="0"/>
        <w:keepLines w:val="0"/>
        <w:spacing w:before="0" w:after="0" w:line="360" w:lineRule="auto"/>
        <w:ind w:firstLine="420" w:firstLineChars="200"/>
        <w:rPr>
          <w:rFonts w:hint="eastAsia" w:ascii="宋体" w:hAnsi="宋体" w:eastAsia="宋体" w:cs="宋体"/>
          <w:b w:val="0"/>
          <w:color w:val="auto"/>
          <w:sz w:val="21"/>
          <w:szCs w:val="21"/>
          <w:highlight w:val="none"/>
        </w:rPr>
      </w:pPr>
      <w:r>
        <w:rPr>
          <w:rFonts w:hint="eastAsia" w:ascii="宋体" w:hAnsi="宋体" w:eastAsia="宋体" w:cs="宋体"/>
          <w:b w:val="0"/>
          <w:color w:val="auto"/>
          <w:sz w:val="21"/>
          <w:szCs w:val="21"/>
          <w:highlight w:val="none"/>
        </w:rPr>
        <w:t xml:space="preserve">未中标人的投标保证金自中标通知书发出之日起5个工作日内退还；中标人的投标保证金自政府采购合同签订之日起5个工作日内退还。 </w:t>
      </w:r>
    </w:p>
    <w:p w14:paraId="3CCD7C2C">
      <w:pPr>
        <w:pStyle w:val="7"/>
        <w:keepNext w:val="0"/>
        <w:keepLines w:val="0"/>
        <w:spacing w:before="0" w:after="0" w:line="360" w:lineRule="auto"/>
        <w:ind w:left="420" w:leftChars="200"/>
        <w:rPr>
          <w:rFonts w:hint="eastAsia" w:ascii="宋体" w:hAnsi="宋体" w:eastAsia="宋体" w:cs="宋体"/>
          <w:b w:val="0"/>
          <w:color w:val="auto"/>
          <w:sz w:val="21"/>
          <w:szCs w:val="21"/>
          <w:highlight w:val="none"/>
        </w:rPr>
      </w:pPr>
      <w:r>
        <w:rPr>
          <w:rFonts w:hint="eastAsia" w:ascii="宋体" w:hAnsi="宋体" w:eastAsia="宋体" w:cs="宋体"/>
          <w:b w:val="0"/>
          <w:color w:val="auto"/>
          <w:sz w:val="21"/>
          <w:szCs w:val="21"/>
          <w:highlight w:val="none"/>
        </w:rPr>
        <w:t>18.3除逾期退还投标保证金和终止招标的情形以外，投标保证金不计息。</w:t>
      </w:r>
    </w:p>
    <w:p w14:paraId="345D38CA">
      <w:pPr>
        <w:pStyle w:val="7"/>
        <w:keepNext w:val="0"/>
        <w:keepLines w:val="0"/>
        <w:spacing w:before="0" w:after="0" w:line="360" w:lineRule="auto"/>
        <w:ind w:left="420" w:leftChars="200"/>
        <w:rPr>
          <w:rFonts w:hint="eastAsia" w:ascii="宋体" w:hAnsi="宋体" w:eastAsia="宋体" w:cs="宋体"/>
          <w:b w:val="0"/>
          <w:color w:val="auto"/>
          <w:sz w:val="21"/>
          <w:szCs w:val="21"/>
          <w:highlight w:val="none"/>
        </w:rPr>
      </w:pPr>
      <w:r>
        <w:rPr>
          <w:rFonts w:hint="eastAsia" w:ascii="宋体" w:hAnsi="宋体" w:eastAsia="宋体" w:cs="宋体"/>
          <w:b w:val="0"/>
          <w:color w:val="auto"/>
          <w:sz w:val="21"/>
          <w:szCs w:val="21"/>
          <w:highlight w:val="none"/>
        </w:rPr>
        <w:t xml:space="preserve">18.4投标人有下列情形之一的，投标保证金将不予退还： </w:t>
      </w:r>
    </w:p>
    <w:p w14:paraId="123C21D9">
      <w:pPr>
        <w:snapToGrid w:val="0"/>
        <w:spacing w:line="360" w:lineRule="auto"/>
        <w:ind w:firstLine="411" w:firstLineChars="196"/>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（1）投标人在投标有效期内撤销投标文件的；</w:t>
      </w:r>
    </w:p>
    <w:p w14:paraId="485C5952">
      <w:pPr>
        <w:snapToGrid w:val="0"/>
        <w:spacing w:line="360" w:lineRule="auto"/>
        <w:ind w:firstLine="411" w:firstLineChars="196"/>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（2）未按规定提交履约保证金的；</w:t>
      </w:r>
    </w:p>
    <w:p w14:paraId="3B4B08CC">
      <w:pPr>
        <w:snapToGrid w:val="0"/>
        <w:spacing w:line="360" w:lineRule="auto"/>
        <w:ind w:firstLine="411" w:firstLineChars="196"/>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（3）投标人在投标过程中弄虚作假，提供虚假材料的；</w:t>
      </w:r>
    </w:p>
    <w:p w14:paraId="1E098A0F">
      <w:pPr>
        <w:snapToGrid w:val="0"/>
        <w:spacing w:line="360" w:lineRule="auto"/>
        <w:ind w:firstLine="411" w:firstLineChars="196"/>
        <w:rPr>
          <w:rFonts w:hint="eastAsia" w:ascii="宋体" w:hAnsi="宋体" w:eastAsia="宋体" w:cs="宋体"/>
          <w:color w:val="auto"/>
          <w:szCs w:val="21"/>
          <w:highlight w:val="none"/>
        </w:rPr>
      </w:pPr>
      <w:r>
        <w:rPr>
          <w:rFonts w:hint="eastAsia" w:ascii="宋体" w:hAnsi="宋体" w:eastAsia="宋体" w:cs="宋体"/>
          <w:color w:val="auto"/>
          <w:szCs w:val="21"/>
          <w:highlight w:val="none"/>
        </w:rPr>
        <w:t>（4）中标人无正当理由不与采购人签订合同的；</w:t>
      </w:r>
    </w:p>
    <w:p w14:paraId="443ECF8D">
      <w:pPr>
        <w:snapToGrid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（5）投标人出现本章第9.2、9.3情形的；</w:t>
      </w:r>
    </w:p>
    <w:p w14:paraId="40BDCC05">
      <w:pPr>
        <w:snapToGrid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（6）法律法规规定的其他情形。</w:t>
      </w:r>
    </w:p>
    <w:p w14:paraId="094F37D5">
      <w:pPr>
        <w:pStyle w:val="7"/>
        <w:keepNext w:val="0"/>
        <w:keepLines w:val="0"/>
        <w:spacing w:before="0" w:after="0" w:line="360" w:lineRule="auto"/>
        <w:ind w:left="420" w:leftChars="200"/>
        <w:rPr>
          <w:rFonts w:hint="eastAsia" w:ascii="宋体" w:hAnsi="宋体" w:eastAsia="宋体" w:cs="宋体"/>
          <w:color w:val="auto"/>
          <w:sz w:val="24"/>
          <w:highlight w:val="none"/>
        </w:rPr>
      </w:pPr>
      <w:bookmarkStart w:id="123" w:name="_Toc254970683"/>
      <w:bookmarkStart w:id="124" w:name="_Toc254970542"/>
      <w:r>
        <w:rPr>
          <w:rFonts w:hint="eastAsia" w:ascii="宋体" w:hAnsi="宋体" w:eastAsia="宋体" w:cs="宋体"/>
          <w:color w:val="auto"/>
          <w:sz w:val="24"/>
          <w:highlight w:val="none"/>
        </w:rPr>
        <w:t>19.投标文件的</w:t>
      </w:r>
      <w:bookmarkEnd w:id="123"/>
      <w:bookmarkEnd w:id="124"/>
      <w:r>
        <w:rPr>
          <w:rFonts w:hint="eastAsia" w:ascii="宋体" w:hAnsi="宋体" w:eastAsia="宋体" w:cs="宋体"/>
          <w:color w:val="auto"/>
          <w:sz w:val="24"/>
          <w:highlight w:val="none"/>
        </w:rPr>
        <w:t>编制</w:t>
      </w:r>
    </w:p>
    <w:p w14:paraId="48D56EA7">
      <w:pPr>
        <w:pStyle w:val="7"/>
        <w:keepNext w:val="0"/>
        <w:keepLines w:val="0"/>
        <w:spacing w:before="0" w:after="0" w:line="360" w:lineRule="auto"/>
        <w:ind w:firstLine="315" w:firstLineChars="150"/>
        <w:rPr>
          <w:rFonts w:hint="eastAsia" w:ascii="宋体" w:hAnsi="宋体" w:eastAsia="宋体" w:cs="宋体"/>
          <w:b w:val="0"/>
          <w:color w:val="auto"/>
          <w:sz w:val="21"/>
          <w:szCs w:val="21"/>
          <w:highlight w:val="none"/>
        </w:rPr>
      </w:pPr>
      <w:r>
        <w:rPr>
          <w:rFonts w:hint="eastAsia" w:ascii="宋体" w:hAnsi="宋体" w:eastAsia="宋体" w:cs="宋体"/>
          <w:b w:val="0"/>
          <w:color w:val="auto"/>
          <w:sz w:val="21"/>
          <w:szCs w:val="21"/>
          <w:highlight w:val="none"/>
        </w:rPr>
        <w:t xml:space="preserve"> 19.1投标人应按本招标文件规定的格式和顺序编制、装订投标文件并标注页码，投标文件内容不完整、编排混乱导致投标文件被误读、漏读或者查找不到相关内容的，由此引发的后果由投标人承担。</w:t>
      </w:r>
    </w:p>
    <w:p w14:paraId="163ADD6D">
      <w:pPr>
        <w:pStyle w:val="7"/>
        <w:keepNext w:val="0"/>
        <w:keepLines w:val="0"/>
        <w:numPr>
          <w:ilvl w:val="0"/>
          <w:numId w:val="0"/>
        </w:numPr>
        <w:spacing w:before="0" w:after="0" w:line="360" w:lineRule="auto"/>
        <w:ind w:firstLine="420" w:firstLineChars="200"/>
        <w:rPr>
          <w:rFonts w:hint="eastAsia" w:ascii="宋体" w:hAnsi="宋体" w:eastAsia="宋体" w:cs="宋体"/>
          <w:b w:val="0"/>
          <w:color w:val="auto"/>
          <w:sz w:val="21"/>
          <w:szCs w:val="21"/>
          <w:highlight w:val="none"/>
        </w:rPr>
      </w:pPr>
      <w:bookmarkStart w:id="125" w:name="_19.2投标文件应按报价文件、资格证明文件、商务文件、技术文件分别编制"/>
      <w:bookmarkEnd w:id="125"/>
      <w:r>
        <w:rPr>
          <w:rFonts w:hint="eastAsia" w:ascii="宋体" w:hAnsi="宋体" w:eastAsia="宋体" w:cs="宋体"/>
          <w:b w:val="0"/>
          <w:color w:val="auto"/>
          <w:sz w:val="21"/>
          <w:szCs w:val="21"/>
          <w:highlight w:val="none"/>
        </w:rPr>
        <w:t>19.2投标文件应按报价文件、资格证明文件、商务文件、技术文件分别编制电子文件，并按“</w:t>
      </w:r>
      <w:r>
        <w:rPr>
          <w:rFonts w:hint="eastAsia" w:ascii="宋体" w:hAnsi="宋体" w:eastAsia="宋体" w:cs="宋体"/>
          <w:b w:val="0"/>
          <w:color w:val="auto"/>
          <w:sz w:val="21"/>
          <w:szCs w:val="21"/>
          <w:highlight w:val="none"/>
          <w:lang w:eastAsia="zh-CN"/>
        </w:rPr>
        <w:t>广西政府采购云</w:t>
      </w:r>
      <w:r>
        <w:rPr>
          <w:rFonts w:hint="eastAsia" w:ascii="宋体" w:hAnsi="宋体" w:eastAsia="宋体" w:cs="宋体"/>
          <w:b w:val="0"/>
          <w:color w:val="auto"/>
          <w:sz w:val="21"/>
          <w:szCs w:val="21"/>
          <w:highlight w:val="none"/>
        </w:rPr>
        <w:t>”平台的要求编制、加密、上传。</w:t>
      </w:r>
    </w:p>
    <w:p w14:paraId="3C8DCB2F">
      <w:pPr>
        <w:pStyle w:val="7"/>
        <w:keepNext w:val="0"/>
        <w:keepLines w:val="0"/>
        <w:numPr>
          <w:ilvl w:val="0"/>
          <w:numId w:val="0"/>
        </w:numPr>
        <w:spacing w:before="0" w:after="0" w:line="360" w:lineRule="auto"/>
        <w:ind w:firstLine="420" w:firstLineChars="200"/>
        <w:rPr>
          <w:rFonts w:hint="eastAsia" w:ascii="宋体" w:hAnsi="宋体" w:eastAsia="宋体" w:cs="宋体"/>
          <w:b w:val="0"/>
          <w:color w:val="auto"/>
          <w:sz w:val="21"/>
          <w:szCs w:val="21"/>
          <w:highlight w:val="none"/>
        </w:rPr>
      </w:pPr>
      <w:r>
        <w:rPr>
          <w:rFonts w:hint="eastAsia" w:ascii="宋体" w:hAnsi="宋体" w:eastAsia="宋体" w:cs="宋体"/>
          <w:b w:val="0"/>
          <w:color w:val="auto"/>
          <w:sz w:val="21"/>
          <w:szCs w:val="21"/>
          <w:highlight w:val="none"/>
        </w:rPr>
        <w:t>19.</w:t>
      </w:r>
      <w:bookmarkStart w:id="126" w:name="_Hlk65832616"/>
      <w:r>
        <w:rPr>
          <w:rFonts w:hint="eastAsia" w:ascii="宋体" w:hAnsi="宋体" w:eastAsia="宋体" w:cs="宋体"/>
          <w:b w:val="0"/>
          <w:color w:val="auto"/>
          <w:sz w:val="21"/>
          <w:szCs w:val="21"/>
          <w:highlight w:val="none"/>
        </w:rPr>
        <w:t>3投标文件须由投标人在规定位置盖公章并签字</w:t>
      </w:r>
      <w:bookmarkStart w:id="127" w:name="_Hlk65832569"/>
      <w:r>
        <w:rPr>
          <w:rFonts w:hint="eastAsia" w:ascii="宋体" w:hAnsi="宋体" w:eastAsia="宋体" w:cs="宋体"/>
          <w:b w:val="0"/>
          <w:color w:val="auto"/>
          <w:sz w:val="21"/>
          <w:szCs w:val="21"/>
          <w:highlight w:val="none"/>
        </w:rPr>
        <w:t>（具体以投标人须知前附表或投标文件格式规定为准）</w:t>
      </w:r>
      <w:bookmarkEnd w:id="126"/>
      <w:bookmarkEnd w:id="127"/>
      <w:r>
        <w:rPr>
          <w:rFonts w:hint="eastAsia" w:ascii="宋体" w:hAnsi="宋体" w:eastAsia="宋体" w:cs="宋体"/>
          <w:b w:val="0"/>
          <w:color w:val="auto"/>
          <w:sz w:val="21"/>
          <w:szCs w:val="21"/>
          <w:highlight w:val="none"/>
        </w:rPr>
        <w:t>，</w:t>
      </w:r>
      <w:r>
        <w:rPr>
          <w:rFonts w:hint="eastAsia" w:ascii="宋体" w:hAnsi="宋体" w:eastAsia="宋体" w:cs="宋体"/>
          <w:bCs/>
          <w:color w:val="auto"/>
          <w:sz w:val="21"/>
          <w:szCs w:val="21"/>
          <w:highlight w:val="none"/>
        </w:rPr>
        <w:t>否则按无效投标处理</w:t>
      </w:r>
      <w:r>
        <w:rPr>
          <w:rFonts w:hint="eastAsia" w:ascii="宋体" w:hAnsi="宋体" w:eastAsia="宋体" w:cs="宋体"/>
          <w:b w:val="0"/>
          <w:color w:val="auto"/>
          <w:sz w:val="21"/>
          <w:szCs w:val="21"/>
          <w:highlight w:val="none"/>
        </w:rPr>
        <w:t>。</w:t>
      </w:r>
    </w:p>
    <w:p w14:paraId="0DE04BEF">
      <w:pPr>
        <w:pStyle w:val="7"/>
        <w:keepNext w:val="0"/>
        <w:keepLines w:val="0"/>
        <w:spacing w:before="0" w:after="0" w:line="360" w:lineRule="auto"/>
        <w:ind w:firstLine="315" w:firstLineChars="150"/>
        <w:rPr>
          <w:rFonts w:hint="eastAsia" w:ascii="宋体" w:hAnsi="宋体" w:eastAsia="宋体" w:cs="宋体"/>
          <w:b w:val="0"/>
          <w:color w:val="auto"/>
          <w:sz w:val="21"/>
          <w:szCs w:val="21"/>
          <w:highlight w:val="none"/>
        </w:rPr>
      </w:pPr>
      <w:r>
        <w:rPr>
          <w:rFonts w:hint="eastAsia" w:ascii="宋体" w:hAnsi="宋体" w:eastAsia="宋体" w:cs="宋体"/>
          <w:b w:val="0"/>
          <w:color w:val="auto"/>
          <w:sz w:val="21"/>
          <w:szCs w:val="21"/>
          <w:highlight w:val="none"/>
        </w:rPr>
        <w:t xml:space="preserve"> 19.4投标文件中标注的投标人名称应与主体资格证明（如营业执照、事业单位法人证书、执业许可证、自然人身份证等）及公章一致，</w:t>
      </w:r>
      <w:r>
        <w:rPr>
          <w:rFonts w:hint="eastAsia" w:ascii="宋体" w:hAnsi="宋体" w:eastAsia="宋体" w:cs="宋体"/>
          <w:color w:val="auto"/>
          <w:sz w:val="21"/>
          <w:szCs w:val="21"/>
          <w:highlight w:val="none"/>
        </w:rPr>
        <w:t>否则按无效投标处理</w:t>
      </w:r>
      <w:r>
        <w:rPr>
          <w:rFonts w:hint="eastAsia" w:ascii="宋体" w:hAnsi="宋体" w:eastAsia="宋体" w:cs="宋体"/>
          <w:b w:val="0"/>
          <w:color w:val="auto"/>
          <w:sz w:val="21"/>
          <w:szCs w:val="21"/>
          <w:highlight w:val="none"/>
        </w:rPr>
        <w:t>。</w:t>
      </w:r>
    </w:p>
    <w:p w14:paraId="57731134">
      <w:pPr>
        <w:pStyle w:val="7"/>
        <w:keepNext w:val="0"/>
        <w:keepLines w:val="0"/>
        <w:spacing w:before="0" w:after="0" w:line="360" w:lineRule="auto"/>
        <w:ind w:firstLine="315" w:firstLineChars="150"/>
        <w:rPr>
          <w:rFonts w:hint="eastAsia" w:ascii="宋体" w:hAnsi="宋体" w:eastAsia="宋体" w:cs="宋体"/>
          <w:b w:val="0"/>
          <w:color w:val="auto"/>
          <w:sz w:val="21"/>
          <w:szCs w:val="21"/>
          <w:highlight w:val="none"/>
        </w:rPr>
      </w:pPr>
      <w:r>
        <w:rPr>
          <w:rFonts w:hint="eastAsia" w:ascii="宋体" w:hAnsi="宋体" w:eastAsia="宋体" w:cs="宋体"/>
          <w:b w:val="0"/>
          <w:color w:val="auto"/>
          <w:sz w:val="21"/>
          <w:szCs w:val="21"/>
          <w:highlight w:val="none"/>
        </w:rPr>
        <w:t xml:space="preserve"> 19.5投标文件应尽量避免涂改、行间插字或者删除。如果出现上述情况，改动之处应由投标人的法定代表人或者其委托代理人签字或者加盖公章。投标文件因字迹潦草或者表达不清所引起的后果由投标人承担。</w:t>
      </w:r>
    </w:p>
    <w:p w14:paraId="7D98EE5D">
      <w:pPr>
        <w:pStyle w:val="7"/>
        <w:keepNext w:val="0"/>
        <w:keepLines w:val="0"/>
        <w:spacing w:before="0" w:after="0" w:line="360" w:lineRule="auto"/>
        <w:ind w:left="420" w:left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20.投标文件的加密、解密</w:t>
      </w:r>
    </w:p>
    <w:p w14:paraId="7CD0BD2C">
      <w:pPr>
        <w:pStyle w:val="7"/>
        <w:keepNext w:val="0"/>
        <w:keepLines w:val="0"/>
        <w:spacing w:before="0" w:after="0" w:line="360" w:lineRule="auto"/>
        <w:ind w:firstLine="315" w:firstLineChars="150"/>
        <w:rPr>
          <w:rFonts w:hint="eastAsia" w:ascii="宋体" w:hAnsi="宋体" w:eastAsia="宋体" w:cs="宋体"/>
          <w:b w:val="0"/>
          <w:color w:val="auto"/>
          <w:sz w:val="21"/>
          <w:szCs w:val="21"/>
          <w:highlight w:val="none"/>
        </w:rPr>
      </w:pPr>
      <w:r>
        <w:rPr>
          <w:rFonts w:hint="eastAsia" w:ascii="宋体" w:hAnsi="宋体" w:eastAsia="宋体" w:cs="宋体"/>
          <w:b w:val="0"/>
          <w:color w:val="auto"/>
          <w:sz w:val="21"/>
          <w:szCs w:val="21"/>
          <w:highlight w:val="none"/>
        </w:rPr>
        <w:t xml:space="preserve"> 20.1电子投标文件编制完成后，投标人应按“</w:t>
      </w:r>
      <w:r>
        <w:rPr>
          <w:rFonts w:hint="eastAsia" w:ascii="宋体" w:hAnsi="宋体" w:eastAsia="宋体" w:cs="宋体"/>
          <w:b w:val="0"/>
          <w:color w:val="auto"/>
          <w:sz w:val="21"/>
          <w:szCs w:val="21"/>
          <w:highlight w:val="none"/>
          <w:lang w:eastAsia="zh-CN"/>
        </w:rPr>
        <w:t>广西政府采购云</w:t>
      </w:r>
      <w:r>
        <w:rPr>
          <w:rFonts w:hint="eastAsia" w:ascii="宋体" w:hAnsi="宋体" w:eastAsia="宋体" w:cs="宋体"/>
          <w:b w:val="0"/>
          <w:color w:val="auto"/>
          <w:sz w:val="21"/>
          <w:szCs w:val="21"/>
          <w:highlight w:val="none"/>
        </w:rPr>
        <w:t>”平台的要求进行加密，并在规定时间内解密，否则，由此产生的后果由投标人自行负责。</w:t>
      </w:r>
    </w:p>
    <w:p w14:paraId="5D07591C">
      <w:pPr>
        <w:pStyle w:val="7"/>
        <w:keepNext w:val="0"/>
        <w:keepLines w:val="0"/>
        <w:spacing w:before="0" w:after="0" w:line="360" w:lineRule="auto"/>
        <w:ind w:left="420" w:left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21.投标文件的提交</w:t>
      </w:r>
    </w:p>
    <w:p w14:paraId="249C80CD">
      <w:pPr>
        <w:pStyle w:val="7"/>
        <w:keepNext w:val="0"/>
        <w:keepLines w:val="0"/>
        <w:numPr>
          <w:ilvl w:val="0"/>
          <w:numId w:val="0"/>
        </w:numPr>
        <w:spacing w:before="0" w:after="0" w:line="360" w:lineRule="auto"/>
        <w:ind w:firstLine="420" w:firstLineChars="200"/>
        <w:rPr>
          <w:rFonts w:hint="eastAsia" w:ascii="宋体" w:hAnsi="宋体" w:eastAsia="宋体" w:cs="宋体"/>
          <w:b w:val="0"/>
          <w:color w:val="auto"/>
          <w:sz w:val="21"/>
          <w:szCs w:val="21"/>
          <w:highlight w:val="none"/>
        </w:rPr>
      </w:pPr>
      <w:bookmarkStart w:id="128" w:name="_21.1投标人必须在“投标人须知中的前附表”规定的投标文件接收时间和投"/>
      <w:bookmarkEnd w:id="128"/>
      <w:r>
        <w:rPr>
          <w:rFonts w:hint="eastAsia" w:ascii="宋体" w:hAnsi="宋体" w:eastAsia="宋体" w:cs="宋体"/>
          <w:b w:val="0"/>
          <w:color w:val="auto"/>
          <w:sz w:val="21"/>
          <w:szCs w:val="21"/>
          <w:highlight w:val="none"/>
        </w:rPr>
        <w:t>21.1投标人必须在“投标人须知前附表”规定的投标文件接收时间和投标地点提交投标文件。</w:t>
      </w:r>
    </w:p>
    <w:p w14:paraId="3972414D">
      <w:pPr>
        <w:pStyle w:val="7"/>
        <w:keepNext w:val="0"/>
        <w:keepLines w:val="0"/>
        <w:numPr>
          <w:ilvl w:val="0"/>
          <w:numId w:val="0"/>
        </w:numPr>
        <w:spacing w:before="0" w:after="0" w:line="360" w:lineRule="auto"/>
        <w:ind w:firstLine="420" w:firstLineChars="200"/>
        <w:rPr>
          <w:rFonts w:hint="eastAsia" w:ascii="宋体" w:hAnsi="宋体" w:eastAsia="宋体" w:cs="宋体"/>
          <w:b w:val="0"/>
          <w:color w:val="auto"/>
          <w:sz w:val="21"/>
          <w:szCs w:val="21"/>
          <w:highlight w:val="none"/>
        </w:rPr>
      </w:pPr>
      <w:r>
        <w:rPr>
          <w:rFonts w:hint="eastAsia" w:ascii="宋体" w:hAnsi="宋体" w:eastAsia="宋体" w:cs="宋体"/>
          <w:b w:val="0"/>
          <w:color w:val="auto"/>
          <w:sz w:val="21"/>
          <w:szCs w:val="21"/>
          <w:highlight w:val="none"/>
        </w:rPr>
        <w:t>21.2本项目为全流程电子化政府采购项目，通过“</w:t>
      </w:r>
      <w:r>
        <w:rPr>
          <w:rFonts w:hint="eastAsia" w:ascii="宋体" w:hAnsi="宋体" w:eastAsia="宋体" w:cs="宋体"/>
          <w:b w:val="0"/>
          <w:color w:val="auto"/>
          <w:sz w:val="21"/>
          <w:szCs w:val="21"/>
          <w:highlight w:val="none"/>
          <w:lang w:eastAsia="zh-CN"/>
        </w:rPr>
        <w:t>广西政府采购云</w:t>
      </w:r>
      <w:r>
        <w:rPr>
          <w:rFonts w:hint="eastAsia" w:ascii="宋体" w:hAnsi="宋体" w:eastAsia="宋体" w:cs="宋体"/>
          <w:b w:val="0"/>
          <w:color w:val="auto"/>
          <w:sz w:val="21"/>
          <w:szCs w:val="21"/>
          <w:highlight w:val="none"/>
        </w:rPr>
        <w:t>”平台（</w:t>
      </w:r>
      <w:r>
        <w:rPr>
          <w:rFonts w:hint="eastAsia" w:ascii="宋体" w:hAnsi="宋体" w:eastAsia="宋体" w:cs="宋体"/>
          <w:b w:val="0"/>
          <w:color w:val="auto"/>
          <w:sz w:val="21"/>
          <w:szCs w:val="21"/>
          <w:highlight w:val="none"/>
          <w:lang w:eastAsia="zh-CN"/>
        </w:rPr>
        <w:t>https://www.gcy.zfcg.gxzf.gov.cn）</w:t>
      </w:r>
      <w:r>
        <w:rPr>
          <w:rFonts w:hint="eastAsia" w:ascii="宋体" w:hAnsi="宋体" w:eastAsia="宋体" w:cs="宋体"/>
          <w:b w:val="0"/>
          <w:color w:val="auto"/>
          <w:sz w:val="21"/>
          <w:szCs w:val="21"/>
          <w:highlight w:val="none"/>
        </w:rPr>
        <w:t>实行在线电子投标。投标人必须在“投标人须知前附表”规定的投标文件接收时间内通过网络将电子投标文件上传至“</w:t>
      </w:r>
      <w:r>
        <w:rPr>
          <w:rFonts w:hint="eastAsia" w:ascii="宋体" w:hAnsi="宋体" w:eastAsia="宋体" w:cs="宋体"/>
          <w:b w:val="0"/>
          <w:color w:val="auto"/>
          <w:sz w:val="21"/>
          <w:szCs w:val="21"/>
          <w:highlight w:val="none"/>
          <w:lang w:eastAsia="zh-CN"/>
        </w:rPr>
        <w:t>广西政府采购云</w:t>
      </w:r>
      <w:r>
        <w:rPr>
          <w:rFonts w:hint="eastAsia" w:ascii="宋体" w:hAnsi="宋体" w:eastAsia="宋体" w:cs="宋体"/>
          <w:b w:val="0"/>
          <w:color w:val="auto"/>
          <w:sz w:val="21"/>
          <w:szCs w:val="21"/>
          <w:highlight w:val="none"/>
        </w:rPr>
        <w:t>”平台，供应商在“</w:t>
      </w:r>
      <w:r>
        <w:rPr>
          <w:rFonts w:hint="eastAsia" w:ascii="宋体" w:hAnsi="宋体" w:eastAsia="宋体" w:cs="宋体"/>
          <w:b w:val="0"/>
          <w:color w:val="auto"/>
          <w:sz w:val="21"/>
          <w:szCs w:val="21"/>
          <w:highlight w:val="none"/>
          <w:lang w:eastAsia="zh-CN"/>
        </w:rPr>
        <w:t>广西政府采购云</w:t>
      </w:r>
      <w:r>
        <w:rPr>
          <w:rFonts w:hint="eastAsia" w:ascii="宋体" w:hAnsi="宋体" w:eastAsia="宋体" w:cs="宋体"/>
          <w:b w:val="0"/>
          <w:color w:val="auto"/>
          <w:sz w:val="21"/>
          <w:szCs w:val="21"/>
          <w:highlight w:val="none"/>
        </w:rPr>
        <w:t>”平台提交电子版投标文件时，请填写参加远程开标活动经办人联系方式。</w:t>
      </w:r>
    </w:p>
    <w:p w14:paraId="03772173">
      <w:pPr>
        <w:pStyle w:val="7"/>
        <w:keepNext w:val="0"/>
        <w:keepLines w:val="0"/>
        <w:numPr>
          <w:ilvl w:val="0"/>
          <w:numId w:val="0"/>
        </w:numPr>
        <w:spacing w:before="0" w:after="0" w:line="360" w:lineRule="auto"/>
        <w:ind w:firstLine="420" w:firstLineChars="200"/>
        <w:jc w:val="left"/>
        <w:rPr>
          <w:rFonts w:hint="eastAsia" w:ascii="宋体" w:hAnsi="宋体" w:eastAsia="宋体" w:cs="宋体"/>
          <w:b w:val="0"/>
          <w:color w:val="auto"/>
          <w:sz w:val="21"/>
          <w:szCs w:val="21"/>
          <w:highlight w:val="none"/>
        </w:rPr>
      </w:pPr>
      <w:r>
        <w:rPr>
          <w:rFonts w:hint="eastAsia" w:ascii="宋体" w:hAnsi="宋体" w:eastAsia="宋体" w:cs="宋体"/>
          <w:b w:val="0"/>
          <w:color w:val="auto"/>
          <w:sz w:val="21"/>
          <w:szCs w:val="21"/>
          <w:highlight w:val="none"/>
        </w:rPr>
        <w:t>21.3未在规定时间内上传或者未按“</w:t>
      </w:r>
      <w:r>
        <w:rPr>
          <w:rFonts w:hint="eastAsia" w:ascii="宋体" w:hAnsi="宋体" w:eastAsia="宋体" w:cs="宋体"/>
          <w:b w:val="0"/>
          <w:color w:val="auto"/>
          <w:sz w:val="21"/>
          <w:szCs w:val="21"/>
          <w:highlight w:val="none"/>
          <w:lang w:eastAsia="zh-CN"/>
        </w:rPr>
        <w:t>广西政府采购云</w:t>
      </w:r>
      <w:r>
        <w:rPr>
          <w:rFonts w:hint="eastAsia" w:ascii="宋体" w:hAnsi="宋体" w:eastAsia="宋体" w:cs="宋体"/>
          <w:b w:val="0"/>
          <w:color w:val="auto"/>
          <w:sz w:val="21"/>
          <w:szCs w:val="21"/>
          <w:highlight w:val="none"/>
        </w:rPr>
        <w:t>”平台的要求编制、加密的电子投标文件，“</w:t>
      </w:r>
      <w:r>
        <w:rPr>
          <w:rFonts w:hint="eastAsia" w:ascii="宋体" w:hAnsi="宋体" w:eastAsia="宋体" w:cs="宋体"/>
          <w:b w:val="0"/>
          <w:color w:val="auto"/>
          <w:sz w:val="21"/>
          <w:szCs w:val="21"/>
          <w:highlight w:val="none"/>
          <w:lang w:eastAsia="zh-CN"/>
        </w:rPr>
        <w:t>广西政府采购云</w:t>
      </w:r>
      <w:r>
        <w:rPr>
          <w:rFonts w:hint="eastAsia" w:ascii="宋体" w:hAnsi="宋体" w:eastAsia="宋体" w:cs="宋体"/>
          <w:b w:val="0"/>
          <w:color w:val="auto"/>
          <w:sz w:val="21"/>
          <w:szCs w:val="21"/>
          <w:highlight w:val="none"/>
        </w:rPr>
        <w:t>”平台将拒收。</w:t>
      </w:r>
    </w:p>
    <w:p w14:paraId="1F344D5F">
      <w:pPr>
        <w:pStyle w:val="8"/>
        <w:rPr>
          <w:rFonts w:hint="eastAsia" w:ascii="宋体" w:hAnsi="宋体" w:eastAsia="宋体" w:cs="宋体"/>
          <w:color w:val="auto"/>
          <w:highlight w:val="none"/>
        </w:rPr>
      </w:pPr>
      <w:r>
        <w:rPr>
          <w:rFonts w:hint="eastAsia" w:ascii="宋体" w:hAnsi="宋体" w:eastAsia="宋体" w:cs="宋体"/>
          <w:color w:val="auto"/>
          <w:szCs w:val="21"/>
          <w:highlight w:val="none"/>
        </w:rPr>
        <w:t>21.4电子投标文件提交方式见“招标公告”中“四、提交投标文件截止时间、开标时间和地点”</w:t>
      </w:r>
    </w:p>
    <w:p w14:paraId="4684354F">
      <w:pPr>
        <w:pStyle w:val="8"/>
        <w:rPr>
          <w:rFonts w:hint="eastAsia" w:ascii="宋体" w:hAnsi="宋体" w:eastAsia="宋体" w:cs="宋体"/>
          <w:color w:val="auto"/>
          <w:highlight w:val="none"/>
        </w:rPr>
      </w:pPr>
    </w:p>
    <w:p w14:paraId="601B6F30">
      <w:pPr>
        <w:pStyle w:val="7"/>
        <w:keepNext w:val="0"/>
        <w:keepLines w:val="0"/>
        <w:spacing w:before="0" w:after="0" w:line="360" w:lineRule="auto"/>
        <w:ind w:left="420" w:left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22. 投标文件的补充、修改、撤回与退回</w:t>
      </w:r>
    </w:p>
    <w:p w14:paraId="3E3404C4">
      <w:pPr>
        <w:snapToGrid w:val="0"/>
        <w:spacing w:line="360" w:lineRule="auto"/>
        <w:ind w:firstLine="420"/>
        <w:jc w:val="left"/>
        <w:rPr>
          <w:rFonts w:hint="eastAsia" w:ascii="宋体" w:hAnsi="宋体" w:eastAsia="宋体" w:cs="宋体"/>
          <w:color w:val="auto"/>
          <w:szCs w:val="21"/>
          <w:highlight w:val="none"/>
        </w:rPr>
      </w:pPr>
      <w:bookmarkStart w:id="129" w:name="_Toc254970543"/>
      <w:bookmarkStart w:id="130" w:name="_Toc254970684"/>
      <w:r>
        <w:rPr>
          <w:rFonts w:hint="eastAsia" w:ascii="宋体" w:hAnsi="宋体" w:eastAsia="宋体" w:cs="宋体"/>
          <w:color w:val="auto"/>
          <w:szCs w:val="21"/>
          <w:highlight w:val="none"/>
        </w:rPr>
        <w:t>22.1投标人应当在投标截止时间前完成电子投标文件的上传、递交，投标截止时间前可以补充、修改或者撤回投标文件。补充或者修改投标文件的，应当先行撤回原文件，补充、修改后重新上传、递交。投标截止时间前未完成上传、递交的，视为撤回投标文件。投标截止时间以后上传递交的投标文件，“广西政府采购云”平台将予以拒收。</w:t>
      </w:r>
    </w:p>
    <w:bookmarkEnd w:id="129"/>
    <w:bookmarkEnd w:id="130"/>
    <w:p w14:paraId="7EFF4383">
      <w:pPr>
        <w:snapToGrid w:val="0"/>
        <w:spacing w:line="360" w:lineRule="auto"/>
        <w:ind w:firstLine="42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22.2在投标截止时间止提交投标文件的投标人不足3家时，不得开标，采购代理机构将根据“广西政府采购云”平台的操作将电子版投标文件退回，除此之外采购人和采购代理机构对已提交的投标文件概不退回。</w:t>
      </w:r>
    </w:p>
    <w:p w14:paraId="136B5887">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22.3 投标人在投标截止时间后书面通知采购人、采购代理机构撤销投标文件的，将根据本须知正文18.4的规定不予退还其投标保证金。</w:t>
      </w:r>
    </w:p>
    <w:p w14:paraId="764323C4">
      <w:pPr>
        <w:pStyle w:val="19"/>
        <w:snapToGrid w:val="0"/>
        <w:spacing w:line="360" w:lineRule="auto"/>
        <w:ind w:firstLine="739"/>
        <w:rPr>
          <w:rFonts w:hint="eastAsia" w:ascii="宋体" w:hAnsi="宋体" w:eastAsia="宋体" w:cs="宋体"/>
          <w:snapToGrid w:val="0"/>
          <w:color w:val="auto"/>
          <w:sz w:val="21"/>
          <w:szCs w:val="21"/>
          <w:highlight w:val="none"/>
        </w:rPr>
      </w:pPr>
    </w:p>
    <w:p w14:paraId="250A0911">
      <w:pPr>
        <w:pStyle w:val="5"/>
        <w:keepNext w:val="0"/>
        <w:keepLines w:val="0"/>
        <w:jc w:val="center"/>
        <w:rPr>
          <w:rFonts w:hint="eastAsia" w:ascii="宋体" w:hAnsi="宋体" w:eastAsia="宋体" w:cs="宋体"/>
          <w:color w:val="auto"/>
          <w:highlight w:val="none"/>
        </w:rPr>
      </w:pPr>
      <w:bookmarkStart w:id="131" w:name="_Toc254970685"/>
      <w:bookmarkStart w:id="132" w:name="_Toc254970544"/>
      <w:r>
        <w:rPr>
          <w:rFonts w:hint="eastAsia" w:ascii="宋体" w:hAnsi="宋体" w:eastAsia="宋体" w:cs="宋体"/>
          <w:color w:val="auto"/>
          <w:highlight w:val="none"/>
        </w:rPr>
        <w:t>四、开    标</w:t>
      </w:r>
      <w:bookmarkEnd w:id="131"/>
      <w:bookmarkEnd w:id="132"/>
    </w:p>
    <w:p w14:paraId="066438C3">
      <w:pPr>
        <w:pStyle w:val="7"/>
        <w:keepNext w:val="0"/>
        <w:keepLines w:val="0"/>
        <w:spacing w:before="0" w:after="0" w:line="360" w:lineRule="auto"/>
        <w:ind w:left="420" w:leftChars="200"/>
        <w:rPr>
          <w:rFonts w:hint="eastAsia" w:ascii="宋体" w:hAnsi="宋体" w:eastAsia="宋体" w:cs="宋体"/>
          <w:color w:val="auto"/>
          <w:sz w:val="24"/>
          <w:highlight w:val="none"/>
        </w:rPr>
      </w:pPr>
      <w:bookmarkStart w:id="133" w:name="_23.开标时间和地点"/>
      <w:bookmarkEnd w:id="133"/>
      <w:r>
        <w:rPr>
          <w:rFonts w:hint="eastAsia" w:ascii="宋体" w:hAnsi="宋体" w:eastAsia="宋体" w:cs="宋体"/>
          <w:color w:val="auto"/>
          <w:sz w:val="24"/>
          <w:highlight w:val="none"/>
        </w:rPr>
        <w:t>23.开标时间和地点</w:t>
      </w:r>
    </w:p>
    <w:p w14:paraId="362CC6AB">
      <w:pPr>
        <w:snapToGrid w:val="0"/>
        <w:spacing w:line="360" w:lineRule="auto"/>
        <w:ind w:firstLine="42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23.1开标时间及地点详见“投标人须知前附表”</w:t>
      </w:r>
    </w:p>
    <w:p w14:paraId="7D521713">
      <w:pPr>
        <w:snapToGrid w:val="0"/>
        <w:spacing w:line="360" w:lineRule="auto"/>
        <w:ind w:firstLine="42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23.2如投标人成功解密投标文件，但未在“广西政府采购云”电子开标大厅参加开标的，视同认可开标过程和结果，由此产生的后果由投标人自行负责。成功解密投标文件的投标人不足3家的，不得开标。</w:t>
      </w:r>
    </w:p>
    <w:p w14:paraId="074E8DE7">
      <w:pPr>
        <w:pStyle w:val="7"/>
        <w:keepNext w:val="0"/>
        <w:keepLines w:val="0"/>
        <w:spacing w:before="0" w:after="0" w:line="360" w:lineRule="auto"/>
        <w:ind w:left="420" w:left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24.开标程序</w:t>
      </w:r>
    </w:p>
    <w:p w14:paraId="33C57404">
      <w:pPr>
        <w:autoSpaceDE w:val="0"/>
        <w:autoSpaceDN w:val="0"/>
        <w:adjustRightInd w:val="0"/>
        <w:spacing w:line="440" w:lineRule="exact"/>
        <w:ind w:firstLine="420" w:firstLineChars="200"/>
        <w:rPr>
          <w:rFonts w:hint="eastAsia" w:ascii="宋体" w:hAnsi="宋体" w:eastAsia="宋体" w:cs="宋体"/>
          <w:color w:val="auto"/>
          <w:kern w:val="0"/>
          <w:szCs w:val="21"/>
          <w:highlight w:val="none"/>
        </w:rPr>
      </w:pPr>
      <w:r>
        <w:rPr>
          <w:rFonts w:hint="eastAsia" w:ascii="宋体" w:hAnsi="宋体" w:eastAsia="宋体" w:cs="宋体"/>
          <w:bCs/>
          <w:color w:val="auto"/>
          <w:szCs w:val="21"/>
          <w:highlight w:val="none"/>
        </w:rPr>
        <w:t>24.1</w:t>
      </w:r>
      <w:r>
        <w:rPr>
          <w:rFonts w:hint="eastAsia" w:ascii="宋体" w:hAnsi="宋体" w:eastAsia="宋体" w:cs="宋体"/>
          <w:color w:val="auto"/>
          <w:kern w:val="0"/>
          <w:szCs w:val="21"/>
          <w:highlight w:val="none"/>
        </w:rPr>
        <w:t>开标形式：</w:t>
      </w:r>
    </w:p>
    <w:p w14:paraId="190CF855">
      <w:pPr>
        <w:autoSpaceDE w:val="0"/>
        <w:autoSpaceDN w:val="0"/>
        <w:adjustRightInd w:val="0"/>
        <w:spacing w:line="440" w:lineRule="exact"/>
        <w:ind w:firstLine="420" w:firstLineChars="200"/>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采购代理机构将按照招标文件规定的时间通过“广西政府采购云”平台组织线上开标活动、开启投标文件，所有供应商均应当准时在线参加。投标人如不参加开标大会的，视同认可开标结果，事后不得对采购相关人员、开标过程和开标结果提出异议，同时投标人因未在线参加开标而导致投标文件无法按时解密等一切后果由投标人自己承担。</w:t>
      </w:r>
    </w:p>
    <w:p w14:paraId="373620DB">
      <w:pPr>
        <w:autoSpaceDE w:val="0"/>
        <w:autoSpaceDN w:val="0"/>
        <w:adjustRightInd w:val="0"/>
        <w:spacing w:line="440" w:lineRule="exact"/>
        <w:ind w:firstLine="420" w:firstLineChars="200"/>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24.2开标程序：</w:t>
      </w:r>
    </w:p>
    <w:p w14:paraId="0A61B26F">
      <w:pPr>
        <w:autoSpaceDE w:val="0"/>
        <w:autoSpaceDN w:val="0"/>
        <w:adjustRightInd w:val="0"/>
        <w:spacing w:line="440" w:lineRule="exact"/>
        <w:ind w:firstLine="420" w:firstLineChars="200"/>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1）解密电子投标文件。“广西政府采购云”平台按开标时间自动提取所有投标文件。采购代理机构依托“广西政府采购云”平台向各投标人发出电子加密投标文件【开始解密】通知，由投标人进行投标文件解密。</w:t>
      </w:r>
      <w:r>
        <w:rPr>
          <w:rFonts w:hint="eastAsia" w:ascii="宋体" w:hAnsi="宋体" w:eastAsia="宋体" w:cs="宋体"/>
          <w:b/>
          <w:bCs/>
          <w:color w:val="auto"/>
          <w:szCs w:val="21"/>
          <w:highlight w:val="none"/>
        </w:rPr>
        <w:t>投标人的法定代表人或其委托代理人须携带加密时所用的CA锁准时登录到“广西政府采购云”平台电子开标大厅签到</w:t>
      </w:r>
      <w:r>
        <w:rPr>
          <w:rFonts w:hint="eastAsia" w:ascii="宋体" w:hAnsi="宋体" w:eastAsia="宋体" w:cs="宋体"/>
          <w:b/>
          <w:color w:val="auto"/>
          <w:szCs w:val="21"/>
          <w:highlight w:val="none"/>
        </w:rPr>
        <w:t>并在发起解密</w:t>
      </w:r>
      <w:r>
        <w:rPr>
          <w:rFonts w:hint="eastAsia" w:ascii="宋体" w:hAnsi="宋体" w:eastAsia="宋体" w:cs="宋体"/>
          <w:b/>
          <w:bCs/>
          <w:color w:val="auto"/>
          <w:szCs w:val="21"/>
          <w:highlight w:val="none"/>
        </w:rPr>
        <w:t>通知</w:t>
      </w:r>
      <w:r>
        <w:rPr>
          <w:rFonts w:hint="eastAsia" w:ascii="宋体" w:hAnsi="宋体" w:eastAsia="宋体" w:cs="宋体"/>
          <w:b/>
          <w:color w:val="auto"/>
          <w:szCs w:val="21"/>
          <w:highlight w:val="none"/>
        </w:rPr>
        <w:t>之时起30分钟内完成</w:t>
      </w:r>
      <w:r>
        <w:rPr>
          <w:rFonts w:hint="eastAsia" w:ascii="宋体" w:hAnsi="宋体" w:eastAsia="宋体" w:cs="宋体"/>
          <w:b/>
          <w:bCs/>
          <w:color w:val="auto"/>
          <w:szCs w:val="21"/>
          <w:highlight w:val="none"/>
        </w:rPr>
        <w:t>对电子投标文件解密。投标文件未按时解密的，视为无效投标。</w:t>
      </w:r>
      <w:r>
        <w:rPr>
          <w:rFonts w:hint="eastAsia" w:ascii="宋体" w:hAnsi="宋体" w:eastAsia="宋体" w:cs="宋体"/>
          <w:bCs/>
          <w:color w:val="auto"/>
          <w:szCs w:val="21"/>
          <w:highlight w:val="none"/>
        </w:rPr>
        <w:t>（解密异常情况处理：详见本章29.4 电子交易活动的中止）</w:t>
      </w:r>
    </w:p>
    <w:p w14:paraId="525CC172">
      <w:pPr>
        <w:autoSpaceDE w:val="0"/>
        <w:autoSpaceDN w:val="0"/>
        <w:adjustRightInd w:val="0"/>
        <w:spacing w:line="440" w:lineRule="exact"/>
        <w:ind w:firstLine="420" w:firstLineChars="200"/>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（2）电子唱标。投标文件解密结束，各投标供应商报价均在“广西政府采购云”平台远程不见面开标大厅展示；</w:t>
      </w:r>
    </w:p>
    <w:p w14:paraId="32B68564">
      <w:pPr>
        <w:autoSpaceDE w:val="0"/>
        <w:autoSpaceDN w:val="0"/>
        <w:adjustRightInd w:val="0"/>
        <w:spacing w:line="440" w:lineRule="exact"/>
        <w:ind w:firstLine="420" w:firstLineChars="200"/>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（3）签署电子《政府采购活动现场确认声明书》。通过邮件形式在远程不见面开标大厅发送各投标人签署电子《政府采购活动现场确认声明书》。</w:t>
      </w:r>
    </w:p>
    <w:p w14:paraId="61B5DEF5">
      <w:pPr>
        <w:autoSpaceDE w:val="0"/>
        <w:autoSpaceDN w:val="0"/>
        <w:adjustRightInd w:val="0"/>
        <w:spacing w:line="440" w:lineRule="exact"/>
        <w:ind w:firstLine="420" w:firstLineChars="200"/>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（4）开标过程由采购代理机构如实记录，并电子留痕，由参加电子开标的各投标人代表对电子开标记录在开标记录公布后15分钟内进行当场校核及勘误，并线上确认，未确认的视同认可开标结果。</w:t>
      </w:r>
    </w:p>
    <w:p w14:paraId="454FF600">
      <w:pPr>
        <w:autoSpaceDE w:val="0"/>
        <w:autoSpaceDN w:val="0"/>
        <w:adjustRightInd w:val="0"/>
        <w:spacing w:line="440" w:lineRule="exact"/>
        <w:ind w:firstLine="420" w:firstLineChars="200"/>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5）投标人代表对开标过程和开标记录有疑义，以及认为采购人、采购代理机构相关工作人员有需要回避的情形的，应当场提出在线询问或者回避申请。采购人、采购代理机构对投标人代表提出的询问或者回避申请应当及时处理。</w:t>
      </w:r>
    </w:p>
    <w:p w14:paraId="0DD4FED5">
      <w:pPr>
        <w:autoSpaceDE w:val="0"/>
        <w:autoSpaceDN w:val="0"/>
        <w:adjustRightInd w:val="0"/>
        <w:spacing w:line="440" w:lineRule="exact"/>
        <w:ind w:firstLine="420" w:firstLineChars="200"/>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（6）开标结束。</w:t>
      </w:r>
    </w:p>
    <w:p w14:paraId="5FF01CEC">
      <w:pPr>
        <w:autoSpaceDE w:val="0"/>
        <w:autoSpaceDN w:val="0"/>
        <w:adjustRightInd w:val="0"/>
        <w:spacing w:line="440" w:lineRule="exact"/>
        <w:ind w:firstLine="422" w:firstLineChars="200"/>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特别说明：如遇“广西政府采购云”平台电子化开标或评审程序调整的，按调整后执行。</w:t>
      </w:r>
    </w:p>
    <w:p w14:paraId="7A3C647C">
      <w:pPr>
        <w:pStyle w:val="24"/>
        <w:snapToGrid w:val="0"/>
        <w:spacing w:line="360" w:lineRule="auto"/>
        <w:ind w:left="689" w:leftChars="228" w:hanging="210" w:hangingChars="100"/>
        <w:rPr>
          <w:rFonts w:hint="eastAsia" w:hAnsi="宋体" w:eastAsia="宋体" w:cs="宋体"/>
          <w:color w:val="auto"/>
          <w:sz w:val="21"/>
          <w:highlight w:val="none"/>
        </w:rPr>
      </w:pPr>
    </w:p>
    <w:p w14:paraId="4773312A">
      <w:pPr>
        <w:pStyle w:val="5"/>
        <w:keepNext w:val="0"/>
        <w:keepLines w:val="0"/>
        <w:jc w:val="center"/>
        <w:rPr>
          <w:rFonts w:hint="eastAsia" w:ascii="宋体" w:hAnsi="宋体" w:eastAsia="宋体" w:cs="宋体"/>
          <w:color w:val="auto"/>
          <w:highlight w:val="none"/>
        </w:rPr>
      </w:pPr>
      <w:r>
        <w:rPr>
          <w:rFonts w:hint="eastAsia" w:ascii="宋体" w:hAnsi="宋体" w:eastAsia="宋体" w:cs="宋体"/>
          <w:color w:val="auto"/>
          <w:highlight w:val="none"/>
        </w:rPr>
        <w:t>五、资格审查</w:t>
      </w:r>
    </w:p>
    <w:p w14:paraId="68B204A4">
      <w:pPr>
        <w:pStyle w:val="7"/>
        <w:keepNext w:val="0"/>
        <w:keepLines w:val="0"/>
        <w:spacing w:before="0" w:after="0" w:line="360" w:lineRule="auto"/>
        <w:ind w:left="420" w:left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25.资格审查</w:t>
      </w:r>
    </w:p>
    <w:p w14:paraId="280A2277">
      <w:pPr>
        <w:pStyle w:val="7"/>
        <w:keepNext w:val="0"/>
        <w:keepLines w:val="0"/>
        <w:spacing w:before="0" w:after="0" w:line="360" w:lineRule="auto"/>
        <w:ind w:firstLine="315" w:firstLineChars="150"/>
        <w:rPr>
          <w:rFonts w:hint="eastAsia" w:ascii="宋体" w:hAnsi="宋体" w:eastAsia="宋体" w:cs="宋体"/>
          <w:b w:val="0"/>
          <w:color w:val="auto"/>
          <w:sz w:val="21"/>
          <w:szCs w:val="21"/>
          <w:highlight w:val="none"/>
        </w:rPr>
      </w:pPr>
      <w:r>
        <w:rPr>
          <w:rFonts w:hint="eastAsia" w:ascii="宋体" w:hAnsi="宋体" w:eastAsia="宋体" w:cs="宋体"/>
          <w:b w:val="0"/>
          <w:color w:val="auto"/>
          <w:sz w:val="21"/>
          <w:szCs w:val="21"/>
          <w:highlight w:val="none"/>
        </w:rPr>
        <w:t xml:space="preserve"> 25.1开标结束后，采购人或者采购代理机构依法对投标人的资格进行审查。</w:t>
      </w:r>
    </w:p>
    <w:p w14:paraId="6BCC2F19">
      <w:pPr>
        <w:pStyle w:val="7"/>
        <w:keepNext w:val="0"/>
        <w:keepLines w:val="0"/>
        <w:spacing w:before="0" w:after="0" w:line="360" w:lineRule="auto"/>
        <w:ind w:firstLine="315" w:firstLineChars="150"/>
        <w:rPr>
          <w:rFonts w:hint="eastAsia" w:ascii="宋体" w:hAnsi="宋体" w:eastAsia="宋体" w:cs="宋体"/>
          <w:b w:val="0"/>
          <w:color w:val="auto"/>
          <w:sz w:val="21"/>
          <w:szCs w:val="21"/>
          <w:highlight w:val="none"/>
        </w:rPr>
      </w:pPr>
      <w:r>
        <w:rPr>
          <w:rFonts w:hint="eastAsia" w:ascii="宋体" w:hAnsi="宋体" w:eastAsia="宋体" w:cs="宋体"/>
          <w:b w:val="0"/>
          <w:color w:val="auto"/>
          <w:sz w:val="21"/>
          <w:szCs w:val="21"/>
          <w:highlight w:val="none"/>
        </w:rPr>
        <w:t xml:space="preserve"> 25.2资格审查标准为本招标文件中载明对投标人资格要求的条件。本项目资格审查采用合格制，凡符合招标文件规定的投标人资格要求的投标人均通过资格审查。</w:t>
      </w:r>
    </w:p>
    <w:p w14:paraId="323B11DA">
      <w:pPr>
        <w:pStyle w:val="7"/>
        <w:keepNext w:val="0"/>
        <w:keepLines w:val="0"/>
        <w:numPr>
          <w:ilvl w:val="0"/>
          <w:numId w:val="0"/>
        </w:numPr>
        <w:spacing w:before="0" w:after="0" w:line="360" w:lineRule="auto"/>
        <w:ind w:firstLine="422" w:firstLineChars="200"/>
        <w:rPr>
          <w:rFonts w:hint="eastAsia" w:ascii="宋体" w:hAnsi="宋体" w:eastAsia="宋体" w:cs="宋体"/>
          <w:color w:val="auto"/>
          <w:sz w:val="21"/>
          <w:szCs w:val="21"/>
          <w:highlight w:val="none"/>
        </w:rPr>
      </w:pPr>
      <w:bookmarkStart w:id="134" w:name="_25.3_投标人有下列情形之一的，资格审查不通过而导致其投标无效："/>
      <w:bookmarkEnd w:id="134"/>
      <w:r>
        <w:rPr>
          <w:rFonts w:hint="eastAsia" w:ascii="宋体" w:hAnsi="宋体" w:eastAsia="宋体" w:cs="宋体"/>
          <w:color w:val="auto"/>
          <w:sz w:val="21"/>
          <w:szCs w:val="21"/>
          <w:highlight w:val="none"/>
        </w:rPr>
        <w:t>25.3 投标人有下列情形之一的，资格审查不通过，作无效投标处理：</w:t>
      </w:r>
    </w:p>
    <w:p w14:paraId="14CB2626">
      <w:pPr>
        <w:pStyle w:val="24"/>
        <w:snapToGrid w:val="0"/>
        <w:spacing w:line="360" w:lineRule="auto"/>
        <w:ind w:firstLine="422" w:firstLineChars="200"/>
        <w:rPr>
          <w:rFonts w:hint="eastAsia" w:hAnsi="宋体" w:eastAsia="宋体" w:cs="宋体"/>
          <w:b/>
          <w:color w:val="auto"/>
          <w:sz w:val="21"/>
          <w:highlight w:val="none"/>
        </w:rPr>
      </w:pPr>
      <w:r>
        <w:rPr>
          <w:rFonts w:hint="eastAsia" w:hAnsi="宋体" w:eastAsia="宋体" w:cs="宋体"/>
          <w:b/>
          <w:color w:val="auto"/>
          <w:sz w:val="21"/>
          <w:highlight w:val="none"/>
        </w:rPr>
        <w:t>（1）未按招标文件规定的方式获取本招标文件的投标人；</w:t>
      </w:r>
    </w:p>
    <w:p w14:paraId="21401236">
      <w:pPr>
        <w:pStyle w:val="24"/>
        <w:snapToGrid w:val="0"/>
        <w:spacing w:line="360" w:lineRule="auto"/>
        <w:ind w:firstLine="422" w:firstLineChars="200"/>
        <w:rPr>
          <w:rFonts w:hint="eastAsia" w:hAnsi="宋体" w:eastAsia="宋体" w:cs="宋体"/>
          <w:b/>
          <w:color w:val="auto"/>
          <w:sz w:val="21"/>
          <w:highlight w:val="none"/>
        </w:rPr>
      </w:pPr>
      <w:r>
        <w:rPr>
          <w:rFonts w:hint="eastAsia" w:hAnsi="宋体" w:eastAsia="宋体" w:cs="宋体"/>
          <w:b/>
          <w:color w:val="auto"/>
          <w:sz w:val="21"/>
          <w:highlight w:val="none"/>
        </w:rPr>
        <w:t>（2）不具备招标文件中规定的资格要求的；</w:t>
      </w:r>
    </w:p>
    <w:p w14:paraId="3210AF62">
      <w:pPr>
        <w:pStyle w:val="24"/>
        <w:snapToGrid w:val="0"/>
        <w:spacing w:line="360" w:lineRule="auto"/>
        <w:ind w:firstLine="422" w:firstLineChars="200"/>
        <w:rPr>
          <w:rFonts w:hint="eastAsia" w:hAnsi="宋体" w:eastAsia="宋体" w:cs="宋体"/>
          <w:b/>
          <w:color w:val="auto"/>
          <w:sz w:val="21"/>
          <w:highlight w:val="none"/>
        </w:rPr>
      </w:pPr>
      <w:r>
        <w:rPr>
          <w:rFonts w:hint="eastAsia" w:hAnsi="宋体" w:eastAsia="宋体" w:cs="宋体"/>
          <w:b/>
          <w:color w:val="auto"/>
          <w:sz w:val="21"/>
          <w:highlight w:val="none"/>
        </w:rPr>
        <w:t>（3）在“信用中国”网站（www.creditchina.gov.cn）、中国政府采购网（www.ccgp.gov.cn）被列入失信被执行人、</w:t>
      </w:r>
      <w:r>
        <w:rPr>
          <w:rFonts w:hint="eastAsia" w:hAnsi="宋体" w:eastAsia="宋体" w:cs="宋体"/>
          <w:b/>
          <w:color w:val="auto"/>
          <w:sz w:val="21"/>
          <w:highlight w:val="none"/>
          <w:lang w:eastAsia="zh-CN"/>
        </w:rPr>
        <w:t>重大税收违法失信主体名单</w:t>
      </w:r>
      <w:r>
        <w:rPr>
          <w:rFonts w:hint="eastAsia" w:hAnsi="宋体" w:eastAsia="宋体" w:cs="宋体"/>
          <w:b/>
          <w:color w:val="auto"/>
          <w:sz w:val="21"/>
          <w:highlight w:val="none"/>
        </w:rPr>
        <w:t>、政府采购严重违法失信行为记录名单及其他不符合《中华人民共和国政府采购法》第二十二条规定条件的；（注：其中信用查询规则见“投标人须知前附表”）</w:t>
      </w:r>
    </w:p>
    <w:p w14:paraId="2A5BFD8C">
      <w:pPr>
        <w:pStyle w:val="24"/>
        <w:snapToGrid w:val="0"/>
        <w:spacing w:line="360" w:lineRule="auto"/>
        <w:ind w:firstLine="422" w:firstLineChars="200"/>
        <w:rPr>
          <w:rFonts w:hint="eastAsia" w:hAnsi="宋体" w:eastAsia="宋体" w:cs="宋体"/>
          <w:b/>
          <w:color w:val="auto"/>
          <w:sz w:val="21"/>
          <w:highlight w:val="none"/>
        </w:rPr>
      </w:pPr>
      <w:r>
        <w:rPr>
          <w:rFonts w:hint="eastAsia" w:hAnsi="宋体" w:eastAsia="宋体" w:cs="宋体"/>
          <w:b/>
          <w:color w:val="auto"/>
          <w:sz w:val="21"/>
          <w:highlight w:val="none"/>
        </w:rPr>
        <w:t>（4）同一合同项下的不同投标人，单位负责人为同一人或者存在直接控股、管理关系的；为本项目提供过整体设计、规范编制或者项目管理、监理、检测等服务的供应商，再参加该采购项目的其他采购活动的；</w:t>
      </w:r>
    </w:p>
    <w:p w14:paraId="7D8FD874">
      <w:pPr>
        <w:pStyle w:val="24"/>
        <w:snapToGrid w:val="0"/>
        <w:spacing w:line="360" w:lineRule="auto"/>
        <w:ind w:firstLine="422" w:firstLineChars="200"/>
        <w:rPr>
          <w:rFonts w:hint="eastAsia" w:hAnsi="宋体" w:eastAsia="宋体" w:cs="宋体"/>
          <w:b/>
          <w:color w:val="auto"/>
          <w:sz w:val="21"/>
          <w:highlight w:val="none"/>
        </w:rPr>
      </w:pPr>
      <w:r>
        <w:rPr>
          <w:rFonts w:hint="eastAsia" w:hAnsi="宋体" w:eastAsia="宋体" w:cs="宋体"/>
          <w:b/>
          <w:color w:val="auto"/>
          <w:sz w:val="21"/>
          <w:highlight w:val="none"/>
        </w:rPr>
        <w:t>（5）投标文件中的资格证明文件缺少任一项“投标人须知前附表”资格证明文件规定“必须提供”的文件资料的；</w:t>
      </w:r>
    </w:p>
    <w:p w14:paraId="2F3E0DBD">
      <w:pPr>
        <w:pStyle w:val="24"/>
        <w:snapToGrid w:val="0"/>
        <w:spacing w:line="360" w:lineRule="auto"/>
        <w:ind w:firstLine="422" w:firstLineChars="200"/>
        <w:rPr>
          <w:rFonts w:hint="eastAsia" w:hAnsi="宋体" w:eastAsia="宋体" w:cs="宋体"/>
          <w:b/>
          <w:color w:val="auto"/>
          <w:sz w:val="21"/>
          <w:highlight w:val="none"/>
        </w:rPr>
      </w:pPr>
      <w:r>
        <w:rPr>
          <w:rFonts w:hint="eastAsia" w:hAnsi="宋体" w:eastAsia="宋体" w:cs="宋体"/>
          <w:b/>
          <w:color w:val="auto"/>
          <w:sz w:val="21"/>
          <w:highlight w:val="none"/>
        </w:rPr>
        <w:t>（6）投标文件中的资格证明文件出现任一项不符合“投标人须知前附表”资格证明文件规定“必须提供”的文件资料要求或者无效的。</w:t>
      </w:r>
    </w:p>
    <w:p w14:paraId="452E7F9F">
      <w:pPr>
        <w:pStyle w:val="7"/>
        <w:keepNext w:val="0"/>
        <w:keepLines w:val="0"/>
        <w:spacing w:before="0" w:after="0" w:line="360" w:lineRule="auto"/>
        <w:ind w:left="420" w:leftChars="200"/>
        <w:rPr>
          <w:rFonts w:hint="eastAsia" w:ascii="宋体" w:hAnsi="宋体" w:eastAsia="宋体" w:cs="宋体"/>
          <w:b w:val="0"/>
          <w:color w:val="auto"/>
          <w:sz w:val="21"/>
          <w:szCs w:val="21"/>
          <w:highlight w:val="none"/>
        </w:rPr>
      </w:pPr>
      <w:r>
        <w:rPr>
          <w:rFonts w:hint="eastAsia" w:ascii="宋体" w:hAnsi="宋体" w:eastAsia="宋体" w:cs="宋体"/>
          <w:color w:val="auto"/>
          <w:sz w:val="21"/>
          <w:szCs w:val="21"/>
          <w:highlight w:val="none"/>
        </w:rPr>
        <w:t>25.4合格投标人不足3家的，不得评标。</w:t>
      </w:r>
    </w:p>
    <w:p w14:paraId="527406BB">
      <w:pPr>
        <w:pStyle w:val="24"/>
        <w:snapToGrid w:val="0"/>
        <w:spacing w:line="360" w:lineRule="auto"/>
        <w:ind w:left="689" w:leftChars="228" w:hanging="210" w:hangingChars="100"/>
        <w:rPr>
          <w:rFonts w:hint="eastAsia" w:hAnsi="宋体" w:eastAsia="宋体" w:cs="宋体"/>
          <w:color w:val="auto"/>
          <w:sz w:val="21"/>
          <w:highlight w:val="none"/>
        </w:rPr>
      </w:pPr>
    </w:p>
    <w:p w14:paraId="5408DABF">
      <w:pPr>
        <w:pStyle w:val="5"/>
        <w:keepNext w:val="0"/>
        <w:keepLines w:val="0"/>
        <w:jc w:val="center"/>
        <w:rPr>
          <w:rFonts w:hint="eastAsia" w:ascii="宋体" w:hAnsi="宋体" w:eastAsia="宋体" w:cs="宋体"/>
          <w:color w:val="auto"/>
          <w:highlight w:val="none"/>
        </w:rPr>
      </w:pPr>
      <w:r>
        <w:rPr>
          <w:rFonts w:hint="eastAsia" w:ascii="宋体" w:hAnsi="宋体" w:eastAsia="宋体" w:cs="宋体"/>
          <w:color w:val="auto"/>
          <w:highlight w:val="none"/>
        </w:rPr>
        <w:t>六、评   标</w:t>
      </w:r>
    </w:p>
    <w:p w14:paraId="00E5CB45">
      <w:pPr>
        <w:pStyle w:val="7"/>
        <w:keepNext w:val="0"/>
        <w:keepLines w:val="0"/>
        <w:spacing w:before="0" w:after="0" w:line="360" w:lineRule="auto"/>
        <w:ind w:left="420" w:leftChars="200"/>
        <w:rPr>
          <w:rFonts w:hint="eastAsia" w:ascii="宋体" w:hAnsi="宋体" w:eastAsia="宋体" w:cs="宋体"/>
          <w:color w:val="auto"/>
          <w:sz w:val="24"/>
          <w:highlight w:val="none"/>
        </w:rPr>
      </w:pPr>
      <w:bookmarkStart w:id="135" w:name="_26.组建评标委员会"/>
      <w:bookmarkEnd w:id="135"/>
      <w:r>
        <w:rPr>
          <w:rFonts w:hint="eastAsia" w:ascii="宋体" w:hAnsi="宋体" w:eastAsia="宋体" w:cs="宋体"/>
          <w:color w:val="auto"/>
          <w:sz w:val="24"/>
          <w:highlight w:val="none"/>
        </w:rPr>
        <w:t>26.组建评标委员会</w:t>
      </w:r>
    </w:p>
    <w:p w14:paraId="54C4D0BD">
      <w:pPr>
        <w:pStyle w:val="24"/>
        <w:snapToGrid w:val="0"/>
        <w:spacing w:line="360" w:lineRule="auto"/>
        <w:ind w:firstLine="420" w:firstLineChars="200"/>
        <w:rPr>
          <w:rFonts w:hint="eastAsia" w:hAnsi="宋体" w:eastAsia="宋体" w:cs="宋体"/>
          <w:color w:val="auto"/>
          <w:sz w:val="21"/>
          <w:highlight w:val="none"/>
        </w:rPr>
      </w:pPr>
      <w:r>
        <w:rPr>
          <w:rFonts w:hint="eastAsia" w:hAnsi="宋体" w:eastAsia="宋体" w:cs="宋体"/>
          <w:color w:val="auto"/>
          <w:sz w:val="21"/>
          <w:highlight w:val="none"/>
        </w:rPr>
        <w:t>评标委员会由评审专家组成，具体人数详见“投标人须知前附表”。</w:t>
      </w:r>
    </w:p>
    <w:p w14:paraId="3822D2E6">
      <w:pPr>
        <w:pStyle w:val="24"/>
        <w:snapToGrid w:val="0"/>
        <w:spacing w:line="360" w:lineRule="auto"/>
        <w:ind w:left="2" w:leftChars="1" w:firstLine="420" w:firstLineChars="200"/>
        <w:rPr>
          <w:rFonts w:hint="eastAsia" w:hAnsi="宋体" w:eastAsia="宋体" w:cs="宋体"/>
          <w:color w:val="auto"/>
          <w:sz w:val="21"/>
          <w:highlight w:val="none"/>
        </w:rPr>
      </w:pPr>
      <w:r>
        <w:rPr>
          <w:rFonts w:hint="eastAsia" w:hAnsi="宋体" w:eastAsia="宋体" w:cs="宋体"/>
          <w:color w:val="auto"/>
          <w:sz w:val="21"/>
          <w:highlight w:val="none"/>
        </w:rPr>
        <w:t>参加过采购项目前期咨询论证的专家，不得参加该采购项目的评审活动。</w:t>
      </w:r>
    </w:p>
    <w:p w14:paraId="76B0A751">
      <w:pPr>
        <w:pStyle w:val="7"/>
        <w:keepNext w:val="0"/>
        <w:keepLines w:val="0"/>
        <w:spacing w:before="0" w:after="0" w:line="360" w:lineRule="auto"/>
        <w:ind w:left="420" w:left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27.评标的依据</w:t>
      </w:r>
    </w:p>
    <w:p w14:paraId="3E17B662">
      <w:pPr>
        <w:pStyle w:val="24"/>
        <w:snapToGrid w:val="0"/>
        <w:spacing w:line="360" w:lineRule="auto"/>
        <w:ind w:firstLine="420" w:firstLineChars="200"/>
        <w:rPr>
          <w:rFonts w:hint="eastAsia" w:hAnsi="宋体" w:eastAsia="宋体" w:cs="宋体"/>
          <w:color w:val="auto"/>
          <w:sz w:val="21"/>
          <w:highlight w:val="none"/>
        </w:rPr>
      </w:pPr>
      <w:r>
        <w:rPr>
          <w:rFonts w:hint="eastAsia" w:hAnsi="宋体" w:eastAsia="宋体" w:cs="宋体"/>
          <w:color w:val="auto"/>
          <w:sz w:val="21"/>
          <w:highlight w:val="none"/>
        </w:rPr>
        <w:t>评标委员会以“第四章 评标方法和评标标准”为依据对投标文件进行评审，没有规定的方法、评审因素和标准，不作为评标依据。</w:t>
      </w:r>
    </w:p>
    <w:p w14:paraId="5791D15C">
      <w:pPr>
        <w:pStyle w:val="7"/>
        <w:keepNext w:val="0"/>
        <w:keepLines w:val="0"/>
        <w:spacing w:before="0" w:after="0" w:line="360" w:lineRule="auto"/>
        <w:ind w:left="420" w:left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28.评标原则</w:t>
      </w:r>
    </w:p>
    <w:p w14:paraId="52D5C21F">
      <w:pPr>
        <w:pStyle w:val="24"/>
        <w:snapToGrid w:val="0"/>
        <w:spacing w:line="360" w:lineRule="auto"/>
        <w:ind w:firstLine="420" w:firstLineChars="200"/>
        <w:rPr>
          <w:rFonts w:hint="eastAsia" w:hAnsi="宋体" w:eastAsia="宋体" w:cs="宋体"/>
          <w:color w:val="auto"/>
          <w:sz w:val="21"/>
          <w:highlight w:val="none"/>
        </w:rPr>
      </w:pPr>
      <w:r>
        <w:rPr>
          <w:rFonts w:hint="eastAsia" w:hAnsi="宋体" w:eastAsia="宋体" w:cs="宋体"/>
          <w:color w:val="auto"/>
          <w:sz w:val="21"/>
          <w:highlight w:val="none"/>
        </w:rPr>
        <w:t>28.1评标原则。评标委员会评标时必须公平、公正、客观，不带任何倾向性和启发性；不得向外界透露任何与评标有关的内容；任何单位和个人不得干扰、影响评标的正常进行；评标委员会及有关工作人员不得私下与投标人接触，不得收受利害关系人的财物或者其他好处。</w:t>
      </w:r>
    </w:p>
    <w:p w14:paraId="2F96A455">
      <w:pPr>
        <w:pStyle w:val="24"/>
        <w:snapToGrid w:val="0"/>
        <w:spacing w:line="360" w:lineRule="auto"/>
        <w:ind w:firstLine="420" w:firstLineChars="200"/>
        <w:rPr>
          <w:rFonts w:hint="eastAsia" w:hAnsi="宋体" w:eastAsia="宋体" w:cs="宋体"/>
          <w:color w:val="auto"/>
          <w:sz w:val="21"/>
          <w:highlight w:val="none"/>
        </w:rPr>
      </w:pPr>
      <w:r>
        <w:rPr>
          <w:rFonts w:hint="eastAsia" w:hAnsi="宋体" w:eastAsia="宋体" w:cs="宋体"/>
          <w:color w:val="auto"/>
          <w:sz w:val="21"/>
          <w:highlight w:val="none"/>
        </w:rPr>
        <w:t>28.2</w:t>
      </w:r>
      <w:bookmarkStart w:id="136" w:name="_28.3评标方法。本项目将按须知前附表规定的评标办法进行评标，具体评标"/>
      <w:bookmarkEnd w:id="136"/>
      <w:r>
        <w:rPr>
          <w:rFonts w:hint="eastAsia" w:hAnsi="宋体" w:eastAsia="宋体" w:cs="宋体"/>
          <w:color w:val="auto"/>
          <w:sz w:val="21"/>
          <w:highlight w:val="none"/>
        </w:rPr>
        <w:t>评委表决。评标委员会成员对需要共同认定的事项存在争议的，应当按照少数服从多数的原则作出结论。</w:t>
      </w:r>
    </w:p>
    <w:p w14:paraId="437AFF54">
      <w:pPr>
        <w:pStyle w:val="24"/>
        <w:snapToGrid w:val="0"/>
        <w:spacing w:line="360" w:lineRule="auto"/>
        <w:ind w:firstLine="420" w:firstLineChars="200"/>
        <w:rPr>
          <w:rFonts w:hint="eastAsia" w:hAnsi="宋体" w:eastAsia="宋体" w:cs="宋体"/>
          <w:color w:val="auto"/>
          <w:sz w:val="21"/>
          <w:highlight w:val="none"/>
        </w:rPr>
      </w:pPr>
      <w:r>
        <w:rPr>
          <w:rFonts w:hint="eastAsia" w:hAnsi="宋体" w:eastAsia="宋体" w:cs="宋体"/>
          <w:color w:val="auto"/>
          <w:sz w:val="21"/>
          <w:highlight w:val="none"/>
        </w:rPr>
        <w:t>28.3评标的保密。采购人、采购代理机构应当采取必要措施，保证评标在严格保密（封闭式评标）的情况下进行。除采购人代表、评标现场组织人员外，采购人的其他工作人员以及与评标工作无关的人员不得进入评标现场。有关人员对评标情况以及在评标过程中获悉的国家秘密、商业秘密负有保密责任。</w:t>
      </w:r>
    </w:p>
    <w:p w14:paraId="7000A929">
      <w:pPr>
        <w:pStyle w:val="24"/>
        <w:snapToGrid w:val="0"/>
        <w:spacing w:line="360" w:lineRule="auto"/>
        <w:ind w:firstLine="420" w:firstLineChars="200"/>
        <w:rPr>
          <w:rFonts w:hint="eastAsia" w:hAnsi="宋体" w:eastAsia="宋体" w:cs="宋体"/>
          <w:color w:val="auto"/>
          <w:sz w:val="21"/>
          <w:highlight w:val="none"/>
        </w:rPr>
      </w:pPr>
      <w:r>
        <w:rPr>
          <w:rFonts w:hint="eastAsia" w:hAnsi="宋体" w:eastAsia="宋体" w:cs="宋体"/>
          <w:color w:val="auto"/>
          <w:sz w:val="21"/>
          <w:highlight w:val="none"/>
        </w:rPr>
        <w:t>28.4评标过程的监控。本项目评标过程实行全程录音、录像监控，</w:t>
      </w:r>
      <w:r>
        <w:rPr>
          <w:rFonts w:hint="eastAsia" w:hAnsi="宋体" w:eastAsia="宋体" w:cs="宋体"/>
          <w:b/>
          <w:bCs/>
          <w:color w:val="auto"/>
          <w:sz w:val="21"/>
          <w:highlight w:val="none"/>
        </w:rPr>
        <w:t>投标人在评标过程中所进行的试图影响评标结果的不公正活动，可能导致其投标无效</w:t>
      </w:r>
      <w:r>
        <w:rPr>
          <w:rFonts w:hint="eastAsia" w:hAnsi="宋体" w:eastAsia="宋体" w:cs="宋体"/>
          <w:color w:val="auto"/>
          <w:sz w:val="21"/>
          <w:highlight w:val="none"/>
        </w:rPr>
        <w:t>。</w:t>
      </w:r>
    </w:p>
    <w:p w14:paraId="0A64F2A4">
      <w:pPr>
        <w:pStyle w:val="7"/>
        <w:keepNext w:val="0"/>
        <w:keepLines w:val="0"/>
        <w:spacing w:before="0" w:after="0" w:line="360" w:lineRule="auto"/>
        <w:ind w:left="420" w:left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29.评标方法及中标候选人推荐</w:t>
      </w:r>
    </w:p>
    <w:p w14:paraId="7AA74F82">
      <w:pPr>
        <w:pStyle w:val="24"/>
        <w:snapToGrid w:val="0"/>
        <w:spacing w:line="360" w:lineRule="auto"/>
        <w:ind w:firstLine="420" w:firstLineChars="200"/>
        <w:rPr>
          <w:rFonts w:hint="eastAsia" w:hAnsi="宋体" w:eastAsia="宋体" w:cs="宋体"/>
          <w:color w:val="auto"/>
          <w:sz w:val="21"/>
          <w:highlight w:val="none"/>
        </w:rPr>
      </w:pPr>
      <w:r>
        <w:rPr>
          <w:rFonts w:hint="eastAsia" w:hAnsi="宋体" w:eastAsia="宋体" w:cs="宋体"/>
          <w:color w:val="auto"/>
          <w:sz w:val="21"/>
          <w:highlight w:val="none"/>
        </w:rPr>
        <w:t>29.1本项目的评标方法详见“投标人须知前附表”。</w:t>
      </w:r>
    </w:p>
    <w:p w14:paraId="1EB1F83F">
      <w:pPr>
        <w:pStyle w:val="24"/>
        <w:snapToGrid w:val="0"/>
        <w:spacing w:line="360" w:lineRule="auto"/>
        <w:ind w:firstLine="420" w:firstLineChars="200"/>
        <w:rPr>
          <w:rFonts w:hint="eastAsia" w:hAnsi="宋体" w:eastAsia="宋体" w:cs="宋体"/>
          <w:color w:val="auto"/>
          <w:sz w:val="21"/>
          <w:highlight w:val="none"/>
        </w:rPr>
      </w:pPr>
      <w:r>
        <w:rPr>
          <w:rFonts w:hint="eastAsia" w:hAnsi="宋体" w:eastAsia="宋体" w:cs="宋体"/>
          <w:color w:val="auto"/>
          <w:sz w:val="21"/>
          <w:highlight w:val="none"/>
        </w:rPr>
        <w:t>29.2 中标候选人推荐数量详见“投标人须知前附表”。</w:t>
      </w:r>
    </w:p>
    <w:p w14:paraId="7B2741B5">
      <w:pPr>
        <w:pStyle w:val="24"/>
        <w:snapToGrid w:val="0"/>
        <w:spacing w:line="360" w:lineRule="auto"/>
        <w:ind w:firstLine="420" w:firstLineChars="200"/>
        <w:rPr>
          <w:rFonts w:hint="eastAsia" w:hAnsi="宋体" w:eastAsia="宋体" w:cs="宋体"/>
          <w:color w:val="auto"/>
          <w:sz w:val="21"/>
          <w:highlight w:val="none"/>
        </w:rPr>
      </w:pPr>
      <w:r>
        <w:rPr>
          <w:rFonts w:hint="eastAsia" w:hAnsi="宋体" w:eastAsia="宋体" w:cs="宋体"/>
          <w:color w:val="auto"/>
          <w:sz w:val="21"/>
          <w:highlight w:val="none"/>
        </w:rPr>
        <w:t>29.3评标委员会将按照“第四章 评标方法和评标标准”规定的方法、评审因素、标准和程序对投标文件进行评审。</w:t>
      </w:r>
    </w:p>
    <w:p w14:paraId="6B2FAC95">
      <w:pPr>
        <w:pStyle w:val="24"/>
        <w:snapToGrid w:val="0"/>
        <w:spacing w:line="360" w:lineRule="auto"/>
        <w:ind w:firstLine="420" w:firstLineChars="200"/>
        <w:rPr>
          <w:rFonts w:hint="eastAsia" w:hAnsi="宋体" w:eastAsia="宋体" w:cs="宋体"/>
          <w:color w:val="auto"/>
          <w:sz w:val="21"/>
          <w:highlight w:val="none"/>
        </w:rPr>
      </w:pPr>
      <w:r>
        <w:rPr>
          <w:rFonts w:hint="eastAsia" w:hAnsi="宋体" w:eastAsia="宋体" w:cs="宋体"/>
          <w:color w:val="auto"/>
          <w:sz w:val="21"/>
          <w:highlight w:val="none"/>
        </w:rPr>
        <w:t>29.4电子交易活动的中止。采购过程中出现以下情形，导致电子交易平台无法正常运行，或者无法保证电子交易的公平、公正和安全时，采购代理机构可中止电子交易活动：</w:t>
      </w:r>
    </w:p>
    <w:p w14:paraId="25E1FFB9">
      <w:pPr>
        <w:pStyle w:val="24"/>
        <w:snapToGrid w:val="0"/>
        <w:spacing w:line="360" w:lineRule="auto"/>
        <w:ind w:firstLine="420" w:firstLineChars="200"/>
        <w:rPr>
          <w:rFonts w:hint="eastAsia" w:hAnsi="宋体" w:eastAsia="宋体" w:cs="宋体"/>
          <w:color w:val="auto"/>
          <w:sz w:val="21"/>
          <w:highlight w:val="none"/>
        </w:rPr>
      </w:pPr>
      <w:r>
        <w:rPr>
          <w:rFonts w:hint="eastAsia" w:hAnsi="宋体" w:eastAsia="宋体" w:cs="宋体"/>
          <w:color w:val="auto"/>
          <w:sz w:val="21"/>
          <w:highlight w:val="none"/>
        </w:rPr>
        <w:t xml:space="preserve">（1）电子交易平台发生故障而无法登录访问的； </w:t>
      </w:r>
    </w:p>
    <w:p w14:paraId="4A09ED36">
      <w:pPr>
        <w:pStyle w:val="24"/>
        <w:snapToGrid w:val="0"/>
        <w:spacing w:line="360" w:lineRule="auto"/>
        <w:ind w:firstLine="420" w:firstLineChars="200"/>
        <w:rPr>
          <w:rFonts w:hint="eastAsia" w:hAnsi="宋体" w:eastAsia="宋体" w:cs="宋体"/>
          <w:color w:val="auto"/>
          <w:sz w:val="21"/>
          <w:highlight w:val="none"/>
        </w:rPr>
      </w:pPr>
      <w:r>
        <w:rPr>
          <w:rFonts w:hint="eastAsia" w:hAnsi="宋体" w:eastAsia="宋体" w:cs="宋体"/>
          <w:color w:val="auto"/>
          <w:sz w:val="21"/>
          <w:highlight w:val="none"/>
        </w:rPr>
        <w:t>（2）电子交易平台应用或数据库出现错误，不能进行正常操作的；</w:t>
      </w:r>
    </w:p>
    <w:p w14:paraId="2BAAF1FA">
      <w:pPr>
        <w:pStyle w:val="24"/>
        <w:snapToGrid w:val="0"/>
        <w:spacing w:line="360" w:lineRule="auto"/>
        <w:ind w:firstLine="420" w:firstLineChars="200"/>
        <w:rPr>
          <w:rFonts w:hint="eastAsia" w:hAnsi="宋体" w:eastAsia="宋体" w:cs="宋体"/>
          <w:color w:val="auto"/>
          <w:sz w:val="21"/>
          <w:highlight w:val="none"/>
        </w:rPr>
      </w:pPr>
      <w:r>
        <w:rPr>
          <w:rFonts w:hint="eastAsia" w:hAnsi="宋体" w:eastAsia="宋体" w:cs="宋体"/>
          <w:color w:val="auto"/>
          <w:sz w:val="21"/>
          <w:highlight w:val="none"/>
        </w:rPr>
        <w:t>（3）电子交易平台发现严重安全漏洞，有潜在泄密危险的；</w:t>
      </w:r>
    </w:p>
    <w:p w14:paraId="41FC5CBD">
      <w:pPr>
        <w:pStyle w:val="24"/>
        <w:snapToGrid w:val="0"/>
        <w:spacing w:line="360" w:lineRule="auto"/>
        <w:ind w:firstLine="420" w:firstLineChars="200"/>
        <w:rPr>
          <w:rFonts w:hint="eastAsia" w:hAnsi="宋体" w:eastAsia="宋体" w:cs="宋体"/>
          <w:color w:val="auto"/>
          <w:sz w:val="21"/>
          <w:highlight w:val="none"/>
        </w:rPr>
      </w:pPr>
      <w:r>
        <w:rPr>
          <w:rFonts w:hint="eastAsia" w:hAnsi="宋体" w:eastAsia="宋体" w:cs="宋体"/>
          <w:color w:val="auto"/>
          <w:sz w:val="21"/>
          <w:highlight w:val="none"/>
        </w:rPr>
        <w:t xml:space="preserve">（4）病毒发作导致不能进行正常操作的； </w:t>
      </w:r>
    </w:p>
    <w:p w14:paraId="62817F73">
      <w:pPr>
        <w:pStyle w:val="24"/>
        <w:snapToGrid w:val="0"/>
        <w:spacing w:line="360" w:lineRule="auto"/>
        <w:ind w:firstLine="420" w:firstLineChars="200"/>
        <w:rPr>
          <w:rFonts w:hint="eastAsia" w:hAnsi="宋体" w:eastAsia="宋体" w:cs="宋体"/>
          <w:color w:val="auto"/>
          <w:sz w:val="21"/>
          <w:highlight w:val="none"/>
        </w:rPr>
      </w:pPr>
      <w:r>
        <w:rPr>
          <w:rFonts w:hint="eastAsia" w:hAnsi="宋体" w:eastAsia="宋体" w:cs="宋体"/>
          <w:color w:val="auto"/>
          <w:sz w:val="21"/>
          <w:highlight w:val="none"/>
        </w:rPr>
        <w:t>（4）其他无法保证电子交易的公平、公正和安全的情况。</w:t>
      </w:r>
    </w:p>
    <w:p w14:paraId="3B53B6BE">
      <w:pPr>
        <w:pStyle w:val="24"/>
        <w:snapToGrid w:val="0"/>
        <w:spacing w:line="360" w:lineRule="auto"/>
        <w:ind w:firstLine="420" w:firstLineChars="200"/>
        <w:rPr>
          <w:rFonts w:hint="eastAsia" w:hAnsi="宋体" w:eastAsia="宋体" w:cs="宋体"/>
          <w:color w:val="auto"/>
          <w:sz w:val="21"/>
          <w:highlight w:val="none"/>
        </w:rPr>
      </w:pPr>
      <w:r>
        <w:rPr>
          <w:rFonts w:hint="eastAsia" w:hAnsi="宋体" w:eastAsia="宋体" w:cs="宋体"/>
          <w:color w:val="auto"/>
          <w:sz w:val="21"/>
          <w:highlight w:val="none"/>
        </w:rPr>
        <w:t>29.5出现以上情形，不影响采购公平、公正性的，采购代理机构可以待上述情形消除后继续组织电子交易活动；影响或可能影响采购公平、公正性的，经采购代理机构确认后，应当重新采购。</w:t>
      </w:r>
    </w:p>
    <w:p w14:paraId="1D57E23A">
      <w:pPr>
        <w:pStyle w:val="24"/>
        <w:snapToGrid w:val="0"/>
        <w:spacing w:line="360" w:lineRule="auto"/>
        <w:rPr>
          <w:rFonts w:hint="eastAsia" w:hAnsi="宋体" w:eastAsia="宋体" w:cs="宋体"/>
          <w:color w:val="auto"/>
          <w:sz w:val="21"/>
          <w:highlight w:val="none"/>
        </w:rPr>
      </w:pPr>
    </w:p>
    <w:p w14:paraId="4DD46C9D">
      <w:pPr>
        <w:pStyle w:val="5"/>
        <w:keepNext w:val="0"/>
        <w:keepLines w:val="0"/>
        <w:jc w:val="center"/>
        <w:rPr>
          <w:rFonts w:hint="eastAsia" w:ascii="宋体" w:hAnsi="宋体" w:eastAsia="宋体" w:cs="宋体"/>
          <w:color w:val="auto"/>
          <w:highlight w:val="none"/>
        </w:rPr>
      </w:pPr>
      <w:bookmarkStart w:id="137" w:name="_Toc254970687"/>
      <w:bookmarkStart w:id="138" w:name="_Toc254970546"/>
      <w:r>
        <w:rPr>
          <w:rFonts w:hint="eastAsia" w:ascii="宋体" w:hAnsi="宋体" w:eastAsia="宋体" w:cs="宋体"/>
          <w:color w:val="auto"/>
          <w:highlight w:val="none"/>
        </w:rPr>
        <w:t>七、</w:t>
      </w:r>
      <w:bookmarkEnd w:id="137"/>
      <w:bookmarkEnd w:id="138"/>
      <w:r>
        <w:rPr>
          <w:rFonts w:hint="eastAsia" w:ascii="宋体" w:hAnsi="宋体" w:eastAsia="宋体" w:cs="宋体"/>
          <w:color w:val="auto"/>
          <w:highlight w:val="none"/>
        </w:rPr>
        <w:t>中标和合同</w:t>
      </w:r>
    </w:p>
    <w:p w14:paraId="59511BF6">
      <w:pPr>
        <w:pStyle w:val="7"/>
        <w:keepNext w:val="0"/>
        <w:keepLines w:val="0"/>
        <w:spacing w:before="0" w:after="0" w:line="360" w:lineRule="auto"/>
        <w:ind w:left="420" w:left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30 确定中标人</w:t>
      </w:r>
    </w:p>
    <w:p w14:paraId="67C61E6A">
      <w:pPr>
        <w:pStyle w:val="7"/>
        <w:keepNext w:val="0"/>
        <w:keepLines w:val="0"/>
        <w:spacing w:before="0" w:after="0" w:line="360" w:lineRule="auto"/>
        <w:ind w:firstLine="420" w:firstLineChars="200"/>
        <w:rPr>
          <w:rFonts w:hint="eastAsia" w:ascii="宋体" w:hAnsi="宋体" w:eastAsia="宋体" w:cs="宋体"/>
          <w:b w:val="0"/>
          <w:color w:val="auto"/>
          <w:sz w:val="21"/>
          <w:szCs w:val="21"/>
          <w:highlight w:val="none"/>
        </w:rPr>
      </w:pPr>
      <w:r>
        <w:rPr>
          <w:rFonts w:hint="eastAsia" w:ascii="宋体" w:hAnsi="宋体" w:eastAsia="宋体" w:cs="宋体"/>
          <w:b w:val="0"/>
          <w:color w:val="auto"/>
          <w:sz w:val="21"/>
          <w:szCs w:val="21"/>
          <w:highlight w:val="none"/>
        </w:rPr>
        <w:t>30.1采购代理机构在评标结束之日起2个工作日内将评标报告送采购人，采购人在收到评标报告之日起5个工作日内，在评标报告确定的中标候选人名单中按顺序确定中标人。中标候选人并列的，按照“投标人须知前附表”规定的方式确定中标人。采购人也可以事先授权评标委员会直接确定中标人。</w:t>
      </w:r>
    </w:p>
    <w:p w14:paraId="33F5841A">
      <w:pPr>
        <w:snapToGrid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30.2采购人在收到评标报告5个工作日内未按评标报告推荐的中标候选人顺序确定中标人，又不能说明合法理由的，视同按评标报告推荐的顺序确定排名第一的中标候选人为中标人。</w:t>
      </w:r>
    </w:p>
    <w:p w14:paraId="562A0C8E">
      <w:pPr>
        <w:snapToGrid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30.3出现下列情形之一的，应予废标：</w:t>
      </w:r>
    </w:p>
    <w:p w14:paraId="4ACD148A">
      <w:pPr>
        <w:snapToGrid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（1）符合专业条件的供应商或者对招标文件作实质响应的供应商不足三家的；</w:t>
      </w:r>
    </w:p>
    <w:p w14:paraId="229099A2">
      <w:pPr>
        <w:snapToGrid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（2）出现影响采购公正的违法、违规行为的；</w:t>
      </w:r>
    </w:p>
    <w:p w14:paraId="44549F10">
      <w:pPr>
        <w:snapToGrid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（3）投标人的报价均超过了采购预算，采购人不能支付的；</w:t>
      </w:r>
    </w:p>
    <w:p w14:paraId="41BF1A7C">
      <w:pPr>
        <w:snapToGrid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（4）因重大变故，采购任务取消的。</w:t>
      </w:r>
    </w:p>
    <w:p w14:paraId="58F3B896">
      <w:pPr>
        <w:snapToGrid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废标后，采购人应当将废标理由通知所有投标人。</w:t>
      </w:r>
    </w:p>
    <w:p w14:paraId="50226B24">
      <w:pPr>
        <w:snapToGrid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30.4 中标人拒绝签订政府采购合同（包括但不限于放弃中标、因不可抗力不能履行合同而放弃签订合同），采购人可以按照评审报告推荐的中标候选人名单排序，确定下一候选人为中标供应商，也可以重新开展政府采购活动。拒绝签订政府采购合同的中标人不得参加对该项目重新开展的采购活动。</w:t>
      </w:r>
    </w:p>
    <w:p w14:paraId="18C7001F">
      <w:pPr>
        <w:pStyle w:val="7"/>
        <w:keepNext w:val="0"/>
        <w:keepLines w:val="0"/>
        <w:spacing w:before="0" w:after="0" w:line="360" w:lineRule="auto"/>
        <w:ind w:left="420" w:left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31. 结果公告</w:t>
      </w:r>
    </w:p>
    <w:p w14:paraId="6F65BBAE">
      <w:pPr>
        <w:pStyle w:val="7"/>
        <w:keepNext w:val="0"/>
        <w:keepLines w:val="0"/>
        <w:spacing w:before="0" w:after="0" w:line="360" w:lineRule="auto"/>
        <w:ind w:firstLine="420" w:firstLineChars="200"/>
        <w:rPr>
          <w:rFonts w:hint="eastAsia" w:ascii="宋体" w:hAnsi="宋体" w:eastAsia="宋体" w:cs="宋体"/>
          <w:b w:val="0"/>
          <w:color w:val="auto"/>
          <w:sz w:val="21"/>
          <w:szCs w:val="21"/>
          <w:highlight w:val="none"/>
        </w:rPr>
      </w:pPr>
      <w:r>
        <w:rPr>
          <w:rFonts w:hint="eastAsia" w:ascii="宋体" w:hAnsi="宋体" w:eastAsia="宋体" w:cs="宋体"/>
          <w:b w:val="0"/>
          <w:color w:val="auto"/>
          <w:sz w:val="21"/>
          <w:szCs w:val="21"/>
          <w:highlight w:val="none"/>
        </w:rPr>
        <w:t>31.1采购人或者采购代理机构应当自中标人确定之日起2个工作日内，在省级以上财政部门指定的媒体上公告中标结果，招标文件应当随中标结果同时公告。</w:t>
      </w:r>
      <w:r>
        <w:rPr>
          <w:rFonts w:hint="eastAsia" w:ascii="宋体" w:hAnsi="宋体" w:eastAsia="宋体" w:cs="宋体"/>
          <w:color w:val="auto"/>
          <w:sz w:val="21"/>
          <w:szCs w:val="21"/>
          <w:highlight w:val="none"/>
        </w:rPr>
        <w:t>采购人或者采购代理发出中标通知书前，应当对中标人信用进行查询，对列入失信被执行人、</w:t>
      </w:r>
      <w:r>
        <w:rPr>
          <w:rFonts w:hint="eastAsia" w:ascii="宋体" w:hAnsi="宋体" w:eastAsia="宋体" w:cs="宋体"/>
          <w:color w:val="auto"/>
          <w:sz w:val="21"/>
          <w:szCs w:val="21"/>
          <w:highlight w:val="none"/>
          <w:lang w:eastAsia="zh-CN"/>
        </w:rPr>
        <w:t>重大税收违法失信主体名单</w:t>
      </w:r>
      <w:r>
        <w:rPr>
          <w:rFonts w:hint="eastAsia" w:ascii="宋体" w:hAnsi="宋体" w:eastAsia="宋体" w:cs="宋体"/>
          <w:color w:val="auto"/>
          <w:sz w:val="21"/>
          <w:szCs w:val="21"/>
          <w:highlight w:val="none"/>
        </w:rPr>
        <w:t>、政府采购严重违法失信行为记录名单及其他不符合《中华人民共和国政府采购法》第二十二条规定条件的投标人，取消其中标资格，并确定排名第二的中标候选人为中标人。</w:t>
      </w:r>
      <w:r>
        <w:rPr>
          <w:rFonts w:hint="eastAsia" w:ascii="宋体" w:hAnsi="宋体" w:eastAsia="宋体" w:cs="宋体"/>
          <w:b w:val="0"/>
          <w:color w:val="auto"/>
          <w:sz w:val="21"/>
          <w:szCs w:val="21"/>
          <w:highlight w:val="none"/>
        </w:rPr>
        <w:t>排名第二的中标候选人因前款规定的同样原因被取消中标资格的，采购人可以确定排名第三的中标候选人为中标人，以此类推。以上信息查询记录及相关证据与采购文件一并保存。</w:t>
      </w:r>
    </w:p>
    <w:p w14:paraId="3D016255">
      <w:pPr>
        <w:pStyle w:val="7"/>
        <w:keepNext w:val="0"/>
        <w:keepLines w:val="0"/>
        <w:spacing w:before="0" w:after="0" w:line="360" w:lineRule="auto"/>
        <w:ind w:firstLine="420" w:firstLineChars="200"/>
        <w:rPr>
          <w:rFonts w:hint="eastAsia" w:ascii="宋体" w:hAnsi="宋体" w:eastAsia="宋体" w:cs="宋体"/>
          <w:b w:val="0"/>
          <w:color w:val="auto"/>
          <w:sz w:val="21"/>
          <w:szCs w:val="21"/>
          <w:highlight w:val="none"/>
        </w:rPr>
      </w:pPr>
      <w:r>
        <w:rPr>
          <w:rFonts w:hint="eastAsia" w:ascii="宋体" w:hAnsi="宋体" w:eastAsia="宋体" w:cs="宋体"/>
          <w:b w:val="0"/>
          <w:color w:val="auto"/>
          <w:sz w:val="21"/>
          <w:szCs w:val="21"/>
          <w:highlight w:val="none"/>
        </w:rPr>
        <w:t>31.2中标供应商享受《政府采购促进中小企业发展管理办法》（财库〔2020〕46号）规定的中小企业扶持政策的，采购人、采购代理机构应当随中标结果公开中标供应商的《中小企业声明函》。</w:t>
      </w:r>
    </w:p>
    <w:p w14:paraId="4152D6D5">
      <w:pPr>
        <w:pStyle w:val="7"/>
        <w:keepNext w:val="0"/>
        <w:keepLines w:val="0"/>
        <w:spacing w:before="0" w:after="0" w:line="360" w:lineRule="auto"/>
        <w:ind w:left="420" w:left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32.发出中标通知书</w:t>
      </w:r>
    </w:p>
    <w:p w14:paraId="17557937">
      <w:pPr>
        <w:pStyle w:val="7"/>
        <w:keepNext w:val="0"/>
        <w:keepLines w:val="0"/>
        <w:spacing w:before="0" w:after="0" w:line="360" w:lineRule="auto"/>
        <w:ind w:firstLine="420" w:firstLineChars="200"/>
        <w:rPr>
          <w:rFonts w:hint="eastAsia" w:ascii="宋体" w:hAnsi="宋体" w:eastAsia="宋体" w:cs="宋体"/>
          <w:b w:val="0"/>
          <w:color w:val="auto"/>
          <w:sz w:val="21"/>
          <w:szCs w:val="21"/>
          <w:highlight w:val="none"/>
        </w:rPr>
      </w:pPr>
      <w:r>
        <w:rPr>
          <w:rFonts w:hint="eastAsia" w:ascii="宋体" w:hAnsi="宋体" w:eastAsia="宋体" w:cs="宋体"/>
          <w:b w:val="0"/>
          <w:color w:val="auto"/>
          <w:sz w:val="21"/>
          <w:szCs w:val="21"/>
          <w:highlight w:val="none"/>
        </w:rPr>
        <w:t>在公告中标结果的同时，采购代理机构向中标人发出中标通知书。对未通过资格审查的投标人，应当告知其未通过的原因；采用综合评分办法评审的，还应当告知未中标人本人的评审得分与排序。</w:t>
      </w:r>
    </w:p>
    <w:p w14:paraId="497CC7DD">
      <w:pPr>
        <w:pStyle w:val="7"/>
        <w:keepNext w:val="0"/>
        <w:keepLines w:val="0"/>
        <w:spacing w:before="0" w:after="0" w:line="360" w:lineRule="auto"/>
        <w:ind w:left="420" w:left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33. 无义务解释未中标原因</w:t>
      </w:r>
    </w:p>
    <w:p w14:paraId="1B3CECD6">
      <w:pPr>
        <w:pStyle w:val="7"/>
        <w:keepNext w:val="0"/>
        <w:keepLines w:val="0"/>
        <w:spacing w:before="0" w:after="0" w:line="360" w:lineRule="auto"/>
        <w:ind w:left="420" w:leftChars="200"/>
        <w:rPr>
          <w:rFonts w:hint="eastAsia" w:ascii="宋体" w:hAnsi="宋体" w:eastAsia="宋体" w:cs="宋体"/>
          <w:b w:val="0"/>
          <w:color w:val="auto"/>
          <w:sz w:val="21"/>
          <w:szCs w:val="21"/>
          <w:highlight w:val="none"/>
        </w:rPr>
      </w:pPr>
      <w:r>
        <w:rPr>
          <w:rFonts w:hint="eastAsia" w:ascii="宋体" w:hAnsi="宋体" w:eastAsia="宋体" w:cs="宋体"/>
          <w:b w:val="0"/>
          <w:color w:val="auto"/>
          <w:sz w:val="21"/>
          <w:szCs w:val="21"/>
          <w:highlight w:val="none"/>
        </w:rPr>
        <w:t>采购代理机构无义务向未中标的投标人解释未中标原因和退还投标文件。</w:t>
      </w:r>
    </w:p>
    <w:p w14:paraId="437C8F13">
      <w:pPr>
        <w:pStyle w:val="7"/>
        <w:keepNext w:val="0"/>
        <w:keepLines w:val="0"/>
        <w:spacing w:before="0" w:after="0" w:line="360" w:lineRule="auto"/>
        <w:ind w:left="420" w:left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34.合同授予标准</w:t>
      </w:r>
    </w:p>
    <w:p w14:paraId="31C3DC36">
      <w:pPr>
        <w:snapToGrid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合同将授予被确定实质上响应招标文件要求，具备履行合同能力的中标人。</w:t>
      </w:r>
    </w:p>
    <w:p w14:paraId="046E9D25">
      <w:pPr>
        <w:pStyle w:val="7"/>
        <w:keepNext w:val="0"/>
        <w:keepLines w:val="0"/>
        <w:spacing w:before="0" w:after="0" w:line="360" w:lineRule="auto"/>
        <w:ind w:left="420" w:left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35.履约保证金</w:t>
      </w:r>
    </w:p>
    <w:p w14:paraId="75DB1069">
      <w:pPr>
        <w:pStyle w:val="7"/>
        <w:keepNext w:val="0"/>
        <w:keepLines w:val="0"/>
        <w:spacing w:before="0" w:after="0" w:line="360" w:lineRule="auto"/>
        <w:ind w:firstLine="315" w:firstLineChars="150"/>
        <w:rPr>
          <w:rFonts w:hint="eastAsia" w:ascii="宋体" w:hAnsi="宋体" w:eastAsia="宋体" w:cs="宋体"/>
          <w:b w:val="0"/>
          <w:color w:val="auto"/>
          <w:sz w:val="21"/>
          <w:szCs w:val="21"/>
          <w:highlight w:val="none"/>
        </w:rPr>
      </w:pPr>
      <w:bookmarkStart w:id="139" w:name="_39.1中标人须于签订合同前按本须知前附表规定的金额转账或电汇到指定账"/>
      <w:bookmarkEnd w:id="139"/>
      <w:r>
        <w:rPr>
          <w:rFonts w:hint="eastAsia" w:ascii="宋体" w:hAnsi="宋体" w:eastAsia="宋体" w:cs="宋体"/>
          <w:b w:val="0"/>
          <w:color w:val="auto"/>
          <w:sz w:val="21"/>
          <w:szCs w:val="21"/>
          <w:highlight w:val="none"/>
        </w:rPr>
        <w:t xml:space="preserve"> 35.1 履约保证金的金额、提交方式、退付的时间和条件详见 “投标人须知前附表”。中标人未按规定提交履约保证金的，视为拒绝与采购人签订合同。</w:t>
      </w:r>
    </w:p>
    <w:p w14:paraId="7707C21B">
      <w:pPr>
        <w:pStyle w:val="7"/>
        <w:keepNext w:val="0"/>
        <w:keepLines w:val="0"/>
        <w:spacing w:before="0" w:after="0" w:line="360" w:lineRule="auto"/>
        <w:ind w:firstLine="316" w:firstLineChars="15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 </w:t>
      </w:r>
      <w:r>
        <w:rPr>
          <w:rFonts w:hint="eastAsia" w:ascii="宋体" w:hAnsi="宋体" w:eastAsia="宋体" w:cs="宋体"/>
          <w:b w:val="0"/>
          <w:bCs/>
          <w:color w:val="auto"/>
          <w:sz w:val="21"/>
          <w:szCs w:val="21"/>
          <w:highlight w:val="none"/>
        </w:rPr>
        <w:t>35.2在履约保证金退还日期前，若中标人的开户名称、开户银行、</w:t>
      </w:r>
      <w:r>
        <w:rPr>
          <w:rFonts w:hint="eastAsia" w:ascii="宋体" w:hAnsi="宋体" w:eastAsia="宋体" w:cs="宋体"/>
          <w:b w:val="0"/>
          <w:bCs/>
          <w:color w:val="auto"/>
          <w:sz w:val="21"/>
          <w:szCs w:val="21"/>
          <w:highlight w:val="none"/>
          <w:lang w:eastAsia="zh-CN"/>
        </w:rPr>
        <w:t>账号</w:t>
      </w:r>
      <w:r>
        <w:rPr>
          <w:rFonts w:hint="eastAsia" w:ascii="宋体" w:hAnsi="宋体" w:eastAsia="宋体" w:cs="宋体"/>
          <w:b w:val="0"/>
          <w:bCs/>
          <w:color w:val="auto"/>
          <w:sz w:val="21"/>
          <w:szCs w:val="21"/>
          <w:highlight w:val="none"/>
        </w:rPr>
        <w:t>有变动的，请以书面形式通知履约保证金收取单位，否则由此产生的后果由中标人自行承担。</w:t>
      </w:r>
    </w:p>
    <w:p w14:paraId="62DEE5FE">
      <w:pPr>
        <w:pStyle w:val="7"/>
        <w:keepNext w:val="0"/>
        <w:keepLines w:val="0"/>
        <w:spacing w:before="0" w:after="0" w:line="360" w:lineRule="auto"/>
        <w:ind w:left="420" w:left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36.签订合同</w:t>
      </w:r>
    </w:p>
    <w:p w14:paraId="03D7BA17">
      <w:pPr>
        <w:pStyle w:val="7"/>
        <w:keepNext w:val="0"/>
        <w:keepLines w:val="0"/>
        <w:spacing w:before="0" w:after="0" w:line="360" w:lineRule="auto"/>
        <w:ind w:firstLine="315" w:firstLineChars="150"/>
        <w:rPr>
          <w:rFonts w:hint="eastAsia" w:ascii="宋体" w:hAnsi="宋体" w:eastAsia="宋体" w:cs="宋体"/>
          <w:b w:val="0"/>
          <w:bCs/>
          <w:color w:val="auto"/>
          <w:sz w:val="21"/>
          <w:szCs w:val="21"/>
          <w:highlight w:val="none"/>
        </w:rPr>
      </w:pPr>
      <w:bookmarkStart w:id="140" w:name="_40.1投标人接到中标通知书后，按须知前附表规定向采购人出示相关资格证"/>
      <w:bookmarkEnd w:id="140"/>
      <w:r>
        <w:rPr>
          <w:rFonts w:hint="eastAsia" w:ascii="宋体" w:hAnsi="宋体" w:eastAsia="宋体" w:cs="宋体"/>
          <w:b w:val="0"/>
          <w:color w:val="auto"/>
          <w:sz w:val="21"/>
          <w:szCs w:val="21"/>
          <w:highlight w:val="none"/>
        </w:rPr>
        <w:t xml:space="preserve"> 36.1投标人领取中标通知书（书面或电子）后，按“投标人须知前附表”规定向采购人出示相关证明材料，经采购人核验合格后方可签订采购合同（书面或电子）。</w:t>
      </w:r>
      <w:r>
        <w:rPr>
          <w:rFonts w:hint="eastAsia" w:ascii="宋体" w:hAnsi="宋体" w:eastAsia="宋体" w:cs="宋体"/>
          <w:b w:val="0"/>
          <w:bCs/>
          <w:color w:val="auto"/>
          <w:sz w:val="21"/>
          <w:szCs w:val="21"/>
          <w:highlight w:val="none"/>
        </w:rPr>
        <w:t>如中标人为联合体的，联合体各方应当共同与采购人签订采购合同，就采购合同约定的事项对采购人承担连带责任。</w:t>
      </w:r>
    </w:p>
    <w:p w14:paraId="65C1B2F3">
      <w:pPr>
        <w:pStyle w:val="7"/>
        <w:keepNext w:val="0"/>
        <w:keepLines w:val="0"/>
        <w:numPr>
          <w:ilvl w:val="0"/>
          <w:numId w:val="0"/>
        </w:numPr>
        <w:spacing w:before="0" w:after="0" w:line="360" w:lineRule="auto"/>
        <w:ind w:firstLine="420" w:firstLineChars="200"/>
        <w:rPr>
          <w:rFonts w:hint="eastAsia" w:ascii="宋体" w:hAnsi="宋体" w:eastAsia="宋体" w:cs="宋体"/>
          <w:b w:val="0"/>
          <w:color w:val="auto"/>
          <w:sz w:val="21"/>
          <w:szCs w:val="21"/>
          <w:highlight w:val="none"/>
        </w:rPr>
      </w:pPr>
      <w:r>
        <w:rPr>
          <w:rFonts w:hint="eastAsia" w:ascii="宋体" w:hAnsi="宋体" w:eastAsia="宋体" w:cs="宋体"/>
          <w:b w:val="0"/>
          <w:color w:val="auto"/>
          <w:sz w:val="21"/>
          <w:szCs w:val="21"/>
          <w:highlight w:val="none"/>
        </w:rPr>
        <w:t>36.2签订合同时间：按中标通知书规定的时间与采购人签订合同（最长不能超过25日）。</w:t>
      </w:r>
    </w:p>
    <w:p w14:paraId="21F32630">
      <w:pPr>
        <w:pStyle w:val="7"/>
        <w:keepNext w:val="0"/>
        <w:keepLines w:val="0"/>
        <w:spacing w:before="0" w:after="0" w:line="360" w:lineRule="auto"/>
        <w:ind w:firstLine="315" w:firstLineChars="150"/>
        <w:rPr>
          <w:rFonts w:hint="eastAsia" w:ascii="宋体" w:hAnsi="宋体" w:eastAsia="宋体" w:cs="宋体"/>
          <w:b w:val="0"/>
          <w:color w:val="auto"/>
          <w:sz w:val="21"/>
          <w:szCs w:val="21"/>
          <w:highlight w:val="none"/>
        </w:rPr>
      </w:pPr>
      <w:r>
        <w:rPr>
          <w:rFonts w:hint="eastAsia" w:ascii="宋体" w:hAnsi="宋体" w:eastAsia="宋体" w:cs="宋体"/>
          <w:b w:val="0"/>
          <w:color w:val="auto"/>
          <w:sz w:val="21"/>
          <w:szCs w:val="21"/>
          <w:highlight w:val="none"/>
        </w:rPr>
        <w:t xml:space="preserve"> 36.3中标人拒绝与采购人签订合同的，按照本须知正文第30.4条的规定执行。</w:t>
      </w:r>
    </w:p>
    <w:p w14:paraId="51C907D3">
      <w:pPr>
        <w:pStyle w:val="7"/>
        <w:keepNext w:val="0"/>
        <w:keepLines w:val="0"/>
        <w:spacing w:before="0" w:after="0" w:line="360" w:lineRule="auto"/>
        <w:ind w:left="420" w:leftChars="200"/>
        <w:rPr>
          <w:rFonts w:hint="eastAsia" w:ascii="宋体" w:hAnsi="宋体" w:eastAsia="宋体" w:cs="宋体"/>
          <w:color w:val="auto"/>
          <w:sz w:val="24"/>
          <w:highlight w:val="none"/>
        </w:rPr>
      </w:pPr>
      <w:bookmarkStart w:id="141" w:name="_41.政府采购合同公告"/>
      <w:bookmarkEnd w:id="141"/>
      <w:r>
        <w:rPr>
          <w:rFonts w:hint="eastAsia" w:ascii="宋体" w:hAnsi="宋体" w:eastAsia="宋体" w:cs="宋体"/>
          <w:color w:val="auto"/>
          <w:sz w:val="24"/>
          <w:highlight w:val="none"/>
        </w:rPr>
        <w:t>37.政府采购合同公告</w:t>
      </w:r>
    </w:p>
    <w:p w14:paraId="7166C0D0">
      <w:pPr>
        <w:pStyle w:val="24"/>
        <w:snapToGrid w:val="0"/>
        <w:spacing w:line="360" w:lineRule="auto"/>
        <w:ind w:firstLine="420" w:firstLineChars="200"/>
        <w:rPr>
          <w:rFonts w:hint="eastAsia" w:hAnsi="宋体" w:eastAsia="宋体" w:cs="宋体"/>
          <w:color w:val="auto"/>
          <w:sz w:val="21"/>
          <w:highlight w:val="none"/>
        </w:rPr>
      </w:pPr>
      <w:r>
        <w:rPr>
          <w:rFonts w:hint="eastAsia" w:hAnsi="宋体" w:eastAsia="宋体" w:cs="宋体"/>
          <w:color w:val="auto"/>
          <w:sz w:val="21"/>
          <w:highlight w:val="none"/>
        </w:rPr>
        <w:t>采购人或者受托采购代理机构应当自政府采购合同签订之日起2个工作日内，将政府采购合同在省级以上人民政府财政部门指定的媒体上公告，但政府采购合同中涉及国家秘密、商业秘密的内容除外。</w:t>
      </w:r>
    </w:p>
    <w:p w14:paraId="3B782220">
      <w:pPr>
        <w:pStyle w:val="7"/>
        <w:keepNext w:val="0"/>
        <w:keepLines w:val="0"/>
        <w:spacing w:before="0" w:after="0" w:line="360" w:lineRule="auto"/>
        <w:ind w:left="420" w:left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38. 询问、质疑和投诉</w:t>
      </w:r>
    </w:p>
    <w:p w14:paraId="49AE1BA4">
      <w:pPr>
        <w:pStyle w:val="8"/>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38.1供应商对政府采购活动事项有疑问的，可以向采购人提出询问，采购人或者采购代理机构应当在3个工作日内对供应商依法提出的询问作出答复，但答复的内容不得涉及商业秘密。</w:t>
      </w:r>
    </w:p>
    <w:p w14:paraId="19E847AF">
      <w:pPr>
        <w:pStyle w:val="7"/>
        <w:keepNext w:val="0"/>
        <w:keepLines w:val="0"/>
        <w:spacing w:before="0" w:after="0" w:line="360" w:lineRule="auto"/>
        <w:ind w:firstLine="315" w:firstLineChars="150"/>
        <w:rPr>
          <w:rFonts w:hint="eastAsia" w:ascii="宋体" w:hAnsi="宋体" w:eastAsia="宋体" w:cs="宋体"/>
          <w:b w:val="0"/>
          <w:color w:val="auto"/>
          <w:sz w:val="21"/>
          <w:szCs w:val="21"/>
          <w:highlight w:val="none"/>
        </w:rPr>
      </w:pPr>
      <w:r>
        <w:rPr>
          <w:rFonts w:hint="eastAsia" w:ascii="宋体" w:hAnsi="宋体" w:eastAsia="宋体" w:cs="宋体"/>
          <w:b w:val="0"/>
          <w:color w:val="auto"/>
          <w:sz w:val="21"/>
          <w:szCs w:val="21"/>
          <w:highlight w:val="none"/>
        </w:rPr>
        <w:t xml:space="preserve"> 38.2供应商认为招标文件、采购过程或者中标结果使自己的合法权益受到损害的，必须在知道或者应知其权益受到损害之日起7个工作日内，以纸质书面形式向采购人、采购代理机构提出质疑。采购人、采购代理机构接收质疑函的方式、联系部门、联系电话和通讯地址等信息详见“投标人须知前附表”。具体质疑起算时间如下： </w:t>
      </w:r>
    </w:p>
    <w:p w14:paraId="5692349C">
      <w:pPr>
        <w:pStyle w:val="24"/>
        <w:snapToGrid w:val="0"/>
        <w:spacing w:line="360" w:lineRule="auto"/>
        <w:ind w:firstLine="420" w:firstLineChars="200"/>
        <w:rPr>
          <w:rFonts w:hint="eastAsia" w:hAnsi="宋体" w:eastAsia="宋体" w:cs="宋体"/>
          <w:color w:val="auto"/>
          <w:sz w:val="21"/>
          <w:highlight w:val="none"/>
        </w:rPr>
      </w:pPr>
      <w:r>
        <w:rPr>
          <w:rFonts w:hint="eastAsia" w:hAnsi="宋体" w:eastAsia="宋体" w:cs="宋体"/>
          <w:color w:val="auto"/>
          <w:sz w:val="21"/>
          <w:highlight w:val="none"/>
        </w:rPr>
        <w:t>（1）对可以质疑的招标文件提出质疑的，为收到招标文件之日或者招标文件公告期限届满之日；</w:t>
      </w:r>
    </w:p>
    <w:p w14:paraId="7F0C6019">
      <w:pPr>
        <w:pStyle w:val="24"/>
        <w:snapToGrid w:val="0"/>
        <w:spacing w:line="360" w:lineRule="auto"/>
        <w:ind w:firstLine="420" w:firstLineChars="200"/>
        <w:rPr>
          <w:rFonts w:hint="eastAsia" w:hAnsi="宋体" w:eastAsia="宋体" w:cs="宋体"/>
          <w:color w:val="auto"/>
          <w:sz w:val="21"/>
          <w:highlight w:val="none"/>
        </w:rPr>
      </w:pPr>
      <w:r>
        <w:rPr>
          <w:rFonts w:hint="eastAsia" w:hAnsi="宋体" w:eastAsia="宋体" w:cs="宋体"/>
          <w:color w:val="auto"/>
          <w:sz w:val="21"/>
          <w:highlight w:val="none"/>
        </w:rPr>
        <w:t>（2）对采购过程提出质疑的，为各采购程序环节结束之日；</w:t>
      </w:r>
    </w:p>
    <w:p w14:paraId="75A659C1">
      <w:pPr>
        <w:pStyle w:val="24"/>
        <w:snapToGrid w:val="0"/>
        <w:spacing w:line="360" w:lineRule="auto"/>
        <w:ind w:firstLine="420" w:firstLineChars="200"/>
        <w:rPr>
          <w:rFonts w:hint="eastAsia" w:hAnsi="宋体" w:eastAsia="宋体" w:cs="宋体"/>
          <w:bCs/>
          <w:color w:val="auto"/>
          <w:sz w:val="21"/>
          <w:highlight w:val="none"/>
        </w:rPr>
      </w:pPr>
      <w:r>
        <w:rPr>
          <w:rFonts w:hint="eastAsia" w:hAnsi="宋体" w:eastAsia="宋体" w:cs="宋体"/>
          <w:color w:val="auto"/>
          <w:sz w:val="21"/>
          <w:highlight w:val="none"/>
        </w:rPr>
        <w:t>（3）对中标结果提出质疑的，为中标结果公告期限届满之日。</w:t>
      </w:r>
    </w:p>
    <w:p w14:paraId="2E9597EC">
      <w:pPr>
        <w:pStyle w:val="7"/>
        <w:keepNext w:val="0"/>
        <w:keepLines w:val="0"/>
        <w:spacing w:before="0" w:after="0" w:line="360" w:lineRule="auto"/>
        <w:ind w:firstLine="315" w:firstLineChars="150"/>
        <w:rPr>
          <w:rFonts w:hint="eastAsia" w:ascii="宋体" w:hAnsi="宋体" w:eastAsia="宋体" w:cs="宋体"/>
          <w:b w:val="0"/>
          <w:color w:val="auto"/>
          <w:sz w:val="21"/>
          <w:szCs w:val="21"/>
          <w:highlight w:val="none"/>
        </w:rPr>
      </w:pPr>
      <w:r>
        <w:rPr>
          <w:rFonts w:hint="eastAsia" w:ascii="宋体" w:hAnsi="宋体" w:eastAsia="宋体" w:cs="宋体"/>
          <w:b w:val="0"/>
          <w:color w:val="auto"/>
          <w:sz w:val="21"/>
          <w:szCs w:val="21"/>
          <w:highlight w:val="none"/>
        </w:rPr>
        <w:t xml:space="preserve">38.3 </w:t>
      </w:r>
      <w:r>
        <w:rPr>
          <w:rFonts w:hint="eastAsia" w:ascii="宋体" w:hAnsi="宋体" w:eastAsia="宋体" w:cs="宋体"/>
          <w:bCs/>
          <w:color w:val="auto"/>
          <w:sz w:val="21"/>
          <w:highlight w:val="none"/>
        </w:rPr>
        <w:t>供应商提出质疑应当提交质疑函和必要的证明材料，针对同一采购程序环节的质疑必须在法定质疑期内一次性提出。质疑函应当包括下列内容（质疑函格式后附）：</w:t>
      </w:r>
    </w:p>
    <w:p w14:paraId="465763CB">
      <w:pPr>
        <w:pStyle w:val="24"/>
        <w:snapToGrid w:val="0"/>
        <w:spacing w:line="360" w:lineRule="auto"/>
        <w:ind w:firstLine="420" w:firstLineChars="200"/>
        <w:rPr>
          <w:rFonts w:hint="eastAsia" w:hAnsi="宋体" w:eastAsia="宋体" w:cs="宋体"/>
          <w:bCs/>
          <w:color w:val="auto"/>
          <w:sz w:val="21"/>
          <w:highlight w:val="none"/>
        </w:rPr>
      </w:pPr>
      <w:r>
        <w:rPr>
          <w:rFonts w:hint="eastAsia" w:hAnsi="宋体" w:eastAsia="宋体" w:cs="宋体"/>
          <w:bCs/>
          <w:color w:val="auto"/>
          <w:sz w:val="21"/>
          <w:highlight w:val="none"/>
        </w:rPr>
        <w:t>（1）供应商的姓名或者名称、地址、邮编、联系人及联系电话；</w:t>
      </w:r>
    </w:p>
    <w:p w14:paraId="499F30A8">
      <w:pPr>
        <w:pStyle w:val="24"/>
        <w:snapToGrid w:val="0"/>
        <w:spacing w:line="360" w:lineRule="auto"/>
        <w:ind w:firstLine="420" w:firstLineChars="200"/>
        <w:rPr>
          <w:rFonts w:hint="eastAsia" w:hAnsi="宋体" w:eastAsia="宋体" w:cs="宋体"/>
          <w:bCs/>
          <w:color w:val="auto"/>
          <w:sz w:val="21"/>
          <w:highlight w:val="none"/>
        </w:rPr>
      </w:pPr>
      <w:r>
        <w:rPr>
          <w:rFonts w:hint="eastAsia" w:hAnsi="宋体" w:eastAsia="宋体" w:cs="宋体"/>
          <w:bCs/>
          <w:color w:val="auto"/>
          <w:sz w:val="21"/>
          <w:highlight w:val="none"/>
        </w:rPr>
        <w:t>（2）质疑项目的名称、编号；</w:t>
      </w:r>
    </w:p>
    <w:p w14:paraId="19523693">
      <w:pPr>
        <w:pStyle w:val="24"/>
        <w:snapToGrid w:val="0"/>
        <w:spacing w:line="360" w:lineRule="auto"/>
        <w:ind w:firstLine="420" w:firstLineChars="200"/>
        <w:rPr>
          <w:rFonts w:hint="eastAsia" w:hAnsi="宋体" w:eastAsia="宋体" w:cs="宋体"/>
          <w:bCs/>
          <w:color w:val="auto"/>
          <w:sz w:val="21"/>
          <w:highlight w:val="none"/>
        </w:rPr>
      </w:pPr>
      <w:r>
        <w:rPr>
          <w:rFonts w:hint="eastAsia" w:hAnsi="宋体" w:eastAsia="宋体" w:cs="宋体"/>
          <w:bCs/>
          <w:color w:val="auto"/>
          <w:sz w:val="21"/>
          <w:highlight w:val="none"/>
        </w:rPr>
        <w:t>（3）具体、明确的质疑事项和与质疑事项相关的请求；</w:t>
      </w:r>
    </w:p>
    <w:p w14:paraId="3F278710">
      <w:pPr>
        <w:pStyle w:val="24"/>
        <w:snapToGrid w:val="0"/>
        <w:spacing w:line="360" w:lineRule="auto"/>
        <w:ind w:firstLine="420" w:firstLineChars="200"/>
        <w:rPr>
          <w:rFonts w:hint="eastAsia" w:hAnsi="宋体" w:eastAsia="宋体" w:cs="宋体"/>
          <w:bCs/>
          <w:color w:val="auto"/>
          <w:sz w:val="21"/>
          <w:highlight w:val="none"/>
        </w:rPr>
      </w:pPr>
      <w:r>
        <w:rPr>
          <w:rFonts w:hint="eastAsia" w:hAnsi="宋体" w:eastAsia="宋体" w:cs="宋体"/>
          <w:bCs/>
          <w:color w:val="auto"/>
          <w:sz w:val="21"/>
          <w:highlight w:val="none"/>
        </w:rPr>
        <w:t>（4）事实依据；</w:t>
      </w:r>
    </w:p>
    <w:p w14:paraId="01992074">
      <w:pPr>
        <w:pStyle w:val="24"/>
        <w:snapToGrid w:val="0"/>
        <w:spacing w:line="360" w:lineRule="auto"/>
        <w:ind w:firstLine="420" w:firstLineChars="200"/>
        <w:rPr>
          <w:rFonts w:hint="eastAsia" w:hAnsi="宋体" w:eastAsia="宋体" w:cs="宋体"/>
          <w:bCs/>
          <w:color w:val="auto"/>
          <w:sz w:val="21"/>
          <w:highlight w:val="none"/>
        </w:rPr>
      </w:pPr>
      <w:r>
        <w:rPr>
          <w:rFonts w:hint="eastAsia" w:hAnsi="宋体" w:eastAsia="宋体" w:cs="宋体"/>
          <w:bCs/>
          <w:color w:val="auto"/>
          <w:sz w:val="21"/>
          <w:highlight w:val="none"/>
        </w:rPr>
        <w:t>（5）必要的法律依据；</w:t>
      </w:r>
    </w:p>
    <w:p w14:paraId="6201F881">
      <w:pPr>
        <w:pStyle w:val="24"/>
        <w:snapToGrid w:val="0"/>
        <w:spacing w:line="360" w:lineRule="auto"/>
        <w:ind w:firstLine="420" w:firstLineChars="200"/>
        <w:rPr>
          <w:rFonts w:hint="eastAsia" w:hAnsi="宋体" w:eastAsia="宋体" w:cs="宋体"/>
          <w:bCs/>
          <w:color w:val="auto"/>
          <w:sz w:val="21"/>
          <w:highlight w:val="none"/>
        </w:rPr>
      </w:pPr>
      <w:r>
        <w:rPr>
          <w:rFonts w:hint="eastAsia" w:hAnsi="宋体" w:eastAsia="宋体" w:cs="宋体"/>
          <w:bCs/>
          <w:color w:val="auto"/>
          <w:sz w:val="21"/>
          <w:highlight w:val="none"/>
        </w:rPr>
        <w:t>（6）提出质疑的日期。</w:t>
      </w:r>
    </w:p>
    <w:p w14:paraId="299AB81E">
      <w:pPr>
        <w:pStyle w:val="24"/>
        <w:snapToGrid w:val="0"/>
        <w:spacing w:line="360" w:lineRule="auto"/>
        <w:ind w:firstLine="420" w:firstLineChars="200"/>
        <w:rPr>
          <w:rFonts w:hint="eastAsia" w:hAnsi="宋体" w:eastAsia="宋体" w:cs="宋体"/>
          <w:bCs/>
          <w:color w:val="auto"/>
          <w:sz w:val="21"/>
          <w:highlight w:val="none"/>
        </w:rPr>
      </w:pPr>
      <w:r>
        <w:rPr>
          <w:rFonts w:hint="eastAsia" w:hAnsi="宋体" w:eastAsia="宋体" w:cs="宋体"/>
          <w:bCs/>
          <w:color w:val="auto"/>
          <w:sz w:val="21"/>
          <w:highlight w:val="none"/>
        </w:rPr>
        <w:t>供应商为自然人的，应当由本人签字；供应商为法人或者其他组织的，应当由法定代表人、主要负责人，或者其委托代理人签字或者盖章，并加盖公章。</w:t>
      </w:r>
    </w:p>
    <w:p w14:paraId="02CB49A0">
      <w:pPr>
        <w:pStyle w:val="7"/>
        <w:keepNext w:val="0"/>
        <w:keepLines w:val="0"/>
        <w:snapToGrid w:val="0"/>
        <w:spacing w:before="0" w:after="0" w:line="360" w:lineRule="auto"/>
        <w:ind w:firstLine="420" w:firstLineChars="200"/>
        <w:rPr>
          <w:rFonts w:hint="eastAsia" w:ascii="宋体" w:hAnsi="宋体" w:eastAsia="宋体" w:cs="宋体"/>
          <w:b w:val="0"/>
          <w:bCs/>
          <w:color w:val="auto"/>
          <w:sz w:val="21"/>
          <w:szCs w:val="21"/>
          <w:highlight w:val="none"/>
        </w:rPr>
      </w:pPr>
      <w:r>
        <w:rPr>
          <w:rFonts w:hint="eastAsia" w:ascii="宋体" w:hAnsi="宋体" w:eastAsia="宋体" w:cs="宋体"/>
          <w:b w:val="0"/>
          <w:color w:val="auto"/>
          <w:sz w:val="21"/>
          <w:szCs w:val="21"/>
          <w:highlight w:val="none"/>
        </w:rPr>
        <w:t>3</w:t>
      </w:r>
      <w:r>
        <w:rPr>
          <w:rFonts w:hint="eastAsia" w:ascii="宋体" w:hAnsi="宋体" w:eastAsia="宋体" w:cs="宋体"/>
          <w:b w:val="0"/>
          <w:bCs/>
          <w:color w:val="auto"/>
          <w:sz w:val="21"/>
          <w:szCs w:val="21"/>
          <w:highlight w:val="none"/>
        </w:rPr>
        <w:t>8.4采购人、采购代理机构认为供应商质疑不成立，或者成立但未对中标结果构成影响的，继续开展采购活动；认为供应商质疑成立且影响或者可能影响中标结果的，按照下列情况处理：</w:t>
      </w:r>
    </w:p>
    <w:p w14:paraId="1E6F4963">
      <w:pPr>
        <w:pStyle w:val="24"/>
        <w:snapToGrid w:val="0"/>
        <w:spacing w:line="360" w:lineRule="auto"/>
        <w:rPr>
          <w:rFonts w:hint="eastAsia" w:hAnsi="宋体" w:eastAsia="宋体" w:cs="宋体"/>
          <w:bCs/>
          <w:color w:val="auto"/>
          <w:sz w:val="21"/>
          <w:highlight w:val="none"/>
        </w:rPr>
      </w:pPr>
      <w:r>
        <w:rPr>
          <w:rFonts w:hint="eastAsia" w:hAnsi="宋体" w:eastAsia="宋体" w:cs="宋体"/>
          <w:bCs/>
          <w:color w:val="auto"/>
          <w:sz w:val="21"/>
          <w:highlight w:val="none"/>
        </w:rPr>
        <w:t>　　（1）对招标文件提出的质疑，依法通过澄清或者修改可以继续开展采购活动的，澄清或者修改招标文件后继续开展采购活动；否则应当修改招标文件后重新开展采购活动。</w:t>
      </w:r>
    </w:p>
    <w:p w14:paraId="2EDB626A">
      <w:pPr>
        <w:pStyle w:val="24"/>
        <w:snapToGrid w:val="0"/>
        <w:spacing w:line="360" w:lineRule="auto"/>
        <w:rPr>
          <w:rFonts w:hint="eastAsia" w:hAnsi="宋体" w:eastAsia="宋体" w:cs="宋体"/>
          <w:bCs/>
          <w:color w:val="auto"/>
          <w:sz w:val="21"/>
          <w:highlight w:val="none"/>
        </w:rPr>
      </w:pPr>
      <w:r>
        <w:rPr>
          <w:rFonts w:hint="eastAsia" w:hAnsi="宋体" w:eastAsia="宋体" w:cs="宋体"/>
          <w:bCs/>
          <w:color w:val="auto"/>
          <w:sz w:val="21"/>
          <w:highlight w:val="none"/>
        </w:rPr>
        <w:t>　　（2）对采购过程、中标结果提出的质疑，合格供应商符合法定数量时，可以从合格的中标候选人中另行确定中标供应商的，应当依法另行确定中标供应商；否则应当重新开展采购活动。</w:t>
      </w:r>
    </w:p>
    <w:p w14:paraId="4959AFD7">
      <w:pPr>
        <w:pStyle w:val="24"/>
        <w:snapToGrid w:val="0"/>
        <w:spacing w:line="360" w:lineRule="auto"/>
        <w:ind w:firstLine="420"/>
        <w:rPr>
          <w:rFonts w:hint="eastAsia" w:hAnsi="宋体" w:eastAsia="宋体" w:cs="宋体"/>
          <w:bCs/>
          <w:color w:val="auto"/>
          <w:sz w:val="21"/>
          <w:highlight w:val="none"/>
        </w:rPr>
      </w:pPr>
      <w:r>
        <w:rPr>
          <w:rFonts w:hint="eastAsia" w:hAnsi="宋体" w:eastAsia="宋体" w:cs="宋体"/>
          <w:bCs/>
          <w:color w:val="auto"/>
          <w:sz w:val="21"/>
          <w:highlight w:val="none"/>
        </w:rPr>
        <w:t>质疑答复导致中标结果改变的，采购人或者采购代理机构应当将有关情况书面报告本级财政部门。</w:t>
      </w:r>
    </w:p>
    <w:p w14:paraId="6D357681">
      <w:pPr>
        <w:pStyle w:val="24"/>
        <w:snapToGrid w:val="0"/>
        <w:spacing w:line="360" w:lineRule="auto"/>
        <w:ind w:firstLine="420" w:firstLineChars="200"/>
        <w:rPr>
          <w:rFonts w:hint="eastAsia" w:hAnsi="宋体" w:eastAsia="宋体" w:cs="宋体"/>
          <w:color w:val="auto"/>
          <w:sz w:val="21"/>
          <w:highlight w:val="none"/>
        </w:rPr>
      </w:pPr>
      <w:r>
        <w:rPr>
          <w:rFonts w:hint="eastAsia" w:hAnsi="宋体" w:eastAsia="宋体" w:cs="宋体"/>
          <w:color w:val="auto"/>
          <w:sz w:val="21"/>
          <w:highlight w:val="none"/>
        </w:rPr>
        <w:t>38.5质疑供应商对采购人、采购代理机构的答复不满意，或者采购人、采购代理机构未在规定时间内作出答复的，可以在答复期满后15个工作日内向《政府采购质疑和投诉办法》（财政部令第94号）第六条规定的财政部门提起投诉（投诉书格式后附）。</w:t>
      </w:r>
      <w:bookmarkStart w:id="142" w:name="_八、其他事项"/>
      <w:bookmarkEnd w:id="142"/>
    </w:p>
    <w:p w14:paraId="6A1E78B1">
      <w:pPr>
        <w:pStyle w:val="24"/>
        <w:snapToGrid w:val="0"/>
        <w:spacing w:line="360" w:lineRule="auto"/>
        <w:ind w:firstLine="400" w:firstLineChars="200"/>
        <w:rPr>
          <w:rFonts w:hint="eastAsia" w:hAnsi="宋体" w:eastAsia="宋体" w:cs="宋体"/>
          <w:color w:val="auto"/>
          <w:highlight w:val="none"/>
        </w:rPr>
      </w:pPr>
    </w:p>
    <w:p w14:paraId="37F7A62A">
      <w:pPr>
        <w:pStyle w:val="5"/>
        <w:keepNext w:val="0"/>
        <w:keepLines w:val="0"/>
        <w:jc w:val="center"/>
        <w:rPr>
          <w:rFonts w:hint="eastAsia" w:ascii="宋体" w:hAnsi="宋体" w:eastAsia="宋体" w:cs="宋体"/>
          <w:color w:val="auto"/>
          <w:highlight w:val="none"/>
        </w:rPr>
      </w:pPr>
      <w:r>
        <w:rPr>
          <w:rFonts w:hint="eastAsia" w:ascii="宋体" w:hAnsi="宋体" w:eastAsia="宋体" w:cs="宋体"/>
          <w:color w:val="auto"/>
          <w:highlight w:val="none"/>
        </w:rPr>
        <w:t>八、其他事项</w:t>
      </w:r>
    </w:p>
    <w:p w14:paraId="0E355C0E">
      <w:pPr>
        <w:pStyle w:val="7"/>
        <w:keepNext w:val="0"/>
        <w:keepLines w:val="0"/>
        <w:spacing w:before="0" w:after="0" w:line="360" w:lineRule="auto"/>
        <w:ind w:left="420" w:leftChars="200"/>
        <w:rPr>
          <w:rFonts w:hint="eastAsia" w:ascii="宋体" w:hAnsi="宋体" w:eastAsia="宋体" w:cs="宋体"/>
          <w:color w:val="auto"/>
          <w:sz w:val="24"/>
          <w:highlight w:val="none"/>
        </w:rPr>
      </w:pPr>
      <w:bookmarkStart w:id="143" w:name="_42.代理服务费"/>
      <w:bookmarkEnd w:id="143"/>
      <w:r>
        <w:rPr>
          <w:rFonts w:hint="eastAsia" w:ascii="宋体" w:hAnsi="宋体" w:eastAsia="宋体" w:cs="宋体"/>
          <w:color w:val="auto"/>
          <w:sz w:val="24"/>
          <w:highlight w:val="none"/>
        </w:rPr>
        <w:t>39.代理服务费</w:t>
      </w:r>
    </w:p>
    <w:p w14:paraId="7BF6B916">
      <w:pPr>
        <w:pStyle w:val="24"/>
        <w:snapToGrid w:val="0"/>
        <w:spacing w:line="360" w:lineRule="auto"/>
        <w:ind w:firstLine="420" w:firstLineChars="200"/>
        <w:rPr>
          <w:rFonts w:hint="eastAsia" w:hAnsi="宋体" w:eastAsia="宋体" w:cs="宋体"/>
          <w:color w:val="auto"/>
          <w:sz w:val="21"/>
          <w:highlight w:val="none"/>
        </w:rPr>
      </w:pPr>
      <w:r>
        <w:rPr>
          <w:rFonts w:hint="eastAsia" w:hAnsi="宋体" w:eastAsia="宋体" w:cs="宋体"/>
          <w:color w:val="auto"/>
          <w:sz w:val="21"/>
          <w:highlight w:val="none"/>
        </w:rPr>
        <w:t>39.1代理服务收取标准及缴费账户详见“投标人须知前附表”，投标人为联合体的，可以由联合体中的一方或者多方共同交纳代理服务费。</w:t>
      </w:r>
    </w:p>
    <w:p w14:paraId="1E87CC47">
      <w:pPr>
        <w:pStyle w:val="24"/>
        <w:snapToGrid w:val="0"/>
        <w:spacing w:line="360" w:lineRule="auto"/>
        <w:ind w:firstLine="420" w:firstLineChars="200"/>
        <w:rPr>
          <w:rFonts w:hint="eastAsia" w:hAnsi="宋体" w:eastAsia="宋体" w:cs="宋体"/>
          <w:color w:val="auto"/>
          <w:sz w:val="21"/>
          <w:highlight w:val="none"/>
        </w:rPr>
      </w:pPr>
      <w:r>
        <w:rPr>
          <w:rFonts w:hint="eastAsia" w:hAnsi="宋体" w:eastAsia="宋体" w:cs="宋体"/>
          <w:color w:val="auto"/>
          <w:sz w:val="21"/>
          <w:highlight w:val="none"/>
        </w:rPr>
        <w:t>39.2代理服务收费标准：</w:t>
      </w:r>
    </w:p>
    <w:tbl>
      <w:tblPr>
        <w:tblStyle w:val="45"/>
        <w:tblW w:w="0" w:type="auto"/>
        <w:tblInd w:w="53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472"/>
        <w:gridCol w:w="1659"/>
        <w:gridCol w:w="1687"/>
        <w:gridCol w:w="1659"/>
      </w:tblGrid>
      <w:tr w14:paraId="7616CD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tcBorders>
              <w:tl2br w:val="single" w:color="auto" w:sz="4" w:space="0"/>
            </w:tcBorders>
            <w:noWrap w:val="0"/>
            <w:vAlign w:val="top"/>
          </w:tcPr>
          <w:p w14:paraId="454309B5">
            <w:pPr>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               费率</w:t>
            </w:r>
          </w:p>
          <w:p w14:paraId="1D1F0B23">
            <w:pPr>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中标金额</w:t>
            </w:r>
          </w:p>
        </w:tc>
        <w:tc>
          <w:tcPr>
            <w:tcW w:w="1659" w:type="dxa"/>
            <w:noWrap w:val="0"/>
            <w:vAlign w:val="center"/>
          </w:tcPr>
          <w:p w14:paraId="2E974CE5">
            <w:pPr>
              <w:spacing w:line="360" w:lineRule="auto"/>
              <w:ind w:firstLine="105" w:firstLineChars="50"/>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货物招标</w:t>
            </w:r>
          </w:p>
        </w:tc>
        <w:tc>
          <w:tcPr>
            <w:tcW w:w="1687" w:type="dxa"/>
            <w:noWrap w:val="0"/>
            <w:vAlign w:val="center"/>
          </w:tcPr>
          <w:p w14:paraId="08ACDD33">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服务招标</w:t>
            </w:r>
          </w:p>
        </w:tc>
        <w:tc>
          <w:tcPr>
            <w:tcW w:w="1659" w:type="dxa"/>
            <w:noWrap w:val="0"/>
            <w:vAlign w:val="center"/>
          </w:tcPr>
          <w:p w14:paraId="252FF76C">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工程招标</w:t>
            </w:r>
          </w:p>
        </w:tc>
      </w:tr>
      <w:tr w14:paraId="6D6A5B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noWrap w:val="0"/>
            <w:vAlign w:val="top"/>
          </w:tcPr>
          <w:p w14:paraId="18317FC8">
            <w:pPr>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100万元以下</w:t>
            </w:r>
          </w:p>
        </w:tc>
        <w:tc>
          <w:tcPr>
            <w:tcW w:w="1659" w:type="dxa"/>
            <w:noWrap w:val="0"/>
            <w:vAlign w:val="top"/>
          </w:tcPr>
          <w:p w14:paraId="75E9FD13">
            <w:pPr>
              <w:spacing w:line="360" w:lineRule="auto"/>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 xml:space="preserve">  1.5%                </w:t>
            </w:r>
          </w:p>
        </w:tc>
        <w:tc>
          <w:tcPr>
            <w:tcW w:w="1687" w:type="dxa"/>
            <w:noWrap w:val="0"/>
            <w:vAlign w:val="top"/>
          </w:tcPr>
          <w:p w14:paraId="3100440E">
            <w:pPr>
              <w:spacing w:line="360" w:lineRule="auto"/>
              <w:ind w:firstLine="210" w:firstLineChars="100"/>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1.5%</w:t>
            </w:r>
          </w:p>
        </w:tc>
        <w:tc>
          <w:tcPr>
            <w:tcW w:w="1659" w:type="dxa"/>
            <w:noWrap w:val="0"/>
            <w:vAlign w:val="top"/>
          </w:tcPr>
          <w:p w14:paraId="473D9FA0">
            <w:pPr>
              <w:spacing w:line="360" w:lineRule="auto"/>
              <w:ind w:firstLine="210" w:firstLineChars="100"/>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 xml:space="preserve">1.0% </w:t>
            </w:r>
          </w:p>
        </w:tc>
      </w:tr>
      <w:tr w14:paraId="56B710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noWrap w:val="0"/>
            <w:vAlign w:val="top"/>
          </w:tcPr>
          <w:p w14:paraId="7241C25C">
            <w:pPr>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100～500万元</w:t>
            </w:r>
          </w:p>
        </w:tc>
        <w:tc>
          <w:tcPr>
            <w:tcW w:w="1659" w:type="dxa"/>
            <w:noWrap w:val="0"/>
            <w:vAlign w:val="top"/>
          </w:tcPr>
          <w:p w14:paraId="69E50B0E">
            <w:pPr>
              <w:spacing w:line="360" w:lineRule="auto"/>
              <w:ind w:firstLine="210" w:firstLineChars="100"/>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 xml:space="preserve">1.1%                 </w:t>
            </w:r>
          </w:p>
        </w:tc>
        <w:tc>
          <w:tcPr>
            <w:tcW w:w="1687" w:type="dxa"/>
            <w:noWrap w:val="0"/>
            <w:vAlign w:val="top"/>
          </w:tcPr>
          <w:p w14:paraId="1D825D1D">
            <w:pPr>
              <w:spacing w:line="360" w:lineRule="auto"/>
              <w:ind w:firstLine="210" w:firstLineChars="100"/>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0.8%</w:t>
            </w:r>
          </w:p>
        </w:tc>
        <w:tc>
          <w:tcPr>
            <w:tcW w:w="1659" w:type="dxa"/>
            <w:noWrap w:val="0"/>
            <w:vAlign w:val="top"/>
          </w:tcPr>
          <w:p w14:paraId="22986310">
            <w:pPr>
              <w:spacing w:line="360" w:lineRule="auto"/>
              <w:ind w:firstLine="210" w:firstLineChars="100"/>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 xml:space="preserve">0.7% </w:t>
            </w:r>
          </w:p>
        </w:tc>
      </w:tr>
      <w:tr w14:paraId="611860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noWrap w:val="0"/>
            <w:vAlign w:val="top"/>
          </w:tcPr>
          <w:p w14:paraId="5219D033">
            <w:pPr>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500～1000万元</w:t>
            </w:r>
          </w:p>
        </w:tc>
        <w:tc>
          <w:tcPr>
            <w:tcW w:w="1659" w:type="dxa"/>
            <w:noWrap w:val="0"/>
            <w:vAlign w:val="top"/>
          </w:tcPr>
          <w:p w14:paraId="25852827">
            <w:pPr>
              <w:spacing w:line="360" w:lineRule="auto"/>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 xml:space="preserve">  0.8%                </w:t>
            </w:r>
          </w:p>
        </w:tc>
        <w:tc>
          <w:tcPr>
            <w:tcW w:w="1687" w:type="dxa"/>
            <w:noWrap w:val="0"/>
            <w:vAlign w:val="top"/>
          </w:tcPr>
          <w:p w14:paraId="13219F1A">
            <w:pPr>
              <w:spacing w:line="360" w:lineRule="auto"/>
              <w:ind w:firstLine="210" w:firstLineChars="100"/>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0.45%</w:t>
            </w:r>
          </w:p>
        </w:tc>
        <w:tc>
          <w:tcPr>
            <w:tcW w:w="1659" w:type="dxa"/>
            <w:noWrap w:val="0"/>
            <w:vAlign w:val="top"/>
          </w:tcPr>
          <w:p w14:paraId="2090F2BE">
            <w:pPr>
              <w:spacing w:line="360" w:lineRule="auto"/>
              <w:ind w:firstLine="210" w:firstLineChars="100"/>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0.55%</w:t>
            </w:r>
          </w:p>
        </w:tc>
      </w:tr>
      <w:tr w14:paraId="39E60D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noWrap w:val="0"/>
            <w:vAlign w:val="top"/>
          </w:tcPr>
          <w:p w14:paraId="415151DB">
            <w:pPr>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1000～5000万元</w:t>
            </w:r>
          </w:p>
        </w:tc>
        <w:tc>
          <w:tcPr>
            <w:tcW w:w="1659" w:type="dxa"/>
            <w:noWrap w:val="0"/>
            <w:vAlign w:val="top"/>
          </w:tcPr>
          <w:p w14:paraId="47B406B2">
            <w:pPr>
              <w:spacing w:line="360" w:lineRule="auto"/>
              <w:ind w:firstLine="210" w:firstLineChars="100"/>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 xml:space="preserve">0.5%                </w:t>
            </w:r>
          </w:p>
        </w:tc>
        <w:tc>
          <w:tcPr>
            <w:tcW w:w="1687" w:type="dxa"/>
            <w:noWrap w:val="0"/>
            <w:vAlign w:val="top"/>
          </w:tcPr>
          <w:p w14:paraId="088015EC">
            <w:pPr>
              <w:spacing w:line="360" w:lineRule="auto"/>
              <w:ind w:firstLine="210" w:firstLineChars="100"/>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0.25%</w:t>
            </w:r>
          </w:p>
        </w:tc>
        <w:tc>
          <w:tcPr>
            <w:tcW w:w="1659" w:type="dxa"/>
            <w:noWrap w:val="0"/>
            <w:vAlign w:val="top"/>
          </w:tcPr>
          <w:p w14:paraId="54B10862">
            <w:pPr>
              <w:spacing w:line="360" w:lineRule="auto"/>
              <w:ind w:firstLine="210" w:firstLineChars="100"/>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 xml:space="preserve">0.35% </w:t>
            </w:r>
          </w:p>
        </w:tc>
      </w:tr>
      <w:tr w14:paraId="0BAB78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noWrap w:val="0"/>
            <w:vAlign w:val="top"/>
          </w:tcPr>
          <w:p w14:paraId="453BF48E">
            <w:pPr>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5000万元～1亿元</w:t>
            </w:r>
          </w:p>
        </w:tc>
        <w:tc>
          <w:tcPr>
            <w:tcW w:w="1659" w:type="dxa"/>
            <w:noWrap w:val="0"/>
            <w:vAlign w:val="top"/>
          </w:tcPr>
          <w:p w14:paraId="0836D5B8">
            <w:pPr>
              <w:spacing w:line="360" w:lineRule="auto"/>
              <w:ind w:firstLine="210" w:firstLineChars="100"/>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 xml:space="preserve">0.25%                 </w:t>
            </w:r>
          </w:p>
        </w:tc>
        <w:tc>
          <w:tcPr>
            <w:tcW w:w="1687" w:type="dxa"/>
            <w:noWrap w:val="0"/>
            <w:vAlign w:val="top"/>
          </w:tcPr>
          <w:p w14:paraId="4C445B93">
            <w:pPr>
              <w:spacing w:line="360" w:lineRule="auto"/>
              <w:ind w:firstLine="210" w:firstLineChars="100"/>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0.1%</w:t>
            </w:r>
          </w:p>
        </w:tc>
        <w:tc>
          <w:tcPr>
            <w:tcW w:w="1659" w:type="dxa"/>
            <w:noWrap w:val="0"/>
            <w:vAlign w:val="top"/>
          </w:tcPr>
          <w:p w14:paraId="59D8FCD7">
            <w:pPr>
              <w:spacing w:line="360" w:lineRule="auto"/>
              <w:ind w:firstLine="210" w:firstLineChars="100"/>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0.2%</w:t>
            </w:r>
          </w:p>
        </w:tc>
      </w:tr>
      <w:tr w14:paraId="502641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noWrap w:val="0"/>
            <w:vAlign w:val="top"/>
          </w:tcPr>
          <w:p w14:paraId="08697D64">
            <w:pPr>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1～5亿元</w:t>
            </w:r>
          </w:p>
        </w:tc>
        <w:tc>
          <w:tcPr>
            <w:tcW w:w="1659" w:type="dxa"/>
            <w:noWrap w:val="0"/>
            <w:vAlign w:val="top"/>
          </w:tcPr>
          <w:p w14:paraId="370B4D9B">
            <w:pPr>
              <w:spacing w:line="360" w:lineRule="auto"/>
              <w:ind w:firstLine="210" w:firstLineChars="100"/>
              <w:rPr>
                <w:rFonts w:hint="eastAsia" w:ascii="宋体" w:hAnsi="宋体" w:eastAsia="宋体" w:cs="宋体"/>
                <w:color w:val="auto"/>
                <w:szCs w:val="21"/>
                <w:highlight w:val="none"/>
              </w:rPr>
            </w:pPr>
            <w:r>
              <w:rPr>
                <w:rFonts w:hint="eastAsia" w:ascii="宋体" w:hAnsi="宋体" w:eastAsia="宋体" w:cs="宋体"/>
                <w:color w:val="auto"/>
                <w:szCs w:val="21"/>
                <w:highlight w:val="none"/>
              </w:rPr>
              <w:t>0.05%</w:t>
            </w:r>
          </w:p>
        </w:tc>
        <w:tc>
          <w:tcPr>
            <w:tcW w:w="1687" w:type="dxa"/>
            <w:noWrap w:val="0"/>
            <w:vAlign w:val="top"/>
          </w:tcPr>
          <w:p w14:paraId="6E0235E5">
            <w:pPr>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  0.05%</w:t>
            </w:r>
          </w:p>
        </w:tc>
        <w:tc>
          <w:tcPr>
            <w:tcW w:w="1659" w:type="dxa"/>
            <w:noWrap w:val="0"/>
            <w:vAlign w:val="top"/>
          </w:tcPr>
          <w:p w14:paraId="501D25DD">
            <w:pPr>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  0.05%</w:t>
            </w:r>
          </w:p>
        </w:tc>
      </w:tr>
      <w:tr w14:paraId="31B760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noWrap w:val="0"/>
            <w:vAlign w:val="top"/>
          </w:tcPr>
          <w:p w14:paraId="16E5A568">
            <w:pPr>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5～10亿元</w:t>
            </w:r>
          </w:p>
        </w:tc>
        <w:tc>
          <w:tcPr>
            <w:tcW w:w="1659" w:type="dxa"/>
            <w:noWrap w:val="0"/>
            <w:vAlign w:val="top"/>
          </w:tcPr>
          <w:p w14:paraId="5A6198EB">
            <w:pPr>
              <w:spacing w:line="360" w:lineRule="auto"/>
              <w:ind w:firstLine="105" w:firstLineChars="50"/>
              <w:rPr>
                <w:rFonts w:hint="eastAsia" w:ascii="宋体" w:hAnsi="宋体" w:eastAsia="宋体" w:cs="宋体"/>
                <w:color w:val="auto"/>
                <w:szCs w:val="21"/>
                <w:highlight w:val="none"/>
              </w:rPr>
            </w:pPr>
            <w:r>
              <w:rPr>
                <w:rFonts w:hint="eastAsia" w:ascii="宋体" w:hAnsi="宋体" w:eastAsia="宋体" w:cs="宋体"/>
                <w:color w:val="auto"/>
                <w:szCs w:val="21"/>
                <w:highlight w:val="none"/>
              </w:rPr>
              <w:t>0.035%</w:t>
            </w:r>
          </w:p>
        </w:tc>
        <w:tc>
          <w:tcPr>
            <w:tcW w:w="1687" w:type="dxa"/>
            <w:noWrap w:val="0"/>
            <w:vAlign w:val="top"/>
          </w:tcPr>
          <w:p w14:paraId="6EC4CC17">
            <w:pPr>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  0.035%</w:t>
            </w:r>
          </w:p>
        </w:tc>
        <w:tc>
          <w:tcPr>
            <w:tcW w:w="1659" w:type="dxa"/>
            <w:noWrap w:val="0"/>
            <w:vAlign w:val="top"/>
          </w:tcPr>
          <w:p w14:paraId="0E055C24">
            <w:pPr>
              <w:spacing w:line="360" w:lineRule="auto"/>
              <w:ind w:firstLine="105" w:firstLineChars="50"/>
              <w:rPr>
                <w:rFonts w:hint="eastAsia" w:ascii="宋体" w:hAnsi="宋体" w:eastAsia="宋体" w:cs="宋体"/>
                <w:color w:val="auto"/>
                <w:szCs w:val="21"/>
                <w:highlight w:val="none"/>
              </w:rPr>
            </w:pPr>
            <w:r>
              <w:rPr>
                <w:rFonts w:hint="eastAsia" w:ascii="宋体" w:hAnsi="宋体" w:eastAsia="宋体" w:cs="宋体"/>
                <w:color w:val="auto"/>
                <w:szCs w:val="21"/>
                <w:highlight w:val="none"/>
              </w:rPr>
              <w:t>0.035%</w:t>
            </w:r>
          </w:p>
        </w:tc>
      </w:tr>
      <w:tr w14:paraId="51C716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noWrap w:val="0"/>
            <w:vAlign w:val="top"/>
          </w:tcPr>
          <w:p w14:paraId="36A86106">
            <w:pPr>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10～50亿元</w:t>
            </w:r>
          </w:p>
        </w:tc>
        <w:tc>
          <w:tcPr>
            <w:tcW w:w="1659" w:type="dxa"/>
            <w:noWrap w:val="0"/>
            <w:vAlign w:val="top"/>
          </w:tcPr>
          <w:p w14:paraId="652EB587">
            <w:pPr>
              <w:spacing w:line="360" w:lineRule="auto"/>
              <w:ind w:firstLine="105" w:firstLineChars="50"/>
              <w:rPr>
                <w:rFonts w:hint="eastAsia" w:ascii="宋体" w:hAnsi="宋体" w:eastAsia="宋体" w:cs="宋体"/>
                <w:color w:val="auto"/>
                <w:szCs w:val="21"/>
                <w:highlight w:val="none"/>
              </w:rPr>
            </w:pPr>
            <w:r>
              <w:rPr>
                <w:rFonts w:hint="eastAsia" w:ascii="宋体" w:hAnsi="宋体" w:eastAsia="宋体" w:cs="宋体"/>
                <w:color w:val="auto"/>
                <w:szCs w:val="21"/>
                <w:highlight w:val="none"/>
              </w:rPr>
              <w:t>0.008%</w:t>
            </w:r>
          </w:p>
        </w:tc>
        <w:tc>
          <w:tcPr>
            <w:tcW w:w="1687" w:type="dxa"/>
            <w:noWrap w:val="0"/>
            <w:vAlign w:val="top"/>
          </w:tcPr>
          <w:p w14:paraId="23945C68">
            <w:pPr>
              <w:spacing w:line="360" w:lineRule="auto"/>
              <w:ind w:firstLine="210" w:firstLineChars="100"/>
              <w:rPr>
                <w:rFonts w:hint="eastAsia" w:ascii="宋体" w:hAnsi="宋体" w:eastAsia="宋体" w:cs="宋体"/>
                <w:color w:val="auto"/>
                <w:szCs w:val="21"/>
                <w:highlight w:val="none"/>
              </w:rPr>
            </w:pPr>
            <w:r>
              <w:rPr>
                <w:rFonts w:hint="eastAsia" w:ascii="宋体" w:hAnsi="宋体" w:eastAsia="宋体" w:cs="宋体"/>
                <w:color w:val="auto"/>
                <w:szCs w:val="21"/>
                <w:highlight w:val="none"/>
              </w:rPr>
              <w:t>0.008%</w:t>
            </w:r>
          </w:p>
        </w:tc>
        <w:tc>
          <w:tcPr>
            <w:tcW w:w="1659" w:type="dxa"/>
            <w:noWrap w:val="0"/>
            <w:vAlign w:val="top"/>
          </w:tcPr>
          <w:p w14:paraId="20E7999C">
            <w:pPr>
              <w:spacing w:line="360" w:lineRule="auto"/>
              <w:ind w:firstLine="105" w:firstLineChars="50"/>
              <w:rPr>
                <w:rFonts w:hint="eastAsia" w:ascii="宋体" w:hAnsi="宋体" w:eastAsia="宋体" w:cs="宋体"/>
                <w:color w:val="auto"/>
                <w:szCs w:val="21"/>
                <w:highlight w:val="none"/>
              </w:rPr>
            </w:pPr>
            <w:r>
              <w:rPr>
                <w:rFonts w:hint="eastAsia" w:ascii="宋体" w:hAnsi="宋体" w:eastAsia="宋体" w:cs="宋体"/>
                <w:color w:val="auto"/>
                <w:szCs w:val="21"/>
                <w:highlight w:val="none"/>
              </w:rPr>
              <w:t>0.008%</w:t>
            </w:r>
          </w:p>
        </w:tc>
      </w:tr>
      <w:tr w14:paraId="1176C1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noWrap w:val="0"/>
            <w:vAlign w:val="top"/>
          </w:tcPr>
          <w:p w14:paraId="0FCB92DF">
            <w:pPr>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50～100亿元</w:t>
            </w:r>
          </w:p>
        </w:tc>
        <w:tc>
          <w:tcPr>
            <w:tcW w:w="1659" w:type="dxa"/>
            <w:noWrap w:val="0"/>
            <w:vAlign w:val="top"/>
          </w:tcPr>
          <w:p w14:paraId="6FAF7FD9">
            <w:pPr>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 0.006%</w:t>
            </w:r>
          </w:p>
        </w:tc>
        <w:tc>
          <w:tcPr>
            <w:tcW w:w="1687" w:type="dxa"/>
            <w:noWrap w:val="0"/>
            <w:vAlign w:val="top"/>
          </w:tcPr>
          <w:p w14:paraId="57C96E0F">
            <w:pPr>
              <w:spacing w:line="360" w:lineRule="auto"/>
              <w:ind w:firstLine="210" w:firstLineChars="100"/>
              <w:rPr>
                <w:rFonts w:hint="eastAsia" w:ascii="宋体" w:hAnsi="宋体" w:eastAsia="宋体" w:cs="宋体"/>
                <w:color w:val="auto"/>
                <w:szCs w:val="21"/>
                <w:highlight w:val="none"/>
              </w:rPr>
            </w:pPr>
            <w:r>
              <w:rPr>
                <w:rFonts w:hint="eastAsia" w:ascii="宋体" w:hAnsi="宋体" w:eastAsia="宋体" w:cs="宋体"/>
                <w:color w:val="auto"/>
                <w:szCs w:val="21"/>
                <w:highlight w:val="none"/>
              </w:rPr>
              <w:t>0.006%</w:t>
            </w:r>
          </w:p>
        </w:tc>
        <w:tc>
          <w:tcPr>
            <w:tcW w:w="1659" w:type="dxa"/>
            <w:noWrap w:val="0"/>
            <w:vAlign w:val="top"/>
          </w:tcPr>
          <w:p w14:paraId="53BDE72F">
            <w:pPr>
              <w:spacing w:line="360" w:lineRule="auto"/>
              <w:ind w:firstLine="105" w:firstLineChars="50"/>
              <w:rPr>
                <w:rFonts w:hint="eastAsia" w:ascii="宋体" w:hAnsi="宋体" w:eastAsia="宋体" w:cs="宋体"/>
                <w:color w:val="auto"/>
                <w:szCs w:val="21"/>
                <w:highlight w:val="none"/>
              </w:rPr>
            </w:pPr>
            <w:r>
              <w:rPr>
                <w:rFonts w:hint="eastAsia" w:ascii="宋体" w:hAnsi="宋体" w:eastAsia="宋体" w:cs="宋体"/>
                <w:color w:val="auto"/>
                <w:szCs w:val="21"/>
                <w:highlight w:val="none"/>
              </w:rPr>
              <w:t>0.006%</w:t>
            </w:r>
          </w:p>
        </w:tc>
      </w:tr>
      <w:tr w14:paraId="1AE451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noWrap w:val="0"/>
            <w:vAlign w:val="top"/>
          </w:tcPr>
          <w:p w14:paraId="07185130">
            <w:pPr>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100亿以上</w:t>
            </w:r>
          </w:p>
        </w:tc>
        <w:tc>
          <w:tcPr>
            <w:tcW w:w="1659" w:type="dxa"/>
            <w:noWrap w:val="0"/>
            <w:vAlign w:val="top"/>
          </w:tcPr>
          <w:p w14:paraId="266FF42B">
            <w:pPr>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 0.004%</w:t>
            </w:r>
          </w:p>
        </w:tc>
        <w:tc>
          <w:tcPr>
            <w:tcW w:w="1687" w:type="dxa"/>
            <w:noWrap w:val="0"/>
            <w:vAlign w:val="top"/>
          </w:tcPr>
          <w:p w14:paraId="639B954A">
            <w:pPr>
              <w:spacing w:line="360" w:lineRule="auto"/>
              <w:ind w:firstLine="210" w:firstLineChars="100"/>
              <w:rPr>
                <w:rFonts w:hint="eastAsia" w:ascii="宋体" w:hAnsi="宋体" w:eastAsia="宋体" w:cs="宋体"/>
                <w:color w:val="auto"/>
                <w:szCs w:val="21"/>
                <w:highlight w:val="none"/>
              </w:rPr>
            </w:pPr>
            <w:r>
              <w:rPr>
                <w:rFonts w:hint="eastAsia" w:ascii="宋体" w:hAnsi="宋体" w:eastAsia="宋体" w:cs="宋体"/>
                <w:color w:val="auto"/>
                <w:szCs w:val="21"/>
                <w:highlight w:val="none"/>
              </w:rPr>
              <w:t>0.004%</w:t>
            </w:r>
          </w:p>
        </w:tc>
        <w:tc>
          <w:tcPr>
            <w:tcW w:w="1659" w:type="dxa"/>
            <w:noWrap w:val="0"/>
            <w:vAlign w:val="top"/>
          </w:tcPr>
          <w:p w14:paraId="20AC4E7C">
            <w:pPr>
              <w:spacing w:line="360" w:lineRule="auto"/>
              <w:ind w:firstLine="105" w:firstLineChars="50"/>
              <w:rPr>
                <w:rFonts w:hint="eastAsia" w:ascii="宋体" w:hAnsi="宋体" w:eastAsia="宋体" w:cs="宋体"/>
                <w:color w:val="auto"/>
                <w:szCs w:val="21"/>
                <w:highlight w:val="none"/>
              </w:rPr>
            </w:pPr>
            <w:r>
              <w:rPr>
                <w:rFonts w:hint="eastAsia" w:ascii="宋体" w:hAnsi="宋体" w:eastAsia="宋体" w:cs="宋体"/>
                <w:color w:val="auto"/>
                <w:szCs w:val="21"/>
                <w:highlight w:val="none"/>
              </w:rPr>
              <w:t>0.004%</w:t>
            </w:r>
          </w:p>
        </w:tc>
      </w:tr>
    </w:tbl>
    <w:p w14:paraId="5AA62CB2">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注： </w:t>
      </w:r>
    </w:p>
    <w:p w14:paraId="6AA83F79">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（1）按本表费率计算的收费为采购代理的收费基准价格；</w:t>
      </w:r>
    </w:p>
    <w:p w14:paraId="27815C23">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（2）采购代理收费按差额定率累进法计算。</w:t>
      </w:r>
    </w:p>
    <w:p w14:paraId="7211A149">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例如：某服务采购代理业务中标金额或者暂定价为200万元，计算采购代理收费额如下：</w:t>
      </w:r>
    </w:p>
    <w:p w14:paraId="2917D81A">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100 万元×l.5 %＝ 1.5 万元</w:t>
      </w:r>
    </w:p>
    <w:p w14:paraId="38E57C5C">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 200 － 100 ）万元 ×0.8%＝0.8万元</w:t>
      </w:r>
    </w:p>
    <w:p w14:paraId="0D9FAB7A">
      <w:pPr>
        <w:pStyle w:val="24"/>
        <w:snapToGrid w:val="0"/>
        <w:spacing w:line="360" w:lineRule="auto"/>
        <w:ind w:firstLine="420" w:firstLineChars="200"/>
        <w:rPr>
          <w:rFonts w:hint="eastAsia" w:hAnsi="宋体" w:eastAsia="宋体" w:cs="宋体"/>
          <w:color w:val="auto"/>
          <w:sz w:val="21"/>
          <w:highlight w:val="none"/>
        </w:rPr>
      </w:pPr>
      <w:r>
        <w:rPr>
          <w:rFonts w:hint="eastAsia" w:hAnsi="宋体" w:eastAsia="宋体" w:cs="宋体"/>
          <w:color w:val="auto"/>
          <w:sz w:val="21"/>
          <w:highlight w:val="none"/>
        </w:rPr>
        <w:t>合计收费＝ 1.5+0.8＝ 2.3（万元）</w:t>
      </w:r>
    </w:p>
    <w:p w14:paraId="50A3F669">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32.9 代理服务费交纳银行账号信息：</w:t>
      </w:r>
      <w:r>
        <w:rPr>
          <w:rFonts w:hint="eastAsia" w:ascii="宋体" w:hAnsi="宋体" w:eastAsia="宋体" w:cs="宋体"/>
          <w:color w:val="auto"/>
          <w:highlight w:val="none"/>
        </w:rPr>
        <w:t>详见“投标人须知前附表”。</w:t>
      </w:r>
    </w:p>
    <w:p w14:paraId="508A4E00">
      <w:pPr>
        <w:pStyle w:val="7"/>
        <w:keepNext w:val="0"/>
        <w:keepLines w:val="0"/>
        <w:spacing w:before="0" w:after="0" w:line="360" w:lineRule="auto"/>
        <w:ind w:left="420" w:left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40. 需要补充的其他内容</w:t>
      </w:r>
    </w:p>
    <w:p w14:paraId="4CF33E87">
      <w:pPr>
        <w:pStyle w:val="24"/>
        <w:spacing w:before="120" w:after="120" w:line="360" w:lineRule="auto"/>
        <w:ind w:firstLine="420" w:firstLineChars="200"/>
        <w:contextualSpacing/>
        <w:rPr>
          <w:rFonts w:hint="eastAsia" w:hAnsi="宋体" w:eastAsia="宋体" w:cs="宋体"/>
          <w:color w:val="auto"/>
          <w:sz w:val="21"/>
          <w:highlight w:val="none"/>
        </w:rPr>
      </w:pPr>
      <w:r>
        <w:rPr>
          <w:rFonts w:hint="eastAsia" w:hAnsi="宋体" w:eastAsia="宋体" w:cs="宋体"/>
          <w:color w:val="auto"/>
          <w:sz w:val="21"/>
          <w:highlight w:val="none"/>
        </w:rPr>
        <w:t>40.1本招标文件解释规则详见“投标人须知前附表”。</w:t>
      </w:r>
    </w:p>
    <w:p w14:paraId="51037083">
      <w:pPr>
        <w:pStyle w:val="24"/>
        <w:spacing w:before="120" w:after="120" w:line="360" w:lineRule="auto"/>
        <w:ind w:firstLine="420" w:firstLineChars="200"/>
        <w:contextualSpacing/>
        <w:rPr>
          <w:rFonts w:hint="eastAsia" w:hAnsi="宋体" w:eastAsia="宋体" w:cs="宋体"/>
          <w:color w:val="auto"/>
          <w:sz w:val="21"/>
          <w:highlight w:val="none"/>
        </w:rPr>
      </w:pPr>
      <w:r>
        <w:rPr>
          <w:rFonts w:hint="eastAsia" w:hAnsi="宋体" w:eastAsia="宋体" w:cs="宋体"/>
          <w:color w:val="auto"/>
          <w:sz w:val="21"/>
          <w:highlight w:val="none"/>
        </w:rPr>
        <w:t>40.2 其他事项详见“投标人须知前附表”。</w:t>
      </w:r>
    </w:p>
    <w:p w14:paraId="43FCB9BD">
      <w:pPr>
        <w:pStyle w:val="24"/>
        <w:spacing w:before="120" w:after="120" w:line="360" w:lineRule="auto"/>
        <w:ind w:firstLine="420" w:firstLineChars="200"/>
        <w:contextualSpacing/>
        <w:rPr>
          <w:rFonts w:hint="eastAsia" w:hAnsi="宋体" w:eastAsia="宋体" w:cs="宋体"/>
          <w:color w:val="auto"/>
          <w:sz w:val="21"/>
          <w:highlight w:val="none"/>
        </w:rPr>
      </w:pPr>
      <w:r>
        <w:rPr>
          <w:rFonts w:hint="eastAsia" w:hAnsi="宋体" w:eastAsia="宋体" w:cs="宋体"/>
          <w:color w:val="auto"/>
          <w:sz w:val="21"/>
          <w:highlight w:val="none"/>
        </w:rPr>
        <w:t>40.3</w:t>
      </w:r>
      <w:bookmarkStart w:id="144" w:name="_Hlk65857140"/>
      <w:r>
        <w:rPr>
          <w:rFonts w:hint="eastAsia" w:hAnsi="宋体" w:eastAsia="宋体" w:cs="宋体"/>
          <w:color w:val="auto"/>
          <w:sz w:val="21"/>
          <w:highlight w:val="none"/>
        </w:rPr>
        <w:t>本招标文件所称中小企业，是指在中华人民共和国境内依法设立，依据国务院批准的中小企业划分标准确定的中型企业、小型企业和微型企业，但与大企业的负责人为同一人，或者与大企业存在直接控股、管理关系的除外。符合中小企业划分标准的个体工商户，在政府采购活动中视同中小企业。在政府采购活动中，供应商提供的货物、工程或者服务符合下列情形的，享受本招标文件规定的中小企业扶持政策：</w:t>
      </w:r>
    </w:p>
    <w:p w14:paraId="3CE05342">
      <w:pPr>
        <w:pStyle w:val="24"/>
        <w:spacing w:before="120" w:after="120" w:line="360" w:lineRule="auto"/>
        <w:ind w:firstLine="420" w:firstLineChars="200"/>
        <w:contextualSpacing/>
        <w:rPr>
          <w:rFonts w:hint="eastAsia" w:hAnsi="宋体" w:eastAsia="宋体" w:cs="宋体"/>
          <w:color w:val="auto"/>
          <w:sz w:val="21"/>
          <w:highlight w:val="none"/>
        </w:rPr>
      </w:pPr>
      <w:r>
        <w:rPr>
          <w:rFonts w:hint="eastAsia" w:hAnsi="宋体" w:eastAsia="宋体" w:cs="宋体"/>
          <w:color w:val="auto"/>
          <w:sz w:val="21"/>
          <w:highlight w:val="none"/>
        </w:rPr>
        <w:t>（1）在货物采购项目中，货物由中小企业制造，即货物由中小企业生产且使用该中小企业商号或者注册商标，不对其中涉及的工程承建商和服务的承接商作出要求；</w:t>
      </w:r>
    </w:p>
    <w:p w14:paraId="3667B237">
      <w:pPr>
        <w:pStyle w:val="24"/>
        <w:spacing w:before="120" w:after="120" w:line="360" w:lineRule="auto"/>
        <w:ind w:firstLine="420" w:firstLineChars="200"/>
        <w:contextualSpacing/>
        <w:rPr>
          <w:rFonts w:hint="eastAsia" w:hAnsi="宋体" w:eastAsia="宋体" w:cs="宋体"/>
          <w:color w:val="auto"/>
          <w:sz w:val="21"/>
          <w:highlight w:val="none"/>
        </w:rPr>
      </w:pPr>
      <w:r>
        <w:rPr>
          <w:rFonts w:hint="eastAsia" w:hAnsi="宋体" w:eastAsia="宋体" w:cs="宋体"/>
          <w:color w:val="auto"/>
          <w:sz w:val="21"/>
          <w:highlight w:val="none"/>
        </w:rPr>
        <w:t>（2）在工程采购项目中，工程由中小企业承建，即工程施工单位为中小企业，不对其中涉及的货物的制造商和服务的承接商作出要求；</w:t>
      </w:r>
    </w:p>
    <w:p w14:paraId="7D1BC58C">
      <w:pPr>
        <w:pStyle w:val="24"/>
        <w:spacing w:before="120" w:after="120" w:line="360" w:lineRule="auto"/>
        <w:ind w:firstLine="420" w:firstLineChars="200"/>
        <w:contextualSpacing/>
        <w:rPr>
          <w:rFonts w:hint="eastAsia" w:hAnsi="宋体" w:eastAsia="宋体" w:cs="宋体"/>
          <w:color w:val="auto"/>
          <w:sz w:val="21"/>
          <w:highlight w:val="none"/>
        </w:rPr>
      </w:pPr>
      <w:r>
        <w:rPr>
          <w:rFonts w:hint="eastAsia" w:hAnsi="宋体" w:eastAsia="宋体" w:cs="宋体"/>
          <w:color w:val="auto"/>
          <w:sz w:val="21"/>
          <w:highlight w:val="none"/>
        </w:rPr>
        <w:t>（3）在服务采购项目中，服务由中小企业承接，即提供服务的人员为中小企业依照《中华人民共和国劳动合同法》订立劳动合同的从业人员，不对其中涉及的货物的制造商和工程承建商作出要求。</w:t>
      </w:r>
    </w:p>
    <w:p w14:paraId="28011A37">
      <w:pPr>
        <w:pStyle w:val="24"/>
        <w:spacing w:before="120" w:after="120" w:line="360" w:lineRule="auto"/>
        <w:ind w:firstLine="420" w:firstLineChars="200"/>
        <w:contextualSpacing/>
        <w:rPr>
          <w:rFonts w:hint="eastAsia" w:hAnsi="宋体" w:eastAsia="宋体" w:cs="宋体"/>
          <w:color w:val="auto"/>
          <w:sz w:val="21"/>
          <w:highlight w:val="none"/>
        </w:rPr>
      </w:pPr>
      <w:r>
        <w:rPr>
          <w:rFonts w:hint="eastAsia" w:hAnsi="宋体" w:eastAsia="宋体" w:cs="宋体"/>
          <w:color w:val="auto"/>
          <w:sz w:val="21"/>
          <w:highlight w:val="none"/>
        </w:rPr>
        <w:t>在货物采购项目中，供应商提供的货物既有中小企业制造货物，也有大型企业制造货物的，不享受本招标文件规定的中小企业扶持政策。以联合体形式参加政府采购活动，联合体各方均为中小企业的，联合体视同中小企业。其中，联合体各方均为小微企业的，联合体视同小微企业。</w:t>
      </w:r>
    </w:p>
    <w:p w14:paraId="2D486D92">
      <w:pPr>
        <w:pStyle w:val="24"/>
        <w:spacing w:before="120" w:after="120" w:line="360" w:lineRule="auto"/>
        <w:ind w:firstLine="420" w:firstLineChars="200"/>
        <w:contextualSpacing/>
        <w:rPr>
          <w:rFonts w:hint="eastAsia" w:hAnsi="宋体" w:eastAsia="宋体" w:cs="宋体"/>
          <w:color w:val="auto"/>
          <w:sz w:val="21"/>
          <w:highlight w:val="none"/>
        </w:rPr>
      </w:pPr>
      <w:r>
        <w:rPr>
          <w:rFonts w:hint="eastAsia" w:hAnsi="宋体" w:eastAsia="宋体" w:cs="宋体"/>
          <w:color w:val="auto"/>
          <w:sz w:val="21"/>
          <w:highlight w:val="none"/>
        </w:rPr>
        <w:t>依据本招标文件规定享受扶持政策获得政府采购合同的，小微企业不得将合同分包给大中型企业，中型企业不得将合同分包给大型企业。</w:t>
      </w:r>
      <w:bookmarkEnd w:id="144"/>
    </w:p>
    <w:p w14:paraId="4C0B7EBC">
      <w:pPr>
        <w:pStyle w:val="24"/>
        <w:spacing w:before="120" w:after="120" w:line="360" w:lineRule="auto"/>
        <w:ind w:firstLine="420" w:firstLineChars="200"/>
        <w:contextualSpacing/>
        <w:rPr>
          <w:rFonts w:hint="eastAsia" w:ascii="宋体" w:hAnsi="宋体" w:eastAsia="宋体" w:cs="宋体"/>
          <w:color w:val="auto"/>
          <w:sz w:val="21"/>
          <w:highlight w:val="none"/>
        </w:rPr>
      </w:pPr>
    </w:p>
    <w:p w14:paraId="588AF804">
      <w:pPr>
        <w:pStyle w:val="2"/>
        <w:ind w:left="479" w:leftChars="114" w:hanging="240" w:hangingChars="100"/>
        <w:rPr>
          <w:rFonts w:hint="eastAsia" w:ascii="宋体" w:hAnsi="宋体" w:eastAsia="宋体" w:cs="宋体"/>
          <w:color w:val="auto"/>
          <w:highlight w:val="none"/>
        </w:rPr>
      </w:pPr>
      <w:r>
        <w:rPr>
          <w:rFonts w:hint="eastAsia" w:ascii="宋体" w:hAnsi="宋体" w:eastAsia="宋体" w:cs="宋体"/>
          <w:color w:val="auto"/>
          <w:highlight w:val="none"/>
        </w:rPr>
        <w:br w:type="page"/>
      </w:r>
    </w:p>
    <w:p w14:paraId="0076F4FE">
      <w:pPr>
        <w:pStyle w:val="2"/>
        <w:ind w:left="479" w:leftChars="114" w:hanging="240" w:hangingChars="100"/>
        <w:rPr>
          <w:rFonts w:hint="eastAsia" w:ascii="宋体" w:hAnsi="宋体" w:eastAsia="宋体" w:cs="宋体"/>
          <w:color w:val="auto"/>
          <w:highlight w:val="none"/>
        </w:rPr>
      </w:pPr>
    </w:p>
    <w:p w14:paraId="61CF2AFF">
      <w:pPr>
        <w:pStyle w:val="2"/>
        <w:ind w:left="479" w:leftChars="114" w:hanging="240" w:hangingChars="100"/>
        <w:rPr>
          <w:rFonts w:hint="eastAsia" w:ascii="宋体" w:hAnsi="宋体" w:eastAsia="宋体" w:cs="宋体"/>
          <w:color w:val="auto"/>
          <w:highlight w:val="none"/>
        </w:rPr>
      </w:pPr>
    </w:p>
    <w:p w14:paraId="28A767A2">
      <w:pPr>
        <w:pStyle w:val="2"/>
        <w:ind w:left="479" w:leftChars="114" w:hanging="240" w:hangingChars="100"/>
        <w:rPr>
          <w:rFonts w:hint="eastAsia" w:ascii="宋体" w:hAnsi="宋体" w:eastAsia="宋体" w:cs="宋体"/>
          <w:color w:val="auto"/>
          <w:highlight w:val="none"/>
        </w:rPr>
      </w:pPr>
    </w:p>
    <w:p w14:paraId="5BE6E6A5">
      <w:pPr>
        <w:pStyle w:val="24"/>
        <w:snapToGrid w:val="0"/>
        <w:spacing w:before="120" w:after="120"/>
        <w:rPr>
          <w:rFonts w:hint="eastAsia" w:ascii="宋体" w:hAnsi="宋体" w:eastAsia="宋体" w:cs="宋体"/>
          <w:color w:val="auto"/>
          <w:highlight w:val="none"/>
        </w:rPr>
      </w:pPr>
    </w:p>
    <w:p w14:paraId="241932FC">
      <w:pPr>
        <w:pStyle w:val="24"/>
        <w:snapToGrid w:val="0"/>
        <w:spacing w:before="120" w:after="120"/>
        <w:rPr>
          <w:rFonts w:hint="eastAsia" w:ascii="宋体" w:hAnsi="宋体" w:eastAsia="宋体" w:cs="宋体"/>
          <w:color w:val="auto"/>
          <w:highlight w:val="none"/>
        </w:rPr>
      </w:pPr>
    </w:p>
    <w:p w14:paraId="61572952">
      <w:pPr>
        <w:pStyle w:val="24"/>
        <w:snapToGrid w:val="0"/>
        <w:spacing w:before="120" w:after="120"/>
        <w:rPr>
          <w:rFonts w:hint="eastAsia" w:ascii="宋体" w:hAnsi="宋体" w:eastAsia="宋体" w:cs="宋体"/>
          <w:color w:val="auto"/>
          <w:highlight w:val="none"/>
        </w:rPr>
      </w:pPr>
    </w:p>
    <w:p w14:paraId="08B90DCE">
      <w:pPr>
        <w:pStyle w:val="24"/>
        <w:snapToGrid w:val="0"/>
        <w:spacing w:before="120" w:after="120"/>
        <w:rPr>
          <w:rFonts w:hint="eastAsia" w:ascii="宋体" w:hAnsi="宋体" w:eastAsia="宋体" w:cs="宋体"/>
          <w:color w:val="auto"/>
          <w:highlight w:val="none"/>
        </w:rPr>
      </w:pPr>
    </w:p>
    <w:p w14:paraId="46B98312">
      <w:pPr>
        <w:pStyle w:val="24"/>
        <w:snapToGrid w:val="0"/>
        <w:spacing w:before="120" w:after="120"/>
        <w:rPr>
          <w:rFonts w:hint="eastAsia" w:ascii="宋体" w:hAnsi="宋体" w:eastAsia="宋体" w:cs="宋体"/>
          <w:color w:val="auto"/>
          <w:highlight w:val="none"/>
        </w:rPr>
      </w:pPr>
    </w:p>
    <w:p w14:paraId="6CC74A7B">
      <w:pPr>
        <w:pStyle w:val="24"/>
        <w:snapToGrid w:val="0"/>
        <w:spacing w:before="120" w:after="120"/>
        <w:rPr>
          <w:rFonts w:hint="eastAsia" w:ascii="宋体" w:hAnsi="宋体" w:eastAsia="宋体" w:cs="宋体"/>
          <w:color w:val="auto"/>
          <w:highlight w:val="none"/>
        </w:rPr>
      </w:pPr>
    </w:p>
    <w:p w14:paraId="1BBE85EE">
      <w:pPr>
        <w:pStyle w:val="24"/>
        <w:snapToGrid w:val="0"/>
        <w:spacing w:before="120" w:after="120"/>
        <w:rPr>
          <w:rFonts w:hint="eastAsia" w:ascii="宋体" w:hAnsi="宋体" w:eastAsia="宋体" w:cs="宋体"/>
          <w:color w:val="auto"/>
          <w:highlight w:val="none"/>
        </w:rPr>
      </w:pPr>
    </w:p>
    <w:p w14:paraId="4C93CD90">
      <w:pPr>
        <w:pStyle w:val="24"/>
        <w:snapToGrid w:val="0"/>
        <w:spacing w:before="120" w:after="120"/>
        <w:rPr>
          <w:rFonts w:hint="eastAsia" w:ascii="宋体" w:hAnsi="宋体" w:eastAsia="宋体" w:cs="宋体"/>
          <w:color w:val="auto"/>
          <w:highlight w:val="none"/>
        </w:rPr>
      </w:pPr>
    </w:p>
    <w:p w14:paraId="584E0F24">
      <w:pPr>
        <w:pStyle w:val="24"/>
        <w:snapToGrid w:val="0"/>
        <w:spacing w:before="120" w:after="120"/>
        <w:rPr>
          <w:rFonts w:hint="eastAsia" w:ascii="宋体" w:hAnsi="宋体" w:eastAsia="宋体" w:cs="宋体"/>
          <w:color w:val="auto"/>
          <w:highlight w:val="none"/>
        </w:rPr>
      </w:pPr>
    </w:p>
    <w:p w14:paraId="26B4C7F3">
      <w:pPr>
        <w:pStyle w:val="3"/>
        <w:jc w:val="center"/>
        <w:rPr>
          <w:rFonts w:hint="eastAsia" w:ascii="宋体" w:hAnsi="宋体" w:eastAsia="宋体" w:cs="宋体"/>
          <w:color w:val="auto"/>
          <w:highlight w:val="none"/>
        </w:rPr>
      </w:pPr>
      <w:bookmarkStart w:id="145" w:name="_Toc330456896"/>
      <w:bookmarkStart w:id="146" w:name="_Toc254970548"/>
      <w:bookmarkStart w:id="147" w:name="_Toc74320803"/>
      <w:bookmarkStart w:id="148" w:name="_Toc254970689"/>
      <w:r>
        <w:rPr>
          <w:rFonts w:hint="eastAsia" w:ascii="宋体" w:hAnsi="宋体" w:eastAsia="宋体" w:cs="宋体"/>
          <w:color w:val="auto"/>
          <w:highlight w:val="none"/>
        </w:rPr>
        <w:t>第四章</w:t>
      </w:r>
      <w:r>
        <w:rPr>
          <w:rFonts w:hint="eastAsia" w:ascii="宋体" w:hAnsi="宋体" w:eastAsia="宋体" w:cs="宋体"/>
          <w:color w:val="auto"/>
          <w:highlight w:val="none"/>
          <w:lang w:val="en-US" w:eastAsia="zh-CN"/>
        </w:rPr>
        <w:t xml:space="preserve"> </w:t>
      </w:r>
      <w:r>
        <w:rPr>
          <w:rFonts w:hint="eastAsia" w:ascii="宋体" w:hAnsi="宋体" w:eastAsia="宋体" w:cs="宋体"/>
          <w:color w:val="auto"/>
          <w:highlight w:val="none"/>
        </w:rPr>
        <w:t>评标方法及评标标准</w:t>
      </w:r>
      <w:bookmarkEnd w:id="145"/>
      <w:bookmarkEnd w:id="146"/>
      <w:bookmarkEnd w:id="147"/>
      <w:bookmarkEnd w:id="148"/>
    </w:p>
    <w:p w14:paraId="31781AA4">
      <w:pPr>
        <w:pStyle w:val="24"/>
        <w:spacing w:line="360" w:lineRule="exact"/>
        <w:rPr>
          <w:rFonts w:hint="eastAsia" w:ascii="宋体" w:hAnsi="宋体" w:eastAsia="宋体" w:cs="宋体"/>
          <w:b/>
          <w:color w:val="auto"/>
          <w:sz w:val="24"/>
          <w:highlight w:val="none"/>
        </w:rPr>
      </w:pPr>
    </w:p>
    <w:p w14:paraId="41BD4AFE">
      <w:pPr>
        <w:pStyle w:val="5"/>
        <w:keepNext w:val="0"/>
        <w:keepLines w:val="0"/>
        <w:jc w:val="center"/>
        <w:rPr>
          <w:rFonts w:hint="eastAsia" w:ascii="宋体" w:hAnsi="宋体" w:eastAsia="宋体" w:cs="宋体"/>
          <w:color w:val="auto"/>
          <w:sz w:val="30"/>
          <w:szCs w:val="30"/>
          <w:highlight w:val="none"/>
        </w:rPr>
      </w:pPr>
      <w:r>
        <w:rPr>
          <w:rFonts w:hint="eastAsia" w:ascii="宋体" w:hAnsi="宋体" w:eastAsia="宋体" w:cs="宋体"/>
          <w:color w:val="auto"/>
          <w:sz w:val="30"/>
          <w:szCs w:val="30"/>
          <w:highlight w:val="none"/>
        </w:rPr>
        <w:br w:type="page"/>
      </w:r>
      <w:r>
        <w:rPr>
          <w:rFonts w:hint="eastAsia" w:ascii="宋体" w:hAnsi="宋体" w:eastAsia="宋体" w:cs="宋体"/>
          <w:color w:val="auto"/>
          <w:sz w:val="30"/>
          <w:szCs w:val="30"/>
          <w:highlight w:val="none"/>
        </w:rPr>
        <w:t>一、评标方法</w:t>
      </w:r>
    </w:p>
    <w:p w14:paraId="4F31366A">
      <w:pPr>
        <w:pStyle w:val="24"/>
        <w:spacing w:line="360" w:lineRule="auto"/>
        <w:ind w:firstLine="420"/>
        <w:rPr>
          <w:rFonts w:hint="eastAsia" w:ascii="宋体" w:hAnsi="宋体" w:eastAsia="宋体" w:cs="宋体"/>
          <w:color w:val="auto"/>
          <w:sz w:val="21"/>
          <w:highlight w:val="none"/>
        </w:rPr>
      </w:pPr>
      <w:r>
        <w:rPr>
          <w:rFonts w:hint="eastAsia" w:ascii="宋体" w:hAnsi="宋体" w:eastAsia="宋体" w:cs="宋体"/>
          <w:color w:val="auto"/>
          <w:sz w:val="21"/>
          <w:highlight w:val="none"/>
        </w:rPr>
        <w:t>综合评分法，是指投标文件满足招标文件全部实质性要求，且按照评审因素的量化指标评审得分最高的投标人为中标候选人的评标方法。</w:t>
      </w:r>
    </w:p>
    <w:p w14:paraId="67AB86BA">
      <w:pPr>
        <w:pStyle w:val="5"/>
        <w:keepNext w:val="0"/>
        <w:keepLines w:val="0"/>
        <w:jc w:val="center"/>
        <w:rPr>
          <w:rFonts w:hint="eastAsia" w:ascii="宋体" w:hAnsi="宋体" w:eastAsia="宋体" w:cs="宋体"/>
          <w:color w:val="auto"/>
          <w:sz w:val="30"/>
          <w:szCs w:val="30"/>
          <w:highlight w:val="none"/>
        </w:rPr>
      </w:pPr>
      <w:r>
        <w:rPr>
          <w:rFonts w:hint="eastAsia" w:ascii="宋体" w:hAnsi="宋体" w:eastAsia="宋体" w:cs="宋体"/>
          <w:color w:val="auto"/>
          <w:sz w:val="30"/>
          <w:szCs w:val="30"/>
          <w:highlight w:val="none"/>
        </w:rPr>
        <w:t>二、评标程序</w:t>
      </w:r>
    </w:p>
    <w:p w14:paraId="0FE025A5">
      <w:pPr>
        <w:pStyle w:val="7"/>
        <w:keepNext w:val="0"/>
        <w:keepLines w:val="0"/>
        <w:spacing w:before="0" w:after="0" w:line="360" w:lineRule="auto"/>
        <w:ind w:left="420" w:left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1.符合性审查</w:t>
      </w:r>
    </w:p>
    <w:p w14:paraId="3744BB34">
      <w:pPr>
        <w:pStyle w:val="24"/>
        <w:snapToGrid w:val="0"/>
        <w:spacing w:line="360" w:lineRule="auto"/>
        <w:ind w:left="1" w:firstLine="420"/>
        <w:rPr>
          <w:rFonts w:hint="eastAsia" w:ascii="宋体" w:hAnsi="宋体" w:eastAsia="宋体" w:cs="宋体"/>
          <w:b/>
          <w:color w:val="auto"/>
          <w:kern w:val="2"/>
          <w:sz w:val="21"/>
          <w:highlight w:val="none"/>
        </w:rPr>
      </w:pPr>
      <w:r>
        <w:rPr>
          <w:rFonts w:hint="eastAsia" w:ascii="宋体" w:hAnsi="宋体" w:eastAsia="宋体" w:cs="宋体"/>
          <w:b/>
          <w:color w:val="auto"/>
          <w:kern w:val="2"/>
          <w:sz w:val="21"/>
          <w:highlight w:val="none"/>
        </w:rPr>
        <w:t>评标委员会应当对符合资格的投标人的投标文件进行投标报价、商务、技术等实质性内容符合性审查，以确定其是否满足招标文件的实质性要求。</w:t>
      </w:r>
    </w:p>
    <w:p w14:paraId="7A28EBBB">
      <w:pPr>
        <w:pStyle w:val="7"/>
        <w:keepNext w:val="0"/>
        <w:keepLines w:val="0"/>
        <w:spacing w:before="0" w:after="0" w:line="360" w:lineRule="auto"/>
        <w:ind w:left="420" w:left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2.符合性审查不通过而导致投标无效的情形</w:t>
      </w:r>
    </w:p>
    <w:p w14:paraId="15640E5D">
      <w:pPr>
        <w:snapToGrid w:val="0"/>
        <w:spacing w:line="360" w:lineRule="auto"/>
        <w:ind w:firstLine="422" w:firstLineChars="200"/>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投标人的投标文件中存在对招标文件的任何实质性要求和条件的负偏离，将被视为投标无效。</w:t>
      </w:r>
    </w:p>
    <w:p w14:paraId="535BD42F">
      <w:pPr>
        <w:pStyle w:val="7"/>
        <w:keepNext w:val="0"/>
        <w:keepLines w:val="0"/>
        <w:spacing w:before="0" w:after="0" w:line="360" w:lineRule="auto"/>
        <w:ind w:left="420" w:left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2.1在报价评审时，如发现下列情形之一的，将被视为投标无效</w:t>
      </w:r>
      <w:r>
        <w:rPr>
          <w:rFonts w:hint="eastAsia" w:ascii="宋体" w:hAnsi="宋体" w:eastAsia="宋体" w:cs="宋体"/>
          <w:color w:val="auto"/>
          <w:sz w:val="21"/>
          <w:szCs w:val="21"/>
          <w:highlight w:val="none"/>
          <w:lang w:eastAsia="zh-CN"/>
        </w:rPr>
        <w:t>：</w:t>
      </w:r>
    </w:p>
    <w:p w14:paraId="21CE22CD">
      <w:pPr>
        <w:pStyle w:val="8"/>
        <w:numPr>
          <w:ilvl w:val="0"/>
          <w:numId w:val="3"/>
        </w:numPr>
        <w:spacing w:line="360" w:lineRule="auto"/>
        <w:ind w:firstLine="422"/>
        <w:rPr>
          <w:rFonts w:hint="eastAsia" w:ascii="宋体" w:hAnsi="宋体" w:eastAsia="宋体" w:cs="宋体"/>
          <w:b/>
          <w:color w:val="auto"/>
          <w:szCs w:val="21"/>
          <w:highlight w:val="none"/>
        </w:rPr>
      </w:pPr>
      <w:r>
        <w:rPr>
          <w:rFonts w:hint="eastAsia" w:ascii="宋体" w:hAnsi="宋体" w:eastAsia="宋体" w:cs="宋体"/>
          <w:b/>
          <w:color w:val="auto"/>
          <w:spacing w:val="-6"/>
          <w:szCs w:val="21"/>
          <w:highlight w:val="none"/>
        </w:rPr>
        <w:t>报价文件</w:t>
      </w:r>
      <w:r>
        <w:rPr>
          <w:rFonts w:hint="eastAsia" w:ascii="宋体" w:hAnsi="宋体" w:eastAsia="宋体" w:cs="宋体"/>
          <w:b/>
          <w:color w:val="auto"/>
          <w:szCs w:val="21"/>
          <w:highlight w:val="none"/>
        </w:rPr>
        <w:t>未提供“投标人须知前附表”第13.1条规定中“必须提供”的文件资料的；</w:t>
      </w:r>
    </w:p>
    <w:p w14:paraId="6361E645">
      <w:pPr>
        <w:pStyle w:val="8"/>
        <w:numPr>
          <w:ilvl w:val="0"/>
          <w:numId w:val="3"/>
        </w:numPr>
        <w:spacing w:line="360" w:lineRule="auto"/>
        <w:ind w:firstLine="422"/>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未采用人民币报价或者未按照招标文件标明的币种报价的；</w:t>
      </w:r>
    </w:p>
    <w:p w14:paraId="5AA40CF6">
      <w:pPr>
        <w:pStyle w:val="8"/>
        <w:numPr>
          <w:ilvl w:val="0"/>
          <w:numId w:val="3"/>
        </w:numPr>
        <w:spacing w:line="360" w:lineRule="auto"/>
        <w:ind w:firstLine="422"/>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各分标报价超出招标文件相应分标规定最高限价，或者超出相应分标采购预算金额的；</w:t>
      </w:r>
    </w:p>
    <w:p w14:paraId="0A1A7C0A">
      <w:pPr>
        <w:pStyle w:val="8"/>
        <w:numPr>
          <w:ilvl w:val="0"/>
          <w:numId w:val="3"/>
        </w:numPr>
        <w:spacing w:line="360" w:lineRule="auto"/>
        <w:ind w:firstLine="422"/>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投标人未就所投分标进行报价或者存在漏项报价；投标人未就所投分标的单项内容作唯一报价；投标人未就所投分标的全部内容作完整唯一总价报价；存在有选择、有条件报价的（招标文件允许有备选方案或者其他约定的除外）；</w:t>
      </w:r>
    </w:p>
    <w:p w14:paraId="2E8557D3">
      <w:pPr>
        <w:pStyle w:val="8"/>
        <w:numPr>
          <w:ilvl w:val="0"/>
          <w:numId w:val="3"/>
        </w:numPr>
        <w:spacing w:line="360" w:lineRule="auto"/>
        <w:ind w:firstLine="422"/>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修正后的报价，投标人不确认的；</w:t>
      </w:r>
    </w:p>
    <w:p w14:paraId="1662CD12">
      <w:pPr>
        <w:pStyle w:val="8"/>
        <w:numPr>
          <w:ilvl w:val="0"/>
          <w:numId w:val="3"/>
        </w:numPr>
        <w:spacing w:line="360" w:lineRule="auto"/>
        <w:ind w:firstLine="422"/>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投标人属于本章第5.1条（2）或者第5.2条（2）项情形的；</w:t>
      </w:r>
    </w:p>
    <w:p w14:paraId="0811ED5C">
      <w:pPr>
        <w:pStyle w:val="8"/>
        <w:numPr>
          <w:ilvl w:val="0"/>
          <w:numId w:val="3"/>
        </w:numPr>
        <w:spacing w:line="360" w:lineRule="auto"/>
        <w:ind w:firstLine="422"/>
        <w:rPr>
          <w:rFonts w:hint="eastAsia" w:ascii="宋体" w:hAnsi="宋体" w:eastAsia="宋体" w:cs="宋体"/>
          <w:b/>
          <w:color w:val="auto"/>
          <w:szCs w:val="21"/>
          <w:highlight w:val="none"/>
        </w:rPr>
      </w:pPr>
      <w:r>
        <w:rPr>
          <w:rFonts w:hint="eastAsia" w:ascii="宋体" w:hAnsi="宋体" w:eastAsia="宋体" w:cs="宋体"/>
          <w:b/>
          <w:color w:val="auto"/>
          <w:spacing w:val="-6"/>
          <w:szCs w:val="21"/>
          <w:highlight w:val="none"/>
        </w:rPr>
        <w:t>报价文件</w:t>
      </w:r>
      <w:r>
        <w:rPr>
          <w:rFonts w:hint="eastAsia" w:ascii="宋体" w:hAnsi="宋体" w:eastAsia="宋体" w:cs="宋体"/>
          <w:b/>
          <w:color w:val="auto"/>
          <w:szCs w:val="21"/>
          <w:highlight w:val="none"/>
        </w:rPr>
        <w:t>响应的标的数量及单位与招标文件要求实质性不一致的。</w:t>
      </w:r>
    </w:p>
    <w:p w14:paraId="4AE36970">
      <w:pPr>
        <w:pStyle w:val="7"/>
        <w:keepNext w:val="0"/>
        <w:keepLines w:val="0"/>
        <w:spacing w:before="0" w:after="0" w:line="360" w:lineRule="auto"/>
        <w:ind w:left="420" w:left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2.2在商务评审时，如发现下列情形之一的，将被视为投标无效</w:t>
      </w:r>
      <w:r>
        <w:rPr>
          <w:rFonts w:hint="eastAsia" w:ascii="宋体" w:hAnsi="宋体" w:eastAsia="宋体" w:cs="宋体"/>
          <w:color w:val="auto"/>
          <w:sz w:val="21"/>
          <w:szCs w:val="21"/>
          <w:highlight w:val="none"/>
          <w:lang w:eastAsia="zh-CN"/>
        </w:rPr>
        <w:t>：</w:t>
      </w:r>
    </w:p>
    <w:p w14:paraId="176DD785">
      <w:pPr>
        <w:numPr>
          <w:ilvl w:val="0"/>
          <w:numId w:val="4"/>
        </w:numPr>
        <w:snapToGrid w:val="0"/>
        <w:spacing w:line="360" w:lineRule="auto"/>
        <w:ind w:firstLine="422" w:firstLineChars="200"/>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投标文件未按招标文件要求签署、盖章的；</w:t>
      </w:r>
    </w:p>
    <w:p w14:paraId="56DD144F">
      <w:pPr>
        <w:numPr>
          <w:ilvl w:val="0"/>
          <w:numId w:val="4"/>
        </w:numPr>
        <w:snapToGrid w:val="0"/>
        <w:spacing w:line="360" w:lineRule="auto"/>
        <w:ind w:firstLine="422" w:firstLineChars="200"/>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委托代理人未能出具有效身份证或者出具的身份证与授权委托书中的信息不符的；</w:t>
      </w:r>
    </w:p>
    <w:p w14:paraId="2D5A9F8F">
      <w:pPr>
        <w:numPr>
          <w:ilvl w:val="0"/>
          <w:numId w:val="4"/>
        </w:numPr>
        <w:snapToGrid w:val="0"/>
        <w:spacing w:line="360" w:lineRule="auto"/>
        <w:ind w:firstLine="422" w:firstLineChars="200"/>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为无效投标保证金的或者未按照招标文件的规定提交投标保证金的；</w:t>
      </w:r>
    </w:p>
    <w:p w14:paraId="6EC0D8A5">
      <w:pPr>
        <w:numPr>
          <w:ilvl w:val="0"/>
          <w:numId w:val="4"/>
        </w:numPr>
        <w:snapToGrid w:val="0"/>
        <w:spacing w:line="360" w:lineRule="auto"/>
        <w:ind w:firstLine="422" w:firstLineChars="200"/>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投标文件未提供“投标人须知前附表”第13.1条规定中“必须提供”或者“委托时必须提供”的文件资料的；</w:t>
      </w:r>
    </w:p>
    <w:p w14:paraId="59602284">
      <w:pPr>
        <w:numPr>
          <w:ilvl w:val="0"/>
          <w:numId w:val="4"/>
        </w:numPr>
        <w:snapToGrid w:val="0"/>
        <w:spacing w:line="360" w:lineRule="auto"/>
        <w:ind w:firstLine="422" w:firstLineChars="200"/>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商务要求评审允许负偏离的条款数超过“投标人须知前附表”规定项数的；</w:t>
      </w:r>
    </w:p>
    <w:p w14:paraId="7C4D73A9">
      <w:pPr>
        <w:numPr>
          <w:ilvl w:val="0"/>
          <w:numId w:val="4"/>
        </w:numPr>
        <w:snapToGrid w:val="0"/>
        <w:spacing w:line="360" w:lineRule="auto"/>
        <w:ind w:firstLine="422" w:firstLineChars="200"/>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投标文件的实质性内容未使用中文表述、使用计量单位不符合招标文件要求的；</w:t>
      </w:r>
    </w:p>
    <w:p w14:paraId="41D0CB9C">
      <w:pPr>
        <w:numPr>
          <w:ilvl w:val="0"/>
          <w:numId w:val="4"/>
        </w:numPr>
        <w:snapToGrid w:val="0"/>
        <w:spacing w:line="360" w:lineRule="auto"/>
        <w:ind w:firstLine="422" w:firstLineChars="200"/>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投标文件中的文件资料因填写不齐全或者内容虚假或者出现其他情形而导致被评标委员会认定无效的；</w:t>
      </w:r>
    </w:p>
    <w:p w14:paraId="5C8BC1A5">
      <w:pPr>
        <w:numPr>
          <w:ilvl w:val="0"/>
          <w:numId w:val="4"/>
        </w:numPr>
        <w:snapToGrid w:val="0"/>
        <w:spacing w:line="360" w:lineRule="auto"/>
        <w:ind w:firstLine="422" w:firstLineChars="200"/>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投标文件含有采购人不能接受的附加条件的；</w:t>
      </w:r>
    </w:p>
    <w:p w14:paraId="6C67738B">
      <w:pPr>
        <w:numPr>
          <w:ilvl w:val="0"/>
          <w:numId w:val="4"/>
        </w:numPr>
        <w:snapToGrid w:val="0"/>
        <w:spacing w:line="360" w:lineRule="auto"/>
        <w:ind w:firstLine="422" w:firstLineChars="200"/>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属于投标人须知正文第9.2条情形的；</w:t>
      </w:r>
    </w:p>
    <w:p w14:paraId="5C5B4CEA">
      <w:pPr>
        <w:numPr>
          <w:ilvl w:val="0"/>
          <w:numId w:val="4"/>
        </w:numPr>
        <w:snapToGrid w:val="0"/>
        <w:spacing w:line="360" w:lineRule="auto"/>
        <w:ind w:firstLine="422" w:firstLineChars="200"/>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投标文件标注的项目名称或者项目编号与招标文件标注的项目名称或者项目编号不一致的；</w:t>
      </w:r>
    </w:p>
    <w:p w14:paraId="372DAB07">
      <w:pPr>
        <w:numPr>
          <w:ilvl w:val="0"/>
          <w:numId w:val="4"/>
        </w:numPr>
        <w:snapToGrid w:val="0"/>
        <w:spacing w:line="360" w:lineRule="auto"/>
        <w:ind w:firstLine="422" w:firstLineChars="200"/>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招标文件明确不允许分包，投标文件拟分包的；</w:t>
      </w:r>
    </w:p>
    <w:p w14:paraId="252C6F3A">
      <w:pPr>
        <w:numPr>
          <w:ilvl w:val="0"/>
          <w:numId w:val="4"/>
        </w:numPr>
        <w:snapToGrid w:val="0"/>
        <w:spacing w:line="360" w:lineRule="auto"/>
        <w:ind w:firstLine="422" w:firstLineChars="200"/>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未响应招标文件实质性要求的；</w:t>
      </w:r>
    </w:p>
    <w:p w14:paraId="0408112E">
      <w:pPr>
        <w:numPr>
          <w:ilvl w:val="0"/>
          <w:numId w:val="4"/>
        </w:numPr>
        <w:snapToGrid w:val="0"/>
        <w:spacing w:line="360" w:lineRule="auto"/>
        <w:ind w:firstLine="422" w:firstLineChars="200"/>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法律、法规和招标文件规定的其他无效情形。</w:t>
      </w:r>
    </w:p>
    <w:p w14:paraId="7897D3DA">
      <w:pPr>
        <w:pStyle w:val="7"/>
        <w:keepNext w:val="0"/>
        <w:keepLines w:val="0"/>
        <w:spacing w:before="0" w:after="0" w:line="360" w:lineRule="auto"/>
        <w:ind w:left="420" w:left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2.3在技术评审时，如发现下列情形之一的，将被视为投标无效</w:t>
      </w:r>
      <w:r>
        <w:rPr>
          <w:rFonts w:hint="eastAsia" w:ascii="宋体" w:hAnsi="宋体" w:eastAsia="宋体" w:cs="宋体"/>
          <w:color w:val="auto"/>
          <w:sz w:val="21"/>
          <w:szCs w:val="21"/>
          <w:highlight w:val="none"/>
          <w:lang w:eastAsia="zh-CN"/>
        </w:rPr>
        <w:t>：</w:t>
      </w:r>
    </w:p>
    <w:p w14:paraId="7BE0DF7D">
      <w:pPr>
        <w:pStyle w:val="19"/>
        <w:snapToGrid w:val="0"/>
        <w:spacing w:line="360" w:lineRule="auto"/>
        <w:ind w:firstLine="413" w:firstLineChars="196"/>
        <w:rPr>
          <w:rFonts w:hint="eastAsia" w:ascii="宋体" w:hAnsi="宋体" w:eastAsia="宋体" w:cs="宋体"/>
          <w:b/>
          <w:color w:val="auto"/>
          <w:kern w:val="2"/>
          <w:sz w:val="21"/>
          <w:szCs w:val="21"/>
          <w:highlight w:val="none"/>
        </w:rPr>
      </w:pPr>
      <w:r>
        <w:rPr>
          <w:rFonts w:hint="eastAsia" w:ascii="宋体" w:hAnsi="宋体" w:eastAsia="宋体" w:cs="宋体"/>
          <w:b/>
          <w:color w:val="auto"/>
          <w:kern w:val="2"/>
          <w:sz w:val="21"/>
          <w:szCs w:val="21"/>
          <w:highlight w:val="none"/>
        </w:rPr>
        <w:t>（1）技术要求评审允许负偏离的条款数超过“投标人须知前附表”规定项数的；</w:t>
      </w:r>
    </w:p>
    <w:p w14:paraId="2F7B848D">
      <w:pPr>
        <w:pStyle w:val="19"/>
        <w:snapToGrid w:val="0"/>
        <w:spacing w:line="360" w:lineRule="auto"/>
        <w:ind w:firstLine="413" w:firstLineChars="196"/>
        <w:rPr>
          <w:rFonts w:hint="eastAsia" w:ascii="宋体" w:hAnsi="宋体" w:eastAsia="宋体" w:cs="宋体"/>
          <w:b/>
          <w:color w:val="auto"/>
          <w:kern w:val="2"/>
          <w:sz w:val="21"/>
          <w:szCs w:val="21"/>
          <w:highlight w:val="none"/>
        </w:rPr>
      </w:pPr>
      <w:r>
        <w:rPr>
          <w:rFonts w:hint="eastAsia" w:ascii="宋体" w:hAnsi="宋体" w:eastAsia="宋体" w:cs="宋体"/>
          <w:b/>
          <w:color w:val="auto"/>
          <w:kern w:val="2"/>
          <w:sz w:val="21"/>
          <w:szCs w:val="21"/>
          <w:highlight w:val="none"/>
        </w:rPr>
        <w:t>（2）投标文件未提供“投标人须知前附表”第13.1条规定中“必须提供”的文件资料的；</w:t>
      </w:r>
    </w:p>
    <w:p w14:paraId="10CE7488">
      <w:pPr>
        <w:pStyle w:val="19"/>
        <w:snapToGrid w:val="0"/>
        <w:spacing w:line="360" w:lineRule="auto"/>
        <w:ind w:firstLine="413" w:firstLineChars="196"/>
        <w:rPr>
          <w:rFonts w:hint="eastAsia" w:ascii="宋体" w:hAnsi="宋体" w:eastAsia="宋体" w:cs="宋体"/>
          <w:b/>
          <w:color w:val="auto"/>
          <w:kern w:val="2"/>
          <w:sz w:val="21"/>
          <w:szCs w:val="21"/>
          <w:highlight w:val="none"/>
        </w:rPr>
      </w:pPr>
      <w:r>
        <w:rPr>
          <w:rFonts w:hint="eastAsia" w:ascii="宋体" w:hAnsi="宋体" w:eastAsia="宋体" w:cs="宋体"/>
          <w:b/>
          <w:color w:val="auto"/>
          <w:kern w:val="2"/>
          <w:sz w:val="21"/>
          <w:szCs w:val="21"/>
          <w:highlight w:val="none"/>
        </w:rPr>
        <w:t>（3）虚假投标，或者出现其他情形而导致被评标委员会认定无效的；</w:t>
      </w:r>
    </w:p>
    <w:p w14:paraId="650A9DC8">
      <w:pPr>
        <w:pStyle w:val="19"/>
        <w:snapToGrid w:val="0"/>
        <w:spacing w:line="360" w:lineRule="auto"/>
        <w:ind w:firstLine="413" w:firstLineChars="196"/>
        <w:rPr>
          <w:rFonts w:hint="eastAsia" w:ascii="宋体" w:hAnsi="宋体" w:eastAsia="宋体" w:cs="宋体"/>
          <w:b/>
          <w:color w:val="auto"/>
          <w:kern w:val="2"/>
          <w:sz w:val="21"/>
          <w:szCs w:val="21"/>
          <w:highlight w:val="none"/>
        </w:rPr>
      </w:pPr>
      <w:r>
        <w:rPr>
          <w:rFonts w:hint="eastAsia" w:ascii="宋体" w:hAnsi="宋体" w:eastAsia="宋体" w:cs="宋体"/>
          <w:b/>
          <w:color w:val="auto"/>
          <w:kern w:val="2"/>
          <w:sz w:val="21"/>
          <w:szCs w:val="21"/>
          <w:highlight w:val="none"/>
        </w:rPr>
        <w:t>（4）</w:t>
      </w:r>
      <w:bookmarkStart w:id="149" w:name="_Hlk71706244"/>
      <w:r>
        <w:rPr>
          <w:rFonts w:hint="eastAsia" w:ascii="宋体" w:hAnsi="宋体" w:eastAsia="宋体" w:cs="宋体"/>
          <w:b/>
          <w:color w:val="auto"/>
          <w:kern w:val="2"/>
          <w:sz w:val="21"/>
          <w:szCs w:val="21"/>
          <w:highlight w:val="none"/>
        </w:rPr>
        <w:t>招标文件未载明允许提供备选（替代）投标方案或明确不允许提供备选（替代）投标方案时，投标人提供了备选（替代）投标方案的；</w:t>
      </w:r>
      <w:bookmarkEnd w:id="149"/>
    </w:p>
    <w:p w14:paraId="7A901D35">
      <w:pPr>
        <w:pStyle w:val="19"/>
        <w:snapToGrid w:val="0"/>
        <w:spacing w:line="360" w:lineRule="auto"/>
        <w:ind w:firstLine="413" w:firstLineChars="196"/>
        <w:rPr>
          <w:rFonts w:hint="eastAsia" w:ascii="宋体" w:hAnsi="宋体" w:eastAsia="宋体" w:cs="宋体"/>
          <w:b/>
          <w:color w:val="auto"/>
          <w:kern w:val="2"/>
          <w:sz w:val="21"/>
          <w:szCs w:val="21"/>
          <w:highlight w:val="none"/>
        </w:rPr>
      </w:pPr>
      <w:r>
        <w:rPr>
          <w:rFonts w:hint="eastAsia" w:ascii="宋体" w:hAnsi="宋体" w:eastAsia="宋体" w:cs="宋体"/>
          <w:b/>
          <w:color w:val="auto"/>
          <w:kern w:val="2"/>
          <w:sz w:val="21"/>
          <w:szCs w:val="21"/>
          <w:highlight w:val="none"/>
        </w:rPr>
        <w:t>（5）未响应招标文件实质性要求的。</w:t>
      </w:r>
    </w:p>
    <w:p w14:paraId="26732B34">
      <w:pPr>
        <w:pStyle w:val="19"/>
        <w:snapToGrid w:val="0"/>
        <w:spacing w:line="360" w:lineRule="auto"/>
        <w:ind w:firstLine="413" w:firstLineChars="196"/>
        <w:rPr>
          <w:rFonts w:hint="eastAsia" w:ascii="宋体" w:hAnsi="宋体" w:eastAsia="宋体" w:cs="宋体"/>
          <w:b/>
          <w:color w:val="auto"/>
          <w:kern w:val="2"/>
          <w:sz w:val="21"/>
          <w:szCs w:val="21"/>
          <w:highlight w:val="none"/>
        </w:rPr>
      </w:pPr>
      <w:r>
        <w:rPr>
          <w:rFonts w:hint="eastAsia" w:ascii="宋体" w:hAnsi="宋体" w:eastAsia="宋体" w:cs="宋体"/>
          <w:b/>
          <w:color w:val="auto"/>
          <w:kern w:val="2"/>
          <w:sz w:val="21"/>
          <w:szCs w:val="21"/>
          <w:highlight w:val="none"/>
        </w:rPr>
        <w:t>2.4通过符合性审查的投标人不足3家，评标委员会不得继续评标，并出具评标报告。</w:t>
      </w:r>
    </w:p>
    <w:p w14:paraId="1D2971E8">
      <w:pPr>
        <w:pStyle w:val="7"/>
        <w:keepNext w:val="0"/>
        <w:keepLines w:val="0"/>
        <w:spacing w:before="0" w:after="0" w:line="360" w:lineRule="auto"/>
        <w:ind w:left="420" w:left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3.澄清补正</w:t>
      </w:r>
    </w:p>
    <w:p w14:paraId="4022D7EF">
      <w:pPr>
        <w:snapToGrid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对投标文件中含义不明确、同类问题表述不一致或者有明显文字和计算错误的内容，评标委员会以电子澄清函形式要求投标人在规定时间内作出必要的澄清、说明或者纠正。投标人的澄清、说明或者补正必须采用电子回函形式，并加盖投标人公章，或者由法定代表人或者其授权的代表人签字。投标人的澄清、说明或者补正不得超出投标文件的范围或者改变投标文件的实质性内容。</w:t>
      </w:r>
    </w:p>
    <w:p w14:paraId="55C59326">
      <w:pPr>
        <w:pStyle w:val="7"/>
        <w:keepNext w:val="0"/>
        <w:keepLines w:val="0"/>
        <w:spacing w:before="0" w:after="0" w:line="360" w:lineRule="auto"/>
        <w:ind w:left="420" w:left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4.投标文件修正</w:t>
      </w:r>
    </w:p>
    <w:p w14:paraId="27EB0926">
      <w:pPr>
        <w:pStyle w:val="7"/>
        <w:keepNext w:val="0"/>
        <w:keepLines w:val="0"/>
        <w:spacing w:before="0" w:after="0" w:line="360" w:lineRule="auto"/>
        <w:ind w:left="420" w:leftChars="200"/>
        <w:rPr>
          <w:rFonts w:hint="eastAsia" w:ascii="宋体" w:hAnsi="宋体" w:eastAsia="宋体" w:cs="宋体"/>
          <w:b w:val="0"/>
          <w:color w:val="auto"/>
          <w:sz w:val="21"/>
          <w:szCs w:val="21"/>
          <w:highlight w:val="none"/>
        </w:rPr>
      </w:pPr>
      <w:r>
        <w:rPr>
          <w:rFonts w:hint="eastAsia" w:ascii="宋体" w:hAnsi="宋体" w:eastAsia="宋体" w:cs="宋体"/>
          <w:b w:val="0"/>
          <w:color w:val="auto"/>
          <w:sz w:val="21"/>
          <w:szCs w:val="21"/>
          <w:highlight w:val="none"/>
        </w:rPr>
        <w:t>4.1投标文件报价出现前后不一致的，按照下列规定修正</w:t>
      </w:r>
      <w:r>
        <w:rPr>
          <w:rFonts w:hint="eastAsia" w:ascii="宋体" w:hAnsi="宋体" w:eastAsia="宋体" w:cs="宋体"/>
          <w:b w:val="0"/>
          <w:color w:val="auto"/>
          <w:sz w:val="21"/>
          <w:szCs w:val="21"/>
          <w:highlight w:val="none"/>
          <w:lang w:eastAsia="zh-CN"/>
        </w:rPr>
        <w:t>：</w:t>
      </w:r>
    </w:p>
    <w:p w14:paraId="43F9C5B7">
      <w:pPr>
        <w:pStyle w:val="24"/>
        <w:snapToGrid w:val="0"/>
        <w:spacing w:line="360" w:lineRule="auto"/>
        <w:ind w:firstLine="420" w:firstLineChars="200"/>
        <w:rPr>
          <w:rFonts w:hint="eastAsia" w:ascii="宋体" w:hAnsi="宋体" w:eastAsia="宋体" w:cs="宋体"/>
          <w:color w:val="auto"/>
          <w:sz w:val="21"/>
          <w:highlight w:val="none"/>
        </w:rPr>
      </w:pPr>
      <w:r>
        <w:rPr>
          <w:rFonts w:hint="eastAsia" w:ascii="宋体" w:hAnsi="宋体" w:eastAsia="宋体" w:cs="宋体"/>
          <w:color w:val="auto"/>
          <w:sz w:val="21"/>
          <w:highlight w:val="none"/>
        </w:rPr>
        <w:t>（1）投标文件中开标一览表（报价表）内容与投标文件中相应内容不一致的，以开标一览表（报价表）为准；</w:t>
      </w:r>
    </w:p>
    <w:p w14:paraId="3ECF94EE">
      <w:pPr>
        <w:pStyle w:val="24"/>
        <w:snapToGrid w:val="0"/>
        <w:spacing w:line="360" w:lineRule="auto"/>
        <w:ind w:firstLine="420" w:firstLineChars="200"/>
        <w:rPr>
          <w:rFonts w:hint="eastAsia" w:ascii="宋体" w:hAnsi="宋体" w:eastAsia="宋体" w:cs="宋体"/>
          <w:color w:val="auto"/>
          <w:sz w:val="21"/>
          <w:highlight w:val="none"/>
        </w:rPr>
      </w:pPr>
      <w:r>
        <w:rPr>
          <w:rFonts w:hint="eastAsia" w:ascii="宋体" w:hAnsi="宋体" w:eastAsia="宋体" w:cs="宋体"/>
          <w:color w:val="auto"/>
          <w:sz w:val="21"/>
          <w:highlight w:val="none"/>
        </w:rPr>
        <w:t>（2）大写金额和小写金额不一致的，以大写金额为准；</w:t>
      </w:r>
    </w:p>
    <w:p w14:paraId="391B713F">
      <w:pPr>
        <w:pStyle w:val="24"/>
        <w:snapToGrid w:val="0"/>
        <w:spacing w:line="360" w:lineRule="auto"/>
        <w:ind w:firstLine="420" w:firstLineChars="200"/>
        <w:rPr>
          <w:rFonts w:hint="eastAsia" w:ascii="宋体" w:hAnsi="宋体" w:eastAsia="宋体" w:cs="宋体"/>
          <w:color w:val="auto"/>
          <w:sz w:val="21"/>
          <w:highlight w:val="none"/>
        </w:rPr>
      </w:pPr>
      <w:r>
        <w:rPr>
          <w:rFonts w:hint="eastAsia" w:ascii="宋体" w:hAnsi="宋体" w:eastAsia="宋体" w:cs="宋体"/>
          <w:color w:val="auto"/>
          <w:sz w:val="21"/>
          <w:highlight w:val="none"/>
        </w:rPr>
        <w:t>（3）单价金额小数点或者百分比有明显错位的，以开标一览表的总价为准，并修改单价；</w:t>
      </w:r>
    </w:p>
    <w:p w14:paraId="07E5C55A">
      <w:pPr>
        <w:pStyle w:val="24"/>
        <w:snapToGrid w:val="0"/>
        <w:spacing w:line="360" w:lineRule="auto"/>
        <w:ind w:firstLine="420" w:firstLineChars="200"/>
        <w:rPr>
          <w:rFonts w:hint="eastAsia" w:ascii="宋体" w:hAnsi="宋体" w:eastAsia="宋体" w:cs="宋体"/>
          <w:color w:val="auto"/>
          <w:sz w:val="21"/>
          <w:highlight w:val="none"/>
        </w:rPr>
      </w:pPr>
      <w:r>
        <w:rPr>
          <w:rFonts w:hint="eastAsia" w:ascii="宋体" w:hAnsi="宋体" w:eastAsia="宋体" w:cs="宋体"/>
          <w:color w:val="auto"/>
          <w:sz w:val="21"/>
          <w:highlight w:val="none"/>
        </w:rPr>
        <w:t>（4）总价金额与按单价汇总金额不一致的，以单价金额计算结果为准。</w:t>
      </w:r>
    </w:p>
    <w:p w14:paraId="34567506">
      <w:pPr>
        <w:pStyle w:val="24"/>
        <w:snapToGrid w:val="0"/>
        <w:spacing w:line="360" w:lineRule="auto"/>
        <w:ind w:firstLine="420" w:firstLineChars="200"/>
        <w:rPr>
          <w:rFonts w:hint="eastAsia" w:ascii="宋体" w:hAnsi="宋体" w:eastAsia="宋体" w:cs="宋体"/>
          <w:color w:val="auto"/>
          <w:sz w:val="21"/>
          <w:highlight w:val="none"/>
        </w:rPr>
      </w:pPr>
      <w:r>
        <w:rPr>
          <w:rFonts w:hint="eastAsia" w:ascii="宋体" w:hAnsi="宋体" w:eastAsia="宋体" w:cs="宋体"/>
          <w:color w:val="auto"/>
          <w:sz w:val="21"/>
          <w:highlight w:val="none"/>
        </w:rPr>
        <w:t>同时出现两种以上不一致的，按照以上（1）</w:t>
      </w:r>
      <w:r>
        <w:rPr>
          <w:rFonts w:hint="eastAsia" w:ascii="宋体" w:hAnsi="宋体" w:eastAsia="宋体" w:cs="宋体"/>
          <w:color w:val="auto"/>
          <w:sz w:val="21"/>
          <w:highlight w:val="none"/>
          <w:lang w:eastAsia="zh-CN"/>
        </w:rPr>
        <w:t>－</w:t>
      </w:r>
      <w:r>
        <w:rPr>
          <w:rFonts w:hint="eastAsia" w:ascii="宋体" w:hAnsi="宋体" w:eastAsia="宋体" w:cs="宋体"/>
          <w:color w:val="auto"/>
          <w:sz w:val="21"/>
          <w:highlight w:val="none"/>
        </w:rPr>
        <w:t>（4）规定的顺序修正。修正后的报价经投标人确认后产生约束力，投标人不确认的，</w:t>
      </w:r>
      <w:r>
        <w:rPr>
          <w:rFonts w:hint="eastAsia" w:ascii="宋体" w:hAnsi="宋体" w:eastAsia="宋体" w:cs="宋体"/>
          <w:b/>
          <w:color w:val="auto"/>
          <w:kern w:val="2"/>
          <w:sz w:val="21"/>
          <w:highlight w:val="none"/>
        </w:rPr>
        <w:t>其投标无效</w:t>
      </w:r>
      <w:r>
        <w:rPr>
          <w:rFonts w:hint="eastAsia" w:ascii="宋体" w:hAnsi="宋体" w:eastAsia="宋体" w:cs="宋体"/>
          <w:color w:val="auto"/>
          <w:sz w:val="21"/>
          <w:highlight w:val="none"/>
        </w:rPr>
        <w:t>。</w:t>
      </w:r>
    </w:p>
    <w:p w14:paraId="76E68A3E">
      <w:pPr>
        <w:pStyle w:val="7"/>
        <w:keepNext w:val="0"/>
        <w:keepLines w:val="0"/>
        <w:pageBreakBefore w:val="0"/>
        <w:widowControl w:val="0"/>
        <w:kinsoku/>
        <w:wordWrap/>
        <w:overflowPunct/>
        <w:topLinePunct w:val="0"/>
        <w:autoSpaceDE/>
        <w:autoSpaceDN/>
        <w:bidi w:val="0"/>
        <w:adjustRightInd/>
        <w:snapToGrid/>
        <w:spacing w:before="0" w:after="0" w:line="360" w:lineRule="auto"/>
        <w:ind w:firstLine="420" w:firstLineChars="200"/>
        <w:textAlignment w:val="auto"/>
        <w:rPr>
          <w:rFonts w:hint="eastAsia" w:ascii="宋体" w:hAnsi="宋体" w:eastAsia="宋体" w:cs="宋体"/>
          <w:b w:val="0"/>
          <w:color w:val="auto"/>
          <w:sz w:val="21"/>
          <w:szCs w:val="21"/>
          <w:highlight w:val="none"/>
        </w:rPr>
      </w:pPr>
      <w:r>
        <w:rPr>
          <w:rFonts w:hint="eastAsia" w:ascii="宋体" w:hAnsi="宋体" w:eastAsia="宋体" w:cs="宋体"/>
          <w:b w:val="0"/>
          <w:color w:val="auto"/>
          <w:sz w:val="21"/>
          <w:szCs w:val="21"/>
          <w:highlight w:val="none"/>
        </w:rPr>
        <w:t>4.2经投标人确认修正后的报价若超过采购预算金额或者最高限价，</w:t>
      </w:r>
      <w:r>
        <w:rPr>
          <w:rFonts w:hint="eastAsia" w:ascii="宋体" w:hAnsi="宋体" w:eastAsia="宋体" w:cs="宋体"/>
          <w:color w:val="auto"/>
          <w:sz w:val="21"/>
          <w:szCs w:val="21"/>
          <w:highlight w:val="none"/>
        </w:rPr>
        <w:t>投标人的投标文件作无效投标处理</w:t>
      </w:r>
      <w:r>
        <w:rPr>
          <w:rFonts w:hint="eastAsia" w:ascii="宋体" w:hAnsi="宋体" w:eastAsia="宋体" w:cs="宋体"/>
          <w:b w:val="0"/>
          <w:color w:val="auto"/>
          <w:sz w:val="21"/>
          <w:szCs w:val="21"/>
          <w:highlight w:val="none"/>
        </w:rPr>
        <w:t>。</w:t>
      </w:r>
    </w:p>
    <w:p w14:paraId="4DF802B6">
      <w:pPr>
        <w:snapToGrid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4.3经投标人确认修正后的报价作为签订合同的依据，并以此报价计算价格分。</w:t>
      </w:r>
    </w:p>
    <w:p w14:paraId="00683F9D">
      <w:pPr>
        <w:pStyle w:val="7"/>
        <w:keepNext w:val="0"/>
        <w:keepLines w:val="0"/>
        <w:spacing w:before="0" w:after="0" w:line="360" w:lineRule="auto"/>
        <w:ind w:left="420" w:left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5.比较与评价</w:t>
      </w:r>
    </w:p>
    <w:p w14:paraId="600127D6">
      <w:pPr>
        <w:snapToGrid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5.1采用综合评分法的</w:t>
      </w:r>
    </w:p>
    <w:p w14:paraId="7E826736">
      <w:pPr>
        <w:snapToGrid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（1）评标委员会按照招标文件中规定的评标方法及评标标准，对符合性审查合格的投标文件进行商务和技术评估，综合比较与评价。</w:t>
      </w:r>
    </w:p>
    <w:p w14:paraId="17795064">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根据《关于推动解决政府采购异常低价问题的通知》（财库〔2026〕2号）的规定，评审中出现下列情形之一的，评标委员会应当启动异常低价投标（响应）审查程序：</w:t>
      </w:r>
    </w:p>
    <w:p w14:paraId="2F5C5523">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fldChar w:fldCharType="begin"/>
      </w:r>
      <w:r>
        <w:rPr>
          <w:rFonts w:hint="eastAsia" w:ascii="宋体" w:hAnsi="宋体" w:eastAsia="宋体" w:cs="宋体"/>
          <w:color w:val="auto"/>
          <w:szCs w:val="21"/>
          <w:highlight w:val="none"/>
        </w:rPr>
        <w:instrText xml:space="preserve"> = 1 \* GB3 </w:instrText>
      </w:r>
      <w:r>
        <w:rPr>
          <w:rFonts w:hint="eastAsia" w:ascii="宋体" w:hAnsi="宋体" w:eastAsia="宋体" w:cs="宋体"/>
          <w:color w:val="auto"/>
          <w:szCs w:val="21"/>
          <w:highlight w:val="none"/>
        </w:rPr>
        <w:fldChar w:fldCharType="separate"/>
      </w:r>
      <w:r>
        <w:rPr>
          <w:rFonts w:hint="eastAsia" w:ascii="宋体" w:hAnsi="宋体" w:eastAsia="宋体" w:cs="宋体"/>
          <w:color w:val="auto"/>
          <w:szCs w:val="21"/>
          <w:highlight w:val="none"/>
        </w:rPr>
        <w:t>①</w:t>
      </w:r>
      <w:r>
        <w:rPr>
          <w:rFonts w:hint="eastAsia" w:ascii="宋体" w:hAnsi="宋体" w:eastAsia="宋体" w:cs="宋体"/>
          <w:color w:val="auto"/>
          <w:szCs w:val="21"/>
          <w:highlight w:val="none"/>
        </w:rPr>
        <w:fldChar w:fldCharType="end"/>
      </w:r>
      <w:r>
        <w:rPr>
          <w:rFonts w:hint="eastAsia" w:ascii="宋体" w:hAnsi="宋体" w:eastAsia="宋体" w:cs="宋体"/>
          <w:color w:val="auto"/>
          <w:szCs w:val="21"/>
          <w:highlight w:val="none"/>
        </w:rPr>
        <w:t xml:space="preserve"> 投标（响应）报价低于全部通过符合性审查供应商投标（响应）报价平均值65%的，</w:t>
      </w:r>
      <w:r>
        <w:rPr>
          <w:rFonts w:hint="eastAsia" w:ascii="宋体" w:hAnsi="宋体" w:eastAsia="宋体" w:cs="宋体"/>
          <w:b/>
          <w:color w:val="auto"/>
          <w:szCs w:val="21"/>
          <w:highlight w:val="none"/>
        </w:rPr>
        <w:t>即投标（响应）报价＜全部通过符合性审查供应商投标（响应）报价平均值×65%</w:t>
      </w:r>
      <w:r>
        <w:rPr>
          <w:rFonts w:hint="eastAsia" w:ascii="宋体" w:hAnsi="宋体" w:eastAsia="宋体" w:cs="宋体"/>
          <w:color w:val="auto"/>
          <w:szCs w:val="21"/>
          <w:highlight w:val="none"/>
        </w:rPr>
        <w:t>；</w:t>
      </w:r>
    </w:p>
    <w:p w14:paraId="037FE36E">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fldChar w:fldCharType="begin"/>
      </w:r>
      <w:r>
        <w:rPr>
          <w:rFonts w:hint="eastAsia" w:ascii="宋体" w:hAnsi="宋体" w:eastAsia="宋体" w:cs="宋体"/>
          <w:color w:val="auto"/>
          <w:szCs w:val="21"/>
          <w:highlight w:val="none"/>
        </w:rPr>
        <w:instrText xml:space="preserve"> = 2 \* GB3 </w:instrText>
      </w:r>
      <w:r>
        <w:rPr>
          <w:rFonts w:hint="eastAsia" w:ascii="宋体" w:hAnsi="宋体" w:eastAsia="宋体" w:cs="宋体"/>
          <w:color w:val="auto"/>
          <w:szCs w:val="21"/>
          <w:highlight w:val="none"/>
        </w:rPr>
        <w:fldChar w:fldCharType="separate"/>
      </w:r>
      <w:r>
        <w:rPr>
          <w:rFonts w:hint="eastAsia" w:ascii="宋体" w:hAnsi="宋体" w:eastAsia="宋体" w:cs="宋体"/>
          <w:color w:val="auto"/>
          <w:szCs w:val="21"/>
          <w:highlight w:val="none"/>
        </w:rPr>
        <w:t>②</w:t>
      </w:r>
      <w:r>
        <w:rPr>
          <w:rFonts w:hint="eastAsia" w:ascii="宋体" w:hAnsi="宋体" w:eastAsia="宋体" w:cs="宋体"/>
          <w:color w:val="auto"/>
          <w:szCs w:val="21"/>
          <w:highlight w:val="none"/>
        </w:rPr>
        <w:fldChar w:fldCharType="end"/>
      </w:r>
      <w:r>
        <w:rPr>
          <w:rFonts w:hint="eastAsia" w:ascii="宋体" w:hAnsi="宋体" w:eastAsia="宋体" w:cs="宋体"/>
          <w:color w:val="auto"/>
          <w:szCs w:val="21"/>
          <w:highlight w:val="none"/>
        </w:rPr>
        <w:t>投标（响应）报价低于通过符合性审查的次低报价供应商投标（响应）报价65%的，即投标</w:t>
      </w:r>
      <w:r>
        <w:rPr>
          <w:rFonts w:hint="eastAsia" w:ascii="宋体" w:hAnsi="宋体" w:eastAsia="宋体" w:cs="宋体"/>
          <w:b/>
          <w:color w:val="auto"/>
          <w:szCs w:val="21"/>
          <w:highlight w:val="none"/>
        </w:rPr>
        <w:t>（响应）报价＜通过符合性审查的次低报价供应商投标（响应）报价×65%</w:t>
      </w:r>
      <w:r>
        <w:rPr>
          <w:rFonts w:hint="eastAsia" w:ascii="宋体" w:hAnsi="宋体" w:eastAsia="宋体" w:cs="宋体"/>
          <w:color w:val="auto"/>
          <w:szCs w:val="21"/>
          <w:highlight w:val="none"/>
        </w:rPr>
        <w:t>；</w:t>
      </w:r>
    </w:p>
    <w:p w14:paraId="029ADFC3">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fldChar w:fldCharType="begin"/>
      </w:r>
      <w:r>
        <w:rPr>
          <w:rFonts w:hint="eastAsia" w:ascii="宋体" w:hAnsi="宋体" w:eastAsia="宋体" w:cs="宋体"/>
          <w:color w:val="auto"/>
          <w:szCs w:val="21"/>
          <w:highlight w:val="none"/>
        </w:rPr>
        <w:instrText xml:space="preserve"> = 3 \* GB3 </w:instrText>
      </w:r>
      <w:r>
        <w:rPr>
          <w:rFonts w:hint="eastAsia" w:ascii="宋体" w:hAnsi="宋体" w:eastAsia="宋体" w:cs="宋体"/>
          <w:color w:val="auto"/>
          <w:szCs w:val="21"/>
          <w:highlight w:val="none"/>
        </w:rPr>
        <w:fldChar w:fldCharType="separate"/>
      </w:r>
      <w:r>
        <w:rPr>
          <w:rFonts w:hint="eastAsia" w:ascii="宋体" w:hAnsi="宋体" w:eastAsia="宋体" w:cs="宋体"/>
          <w:color w:val="auto"/>
          <w:szCs w:val="21"/>
          <w:highlight w:val="none"/>
        </w:rPr>
        <w:t>③</w:t>
      </w:r>
      <w:r>
        <w:rPr>
          <w:rFonts w:hint="eastAsia" w:ascii="宋体" w:hAnsi="宋体" w:eastAsia="宋体" w:cs="宋体"/>
          <w:color w:val="auto"/>
          <w:szCs w:val="21"/>
          <w:highlight w:val="none"/>
        </w:rPr>
        <w:fldChar w:fldCharType="end"/>
      </w:r>
      <w:r>
        <w:rPr>
          <w:rFonts w:hint="eastAsia" w:ascii="宋体" w:hAnsi="宋体" w:eastAsia="宋体" w:cs="宋体"/>
          <w:color w:val="auto"/>
          <w:szCs w:val="21"/>
          <w:highlight w:val="none"/>
        </w:rPr>
        <w:t>投标（响应）报价低于采购项目最高限价65%的，</w:t>
      </w:r>
      <w:r>
        <w:rPr>
          <w:rFonts w:hint="eastAsia" w:ascii="宋体" w:hAnsi="宋体" w:eastAsia="宋体" w:cs="宋体"/>
          <w:b/>
          <w:color w:val="auto"/>
          <w:szCs w:val="21"/>
          <w:highlight w:val="none"/>
        </w:rPr>
        <w:t>即投标（响应）报价＜采购项目最高限价×65%</w:t>
      </w:r>
      <w:r>
        <w:rPr>
          <w:rFonts w:hint="eastAsia" w:ascii="宋体" w:hAnsi="宋体" w:eastAsia="宋体" w:cs="宋体"/>
          <w:color w:val="auto"/>
          <w:szCs w:val="21"/>
          <w:highlight w:val="none"/>
        </w:rPr>
        <w:t>；</w:t>
      </w:r>
    </w:p>
    <w:p w14:paraId="571E8CE2">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fldChar w:fldCharType="begin"/>
      </w:r>
      <w:r>
        <w:rPr>
          <w:rFonts w:hint="eastAsia" w:ascii="宋体" w:hAnsi="宋体" w:eastAsia="宋体" w:cs="宋体"/>
          <w:color w:val="auto"/>
          <w:szCs w:val="21"/>
          <w:highlight w:val="none"/>
        </w:rPr>
        <w:instrText xml:space="preserve"> = 4 \* GB3 </w:instrText>
      </w:r>
      <w:r>
        <w:rPr>
          <w:rFonts w:hint="eastAsia" w:ascii="宋体" w:hAnsi="宋体" w:eastAsia="宋体" w:cs="宋体"/>
          <w:color w:val="auto"/>
          <w:szCs w:val="21"/>
          <w:highlight w:val="none"/>
        </w:rPr>
        <w:fldChar w:fldCharType="separate"/>
      </w:r>
      <w:r>
        <w:rPr>
          <w:rFonts w:hint="eastAsia" w:ascii="宋体" w:hAnsi="宋体" w:eastAsia="宋体" w:cs="宋体"/>
          <w:color w:val="auto"/>
          <w:szCs w:val="21"/>
          <w:highlight w:val="none"/>
        </w:rPr>
        <w:t>④</w:t>
      </w:r>
      <w:r>
        <w:rPr>
          <w:rFonts w:hint="eastAsia" w:ascii="宋体" w:hAnsi="宋体" w:eastAsia="宋体" w:cs="宋体"/>
          <w:color w:val="auto"/>
          <w:szCs w:val="21"/>
          <w:highlight w:val="none"/>
        </w:rPr>
        <w:fldChar w:fldCharType="end"/>
      </w:r>
      <w:r>
        <w:rPr>
          <w:rFonts w:hint="eastAsia" w:ascii="宋体" w:hAnsi="宋体" w:eastAsia="宋体" w:cs="宋体"/>
          <w:color w:val="auto"/>
          <w:szCs w:val="21"/>
          <w:highlight w:val="none"/>
        </w:rPr>
        <w:t>评标委员会基于专业判断，认为供应商报价过低，有可能影响产品质量或者不能诚信履约的其他情形。</w:t>
      </w:r>
    </w:p>
    <w:p w14:paraId="6E128B56">
      <w:pPr>
        <w:spacing w:line="360" w:lineRule="auto"/>
        <w:ind w:firstLine="420" w:firstLineChars="200"/>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rPr>
        <w:t>评标委员会启动异常低价投标（响应）审查后，属于前述第1项至第4项情形的，应当要求相关供应商在评审现场</w:t>
      </w:r>
      <w:r>
        <w:rPr>
          <w:rFonts w:hint="eastAsia" w:ascii="宋体" w:hAnsi="宋体" w:eastAsia="宋体" w:cs="宋体"/>
          <w:b/>
          <w:color w:val="auto"/>
          <w:szCs w:val="21"/>
          <w:highlight w:val="none"/>
        </w:rPr>
        <w:t>30分钟</w:t>
      </w:r>
      <w:r>
        <w:rPr>
          <w:rFonts w:hint="eastAsia" w:ascii="宋体" w:hAnsi="宋体" w:eastAsia="宋体" w:cs="宋体"/>
          <w:color w:val="auto"/>
          <w:szCs w:val="21"/>
          <w:highlight w:val="none"/>
        </w:rPr>
        <w:t>内对投标（响应）价格作出解释，提供项目具体成本测算等与报价合理性相关的书面说明及必要的证明材料，包括但不限于原材料成本、人工成本、制造费用等。其中，属于第3项情形，供应商已随投标（响应）文件一并提交相关书面说明及必要的证明材料的，在评审现场可不再重复提交</w:t>
      </w:r>
      <w:r>
        <w:rPr>
          <w:rFonts w:hint="eastAsia" w:ascii="宋体" w:hAnsi="宋体" w:eastAsia="宋体" w:cs="宋体"/>
          <w:color w:val="auto"/>
          <w:szCs w:val="21"/>
          <w:highlight w:val="none"/>
          <w:lang w:eastAsia="zh-CN"/>
        </w:rPr>
        <w:t>。</w:t>
      </w:r>
    </w:p>
    <w:p w14:paraId="478A8783">
      <w:pPr>
        <w:snapToGrid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评标委员会依据专业经验，参考同类项目中标（成交）价格、类似产品市场价格水平、行业人工费用标准、国家有关部门指导行业协会发布的行业平均成本等情况，对报价合理性进行判断。</w:t>
      </w:r>
      <w:r>
        <w:rPr>
          <w:rFonts w:hint="eastAsia" w:ascii="宋体" w:hAnsi="宋体" w:eastAsia="宋体" w:cs="宋体"/>
          <w:b/>
          <w:color w:val="auto"/>
          <w:szCs w:val="21"/>
          <w:highlight w:val="none"/>
        </w:rPr>
        <w:t>供应商在规定时间内不能提供书面说明、证明材料，或者提供的书面说明、证明材料不能证明其报价合理性的，评标委员会应当将其作为无效投标处理。</w:t>
      </w:r>
    </w:p>
    <w:p w14:paraId="7F4B80AC">
      <w:pPr>
        <w:snapToGrid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（2）评标委员会独立对每个投标人的投标文件进行评价，并汇总每个投标人的得分。</w:t>
      </w:r>
    </w:p>
    <w:p w14:paraId="0A465D9B">
      <w:pPr>
        <w:snapToGrid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评标委员会认为投标人的报价明显低于其他通过符合性审查投标人的报价，有可能影响产品质量或者不能诚信履约的，应当要求其在评标现场合理的时间内提供书面说明，必要时提交相关证明材料；</w:t>
      </w:r>
      <w:r>
        <w:rPr>
          <w:rFonts w:hint="eastAsia" w:ascii="宋体" w:hAnsi="宋体" w:eastAsia="宋体" w:cs="宋体"/>
          <w:b/>
          <w:color w:val="auto"/>
          <w:szCs w:val="21"/>
          <w:highlight w:val="none"/>
        </w:rPr>
        <w:t>投标人不能证明其报价合理性的，评标委员会将其作为无效投标处理</w:t>
      </w:r>
      <w:r>
        <w:rPr>
          <w:rFonts w:hint="eastAsia" w:ascii="宋体" w:hAnsi="宋体" w:eastAsia="宋体" w:cs="宋体"/>
          <w:color w:val="auto"/>
          <w:szCs w:val="21"/>
          <w:highlight w:val="none"/>
        </w:rPr>
        <w:t>。</w:t>
      </w:r>
    </w:p>
    <w:p w14:paraId="0157538E">
      <w:pPr>
        <w:snapToGrid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（3）评标委员会按照招标文件中规定的评标方法和标准计算各投标人的报价得分。在计算过程中，不得去掉最高报价或者最低报价。</w:t>
      </w:r>
    </w:p>
    <w:p w14:paraId="25AB9865">
      <w:pPr>
        <w:snapToGrid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（4）各投标人的得分为所有评委的有效评分的算术平均数。</w:t>
      </w:r>
    </w:p>
    <w:p w14:paraId="5CBCD1E1">
      <w:pPr>
        <w:snapToGrid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（5）评标委员会按照招标文件中的规定推荐中标候选人。</w:t>
      </w:r>
    </w:p>
    <w:p w14:paraId="0DC7BD79">
      <w:pPr>
        <w:snapToGrid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6）起草并签署评标报告。评标委员会根据评标委员会成员签字的原始评标记录和评标结果编写评标报告。评标委员会成员均应当在评标报告上签字，对自己的评标意见承担法律责任。对评标过程中需要共同认定的事项存在争议的，应当按照少数服从多数的原则作出结论。持不同意见的评标委员会成员应当在评标报告上签署不同意见及理由，否则视为同意评标报告。</w:t>
      </w:r>
    </w:p>
    <w:p w14:paraId="2AA4D665">
      <w:pPr>
        <w:snapToGrid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5.2采用</w:t>
      </w:r>
      <w:r>
        <w:rPr>
          <w:rFonts w:hint="eastAsia" w:ascii="宋体" w:hAnsi="宋体" w:eastAsia="宋体" w:cs="宋体"/>
          <w:color w:val="auto"/>
          <w:highlight w:val="none"/>
        </w:rPr>
        <w:t>最低评标价法</w:t>
      </w:r>
      <w:r>
        <w:rPr>
          <w:rFonts w:hint="eastAsia" w:ascii="宋体" w:hAnsi="宋体" w:eastAsia="宋体" w:cs="宋体"/>
          <w:color w:val="auto"/>
          <w:szCs w:val="21"/>
          <w:highlight w:val="none"/>
        </w:rPr>
        <w:t>的</w:t>
      </w:r>
    </w:p>
    <w:p w14:paraId="196E30EA">
      <w:pPr>
        <w:snapToGrid w:val="0"/>
        <w:spacing w:line="360" w:lineRule="auto"/>
        <w:ind w:firstLine="424" w:firstLineChars="202"/>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（1）评标委员会按照招标文件中规定的评标方法及评标标准，对符合性审查合格的投标文件报价进行比较。</w:t>
      </w:r>
    </w:p>
    <w:p w14:paraId="12AA04A9">
      <w:pPr>
        <w:snapToGrid w:val="0"/>
        <w:spacing w:line="360" w:lineRule="auto"/>
        <w:ind w:firstLine="399" w:firstLineChars="202"/>
        <w:jc w:val="left"/>
        <w:rPr>
          <w:rFonts w:hint="eastAsia" w:ascii="宋体" w:hAnsi="宋体" w:eastAsia="宋体" w:cs="宋体"/>
          <w:color w:val="auto"/>
          <w:spacing w:val="-6"/>
          <w:szCs w:val="21"/>
          <w:highlight w:val="none"/>
        </w:rPr>
      </w:pPr>
      <w:r>
        <w:rPr>
          <w:rFonts w:hint="eastAsia" w:ascii="宋体" w:hAnsi="宋体" w:eastAsia="宋体" w:cs="宋体"/>
          <w:color w:val="auto"/>
          <w:spacing w:val="-6"/>
          <w:szCs w:val="21"/>
          <w:highlight w:val="none"/>
        </w:rPr>
        <w:t>（2）评标委员会认为投标人的报价明显低于其他通过符合性审查投标人的报价，有可能影响产品质量或者不能诚信履约的，应当要求其在评标现场合理的时间内提供书面说明，必要时提交相关证明材料；</w:t>
      </w:r>
      <w:r>
        <w:rPr>
          <w:rFonts w:hint="eastAsia" w:ascii="宋体" w:hAnsi="宋体" w:eastAsia="宋体" w:cs="宋体"/>
          <w:b/>
          <w:color w:val="auto"/>
          <w:spacing w:val="-6"/>
          <w:szCs w:val="21"/>
          <w:highlight w:val="none"/>
        </w:rPr>
        <w:t>投标人不能证明其报价合理性的，评标委员会将其作为无效投标处理</w:t>
      </w:r>
      <w:r>
        <w:rPr>
          <w:rFonts w:hint="eastAsia" w:ascii="宋体" w:hAnsi="宋体" w:eastAsia="宋体" w:cs="宋体"/>
          <w:color w:val="auto"/>
          <w:spacing w:val="-6"/>
          <w:szCs w:val="21"/>
          <w:highlight w:val="none"/>
        </w:rPr>
        <w:t>。</w:t>
      </w:r>
    </w:p>
    <w:p w14:paraId="4FC1075A">
      <w:pPr>
        <w:snapToGrid w:val="0"/>
        <w:spacing w:line="360" w:lineRule="auto"/>
        <w:ind w:firstLine="424" w:firstLineChars="202"/>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（3）评标委员会按照招标文件中的规定推荐中标候选人。</w:t>
      </w:r>
    </w:p>
    <w:p w14:paraId="3498E6C6">
      <w:pPr>
        <w:snapToGrid w:val="0"/>
        <w:spacing w:line="360" w:lineRule="auto"/>
        <w:ind w:firstLine="424" w:firstLineChars="202"/>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4）起草并签署评标报告。评标委员会根据评标委员会成员签字的原始评标记录和评标结果编写评标报告。评标委员会成员均应当在评标报告上签字，对自己的评标意见承担法律责任。对评标过程中需要共同认定的事项存在争议的，应当按照少数服从多数的原则作出结论。持不同意见的评标委员会成员应当在评标报告上签署不同意见及理由，否则视为同意评标报告。</w:t>
      </w:r>
    </w:p>
    <w:p w14:paraId="07522EC8">
      <w:pPr>
        <w:snapToGrid w:val="0"/>
        <w:spacing w:line="360" w:lineRule="auto"/>
        <w:jc w:val="center"/>
        <w:rPr>
          <w:rFonts w:hint="eastAsia" w:ascii="宋体" w:hAnsi="宋体" w:eastAsia="宋体" w:cs="宋体"/>
          <w:color w:val="auto"/>
          <w:highlight w:val="none"/>
        </w:rPr>
      </w:pPr>
      <w:r>
        <w:rPr>
          <w:rFonts w:hint="eastAsia" w:ascii="宋体" w:hAnsi="宋体" w:eastAsia="宋体" w:cs="宋体"/>
          <w:color w:val="auto"/>
          <w:highlight w:val="none"/>
        </w:rPr>
        <w:br w:type="page"/>
      </w:r>
      <w:r>
        <w:rPr>
          <w:rFonts w:hint="eastAsia" w:ascii="宋体" w:hAnsi="宋体" w:eastAsia="宋体" w:cs="宋体"/>
          <w:b/>
          <w:bCs/>
          <w:color w:val="auto"/>
          <w:sz w:val="32"/>
          <w:szCs w:val="32"/>
          <w:highlight w:val="none"/>
        </w:rPr>
        <w:t>三、评标标准</w:t>
      </w:r>
    </w:p>
    <w:p w14:paraId="41ADC3F1">
      <w:pPr>
        <w:pStyle w:val="5"/>
        <w:keepNext w:val="0"/>
        <w:keepLines w:val="0"/>
        <w:jc w:val="center"/>
        <w:rPr>
          <w:rFonts w:hint="eastAsia" w:ascii="宋体" w:hAnsi="宋体" w:eastAsia="宋体" w:cs="宋体"/>
          <w:color w:val="auto"/>
          <w:highlight w:val="none"/>
        </w:rPr>
      </w:pPr>
      <w:r>
        <w:rPr>
          <w:rFonts w:hint="eastAsia" w:ascii="宋体" w:hAnsi="宋体" w:eastAsia="宋体" w:cs="宋体"/>
          <w:color w:val="auto"/>
          <w:highlight w:val="none"/>
        </w:rPr>
        <w:t>综合评分法</w:t>
      </w:r>
    </w:p>
    <w:p w14:paraId="135B3F78">
      <w:pPr>
        <w:pStyle w:val="24"/>
        <w:spacing w:line="360" w:lineRule="auto"/>
        <w:rPr>
          <w:rFonts w:hint="eastAsia" w:ascii="宋体" w:hAnsi="宋体" w:eastAsia="宋体" w:cs="宋体"/>
          <w:b/>
          <w:color w:val="auto"/>
          <w:sz w:val="21"/>
          <w:highlight w:val="none"/>
          <w:lang w:val="en-US" w:eastAsia="zh-CN"/>
        </w:rPr>
      </w:pPr>
      <w:r>
        <w:rPr>
          <w:rFonts w:hint="eastAsia" w:hAnsi="宋体" w:eastAsia="宋体" w:cs="宋体"/>
          <w:b/>
          <w:color w:val="auto"/>
          <w:sz w:val="21"/>
          <w:highlight w:val="none"/>
          <w:lang w:val="en-US" w:eastAsia="zh-CN"/>
        </w:rPr>
        <w:t>（</w:t>
      </w:r>
      <w:r>
        <w:rPr>
          <w:rFonts w:hint="eastAsia" w:ascii="宋体" w:hAnsi="宋体" w:eastAsia="宋体" w:cs="宋体"/>
          <w:b/>
          <w:color w:val="auto"/>
          <w:sz w:val="21"/>
          <w:highlight w:val="none"/>
        </w:rPr>
        <w:t>GL</w:t>
      </w:r>
      <w:r>
        <w:rPr>
          <w:rFonts w:hint="eastAsia" w:ascii="宋体" w:hAnsi="宋体" w:eastAsia="宋体" w:cs="宋体"/>
          <w:b/>
          <w:color w:val="auto"/>
          <w:sz w:val="21"/>
          <w:highlight w:val="none"/>
          <w:lang w:val="en-US" w:eastAsia="zh-CN"/>
        </w:rPr>
        <w:t>TL</w:t>
      </w:r>
      <w:r>
        <w:rPr>
          <w:rFonts w:hint="eastAsia" w:ascii="宋体" w:hAnsi="宋体" w:eastAsia="宋体" w:cs="宋体"/>
          <w:b/>
          <w:color w:val="auto"/>
          <w:sz w:val="21"/>
          <w:highlight w:val="none"/>
        </w:rPr>
        <w:t>JD1 标段/GL</w:t>
      </w:r>
      <w:r>
        <w:rPr>
          <w:rFonts w:hint="eastAsia" w:ascii="宋体" w:hAnsi="宋体" w:eastAsia="宋体" w:cs="宋体"/>
          <w:b/>
          <w:color w:val="auto"/>
          <w:sz w:val="21"/>
          <w:highlight w:val="none"/>
          <w:lang w:val="en-US" w:eastAsia="zh-CN"/>
        </w:rPr>
        <w:t>TL</w:t>
      </w:r>
      <w:r>
        <w:rPr>
          <w:rFonts w:hint="eastAsia" w:ascii="宋体" w:hAnsi="宋体" w:eastAsia="宋体" w:cs="宋体"/>
          <w:b/>
          <w:color w:val="auto"/>
          <w:sz w:val="21"/>
          <w:highlight w:val="none"/>
        </w:rPr>
        <w:t>JD2 标段/GL</w:t>
      </w:r>
      <w:r>
        <w:rPr>
          <w:rFonts w:hint="eastAsia" w:ascii="宋体" w:hAnsi="宋体" w:eastAsia="宋体" w:cs="宋体"/>
          <w:b/>
          <w:color w:val="auto"/>
          <w:sz w:val="21"/>
          <w:highlight w:val="none"/>
          <w:lang w:val="en-US" w:eastAsia="zh-CN"/>
        </w:rPr>
        <w:t>TL</w:t>
      </w:r>
      <w:r>
        <w:rPr>
          <w:rFonts w:hint="eastAsia" w:ascii="宋体" w:hAnsi="宋体" w:eastAsia="宋体" w:cs="宋体"/>
          <w:b/>
          <w:color w:val="auto"/>
          <w:sz w:val="21"/>
          <w:highlight w:val="none"/>
        </w:rPr>
        <w:t>JD3 标段/GL</w:t>
      </w:r>
      <w:r>
        <w:rPr>
          <w:rFonts w:hint="eastAsia" w:ascii="宋体" w:hAnsi="宋体" w:eastAsia="宋体" w:cs="宋体"/>
          <w:b/>
          <w:color w:val="auto"/>
          <w:sz w:val="21"/>
          <w:highlight w:val="none"/>
          <w:lang w:val="en-US" w:eastAsia="zh-CN"/>
        </w:rPr>
        <w:t>TL</w:t>
      </w:r>
      <w:r>
        <w:rPr>
          <w:rFonts w:hint="eastAsia" w:ascii="宋体" w:hAnsi="宋体" w:eastAsia="宋体" w:cs="宋体"/>
          <w:b/>
          <w:color w:val="auto"/>
          <w:sz w:val="21"/>
          <w:highlight w:val="none"/>
        </w:rPr>
        <w:t>JD</w:t>
      </w:r>
      <w:r>
        <w:rPr>
          <w:rFonts w:hint="eastAsia" w:ascii="宋体" w:hAnsi="宋体" w:eastAsia="宋体" w:cs="宋体"/>
          <w:b/>
          <w:color w:val="auto"/>
          <w:sz w:val="21"/>
          <w:highlight w:val="none"/>
          <w:lang w:val="en-US" w:eastAsia="zh-CN"/>
        </w:rPr>
        <w:t>4</w:t>
      </w:r>
      <w:r>
        <w:rPr>
          <w:rFonts w:hint="eastAsia" w:ascii="宋体" w:hAnsi="宋体" w:eastAsia="宋体" w:cs="宋体"/>
          <w:b/>
          <w:color w:val="auto"/>
          <w:sz w:val="21"/>
          <w:highlight w:val="none"/>
        </w:rPr>
        <w:t xml:space="preserve"> 标段</w:t>
      </w:r>
      <w:r>
        <w:rPr>
          <w:rFonts w:hint="eastAsia" w:hAnsi="宋体" w:eastAsia="宋体" w:cs="宋体"/>
          <w:b/>
          <w:color w:val="auto"/>
          <w:sz w:val="21"/>
          <w:highlight w:val="none"/>
          <w:lang w:eastAsia="zh-CN"/>
        </w:rPr>
        <w:t>）</w:t>
      </w:r>
      <w:r>
        <w:rPr>
          <w:rFonts w:hint="eastAsia" w:hAnsi="宋体" w:eastAsia="宋体" w:cs="宋体"/>
          <w:b/>
          <w:color w:val="auto"/>
          <w:sz w:val="21"/>
          <w:highlight w:val="none"/>
          <w:lang w:val="en-US" w:eastAsia="zh-CN"/>
        </w:rPr>
        <w:t>和（SYJD1 标段/SYJD2 标段）</w:t>
      </w:r>
    </w:p>
    <w:tbl>
      <w:tblPr>
        <w:tblStyle w:val="45"/>
        <w:tblW w:w="96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0"/>
        <w:gridCol w:w="1280"/>
        <w:gridCol w:w="709"/>
        <w:gridCol w:w="1559"/>
        <w:gridCol w:w="5410"/>
      </w:tblGrid>
      <w:tr w14:paraId="044A60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30" w:type="dxa"/>
            <w:noWrap w:val="0"/>
            <w:vAlign w:val="center"/>
          </w:tcPr>
          <w:p w14:paraId="62187665">
            <w:pPr>
              <w:adjustRightInd w:val="0"/>
              <w:spacing w:line="360" w:lineRule="exact"/>
              <w:jc w:val="center"/>
              <w:textAlignment w:val="baseline"/>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序号</w:t>
            </w:r>
          </w:p>
        </w:tc>
        <w:tc>
          <w:tcPr>
            <w:tcW w:w="1280" w:type="dxa"/>
            <w:noWrap w:val="0"/>
            <w:vAlign w:val="center"/>
          </w:tcPr>
          <w:p w14:paraId="02794690">
            <w:pPr>
              <w:adjustRightInd w:val="0"/>
              <w:spacing w:line="360" w:lineRule="exact"/>
              <w:jc w:val="center"/>
              <w:textAlignment w:val="baseline"/>
              <w:rPr>
                <w:rFonts w:hint="eastAsia" w:ascii="宋体" w:hAnsi="宋体" w:eastAsia="宋体" w:cs="宋体"/>
                <w:color w:val="auto"/>
                <w:szCs w:val="21"/>
                <w:highlight w:val="none"/>
              </w:rPr>
            </w:pPr>
            <w:r>
              <w:rPr>
                <w:rFonts w:hint="eastAsia" w:ascii="宋体" w:hAnsi="宋体" w:eastAsia="宋体" w:cs="宋体"/>
                <w:b/>
                <w:color w:val="auto"/>
                <w:szCs w:val="21"/>
                <w:highlight w:val="none"/>
              </w:rPr>
              <w:t>评审因素</w:t>
            </w:r>
          </w:p>
        </w:tc>
        <w:tc>
          <w:tcPr>
            <w:tcW w:w="709" w:type="dxa"/>
            <w:noWrap w:val="0"/>
            <w:vAlign w:val="center"/>
          </w:tcPr>
          <w:p w14:paraId="5C59BDA9">
            <w:pPr>
              <w:adjustRightInd w:val="0"/>
              <w:spacing w:line="360" w:lineRule="exact"/>
              <w:jc w:val="center"/>
              <w:textAlignment w:val="baseline"/>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分值</w:t>
            </w:r>
          </w:p>
        </w:tc>
        <w:tc>
          <w:tcPr>
            <w:tcW w:w="6969" w:type="dxa"/>
            <w:gridSpan w:val="2"/>
            <w:noWrap w:val="0"/>
            <w:vAlign w:val="center"/>
          </w:tcPr>
          <w:p w14:paraId="5AEF7719">
            <w:pPr>
              <w:adjustRightInd w:val="0"/>
              <w:spacing w:line="360" w:lineRule="exact"/>
              <w:jc w:val="center"/>
              <w:textAlignment w:val="baseline"/>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评标标准</w:t>
            </w:r>
          </w:p>
        </w:tc>
      </w:tr>
      <w:tr w14:paraId="43C77B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15" w:hRule="atLeast"/>
          <w:jc w:val="center"/>
        </w:trPr>
        <w:tc>
          <w:tcPr>
            <w:tcW w:w="730" w:type="dxa"/>
            <w:noWrap w:val="0"/>
            <w:vAlign w:val="center"/>
          </w:tcPr>
          <w:p w14:paraId="2508F982">
            <w:pPr>
              <w:adjustRightInd w:val="0"/>
              <w:spacing w:line="360" w:lineRule="exact"/>
              <w:jc w:val="center"/>
              <w:textAlignment w:val="baseline"/>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1</w:t>
            </w:r>
          </w:p>
        </w:tc>
        <w:tc>
          <w:tcPr>
            <w:tcW w:w="1280" w:type="dxa"/>
            <w:noWrap w:val="0"/>
            <w:vAlign w:val="center"/>
          </w:tcPr>
          <w:p w14:paraId="211B24D6">
            <w:pPr>
              <w:adjustRightInd w:val="0"/>
              <w:spacing w:line="360" w:lineRule="exact"/>
              <w:jc w:val="center"/>
              <w:textAlignment w:val="baseline"/>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报价</w:t>
            </w:r>
          </w:p>
        </w:tc>
        <w:tc>
          <w:tcPr>
            <w:tcW w:w="709" w:type="dxa"/>
            <w:noWrap w:val="0"/>
            <w:vAlign w:val="center"/>
          </w:tcPr>
          <w:p w14:paraId="1C509544">
            <w:pPr>
              <w:adjustRightInd w:val="0"/>
              <w:spacing w:line="360" w:lineRule="exact"/>
              <w:jc w:val="center"/>
              <w:textAlignment w:val="baseline"/>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10分</w:t>
            </w:r>
          </w:p>
        </w:tc>
        <w:tc>
          <w:tcPr>
            <w:tcW w:w="6969" w:type="dxa"/>
            <w:gridSpan w:val="2"/>
            <w:noWrap w:val="0"/>
            <w:vAlign w:val="center"/>
          </w:tcPr>
          <w:p w14:paraId="55E7ECEB">
            <w:pPr>
              <w:pStyle w:val="24"/>
              <w:spacing w:line="360" w:lineRule="exact"/>
              <w:rPr>
                <w:rFonts w:hint="eastAsia" w:ascii="宋体" w:hAnsi="宋体" w:eastAsia="宋体" w:cs="宋体"/>
                <w:b/>
                <w:bCs/>
                <w:color w:val="auto"/>
                <w:kern w:val="2"/>
                <w:sz w:val="21"/>
                <w:highlight w:val="none"/>
                <w:lang w:val="en-US" w:eastAsia="zh-CN"/>
              </w:rPr>
            </w:pPr>
            <w:r>
              <w:rPr>
                <w:rFonts w:hint="eastAsia" w:ascii="宋体" w:hAnsi="宋体" w:eastAsia="宋体" w:cs="宋体"/>
                <w:b/>
                <w:bCs/>
                <w:color w:val="auto"/>
                <w:kern w:val="2"/>
                <w:sz w:val="21"/>
                <w:highlight w:val="none"/>
                <w:lang w:val="en-US" w:eastAsia="zh-CN"/>
              </w:rPr>
              <w:t>一、政府采购政策扣除</w:t>
            </w:r>
          </w:p>
          <w:p w14:paraId="759AA68B">
            <w:pPr>
              <w:keepNext w:val="0"/>
              <w:keepLines w:val="0"/>
              <w:pageBreakBefore w:val="0"/>
              <w:kinsoku/>
              <w:wordWrap w:val="0"/>
              <w:overflowPunct/>
              <w:topLinePunct w:val="0"/>
              <w:autoSpaceDE/>
              <w:autoSpaceDN/>
              <w:bidi w:val="0"/>
              <w:spacing w:line="400" w:lineRule="exact"/>
              <w:ind w:firstLine="422" w:firstLineChars="200"/>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lang w:eastAsia="zh-CN"/>
              </w:rPr>
              <w:t>☑</w:t>
            </w:r>
            <w:r>
              <w:rPr>
                <w:rFonts w:hint="eastAsia" w:ascii="宋体" w:hAnsi="宋体" w:eastAsia="宋体" w:cs="宋体"/>
                <w:b/>
                <w:bCs/>
                <w:color w:val="auto"/>
                <w:sz w:val="21"/>
                <w:szCs w:val="21"/>
                <w:highlight w:val="none"/>
              </w:rPr>
              <w:t>本项目为非专门面向中小企业采购项目（政府采购政策性扣除计算方法）：</w:t>
            </w:r>
          </w:p>
          <w:p w14:paraId="72ADCAFB">
            <w:pPr>
              <w:keepNext w:val="0"/>
              <w:keepLines w:val="0"/>
              <w:pageBreakBefore w:val="0"/>
              <w:kinsoku/>
              <w:wordWrap w:val="0"/>
              <w:overflowPunct/>
              <w:topLinePunct w:val="0"/>
              <w:autoSpaceDE/>
              <w:autoSpaceDN/>
              <w:bidi w:val="0"/>
              <w:spacing w:line="4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1.评审报价为供应商的最后报价进行政策性扣除后的价格，评审报价只是作为评审时使用。最终成交供应商的成交金额等于最后报价（如有修正，以确认修正后的最后报价为准）。</w:t>
            </w:r>
          </w:p>
          <w:p w14:paraId="6169F911">
            <w:pPr>
              <w:keepNext w:val="0"/>
              <w:keepLines w:val="0"/>
              <w:pageBreakBefore w:val="0"/>
              <w:kinsoku/>
              <w:wordWrap w:val="0"/>
              <w:overflowPunct/>
              <w:topLinePunct w:val="0"/>
              <w:autoSpaceDE/>
              <w:autoSpaceDN/>
              <w:bidi w:val="0"/>
              <w:spacing w:line="4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2.政府采购政策性扣除计算方法</w:t>
            </w:r>
          </w:p>
          <w:p w14:paraId="2850783A">
            <w:pPr>
              <w:keepNext w:val="0"/>
              <w:keepLines w:val="0"/>
              <w:pageBreakBefore w:val="0"/>
              <w:kinsoku/>
              <w:wordWrap w:val="0"/>
              <w:overflowPunct/>
              <w:topLinePunct w:val="0"/>
              <w:autoSpaceDE/>
              <w:autoSpaceDN/>
              <w:bidi w:val="0"/>
              <w:spacing w:line="4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（1）按照《政府采购促进中小企业发展管理办法》（财库〔2020〕46号）的规定，供应商在其响应文件中提供《中小企业声明函》，且其服务为小型和微型企业承接的，对其最后报价给予</w:t>
            </w:r>
            <w:r>
              <w:rPr>
                <w:rFonts w:hint="eastAsia" w:ascii="宋体" w:hAnsi="宋体" w:eastAsia="宋体" w:cs="宋体"/>
                <w:color w:val="auto"/>
                <w:sz w:val="21"/>
                <w:szCs w:val="21"/>
                <w:highlight w:val="none"/>
                <w:lang w:val="en-US" w:eastAsia="zh-CN"/>
              </w:rPr>
              <w:t>10</w:t>
            </w:r>
            <w:r>
              <w:rPr>
                <w:rFonts w:hint="eastAsia" w:ascii="宋体" w:hAnsi="宋体" w:eastAsia="宋体" w:cs="宋体"/>
                <w:color w:val="auto"/>
                <w:sz w:val="21"/>
                <w:szCs w:val="21"/>
                <w:highlight w:val="none"/>
              </w:rPr>
              <w:t>%的扣除。</w:t>
            </w:r>
          </w:p>
          <w:p w14:paraId="6AAC3EE1">
            <w:pPr>
              <w:keepNext w:val="0"/>
              <w:keepLines w:val="0"/>
              <w:pageBreakBefore w:val="0"/>
              <w:kinsoku/>
              <w:wordWrap w:val="0"/>
              <w:overflowPunct/>
              <w:topLinePunct w:val="0"/>
              <w:autoSpaceDE/>
              <w:autoSpaceDN/>
              <w:bidi w:val="0"/>
              <w:spacing w:line="4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按照《财政部、司法部关于政府采购支持监狱企业发展有关问题的通知》（财库〔2014〕68号）的规定，监狱企业视同小型、微型企业，享受预留份额、评审中价格扣除等促进中小企业发展的政府采购政策。监狱企业参加政府采购活动时，应当提供由省级以上监狱管理局、戒毒管理局（含新疆生产建设兵团）出具的属于监狱企业的证明文件。不重复享受政策。</w:t>
            </w:r>
          </w:p>
          <w:p w14:paraId="54E85DCF">
            <w:pPr>
              <w:keepNext w:val="0"/>
              <w:keepLines w:val="0"/>
              <w:pageBreakBefore w:val="0"/>
              <w:kinsoku/>
              <w:wordWrap w:val="0"/>
              <w:overflowPunct/>
              <w:topLinePunct w:val="0"/>
              <w:autoSpaceDE/>
              <w:autoSpaceDN/>
              <w:bidi w:val="0"/>
              <w:spacing w:line="4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按照《关于促进残疾人就业政府采购政策的通知》（财库〔2017〕141号）的规定，残疾人福利性单位视同小型、微型企业，享受预留份额、评审中价格扣除等促进中小企业发展的政府采购政策。残疾人福利性单位参加政府采购活动时，应当提供该通知规定的《残疾人福利性单位声明函》，并对声明的真实性负责。残疾人福利性单位属于小型、微型企业的，不重复享受政策。</w:t>
            </w:r>
          </w:p>
          <w:p w14:paraId="7A355DE3">
            <w:pPr>
              <w:keepNext w:val="0"/>
              <w:keepLines w:val="0"/>
              <w:pageBreakBefore w:val="0"/>
              <w:kinsoku/>
              <w:wordWrap w:val="0"/>
              <w:overflowPunct/>
              <w:topLinePunct w:val="0"/>
              <w:autoSpaceDE/>
              <w:autoSpaceDN/>
              <w:bidi w:val="0"/>
              <w:spacing w:line="4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（4）政策性扣除计算方法。</w:t>
            </w:r>
          </w:p>
          <w:p w14:paraId="5470525F">
            <w:pPr>
              <w:keepNext w:val="0"/>
              <w:keepLines w:val="0"/>
              <w:pageBreakBefore w:val="0"/>
              <w:kinsoku/>
              <w:wordWrap w:val="0"/>
              <w:overflowPunct/>
              <w:topLinePunct w:val="0"/>
              <w:autoSpaceDE/>
              <w:autoSpaceDN/>
              <w:bidi w:val="0"/>
              <w:spacing w:line="4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在服务采购项目中，服务由小微企业承接；对符合上述要求的供应商的</w:t>
            </w:r>
            <w:r>
              <w:rPr>
                <w:rFonts w:hint="eastAsia" w:ascii="宋体" w:hAnsi="宋体" w:eastAsia="宋体" w:cs="宋体"/>
                <w:color w:val="auto"/>
                <w:sz w:val="21"/>
                <w:szCs w:val="21"/>
                <w:highlight w:val="none"/>
                <w:lang w:eastAsia="zh-CN"/>
              </w:rPr>
              <w:t>投标</w:t>
            </w:r>
            <w:r>
              <w:rPr>
                <w:rFonts w:hint="eastAsia" w:ascii="宋体" w:hAnsi="宋体" w:eastAsia="宋体" w:cs="宋体"/>
                <w:color w:val="auto"/>
                <w:sz w:val="21"/>
                <w:szCs w:val="21"/>
                <w:highlight w:val="none"/>
              </w:rPr>
              <w:t>报价给予</w:t>
            </w:r>
            <w:r>
              <w:rPr>
                <w:rFonts w:hint="eastAsia" w:ascii="宋体" w:hAnsi="宋体" w:eastAsia="宋体" w:cs="宋体"/>
                <w:color w:val="auto"/>
                <w:sz w:val="21"/>
                <w:szCs w:val="21"/>
                <w:highlight w:val="none"/>
                <w:u w:val="single"/>
                <w:lang w:val="en-US" w:eastAsia="zh-CN"/>
              </w:rPr>
              <w:t>1</w:t>
            </w:r>
            <w:r>
              <w:rPr>
                <w:rFonts w:hint="eastAsia" w:ascii="宋体" w:hAnsi="宋体" w:eastAsia="宋体" w:cs="宋体"/>
                <w:color w:val="auto"/>
                <w:sz w:val="21"/>
                <w:szCs w:val="21"/>
                <w:highlight w:val="none"/>
                <w:u w:val="single"/>
              </w:rPr>
              <w:t>0%</w:t>
            </w:r>
            <w:r>
              <w:rPr>
                <w:rFonts w:hint="eastAsia" w:ascii="宋体" w:hAnsi="宋体" w:eastAsia="宋体" w:cs="宋体"/>
                <w:color w:val="auto"/>
                <w:sz w:val="21"/>
                <w:szCs w:val="21"/>
                <w:highlight w:val="none"/>
              </w:rPr>
              <w:t>的扣除，扣除后的价格为评审报价，即评审报价=</w:t>
            </w:r>
            <w:r>
              <w:rPr>
                <w:rFonts w:hint="eastAsia" w:ascii="宋体" w:hAnsi="宋体" w:eastAsia="宋体" w:cs="宋体"/>
                <w:color w:val="auto"/>
                <w:sz w:val="21"/>
                <w:szCs w:val="21"/>
                <w:highlight w:val="none"/>
                <w:lang w:eastAsia="zh-CN"/>
              </w:rPr>
              <w:t>投标</w:t>
            </w:r>
            <w:r>
              <w:rPr>
                <w:rFonts w:hint="eastAsia" w:ascii="宋体" w:hAnsi="宋体" w:eastAsia="宋体" w:cs="宋体"/>
                <w:color w:val="auto"/>
                <w:sz w:val="21"/>
                <w:szCs w:val="21"/>
                <w:highlight w:val="none"/>
              </w:rPr>
              <w:t>报价×（1-</w:t>
            </w:r>
            <w:r>
              <w:rPr>
                <w:rFonts w:hint="eastAsia" w:ascii="宋体" w:hAnsi="宋体" w:eastAsia="宋体" w:cs="宋体"/>
                <w:color w:val="auto"/>
                <w:sz w:val="21"/>
                <w:szCs w:val="21"/>
                <w:highlight w:val="none"/>
                <w:u w:val="single"/>
                <w:lang w:val="en-US" w:eastAsia="zh-CN"/>
              </w:rPr>
              <w:t>1</w:t>
            </w:r>
            <w:r>
              <w:rPr>
                <w:rFonts w:hint="eastAsia" w:ascii="宋体" w:hAnsi="宋体" w:eastAsia="宋体" w:cs="宋体"/>
                <w:color w:val="auto"/>
                <w:sz w:val="21"/>
                <w:szCs w:val="21"/>
                <w:highlight w:val="none"/>
                <w:u w:val="single"/>
              </w:rPr>
              <w:t>0</w:t>
            </w:r>
            <w:r>
              <w:rPr>
                <w:rFonts w:hint="eastAsia" w:ascii="宋体" w:hAnsi="宋体" w:eastAsia="宋体" w:cs="宋体"/>
                <w:color w:val="auto"/>
                <w:sz w:val="21"/>
                <w:szCs w:val="21"/>
                <w:highlight w:val="none"/>
              </w:rPr>
              <w:t>%）。接受大中型企业与小微企业组成联合体或者允许大中型企业向一家或者多家小微企业分包的采购项目，联合协议或者分包意向协议约定小微企业的合同份额占到合同总金额30%以上的，采购人、采购代理机构应当对联合体或者大中型企业的报价给予</w:t>
            </w:r>
            <w:r>
              <w:rPr>
                <w:rFonts w:hint="eastAsia" w:ascii="宋体" w:hAnsi="宋体" w:eastAsia="宋体" w:cs="宋体"/>
                <w:color w:val="auto"/>
                <w:sz w:val="21"/>
                <w:szCs w:val="21"/>
                <w:highlight w:val="none"/>
                <w:lang w:val="en-US" w:eastAsia="zh-CN"/>
              </w:rPr>
              <w:t>5</w:t>
            </w:r>
            <w:r>
              <w:rPr>
                <w:rFonts w:hint="eastAsia" w:ascii="宋体" w:hAnsi="宋体" w:eastAsia="宋体" w:cs="宋体"/>
                <w:color w:val="auto"/>
                <w:sz w:val="21"/>
                <w:szCs w:val="21"/>
                <w:highlight w:val="none"/>
              </w:rPr>
              <w:t>%的扣除，用扣除后的价格参加评审，扣除后的价格为评审报价，即评审报价=</w:t>
            </w:r>
            <w:r>
              <w:rPr>
                <w:rFonts w:hint="eastAsia" w:ascii="宋体" w:hAnsi="宋体" w:eastAsia="宋体" w:cs="宋体"/>
                <w:color w:val="auto"/>
                <w:sz w:val="21"/>
                <w:szCs w:val="21"/>
                <w:highlight w:val="none"/>
                <w:lang w:eastAsia="zh-CN"/>
              </w:rPr>
              <w:t>投标</w:t>
            </w:r>
            <w:r>
              <w:rPr>
                <w:rFonts w:hint="eastAsia" w:ascii="宋体" w:hAnsi="宋体" w:eastAsia="宋体" w:cs="宋体"/>
                <w:color w:val="auto"/>
                <w:sz w:val="21"/>
                <w:szCs w:val="21"/>
                <w:highlight w:val="none"/>
              </w:rPr>
              <w:t>报价×（1-</w:t>
            </w:r>
            <w:r>
              <w:rPr>
                <w:rFonts w:hint="eastAsia" w:ascii="宋体" w:hAnsi="宋体" w:eastAsia="宋体" w:cs="宋体"/>
                <w:color w:val="auto"/>
                <w:sz w:val="21"/>
                <w:szCs w:val="21"/>
                <w:highlight w:val="none"/>
                <w:lang w:val="en-US" w:eastAsia="zh-CN"/>
              </w:rPr>
              <w:t>5</w:t>
            </w:r>
            <w:r>
              <w:rPr>
                <w:rFonts w:hint="eastAsia" w:ascii="宋体" w:hAnsi="宋体" w:eastAsia="宋体" w:cs="宋体"/>
                <w:color w:val="auto"/>
                <w:sz w:val="21"/>
                <w:szCs w:val="21"/>
                <w:highlight w:val="none"/>
              </w:rPr>
              <w:t>%）。除上述情况外，评审报价=</w:t>
            </w:r>
            <w:r>
              <w:rPr>
                <w:rFonts w:hint="eastAsia" w:ascii="宋体" w:hAnsi="宋体" w:eastAsia="宋体" w:cs="宋体"/>
                <w:color w:val="auto"/>
                <w:sz w:val="21"/>
                <w:szCs w:val="21"/>
                <w:highlight w:val="none"/>
                <w:lang w:eastAsia="zh-CN"/>
              </w:rPr>
              <w:t>投标</w:t>
            </w:r>
            <w:r>
              <w:rPr>
                <w:rFonts w:hint="eastAsia" w:ascii="宋体" w:hAnsi="宋体" w:eastAsia="宋体" w:cs="宋体"/>
                <w:color w:val="auto"/>
                <w:sz w:val="21"/>
                <w:szCs w:val="21"/>
                <w:highlight w:val="none"/>
              </w:rPr>
              <w:t>报价。</w:t>
            </w:r>
          </w:p>
          <w:p w14:paraId="3DAE6694">
            <w:pPr>
              <w:keepNext w:val="0"/>
              <w:keepLines w:val="0"/>
              <w:pageBreakBefore w:val="0"/>
              <w:kinsoku/>
              <w:wordWrap w:val="0"/>
              <w:overflowPunct/>
              <w:topLinePunct w:val="0"/>
              <w:autoSpaceDE/>
              <w:autoSpaceDN/>
              <w:bidi w:val="0"/>
              <w:spacing w:line="4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（5）以进入比较与评价环节的最低的评审报价为基准价。</w:t>
            </w:r>
          </w:p>
          <w:p w14:paraId="22C060EF">
            <w:pPr>
              <w:keepNext w:val="0"/>
              <w:keepLines w:val="0"/>
              <w:pageBreakBefore w:val="0"/>
              <w:kinsoku/>
              <w:wordWrap w:val="0"/>
              <w:overflowPunct/>
              <w:topLinePunct w:val="0"/>
              <w:autoSpaceDE/>
              <w:autoSpaceDN/>
              <w:bidi w:val="0"/>
              <w:spacing w:line="4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（6）价格分计算公式：</w:t>
            </w:r>
          </w:p>
          <w:p w14:paraId="79A3A813">
            <w:pPr>
              <w:spacing w:line="312" w:lineRule="auto"/>
              <w:ind w:firstLine="482"/>
              <w:rPr>
                <w:rFonts w:hint="eastAsia" w:ascii="宋体" w:hAnsi="宋体" w:eastAsia="宋体" w:cs="宋体"/>
                <w:color w:val="auto"/>
                <w:highlight w:val="none"/>
                <w:lang w:val="en-US" w:eastAsia="zh-CN"/>
              </w:rPr>
            </w:pPr>
            <w:r>
              <w:rPr>
                <w:rFonts w:hint="eastAsia" w:ascii="宋体" w:hAnsi="宋体" w:eastAsia="宋体" w:cs="宋体"/>
                <w:color w:val="auto"/>
                <w:sz w:val="21"/>
                <w:szCs w:val="21"/>
                <w:highlight w:val="none"/>
              </w:rPr>
              <w:t>报价得分=（评审基准价/评审报价）×</w:t>
            </w:r>
            <w:r>
              <w:rPr>
                <w:rFonts w:hint="eastAsia" w:ascii="宋体" w:hAnsi="宋体" w:eastAsia="宋体" w:cs="宋体"/>
                <w:color w:val="auto"/>
                <w:sz w:val="21"/>
                <w:szCs w:val="21"/>
                <w:highlight w:val="none"/>
                <w:lang w:val="en-US" w:eastAsia="zh-CN"/>
              </w:rPr>
              <w:t>10</w:t>
            </w:r>
            <w:r>
              <w:rPr>
                <w:rFonts w:hint="eastAsia" w:ascii="宋体" w:hAnsi="宋体" w:eastAsia="宋体" w:cs="宋体"/>
                <w:color w:val="auto"/>
                <w:sz w:val="21"/>
                <w:szCs w:val="21"/>
                <w:highlight w:val="none"/>
              </w:rPr>
              <w:t>分</w:t>
            </w:r>
          </w:p>
        </w:tc>
      </w:tr>
      <w:tr w14:paraId="2451F3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30" w:type="dxa"/>
            <w:vMerge w:val="restart"/>
            <w:noWrap w:val="0"/>
            <w:vAlign w:val="center"/>
          </w:tcPr>
          <w:p w14:paraId="63557276">
            <w:pPr>
              <w:adjustRightInd w:val="0"/>
              <w:spacing w:line="360" w:lineRule="exact"/>
              <w:jc w:val="center"/>
              <w:textAlignment w:val="baseline"/>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2</w:t>
            </w:r>
          </w:p>
        </w:tc>
        <w:tc>
          <w:tcPr>
            <w:tcW w:w="1280" w:type="dxa"/>
            <w:vMerge w:val="restart"/>
            <w:noWrap w:val="0"/>
            <w:vAlign w:val="center"/>
          </w:tcPr>
          <w:p w14:paraId="2FF851B2">
            <w:pPr>
              <w:adjustRightInd w:val="0"/>
              <w:spacing w:line="360" w:lineRule="exact"/>
              <w:jc w:val="center"/>
              <w:textAlignment w:val="baseline"/>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技术</w:t>
            </w:r>
          </w:p>
        </w:tc>
        <w:tc>
          <w:tcPr>
            <w:tcW w:w="709" w:type="dxa"/>
            <w:vMerge w:val="restart"/>
            <w:noWrap w:val="0"/>
            <w:vAlign w:val="center"/>
          </w:tcPr>
          <w:p w14:paraId="009226A2">
            <w:pPr>
              <w:adjustRightInd w:val="0"/>
              <w:spacing w:line="360" w:lineRule="exact"/>
              <w:jc w:val="center"/>
              <w:textAlignment w:val="baseline"/>
              <w:rPr>
                <w:rFonts w:hint="eastAsia" w:ascii="宋体" w:hAnsi="宋体" w:eastAsia="宋体" w:cs="宋体"/>
                <w:b/>
                <w:color w:val="auto"/>
                <w:szCs w:val="21"/>
                <w:highlight w:val="none"/>
              </w:rPr>
            </w:pPr>
            <w:r>
              <w:rPr>
                <w:rFonts w:hint="eastAsia" w:ascii="宋体" w:hAnsi="宋体" w:cs="宋体"/>
                <w:b/>
                <w:color w:val="auto"/>
                <w:szCs w:val="21"/>
                <w:highlight w:val="none"/>
                <w:lang w:val="en-US" w:eastAsia="zh-CN"/>
              </w:rPr>
              <w:t>70</w:t>
            </w:r>
            <w:r>
              <w:rPr>
                <w:rFonts w:hint="eastAsia" w:ascii="宋体" w:hAnsi="宋体" w:eastAsia="宋体" w:cs="宋体"/>
                <w:b/>
                <w:color w:val="auto"/>
                <w:szCs w:val="21"/>
                <w:highlight w:val="none"/>
              </w:rPr>
              <w:t>分</w:t>
            </w:r>
          </w:p>
        </w:tc>
        <w:tc>
          <w:tcPr>
            <w:tcW w:w="1559" w:type="dxa"/>
            <w:noWrap w:val="0"/>
            <w:vAlign w:val="center"/>
          </w:tcPr>
          <w:p w14:paraId="4C381CEC">
            <w:pPr>
              <w:bidi w:val="0"/>
              <w:jc w:val="center"/>
              <w:rPr>
                <w:rFonts w:hint="eastAsia" w:ascii="宋体" w:hAnsi="宋体" w:eastAsia="宋体" w:cs="宋体"/>
                <w:color w:val="auto"/>
                <w:highlight w:val="none"/>
              </w:rPr>
            </w:pPr>
            <w:r>
              <w:rPr>
                <w:rFonts w:hint="eastAsia" w:ascii="宋体" w:hAnsi="宋体" w:eastAsia="宋体" w:cs="宋体"/>
                <w:color w:val="auto"/>
                <w:highlight w:val="none"/>
              </w:rPr>
              <w:t>检测计划及项目实施方案（</w:t>
            </w:r>
            <w:r>
              <w:rPr>
                <w:rFonts w:hint="eastAsia" w:ascii="宋体" w:hAnsi="宋体" w:eastAsia="宋体" w:cs="宋体"/>
                <w:color w:val="auto"/>
                <w:highlight w:val="none"/>
                <w:lang w:val="en-US" w:eastAsia="zh-CN"/>
              </w:rPr>
              <w:t>25</w:t>
            </w:r>
            <w:r>
              <w:rPr>
                <w:rFonts w:hint="eastAsia" w:ascii="宋体" w:hAnsi="宋体" w:eastAsia="宋体" w:cs="宋体"/>
                <w:color w:val="auto"/>
                <w:highlight w:val="none"/>
              </w:rPr>
              <w:t>分）</w:t>
            </w:r>
          </w:p>
        </w:tc>
        <w:tc>
          <w:tcPr>
            <w:tcW w:w="5410" w:type="dxa"/>
            <w:noWrap w:val="0"/>
            <w:vAlign w:val="center"/>
          </w:tcPr>
          <w:p w14:paraId="46D1894F">
            <w:pPr>
              <w:keepNext w:val="0"/>
              <w:keepLines w:val="0"/>
              <w:pageBreakBefore w:val="0"/>
              <w:kinsoku/>
              <w:wordWrap w:val="0"/>
              <w:overflowPunct/>
              <w:topLinePunct w:val="0"/>
              <w:autoSpaceDE/>
              <w:autoSpaceDN/>
              <w:bidi w:val="0"/>
              <w:spacing w:line="400" w:lineRule="exact"/>
              <w:ind w:firstLine="420" w:firstLineChars="200"/>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提供有检测计划及项目实施方案，在此基础上打分：</w:t>
            </w:r>
          </w:p>
          <w:p w14:paraId="03A8896D">
            <w:pPr>
              <w:keepNext w:val="0"/>
              <w:keepLines w:val="0"/>
              <w:pageBreakBefore w:val="0"/>
              <w:kinsoku/>
              <w:wordWrap w:val="0"/>
              <w:overflowPunct/>
              <w:topLinePunct w:val="0"/>
              <w:autoSpaceDE/>
              <w:autoSpaceDN/>
              <w:bidi w:val="0"/>
              <w:spacing w:line="4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一档（</w:t>
            </w:r>
            <w:r>
              <w:rPr>
                <w:rFonts w:hint="eastAsia" w:ascii="宋体" w:hAnsi="宋体" w:eastAsia="宋体" w:cs="宋体"/>
                <w:color w:val="auto"/>
                <w:sz w:val="21"/>
                <w:szCs w:val="21"/>
                <w:highlight w:val="none"/>
                <w:lang w:val="en-US" w:eastAsia="zh-CN"/>
              </w:rPr>
              <w:t>25</w:t>
            </w:r>
            <w:r>
              <w:rPr>
                <w:rFonts w:hint="eastAsia" w:ascii="宋体" w:hAnsi="宋体" w:eastAsia="宋体" w:cs="宋体"/>
                <w:color w:val="auto"/>
                <w:sz w:val="21"/>
                <w:szCs w:val="21"/>
                <w:highlight w:val="none"/>
              </w:rPr>
              <w:t>分）</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提交的检测计划及项目实施方案工作思路清晰，</w:t>
            </w:r>
            <w:r>
              <w:rPr>
                <w:rFonts w:hint="eastAsia" w:ascii="宋体" w:hAnsi="宋体" w:eastAsia="宋体" w:cs="宋体"/>
                <w:b/>
                <w:bCs/>
                <w:color w:val="auto"/>
                <w:sz w:val="21"/>
                <w:szCs w:val="21"/>
                <w:highlight w:val="none"/>
              </w:rPr>
              <w:t>贴合公路、水运、铁路工程质量监督检测项目要求；</w:t>
            </w:r>
            <w:r>
              <w:rPr>
                <w:rFonts w:hint="eastAsia" w:ascii="宋体" w:hAnsi="宋体" w:eastAsia="宋体" w:cs="宋体"/>
                <w:color w:val="auto"/>
                <w:sz w:val="21"/>
                <w:szCs w:val="21"/>
                <w:highlight w:val="none"/>
              </w:rPr>
              <w:t>试验检测实施方法符合行业检测实施细则及现行规范要求；方案内容完整，覆盖路基、路面、桥梁、隧道、原材料、实体等检测内容，能满足本项目全部检测需求；检测方法针对性强、措施可行，可直接指导现场检测；人员职责分工明确，质量、进度、安全管控方案合理；能识别项目重难点并提出有效措施。</w:t>
            </w:r>
          </w:p>
          <w:p w14:paraId="26C63E63">
            <w:pPr>
              <w:keepNext w:val="0"/>
              <w:keepLines w:val="0"/>
              <w:pageBreakBefore w:val="0"/>
              <w:kinsoku/>
              <w:wordWrap w:val="0"/>
              <w:overflowPunct/>
              <w:topLinePunct w:val="0"/>
              <w:autoSpaceDE/>
              <w:autoSpaceDN/>
              <w:bidi w:val="0"/>
              <w:spacing w:line="400" w:lineRule="exact"/>
              <w:ind w:firstLine="420" w:firstLineChars="200"/>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二档（</w:t>
            </w:r>
            <w:r>
              <w:rPr>
                <w:rFonts w:hint="eastAsia" w:ascii="宋体" w:hAnsi="宋体" w:eastAsia="宋体" w:cs="宋体"/>
                <w:color w:val="auto"/>
                <w:sz w:val="21"/>
                <w:szCs w:val="21"/>
                <w:highlight w:val="none"/>
                <w:lang w:val="en-US" w:eastAsia="zh-CN"/>
              </w:rPr>
              <w:t>18</w:t>
            </w:r>
            <w:r>
              <w:rPr>
                <w:rFonts w:hint="eastAsia" w:ascii="宋体" w:hAnsi="宋体" w:eastAsia="宋体" w:cs="宋体"/>
                <w:color w:val="auto"/>
                <w:sz w:val="21"/>
                <w:szCs w:val="21"/>
                <w:highlight w:val="none"/>
              </w:rPr>
              <w:t>分）：提交的检测计划及项目实施方案思路清晰，</w:t>
            </w:r>
            <w:r>
              <w:rPr>
                <w:rFonts w:hint="eastAsia" w:ascii="宋体" w:hAnsi="宋体" w:eastAsia="宋体" w:cs="宋体"/>
                <w:b/>
                <w:bCs/>
                <w:color w:val="auto"/>
                <w:sz w:val="21"/>
                <w:szCs w:val="21"/>
                <w:highlight w:val="none"/>
              </w:rPr>
              <w:t>符合公路、水运、铁路工程检测工作要求</w:t>
            </w:r>
            <w:r>
              <w:rPr>
                <w:rFonts w:hint="eastAsia" w:ascii="宋体" w:hAnsi="宋体" w:eastAsia="宋体" w:cs="宋体"/>
                <w:color w:val="auto"/>
                <w:sz w:val="21"/>
                <w:szCs w:val="21"/>
                <w:highlight w:val="none"/>
              </w:rPr>
              <w:t>；实施方法符合行业规范；方案齐全，覆盖主要检测内容；检测方法合理、措施可行，可指导现场检测；人员分工明确，管控方案合理；能识别项目难点并提出解决措施。</w:t>
            </w:r>
          </w:p>
          <w:p w14:paraId="5227CD3B">
            <w:pPr>
              <w:keepNext w:val="0"/>
              <w:keepLines w:val="0"/>
              <w:pageBreakBefore w:val="0"/>
              <w:kinsoku/>
              <w:wordWrap w:val="0"/>
              <w:overflowPunct/>
              <w:topLinePunct w:val="0"/>
              <w:autoSpaceDE/>
              <w:autoSpaceDN/>
              <w:bidi w:val="0"/>
              <w:spacing w:line="4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三档（</w:t>
            </w:r>
            <w:r>
              <w:rPr>
                <w:rFonts w:hint="eastAsia" w:ascii="宋体" w:hAnsi="宋体" w:eastAsia="宋体" w:cs="宋体"/>
                <w:color w:val="auto"/>
                <w:sz w:val="21"/>
                <w:szCs w:val="21"/>
                <w:highlight w:val="none"/>
                <w:lang w:val="en-US" w:eastAsia="zh-CN"/>
              </w:rPr>
              <w:t>12</w:t>
            </w:r>
            <w:r>
              <w:rPr>
                <w:rFonts w:hint="eastAsia" w:ascii="宋体" w:hAnsi="宋体" w:eastAsia="宋体" w:cs="宋体"/>
                <w:color w:val="auto"/>
                <w:sz w:val="21"/>
                <w:szCs w:val="21"/>
                <w:highlight w:val="none"/>
              </w:rPr>
              <w:t>分）：提交的检测计划及项目实施方案思路基本清晰，</w:t>
            </w:r>
            <w:r>
              <w:rPr>
                <w:rFonts w:hint="eastAsia" w:ascii="宋体" w:hAnsi="宋体" w:eastAsia="宋体" w:cs="宋体"/>
                <w:b/>
                <w:bCs/>
                <w:color w:val="auto"/>
                <w:sz w:val="21"/>
                <w:szCs w:val="21"/>
                <w:highlight w:val="none"/>
              </w:rPr>
              <w:t>适配公路、水运、铁路常规检测工作</w:t>
            </w:r>
            <w:r>
              <w:rPr>
                <w:rFonts w:hint="eastAsia" w:ascii="宋体" w:hAnsi="宋体" w:eastAsia="宋体" w:cs="宋体"/>
                <w:color w:val="auto"/>
                <w:sz w:val="21"/>
                <w:szCs w:val="21"/>
                <w:highlight w:val="none"/>
              </w:rPr>
              <w:t>；实施方法基本符合规范；方案基本齐全，可完成常规检测；措施可行，能保障基本工作开展。</w:t>
            </w:r>
          </w:p>
          <w:p w14:paraId="57FE0157">
            <w:pPr>
              <w:keepNext w:val="0"/>
              <w:keepLines w:val="0"/>
              <w:pageBreakBefore w:val="0"/>
              <w:kinsoku/>
              <w:wordWrap w:val="0"/>
              <w:overflowPunct/>
              <w:topLinePunct w:val="0"/>
              <w:autoSpaceDE/>
              <w:autoSpaceDN/>
              <w:bidi w:val="0"/>
              <w:spacing w:line="4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四档（</w:t>
            </w:r>
            <w:r>
              <w:rPr>
                <w:rFonts w:hint="eastAsia" w:ascii="宋体" w:hAnsi="宋体" w:eastAsia="宋体" w:cs="宋体"/>
                <w:color w:val="auto"/>
                <w:sz w:val="21"/>
                <w:szCs w:val="21"/>
                <w:highlight w:val="none"/>
                <w:lang w:val="en-US" w:eastAsia="zh-CN"/>
              </w:rPr>
              <w:t>6</w:t>
            </w:r>
            <w:r>
              <w:rPr>
                <w:rFonts w:hint="eastAsia" w:ascii="宋体" w:hAnsi="宋体" w:eastAsia="宋体" w:cs="宋体"/>
                <w:color w:val="auto"/>
                <w:sz w:val="21"/>
                <w:szCs w:val="21"/>
                <w:highlight w:val="none"/>
              </w:rPr>
              <w:t>分）：提交的检测计划及项目实施方案思路不清晰，</w:t>
            </w:r>
            <w:r>
              <w:rPr>
                <w:rFonts w:hint="eastAsia" w:ascii="宋体" w:hAnsi="宋体" w:eastAsia="宋体" w:cs="宋体"/>
                <w:b/>
                <w:bCs/>
                <w:color w:val="auto"/>
                <w:sz w:val="21"/>
                <w:szCs w:val="21"/>
                <w:highlight w:val="none"/>
              </w:rPr>
              <w:t>未贴合本项目检测要求</w:t>
            </w:r>
            <w:r>
              <w:rPr>
                <w:rFonts w:hint="eastAsia" w:ascii="宋体" w:hAnsi="宋体" w:eastAsia="宋体" w:cs="宋体"/>
                <w:color w:val="auto"/>
                <w:sz w:val="21"/>
                <w:szCs w:val="21"/>
                <w:highlight w:val="none"/>
              </w:rPr>
              <w:t>；实施方法部分不符合规范；方案简单，无法满足项目检测需求。</w:t>
            </w:r>
          </w:p>
          <w:p w14:paraId="3A23181A">
            <w:pPr>
              <w:keepNext w:val="0"/>
              <w:keepLines w:val="0"/>
              <w:pageBreakBefore w:val="0"/>
              <w:kinsoku/>
              <w:wordWrap w:val="0"/>
              <w:overflowPunct/>
              <w:topLinePunct w:val="0"/>
              <w:autoSpaceDE/>
              <w:autoSpaceDN/>
              <w:bidi w:val="0"/>
              <w:spacing w:line="4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注：不提供的不得分</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未达到最低评分条件的不得分</w:t>
            </w:r>
            <w:r>
              <w:rPr>
                <w:rFonts w:hint="eastAsia" w:ascii="宋体" w:hAnsi="宋体" w:eastAsia="宋体" w:cs="宋体"/>
                <w:color w:val="auto"/>
                <w:sz w:val="21"/>
                <w:szCs w:val="21"/>
                <w:highlight w:val="none"/>
              </w:rPr>
              <w:t>。</w:t>
            </w:r>
          </w:p>
        </w:tc>
      </w:tr>
      <w:tr w14:paraId="65CEFC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30" w:type="dxa"/>
            <w:vMerge w:val="continue"/>
            <w:noWrap w:val="0"/>
            <w:vAlign w:val="center"/>
          </w:tcPr>
          <w:p w14:paraId="64F37A7B">
            <w:pPr>
              <w:adjustRightInd w:val="0"/>
              <w:spacing w:line="360" w:lineRule="exact"/>
              <w:jc w:val="center"/>
              <w:textAlignment w:val="baseline"/>
              <w:rPr>
                <w:rFonts w:hint="eastAsia" w:ascii="宋体" w:hAnsi="宋体" w:eastAsia="宋体" w:cs="宋体"/>
                <w:b/>
                <w:color w:val="auto"/>
                <w:szCs w:val="21"/>
                <w:highlight w:val="none"/>
              </w:rPr>
            </w:pPr>
          </w:p>
        </w:tc>
        <w:tc>
          <w:tcPr>
            <w:tcW w:w="1280" w:type="dxa"/>
            <w:vMerge w:val="continue"/>
            <w:noWrap w:val="0"/>
            <w:vAlign w:val="center"/>
          </w:tcPr>
          <w:p w14:paraId="2BC5E701">
            <w:pPr>
              <w:adjustRightInd w:val="0"/>
              <w:spacing w:line="360" w:lineRule="exact"/>
              <w:jc w:val="center"/>
              <w:textAlignment w:val="baseline"/>
              <w:rPr>
                <w:rFonts w:hint="eastAsia" w:ascii="宋体" w:hAnsi="宋体" w:eastAsia="宋体" w:cs="宋体"/>
                <w:b/>
                <w:color w:val="auto"/>
                <w:szCs w:val="21"/>
                <w:highlight w:val="none"/>
              </w:rPr>
            </w:pPr>
          </w:p>
        </w:tc>
        <w:tc>
          <w:tcPr>
            <w:tcW w:w="709" w:type="dxa"/>
            <w:vMerge w:val="continue"/>
            <w:noWrap w:val="0"/>
            <w:vAlign w:val="center"/>
          </w:tcPr>
          <w:p w14:paraId="283FF792">
            <w:pPr>
              <w:adjustRightInd w:val="0"/>
              <w:spacing w:line="360" w:lineRule="exact"/>
              <w:jc w:val="center"/>
              <w:textAlignment w:val="baseline"/>
              <w:rPr>
                <w:rFonts w:hint="eastAsia" w:ascii="宋体" w:hAnsi="宋体" w:eastAsia="宋体" w:cs="宋体"/>
                <w:b/>
                <w:color w:val="auto"/>
                <w:szCs w:val="21"/>
                <w:highlight w:val="none"/>
              </w:rPr>
            </w:pPr>
          </w:p>
        </w:tc>
        <w:tc>
          <w:tcPr>
            <w:tcW w:w="1559" w:type="dxa"/>
            <w:noWrap w:val="0"/>
            <w:vAlign w:val="center"/>
          </w:tcPr>
          <w:p w14:paraId="684BB472">
            <w:pPr>
              <w:bidi w:val="0"/>
              <w:jc w:val="center"/>
              <w:rPr>
                <w:rFonts w:hint="eastAsia" w:ascii="宋体" w:hAnsi="宋体" w:eastAsia="宋体" w:cs="宋体"/>
                <w:color w:val="auto"/>
                <w:highlight w:val="none"/>
              </w:rPr>
            </w:pPr>
            <w:r>
              <w:rPr>
                <w:rFonts w:hint="eastAsia" w:ascii="宋体" w:hAnsi="宋体" w:eastAsia="宋体" w:cs="宋体"/>
                <w:color w:val="auto"/>
                <w:highlight w:val="none"/>
              </w:rPr>
              <w:t>进度计划、质量保障措施（</w:t>
            </w:r>
            <w:r>
              <w:rPr>
                <w:rFonts w:hint="eastAsia" w:ascii="宋体" w:hAnsi="宋体" w:eastAsia="宋体" w:cs="宋体"/>
                <w:color w:val="auto"/>
                <w:highlight w:val="none"/>
                <w:lang w:val="en-US" w:eastAsia="zh-CN"/>
              </w:rPr>
              <w:t>15</w:t>
            </w:r>
            <w:r>
              <w:rPr>
                <w:rFonts w:hint="eastAsia" w:ascii="宋体" w:hAnsi="宋体" w:eastAsia="宋体" w:cs="宋体"/>
                <w:color w:val="auto"/>
                <w:highlight w:val="none"/>
              </w:rPr>
              <w:t>分）</w:t>
            </w:r>
          </w:p>
        </w:tc>
        <w:tc>
          <w:tcPr>
            <w:tcW w:w="5410" w:type="dxa"/>
            <w:noWrap w:val="0"/>
            <w:vAlign w:val="center"/>
          </w:tcPr>
          <w:p w14:paraId="61287B95">
            <w:pPr>
              <w:keepNext w:val="0"/>
              <w:keepLines w:val="0"/>
              <w:pageBreakBefore w:val="0"/>
              <w:kinsoku/>
              <w:wordWrap w:val="0"/>
              <w:overflowPunct/>
              <w:topLinePunct w:val="0"/>
              <w:autoSpaceDE/>
              <w:autoSpaceDN/>
              <w:bidi w:val="0"/>
              <w:spacing w:line="4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提供有项目进度计划、质量保障措施，在此基础上打分：</w:t>
            </w:r>
          </w:p>
          <w:p w14:paraId="39214BB0">
            <w:pPr>
              <w:keepNext w:val="0"/>
              <w:keepLines w:val="0"/>
              <w:pageBreakBefore w:val="0"/>
              <w:kinsoku/>
              <w:wordWrap w:val="0"/>
              <w:overflowPunct/>
              <w:topLinePunct w:val="0"/>
              <w:autoSpaceDE/>
              <w:autoSpaceDN/>
              <w:bidi w:val="0"/>
              <w:spacing w:line="4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一档（</w:t>
            </w:r>
            <w:r>
              <w:rPr>
                <w:rFonts w:hint="eastAsia" w:ascii="宋体" w:hAnsi="宋体" w:eastAsia="宋体" w:cs="宋体"/>
                <w:color w:val="auto"/>
                <w:sz w:val="21"/>
                <w:szCs w:val="21"/>
                <w:highlight w:val="none"/>
                <w:lang w:val="en-US" w:eastAsia="zh-CN"/>
              </w:rPr>
              <w:t>15</w:t>
            </w:r>
            <w:r>
              <w:rPr>
                <w:rFonts w:hint="eastAsia" w:ascii="宋体" w:hAnsi="宋体" w:eastAsia="宋体" w:cs="宋体"/>
                <w:color w:val="auto"/>
                <w:sz w:val="21"/>
                <w:szCs w:val="21"/>
                <w:highlight w:val="none"/>
              </w:rPr>
              <w:t>分）：进度计划覆盖项目全周期，关键节点划分清晰、时序衔接合理、具备可落地性；质量保障措施覆盖外业采样、室内试验、现场管控、资料归档全流程；针对公路、水运、铁路工程检测重难点制定专项管控措施，方法科学，可有效保障项目进度与检测质量。</w:t>
            </w:r>
          </w:p>
          <w:p w14:paraId="63F255EF">
            <w:pPr>
              <w:keepNext w:val="0"/>
              <w:keepLines w:val="0"/>
              <w:pageBreakBefore w:val="0"/>
              <w:kinsoku/>
              <w:wordWrap w:val="0"/>
              <w:overflowPunct/>
              <w:topLinePunct w:val="0"/>
              <w:autoSpaceDE/>
              <w:autoSpaceDN/>
              <w:bidi w:val="0"/>
              <w:spacing w:line="4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二档（</w:t>
            </w:r>
            <w:r>
              <w:rPr>
                <w:rFonts w:hint="eastAsia" w:ascii="宋体" w:hAnsi="宋体" w:eastAsia="宋体" w:cs="宋体"/>
                <w:color w:val="auto"/>
                <w:sz w:val="21"/>
                <w:szCs w:val="21"/>
                <w:highlight w:val="none"/>
                <w:lang w:val="en-US" w:eastAsia="zh-CN"/>
              </w:rPr>
              <w:t>10</w:t>
            </w:r>
            <w:r>
              <w:rPr>
                <w:rFonts w:hint="eastAsia" w:ascii="宋体" w:hAnsi="宋体" w:eastAsia="宋体" w:cs="宋体"/>
                <w:color w:val="auto"/>
                <w:sz w:val="21"/>
                <w:szCs w:val="21"/>
                <w:highlight w:val="none"/>
              </w:rPr>
              <w:t>分）：进度计划覆盖项目主要实施阶段，节点安排合规合理；质量保障措施覆盖现场作业、试验室检测等关键环节，契合本项目检测要求，措施可行，能够保障项目正常推进。</w:t>
            </w:r>
          </w:p>
          <w:p w14:paraId="725CAF20">
            <w:pPr>
              <w:keepNext w:val="0"/>
              <w:keepLines w:val="0"/>
              <w:pageBreakBefore w:val="0"/>
              <w:kinsoku/>
              <w:wordWrap w:val="0"/>
              <w:overflowPunct/>
              <w:topLinePunct w:val="0"/>
              <w:autoSpaceDE/>
              <w:autoSpaceDN/>
              <w:bidi w:val="0"/>
              <w:spacing w:line="4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三档（</w:t>
            </w:r>
            <w:r>
              <w:rPr>
                <w:rFonts w:hint="eastAsia" w:ascii="宋体" w:hAnsi="宋体" w:eastAsia="宋体" w:cs="宋体"/>
                <w:color w:val="auto"/>
                <w:sz w:val="21"/>
                <w:szCs w:val="21"/>
                <w:highlight w:val="none"/>
                <w:lang w:val="en-US" w:eastAsia="zh-CN"/>
              </w:rPr>
              <w:t>6</w:t>
            </w:r>
            <w:r>
              <w:rPr>
                <w:rFonts w:hint="eastAsia" w:ascii="宋体" w:hAnsi="宋体" w:eastAsia="宋体" w:cs="宋体"/>
                <w:color w:val="auto"/>
                <w:sz w:val="21"/>
                <w:szCs w:val="21"/>
                <w:highlight w:val="none"/>
              </w:rPr>
              <w:t>分）：进度计划仅列明核心工作内容，节点划分较为简略；质量保障措施基本完整，可满足常规检测工作开展。</w:t>
            </w:r>
          </w:p>
          <w:p w14:paraId="1792479B">
            <w:pPr>
              <w:keepNext w:val="0"/>
              <w:keepLines w:val="0"/>
              <w:pageBreakBefore w:val="0"/>
              <w:kinsoku/>
              <w:wordWrap w:val="0"/>
              <w:overflowPunct/>
              <w:topLinePunct w:val="0"/>
              <w:autoSpaceDE/>
              <w:autoSpaceDN/>
              <w:bidi w:val="0"/>
              <w:spacing w:line="4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四档（</w:t>
            </w:r>
            <w:r>
              <w:rPr>
                <w:rFonts w:hint="eastAsia" w:ascii="宋体" w:hAnsi="宋体" w:eastAsia="宋体" w:cs="宋体"/>
                <w:color w:val="auto"/>
                <w:sz w:val="21"/>
                <w:szCs w:val="21"/>
                <w:highlight w:val="none"/>
                <w:lang w:val="en-US" w:eastAsia="zh-CN"/>
              </w:rPr>
              <w:t>2</w:t>
            </w:r>
            <w:r>
              <w:rPr>
                <w:rFonts w:hint="eastAsia" w:ascii="宋体" w:hAnsi="宋体" w:eastAsia="宋体" w:cs="宋体"/>
                <w:color w:val="auto"/>
                <w:sz w:val="21"/>
                <w:szCs w:val="21"/>
                <w:highlight w:val="none"/>
              </w:rPr>
              <w:t>分）：进度规划、质量管控措施内容简略零散，覆盖范围不足，无法保障项目正常实施。</w:t>
            </w:r>
          </w:p>
          <w:p w14:paraId="4D48E689">
            <w:pPr>
              <w:keepNext w:val="0"/>
              <w:keepLines w:val="0"/>
              <w:pageBreakBefore w:val="0"/>
              <w:kinsoku/>
              <w:wordWrap w:val="0"/>
              <w:overflowPunct/>
              <w:topLinePunct w:val="0"/>
              <w:autoSpaceDE/>
              <w:autoSpaceDN/>
              <w:bidi w:val="0"/>
              <w:spacing w:line="4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注：不提供的不得分</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未达到最低评分条件的不得分</w:t>
            </w:r>
            <w:r>
              <w:rPr>
                <w:rFonts w:hint="eastAsia" w:ascii="宋体" w:hAnsi="宋体" w:eastAsia="宋体" w:cs="宋体"/>
                <w:color w:val="auto"/>
                <w:sz w:val="21"/>
                <w:szCs w:val="21"/>
                <w:highlight w:val="none"/>
              </w:rPr>
              <w:t>。</w:t>
            </w:r>
          </w:p>
        </w:tc>
      </w:tr>
      <w:tr w14:paraId="522F31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30" w:type="dxa"/>
            <w:vMerge w:val="continue"/>
            <w:noWrap w:val="0"/>
            <w:vAlign w:val="center"/>
          </w:tcPr>
          <w:p w14:paraId="681D95A4">
            <w:pPr>
              <w:adjustRightInd w:val="0"/>
              <w:spacing w:line="360" w:lineRule="exact"/>
              <w:jc w:val="center"/>
              <w:textAlignment w:val="baseline"/>
              <w:rPr>
                <w:rFonts w:hint="eastAsia" w:ascii="宋体" w:hAnsi="宋体" w:eastAsia="宋体" w:cs="宋体"/>
                <w:b/>
                <w:color w:val="auto"/>
                <w:szCs w:val="21"/>
                <w:highlight w:val="none"/>
              </w:rPr>
            </w:pPr>
          </w:p>
        </w:tc>
        <w:tc>
          <w:tcPr>
            <w:tcW w:w="1280" w:type="dxa"/>
            <w:vMerge w:val="continue"/>
            <w:noWrap w:val="0"/>
            <w:vAlign w:val="center"/>
          </w:tcPr>
          <w:p w14:paraId="59AC6149">
            <w:pPr>
              <w:adjustRightInd w:val="0"/>
              <w:spacing w:line="360" w:lineRule="exact"/>
              <w:jc w:val="center"/>
              <w:textAlignment w:val="baseline"/>
              <w:rPr>
                <w:rFonts w:hint="eastAsia" w:ascii="宋体" w:hAnsi="宋体" w:eastAsia="宋体" w:cs="宋体"/>
                <w:b/>
                <w:color w:val="auto"/>
                <w:szCs w:val="21"/>
                <w:highlight w:val="none"/>
              </w:rPr>
            </w:pPr>
          </w:p>
        </w:tc>
        <w:tc>
          <w:tcPr>
            <w:tcW w:w="709" w:type="dxa"/>
            <w:vMerge w:val="continue"/>
            <w:noWrap w:val="0"/>
            <w:vAlign w:val="center"/>
          </w:tcPr>
          <w:p w14:paraId="69E7452B">
            <w:pPr>
              <w:adjustRightInd w:val="0"/>
              <w:spacing w:line="360" w:lineRule="exact"/>
              <w:jc w:val="center"/>
              <w:textAlignment w:val="baseline"/>
              <w:rPr>
                <w:rFonts w:hint="eastAsia" w:ascii="宋体" w:hAnsi="宋体" w:eastAsia="宋体" w:cs="宋体"/>
                <w:b/>
                <w:color w:val="auto"/>
                <w:szCs w:val="21"/>
                <w:highlight w:val="none"/>
              </w:rPr>
            </w:pPr>
          </w:p>
        </w:tc>
        <w:tc>
          <w:tcPr>
            <w:tcW w:w="1559" w:type="dxa"/>
            <w:noWrap w:val="0"/>
            <w:vAlign w:val="center"/>
          </w:tcPr>
          <w:p w14:paraId="3C5BF938">
            <w:pPr>
              <w:bidi w:val="0"/>
              <w:jc w:val="center"/>
              <w:rPr>
                <w:rFonts w:hint="eastAsia" w:ascii="宋体" w:hAnsi="宋体" w:eastAsia="宋体" w:cs="宋体"/>
                <w:color w:val="auto"/>
                <w:highlight w:val="none"/>
              </w:rPr>
            </w:pPr>
            <w:r>
              <w:rPr>
                <w:rFonts w:hint="eastAsia" w:ascii="宋体" w:hAnsi="宋体" w:eastAsia="宋体" w:cs="宋体"/>
                <w:color w:val="auto"/>
                <w:highlight w:val="none"/>
                <w:lang w:val="en-US" w:eastAsia="zh-CN"/>
              </w:rPr>
              <w:t>拟投入本项目仪器设备配置方案</w:t>
            </w:r>
          </w:p>
          <w:p w14:paraId="77C09B3C">
            <w:pPr>
              <w:bidi w:val="0"/>
              <w:jc w:val="center"/>
              <w:rPr>
                <w:rFonts w:hint="eastAsia" w:ascii="宋体" w:hAnsi="宋体" w:eastAsia="宋体" w:cs="宋体"/>
                <w:color w:val="auto"/>
                <w:highlight w:val="none"/>
              </w:rPr>
            </w:pPr>
            <w:r>
              <w:rPr>
                <w:rFonts w:hint="eastAsia" w:ascii="宋体" w:hAnsi="宋体" w:eastAsia="宋体" w:cs="宋体"/>
                <w:color w:val="auto"/>
                <w:highlight w:val="none"/>
              </w:rPr>
              <w:t>（</w:t>
            </w:r>
            <w:r>
              <w:rPr>
                <w:rFonts w:hint="eastAsia" w:ascii="宋体" w:hAnsi="宋体" w:eastAsia="宋体" w:cs="宋体"/>
                <w:color w:val="auto"/>
                <w:highlight w:val="none"/>
                <w:lang w:val="en-US" w:eastAsia="zh-CN"/>
              </w:rPr>
              <w:t>10</w:t>
            </w:r>
            <w:r>
              <w:rPr>
                <w:rFonts w:hint="eastAsia" w:ascii="宋体" w:hAnsi="宋体" w:eastAsia="宋体" w:cs="宋体"/>
                <w:color w:val="auto"/>
                <w:highlight w:val="none"/>
              </w:rPr>
              <w:t>分）</w:t>
            </w:r>
          </w:p>
        </w:tc>
        <w:tc>
          <w:tcPr>
            <w:tcW w:w="5410" w:type="dxa"/>
            <w:noWrap w:val="0"/>
            <w:vAlign w:val="center"/>
          </w:tcPr>
          <w:p w14:paraId="0C94D345">
            <w:pPr>
              <w:keepNext w:val="0"/>
              <w:keepLines w:val="0"/>
              <w:pageBreakBefore w:val="0"/>
              <w:kinsoku/>
              <w:wordWrap w:val="0"/>
              <w:overflowPunct/>
              <w:topLinePunct w:val="0"/>
              <w:autoSpaceDE/>
              <w:autoSpaceDN/>
              <w:bidi w:val="0"/>
              <w:spacing w:line="4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根据投标人拟投入本项目的仪器设备配置方案完整性、适配性、进场规划及设备保障管理体系综合打分。</w:t>
            </w:r>
          </w:p>
          <w:p w14:paraId="18C498CF">
            <w:pPr>
              <w:keepNext w:val="0"/>
              <w:keepLines w:val="0"/>
              <w:pageBreakBefore w:val="0"/>
              <w:kinsoku/>
              <w:wordWrap w:val="0"/>
              <w:overflowPunct/>
              <w:topLinePunct w:val="0"/>
              <w:autoSpaceDE/>
              <w:autoSpaceDN/>
              <w:bidi w:val="0"/>
              <w:spacing w:line="400" w:lineRule="exact"/>
              <w:ind w:firstLine="420" w:firstLineChars="200"/>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eastAsia="zh-CN"/>
              </w:rPr>
              <w:t>一档（</w:t>
            </w:r>
            <w:r>
              <w:rPr>
                <w:rFonts w:hint="eastAsia" w:ascii="宋体" w:hAnsi="宋体" w:eastAsia="宋体" w:cs="宋体"/>
                <w:color w:val="auto"/>
                <w:sz w:val="21"/>
                <w:szCs w:val="21"/>
                <w:highlight w:val="none"/>
                <w:lang w:val="en-US" w:eastAsia="zh-CN"/>
              </w:rPr>
              <w:t>10</w:t>
            </w:r>
            <w:r>
              <w:rPr>
                <w:rFonts w:hint="eastAsia" w:ascii="宋体" w:hAnsi="宋体" w:eastAsia="宋体" w:cs="宋体"/>
                <w:color w:val="auto"/>
                <w:sz w:val="21"/>
                <w:szCs w:val="21"/>
                <w:highlight w:val="none"/>
              </w:rPr>
              <w:t>分）</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仪器设备配置方案体系规范、贴合</w:t>
            </w:r>
            <w:r>
              <w:rPr>
                <w:rFonts w:hint="eastAsia" w:ascii="宋体" w:hAnsi="宋体" w:eastAsia="宋体" w:cs="宋体"/>
                <w:b/>
                <w:bCs/>
                <w:color w:val="auto"/>
                <w:sz w:val="21"/>
                <w:szCs w:val="21"/>
                <w:highlight w:val="none"/>
                <w:lang w:val="en-US" w:eastAsia="zh-CN"/>
              </w:rPr>
              <w:t>本项目公路、水运、铁路工程检测实际需求</w:t>
            </w:r>
            <w:r>
              <w:rPr>
                <w:rFonts w:hint="eastAsia" w:ascii="宋体" w:hAnsi="宋体" w:eastAsia="宋体" w:cs="宋体"/>
                <w:color w:val="auto"/>
                <w:sz w:val="21"/>
                <w:szCs w:val="21"/>
                <w:highlight w:val="none"/>
                <w:lang w:val="en-US" w:eastAsia="zh-CN"/>
              </w:rPr>
              <w:t>；设备清单全面覆盖所有检测项目技术需求，关键设备配置适配性高，设备性能参数完全符合现行规范标准；设备进场规划科学合理，与项目施工、检测进度动态适配；建立包含设备预防性维护、应急响应、备用设备调用的全流程保障体系，可全方位保障检测工作有序、稳定开展。</w:t>
            </w:r>
          </w:p>
          <w:p w14:paraId="2A4D7517">
            <w:pPr>
              <w:keepNext w:val="0"/>
              <w:keepLines w:val="0"/>
              <w:pageBreakBefore w:val="0"/>
              <w:kinsoku/>
              <w:wordWrap w:val="0"/>
              <w:overflowPunct/>
              <w:topLinePunct w:val="0"/>
              <w:autoSpaceDE/>
              <w:autoSpaceDN/>
              <w:bidi w:val="0"/>
              <w:spacing w:line="400" w:lineRule="exact"/>
              <w:ind w:firstLine="420" w:firstLineChars="200"/>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eastAsia="zh-CN"/>
              </w:rPr>
              <w:t>二档（</w:t>
            </w:r>
            <w:r>
              <w:rPr>
                <w:rFonts w:hint="eastAsia" w:ascii="宋体" w:hAnsi="宋体" w:eastAsia="宋体" w:cs="宋体"/>
                <w:color w:val="auto"/>
                <w:sz w:val="21"/>
                <w:szCs w:val="21"/>
                <w:highlight w:val="none"/>
                <w:lang w:val="en-US" w:eastAsia="zh-CN"/>
              </w:rPr>
              <w:t>7</w:t>
            </w:r>
            <w:r>
              <w:rPr>
                <w:rFonts w:hint="eastAsia" w:ascii="宋体" w:hAnsi="宋体" w:eastAsia="宋体" w:cs="宋体"/>
                <w:color w:val="auto"/>
                <w:sz w:val="21"/>
                <w:szCs w:val="21"/>
                <w:highlight w:val="none"/>
              </w:rPr>
              <w:t>分）</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仪器设备配置方案完整合规，设备清单覆盖规程要求的全部检测项目，主要设备的配置、性能均满足规范标准；设备进场时间安排贴合项目进度计划，预留充足的设备调试周期；具备完善的设备日常维护方案及基础应急处置措施，能够保障检测工作的连续性。</w:t>
            </w:r>
          </w:p>
          <w:p w14:paraId="387F4152">
            <w:pPr>
              <w:keepNext w:val="0"/>
              <w:keepLines w:val="0"/>
              <w:pageBreakBefore w:val="0"/>
              <w:kinsoku/>
              <w:wordWrap w:val="0"/>
              <w:overflowPunct/>
              <w:topLinePunct w:val="0"/>
              <w:autoSpaceDE/>
              <w:autoSpaceDN/>
              <w:bidi w:val="0"/>
              <w:spacing w:line="400" w:lineRule="exact"/>
              <w:ind w:firstLine="420" w:firstLineChars="200"/>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eastAsia="zh-CN"/>
              </w:rPr>
              <w:t>三档（</w:t>
            </w:r>
            <w:r>
              <w:rPr>
                <w:rFonts w:hint="eastAsia" w:ascii="宋体" w:hAnsi="宋体" w:eastAsia="宋体" w:cs="宋体"/>
                <w:color w:val="auto"/>
                <w:sz w:val="21"/>
                <w:szCs w:val="21"/>
                <w:highlight w:val="none"/>
                <w:lang w:val="en-US" w:eastAsia="zh-CN"/>
              </w:rPr>
              <w:t>4</w:t>
            </w:r>
            <w:r>
              <w:rPr>
                <w:rFonts w:hint="eastAsia" w:ascii="宋体" w:hAnsi="宋体" w:eastAsia="宋体" w:cs="宋体"/>
                <w:color w:val="auto"/>
                <w:sz w:val="21"/>
                <w:szCs w:val="21"/>
                <w:highlight w:val="none"/>
              </w:rPr>
              <w:t>分）</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仪器设备配置方案基本齐全，可适配本项目常规检测工作；设备清单覆盖大部分检测项目，仅少量非核心检测内容存在缺失，设备选型及参数基本符合规范要求；设备进场计划与项目进度基本衔接，仅配套设备管理内容较为简易，系统性保障措施不足。</w:t>
            </w:r>
          </w:p>
          <w:p w14:paraId="021DB884">
            <w:pPr>
              <w:keepNext w:val="0"/>
              <w:keepLines w:val="0"/>
              <w:pageBreakBefore w:val="0"/>
              <w:kinsoku/>
              <w:wordWrap w:val="0"/>
              <w:overflowPunct/>
              <w:topLinePunct w:val="0"/>
              <w:autoSpaceDE/>
              <w:autoSpaceDN/>
              <w:bidi w:val="0"/>
              <w:spacing w:line="4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eastAsia="zh-CN"/>
              </w:rPr>
              <w:t>四档（</w:t>
            </w:r>
            <w:r>
              <w:rPr>
                <w:rFonts w:hint="eastAsia" w:ascii="宋体" w:hAnsi="宋体" w:eastAsia="宋体" w:cs="宋体"/>
                <w:color w:val="auto"/>
                <w:sz w:val="21"/>
                <w:szCs w:val="21"/>
                <w:highlight w:val="none"/>
                <w:lang w:val="en-US" w:eastAsia="zh-CN"/>
              </w:rPr>
              <w:t>1</w:t>
            </w:r>
            <w:r>
              <w:rPr>
                <w:rFonts w:hint="eastAsia" w:ascii="宋体" w:hAnsi="宋体" w:eastAsia="宋体" w:cs="宋体"/>
                <w:color w:val="auto"/>
                <w:sz w:val="21"/>
                <w:szCs w:val="21"/>
                <w:highlight w:val="none"/>
              </w:rPr>
              <w:t>分）</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仪器设备配置方案内容不完善，适配性较差；设备清单缺失多项关键检测项目对应设备，部分设备参数不符合检测规范；设备进场安排与项目进度衔接度低，无完善的设备管理及保障机制，无法满足项目检测工作需求。</w:t>
            </w:r>
          </w:p>
          <w:p w14:paraId="2F4B8890">
            <w:pPr>
              <w:keepNext w:val="0"/>
              <w:keepLines w:val="0"/>
              <w:pageBreakBefore w:val="0"/>
              <w:kinsoku/>
              <w:wordWrap w:val="0"/>
              <w:overflowPunct/>
              <w:topLinePunct w:val="0"/>
              <w:autoSpaceDE/>
              <w:autoSpaceDN/>
              <w:bidi w:val="0"/>
              <w:spacing w:line="4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注：不提供的不得分</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未达到最低评分条件的不得分，</w:t>
            </w:r>
            <w:r>
              <w:rPr>
                <w:rFonts w:hint="eastAsia" w:ascii="宋体" w:hAnsi="宋体" w:eastAsia="宋体" w:cs="宋体"/>
                <w:b/>
                <w:bCs/>
                <w:color w:val="auto"/>
                <w:sz w:val="21"/>
                <w:szCs w:val="21"/>
                <w:highlight w:val="none"/>
                <w:lang w:val="en-US" w:eastAsia="zh-CN"/>
              </w:rPr>
              <w:t>投标人需提供详细的仪器设备配置清单、进场计划及设备保障管理相关材料作为评审依据。</w:t>
            </w:r>
          </w:p>
        </w:tc>
      </w:tr>
      <w:tr w14:paraId="62A0CD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3" w:hRule="atLeast"/>
          <w:jc w:val="center"/>
        </w:trPr>
        <w:tc>
          <w:tcPr>
            <w:tcW w:w="730" w:type="dxa"/>
            <w:vMerge w:val="continue"/>
            <w:noWrap w:val="0"/>
            <w:vAlign w:val="center"/>
          </w:tcPr>
          <w:p w14:paraId="3046B595">
            <w:pPr>
              <w:adjustRightInd w:val="0"/>
              <w:spacing w:line="360" w:lineRule="exact"/>
              <w:jc w:val="center"/>
              <w:textAlignment w:val="baseline"/>
              <w:rPr>
                <w:rFonts w:hint="eastAsia" w:ascii="宋体" w:hAnsi="宋体" w:eastAsia="宋体" w:cs="宋体"/>
                <w:b/>
                <w:color w:val="auto"/>
                <w:szCs w:val="21"/>
                <w:highlight w:val="none"/>
              </w:rPr>
            </w:pPr>
          </w:p>
        </w:tc>
        <w:tc>
          <w:tcPr>
            <w:tcW w:w="1280" w:type="dxa"/>
            <w:vMerge w:val="continue"/>
            <w:noWrap w:val="0"/>
            <w:vAlign w:val="center"/>
          </w:tcPr>
          <w:p w14:paraId="0E5C25E5">
            <w:pPr>
              <w:adjustRightInd w:val="0"/>
              <w:spacing w:line="360" w:lineRule="exact"/>
              <w:jc w:val="center"/>
              <w:textAlignment w:val="baseline"/>
              <w:rPr>
                <w:rFonts w:hint="eastAsia" w:ascii="宋体" w:hAnsi="宋体" w:eastAsia="宋体" w:cs="宋体"/>
                <w:b/>
                <w:color w:val="auto"/>
                <w:szCs w:val="21"/>
                <w:highlight w:val="none"/>
              </w:rPr>
            </w:pPr>
          </w:p>
        </w:tc>
        <w:tc>
          <w:tcPr>
            <w:tcW w:w="709" w:type="dxa"/>
            <w:vMerge w:val="continue"/>
            <w:noWrap w:val="0"/>
            <w:vAlign w:val="center"/>
          </w:tcPr>
          <w:p w14:paraId="5AEA0F87">
            <w:pPr>
              <w:adjustRightInd w:val="0"/>
              <w:spacing w:line="360" w:lineRule="exact"/>
              <w:jc w:val="center"/>
              <w:textAlignment w:val="baseline"/>
              <w:rPr>
                <w:rFonts w:hint="eastAsia" w:ascii="宋体" w:hAnsi="宋体" w:eastAsia="宋体" w:cs="宋体"/>
                <w:b/>
                <w:color w:val="auto"/>
                <w:szCs w:val="21"/>
                <w:highlight w:val="none"/>
              </w:rPr>
            </w:pPr>
          </w:p>
        </w:tc>
        <w:tc>
          <w:tcPr>
            <w:tcW w:w="1559" w:type="dxa"/>
            <w:noWrap w:val="0"/>
            <w:vAlign w:val="center"/>
          </w:tcPr>
          <w:p w14:paraId="0D3B7286">
            <w:pPr>
              <w:bidi w:val="0"/>
              <w:jc w:val="center"/>
              <w:rPr>
                <w:rFonts w:hint="eastAsia" w:ascii="宋体" w:hAnsi="宋体" w:eastAsia="宋体" w:cs="宋体"/>
                <w:color w:val="auto"/>
                <w:highlight w:val="none"/>
              </w:rPr>
            </w:pPr>
            <w:r>
              <w:rPr>
                <w:rFonts w:hint="eastAsia" w:ascii="宋体" w:hAnsi="宋体" w:eastAsia="宋体" w:cs="宋体"/>
                <w:color w:val="auto"/>
                <w:highlight w:val="none"/>
              </w:rPr>
              <w:t>服务承诺方案</w:t>
            </w:r>
          </w:p>
          <w:p w14:paraId="2380BBBF">
            <w:pPr>
              <w:bidi w:val="0"/>
              <w:jc w:val="center"/>
              <w:rPr>
                <w:rFonts w:hint="eastAsia" w:ascii="宋体" w:hAnsi="宋体" w:eastAsia="宋体" w:cs="宋体"/>
                <w:color w:val="auto"/>
                <w:highlight w:val="none"/>
              </w:rPr>
            </w:pPr>
            <w:r>
              <w:rPr>
                <w:rFonts w:hint="eastAsia" w:ascii="宋体" w:hAnsi="宋体" w:eastAsia="宋体" w:cs="宋体"/>
                <w:color w:val="auto"/>
                <w:highlight w:val="none"/>
              </w:rPr>
              <w:t>（</w:t>
            </w:r>
            <w:r>
              <w:rPr>
                <w:rFonts w:hint="eastAsia" w:ascii="宋体" w:hAnsi="宋体" w:eastAsia="宋体" w:cs="宋体"/>
                <w:color w:val="auto"/>
                <w:highlight w:val="none"/>
                <w:lang w:val="en-US" w:eastAsia="zh-CN"/>
              </w:rPr>
              <w:t>10</w:t>
            </w:r>
            <w:r>
              <w:rPr>
                <w:rFonts w:hint="eastAsia" w:ascii="宋体" w:hAnsi="宋体" w:eastAsia="宋体" w:cs="宋体"/>
                <w:color w:val="auto"/>
                <w:highlight w:val="none"/>
              </w:rPr>
              <w:t>分）</w:t>
            </w:r>
          </w:p>
        </w:tc>
        <w:tc>
          <w:tcPr>
            <w:tcW w:w="5410" w:type="dxa"/>
            <w:noWrap w:val="0"/>
            <w:vAlign w:val="center"/>
          </w:tcPr>
          <w:p w14:paraId="1B639667">
            <w:pPr>
              <w:keepNext w:val="0"/>
              <w:keepLines w:val="0"/>
              <w:pageBreakBefore w:val="0"/>
              <w:kinsoku/>
              <w:wordWrap w:val="0"/>
              <w:overflowPunct/>
              <w:topLinePunct w:val="0"/>
              <w:autoSpaceDE/>
              <w:autoSpaceDN/>
              <w:bidi w:val="0"/>
              <w:spacing w:line="4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在投标人提供有服务承诺方案的基础上打分：</w:t>
            </w:r>
          </w:p>
          <w:p w14:paraId="627D857F">
            <w:pPr>
              <w:keepNext w:val="0"/>
              <w:keepLines w:val="0"/>
              <w:pageBreakBefore w:val="0"/>
              <w:kinsoku/>
              <w:wordWrap w:val="0"/>
              <w:overflowPunct/>
              <w:topLinePunct w:val="0"/>
              <w:autoSpaceDE/>
              <w:autoSpaceDN/>
              <w:bidi w:val="0"/>
              <w:spacing w:line="400" w:lineRule="exact"/>
              <w:ind w:firstLine="420" w:firstLineChars="200"/>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一档（</w:t>
            </w:r>
            <w:r>
              <w:rPr>
                <w:rFonts w:hint="eastAsia" w:ascii="宋体" w:hAnsi="宋体" w:eastAsia="宋体" w:cs="宋体"/>
                <w:color w:val="auto"/>
                <w:sz w:val="21"/>
                <w:szCs w:val="21"/>
                <w:highlight w:val="none"/>
                <w:lang w:val="en-US" w:eastAsia="zh-CN"/>
              </w:rPr>
              <w:t>10</w:t>
            </w:r>
            <w:r>
              <w:rPr>
                <w:rFonts w:hint="eastAsia" w:ascii="宋体" w:hAnsi="宋体" w:eastAsia="宋体" w:cs="宋体"/>
                <w:color w:val="auto"/>
                <w:sz w:val="21"/>
                <w:szCs w:val="21"/>
                <w:highlight w:val="none"/>
              </w:rPr>
              <w:t>分）</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服务承诺方案内容详实完整，贴合公路、水运、铁路工程检测项目履约需求；各项服务条款清晰具体、可落地；响应服务、现场服务、报告交付、异议处理、应急保障、数据保密、售后保障等核心内容齐全；方案针对性强，除满足招标文件全部要求外，具备优化服务举措，可充分保障项目履约质量。</w:t>
            </w:r>
          </w:p>
          <w:p w14:paraId="4021C20D">
            <w:pPr>
              <w:keepNext w:val="0"/>
              <w:keepLines w:val="0"/>
              <w:pageBreakBefore w:val="0"/>
              <w:kinsoku/>
              <w:wordWrap w:val="0"/>
              <w:overflowPunct/>
              <w:topLinePunct w:val="0"/>
              <w:autoSpaceDE/>
              <w:autoSpaceDN/>
              <w:bidi w:val="0"/>
              <w:spacing w:line="4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二档（</w:t>
            </w:r>
            <w:r>
              <w:rPr>
                <w:rFonts w:hint="eastAsia" w:ascii="宋体" w:hAnsi="宋体" w:eastAsia="宋体" w:cs="宋体"/>
                <w:color w:val="auto"/>
                <w:sz w:val="21"/>
                <w:szCs w:val="21"/>
                <w:highlight w:val="none"/>
                <w:lang w:val="en-US" w:eastAsia="zh-CN"/>
              </w:rPr>
              <w:t>7</w:t>
            </w:r>
            <w:r>
              <w:rPr>
                <w:rFonts w:hint="eastAsia" w:ascii="宋体" w:hAnsi="宋体" w:eastAsia="宋体" w:cs="宋体"/>
                <w:color w:val="auto"/>
                <w:sz w:val="21"/>
                <w:szCs w:val="21"/>
                <w:highlight w:val="none"/>
              </w:rPr>
              <w:t>分）</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服务承诺方案内容详实齐全，贴合本项目检测服务需求；各项服务条款具体明确，核心服务要素完整，服务举措合理可行，能够全面满足项目履约实施要求。</w:t>
            </w:r>
          </w:p>
          <w:p w14:paraId="5735556D">
            <w:pPr>
              <w:keepNext w:val="0"/>
              <w:keepLines w:val="0"/>
              <w:pageBreakBefore w:val="0"/>
              <w:kinsoku/>
              <w:wordWrap w:val="0"/>
              <w:overflowPunct/>
              <w:topLinePunct w:val="0"/>
              <w:autoSpaceDE/>
              <w:autoSpaceDN/>
              <w:bidi w:val="0"/>
              <w:spacing w:line="4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三档（</w:t>
            </w:r>
            <w:r>
              <w:rPr>
                <w:rFonts w:hint="eastAsia" w:ascii="宋体" w:hAnsi="宋体" w:eastAsia="宋体" w:cs="宋体"/>
                <w:color w:val="auto"/>
                <w:sz w:val="21"/>
                <w:szCs w:val="21"/>
                <w:highlight w:val="none"/>
                <w:lang w:val="en-US" w:eastAsia="zh-CN"/>
              </w:rPr>
              <w:t>4</w:t>
            </w:r>
            <w:r>
              <w:rPr>
                <w:rFonts w:hint="eastAsia" w:ascii="宋体" w:hAnsi="宋体" w:eastAsia="宋体" w:cs="宋体"/>
                <w:color w:val="auto"/>
                <w:sz w:val="21"/>
                <w:szCs w:val="21"/>
                <w:highlight w:val="none"/>
              </w:rPr>
              <w:t>分）</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服务承诺方案内容基本齐全，涵盖主要服务要素；服务条款基本明确，举措可行，可满足项目常规履约要求。</w:t>
            </w:r>
          </w:p>
          <w:p w14:paraId="770C1C63">
            <w:pPr>
              <w:keepNext w:val="0"/>
              <w:keepLines w:val="0"/>
              <w:pageBreakBefore w:val="0"/>
              <w:kinsoku/>
              <w:wordWrap w:val="0"/>
              <w:overflowPunct/>
              <w:topLinePunct w:val="0"/>
              <w:autoSpaceDE/>
              <w:autoSpaceDN/>
              <w:bidi w:val="0"/>
              <w:spacing w:line="4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四档（</w:t>
            </w:r>
            <w:r>
              <w:rPr>
                <w:rFonts w:hint="eastAsia" w:ascii="宋体" w:hAnsi="宋体" w:eastAsia="宋体" w:cs="宋体"/>
                <w:color w:val="auto"/>
                <w:sz w:val="21"/>
                <w:szCs w:val="21"/>
                <w:highlight w:val="none"/>
                <w:lang w:val="en-US" w:eastAsia="zh-CN"/>
              </w:rPr>
              <w:t>1</w:t>
            </w:r>
            <w:r>
              <w:rPr>
                <w:rFonts w:hint="eastAsia" w:ascii="宋体" w:hAnsi="宋体" w:eastAsia="宋体" w:cs="宋体"/>
                <w:color w:val="auto"/>
                <w:sz w:val="21"/>
                <w:szCs w:val="21"/>
                <w:highlight w:val="none"/>
              </w:rPr>
              <w:t>分）</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服务承诺方案内容简略、核心要素缺失，服务条款表述不完整，无法满足项目基本履约实施要求</w:t>
            </w:r>
            <w:r>
              <w:rPr>
                <w:rFonts w:hint="eastAsia" w:ascii="宋体" w:hAnsi="宋体" w:eastAsia="宋体" w:cs="宋体"/>
                <w:color w:val="auto"/>
                <w:sz w:val="21"/>
                <w:szCs w:val="21"/>
                <w:highlight w:val="none"/>
              </w:rPr>
              <w:t>。</w:t>
            </w:r>
          </w:p>
          <w:p w14:paraId="7CD83243">
            <w:pPr>
              <w:keepNext w:val="0"/>
              <w:keepLines w:val="0"/>
              <w:pageBreakBefore w:val="0"/>
              <w:kinsoku/>
              <w:wordWrap w:val="0"/>
              <w:overflowPunct/>
              <w:topLinePunct w:val="0"/>
              <w:autoSpaceDE/>
              <w:autoSpaceDN/>
              <w:bidi w:val="0"/>
              <w:spacing w:line="4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注：不提供的不得分</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未达到最低评分条件的不得分</w:t>
            </w:r>
            <w:r>
              <w:rPr>
                <w:rFonts w:hint="eastAsia" w:ascii="宋体" w:hAnsi="宋体" w:eastAsia="宋体" w:cs="宋体"/>
                <w:color w:val="auto"/>
                <w:sz w:val="21"/>
                <w:szCs w:val="21"/>
                <w:highlight w:val="none"/>
              </w:rPr>
              <w:t>。</w:t>
            </w:r>
          </w:p>
        </w:tc>
      </w:tr>
      <w:tr w14:paraId="50078E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3" w:hRule="atLeast"/>
          <w:jc w:val="center"/>
        </w:trPr>
        <w:tc>
          <w:tcPr>
            <w:tcW w:w="730" w:type="dxa"/>
            <w:vMerge w:val="continue"/>
            <w:noWrap w:val="0"/>
            <w:vAlign w:val="center"/>
          </w:tcPr>
          <w:p w14:paraId="061364B3">
            <w:pPr>
              <w:adjustRightInd w:val="0"/>
              <w:spacing w:line="360" w:lineRule="exact"/>
              <w:jc w:val="center"/>
              <w:textAlignment w:val="baseline"/>
              <w:rPr>
                <w:rFonts w:hint="eastAsia" w:ascii="宋体" w:hAnsi="宋体" w:eastAsia="宋体" w:cs="宋体"/>
                <w:b/>
                <w:color w:val="auto"/>
                <w:szCs w:val="21"/>
                <w:highlight w:val="none"/>
              </w:rPr>
            </w:pPr>
          </w:p>
        </w:tc>
        <w:tc>
          <w:tcPr>
            <w:tcW w:w="1280" w:type="dxa"/>
            <w:vMerge w:val="continue"/>
            <w:noWrap w:val="0"/>
            <w:vAlign w:val="center"/>
          </w:tcPr>
          <w:p w14:paraId="6A5DC247">
            <w:pPr>
              <w:adjustRightInd w:val="0"/>
              <w:spacing w:line="360" w:lineRule="exact"/>
              <w:jc w:val="center"/>
              <w:textAlignment w:val="baseline"/>
              <w:rPr>
                <w:rFonts w:hint="eastAsia" w:ascii="宋体" w:hAnsi="宋体" w:eastAsia="宋体" w:cs="宋体"/>
                <w:b/>
                <w:color w:val="auto"/>
                <w:szCs w:val="21"/>
                <w:highlight w:val="none"/>
              </w:rPr>
            </w:pPr>
          </w:p>
        </w:tc>
        <w:tc>
          <w:tcPr>
            <w:tcW w:w="709" w:type="dxa"/>
            <w:vMerge w:val="continue"/>
            <w:noWrap w:val="0"/>
            <w:vAlign w:val="center"/>
          </w:tcPr>
          <w:p w14:paraId="4C036B11">
            <w:pPr>
              <w:adjustRightInd w:val="0"/>
              <w:spacing w:line="360" w:lineRule="exact"/>
              <w:jc w:val="center"/>
              <w:textAlignment w:val="baseline"/>
              <w:rPr>
                <w:rFonts w:hint="eastAsia" w:ascii="宋体" w:hAnsi="宋体" w:eastAsia="宋体" w:cs="宋体"/>
                <w:b/>
                <w:color w:val="auto"/>
                <w:szCs w:val="21"/>
                <w:highlight w:val="none"/>
              </w:rPr>
            </w:pPr>
          </w:p>
        </w:tc>
        <w:tc>
          <w:tcPr>
            <w:tcW w:w="1559" w:type="dxa"/>
            <w:noWrap w:val="0"/>
            <w:vAlign w:val="center"/>
          </w:tcPr>
          <w:p w14:paraId="435933BB">
            <w:pPr>
              <w:bidi w:val="0"/>
              <w:jc w:val="center"/>
              <w:rPr>
                <w:rFonts w:hint="eastAsia" w:ascii="宋体" w:hAnsi="宋体" w:eastAsia="宋体" w:cs="宋体"/>
                <w:color w:val="auto"/>
                <w:highlight w:val="none"/>
              </w:rPr>
            </w:pPr>
            <w:r>
              <w:rPr>
                <w:rFonts w:hint="eastAsia" w:ascii="宋体" w:hAnsi="宋体" w:eastAsia="宋体" w:cs="宋体"/>
                <w:color w:val="auto"/>
                <w:highlight w:val="none"/>
              </w:rPr>
              <w:t>投标人应急服务能力（</w:t>
            </w:r>
            <w:r>
              <w:rPr>
                <w:rFonts w:hint="eastAsia" w:ascii="宋体" w:hAnsi="宋体" w:cs="宋体"/>
                <w:color w:val="auto"/>
                <w:highlight w:val="none"/>
                <w:lang w:val="en-US" w:eastAsia="zh-CN"/>
              </w:rPr>
              <w:t>10</w:t>
            </w:r>
            <w:r>
              <w:rPr>
                <w:rFonts w:hint="eastAsia" w:ascii="宋体" w:hAnsi="宋体" w:eastAsia="宋体" w:cs="宋体"/>
                <w:color w:val="auto"/>
                <w:highlight w:val="none"/>
              </w:rPr>
              <w:t>分）</w:t>
            </w:r>
          </w:p>
        </w:tc>
        <w:tc>
          <w:tcPr>
            <w:tcW w:w="5410" w:type="dxa"/>
            <w:noWrap w:val="0"/>
            <w:vAlign w:val="center"/>
          </w:tcPr>
          <w:p w14:paraId="5FC9C721">
            <w:pPr>
              <w:keepNext w:val="0"/>
              <w:keepLines w:val="0"/>
              <w:pageBreakBefore w:val="0"/>
              <w:kinsoku/>
              <w:wordWrap w:val="0"/>
              <w:overflowPunct/>
              <w:topLinePunct w:val="0"/>
              <w:autoSpaceDE/>
              <w:autoSpaceDN/>
              <w:bidi w:val="0"/>
              <w:spacing w:line="400" w:lineRule="exact"/>
              <w:ind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eastAsia="zh-CN"/>
              </w:rPr>
              <w:t>一档（</w:t>
            </w:r>
            <w:r>
              <w:rPr>
                <w:rFonts w:hint="eastAsia" w:ascii="宋体" w:hAnsi="宋体" w:cs="宋体"/>
                <w:color w:val="auto"/>
                <w:sz w:val="21"/>
                <w:szCs w:val="21"/>
                <w:highlight w:val="none"/>
                <w:lang w:val="en-US" w:eastAsia="zh-CN"/>
              </w:rPr>
              <w:t>10</w:t>
            </w:r>
            <w:r>
              <w:rPr>
                <w:rFonts w:hint="eastAsia" w:ascii="宋体" w:hAnsi="宋体" w:eastAsia="宋体" w:cs="宋体"/>
                <w:color w:val="auto"/>
                <w:sz w:val="21"/>
                <w:szCs w:val="21"/>
                <w:highlight w:val="none"/>
              </w:rPr>
              <w:t>分）</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应急服务方案体系完整、内容详实，人员、设备、车辆、值守保障机制完善；承诺接令后 2 小时（含）内响应、24 小时（含）内抵达现场；报告交付、月度数据报送、整体总结报告时效管控措施严谨规范；具备常态化应急值守、备用人员设备储备、突发情况兜底预案，服务保障能力优于招标文件基础要求，可高效保障项目应急检测需求。</w:t>
            </w:r>
          </w:p>
          <w:p w14:paraId="779D0099">
            <w:pPr>
              <w:keepNext w:val="0"/>
              <w:keepLines w:val="0"/>
              <w:pageBreakBefore w:val="0"/>
              <w:kinsoku/>
              <w:wordWrap w:val="0"/>
              <w:overflowPunct/>
              <w:topLinePunct w:val="0"/>
              <w:autoSpaceDE/>
              <w:autoSpaceDN/>
              <w:bidi w:val="0"/>
              <w:spacing w:line="4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二档（</w:t>
            </w:r>
            <w:r>
              <w:rPr>
                <w:rFonts w:hint="eastAsia" w:ascii="宋体" w:hAnsi="宋体" w:cs="宋体"/>
                <w:color w:val="auto"/>
                <w:sz w:val="21"/>
                <w:szCs w:val="21"/>
                <w:highlight w:val="none"/>
                <w:lang w:val="en-US" w:eastAsia="zh-CN"/>
              </w:rPr>
              <w:t>7</w:t>
            </w:r>
            <w:r>
              <w:rPr>
                <w:rFonts w:hint="eastAsia" w:ascii="宋体" w:hAnsi="宋体" w:eastAsia="宋体" w:cs="宋体"/>
                <w:color w:val="auto"/>
                <w:sz w:val="21"/>
                <w:szCs w:val="21"/>
                <w:highlight w:val="none"/>
              </w:rPr>
              <w:t>分）</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应急服务方案内容齐全，各项保障措施完善；承诺接令后 2 小时（不含）～4 小时（含）内响应、24 小时（不含）～36 小时（含）内抵达现场；严格落实报告交付、月度资料报送、整体总结交付要求，各项履约举措合理可行，能够全面满足本项目应急检测服务需求。</w:t>
            </w:r>
          </w:p>
          <w:p w14:paraId="6C9A10B0">
            <w:pPr>
              <w:keepNext w:val="0"/>
              <w:keepLines w:val="0"/>
              <w:pageBreakBefore w:val="0"/>
              <w:kinsoku/>
              <w:wordWrap w:val="0"/>
              <w:overflowPunct/>
              <w:topLinePunct w:val="0"/>
              <w:autoSpaceDE/>
              <w:autoSpaceDN/>
              <w:bidi w:val="0"/>
              <w:spacing w:line="400" w:lineRule="exact"/>
              <w:ind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三档（</w:t>
            </w:r>
            <w:r>
              <w:rPr>
                <w:rFonts w:hint="eastAsia" w:ascii="宋体" w:hAnsi="宋体" w:cs="宋体"/>
                <w:color w:val="auto"/>
                <w:sz w:val="21"/>
                <w:szCs w:val="21"/>
                <w:highlight w:val="none"/>
                <w:lang w:val="en-US" w:eastAsia="zh-CN"/>
              </w:rPr>
              <w:t>4</w:t>
            </w:r>
            <w:r>
              <w:rPr>
                <w:rFonts w:hint="eastAsia" w:ascii="宋体" w:hAnsi="宋体" w:eastAsia="宋体" w:cs="宋体"/>
                <w:color w:val="auto"/>
                <w:sz w:val="21"/>
                <w:szCs w:val="21"/>
                <w:highlight w:val="none"/>
              </w:rPr>
              <w:t>分）</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应急服务方案内容基本完整，具备基础保障措施；承诺接令后 4 小时（不含）～6 小时（含）内响应、36 小时（不含）～48 小时（含）内抵达现场；可按要求完成报告及资料报送工作，基本满足项目常规应急服务需求。</w:t>
            </w:r>
          </w:p>
          <w:p w14:paraId="44AD2E84">
            <w:pPr>
              <w:keepNext w:val="0"/>
              <w:keepLines w:val="0"/>
              <w:pageBreakBefore w:val="0"/>
              <w:kinsoku/>
              <w:wordWrap w:val="0"/>
              <w:overflowPunct/>
              <w:topLinePunct w:val="0"/>
              <w:autoSpaceDE/>
              <w:autoSpaceDN/>
              <w:bidi w:val="0"/>
              <w:spacing w:line="400" w:lineRule="exact"/>
              <w:ind w:firstLine="420" w:firstLineChars="200"/>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四档（</w:t>
            </w:r>
            <w:r>
              <w:rPr>
                <w:rFonts w:hint="eastAsia" w:ascii="宋体" w:hAnsi="宋体" w:cs="宋体"/>
                <w:color w:val="auto"/>
                <w:sz w:val="21"/>
                <w:szCs w:val="21"/>
                <w:highlight w:val="none"/>
                <w:lang w:val="en-US" w:eastAsia="zh-CN"/>
              </w:rPr>
              <w:t>1</w:t>
            </w:r>
            <w:r>
              <w:rPr>
                <w:rFonts w:hint="eastAsia" w:ascii="宋体" w:hAnsi="宋体" w:eastAsia="宋体" w:cs="宋体"/>
                <w:color w:val="auto"/>
                <w:sz w:val="21"/>
                <w:szCs w:val="21"/>
                <w:highlight w:val="none"/>
              </w:rPr>
              <w:t>分）</w:t>
            </w:r>
            <w:r>
              <w:rPr>
                <w:rFonts w:hint="eastAsia" w:ascii="宋体" w:hAnsi="宋体" w:eastAsia="宋体" w:cs="宋体"/>
                <w:color w:val="auto"/>
                <w:sz w:val="21"/>
                <w:szCs w:val="21"/>
                <w:highlight w:val="none"/>
                <w:lang w:eastAsia="zh-CN"/>
              </w:rPr>
              <w:t>：应急服务方案内容简略，保障措施不完善；响应时长超过 6 小时、现场抵达时长超过 48 小时，仅可满足项目基础应急服务履约要求。</w:t>
            </w:r>
          </w:p>
          <w:p w14:paraId="57BD6A79">
            <w:pPr>
              <w:keepNext w:val="0"/>
              <w:keepLines w:val="0"/>
              <w:pageBreakBefore w:val="0"/>
              <w:kinsoku/>
              <w:wordWrap w:val="0"/>
              <w:overflowPunct/>
              <w:topLinePunct w:val="0"/>
              <w:autoSpaceDE/>
              <w:autoSpaceDN/>
              <w:bidi w:val="0"/>
              <w:spacing w:line="4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注：</w:t>
            </w:r>
            <w:r>
              <w:rPr>
                <w:rFonts w:hint="eastAsia" w:ascii="宋体" w:hAnsi="宋体" w:eastAsia="宋体" w:cs="宋体"/>
                <w:color w:val="auto"/>
                <w:sz w:val="21"/>
                <w:szCs w:val="21"/>
                <w:highlight w:val="none"/>
              </w:rPr>
              <w:t>不提供应急方案、应急承诺书不得分</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未达到最低评分条件的不得分</w:t>
            </w:r>
            <w:r>
              <w:rPr>
                <w:rFonts w:hint="eastAsia" w:ascii="宋体" w:hAnsi="宋体" w:eastAsia="宋体" w:cs="宋体"/>
                <w:color w:val="auto"/>
                <w:sz w:val="21"/>
                <w:szCs w:val="21"/>
                <w:highlight w:val="none"/>
              </w:rPr>
              <w:t>。</w:t>
            </w:r>
          </w:p>
        </w:tc>
      </w:tr>
      <w:tr w14:paraId="0928E5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30" w:type="dxa"/>
            <w:vMerge w:val="restart"/>
            <w:noWrap w:val="0"/>
            <w:vAlign w:val="center"/>
          </w:tcPr>
          <w:p w14:paraId="3E06F039">
            <w:pPr>
              <w:adjustRightInd w:val="0"/>
              <w:spacing w:line="360" w:lineRule="exact"/>
              <w:jc w:val="center"/>
              <w:textAlignment w:val="baseline"/>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3</w:t>
            </w:r>
          </w:p>
        </w:tc>
        <w:tc>
          <w:tcPr>
            <w:tcW w:w="1280" w:type="dxa"/>
            <w:vMerge w:val="restart"/>
            <w:noWrap w:val="0"/>
            <w:vAlign w:val="center"/>
          </w:tcPr>
          <w:p w14:paraId="2360809B">
            <w:pPr>
              <w:adjustRightInd w:val="0"/>
              <w:spacing w:line="360" w:lineRule="exact"/>
              <w:jc w:val="center"/>
              <w:textAlignment w:val="baseline"/>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商务</w:t>
            </w:r>
          </w:p>
        </w:tc>
        <w:tc>
          <w:tcPr>
            <w:tcW w:w="709" w:type="dxa"/>
            <w:vMerge w:val="restart"/>
            <w:noWrap w:val="0"/>
            <w:vAlign w:val="center"/>
          </w:tcPr>
          <w:p w14:paraId="559A6661">
            <w:pPr>
              <w:adjustRightInd w:val="0"/>
              <w:spacing w:line="360" w:lineRule="exact"/>
              <w:jc w:val="center"/>
              <w:textAlignment w:val="baseline"/>
              <w:rPr>
                <w:rFonts w:hint="eastAsia" w:ascii="宋体" w:hAnsi="宋体" w:eastAsia="宋体" w:cs="宋体"/>
                <w:b/>
                <w:color w:val="auto"/>
                <w:szCs w:val="21"/>
                <w:highlight w:val="none"/>
              </w:rPr>
            </w:pPr>
            <w:r>
              <w:rPr>
                <w:rFonts w:hint="eastAsia" w:ascii="宋体" w:hAnsi="宋体" w:cs="宋体"/>
                <w:b/>
                <w:color w:val="auto"/>
                <w:szCs w:val="21"/>
                <w:highlight w:val="none"/>
                <w:lang w:val="en-US" w:eastAsia="zh-CN"/>
              </w:rPr>
              <w:t>20</w:t>
            </w:r>
            <w:r>
              <w:rPr>
                <w:rFonts w:hint="eastAsia" w:ascii="宋体" w:hAnsi="宋体" w:eastAsia="宋体" w:cs="宋体"/>
                <w:b/>
                <w:color w:val="auto"/>
                <w:szCs w:val="21"/>
                <w:highlight w:val="none"/>
              </w:rPr>
              <w:t>分</w:t>
            </w:r>
          </w:p>
        </w:tc>
        <w:tc>
          <w:tcPr>
            <w:tcW w:w="1559" w:type="dxa"/>
            <w:noWrap w:val="0"/>
            <w:vAlign w:val="center"/>
          </w:tcPr>
          <w:p w14:paraId="1E92ACFC">
            <w:pPr>
              <w:bidi w:val="0"/>
              <w:jc w:val="center"/>
              <w:rPr>
                <w:rFonts w:hint="eastAsia" w:ascii="宋体" w:hAnsi="宋体" w:eastAsia="宋体" w:cs="宋体"/>
                <w:color w:val="auto"/>
                <w:highlight w:val="none"/>
              </w:rPr>
            </w:pPr>
            <w:r>
              <w:rPr>
                <w:rFonts w:hint="eastAsia" w:ascii="宋体" w:hAnsi="宋体" w:eastAsia="宋体" w:cs="宋体"/>
                <w:color w:val="auto"/>
                <w:highlight w:val="none"/>
              </w:rPr>
              <w:t>业绩分（满分</w:t>
            </w:r>
          </w:p>
          <w:p w14:paraId="5A39D90E">
            <w:pPr>
              <w:bidi w:val="0"/>
              <w:jc w:val="center"/>
              <w:rPr>
                <w:rFonts w:hint="eastAsia" w:ascii="宋体" w:hAnsi="宋体" w:eastAsia="宋体" w:cs="宋体"/>
                <w:color w:val="auto"/>
                <w:highlight w:val="none"/>
              </w:rPr>
            </w:pPr>
            <w:r>
              <w:rPr>
                <w:rFonts w:hint="eastAsia" w:ascii="宋体" w:hAnsi="宋体" w:cs="宋体"/>
                <w:color w:val="auto"/>
                <w:highlight w:val="none"/>
                <w:lang w:val="en-US" w:eastAsia="zh-CN"/>
              </w:rPr>
              <w:t>5</w:t>
            </w:r>
            <w:r>
              <w:rPr>
                <w:rFonts w:hint="eastAsia" w:ascii="宋体" w:hAnsi="宋体" w:eastAsia="宋体" w:cs="宋体"/>
                <w:color w:val="auto"/>
                <w:highlight w:val="none"/>
              </w:rPr>
              <w:t>分）</w:t>
            </w:r>
          </w:p>
        </w:tc>
        <w:tc>
          <w:tcPr>
            <w:tcW w:w="5410" w:type="dxa"/>
            <w:noWrap w:val="0"/>
            <w:vAlign w:val="center"/>
          </w:tcPr>
          <w:p w14:paraId="37A39B42">
            <w:pPr>
              <w:keepNext w:val="0"/>
              <w:keepLines w:val="0"/>
              <w:pageBreakBefore w:val="0"/>
              <w:kinsoku/>
              <w:wordWrap w:val="0"/>
              <w:overflowPunct/>
              <w:topLinePunct w:val="0"/>
              <w:autoSpaceDE/>
              <w:autoSpaceDN/>
              <w:bidi w:val="0"/>
              <w:spacing w:line="4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近三年（自 2023 年 5 月 1 日至投标截止之日），具有 1 项交通运输部门工程质量检测类服务业绩</w:t>
            </w:r>
            <w:r>
              <w:rPr>
                <w:rFonts w:hint="eastAsia" w:ascii="宋体" w:hAnsi="宋体" w:cs="宋体"/>
                <w:color w:val="auto"/>
                <w:sz w:val="21"/>
                <w:szCs w:val="21"/>
                <w:highlight w:val="none"/>
                <w:lang w:val="en-US" w:eastAsia="zh-CN"/>
              </w:rPr>
              <w:t>或同类似业绩的</w:t>
            </w:r>
            <w:r>
              <w:rPr>
                <w:rFonts w:hint="eastAsia" w:ascii="宋体" w:hAnsi="宋体" w:eastAsia="宋体" w:cs="宋体"/>
                <w:color w:val="auto"/>
                <w:sz w:val="21"/>
                <w:szCs w:val="21"/>
                <w:highlight w:val="none"/>
              </w:rPr>
              <w:t xml:space="preserve">得 2 分，每增加 1 项同类业绩加 2 分，本项最高得 </w:t>
            </w:r>
            <w:r>
              <w:rPr>
                <w:rFonts w:hint="eastAsia" w:ascii="宋体" w:hAnsi="宋体" w:cs="宋体"/>
                <w:color w:val="auto"/>
                <w:sz w:val="21"/>
                <w:szCs w:val="21"/>
                <w:highlight w:val="none"/>
                <w:lang w:val="en-US" w:eastAsia="zh-CN"/>
              </w:rPr>
              <w:t>5</w:t>
            </w:r>
            <w:r>
              <w:rPr>
                <w:rFonts w:hint="eastAsia" w:ascii="宋体" w:hAnsi="宋体" w:eastAsia="宋体" w:cs="宋体"/>
                <w:color w:val="auto"/>
                <w:sz w:val="21"/>
                <w:szCs w:val="21"/>
                <w:highlight w:val="none"/>
              </w:rPr>
              <w:t xml:space="preserve"> 分。</w:t>
            </w:r>
          </w:p>
          <w:p w14:paraId="00A2767E">
            <w:pPr>
              <w:keepNext w:val="0"/>
              <w:keepLines w:val="0"/>
              <w:pageBreakBefore w:val="0"/>
              <w:kinsoku/>
              <w:wordWrap w:val="0"/>
              <w:overflowPunct/>
              <w:topLinePunct w:val="0"/>
              <w:autoSpaceDE/>
              <w:autoSpaceDN/>
              <w:bidi w:val="0"/>
              <w:spacing w:line="4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提供中标（成交）通知书或合同复印件并加盖投标人公章。</w:t>
            </w:r>
          </w:p>
        </w:tc>
      </w:tr>
      <w:tr w14:paraId="519CFC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30" w:type="dxa"/>
            <w:vMerge w:val="continue"/>
            <w:noWrap w:val="0"/>
            <w:vAlign w:val="center"/>
          </w:tcPr>
          <w:p w14:paraId="2F6B0478">
            <w:pPr>
              <w:adjustRightInd w:val="0"/>
              <w:spacing w:line="360" w:lineRule="exact"/>
              <w:jc w:val="center"/>
              <w:textAlignment w:val="baseline"/>
              <w:rPr>
                <w:rFonts w:hint="eastAsia" w:ascii="宋体" w:hAnsi="宋体" w:eastAsia="宋体" w:cs="宋体"/>
                <w:b/>
                <w:color w:val="auto"/>
                <w:szCs w:val="21"/>
                <w:highlight w:val="none"/>
              </w:rPr>
            </w:pPr>
          </w:p>
        </w:tc>
        <w:tc>
          <w:tcPr>
            <w:tcW w:w="1280" w:type="dxa"/>
            <w:vMerge w:val="continue"/>
            <w:noWrap w:val="0"/>
            <w:vAlign w:val="center"/>
          </w:tcPr>
          <w:p w14:paraId="696B8400">
            <w:pPr>
              <w:adjustRightInd w:val="0"/>
              <w:spacing w:line="360" w:lineRule="exact"/>
              <w:jc w:val="center"/>
              <w:textAlignment w:val="baseline"/>
              <w:rPr>
                <w:rFonts w:hint="eastAsia" w:ascii="宋体" w:hAnsi="宋体" w:eastAsia="宋体" w:cs="宋体"/>
                <w:b/>
                <w:color w:val="auto"/>
                <w:szCs w:val="21"/>
                <w:highlight w:val="none"/>
              </w:rPr>
            </w:pPr>
          </w:p>
        </w:tc>
        <w:tc>
          <w:tcPr>
            <w:tcW w:w="709" w:type="dxa"/>
            <w:vMerge w:val="continue"/>
            <w:noWrap w:val="0"/>
            <w:vAlign w:val="center"/>
          </w:tcPr>
          <w:p w14:paraId="1F6946C9">
            <w:pPr>
              <w:adjustRightInd w:val="0"/>
              <w:spacing w:line="360" w:lineRule="exact"/>
              <w:jc w:val="center"/>
              <w:textAlignment w:val="baseline"/>
              <w:rPr>
                <w:rFonts w:hint="eastAsia" w:ascii="宋体" w:hAnsi="宋体" w:eastAsia="宋体" w:cs="宋体"/>
                <w:b/>
                <w:color w:val="auto"/>
                <w:szCs w:val="21"/>
                <w:highlight w:val="none"/>
              </w:rPr>
            </w:pPr>
          </w:p>
        </w:tc>
        <w:tc>
          <w:tcPr>
            <w:tcW w:w="1559" w:type="dxa"/>
            <w:noWrap w:val="0"/>
            <w:vAlign w:val="center"/>
          </w:tcPr>
          <w:p w14:paraId="3AA47FBA">
            <w:pPr>
              <w:bidi w:val="0"/>
              <w:jc w:val="center"/>
              <w:rPr>
                <w:rFonts w:hint="eastAsia" w:ascii="宋体" w:hAnsi="宋体" w:eastAsia="宋体" w:cs="宋体"/>
                <w:color w:val="auto"/>
                <w:highlight w:val="none"/>
                <w:lang w:val="en-US" w:eastAsia="zh-CN"/>
              </w:rPr>
            </w:pPr>
            <w:r>
              <w:rPr>
                <w:rFonts w:hint="eastAsia" w:ascii="宋体" w:hAnsi="宋体" w:eastAsia="宋体" w:cs="宋体"/>
                <w:color w:val="auto"/>
                <w:highlight w:val="none"/>
              </w:rPr>
              <w:t>信誉（满分</w:t>
            </w:r>
            <w:r>
              <w:rPr>
                <w:rFonts w:hint="eastAsia" w:ascii="宋体" w:hAnsi="宋体" w:eastAsia="宋体" w:cs="宋体"/>
                <w:color w:val="auto"/>
                <w:highlight w:val="none"/>
                <w:lang w:val="en-US" w:eastAsia="zh-CN"/>
              </w:rPr>
              <w:t>10</w:t>
            </w:r>
          </w:p>
          <w:p w14:paraId="7C25368C">
            <w:pPr>
              <w:bidi w:val="0"/>
              <w:jc w:val="center"/>
              <w:rPr>
                <w:rFonts w:hint="eastAsia" w:ascii="宋体" w:hAnsi="宋体" w:eastAsia="宋体" w:cs="宋体"/>
                <w:color w:val="auto"/>
                <w:highlight w:val="none"/>
              </w:rPr>
            </w:pPr>
            <w:r>
              <w:rPr>
                <w:rFonts w:hint="eastAsia" w:ascii="宋体" w:hAnsi="宋体" w:eastAsia="宋体" w:cs="宋体"/>
                <w:color w:val="auto"/>
                <w:highlight w:val="none"/>
              </w:rPr>
              <w:t>分）</w:t>
            </w:r>
          </w:p>
        </w:tc>
        <w:tc>
          <w:tcPr>
            <w:tcW w:w="5410" w:type="dxa"/>
            <w:noWrap w:val="0"/>
            <w:vAlign w:val="center"/>
          </w:tcPr>
          <w:p w14:paraId="797E00B5">
            <w:pPr>
              <w:keepNext w:val="0"/>
              <w:keepLines w:val="0"/>
              <w:pageBreakBefore w:val="0"/>
              <w:kinsoku/>
              <w:wordWrap w:val="0"/>
              <w:overflowPunct/>
              <w:topLinePunct w:val="0"/>
              <w:autoSpaceDE/>
              <w:autoSpaceDN/>
              <w:bidi w:val="0"/>
              <w:spacing w:line="4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1</w:t>
            </w:r>
            <w:r>
              <w:rPr>
                <w:rFonts w:hint="eastAsia" w:ascii="宋体" w:hAnsi="宋体" w:eastAsia="宋体" w:cs="宋体"/>
                <w:color w:val="auto"/>
                <w:sz w:val="21"/>
                <w:szCs w:val="21"/>
                <w:highlight w:val="none"/>
                <w:lang w:eastAsia="zh-CN"/>
              </w:rPr>
              <w:t>）投标人须提供交通运输部或注册地省级交通运输主管部门发布的最新一期公路水运工程试验检测机构信用评价结果，并附官方网页截图备查。信用等级为AA 级得 5 分，A 级得 4 分，B 级得 3 分，C 级得 2 分；评定为 D 级或无对应年度有效信用评价结果（含未参评、无记录）的，本项得 0 分。</w:t>
            </w:r>
          </w:p>
          <w:p w14:paraId="0FDD6885">
            <w:pPr>
              <w:keepNext w:val="0"/>
              <w:keepLines w:val="0"/>
              <w:pageBreakBefore w:val="0"/>
              <w:kinsoku/>
              <w:wordWrap w:val="0"/>
              <w:overflowPunct/>
              <w:topLinePunct w:val="0"/>
              <w:autoSpaceDE/>
              <w:autoSpaceDN/>
              <w:bidi w:val="0"/>
              <w:spacing w:line="4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2</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投标人通过ISO9001质量管理体系认证、ISO45001职业健康安全管理体系认证、ISO14001环境管理体系认证的，每个得1分，最多得3分。</w:t>
            </w:r>
          </w:p>
          <w:p w14:paraId="79BC3B04">
            <w:pPr>
              <w:keepNext w:val="0"/>
              <w:keepLines w:val="0"/>
              <w:pageBreakBefore w:val="0"/>
              <w:kinsoku/>
              <w:wordWrap w:val="0"/>
              <w:overflowPunct/>
              <w:topLinePunct w:val="0"/>
              <w:autoSpaceDE/>
              <w:autoSpaceDN/>
              <w:bidi w:val="0"/>
              <w:spacing w:line="4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3</w:t>
            </w:r>
            <w:r>
              <w:rPr>
                <w:rFonts w:hint="eastAsia" w:ascii="宋体" w:hAnsi="宋体" w:eastAsia="宋体" w:cs="宋体"/>
                <w:color w:val="auto"/>
                <w:sz w:val="21"/>
                <w:szCs w:val="21"/>
                <w:highlight w:val="none"/>
              </w:rPr>
              <w:t>）具有中国合格评定国家认可委员会实验室认可证书（CNAS）的得2分。</w:t>
            </w:r>
          </w:p>
          <w:p w14:paraId="65F01193">
            <w:pPr>
              <w:keepNext w:val="0"/>
              <w:keepLines w:val="0"/>
              <w:pageBreakBefore w:val="0"/>
              <w:kinsoku/>
              <w:wordWrap w:val="0"/>
              <w:overflowPunct/>
              <w:topLinePunct w:val="0"/>
              <w:autoSpaceDE/>
              <w:autoSpaceDN/>
              <w:bidi w:val="0"/>
              <w:spacing w:line="400" w:lineRule="exact"/>
              <w:ind w:firstLine="422" w:firstLineChars="200"/>
              <w:rPr>
                <w:rFonts w:hint="eastAsia" w:ascii="宋体" w:hAnsi="宋体" w:eastAsia="宋体" w:cs="宋体"/>
                <w:color w:val="auto"/>
                <w:sz w:val="21"/>
                <w:szCs w:val="21"/>
                <w:highlight w:val="none"/>
              </w:rPr>
            </w:pPr>
            <w:r>
              <w:rPr>
                <w:rFonts w:hint="eastAsia" w:ascii="宋体" w:hAnsi="宋体" w:eastAsia="宋体" w:cs="宋体"/>
                <w:b/>
                <w:bCs/>
                <w:color w:val="auto"/>
                <w:sz w:val="21"/>
                <w:szCs w:val="21"/>
                <w:highlight w:val="none"/>
              </w:rPr>
              <w:t>提供证明材料复印件并加盖投标人公章。以上信用评价等级、体系认证证书、CNAS 认可证书须在投标截止之日有效，否则不予计分。</w:t>
            </w:r>
          </w:p>
        </w:tc>
      </w:tr>
      <w:tr w14:paraId="584DEC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4" w:hRule="atLeast"/>
          <w:jc w:val="center"/>
        </w:trPr>
        <w:tc>
          <w:tcPr>
            <w:tcW w:w="730" w:type="dxa"/>
            <w:vMerge w:val="continue"/>
            <w:noWrap w:val="0"/>
            <w:vAlign w:val="center"/>
          </w:tcPr>
          <w:p w14:paraId="46D7CD6E">
            <w:pPr>
              <w:adjustRightInd w:val="0"/>
              <w:spacing w:line="360" w:lineRule="exact"/>
              <w:jc w:val="center"/>
              <w:textAlignment w:val="baseline"/>
              <w:rPr>
                <w:rFonts w:hint="eastAsia" w:ascii="宋体" w:hAnsi="宋体" w:eastAsia="宋体" w:cs="宋体"/>
                <w:b/>
                <w:color w:val="auto"/>
                <w:szCs w:val="21"/>
                <w:highlight w:val="none"/>
              </w:rPr>
            </w:pPr>
          </w:p>
        </w:tc>
        <w:tc>
          <w:tcPr>
            <w:tcW w:w="1280" w:type="dxa"/>
            <w:vMerge w:val="continue"/>
            <w:noWrap w:val="0"/>
            <w:vAlign w:val="center"/>
          </w:tcPr>
          <w:p w14:paraId="14E4C6A7">
            <w:pPr>
              <w:adjustRightInd w:val="0"/>
              <w:spacing w:line="360" w:lineRule="exact"/>
              <w:jc w:val="center"/>
              <w:textAlignment w:val="baseline"/>
              <w:rPr>
                <w:rFonts w:hint="eastAsia" w:ascii="宋体" w:hAnsi="宋体" w:eastAsia="宋体" w:cs="宋体"/>
                <w:b/>
                <w:color w:val="auto"/>
                <w:szCs w:val="21"/>
                <w:highlight w:val="none"/>
              </w:rPr>
            </w:pPr>
          </w:p>
        </w:tc>
        <w:tc>
          <w:tcPr>
            <w:tcW w:w="709" w:type="dxa"/>
            <w:vMerge w:val="continue"/>
            <w:noWrap w:val="0"/>
            <w:vAlign w:val="center"/>
          </w:tcPr>
          <w:p w14:paraId="1B12E31C">
            <w:pPr>
              <w:adjustRightInd w:val="0"/>
              <w:spacing w:line="360" w:lineRule="exact"/>
              <w:jc w:val="center"/>
              <w:textAlignment w:val="baseline"/>
              <w:rPr>
                <w:rFonts w:hint="eastAsia" w:ascii="宋体" w:hAnsi="宋体" w:eastAsia="宋体" w:cs="宋体"/>
                <w:b/>
                <w:color w:val="auto"/>
                <w:szCs w:val="21"/>
                <w:highlight w:val="none"/>
              </w:rPr>
            </w:pPr>
          </w:p>
        </w:tc>
        <w:tc>
          <w:tcPr>
            <w:tcW w:w="1559" w:type="dxa"/>
            <w:noWrap w:val="0"/>
            <w:vAlign w:val="center"/>
          </w:tcPr>
          <w:p w14:paraId="647A8A9C">
            <w:pPr>
              <w:bidi w:val="0"/>
              <w:jc w:val="center"/>
              <w:rPr>
                <w:rFonts w:hint="eastAsia" w:ascii="宋体" w:hAnsi="宋体" w:eastAsia="宋体" w:cs="宋体"/>
                <w:color w:val="auto"/>
                <w:highlight w:val="none"/>
              </w:rPr>
            </w:pPr>
            <w:r>
              <w:rPr>
                <w:rFonts w:hint="eastAsia" w:ascii="宋体" w:hAnsi="宋体" w:eastAsia="宋体" w:cs="宋体"/>
                <w:color w:val="auto"/>
                <w:highlight w:val="none"/>
              </w:rPr>
              <w:t>拟投入本项目</w:t>
            </w:r>
          </w:p>
          <w:p w14:paraId="72F1988C">
            <w:pPr>
              <w:bidi w:val="0"/>
              <w:jc w:val="center"/>
              <w:rPr>
                <w:rFonts w:hint="eastAsia" w:ascii="宋体" w:hAnsi="宋体" w:eastAsia="宋体" w:cs="宋体"/>
                <w:color w:val="auto"/>
                <w:highlight w:val="none"/>
                <w:lang w:eastAsia="zh-CN"/>
              </w:rPr>
            </w:pPr>
            <w:r>
              <w:rPr>
                <w:rFonts w:hint="eastAsia" w:ascii="宋体" w:hAnsi="宋体" w:eastAsia="宋体" w:cs="宋体"/>
                <w:color w:val="auto"/>
                <w:highlight w:val="none"/>
              </w:rPr>
              <w:t>人员情况分（</w:t>
            </w:r>
            <w:r>
              <w:rPr>
                <w:rFonts w:hint="eastAsia" w:ascii="宋体" w:hAnsi="宋体" w:eastAsia="宋体" w:cs="宋体"/>
                <w:color w:val="auto"/>
                <w:highlight w:val="none"/>
                <w:lang w:val="en-US" w:eastAsia="zh-CN"/>
              </w:rPr>
              <w:t>5</w:t>
            </w:r>
          </w:p>
          <w:p w14:paraId="3D7B1796">
            <w:pPr>
              <w:bidi w:val="0"/>
              <w:jc w:val="center"/>
              <w:rPr>
                <w:rFonts w:hint="eastAsia" w:ascii="宋体" w:hAnsi="宋体" w:eastAsia="宋体" w:cs="宋体"/>
                <w:color w:val="auto"/>
                <w:highlight w:val="none"/>
              </w:rPr>
            </w:pPr>
            <w:r>
              <w:rPr>
                <w:rFonts w:hint="eastAsia" w:ascii="宋体" w:hAnsi="宋体" w:eastAsia="宋体" w:cs="宋体"/>
                <w:color w:val="auto"/>
                <w:highlight w:val="none"/>
              </w:rPr>
              <w:t>分）</w:t>
            </w:r>
          </w:p>
          <w:p w14:paraId="2BA42D37">
            <w:pPr>
              <w:bidi w:val="0"/>
              <w:jc w:val="center"/>
              <w:rPr>
                <w:rFonts w:hint="eastAsia" w:ascii="宋体" w:hAnsi="宋体" w:eastAsia="宋体" w:cs="宋体"/>
                <w:color w:val="auto"/>
                <w:highlight w:val="none"/>
              </w:rPr>
            </w:pPr>
          </w:p>
        </w:tc>
        <w:tc>
          <w:tcPr>
            <w:tcW w:w="5410" w:type="dxa"/>
            <w:noWrap w:val="0"/>
            <w:vAlign w:val="center"/>
          </w:tcPr>
          <w:p w14:paraId="114E2B0F">
            <w:pPr>
              <w:keepNext w:val="0"/>
              <w:keepLines w:val="0"/>
              <w:pageBreakBefore w:val="0"/>
              <w:kinsoku/>
              <w:wordWrap w:val="0"/>
              <w:overflowPunct/>
              <w:topLinePunct w:val="0"/>
              <w:autoSpaceDE/>
              <w:autoSpaceDN/>
              <w:bidi w:val="0"/>
              <w:spacing w:line="4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在满足 “项目实施人员最低数量要求表” 要求的基础上打分： 每多加 1 个试验检测工程师职称为高级工程师（含）以上的得 1 分，最多得 5 分。</w:t>
            </w:r>
          </w:p>
          <w:p w14:paraId="579B565B">
            <w:pPr>
              <w:keepNext w:val="0"/>
              <w:keepLines w:val="0"/>
              <w:pageBreakBefore w:val="0"/>
              <w:kinsoku/>
              <w:wordWrap w:val="0"/>
              <w:overflowPunct/>
              <w:topLinePunct w:val="0"/>
              <w:autoSpaceDE/>
              <w:autoSpaceDN/>
              <w:bidi w:val="0"/>
              <w:spacing w:line="4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注：同一人员不重复计分</w:t>
            </w:r>
            <w:r>
              <w:rPr>
                <w:rFonts w:hint="eastAsia" w:ascii="宋体" w:hAnsi="宋体" w:cs="宋体"/>
                <w:color w:val="auto"/>
                <w:sz w:val="21"/>
                <w:szCs w:val="21"/>
                <w:highlight w:val="none"/>
                <w:lang w:eastAsia="zh-CN"/>
              </w:rPr>
              <w:t>；</w:t>
            </w:r>
            <w:r>
              <w:rPr>
                <w:rFonts w:hint="eastAsia" w:ascii="宋体" w:hAnsi="宋体" w:eastAsia="宋体" w:cs="宋体"/>
                <w:color w:val="auto"/>
                <w:sz w:val="21"/>
                <w:szCs w:val="21"/>
                <w:highlight w:val="none"/>
              </w:rPr>
              <w:t>以上人员持有的试验检测资格证书须在投标人单位登记，投标文件中</w:t>
            </w:r>
            <w:r>
              <w:rPr>
                <w:rFonts w:hint="eastAsia" w:ascii="宋体" w:hAnsi="宋体" w:cs="宋体"/>
                <w:color w:val="auto"/>
                <w:sz w:val="21"/>
                <w:szCs w:val="21"/>
                <w:highlight w:val="none"/>
                <w:lang w:eastAsia="zh-CN"/>
              </w:rPr>
              <w:t>须</w:t>
            </w:r>
            <w:r>
              <w:rPr>
                <w:rFonts w:hint="eastAsia" w:ascii="宋体" w:hAnsi="宋体" w:eastAsia="宋体" w:cs="宋体"/>
                <w:color w:val="auto"/>
                <w:sz w:val="21"/>
                <w:szCs w:val="21"/>
                <w:highlight w:val="none"/>
              </w:rPr>
              <w:t>提供以上人员有效的身份证正反面复印件、资格（或资质）证书复印件、</w:t>
            </w:r>
            <w:r>
              <w:rPr>
                <w:rFonts w:hint="eastAsia" w:ascii="宋体" w:hAnsi="宋体" w:eastAsia="宋体" w:cs="宋体"/>
                <w:color w:val="auto"/>
                <w:szCs w:val="21"/>
                <w:highlight w:val="none"/>
              </w:rPr>
              <w:t xml:space="preserve">投标人 </w:t>
            </w:r>
            <w:r>
              <w:rPr>
                <w:rFonts w:hint="eastAsia" w:ascii="宋体" w:hAnsi="宋体" w:eastAsia="宋体" w:cs="宋体"/>
                <w:color w:val="auto"/>
                <w:szCs w:val="21"/>
                <w:highlight w:val="none"/>
                <w:lang w:eastAsia="zh-CN"/>
              </w:rPr>
              <w:t>2026年 2 月</w:t>
            </w:r>
            <w:r>
              <w:rPr>
                <w:rFonts w:hint="eastAsia" w:ascii="宋体" w:hAnsi="宋体" w:eastAsia="宋体" w:cs="宋体"/>
                <w:color w:val="auto"/>
                <w:szCs w:val="21"/>
                <w:highlight w:val="none"/>
              </w:rPr>
              <w:t>至 202</w:t>
            </w:r>
            <w:r>
              <w:rPr>
                <w:rFonts w:hint="eastAsia" w:ascii="宋体" w:hAnsi="宋体" w:eastAsia="宋体" w:cs="宋体"/>
                <w:color w:val="auto"/>
                <w:szCs w:val="21"/>
                <w:highlight w:val="none"/>
                <w:lang w:val="en-US" w:eastAsia="zh-CN"/>
              </w:rPr>
              <w:t>6</w:t>
            </w:r>
            <w:r>
              <w:rPr>
                <w:rFonts w:hint="eastAsia" w:ascii="宋体" w:hAnsi="宋体" w:eastAsia="宋体" w:cs="宋体"/>
                <w:color w:val="auto"/>
                <w:szCs w:val="21"/>
                <w:highlight w:val="none"/>
              </w:rPr>
              <w:t xml:space="preserve"> 年</w:t>
            </w:r>
            <w:r>
              <w:rPr>
                <w:rFonts w:hint="eastAsia" w:ascii="宋体" w:hAnsi="宋体" w:eastAsia="宋体" w:cs="宋体"/>
                <w:color w:val="auto"/>
                <w:szCs w:val="21"/>
                <w:highlight w:val="none"/>
                <w:lang w:val="en-US" w:eastAsia="zh-CN"/>
              </w:rPr>
              <w:t>5</w:t>
            </w:r>
            <w:r>
              <w:rPr>
                <w:rFonts w:hint="eastAsia" w:ascii="宋体" w:hAnsi="宋体" w:eastAsia="宋体" w:cs="宋体"/>
                <w:color w:val="auto"/>
                <w:szCs w:val="21"/>
                <w:highlight w:val="none"/>
              </w:rPr>
              <w:t xml:space="preserve"> 月内</w:t>
            </w:r>
            <w:r>
              <w:rPr>
                <w:rFonts w:hint="eastAsia" w:ascii="宋体" w:hAnsi="宋体" w:eastAsia="宋体" w:cs="宋体"/>
                <w:color w:val="auto"/>
                <w:szCs w:val="21"/>
                <w:highlight w:val="none"/>
                <w:lang w:eastAsia="zh-CN"/>
              </w:rPr>
              <w:t>任意</w:t>
            </w:r>
            <w:r>
              <w:rPr>
                <w:rFonts w:hint="eastAsia" w:ascii="宋体" w:hAnsi="宋体" w:eastAsia="宋体" w:cs="宋体"/>
                <w:color w:val="auto"/>
                <w:szCs w:val="21"/>
                <w:highlight w:val="none"/>
                <w:lang w:val="en-US" w:eastAsia="zh-CN"/>
              </w:rPr>
              <w:t>1</w:t>
            </w:r>
            <w:r>
              <w:rPr>
                <w:rFonts w:hint="eastAsia" w:ascii="宋体" w:hAnsi="宋体" w:eastAsia="宋体" w:cs="宋体"/>
                <w:color w:val="auto"/>
                <w:szCs w:val="21"/>
                <w:highlight w:val="none"/>
              </w:rPr>
              <w:t>个月为项目人员缴纳社保的证明材料复印件</w:t>
            </w:r>
            <w:r>
              <w:rPr>
                <w:rFonts w:hint="eastAsia" w:ascii="宋体" w:hAnsi="宋体" w:eastAsia="宋体" w:cs="宋体"/>
                <w:color w:val="auto"/>
                <w:szCs w:val="21"/>
                <w:highlight w:val="none"/>
                <w:lang w:eastAsia="zh-CN"/>
              </w:rPr>
              <w:t>；若为新入职人员（社保缴纳不足 1 个月的），需提供与投标人签订的有效劳动合同复印件</w:t>
            </w:r>
            <w:r>
              <w:rPr>
                <w:rFonts w:hint="eastAsia" w:ascii="宋体" w:hAnsi="宋体" w:eastAsia="宋体" w:cs="宋体"/>
                <w:color w:val="auto"/>
                <w:sz w:val="21"/>
                <w:szCs w:val="21"/>
                <w:highlight w:val="none"/>
              </w:rPr>
              <w:t>。</w:t>
            </w:r>
          </w:p>
          <w:p w14:paraId="6792EA8D">
            <w:pPr>
              <w:keepNext w:val="0"/>
              <w:keepLines w:val="0"/>
              <w:pageBreakBefore w:val="0"/>
              <w:kinsoku/>
              <w:wordWrap w:val="0"/>
              <w:overflowPunct/>
              <w:topLinePunct w:val="0"/>
              <w:autoSpaceDE/>
              <w:autoSpaceDN/>
              <w:bidi w:val="0"/>
              <w:spacing w:line="400" w:lineRule="exact"/>
              <w:ind w:firstLine="420" w:firstLineChars="200"/>
              <w:rPr>
                <w:rFonts w:hint="eastAsia" w:ascii="宋体" w:hAnsi="宋体" w:eastAsia="宋体" w:cs="宋体"/>
                <w:color w:val="auto"/>
                <w:sz w:val="21"/>
                <w:szCs w:val="21"/>
                <w:highlight w:val="none"/>
              </w:rPr>
            </w:pPr>
          </w:p>
        </w:tc>
      </w:tr>
      <w:tr w14:paraId="0AA9E0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688" w:type="dxa"/>
            <w:gridSpan w:val="5"/>
            <w:noWrap w:val="0"/>
            <w:vAlign w:val="center"/>
          </w:tcPr>
          <w:p w14:paraId="0EE89AC5">
            <w:pPr>
              <w:pStyle w:val="24"/>
              <w:spacing w:line="360" w:lineRule="exact"/>
              <w:rPr>
                <w:rFonts w:hint="eastAsia" w:ascii="宋体" w:hAnsi="宋体" w:eastAsia="宋体" w:cs="宋体"/>
                <w:bCs/>
                <w:color w:val="auto"/>
                <w:kern w:val="2"/>
                <w:sz w:val="24"/>
                <w:szCs w:val="24"/>
                <w:highlight w:val="none"/>
                <w:lang w:val="en-US" w:eastAsia="zh-CN"/>
              </w:rPr>
            </w:pPr>
            <w:r>
              <w:rPr>
                <w:rFonts w:hint="eastAsia" w:ascii="宋体" w:hAnsi="宋体" w:eastAsia="宋体" w:cs="宋体"/>
                <w:b/>
                <w:bCs/>
                <w:color w:val="auto"/>
                <w:kern w:val="2"/>
                <w:sz w:val="24"/>
                <w:szCs w:val="24"/>
                <w:highlight w:val="none"/>
                <w:lang w:val="en-US" w:eastAsia="zh-CN"/>
              </w:rPr>
              <w:t>总得分=1+2+3。</w:t>
            </w:r>
          </w:p>
        </w:tc>
      </w:tr>
    </w:tbl>
    <w:p w14:paraId="078EE138">
      <w:pPr>
        <w:pStyle w:val="24"/>
        <w:spacing w:line="360" w:lineRule="auto"/>
        <w:rPr>
          <w:rFonts w:hint="eastAsia" w:ascii="宋体" w:hAnsi="宋体" w:eastAsia="宋体" w:cs="宋体"/>
          <w:bCs/>
          <w:color w:val="auto"/>
          <w:sz w:val="21"/>
          <w:highlight w:val="none"/>
        </w:rPr>
      </w:pPr>
    </w:p>
    <w:p w14:paraId="4B01A2FA">
      <w:pPr>
        <w:pStyle w:val="24"/>
        <w:spacing w:line="360" w:lineRule="auto"/>
        <w:rPr>
          <w:rFonts w:hint="eastAsia" w:ascii="宋体" w:hAnsi="宋体" w:eastAsia="宋体" w:cs="宋体"/>
          <w:bCs/>
          <w:color w:val="auto"/>
          <w:sz w:val="21"/>
          <w:highlight w:val="none"/>
        </w:rPr>
      </w:pPr>
      <w:r>
        <w:rPr>
          <w:rFonts w:hint="eastAsia" w:ascii="宋体" w:hAnsi="宋体" w:eastAsia="宋体" w:cs="宋体"/>
          <w:bCs/>
          <w:color w:val="auto"/>
          <w:sz w:val="21"/>
          <w:highlight w:val="none"/>
        </w:rPr>
        <w:t>注</w:t>
      </w:r>
      <w:r>
        <w:rPr>
          <w:rFonts w:hint="eastAsia" w:ascii="宋体" w:hAnsi="宋体" w:eastAsia="宋体" w:cs="宋体"/>
          <w:bCs/>
          <w:color w:val="auto"/>
          <w:sz w:val="21"/>
          <w:highlight w:val="none"/>
          <w:lang w:eastAsia="zh-CN"/>
        </w:rPr>
        <w:t>：</w:t>
      </w:r>
      <w:r>
        <w:rPr>
          <w:rFonts w:hint="eastAsia" w:ascii="宋体" w:hAnsi="宋体" w:eastAsia="宋体" w:cs="宋体"/>
          <w:bCs/>
          <w:color w:val="auto"/>
          <w:sz w:val="21"/>
          <w:highlight w:val="none"/>
        </w:rPr>
        <w:t>1.计分方法按四舍五入取至百分位；</w:t>
      </w:r>
    </w:p>
    <w:p w14:paraId="6A35A69C">
      <w:pPr>
        <w:pStyle w:val="24"/>
        <w:keepNext w:val="0"/>
        <w:keepLines w:val="0"/>
        <w:pageBreakBefore w:val="0"/>
        <w:widowControl w:val="0"/>
        <w:numPr>
          <w:ilvl w:val="0"/>
          <w:numId w:val="0"/>
        </w:numPr>
        <w:kinsoku/>
        <w:wordWrap w:val="0"/>
        <w:overflowPunct/>
        <w:topLinePunct w:val="0"/>
        <w:autoSpaceDE/>
        <w:autoSpaceDN/>
        <w:bidi w:val="0"/>
        <w:adjustRightInd/>
        <w:snapToGrid/>
        <w:spacing w:line="360" w:lineRule="auto"/>
        <w:ind w:left="420" w:leftChars="0"/>
        <w:textAlignment w:val="auto"/>
        <w:rPr>
          <w:rFonts w:hint="eastAsia" w:ascii="宋体" w:hAnsi="宋体" w:eastAsia="宋体" w:cs="宋体"/>
          <w:bCs/>
          <w:color w:val="auto"/>
          <w:sz w:val="21"/>
          <w:szCs w:val="21"/>
          <w:highlight w:val="none"/>
        </w:rPr>
      </w:pPr>
      <w:r>
        <w:rPr>
          <w:rFonts w:hint="eastAsia" w:hAnsi="宋体" w:eastAsia="宋体" w:cs="宋体"/>
          <w:bCs/>
          <w:color w:val="auto"/>
          <w:sz w:val="21"/>
          <w:szCs w:val="21"/>
          <w:highlight w:val="none"/>
          <w:lang w:val="en-US" w:eastAsia="zh-CN"/>
        </w:rPr>
        <w:t>2.</w:t>
      </w:r>
      <w:r>
        <w:rPr>
          <w:rFonts w:hint="eastAsia" w:ascii="宋体" w:hAnsi="宋体" w:eastAsia="宋体" w:cs="宋体"/>
          <w:bCs/>
          <w:color w:val="auto"/>
          <w:sz w:val="21"/>
          <w:szCs w:val="21"/>
          <w:highlight w:val="none"/>
          <w:lang w:val="en-US" w:eastAsia="zh-CN"/>
        </w:rPr>
        <w:t>各评审因素分值计算均保留小数点后两位，小数点后第三位“四舍五入”。</w:t>
      </w:r>
    </w:p>
    <w:p w14:paraId="55371C05">
      <w:pPr>
        <w:pStyle w:val="24"/>
        <w:keepNext w:val="0"/>
        <w:keepLines w:val="0"/>
        <w:pageBreakBefore w:val="0"/>
        <w:widowControl w:val="0"/>
        <w:numPr>
          <w:ilvl w:val="0"/>
          <w:numId w:val="0"/>
        </w:numPr>
        <w:kinsoku/>
        <w:wordWrap w:val="0"/>
        <w:overflowPunct/>
        <w:topLinePunct w:val="0"/>
        <w:autoSpaceDE/>
        <w:autoSpaceDN/>
        <w:bidi w:val="0"/>
        <w:adjustRightInd/>
        <w:snapToGrid/>
        <w:spacing w:line="360" w:lineRule="auto"/>
        <w:ind w:left="420" w:leftChars="0"/>
        <w:textAlignment w:val="auto"/>
        <w:rPr>
          <w:rFonts w:hint="eastAsia" w:ascii="宋体" w:hAnsi="宋体" w:eastAsia="宋体" w:cs="宋体"/>
          <w:bCs/>
          <w:color w:val="auto"/>
          <w:sz w:val="21"/>
          <w:highlight w:val="none"/>
          <w:lang w:val="en-US" w:eastAsia="zh-CN"/>
        </w:rPr>
      </w:pPr>
      <w:r>
        <w:rPr>
          <w:rFonts w:hint="eastAsia" w:hAnsi="宋体" w:eastAsia="宋体" w:cs="宋体"/>
          <w:bCs/>
          <w:color w:val="auto"/>
          <w:sz w:val="21"/>
          <w:szCs w:val="21"/>
          <w:highlight w:val="none"/>
          <w:lang w:val="en-US" w:eastAsia="zh-CN"/>
        </w:rPr>
        <w:t>3.每个投标人可对任意 1个或多个标段进行投标，但在GLTLJD1、GLTLJD2、GLTLJD3、GLTLJD4标段中仅允许最多中标1个标段，在SYJD1、SYJD2标段中仅允许最多中标1个标段，</w:t>
      </w:r>
      <w:r>
        <w:rPr>
          <w:rFonts w:hint="eastAsia" w:ascii="宋体" w:hAnsi="宋体" w:eastAsia="宋体" w:cs="宋体"/>
          <w:color w:val="auto"/>
          <w:sz w:val="21"/>
          <w:szCs w:val="21"/>
          <w:highlight w:val="none"/>
        </w:rPr>
        <w:t>即每个投标人最多可中</w:t>
      </w:r>
      <w:r>
        <w:rPr>
          <w:rFonts w:hint="eastAsia" w:ascii="宋体" w:hAnsi="宋体" w:eastAsia="宋体" w:cs="宋体"/>
          <w:color w:val="auto"/>
          <w:sz w:val="21"/>
          <w:szCs w:val="21"/>
          <w:highlight w:val="none"/>
          <w:lang w:val="en-US" w:eastAsia="zh-CN"/>
        </w:rPr>
        <w:t>3</w:t>
      </w:r>
      <w:r>
        <w:rPr>
          <w:rFonts w:hint="eastAsia" w:ascii="宋体" w:hAnsi="宋体" w:eastAsia="宋体" w:cs="宋体"/>
          <w:color w:val="auto"/>
          <w:sz w:val="21"/>
          <w:szCs w:val="21"/>
          <w:highlight w:val="none"/>
        </w:rPr>
        <w:t>个标段且分属于公路铁路、水运</w:t>
      </w:r>
      <w:r>
        <w:rPr>
          <w:rFonts w:hint="eastAsia" w:ascii="宋体" w:hAnsi="宋体" w:eastAsia="宋体" w:cs="宋体"/>
          <w:color w:val="auto"/>
          <w:sz w:val="21"/>
          <w:szCs w:val="21"/>
          <w:highlight w:val="none"/>
          <w:lang w:eastAsia="zh-CN"/>
        </w:rPr>
        <w:t>、</w:t>
      </w:r>
      <w:r>
        <w:rPr>
          <w:rFonts w:hint="eastAsia" w:hAnsi="宋体" w:eastAsia="宋体" w:cs="宋体"/>
          <w:i w:val="0"/>
          <w:iCs w:val="0"/>
          <w:color w:val="auto"/>
          <w:kern w:val="0"/>
          <w:sz w:val="21"/>
          <w:szCs w:val="21"/>
          <w:highlight w:val="none"/>
          <w:u w:val="none"/>
          <w:lang w:val="en-US" w:eastAsia="zh-CN" w:bidi="ar"/>
        </w:rPr>
        <w:t>技术支持</w:t>
      </w:r>
      <w:r>
        <w:rPr>
          <w:rFonts w:hint="eastAsia" w:ascii="宋体" w:hAnsi="宋体" w:eastAsia="宋体" w:cs="宋体"/>
          <w:color w:val="auto"/>
          <w:kern w:val="0"/>
          <w:sz w:val="21"/>
          <w:szCs w:val="21"/>
          <w:highlight w:val="none"/>
          <w:lang w:val="en-US" w:eastAsia="zh-CN"/>
        </w:rPr>
        <w:t>三</w:t>
      </w:r>
      <w:r>
        <w:rPr>
          <w:rFonts w:hint="eastAsia" w:ascii="宋体" w:hAnsi="宋体" w:eastAsia="宋体" w:cs="宋体"/>
          <w:color w:val="auto"/>
          <w:sz w:val="21"/>
          <w:szCs w:val="21"/>
          <w:highlight w:val="none"/>
        </w:rPr>
        <w:t>种类型。</w:t>
      </w:r>
      <w:r>
        <w:rPr>
          <w:rFonts w:hint="eastAsia" w:ascii="宋体" w:hAnsi="宋体" w:eastAsia="宋体" w:cs="宋体"/>
          <w:bCs/>
          <w:color w:val="auto"/>
          <w:sz w:val="21"/>
          <w:szCs w:val="21"/>
          <w:highlight w:val="none"/>
          <w:lang w:val="en-US" w:eastAsia="zh-CN"/>
        </w:rPr>
        <w:t>为了确保投标人的利益，投标人必须在投标函中明确选择优先中标标段的顺序。当投标人在多个标段中出现综合得分同时排名第一时，评标委员会将根据中标数量限制规定以及投标人报价投标函中所明确的中标意向优先顺序推荐中标人。若投标人报价投标函中未对此项进行明确或所填写的优先顺序错误致使评标委员会无法确定优先顺序时，将视为投标人放弃选择优先中标标段的权利，在该投标人所投多个标段中存在综合得分同时排名第一的情况时，投标公路类别的按GLTLJD1、GLTLJD2、GLTLJD3、GLTLJD4的顺序依次推荐为中标人；投标水运类别的按SYJD1、SYJD2的顺序依次推荐为中标人；已被推荐为中标人且已满足中标数量规定的投标人，在同类别的其他标段中将不再推荐为中标候选人。某一类别中已推荐的中标人如存在招标文件规定的任何一种情形被否决中标的，在该类别其他标段中也将不再重新调整推荐为中标候选人）。</w:t>
      </w:r>
    </w:p>
    <w:p w14:paraId="5862A6F1">
      <w:pPr>
        <w:spacing w:before="120" w:line="320" w:lineRule="atLeast"/>
        <w:ind w:firstLine="420" w:firstLineChars="200"/>
        <w:rPr>
          <w:rFonts w:hint="eastAsia" w:ascii="宋体" w:hAnsi="宋体" w:eastAsia="宋体" w:cs="宋体"/>
          <w:bCs/>
          <w:color w:val="auto"/>
          <w:kern w:val="0"/>
          <w:sz w:val="21"/>
          <w:szCs w:val="21"/>
          <w:highlight w:val="none"/>
          <w:lang w:val="en-US" w:eastAsia="zh-CN" w:bidi="ar-SA"/>
        </w:rPr>
      </w:pPr>
      <w:r>
        <w:rPr>
          <w:rFonts w:hint="eastAsia" w:ascii="宋体" w:hAnsi="宋体" w:eastAsia="宋体" w:cs="宋体"/>
          <w:bCs/>
          <w:color w:val="auto"/>
          <w:kern w:val="0"/>
          <w:sz w:val="21"/>
          <w:szCs w:val="21"/>
          <w:highlight w:val="none"/>
          <w:lang w:val="en-US" w:eastAsia="zh-CN" w:bidi="ar-SA"/>
        </w:rPr>
        <w:t>4.1偏离认定说明</w:t>
      </w:r>
    </w:p>
    <w:p w14:paraId="5ECFAEC5">
      <w:pPr>
        <w:spacing w:before="120" w:line="320" w:lineRule="atLeast"/>
        <w:ind w:firstLine="420" w:firstLineChars="200"/>
        <w:rPr>
          <w:rFonts w:hint="eastAsia" w:ascii="宋体" w:hAnsi="宋体" w:eastAsia="宋体" w:cs="宋体"/>
          <w:bCs/>
          <w:color w:val="auto"/>
          <w:kern w:val="0"/>
          <w:sz w:val="21"/>
          <w:szCs w:val="21"/>
          <w:highlight w:val="none"/>
          <w:lang w:val="en-US" w:eastAsia="zh-CN" w:bidi="ar-SA"/>
        </w:rPr>
      </w:pPr>
      <w:r>
        <w:rPr>
          <w:rFonts w:hint="eastAsia" w:ascii="宋体" w:hAnsi="宋体" w:eastAsia="宋体" w:cs="宋体"/>
          <w:bCs/>
          <w:color w:val="auto"/>
          <w:kern w:val="0"/>
          <w:sz w:val="21"/>
          <w:szCs w:val="21"/>
          <w:highlight w:val="none"/>
          <w:lang w:val="en-US" w:eastAsia="zh-CN" w:bidi="ar-SA"/>
        </w:rPr>
        <w:t>供应商根据采购需求中技术参数为基准，填写响应表，对于响应表或证明材料与技术参数不符的，按如下规定：</w:t>
      </w:r>
    </w:p>
    <w:p w14:paraId="37B6AB48">
      <w:pPr>
        <w:spacing w:before="120" w:line="320" w:lineRule="atLeast"/>
        <w:ind w:firstLine="420" w:firstLineChars="200"/>
        <w:rPr>
          <w:rFonts w:hint="eastAsia" w:ascii="宋体" w:hAnsi="宋体" w:eastAsia="宋体" w:cs="宋体"/>
          <w:bCs/>
          <w:color w:val="auto"/>
          <w:kern w:val="0"/>
          <w:sz w:val="21"/>
          <w:szCs w:val="21"/>
          <w:highlight w:val="none"/>
          <w:lang w:val="en-US" w:eastAsia="zh-CN" w:bidi="ar-SA"/>
        </w:rPr>
      </w:pPr>
      <w:r>
        <w:rPr>
          <w:rFonts w:hint="eastAsia" w:ascii="宋体" w:hAnsi="宋体" w:eastAsia="宋体" w:cs="宋体"/>
          <w:bCs/>
          <w:color w:val="auto"/>
          <w:kern w:val="0"/>
          <w:sz w:val="21"/>
          <w:szCs w:val="21"/>
          <w:highlight w:val="none"/>
          <w:lang w:val="en-US" w:eastAsia="zh-CN" w:bidi="ar-SA"/>
        </w:rPr>
        <w:t>（1）实质性参数要求提交证明材料的，证明材料没有体现响应表中响应的内容的或未提供证明材料的，视为无效响应。非实质性参数要求提交证明材料的，证明材料没有体现响应表中响应的内容的或未提供证明材料的，视为负偏离。</w:t>
      </w:r>
    </w:p>
    <w:p w14:paraId="5FAB438A">
      <w:pPr>
        <w:spacing w:before="120" w:line="320" w:lineRule="atLeast"/>
        <w:ind w:firstLine="420" w:firstLineChars="200"/>
        <w:rPr>
          <w:rFonts w:hint="eastAsia" w:ascii="宋体" w:hAnsi="宋体" w:eastAsia="宋体" w:cs="宋体"/>
          <w:bCs/>
          <w:color w:val="auto"/>
          <w:kern w:val="0"/>
          <w:sz w:val="21"/>
          <w:szCs w:val="21"/>
          <w:highlight w:val="none"/>
          <w:lang w:val="en-US" w:eastAsia="zh-CN" w:bidi="ar-SA"/>
        </w:rPr>
      </w:pPr>
      <w:r>
        <w:rPr>
          <w:rFonts w:hint="eastAsia" w:ascii="宋体" w:hAnsi="宋体" w:eastAsia="宋体" w:cs="宋体"/>
          <w:bCs/>
          <w:color w:val="auto"/>
          <w:kern w:val="0"/>
          <w:sz w:val="21"/>
          <w:szCs w:val="21"/>
          <w:highlight w:val="none"/>
          <w:lang w:val="en-US" w:eastAsia="zh-CN" w:bidi="ar-SA"/>
        </w:rPr>
        <w:t>（2）响应表中响应的内容与证明材料不一致的，以证明材料为准作为评审依据。</w:t>
      </w:r>
    </w:p>
    <w:p w14:paraId="0B55622D">
      <w:pPr>
        <w:spacing w:before="120" w:line="320" w:lineRule="atLeast"/>
        <w:ind w:firstLine="420" w:firstLineChars="200"/>
        <w:rPr>
          <w:rFonts w:hint="eastAsia" w:ascii="宋体" w:hAnsi="宋体" w:eastAsia="宋体" w:cs="宋体"/>
          <w:bCs/>
          <w:color w:val="auto"/>
          <w:kern w:val="0"/>
          <w:sz w:val="21"/>
          <w:szCs w:val="21"/>
          <w:highlight w:val="none"/>
          <w:lang w:val="en-US" w:eastAsia="zh-CN" w:bidi="ar-SA"/>
        </w:rPr>
      </w:pPr>
      <w:r>
        <w:rPr>
          <w:rFonts w:hint="eastAsia" w:ascii="宋体" w:hAnsi="宋体" w:eastAsia="宋体" w:cs="宋体"/>
          <w:bCs/>
          <w:color w:val="auto"/>
          <w:kern w:val="0"/>
          <w:sz w:val="21"/>
          <w:szCs w:val="21"/>
          <w:highlight w:val="none"/>
          <w:lang w:val="en-US" w:eastAsia="zh-CN" w:bidi="ar-SA"/>
        </w:rPr>
        <w:t>（3）同时出现以上两种情况的，按照（1）-（2）顺序认定。</w:t>
      </w:r>
    </w:p>
    <w:p w14:paraId="2F465998">
      <w:pPr>
        <w:spacing w:before="120" w:line="320" w:lineRule="atLeast"/>
        <w:ind w:firstLine="420" w:firstLineChars="200"/>
        <w:rPr>
          <w:rFonts w:hint="eastAsia" w:ascii="宋体" w:hAnsi="宋体" w:eastAsia="宋体" w:cs="宋体"/>
          <w:bCs/>
          <w:color w:val="auto"/>
          <w:kern w:val="0"/>
          <w:sz w:val="21"/>
          <w:szCs w:val="21"/>
          <w:highlight w:val="none"/>
          <w:lang w:val="en-US" w:eastAsia="zh-CN" w:bidi="ar-SA"/>
        </w:rPr>
      </w:pPr>
      <w:r>
        <w:rPr>
          <w:rFonts w:hint="eastAsia" w:ascii="宋体" w:hAnsi="宋体" w:eastAsia="宋体" w:cs="宋体"/>
          <w:bCs/>
          <w:color w:val="auto"/>
          <w:kern w:val="0"/>
          <w:sz w:val="21"/>
          <w:szCs w:val="21"/>
          <w:highlight w:val="none"/>
          <w:lang w:val="en-US" w:eastAsia="zh-CN" w:bidi="ar-SA"/>
        </w:rPr>
        <w:t>（4）响应表与采购需求中技术参数比较有漏项的，如为实质性参数漏项，视为未响应；如为非实质性参数漏项，视为负偏离。</w:t>
      </w:r>
    </w:p>
    <w:p w14:paraId="624988EF">
      <w:pPr>
        <w:spacing w:before="120" w:line="320" w:lineRule="atLeast"/>
        <w:ind w:firstLine="420" w:firstLineChars="200"/>
        <w:rPr>
          <w:rFonts w:hint="eastAsia" w:ascii="宋体" w:hAnsi="宋体" w:eastAsia="宋体" w:cs="宋体"/>
          <w:bCs/>
          <w:color w:val="auto"/>
          <w:kern w:val="0"/>
          <w:sz w:val="21"/>
          <w:szCs w:val="21"/>
          <w:highlight w:val="none"/>
          <w:lang w:val="en-US" w:eastAsia="zh-CN" w:bidi="ar-SA"/>
        </w:rPr>
      </w:pPr>
      <w:r>
        <w:rPr>
          <w:rFonts w:hint="eastAsia" w:ascii="宋体" w:hAnsi="宋体" w:eastAsia="宋体" w:cs="宋体"/>
          <w:bCs/>
          <w:color w:val="auto"/>
          <w:kern w:val="0"/>
          <w:sz w:val="21"/>
          <w:szCs w:val="21"/>
          <w:highlight w:val="none"/>
          <w:lang w:val="en-US" w:eastAsia="zh-CN" w:bidi="ar-SA"/>
        </w:rPr>
        <w:t>（5）一项技术参数有多条小项要求的，必须全部响应。如只响应部分参数，视为漏项，按照（4）判定。评审时以每一条技术参数为评审依据。</w:t>
      </w:r>
    </w:p>
    <w:p w14:paraId="4913E9E0">
      <w:pPr>
        <w:spacing w:before="120" w:line="320" w:lineRule="atLeast"/>
        <w:ind w:firstLine="420" w:firstLineChars="200"/>
        <w:rPr>
          <w:rFonts w:hint="eastAsia" w:ascii="宋体" w:hAnsi="宋体" w:eastAsia="宋体" w:cs="宋体"/>
          <w:bCs/>
          <w:color w:val="auto"/>
          <w:kern w:val="0"/>
          <w:sz w:val="21"/>
          <w:szCs w:val="21"/>
          <w:highlight w:val="none"/>
          <w:lang w:val="en-US" w:eastAsia="zh-CN" w:bidi="ar-SA"/>
        </w:rPr>
      </w:pPr>
      <w:r>
        <w:rPr>
          <w:rFonts w:hint="eastAsia" w:ascii="宋体" w:hAnsi="宋体" w:eastAsia="宋体" w:cs="宋体"/>
          <w:bCs/>
          <w:color w:val="auto"/>
          <w:kern w:val="0"/>
          <w:sz w:val="21"/>
          <w:szCs w:val="21"/>
          <w:highlight w:val="none"/>
          <w:lang w:val="en-US" w:eastAsia="zh-CN" w:bidi="ar-SA"/>
        </w:rPr>
        <w:t>（6）对于区间涵盖值参数，例：电压“测量范围3V-5V”，同时满足下限值更低及上限值更高才视为正偏离，例：响应为“测量范围2V-6V”。如有一端负偏离，不管另一端如何，均视为负偏离，例：响应为“测量范围4V-6V”。</w:t>
      </w:r>
    </w:p>
    <w:p w14:paraId="34799DE5">
      <w:pPr>
        <w:spacing w:before="120" w:line="320" w:lineRule="atLeast"/>
        <w:ind w:firstLine="420" w:firstLineChars="200"/>
        <w:rPr>
          <w:rFonts w:hint="eastAsia" w:ascii="宋体" w:hAnsi="宋体" w:eastAsia="宋体" w:cs="宋体"/>
          <w:bCs/>
          <w:color w:val="auto"/>
          <w:kern w:val="0"/>
          <w:sz w:val="21"/>
          <w:szCs w:val="21"/>
          <w:highlight w:val="none"/>
          <w:lang w:val="en-US" w:eastAsia="zh-CN" w:bidi="ar-SA"/>
        </w:rPr>
      </w:pPr>
      <w:r>
        <w:rPr>
          <w:rFonts w:hint="eastAsia" w:ascii="宋体" w:hAnsi="宋体" w:eastAsia="宋体" w:cs="宋体"/>
          <w:bCs/>
          <w:color w:val="auto"/>
          <w:kern w:val="0"/>
          <w:sz w:val="21"/>
          <w:szCs w:val="21"/>
          <w:highlight w:val="none"/>
          <w:lang w:val="en-US" w:eastAsia="zh-CN" w:bidi="ar-SA"/>
        </w:rPr>
        <w:t>（7）对于区间任意值参数，例“5mm≤间距≤10mm”或“间距7.5±2.5mm”，若间距响应值为5mm-10mm中任意区间值或任意一个数值（含本数）时为无偏离，例：“6mm≤间距≤8mm”、“8±2mm”、“8mm”。超过区间范围视为负偏离，例：“3mm≤间距≤12mm”、“8±4mm”、“3-12mm”、“3mm”。此类参数不存在正偏离。</w:t>
      </w:r>
    </w:p>
    <w:p w14:paraId="6921738D">
      <w:pPr>
        <w:spacing w:before="120" w:line="320" w:lineRule="atLeast"/>
        <w:ind w:firstLine="420" w:firstLineChars="200"/>
        <w:rPr>
          <w:rFonts w:hint="eastAsia" w:ascii="宋体" w:hAnsi="宋体" w:eastAsia="宋体" w:cs="宋体"/>
          <w:bCs/>
          <w:color w:val="auto"/>
          <w:kern w:val="0"/>
          <w:sz w:val="21"/>
          <w:szCs w:val="21"/>
          <w:highlight w:val="none"/>
          <w:lang w:val="en-US" w:eastAsia="zh-CN" w:bidi="ar-SA"/>
        </w:rPr>
      </w:pPr>
      <w:r>
        <w:rPr>
          <w:rFonts w:hint="eastAsia" w:ascii="宋体" w:hAnsi="宋体" w:eastAsia="宋体" w:cs="宋体"/>
          <w:bCs/>
          <w:color w:val="auto"/>
          <w:kern w:val="0"/>
          <w:sz w:val="21"/>
          <w:szCs w:val="21"/>
          <w:highlight w:val="none"/>
          <w:lang w:val="en-US" w:eastAsia="zh-CN" w:bidi="ar-SA"/>
        </w:rPr>
        <w:t>（8）对于单边任意参数的要求，例“长度≥50cm”，若响应为50 cm及50cm以上任意一个数值，均视为无偏离；若响应小于50cm，视为负偏离。此类参数无正偏离。</w:t>
      </w:r>
    </w:p>
    <w:p w14:paraId="0B31364F">
      <w:pPr>
        <w:spacing w:before="120" w:line="320" w:lineRule="atLeast"/>
        <w:ind w:firstLine="420" w:firstLineChars="200"/>
        <w:rPr>
          <w:rFonts w:hint="eastAsia" w:ascii="宋体" w:hAnsi="宋体" w:eastAsia="宋体" w:cs="宋体"/>
          <w:bCs/>
          <w:color w:val="auto"/>
          <w:kern w:val="0"/>
          <w:sz w:val="21"/>
          <w:szCs w:val="21"/>
          <w:highlight w:val="none"/>
          <w:lang w:val="en-US" w:eastAsia="zh-CN" w:bidi="ar-SA"/>
        </w:rPr>
      </w:pPr>
      <w:r>
        <w:rPr>
          <w:rFonts w:hint="eastAsia" w:ascii="宋体" w:hAnsi="宋体" w:eastAsia="宋体" w:cs="宋体"/>
          <w:bCs/>
          <w:color w:val="auto"/>
          <w:kern w:val="0"/>
          <w:sz w:val="21"/>
          <w:szCs w:val="21"/>
          <w:highlight w:val="none"/>
          <w:lang w:val="en-US" w:eastAsia="zh-CN" w:bidi="ar-SA"/>
        </w:rPr>
        <w:t>（9）对于固定参数，响应与采购需求中技术参数一致，视为无偏离，其他均视为负偏离，此类参数无正偏离。</w:t>
      </w:r>
    </w:p>
    <w:p w14:paraId="050118D6">
      <w:pPr>
        <w:spacing w:before="120" w:line="320" w:lineRule="atLeast"/>
        <w:ind w:firstLine="420" w:firstLineChars="200"/>
        <w:rPr>
          <w:rFonts w:hint="eastAsia" w:ascii="宋体" w:hAnsi="宋体" w:eastAsia="宋体" w:cs="宋体"/>
          <w:bCs/>
          <w:color w:val="auto"/>
          <w:kern w:val="0"/>
          <w:sz w:val="21"/>
          <w:szCs w:val="21"/>
          <w:highlight w:val="none"/>
          <w:lang w:val="en-US" w:eastAsia="zh-CN" w:bidi="ar-SA"/>
        </w:rPr>
      </w:pPr>
      <w:r>
        <w:rPr>
          <w:rFonts w:hint="eastAsia" w:ascii="宋体" w:hAnsi="宋体" w:eastAsia="宋体" w:cs="宋体"/>
          <w:bCs/>
          <w:color w:val="auto"/>
          <w:kern w:val="0"/>
          <w:sz w:val="21"/>
          <w:szCs w:val="21"/>
          <w:highlight w:val="none"/>
          <w:lang w:val="en-US" w:eastAsia="zh-CN" w:bidi="ar-SA"/>
        </w:rPr>
        <w:t>（10）如采购需求中技术参数有特殊要求与上述说明不一致的，以特殊要求为准。</w:t>
      </w:r>
    </w:p>
    <w:p w14:paraId="2A5306A2">
      <w:pPr>
        <w:pStyle w:val="5"/>
        <w:keepNext w:val="0"/>
        <w:keepLines w:val="0"/>
        <w:jc w:val="center"/>
        <w:rPr>
          <w:rFonts w:hint="eastAsia" w:ascii="宋体" w:hAnsi="宋体" w:eastAsia="宋体" w:cs="宋体"/>
          <w:color w:val="auto"/>
          <w:highlight w:val="none"/>
        </w:rPr>
      </w:pPr>
      <w:r>
        <w:rPr>
          <w:rFonts w:hint="eastAsia" w:ascii="宋体" w:hAnsi="宋体" w:eastAsia="宋体" w:cs="宋体"/>
          <w:color w:val="auto"/>
          <w:highlight w:val="none"/>
        </w:rPr>
        <w:br w:type="page"/>
      </w:r>
      <w:r>
        <w:rPr>
          <w:rFonts w:hint="eastAsia" w:ascii="宋体" w:hAnsi="宋体" w:eastAsia="宋体" w:cs="宋体"/>
          <w:color w:val="auto"/>
          <w:highlight w:val="none"/>
        </w:rPr>
        <w:t>综合评分法</w:t>
      </w:r>
    </w:p>
    <w:p w14:paraId="789208CB">
      <w:pPr>
        <w:pStyle w:val="24"/>
        <w:spacing w:line="360" w:lineRule="auto"/>
        <w:rPr>
          <w:rFonts w:hint="eastAsia" w:ascii="宋体" w:hAnsi="宋体" w:eastAsia="宋体" w:cs="宋体"/>
          <w:b/>
          <w:color w:val="auto"/>
          <w:sz w:val="21"/>
          <w:highlight w:val="none"/>
          <w:lang w:val="en-US" w:eastAsia="zh-CN"/>
        </w:rPr>
      </w:pPr>
      <w:r>
        <w:rPr>
          <w:rFonts w:hint="eastAsia" w:hAnsi="宋体" w:eastAsia="宋体" w:cs="宋体"/>
          <w:b/>
          <w:color w:val="auto"/>
          <w:sz w:val="21"/>
          <w:highlight w:val="none"/>
          <w:lang w:val="en-US" w:eastAsia="zh-CN"/>
        </w:rPr>
        <w:t>JSZC标段（技术支持标段）</w:t>
      </w:r>
    </w:p>
    <w:tbl>
      <w:tblPr>
        <w:tblStyle w:val="45"/>
        <w:tblW w:w="96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0"/>
        <w:gridCol w:w="1280"/>
        <w:gridCol w:w="709"/>
        <w:gridCol w:w="1559"/>
        <w:gridCol w:w="5410"/>
      </w:tblGrid>
      <w:tr w14:paraId="2E80CB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30" w:type="dxa"/>
            <w:noWrap w:val="0"/>
            <w:vAlign w:val="center"/>
          </w:tcPr>
          <w:p w14:paraId="7B0F2C65">
            <w:pPr>
              <w:adjustRightInd w:val="0"/>
              <w:spacing w:line="360" w:lineRule="exact"/>
              <w:jc w:val="center"/>
              <w:textAlignment w:val="baseline"/>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序号</w:t>
            </w:r>
          </w:p>
        </w:tc>
        <w:tc>
          <w:tcPr>
            <w:tcW w:w="1280" w:type="dxa"/>
            <w:noWrap w:val="0"/>
            <w:vAlign w:val="center"/>
          </w:tcPr>
          <w:p w14:paraId="744E6D47">
            <w:pPr>
              <w:adjustRightInd w:val="0"/>
              <w:spacing w:line="360" w:lineRule="exact"/>
              <w:jc w:val="center"/>
              <w:textAlignment w:val="baseline"/>
              <w:rPr>
                <w:rFonts w:hint="eastAsia" w:ascii="宋体" w:hAnsi="宋体" w:eastAsia="宋体" w:cs="宋体"/>
                <w:color w:val="auto"/>
                <w:szCs w:val="21"/>
                <w:highlight w:val="none"/>
              </w:rPr>
            </w:pPr>
            <w:r>
              <w:rPr>
                <w:rFonts w:hint="eastAsia" w:ascii="宋体" w:hAnsi="宋体" w:eastAsia="宋体" w:cs="宋体"/>
                <w:b/>
                <w:color w:val="auto"/>
                <w:szCs w:val="21"/>
                <w:highlight w:val="none"/>
              </w:rPr>
              <w:t>评审因素</w:t>
            </w:r>
          </w:p>
        </w:tc>
        <w:tc>
          <w:tcPr>
            <w:tcW w:w="709" w:type="dxa"/>
            <w:noWrap w:val="0"/>
            <w:vAlign w:val="center"/>
          </w:tcPr>
          <w:p w14:paraId="6E0060EC">
            <w:pPr>
              <w:adjustRightInd w:val="0"/>
              <w:spacing w:line="360" w:lineRule="exact"/>
              <w:jc w:val="center"/>
              <w:textAlignment w:val="baseline"/>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分值</w:t>
            </w:r>
          </w:p>
        </w:tc>
        <w:tc>
          <w:tcPr>
            <w:tcW w:w="6969" w:type="dxa"/>
            <w:gridSpan w:val="2"/>
            <w:noWrap w:val="0"/>
            <w:vAlign w:val="center"/>
          </w:tcPr>
          <w:p w14:paraId="0E881AA6">
            <w:pPr>
              <w:adjustRightInd w:val="0"/>
              <w:spacing w:line="360" w:lineRule="exact"/>
              <w:jc w:val="center"/>
              <w:textAlignment w:val="baseline"/>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评标标准</w:t>
            </w:r>
          </w:p>
        </w:tc>
      </w:tr>
      <w:tr w14:paraId="3EF840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30" w:type="dxa"/>
            <w:noWrap w:val="0"/>
            <w:vAlign w:val="center"/>
          </w:tcPr>
          <w:p w14:paraId="5B48C640">
            <w:pPr>
              <w:adjustRightInd w:val="0"/>
              <w:spacing w:line="360" w:lineRule="exact"/>
              <w:jc w:val="center"/>
              <w:textAlignment w:val="baseline"/>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1</w:t>
            </w:r>
          </w:p>
        </w:tc>
        <w:tc>
          <w:tcPr>
            <w:tcW w:w="1280" w:type="dxa"/>
            <w:noWrap w:val="0"/>
            <w:vAlign w:val="center"/>
          </w:tcPr>
          <w:p w14:paraId="19564B75">
            <w:pPr>
              <w:adjustRightInd w:val="0"/>
              <w:spacing w:line="360" w:lineRule="exact"/>
              <w:jc w:val="center"/>
              <w:textAlignment w:val="baseline"/>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报价</w:t>
            </w:r>
          </w:p>
        </w:tc>
        <w:tc>
          <w:tcPr>
            <w:tcW w:w="709" w:type="dxa"/>
            <w:noWrap w:val="0"/>
            <w:vAlign w:val="center"/>
          </w:tcPr>
          <w:p w14:paraId="4AA4CB91">
            <w:pPr>
              <w:adjustRightInd w:val="0"/>
              <w:spacing w:line="360" w:lineRule="exact"/>
              <w:jc w:val="center"/>
              <w:textAlignment w:val="baseline"/>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10分</w:t>
            </w:r>
          </w:p>
        </w:tc>
        <w:tc>
          <w:tcPr>
            <w:tcW w:w="6969" w:type="dxa"/>
            <w:gridSpan w:val="2"/>
            <w:noWrap w:val="0"/>
            <w:vAlign w:val="center"/>
          </w:tcPr>
          <w:p w14:paraId="062DEC3F">
            <w:pPr>
              <w:pStyle w:val="24"/>
              <w:spacing w:line="360" w:lineRule="exact"/>
              <w:rPr>
                <w:rFonts w:hint="eastAsia" w:ascii="宋体" w:hAnsi="宋体" w:eastAsia="宋体" w:cs="宋体"/>
                <w:b/>
                <w:bCs/>
                <w:color w:val="auto"/>
                <w:kern w:val="2"/>
                <w:sz w:val="21"/>
                <w:highlight w:val="none"/>
                <w:lang w:val="en-US" w:eastAsia="zh-CN"/>
              </w:rPr>
            </w:pPr>
            <w:r>
              <w:rPr>
                <w:rFonts w:hint="eastAsia" w:ascii="宋体" w:hAnsi="宋体" w:eastAsia="宋体" w:cs="宋体"/>
                <w:b/>
                <w:bCs/>
                <w:color w:val="auto"/>
                <w:kern w:val="2"/>
                <w:sz w:val="21"/>
                <w:highlight w:val="none"/>
                <w:lang w:val="en-US" w:eastAsia="zh-CN"/>
              </w:rPr>
              <w:t>一、政府采购政策扣除</w:t>
            </w:r>
          </w:p>
          <w:p w14:paraId="04077289">
            <w:pPr>
              <w:keepNext w:val="0"/>
              <w:keepLines w:val="0"/>
              <w:pageBreakBefore w:val="0"/>
              <w:kinsoku/>
              <w:wordWrap w:val="0"/>
              <w:overflowPunct/>
              <w:topLinePunct w:val="0"/>
              <w:autoSpaceDE/>
              <w:autoSpaceDN/>
              <w:bidi w:val="0"/>
              <w:spacing w:line="400" w:lineRule="exact"/>
              <w:ind w:firstLine="422" w:firstLineChars="200"/>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lang w:eastAsia="zh-CN"/>
              </w:rPr>
              <w:t>☑</w:t>
            </w:r>
            <w:r>
              <w:rPr>
                <w:rFonts w:hint="eastAsia" w:ascii="宋体" w:hAnsi="宋体" w:eastAsia="宋体" w:cs="宋体"/>
                <w:b/>
                <w:bCs/>
                <w:color w:val="auto"/>
                <w:sz w:val="21"/>
                <w:szCs w:val="21"/>
                <w:highlight w:val="none"/>
              </w:rPr>
              <w:t>本项目为非专门面向中小企业采购项目（政府采购政策性扣除计算方法）：</w:t>
            </w:r>
          </w:p>
          <w:p w14:paraId="6ED8D847">
            <w:pPr>
              <w:keepNext w:val="0"/>
              <w:keepLines w:val="0"/>
              <w:pageBreakBefore w:val="0"/>
              <w:kinsoku/>
              <w:wordWrap w:val="0"/>
              <w:overflowPunct/>
              <w:topLinePunct w:val="0"/>
              <w:autoSpaceDE/>
              <w:autoSpaceDN/>
              <w:bidi w:val="0"/>
              <w:spacing w:line="4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1.评审报价为供应商的最后报价进行政策性扣除后的价格，评审报价只是作为评审时使用。最终成交供应商的成交金额等于最后报价（如有修正，以确认修正后的最后报价为准）。</w:t>
            </w:r>
          </w:p>
          <w:p w14:paraId="1FA2016A">
            <w:pPr>
              <w:keepNext w:val="0"/>
              <w:keepLines w:val="0"/>
              <w:pageBreakBefore w:val="0"/>
              <w:kinsoku/>
              <w:wordWrap w:val="0"/>
              <w:overflowPunct/>
              <w:topLinePunct w:val="0"/>
              <w:autoSpaceDE/>
              <w:autoSpaceDN/>
              <w:bidi w:val="0"/>
              <w:spacing w:line="4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2.政府采购政策性扣除计算方法</w:t>
            </w:r>
          </w:p>
          <w:p w14:paraId="78557637">
            <w:pPr>
              <w:keepNext w:val="0"/>
              <w:keepLines w:val="0"/>
              <w:pageBreakBefore w:val="0"/>
              <w:kinsoku/>
              <w:wordWrap w:val="0"/>
              <w:overflowPunct/>
              <w:topLinePunct w:val="0"/>
              <w:autoSpaceDE/>
              <w:autoSpaceDN/>
              <w:bidi w:val="0"/>
              <w:spacing w:line="4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（1）按照《政府采购促进中小企业发展管理办法》（财库〔2020〕46号）的规定，供应商在其响应文件中提供《中小企业声明函》，且其服务为小型和微型企业承接的，对其最后报价给予</w:t>
            </w:r>
            <w:r>
              <w:rPr>
                <w:rFonts w:hint="eastAsia" w:ascii="宋体" w:hAnsi="宋体" w:eastAsia="宋体" w:cs="宋体"/>
                <w:color w:val="auto"/>
                <w:sz w:val="21"/>
                <w:szCs w:val="21"/>
                <w:highlight w:val="none"/>
                <w:lang w:val="en-US" w:eastAsia="zh-CN"/>
              </w:rPr>
              <w:t>10</w:t>
            </w:r>
            <w:r>
              <w:rPr>
                <w:rFonts w:hint="eastAsia" w:ascii="宋体" w:hAnsi="宋体" w:eastAsia="宋体" w:cs="宋体"/>
                <w:color w:val="auto"/>
                <w:sz w:val="21"/>
                <w:szCs w:val="21"/>
                <w:highlight w:val="none"/>
              </w:rPr>
              <w:t>%的扣除。</w:t>
            </w:r>
          </w:p>
          <w:p w14:paraId="057779F5">
            <w:pPr>
              <w:keepNext w:val="0"/>
              <w:keepLines w:val="0"/>
              <w:pageBreakBefore w:val="0"/>
              <w:kinsoku/>
              <w:wordWrap w:val="0"/>
              <w:overflowPunct/>
              <w:topLinePunct w:val="0"/>
              <w:autoSpaceDE/>
              <w:autoSpaceDN/>
              <w:bidi w:val="0"/>
              <w:spacing w:line="4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按照《财政部、司法部关于政府采购支持监狱企业发展有关问题的通知》（财库〔2014〕68号）的规定，监狱企业视同小型、微型企业，享受预留份额、评审中价格扣除等促进中小企业发展的政府采购政策。监狱企业参加政府采购活动时，应当提供由省级以上监狱管理局、戒毒管理局（含新疆生产建设兵团）出具的属于监狱企业的证明文件。不重复享受政策。</w:t>
            </w:r>
          </w:p>
          <w:p w14:paraId="45FC17BF">
            <w:pPr>
              <w:keepNext w:val="0"/>
              <w:keepLines w:val="0"/>
              <w:pageBreakBefore w:val="0"/>
              <w:kinsoku/>
              <w:wordWrap w:val="0"/>
              <w:overflowPunct/>
              <w:topLinePunct w:val="0"/>
              <w:autoSpaceDE/>
              <w:autoSpaceDN/>
              <w:bidi w:val="0"/>
              <w:spacing w:line="4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按照《关于促进残疾人就业政府采购政策的通知》（财库〔2017〕141号）的规定，残疾人福利性单位视同小型、微型企业，享受预留份额、评审中价格扣除等促进中小企业发展的政府采购政策。残疾人福利性单位参加政府采购活动时，应当提供该通知规定的《残疾人福利性单位声明函》，并对声明的真实性负责。残疾人福利性单位属于小型、微型企业的，不重复享受政策。</w:t>
            </w:r>
          </w:p>
          <w:p w14:paraId="3C6CFF0B">
            <w:pPr>
              <w:keepNext w:val="0"/>
              <w:keepLines w:val="0"/>
              <w:pageBreakBefore w:val="0"/>
              <w:kinsoku/>
              <w:wordWrap w:val="0"/>
              <w:overflowPunct/>
              <w:topLinePunct w:val="0"/>
              <w:autoSpaceDE/>
              <w:autoSpaceDN/>
              <w:bidi w:val="0"/>
              <w:spacing w:line="4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（4）政策性扣除计算方法。</w:t>
            </w:r>
          </w:p>
          <w:p w14:paraId="0866C522">
            <w:pPr>
              <w:keepNext w:val="0"/>
              <w:keepLines w:val="0"/>
              <w:pageBreakBefore w:val="0"/>
              <w:kinsoku/>
              <w:wordWrap w:val="0"/>
              <w:overflowPunct/>
              <w:topLinePunct w:val="0"/>
              <w:autoSpaceDE/>
              <w:autoSpaceDN/>
              <w:bidi w:val="0"/>
              <w:spacing w:line="4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在服务采购项目中，服务由小微企业承接；对符合上述要求的供应商的</w:t>
            </w:r>
            <w:r>
              <w:rPr>
                <w:rFonts w:hint="eastAsia" w:ascii="宋体" w:hAnsi="宋体" w:eastAsia="宋体" w:cs="宋体"/>
                <w:color w:val="auto"/>
                <w:sz w:val="21"/>
                <w:szCs w:val="21"/>
                <w:highlight w:val="none"/>
                <w:lang w:eastAsia="zh-CN"/>
              </w:rPr>
              <w:t>投标</w:t>
            </w:r>
            <w:r>
              <w:rPr>
                <w:rFonts w:hint="eastAsia" w:ascii="宋体" w:hAnsi="宋体" w:eastAsia="宋体" w:cs="宋体"/>
                <w:color w:val="auto"/>
                <w:sz w:val="21"/>
                <w:szCs w:val="21"/>
                <w:highlight w:val="none"/>
              </w:rPr>
              <w:t>报价给予</w:t>
            </w:r>
            <w:r>
              <w:rPr>
                <w:rFonts w:hint="eastAsia" w:ascii="宋体" w:hAnsi="宋体" w:eastAsia="宋体" w:cs="宋体"/>
                <w:color w:val="auto"/>
                <w:sz w:val="21"/>
                <w:szCs w:val="21"/>
                <w:highlight w:val="none"/>
                <w:u w:val="single"/>
                <w:lang w:val="en-US" w:eastAsia="zh-CN"/>
              </w:rPr>
              <w:t>1</w:t>
            </w:r>
            <w:r>
              <w:rPr>
                <w:rFonts w:hint="eastAsia" w:ascii="宋体" w:hAnsi="宋体" w:eastAsia="宋体" w:cs="宋体"/>
                <w:color w:val="auto"/>
                <w:sz w:val="21"/>
                <w:szCs w:val="21"/>
                <w:highlight w:val="none"/>
                <w:u w:val="single"/>
              </w:rPr>
              <w:t>0%</w:t>
            </w:r>
            <w:r>
              <w:rPr>
                <w:rFonts w:hint="eastAsia" w:ascii="宋体" w:hAnsi="宋体" w:eastAsia="宋体" w:cs="宋体"/>
                <w:color w:val="auto"/>
                <w:sz w:val="21"/>
                <w:szCs w:val="21"/>
                <w:highlight w:val="none"/>
              </w:rPr>
              <w:t>的扣除，扣除后的价格为评审报价，即评审报价=</w:t>
            </w:r>
            <w:r>
              <w:rPr>
                <w:rFonts w:hint="eastAsia" w:ascii="宋体" w:hAnsi="宋体" w:eastAsia="宋体" w:cs="宋体"/>
                <w:color w:val="auto"/>
                <w:sz w:val="21"/>
                <w:szCs w:val="21"/>
                <w:highlight w:val="none"/>
                <w:lang w:eastAsia="zh-CN"/>
              </w:rPr>
              <w:t>投标</w:t>
            </w:r>
            <w:r>
              <w:rPr>
                <w:rFonts w:hint="eastAsia" w:ascii="宋体" w:hAnsi="宋体" w:eastAsia="宋体" w:cs="宋体"/>
                <w:color w:val="auto"/>
                <w:sz w:val="21"/>
                <w:szCs w:val="21"/>
                <w:highlight w:val="none"/>
              </w:rPr>
              <w:t>报价×（1-</w:t>
            </w:r>
            <w:r>
              <w:rPr>
                <w:rFonts w:hint="eastAsia" w:ascii="宋体" w:hAnsi="宋体" w:eastAsia="宋体" w:cs="宋体"/>
                <w:color w:val="auto"/>
                <w:sz w:val="21"/>
                <w:szCs w:val="21"/>
                <w:highlight w:val="none"/>
                <w:u w:val="single"/>
                <w:lang w:val="en-US" w:eastAsia="zh-CN"/>
              </w:rPr>
              <w:t>1</w:t>
            </w:r>
            <w:r>
              <w:rPr>
                <w:rFonts w:hint="eastAsia" w:ascii="宋体" w:hAnsi="宋体" w:eastAsia="宋体" w:cs="宋体"/>
                <w:color w:val="auto"/>
                <w:sz w:val="21"/>
                <w:szCs w:val="21"/>
                <w:highlight w:val="none"/>
                <w:u w:val="single"/>
              </w:rPr>
              <w:t>0</w:t>
            </w:r>
            <w:r>
              <w:rPr>
                <w:rFonts w:hint="eastAsia" w:ascii="宋体" w:hAnsi="宋体" w:eastAsia="宋体" w:cs="宋体"/>
                <w:color w:val="auto"/>
                <w:sz w:val="21"/>
                <w:szCs w:val="21"/>
                <w:highlight w:val="none"/>
              </w:rPr>
              <w:t>%）。接受大中型企业与小微企业组成联合体或者允许大中型企业向一家或者多家小微企业分包的采购项目，联合协议或者分包意向协议约定小微企业的合同份额占到合同总金额30%以上的，采购人、采购代理机构应当对联合体或者大中型企业的报价给予</w:t>
            </w:r>
            <w:r>
              <w:rPr>
                <w:rFonts w:hint="eastAsia" w:ascii="宋体" w:hAnsi="宋体" w:eastAsia="宋体" w:cs="宋体"/>
                <w:color w:val="auto"/>
                <w:sz w:val="21"/>
                <w:szCs w:val="21"/>
                <w:highlight w:val="none"/>
                <w:lang w:val="en-US" w:eastAsia="zh-CN"/>
              </w:rPr>
              <w:t>5</w:t>
            </w:r>
            <w:r>
              <w:rPr>
                <w:rFonts w:hint="eastAsia" w:ascii="宋体" w:hAnsi="宋体" w:eastAsia="宋体" w:cs="宋体"/>
                <w:color w:val="auto"/>
                <w:sz w:val="21"/>
                <w:szCs w:val="21"/>
                <w:highlight w:val="none"/>
              </w:rPr>
              <w:t>%的扣除，用扣除后的价格参加评审，扣除后的价格为评审报价，即评审报价=</w:t>
            </w:r>
            <w:r>
              <w:rPr>
                <w:rFonts w:hint="eastAsia" w:ascii="宋体" w:hAnsi="宋体" w:eastAsia="宋体" w:cs="宋体"/>
                <w:color w:val="auto"/>
                <w:sz w:val="21"/>
                <w:szCs w:val="21"/>
                <w:highlight w:val="none"/>
                <w:lang w:eastAsia="zh-CN"/>
              </w:rPr>
              <w:t>投标</w:t>
            </w:r>
            <w:r>
              <w:rPr>
                <w:rFonts w:hint="eastAsia" w:ascii="宋体" w:hAnsi="宋体" w:eastAsia="宋体" w:cs="宋体"/>
                <w:color w:val="auto"/>
                <w:sz w:val="21"/>
                <w:szCs w:val="21"/>
                <w:highlight w:val="none"/>
              </w:rPr>
              <w:t>报价×（1-</w:t>
            </w:r>
            <w:r>
              <w:rPr>
                <w:rFonts w:hint="eastAsia" w:ascii="宋体" w:hAnsi="宋体" w:eastAsia="宋体" w:cs="宋体"/>
                <w:color w:val="auto"/>
                <w:sz w:val="21"/>
                <w:szCs w:val="21"/>
                <w:highlight w:val="none"/>
                <w:lang w:val="en-US" w:eastAsia="zh-CN"/>
              </w:rPr>
              <w:t>5</w:t>
            </w:r>
            <w:r>
              <w:rPr>
                <w:rFonts w:hint="eastAsia" w:ascii="宋体" w:hAnsi="宋体" w:eastAsia="宋体" w:cs="宋体"/>
                <w:color w:val="auto"/>
                <w:sz w:val="21"/>
                <w:szCs w:val="21"/>
                <w:highlight w:val="none"/>
              </w:rPr>
              <w:t>%）。除上述情况外，评审报价=</w:t>
            </w:r>
            <w:r>
              <w:rPr>
                <w:rFonts w:hint="eastAsia" w:ascii="宋体" w:hAnsi="宋体" w:eastAsia="宋体" w:cs="宋体"/>
                <w:color w:val="auto"/>
                <w:sz w:val="21"/>
                <w:szCs w:val="21"/>
                <w:highlight w:val="none"/>
                <w:lang w:eastAsia="zh-CN"/>
              </w:rPr>
              <w:t>投标</w:t>
            </w:r>
            <w:r>
              <w:rPr>
                <w:rFonts w:hint="eastAsia" w:ascii="宋体" w:hAnsi="宋体" w:eastAsia="宋体" w:cs="宋体"/>
                <w:color w:val="auto"/>
                <w:sz w:val="21"/>
                <w:szCs w:val="21"/>
                <w:highlight w:val="none"/>
              </w:rPr>
              <w:t>报价。</w:t>
            </w:r>
          </w:p>
          <w:p w14:paraId="2D445EA4">
            <w:pPr>
              <w:keepNext w:val="0"/>
              <w:keepLines w:val="0"/>
              <w:pageBreakBefore w:val="0"/>
              <w:kinsoku/>
              <w:wordWrap w:val="0"/>
              <w:overflowPunct/>
              <w:topLinePunct w:val="0"/>
              <w:autoSpaceDE/>
              <w:autoSpaceDN/>
              <w:bidi w:val="0"/>
              <w:spacing w:line="4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（5）以进入比较与评价环节的最低的评审报价为基准价。</w:t>
            </w:r>
          </w:p>
          <w:p w14:paraId="47E6EBB7">
            <w:pPr>
              <w:keepNext w:val="0"/>
              <w:keepLines w:val="0"/>
              <w:pageBreakBefore w:val="0"/>
              <w:kinsoku/>
              <w:wordWrap w:val="0"/>
              <w:overflowPunct/>
              <w:topLinePunct w:val="0"/>
              <w:autoSpaceDE/>
              <w:autoSpaceDN/>
              <w:bidi w:val="0"/>
              <w:spacing w:line="4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（6）价格分计算公式：</w:t>
            </w:r>
          </w:p>
          <w:p w14:paraId="1A9A5240">
            <w:pPr>
              <w:pStyle w:val="6"/>
              <w:pageBreakBefore w:val="0"/>
              <w:widowControl w:val="0"/>
              <w:kinsoku/>
              <w:wordWrap/>
              <w:overflowPunct/>
              <w:topLinePunct w:val="0"/>
              <w:autoSpaceDE/>
              <w:autoSpaceDN/>
              <w:bidi w:val="0"/>
              <w:adjustRightInd/>
              <w:snapToGrid/>
              <w:spacing w:before="0" w:after="0"/>
              <w:textAlignment w:val="auto"/>
              <w:rPr>
                <w:rFonts w:hint="eastAsia" w:ascii="宋体" w:hAnsi="宋体" w:cs="宋体"/>
                <w:color w:val="auto"/>
                <w:highlight w:val="none"/>
                <w:lang w:val="en-US" w:eastAsia="zh-CN"/>
              </w:rPr>
            </w:pPr>
            <w:r>
              <w:rPr>
                <w:rFonts w:hint="eastAsia" w:ascii="宋体" w:hAnsi="宋体" w:eastAsia="宋体" w:cs="宋体"/>
                <w:color w:val="auto"/>
                <w:sz w:val="21"/>
                <w:szCs w:val="21"/>
                <w:highlight w:val="none"/>
              </w:rPr>
              <w:t>报价得分=（评审基准价/评审报价）×</w:t>
            </w:r>
            <w:r>
              <w:rPr>
                <w:rFonts w:hint="eastAsia" w:ascii="宋体" w:hAnsi="宋体" w:eastAsia="宋体" w:cs="宋体"/>
                <w:color w:val="auto"/>
                <w:sz w:val="21"/>
                <w:szCs w:val="21"/>
                <w:highlight w:val="none"/>
                <w:lang w:val="en-US" w:eastAsia="zh-CN"/>
              </w:rPr>
              <w:t>10</w:t>
            </w:r>
            <w:r>
              <w:rPr>
                <w:rFonts w:hint="eastAsia" w:ascii="宋体" w:hAnsi="宋体" w:eastAsia="宋体" w:cs="宋体"/>
                <w:color w:val="auto"/>
                <w:sz w:val="21"/>
                <w:szCs w:val="21"/>
                <w:highlight w:val="none"/>
              </w:rPr>
              <w:t>分</w:t>
            </w:r>
          </w:p>
        </w:tc>
      </w:tr>
      <w:tr w14:paraId="402A37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30" w:type="dxa"/>
            <w:vMerge w:val="restart"/>
            <w:noWrap w:val="0"/>
            <w:vAlign w:val="center"/>
          </w:tcPr>
          <w:p w14:paraId="6E420AFB">
            <w:pPr>
              <w:adjustRightInd w:val="0"/>
              <w:spacing w:line="360" w:lineRule="exact"/>
              <w:jc w:val="center"/>
              <w:textAlignment w:val="baseline"/>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2</w:t>
            </w:r>
          </w:p>
        </w:tc>
        <w:tc>
          <w:tcPr>
            <w:tcW w:w="1280" w:type="dxa"/>
            <w:vMerge w:val="restart"/>
            <w:noWrap w:val="0"/>
            <w:vAlign w:val="center"/>
          </w:tcPr>
          <w:p w14:paraId="39357ABF">
            <w:pPr>
              <w:adjustRightInd w:val="0"/>
              <w:spacing w:line="360" w:lineRule="exact"/>
              <w:jc w:val="center"/>
              <w:textAlignment w:val="baseline"/>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技术</w:t>
            </w:r>
          </w:p>
        </w:tc>
        <w:tc>
          <w:tcPr>
            <w:tcW w:w="709" w:type="dxa"/>
            <w:vMerge w:val="restart"/>
            <w:noWrap w:val="0"/>
            <w:vAlign w:val="center"/>
          </w:tcPr>
          <w:p w14:paraId="49651EFA">
            <w:pPr>
              <w:adjustRightInd w:val="0"/>
              <w:spacing w:line="360" w:lineRule="exact"/>
              <w:jc w:val="center"/>
              <w:textAlignment w:val="baseline"/>
              <w:rPr>
                <w:rFonts w:hint="eastAsia" w:ascii="宋体" w:hAnsi="宋体" w:eastAsia="宋体" w:cs="宋体"/>
                <w:b/>
                <w:color w:val="auto"/>
                <w:szCs w:val="21"/>
                <w:highlight w:val="none"/>
              </w:rPr>
            </w:pPr>
            <w:r>
              <w:rPr>
                <w:rFonts w:hint="eastAsia" w:ascii="宋体" w:hAnsi="宋体" w:eastAsia="宋体" w:cs="宋体"/>
                <w:b/>
                <w:color w:val="auto"/>
                <w:szCs w:val="21"/>
                <w:highlight w:val="none"/>
                <w:lang w:val="en-US" w:eastAsia="zh-CN"/>
              </w:rPr>
              <w:t>7</w:t>
            </w:r>
            <w:r>
              <w:rPr>
                <w:rFonts w:hint="eastAsia" w:ascii="宋体" w:hAnsi="宋体" w:cs="宋体"/>
                <w:b/>
                <w:color w:val="auto"/>
                <w:szCs w:val="21"/>
                <w:highlight w:val="none"/>
                <w:lang w:val="en-US" w:eastAsia="zh-CN"/>
              </w:rPr>
              <w:t>5</w:t>
            </w:r>
            <w:r>
              <w:rPr>
                <w:rFonts w:hint="eastAsia" w:ascii="宋体" w:hAnsi="宋体" w:eastAsia="宋体" w:cs="宋体"/>
                <w:b/>
                <w:color w:val="auto"/>
                <w:szCs w:val="21"/>
                <w:highlight w:val="none"/>
              </w:rPr>
              <w:t>分</w:t>
            </w:r>
          </w:p>
        </w:tc>
        <w:tc>
          <w:tcPr>
            <w:tcW w:w="1559" w:type="dxa"/>
            <w:noWrap w:val="0"/>
            <w:vAlign w:val="center"/>
          </w:tcPr>
          <w:p w14:paraId="0E4BF041">
            <w:pPr>
              <w:keepNext w:val="0"/>
              <w:keepLines w:val="0"/>
              <w:pageBreakBefore w:val="0"/>
              <w:kinsoku/>
              <w:wordWrap w:val="0"/>
              <w:overflowPunct/>
              <w:topLinePunct w:val="0"/>
              <w:autoSpaceDE/>
              <w:autoSpaceDN/>
              <w:bidi w:val="0"/>
              <w:spacing w:line="40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总体服务方案分（满分20分）</w:t>
            </w:r>
          </w:p>
        </w:tc>
        <w:tc>
          <w:tcPr>
            <w:tcW w:w="5410" w:type="dxa"/>
            <w:noWrap w:val="0"/>
            <w:vAlign w:val="center"/>
          </w:tcPr>
          <w:p w14:paraId="3937CDB9">
            <w:pPr>
              <w:keepNext w:val="0"/>
              <w:keepLines w:val="0"/>
              <w:pageBreakBefore w:val="0"/>
              <w:kinsoku/>
              <w:wordWrap w:val="0"/>
              <w:overflowPunct/>
              <w:topLinePunct w:val="0"/>
              <w:autoSpaceDE/>
              <w:autoSpaceDN/>
              <w:bidi w:val="0"/>
              <w:spacing w:line="4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一档（7 分）：覆盖服务范围、工作内容、交付成果 3 项基本要素，无明显缺漏；管理目标、方法、措施基本可行。</w:t>
            </w:r>
          </w:p>
          <w:p w14:paraId="24D1D939">
            <w:pPr>
              <w:keepNext w:val="0"/>
              <w:keepLines w:val="0"/>
              <w:pageBreakBefore w:val="0"/>
              <w:kinsoku/>
              <w:wordWrap w:val="0"/>
              <w:overflowPunct/>
              <w:topLinePunct w:val="0"/>
              <w:autoSpaceDE/>
              <w:autoSpaceDN/>
              <w:bidi w:val="0"/>
              <w:spacing w:line="4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二档（14 分）：覆盖服务范围、工作内容、交付成果、进度安排、人员配置 5 项要素；背景理解较深入、需求分析较准确，措施具体可行。</w:t>
            </w:r>
          </w:p>
          <w:p w14:paraId="47D42F22">
            <w:pPr>
              <w:keepNext w:val="0"/>
              <w:keepLines w:val="0"/>
              <w:pageBreakBefore w:val="0"/>
              <w:kinsoku/>
              <w:wordWrap w:val="0"/>
              <w:overflowPunct/>
              <w:topLinePunct w:val="0"/>
              <w:autoSpaceDE/>
              <w:autoSpaceDN/>
              <w:bidi w:val="0"/>
              <w:spacing w:line="4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三档（20 分）：完整覆盖项目服务全要素，包含服务范围、工作内容、交付成果、进度安排、人员配置，同时具备项目重难点分析、风险防控应对措施及项目合理化优化建议，整体方案贴合项目实际、逻辑完整、落地性强，能够充分保障本项目高质量实施。</w:t>
            </w:r>
          </w:p>
          <w:p w14:paraId="1D92FEAC">
            <w:pPr>
              <w:keepNext w:val="0"/>
              <w:keepLines w:val="0"/>
              <w:pageBreakBefore w:val="0"/>
              <w:kinsoku/>
              <w:wordWrap w:val="0"/>
              <w:overflowPunct/>
              <w:topLinePunct w:val="0"/>
              <w:autoSpaceDE/>
              <w:autoSpaceDN/>
              <w:bidi w:val="0"/>
              <w:spacing w:line="4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注：达不到一档要求或不提供的不得分。</w:t>
            </w:r>
          </w:p>
        </w:tc>
      </w:tr>
      <w:tr w14:paraId="48E111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30" w:type="dxa"/>
            <w:vMerge w:val="continue"/>
            <w:noWrap w:val="0"/>
            <w:vAlign w:val="center"/>
          </w:tcPr>
          <w:p w14:paraId="057A32E3">
            <w:pPr>
              <w:adjustRightInd w:val="0"/>
              <w:spacing w:line="360" w:lineRule="exact"/>
              <w:jc w:val="center"/>
              <w:textAlignment w:val="baseline"/>
              <w:rPr>
                <w:rFonts w:hint="eastAsia" w:ascii="宋体" w:hAnsi="宋体" w:eastAsia="宋体" w:cs="宋体"/>
                <w:b/>
                <w:color w:val="auto"/>
                <w:szCs w:val="21"/>
                <w:highlight w:val="none"/>
              </w:rPr>
            </w:pPr>
          </w:p>
        </w:tc>
        <w:tc>
          <w:tcPr>
            <w:tcW w:w="1280" w:type="dxa"/>
            <w:vMerge w:val="continue"/>
            <w:noWrap w:val="0"/>
            <w:vAlign w:val="center"/>
          </w:tcPr>
          <w:p w14:paraId="441FA6D0">
            <w:pPr>
              <w:adjustRightInd w:val="0"/>
              <w:spacing w:line="360" w:lineRule="exact"/>
              <w:jc w:val="center"/>
              <w:textAlignment w:val="baseline"/>
              <w:rPr>
                <w:rFonts w:hint="eastAsia" w:ascii="宋体" w:hAnsi="宋体" w:eastAsia="宋体" w:cs="宋体"/>
                <w:b/>
                <w:color w:val="auto"/>
                <w:szCs w:val="21"/>
                <w:highlight w:val="none"/>
              </w:rPr>
            </w:pPr>
          </w:p>
        </w:tc>
        <w:tc>
          <w:tcPr>
            <w:tcW w:w="709" w:type="dxa"/>
            <w:vMerge w:val="continue"/>
            <w:noWrap w:val="0"/>
            <w:vAlign w:val="center"/>
          </w:tcPr>
          <w:p w14:paraId="12C92D2D">
            <w:pPr>
              <w:adjustRightInd w:val="0"/>
              <w:spacing w:line="360" w:lineRule="exact"/>
              <w:jc w:val="center"/>
              <w:textAlignment w:val="baseline"/>
              <w:rPr>
                <w:rFonts w:hint="eastAsia" w:ascii="宋体" w:hAnsi="宋体" w:eastAsia="宋体" w:cs="宋体"/>
                <w:b/>
                <w:color w:val="auto"/>
                <w:szCs w:val="21"/>
                <w:highlight w:val="none"/>
              </w:rPr>
            </w:pPr>
          </w:p>
        </w:tc>
        <w:tc>
          <w:tcPr>
            <w:tcW w:w="1559" w:type="dxa"/>
            <w:noWrap w:val="0"/>
            <w:vAlign w:val="center"/>
          </w:tcPr>
          <w:p w14:paraId="1DAD366D">
            <w:pPr>
              <w:keepNext w:val="0"/>
              <w:keepLines w:val="0"/>
              <w:pageBreakBefore w:val="0"/>
              <w:kinsoku/>
              <w:wordWrap w:val="0"/>
              <w:overflowPunct/>
              <w:topLinePunct w:val="0"/>
              <w:autoSpaceDE/>
              <w:autoSpaceDN/>
              <w:bidi w:val="0"/>
              <w:spacing w:line="40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项目组织与管理计划</w:t>
            </w:r>
          </w:p>
          <w:p w14:paraId="6D97313A">
            <w:pPr>
              <w:keepNext w:val="0"/>
              <w:keepLines w:val="0"/>
              <w:pageBreakBefore w:val="0"/>
              <w:kinsoku/>
              <w:wordWrap w:val="0"/>
              <w:overflowPunct/>
              <w:topLinePunct w:val="0"/>
              <w:autoSpaceDE/>
              <w:autoSpaceDN/>
              <w:bidi w:val="0"/>
              <w:spacing w:line="40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（满分20分）</w:t>
            </w:r>
          </w:p>
        </w:tc>
        <w:tc>
          <w:tcPr>
            <w:tcW w:w="5410" w:type="dxa"/>
            <w:noWrap w:val="0"/>
            <w:vAlign w:val="center"/>
          </w:tcPr>
          <w:p w14:paraId="65071D08">
            <w:pPr>
              <w:keepNext w:val="0"/>
              <w:keepLines w:val="0"/>
              <w:pageBreakBefore w:val="0"/>
              <w:kinsoku/>
              <w:wordWrap w:val="0"/>
              <w:overflowPunct/>
              <w:topLinePunct w:val="0"/>
              <w:autoSpaceDE/>
              <w:autoSpaceDN/>
              <w:bidi w:val="0"/>
              <w:spacing w:line="4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一档（7 分）：具备基础项目组织架构及人员分工内容，核心管理要素无重大缺漏，整体方案基本可行，可满足项目最低履职要求。</w:t>
            </w:r>
          </w:p>
          <w:p w14:paraId="33D1712B">
            <w:pPr>
              <w:keepNext w:val="0"/>
              <w:keepLines w:val="0"/>
              <w:pageBreakBefore w:val="0"/>
              <w:kinsoku/>
              <w:wordWrap w:val="0"/>
              <w:overflowPunct/>
              <w:topLinePunct w:val="0"/>
              <w:autoSpaceDE/>
              <w:autoSpaceDN/>
              <w:bidi w:val="0"/>
              <w:spacing w:line="4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二档（14 分）：完整包含项目组织架构、岗位职责划分、人员保障机制、内部协调管理要素，架构设置科学合理、分工清晰明确，管理措施贴合项目需求，可全面保障项目正常实施。</w:t>
            </w:r>
          </w:p>
          <w:p w14:paraId="0B82F7CD">
            <w:pPr>
              <w:keepNext w:val="0"/>
              <w:keepLines w:val="0"/>
              <w:pageBreakBefore w:val="0"/>
              <w:kinsoku/>
              <w:wordWrap w:val="0"/>
              <w:overflowPunct/>
              <w:topLinePunct w:val="0"/>
              <w:autoSpaceDE/>
              <w:autoSpaceDN/>
              <w:bidi w:val="0"/>
              <w:spacing w:line="4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三档（20 分）：系统完整涵盖组织架构、岗位职责、人员保障、内外协同、流程管控、现场管理制度全要素，同时配备项目动态管理机制、人员轮岗替补方案、工作统筹管控措施，管理体系完善、针对性强、落地性高，可全方位保障项目高效、规范、有序推进。</w:t>
            </w:r>
          </w:p>
          <w:p w14:paraId="5EE03D90">
            <w:pPr>
              <w:keepNext w:val="0"/>
              <w:keepLines w:val="0"/>
              <w:pageBreakBefore w:val="0"/>
              <w:kinsoku/>
              <w:wordWrap w:val="0"/>
              <w:overflowPunct/>
              <w:topLinePunct w:val="0"/>
              <w:autoSpaceDE/>
              <w:autoSpaceDN/>
              <w:bidi w:val="0"/>
              <w:spacing w:line="4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注：达不到一档要求或不提供的不得分。</w:t>
            </w:r>
          </w:p>
        </w:tc>
      </w:tr>
      <w:tr w14:paraId="44BE4C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30" w:type="dxa"/>
            <w:vMerge w:val="continue"/>
            <w:noWrap w:val="0"/>
            <w:vAlign w:val="center"/>
          </w:tcPr>
          <w:p w14:paraId="06142F2F">
            <w:pPr>
              <w:adjustRightInd w:val="0"/>
              <w:spacing w:line="360" w:lineRule="exact"/>
              <w:jc w:val="center"/>
              <w:textAlignment w:val="baseline"/>
              <w:rPr>
                <w:rFonts w:hint="eastAsia" w:ascii="宋体" w:hAnsi="宋体" w:eastAsia="宋体" w:cs="宋体"/>
                <w:b/>
                <w:color w:val="auto"/>
                <w:szCs w:val="21"/>
                <w:highlight w:val="none"/>
              </w:rPr>
            </w:pPr>
          </w:p>
        </w:tc>
        <w:tc>
          <w:tcPr>
            <w:tcW w:w="1280" w:type="dxa"/>
            <w:vMerge w:val="continue"/>
            <w:noWrap w:val="0"/>
            <w:vAlign w:val="center"/>
          </w:tcPr>
          <w:p w14:paraId="1ABD4B94">
            <w:pPr>
              <w:adjustRightInd w:val="0"/>
              <w:spacing w:line="360" w:lineRule="exact"/>
              <w:jc w:val="center"/>
              <w:textAlignment w:val="baseline"/>
              <w:rPr>
                <w:rFonts w:hint="eastAsia" w:ascii="宋体" w:hAnsi="宋体" w:eastAsia="宋体" w:cs="宋体"/>
                <w:b/>
                <w:color w:val="auto"/>
                <w:szCs w:val="21"/>
                <w:highlight w:val="none"/>
              </w:rPr>
            </w:pPr>
          </w:p>
        </w:tc>
        <w:tc>
          <w:tcPr>
            <w:tcW w:w="709" w:type="dxa"/>
            <w:vMerge w:val="continue"/>
            <w:noWrap w:val="0"/>
            <w:vAlign w:val="center"/>
          </w:tcPr>
          <w:p w14:paraId="554EA73C">
            <w:pPr>
              <w:adjustRightInd w:val="0"/>
              <w:spacing w:line="360" w:lineRule="exact"/>
              <w:jc w:val="center"/>
              <w:textAlignment w:val="baseline"/>
              <w:rPr>
                <w:rFonts w:hint="eastAsia" w:ascii="宋体" w:hAnsi="宋体" w:eastAsia="宋体" w:cs="宋体"/>
                <w:b/>
                <w:color w:val="auto"/>
                <w:szCs w:val="21"/>
                <w:highlight w:val="none"/>
              </w:rPr>
            </w:pPr>
          </w:p>
        </w:tc>
        <w:tc>
          <w:tcPr>
            <w:tcW w:w="1559" w:type="dxa"/>
            <w:noWrap w:val="0"/>
            <w:vAlign w:val="center"/>
          </w:tcPr>
          <w:p w14:paraId="473585B6">
            <w:pPr>
              <w:keepNext w:val="0"/>
              <w:keepLines w:val="0"/>
              <w:pageBreakBefore w:val="0"/>
              <w:kinsoku/>
              <w:wordWrap w:val="0"/>
              <w:overflowPunct/>
              <w:topLinePunct w:val="0"/>
              <w:autoSpaceDE/>
              <w:autoSpaceDN/>
              <w:bidi w:val="0"/>
              <w:spacing w:line="40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质量保障措施（满分</w:t>
            </w:r>
            <w:r>
              <w:rPr>
                <w:rFonts w:hint="eastAsia" w:ascii="宋体" w:hAnsi="宋体" w:eastAsia="宋体" w:cs="宋体"/>
                <w:color w:val="auto"/>
                <w:sz w:val="21"/>
                <w:szCs w:val="21"/>
                <w:highlight w:val="none"/>
                <w:lang w:val="en-US" w:eastAsia="zh-CN"/>
              </w:rPr>
              <w:t>15</w:t>
            </w:r>
            <w:r>
              <w:rPr>
                <w:rFonts w:hint="eastAsia" w:ascii="宋体" w:hAnsi="宋体" w:eastAsia="宋体" w:cs="宋体"/>
                <w:color w:val="auto"/>
                <w:sz w:val="21"/>
                <w:szCs w:val="21"/>
                <w:highlight w:val="none"/>
              </w:rPr>
              <w:t>分）</w:t>
            </w:r>
          </w:p>
        </w:tc>
        <w:tc>
          <w:tcPr>
            <w:tcW w:w="5410" w:type="dxa"/>
            <w:noWrap w:val="0"/>
            <w:vAlign w:val="center"/>
          </w:tcPr>
          <w:p w14:paraId="77B3929A">
            <w:pPr>
              <w:keepNext w:val="0"/>
              <w:keepLines w:val="0"/>
              <w:pageBreakBefore w:val="0"/>
              <w:kinsoku/>
              <w:wordWrap w:val="0"/>
              <w:overflowPunct/>
              <w:topLinePunct w:val="0"/>
              <w:autoSpaceDE/>
              <w:autoSpaceDN/>
              <w:bidi w:val="0"/>
              <w:spacing w:line="4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一</w:t>
            </w:r>
            <w:r>
              <w:rPr>
                <w:rFonts w:hint="eastAsia" w:ascii="宋体" w:hAnsi="宋体" w:eastAsia="宋体" w:cs="宋体"/>
                <w:color w:val="auto"/>
                <w:sz w:val="21"/>
                <w:szCs w:val="21"/>
                <w:highlight w:val="none"/>
              </w:rPr>
              <w:t>档（</w:t>
            </w:r>
            <w:r>
              <w:rPr>
                <w:rFonts w:hint="eastAsia" w:ascii="宋体" w:hAnsi="宋体" w:eastAsia="宋体" w:cs="宋体"/>
                <w:color w:val="auto"/>
                <w:sz w:val="21"/>
                <w:szCs w:val="21"/>
                <w:highlight w:val="none"/>
                <w:lang w:val="en-US" w:eastAsia="zh-CN"/>
              </w:rPr>
              <w:t>5</w:t>
            </w:r>
            <w:r>
              <w:rPr>
                <w:rFonts w:hint="eastAsia" w:ascii="宋体" w:hAnsi="宋体" w:eastAsia="宋体" w:cs="宋体"/>
                <w:color w:val="auto"/>
                <w:sz w:val="21"/>
                <w:szCs w:val="21"/>
                <w:highlight w:val="none"/>
              </w:rPr>
              <w:t xml:space="preserve"> 分）：包含基础服务质量承诺、基础过程管控措施两项内容，核心板块无重大缺漏，方案架构简单，基本满足项目最低质量管控要求。</w:t>
            </w:r>
          </w:p>
          <w:p w14:paraId="4A124910">
            <w:pPr>
              <w:keepNext w:val="0"/>
              <w:keepLines w:val="0"/>
              <w:pageBreakBefore w:val="0"/>
              <w:kinsoku/>
              <w:wordWrap w:val="0"/>
              <w:overflowPunct/>
              <w:topLinePunct w:val="0"/>
              <w:autoSpaceDE/>
              <w:autoSpaceDN/>
              <w:bidi w:val="0"/>
              <w:spacing w:line="4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二档（</w:t>
            </w:r>
            <w:r>
              <w:rPr>
                <w:rFonts w:hint="eastAsia" w:ascii="宋体" w:hAnsi="宋体" w:eastAsia="宋体" w:cs="宋体"/>
                <w:color w:val="auto"/>
                <w:sz w:val="21"/>
                <w:szCs w:val="21"/>
                <w:highlight w:val="none"/>
                <w:lang w:val="en-US" w:eastAsia="zh-CN"/>
              </w:rPr>
              <w:t>10</w:t>
            </w:r>
            <w:r>
              <w:rPr>
                <w:rFonts w:hint="eastAsia" w:ascii="宋体" w:hAnsi="宋体" w:eastAsia="宋体" w:cs="宋体"/>
                <w:color w:val="auto"/>
                <w:sz w:val="21"/>
                <w:szCs w:val="21"/>
                <w:highlight w:val="none"/>
              </w:rPr>
              <w:t xml:space="preserve"> 分）：完整包含服务质量承诺、成果交付时效承诺、常规质量管控措施、保密管理承诺、廉洁从业承诺五大内容，明确各项措施的实施方法与落地流程，方案合理可行，贴合本项目履约管控要求。</w:t>
            </w:r>
          </w:p>
          <w:p w14:paraId="0CE63F61">
            <w:pPr>
              <w:keepNext w:val="0"/>
              <w:keepLines w:val="0"/>
              <w:pageBreakBefore w:val="0"/>
              <w:kinsoku/>
              <w:wordWrap w:val="0"/>
              <w:overflowPunct/>
              <w:topLinePunct w:val="0"/>
              <w:autoSpaceDE/>
              <w:autoSpaceDN/>
              <w:bidi w:val="0"/>
              <w:spacing w:line="4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三档（</w:t>
            </w:r>
            <w:r>
              <w:rPr>
                <w:rFonts w:hint="eastAsia" w:ascii="宋体" w:hAnsi="宋体" w:eastAsia="宋体" w:cs="宋体"/>
                <w:color w:val="auto"/>
                <w:sz w:val="21"/>
                <w:szCs w:val="21"/>
                <w:highlight w:val="none"/>
                <w:lang w:val="en-US" w:eastAsia="zh-CN"/>
              </w:rPr>
              <w:t>15</w:t>
            </w:r>
            <w:r>
              <w:rPr>
                <w:rFonts w:hint="eastAsia" w:ascii="宋体" w:hAnsi="宋体" w:eastAsia="宋体" w:cs="宋体"/>
                <w:color w:val="auto"/>
                <w:sz w:val="21"/>
                <w:szCs w:val="21"/>
                <w:highlight w:val="none"/>
              </w:rPr>
              <w:t xml:space="preserve"> 分）：全面覆盖上述五大类承诺与管控内容，额外增设专项质量巡检方案、突发问题应急保障机制、专职联络人及对接机制，各项举措流程清晰、针对性强、落地性高，整体保障标准优于采购基础要求，可全面防控履约质量风险。</w:t>
            </w:r>
          </w:p>
          <w:p w14:paraId="0B2E73BE">
            <w:pPr>
              <w:keepNext w:val="0"/>
              <w:keepLines w:val="0"/>
              <w:pageBreakBefore w:val="0"/>
              <w:kinsoku/>
              <w:wordWrap w:val="0"/>
              <w:overflowPunct/>
              <w:topLinePunct w:val="0"/>
              <w:autoSpaceDE/>
              <w:autoSpaceDN/>
              <w:bidi w:val="0"/>
              <w:spacing w:line="400" w:lineRule="exact"/>
              <w:ind w:firstLine="422" w:firstLineChars="200"/>
              <w:rPr>
                <w:rFonts w:hint="eastAsia" w:ascii="宋体" w:hAnsi="宋体" w:eastAsia="宋体" w:cs="宋体"/>
                <w:color w:val="auto"/>
                <w:sz w:val="21"/>
                <w:szCs w:val="21"/>
                <w:highlight w:val="none"/>
              </w:rPr>
            </w:pPr>
            <w:r>
              <w:rPr>
                <w:rFonts w:hint="eastAsia" w:ascii="宋体" w:hAnsi="宋体" w:eastAsia="宋体" w:cs="宋体"/>
                <w:b/>
                <w:bCs/>
                <w:color w:val="auto"/>
                <w:sz w:val="21"/>
                <w:szCs w:val="21"/>
                <w:highlight w:val="none"/>
              </w:rPr>
              <w:t>注：达不到一档要求或不提供的不得分。本项需投标人提供相关质量、保密、廉洁履约承诺函（格式自拟），否则不予计分。</w:t>
            </w:r>
          </w:p>
        </w:tc>
      </w:tr>
      <w:tr w14:paraId="796C78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3" w:hRule="atLeast"/>
          <w:jc w:val="center"/>
        </w:trPr>
        <w:tc>
          <w:tcPr>
            <w:tcW w:w="730" w:type="dxa"/>
            <w:vMerge w:val="continue"/>
            <w:noWrap w:val="0"/>
            <w:vAlign w:val="center"/>
          </w:tcPr>
          <w:p w14:paraId="67EBE197">
            <w:pPr>
              <w:adjustRightInd w:val="0"/>
              <w:spacing w:line="360" w:lineRule="exact"/>
              <w:jc w:val="center"/>
              <w:textAlignment w:val="baseline"/>
              <w:rPr>
                <w:rFonts w:hint="eastAsia" w:ascii="宋体" w:hAnsi="宋体" w:eastAsia="宋体" w:cs="宋体"/>
                <w:b/>
                <w:color w:val="auto"/>
                <w:szCs w:val="21"/>
                <w:highlight w:val="none"/>
              </w:rPr>
            </w:pPr>
          </w:p>
        </w:tc>
        <w:tc>
          <w:tcPr>
            <w:tcW w:w="1280" w:type="dxa"/>
            <w:vMerge w:val="continue"/>
            <w:noWrap w:val="0"/>
            <w:vAlign w:val="center"/>
          </w:tcPr>
          <w:p w14:paraId="4AC64A06">
            <w:pPr>
              <w:adjustRightInd w:val="0"/>
              <w:spacing w:line="360" w:lineRule="exact"/>
              <w:jc w:val="center"/>
              <w:textAlignment w:val="baseline"/>
              <w:rPr>
                <w:rFonts w:hint="eastAsia" w:ascii="宋体" w:hAnsi="宋体" w:eastAsia="宋体" w:cs="宋体"/>
                <w:b/>
                <w:color w:val="auto"/>
                <w:szCs w:val="21"/>
                <w:highlight w:val="none"/>
              </w:rPr>
            </w:pPr>
          </w:p>
        </w:tc>
        <w:tc>
          <w:tcPr>
            <w:tcW w:w="709" w:type="dxa"/>
            <w:vMerge w:val="continue"/>
            <w:noWrap w:val="0"/>
            <w:vAlign w:val="center"/>
          </w:tcPr>
          <w:p w14:paraId="4E59E68D">
            <w:pPr>
              <w:adjustRightInd w:val="0"/>
              <w:spacing w:line="360" w:lineRule="exact"/>
              <w:jc w:val="center"/>
              <w:textAlignment w:val="baseline"/>
              <w:rPr>
                <w:rFonts w:hint="eastAsia" w:ascii="宋体" w:hAnsi="宋体" w:eastAsia="宋体" w:cs="宋体"/>
                <w:b/>
                <w:color w:val="auto"/>
                <w:szCs w:val="21"/>
                <w:highlight w:val="none"/>
              </w:rPr>
            </w:pPr>
          </w:p>
        </w:tc>
        <w:tc>
          <w:tcPr>
            <w:tcW w:w="1559" w:type="dxa"/>
            <w:noWrap w:val="0"/>
            <w:vAlign w:val="center"/>
          </w:tcPr>
          <w:p w14:paraId="2A238F4E">
            <w:pPr>
              <w:keepNext w:val="0"/>
              <w:keepLines w:val="0"/>
              <w:pageBreakBefore w:val="0"/>
              <w:kinsoku/>
              <w:wordWrap w:val="0"/>
              <w:overflowPunct/>
              <w:topLinePunct w:val="0"/>
              <w:autoSpaceDE/>
              <w:autoSpaceDN/>
              <w:bidi w:val="0"/>
              <w:spacing w:line="40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zh-CN"/>
              </w:rPr>
              <w:t>服务承诺方案（满分</w:t>
            </w:r>
            <w:r>
              <w:rPr>
                <w:rFonts w:hint="eastAsia" w:ascii="宋体" w:hAnsi="宋体" w:cs="宋体"/>
                <w:color w:val="auto"/>
                <w:sz w:val="21"/>
                <w:szCs w:val="21"/>
                <w:highlight w:val="none"/>
                <w:lang w:val="en-US" w:eastAsia="zh-CN"/>
              </w:rPr>
              <w:t>20</w:t>
            </w:r>
            <w:r>
              <w:rPr>
                <w:rFonts w:hint="eastAsia" w:ascii="宋体" w:hAnsi="宋体" w:eastAsia="宋体" w:cs="宋体"/>
                <w:color w:val="auto"/>
                <w:sz w:val="21"/>
                <w:szCs w:val="21"/>
                <w:highlight w:val="none"/>
              </w:rPr>
              <w:t>分</w:t>
            </w:r>
            <w:r>
              <w:rPr>
                <w:rFonts w:hint="eastAsia" w:ascii="宋体" w:hAnsi="宋体" w:eastAsia="宋体" w:cs="宋体"/>
                <w:color w:val="auto"/>
                <w:sz w:val="21"/>
                <w:szCs w:val="21"/>
                <w:highlight w:val="none"/>
                <w:lang w:val="zh-CN"/>
              </w:rPr>
              <w:t>）</w:t>
            </w:r>
          </w:p>
        </w:tc>
        <w:tc>
          <w:tcPr>
            <w:tcW w:w="5410" w:type="dxa"/>
            <w:noWrap w:val="0"/>
            <w:vAlign w:val="center"/>
          </w:tcPr>
          <w:p w14:paraId="103EEEB4">
            <w:pPr>
              <w:keepNext w:val="0"/>
              <w:keepLines w:val="0"/>
              <w:pageBreakBefore w:val="0"/>
              <w:kinsoku/>
              <w:wordWrap w:val="0"/>
              <w:overflowPunct/>
              <w:topLinePunct w:val="0"/>
              <w:autoSpaceDE/>
              <w:autoSpaceDN/>
              <w:bidi w:val="0"/>
              <w:spacing w:line="400" w:lineRule="exact"/>
              <w:ind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一档（</w:t>
            </w:r>
            <w:r>
              <w:rPr>
                <w:rFonts w:hint="eastAsia" w:ascii="宋体" w:hAnsi="宋体" w:cs="宋体"/>
                <w:color w:val="auto"/>
                <w:sz w:val="21"/>
                <w:szCs w:val="21"/>
                <w:highlight w:val="none"/>
                <w:lang w:val="en-US" w:eastAsia="zh-CN"/>
              </w:rPr>
              <w:t>10</w:t>
            </w:r>
            <w:r>
              <w:rPr>
                <w:rFonts w:hint="eastAsia" w:ascii="宋体" w:hAnsi="宋体" w:eastAsia="宋体" w:cs="宋体"/>
                <w:color w:val="auto"/>
                <w:sz w:val="21"/>
                <w:szCs w:val="21"/>
                <w:highlight w:val="none"/>
                <w:lang w:val="en-US" w:eastAsia="zh-CN"/>
              </w:rPr>
              <w:t xml:space="preserve"> 分）：包含合同履约周期、服务成果按期交付两项基础承诺，内容简洁，可满足监督检查、安全咨询项目最低履约要求。</w:t>
            </w:r>
          </w:p>
          <w:p w14:paraId="70787471">
            <w:pPr>
              <w:keepNext w:val="0"/>
              <w:keepLines w:val="0"/>
              <w:pageBreakBefore w:val="0"/>
              <w:kinsoku/>
              <w:wordWrap w:val="0"/>
              <w:overflowPunct/>
              <w:topLinePunct w:val="0"/>
              <w:autoSpaceDE/>
              <w:autoSpaceDN/>
              <w:bidi w:val="0"/>
              <w:spacing w:line="400" w:lineRule="exact"/>
              <w:ind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二档（</w:t>
            </w:r>
            <w:r>
              <w:rPr>
                <w:rFonts w:hint="eastAsia" w:ascii="宋体" w:hAnsi="宋体" w:cs="宋体"/>
                <w:color w:val="auto"/>
                <w:sz w:val="21"/>
                <w:szCs w:val="21"/>
                <w:highlight w:val="none"/>
                <w:lang w:val="en-US" w:eastAsia="zh-CN"/>
              </w:rPr>
              <w:t>15</w:t>
            </w:r>
            <w:r>
              <w:rPr>
                <w:rFonts w:hint="eastAsia" w:ascii="宋体" w:hAnsi="宋体" w:eastAsia="宋体" w:cs="宋体"/>
                <w:color w:val="auto"/>
                <w:sz w:val="21"/>
                <w:szCs w:val="21"/>
                <w:highlight w:val="none"/>
                <w:lang w:val="en-US" w:eastAsia="zh-CN"/>
              </w:rPr>
              <w:t xml:space="preserve">分）：涵盖履约周期、成果交付、现场作业配合、项目资料整理移交四项内容，配套服务举措贴合监督检查及安全咨询业务特点，可保障项目正常开展。 </w:t>
            </w:r>
          </w:p>
          <w:p w14:paraId="744B5C74">
            <w:pPr>
              <w:keepNext w:val="0"/>
              <w:keepLines w:val="0"/>
              <w:pageBreakBefore w:val="0"/>
              <w:kinsoku/>
              <w:wordWrap w:val="0"/>
              <w:overflowPunct/>
              <w:topLinePunct w:val="0"/>
              <w:autoSpaceDE/>
              <w:autoSpaceDN/>
              <w:bidi w:val="0"/>
              <w:spacing w:line="4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三档（</w:t>
            </w:r>
            <w:r>
              <w:rPr>
                <w:rFonts w:hint="eastAsia" w:ascii="宋体" w:hAnsi="宋体" w:cs="宋体"/>
                <w:color w:val="auto"/>
                <w:sz w:val="21"/>
                <w:szCs w:val="21"/>
                <w:highlight w:val="none"/>
                <w:lang w:val="en-US" w:eastAsia="zh-CN"/>
              </w:rPr>
              <w:t>20</w:t>
            </w:r>
            <w:r>
              <w:rPr>
                <w:rFonts w:hint="eastAsia" w:ascii="宋体" w:hAnsi="宋体" w:eastAsia="宋体" w:cs="宋体"/>
                <w:color w:val="auto"/>
                <w:sz w:val="21"/>
                <w:szCs w:val="21"/>
                <w:highlight w:val="none"/>
                <w:lang w:val="en-US" w:eastAsia="zh-CN"/>
              </w:rPr>
              <w:t>分）：全面覆盖上述四项基础内容，额外增加日常业务对接、现场问题协调、工作即时响应、项目后期配合等服务条款，承诺标准高于采购基础要求，举措落地性强，可保障本项目监督检查、安全咨询工作全流程顺畅履约。</w:t>
            </w:r>
          </w:p>
          <w:p w14:paraId="00DD267E">
            <w:pPr>
              <w:keepNext w:val="0"/>
              <w:keepLines w:val="0"/>
              <w:pageBreakBefore w:val="0"/>
              <w:kinsoku/>
              <w:wordWrap w:val="0"/>
              <w:overflowPunct/>
              <w:topLinePunct w:val="0"/>
              <w:autoSpaceDE/>
              <w:autoSpaceDN/>
              <w:bidi w:val="0"/>
              <w:spacing w:line="400" w:lineRule="exact"/>
              <w:ind w:firstLine="422" w:firstLineChars="200"/>
              <w:rPr>
                <w:rFonts w:hint="eastAsia" w:ascii="宋体" w:hAnsi="宋体" w:eastAsia="宋体" w:cs="宋体"/>
                <w:color w:val="auto"/>
                <w:sz w:val="21"/>
                <w:szCs w:val="21"/>
                <w:highlight w:val="none"/>
              </w:rPr>
            </w:pPr>
            <w:r>
              <w:rPr>
                <w:rFonts w:hint="eastAsia" w:ascii="宋体" w:hAnsi="宋体" w:eastAsia="宋体" w:cs="宋体"/>
                <w:b/>
                <w:bCs/>
                <w:color w:val="auto"/>
                <w:sz w:val="21"/>
                <w:szCs w:val="21"/>
                <w:highlight w:val="none"/>
                <w:lang w:val="en-US" w:eastAsia="zh-CN"/>
              </w:rPr>
              <w:t>注：达不到一档要求或不提供的不得分。本项需投标人提交服务承诺函（格式自拟），否则不予计分。</w:t>
            </w:r>
          </w:p>
        </w:tc>
      </w:tr>
      <w:tr w14:paraId="26E189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6" w:hRule="atLeast"/>
          <w:jc w:val="center"/>
        </w:trPr>
        <w:tc>
          <w:tcPr>
            <w:tcW w:w="730" w:type="dxa"/>
            <w:noWrap w:val="0"/>
            <w:vAlign w:val="center"/>
          </w:tcPr>
          <w:p w14:paraId="2839CD32">
            <w:pPr>
              <w:adjustRightInd w:val="0"/>
              <w:spacing w:line="360" w:lineRule="exact"/>
              <w:jc w:val="center"/>
              <w:textAlignment w:val="baseline"/>
              <w:rPr>
                <w:rFonts w:hint="eastAsia" w:ascii="宋体" w:hAnsi="宋体" w:eastAsia="宋体" w:cs="宋体"/>
                <w:b/>
                <w:color w:val="auto"/>
                <w:szCs w:val="21"/>
                <w:highlight w:val="none"/>
              </w:rPr>
            </w:pPr>
          </w:p>
        </w:tc>
        <w:tc>
          <w:tcPr>
            <w:tcW w:w="1280" w:type="dxa"/>
            <w:vMerge w:val="restart"/>
            <w:noWrap w:val="0"/>
            <w:vAlign w:val="center"/>
          </w:tcPr>
          <w:p w14:paraId="7B02C52E">
            <w:pPr>
              <w:adjustRightInd w:val="0"/>
              <w:spacing w:line="360" w:lineRule="exact"/>
              <w:jc w:val="center"/>
              <w:textAlignment w:val="baseline"/>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商务</w:t>
            </w:r>
          </w:p>
        </w:tc>
        <w:tc>
          <w:tcPr>
            <w:tcW w:w="709" w:type="dxa"/>
            <w:noWrap w:val="0"/>
            <w:vAlign w:val="center"/>
          </w:tcPr>
          <w:p w14:paraId="5BF673F4">
            <w:pPr>
              <w:adjustRightInd w:val="0"/>
              <w:spacing w:line="360" w:lineRule="exact"/>
              <w:jc w:val="center"/>
              <w:textAlignment w:val="baseline"/>
              <w:rPr>
                <w:rFonts w:hint="default" w:ascii="宋体" w:hAnsi="宋体" w:eastAsia="宋体" w:cs="宋体"/>
                <w:b/>
                <w:color w:val="auto"/>
                <w:szCs w:val="21"/>
                <w:highlight w:val="none"/>
                <w:lang w:val="en-US" w:eastAsia="zh-CN"/>
              </w:rPr>
            </w:pPr>
            <w:r>
              <w:rPr>
                <w:rFonts w:hint="eastAsia" w:ascii="宋体" w:hAnsi="宋体" w:cs="宋体"/>
                <w:b/>
                <w:color w:val="auto"/>
                <w:szCs w:val="21"/>
                <w:highlight w:val="none"/>
                <w:lang w:val="en-US" w:eastAsia="zh-CN"/>
              </w:rPr>
              <w:t>5分</w:t>
            </w:r>
          </w:p>
        </w:tc>
        <w:tc>
          <w:tcPr>
            <w:tcW w:w="1559" w:type="dxa"/>
            <w:shd w:val="clear" w:color="auto" w:fill="auto"/>
            <w:noWrap w:val="0"/>
            <w:vAlign w:val="center"/>
          </w:tcPr>
          <w:p w14:paraId="22301AAF">
            <w:pPr>
              <w:bidi w:val="0"/>
              <w:jc w:val="center"/>
              <w:rPr>
                <w:rFonts w:hint="default"/>
                <w:color w:val="auto"/>
                <w:highlight w:val="none"/>
              </w:rPr>
            </w:pPr>
            <w:r>
              <w:rPr>
                <w:rFonts w:hint="default"/>
                <w:color w:val="auto"/>
                <w:highlight w:val="none"/>
              </w:rPr>
              <w:t>拟投入本项目</w:t>
            </w:r>
          </w:p>
          <w:p w14:paraId="714302C1">
            <w:pPr>
              <w:bidi w:val="0"/>
              <w:jc w:val="center"/>
              <w:rPr>
                <w:rFonts w:hint="default" w:eastAsia="宋体"/>
                <w:color w:val="auto"/>
                <w:highlight w:val="none"/>
                <w:lang w:val="en-US" w:eastAsia="zh-CN"/>
              </w:rPr>
            </w:pPr>
            <w:r>
              <w:rPr>
                <w:rFonts w:hint="default"/>
                <w:color w:val="auto"/>
                <w:highlight w:val="none"/>
              </w:rPr>
              <w:t>人员情况分（</w:t>
            </w:r>
            <w:r>
              <w:rPr>
                <w:rFonts w:hint="eastAsia"/>
                <w:color w:val="auto"/>
                <w:highlight w:val="none"/>
                <w:lang w:val="en-US" w:eastAsia="zh-CN"/>
              </w:rPr>
              <w:t>满分5</w:t>
            </w:r>
          </w:p>
          <w:p w14:paraId="2325CFAF">
            <w:pPr>
              <w:bidi w:val="0"/>
              <w:jc w:val="center"/>
              <w:rPr>
                <w:rFonts w:hint="eastAsia" w:ascii="宋体" w:hAnsi="宋体" w:eastAsia="宋体" w:cs="宋体"/>
                <w:color w:val="auto"/>
                <w:kern w:val="2"/>
                <w:sz w:val="21"/>
                <w:szCs w:val="21"/>
                <w:highlight w:val="none"/>
                <w:lang w:val="en-US" w:eastAsia="zh-CN" w:bidi="ar-SA"/>
              </w:rPr>
            </w:pPr>
            <w:r>
              <w:rPr>
                <w:rFonts w:hint="default"/>
                <w:color w:val="auto"/>
                <w:highlight w:val="none"/>
              </w:rPr>
              <w:t>分）</w:t>
            </w:r>
          </w:p>
        </w:tc>
        <w:tc>
          <w:tcPr>
            <w:tcW w:w="5410" w:type="dxa"/>
            <w:shd w:val="clear" w:color="auto" w:fill="auto"/>
            <w:noWrap w:val="0"/>
            <w:vAlign w:val="center"/>
          </w:tcPr>
          <w:p w14:paraId="1634AE60">
            <w:pPr>
              <w:pStyle w:val="2"/>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项目负责人为高级工程师及以上职称（</w:t>
            </w:r>
            <w:r>
              <w:rPr>
                <w:rFonts w:hint="eastAsia" w:ascii="宋体" w:hAnsi="宋体" w:cs="宋体"/>
                <w:color w:val="auto"/>
                <w:kern w:val="2"/>
                <w:sz w:val="21"/>
                <w:szCs w:val="21"/>
                <w:highlight w:val="none"/>
                <w:lang w:val="en-US" w:eastAsia="zh-CN" w:bidi="ar-SA"/>
              </w:rPr>
              <w:t>交通土建</w:t>
            </w:r>
            <w:r>
              <w:rPr>
                <w:rFonts w:hint="eastAsia" w:ascii="宋体" w:hAnsi="宋体" w:eastAsia="宋体" w:cs="宋体"/>
                <w:color w:val="auto"/>
                <w:kern w:val="2"/>
                <w:sz w:val="21"/>
                <w:szCs w:val="21"/>
                <w:highlight w:val="none"/>
                <w:lang w:val="en-US" w:eastAsia="zh-CN" w:bidi="ar-SA"/>
              </w:rPr>
              <w:t>类相关专业）得 2 分；</w:t>
            </w:r>
          </w:p>
          <w:p w14:paraId="29859AC1">
            <w:pPr>
              <w:pStyle w:val="2"/>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除项目负责人之外，拟投入人员中具备高级工程师职称（交通土建类相关专业）每人得 1 分，最高得 2 分； 除项目负责人之外，拟投入人员中具备正高级工程师职称（交通土建类相关专业）每人得 1 分，最高得 1 分； 本项合计最高得 5 分。</w:t>
            </w:r>
          </w:p>
          <w:p w14:paraId="4FBD170B">
            <w:pPr>
              <w:keepNext w:val="0"/>
              <w:keepLines w:val="0"/>
              <w:pageBreakBefore w:val="0"/>
              <w:kinsoku/>
              <w:wordWrap w:val="0"/>
              <w:overflowPunct/>
              <w:topLinePunct w:val="0"/>
              <w:autoSpaceDE/>
              <w:autoSpaceDN/>
              <w:bidi w:val="0"/>
              <w:spacing w:line="400" w:lineRule="exact"/>
              <w:ind w:firstLine="420" w:firstLineChars="200"/>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注：1.同一人员按最高职称档次计分，不重复累加得分。2.投标文件中</w:t>
            </w:r>
            <w:r>
              <w:rPr>
                <w:rFonts w:hint="eastAsia" w:ascii="宋体" w:hAnsi="宋体" w:cs="宋体"/>
                <w:color w:val="auto"/>
                <w:kern w:val="2"/>
                <w:sz w:val="21"/>
                <w:szCs w:val="21"/>
                <w:highlight w:val="none"/>
                <w:lang w:val="en-US" w:eastAsia="zh-CN" w:bidi="ar-SA"/>
              </w:rPr>
              <w:t>须</w:t>
            </w:r>
            <w:r>
              <w:rPr>
                <w:rFonts w:hint="eastAsia" w:ascii="宋体" w:hAnsi="宋体" w:eastAsia="宋体" w:cs="宋体"/>
                <w:color w:val="auto"/>
                <w:kern w:val="2"/>
                <w:sz w:val="21"/>
                <w:szCs w:val="21"/>
                <w:highlight w:val="none"/>
                <w:lang w:val="en-US" w:eastAsia="zh-CN" w:bidi="ar-SA"/>
              </w:rPr>
              <w:t>提供以上人员有效的身份证正反面复印件、资格（或资质）证书复印件、</w:t>
            </w:r>
            <w:r>
              <w:rPr>
                <w:rFonts w:hint="eastAsia" w:ascii="宋体" w:hAnsi="宋体" w:eastAsia="宋体" w:cs="宋体"/>
                <w:color w:val="auto"/>
                <w:szCs w:val="21"/>
                <w:highlight w:val="none"/>
              </w:rPr>
              <w:t xml:space="preserve">投标人 </w:t>
            </w:r>
            <w:r>
              <w:rPr>
                <w:rFonts w:hint="eastAsia" w:ascii="宋体" w:hAnsi="宋体" w:eastAsia="宋体" w:cs="宋体"/>
                <w:color w:val="auto"/>
                <w:szCs w:val="21"/>
                <w:highlight w:val="none"/>
                <w:lang w:eastAsia="zh-CN"/>
              </w:rPr>
              <w:t>2026年 2 月</w:t>
            </w:r>
            <w:r>
              <w:rPr>
                <w:rFonts w:hint="eastAsia" w:ascii="宋体" w:hAnsi="宋体" w:eastAsia="宋体" w:cs="宋体"/>
                <w:color w:val="auto"/>
                <w:szCs w:val="21"/>
                <w:highlight w:val="none"/>
              </w:rPr>
              <w:t>至 202</w:t>
            </w:r>
            <w:r>
              <w:rPr>
                <w:rFonts w:hint="eastAsia" w:ascii="宋体" w:hAnsi="宋体" w:eastAsia="宋体" w:cs="宋体"/>
                <w:color w:val="auto"/>
                <w:szCs w:val="21"/>
                <w:highlight w:val="none"/>
                <w:lang w:val="en-US" w:eastAsia="zh-CN"/>
              </w:rPr>
              <w:t>6</w:t>
            </w:r>
            <w:r>
              <w:rPr>
                <w:rFonts w:hint="eastAsia" w:ascii="宋体" w:hAnsi="宋体" w:eastAsia="宋体" w:cs="宋体"/>
                <w:color w:val="auto"/>
                <w:szCs w:val="21"/>
                <w:highlight w:val="none"/>
              </w:rPr>
              <w:t xml:space="preserve"> 年</w:t>
            </w:r>
            <w:r>
              <w:rPr>
                <w:rFonts w:hint="eastAsia" w:ascii="宋体" w:hAnsi="宋体" w:eastAsia="宋体" w:cs="宋体"/>
                <w:color w:val="auto"/>
                <w:szCs w:val="21"/>
                <w:highlight w:val="none"/>
                <w:lang w:val="en-US" w:eastAsia="zh-CN"/>
              </w:rPr>
              <w:t>5</w:t>
            </w:r>
            <w:r>
              <w:rPr>
                <w:rFonts w:hint="eastAsia" w:ascii="宋体" w:hAnsi="宋体" w:eastAsia="宋体" w:cs="宋体"/>
                <w:color w:val="auto"/>
                <w:szCs w:val="21"/>
                <w:highlight w:val="none"/>
              </w:rPr>
              <w:t xml:space="preserve"> 月内</w:t>
            </w:r>
            <w:r>
              <w:rPr>
                <w:rFonts w:hint="eastAsia" w:ascii="宋体" w:hAnsi="宋体" w:cs="宋体"/>
                <w:color w:val="auto"/>
                <w:szCs w:val="21"/>
                <w:highlight w:val="none"/>
                <w:lang w:eastAsia="zh-CN"/>
              </w:rPr>
              <w:t>任意</w:t>
            </w:r>
            <w:r>
              <w:rPr>
                <w:rFonts w:hint="eastAsia" w:ascii="宋体" w:hAnsi="宋体" w:cs="宋体"/>
                <w:color w:val="auto"/>
                <w:szCs w:val="21"/>
                <w:highlight w:val="none"/>
                <w:lang w:val="en-US" w:eastAsia="zh-CN"/>
              </w:rPr>
              <w:t>1个月</w:t>
            </w:r>
            <w:r>
              <w:rPr>
                <w:rFonts w:hint="eastAsia" w:ascii="宋体" w:hAnsi="宋体" w:eastAsia="宋体" w:cs="宋体"/>
                <w:color w:val="auto"/>
                <w:kern w:val="2"/>
                <w:sz w:val="21"/>
                <w:szCs w:val="21"/>
                <w:highlight w:val="none"/>
                <w:lang w:val="en-US" w:eastAsia="zh-CN" w:bidi="ar-SA"/>
              </w:rPr>
              <w:t>为</w:t>
            </w:r>
            <w:r>
              <w:rPr>
                <w:rFonts w:hint="eastAsia" w:ascii="宋体" w:hAnsi="宋体" w:cs="宋体"/>
                <w:color w:val="auto"/>
                <w:kern w:val="2"/>
                <w:sz w:val="21"/>
                <w:szCs w:val="21"/>
                <w:highlight w:val="none"/>
                <w:lang w:val="en-US" w:eastAsia="zh-CN" w:bidi="ar-SA"/>
              </w:rPr>
              <w:t>项目人</w:t>
            </w:r>
            <w:r>
              <w:rPr>
                <w:rFonts w:hint="eastAsia" w:ascii="宋体" w:hAnsi="宋体" w:eastAsia="宋体" w:cs="宋体"/>
                <w:color w:val="auto"/>
                <w:kern w:val="2"/>
                <w:sz w:val="21"/>
                <w:szCs w:val="21"/>
                <w:highlight w:val="none"/>
                <w:lang w:val="en-US" w:eastAsia="zh-CN" w:bidi="ar-SA"/>
              </w:rPr>
              <w:t>员缴纳社保的证明材料复印件</w:t>
            </w:r>
            <w:r>
              <w:rPr>
                <w:rFonts w:hint="eastAsia" w:ascii="宋体" w:hAnsi="宋体" w:cs="宋体"/>
                <w:color w:val="auto"/>
                <w:kern w:val="2"/>
                <w:sz w:val="21"/>
                <w:szCs w:val="21"/>
                <w:highlight w:val="none"/>
                <w:lang w:val="en-US" w:eastAsia="zh-CN" w:bidi="ar-SA"/>
              </w:rPr>
              <w:t>，</w:t>
            </w:r>
            <w:r>
              <w:rPr>
                <w:rFonts w:hint="eastAsia" w:ascii="宋体" w:hAnsi="宋体" w:eastAsia="宋体" w:cs="宋体"/>
                <w:color w:val="auto"/>
                <w:kern w:val="2"/>
                <w:sz w:val="21"/>
                <w:szCs w:val="21"/>
                <w:highlight w:val="none"/>
                <w:lang w:val="en-US" w:eastAsia="zh-CN" w:bidi="ar-SA"/>
              </w:rPr>
              <w:t>若为新入职人员（社保缴纳不足 1 个月的），需提供与投标人签订的有效劳动合同复印件。</w:t>
            </w:r>
          </w:p>
          <w:p w14:paraId="6DB96331">
            <w:pPr>
              <w:pStyle w:val="2"/>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3.交通土建类相关专业包含：桥梁工程、公路与桥梁工程、桥梁与隧道工程、道路工程、道路与桥梁工程、路桥设计、公路工程、公路与城市道路、土木工程、交通土建工程、港口航道与海岸工程、水运工程、航道工程、港口工程、港航工程等相关专业均可。</w:t>
            </w:r>
          </w:p>
        </w:tc>
      </w:tr>
      <w:tr w14:paraId="2D9B69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51" w:hRule="atLeast"/>
          <w:jc w:val="center"/>
        </w:trPr>
        <w:tc>
          <w:tcPr>
            <w:tcW w:w="730" w:type="dxa"/>
            <w:noWrap w:val="0"/>
            <w:vAlign w:val="center"/>
          </w:tcPr>
          <w:p w14:paraId="41CE1885">
            <w:pPr>
              <w:adjustRightInd w:val="0"/>
              <w:spacing w:line="360" w:lineRule="exact"/>
              <w:jc w:val="center"/>
              <w:textAlignment w:val="baseline"/>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3</w:t>
            </w:r>
          </w:p>
        </w:tc>
        <w:tc>
          <w:tcPr>
            <w:tcW w:w="1280" w:type="dxa"/>
            <w:vMerge w:val="continue"/>
            <w:noWrap w:val="0"/>
            <w:vAlign w:val="center"/>
          </w:tcPr>
          <w:p w14:paraId="1045C96E">
            <w:pPr>
              <w:adjustRightInd w:val="0"/>
              <w:spacing w:line="360" w:lineRule="exact"/>
              <w:jc w:val="center"/>
              <w:textAlignment w:val="baseline"/>
              <w:rPr>
                <w:rFonts w:hint="eastAsia" w:ascii="宋体" w:hAnsi="宋体" w:eastAsia="宋体" w:cs="宋体"/>
                <w:b/>
                <w:color w:val="auto"/>
                <w:szCs w:val="21"/>
                <w:highlight w:val="none"/>
              </w:rPr>
            </w:pPr>
          </w:p>
        </w:tc>
        <w:tc>
          <w:tcPr>
            <w:tcW w:w="709" w:type="dxa"/>
            <w:noWrap w:val="0"/>
            <w:vAlign w:val="center"/>
          </w:tcPr>
          <w:p w14:paraId="45FB7C9E">
            <w:pPr>
              <w:adjustRightInd w:val="0"/>
              <w:spacing w:line="360" w:lineRule="exact"/>
              <w:jc w:val="center"/>
              <w:textAlignment w:val="baseline"/>
              <w:rPr>
                <w:rFonts w:hint="eastAsia" w:ascii="宋体" w:hAnsi="宋体" w:eastAsia="宋体" w:cs="宋体"/>
                <w:b/>
                <w:color w:val="auto"/>
                <w:szCs w:val="21"/>
                <w:highlight w:val="none"/>
              </w:rPr>
            </w:pPr>
            <w:r>
              <w:rPr>
                <w:rFonts w:hint="eastAsia" w:ascii="宋体" w:hAnsi="宋体" w:eastAsia="宋体" w:cs="宋体"/>
                <w:b/>
                <w:color w:val="auto"/>
                <w:szCs w:val="21"/>
                <w:highlight w:val="none"/>
                <w:lang w:val="en-US" w:eastAsia="zh-CN"/>
              </w:rPr>
              <w:t>10</w:t>
            </w:r>
            <w:r>
              <w:rPr>
                <w:rFonts w:hint="eastAsia" w:ascii="宋体" w:hAnsi="宋体" w:eastAsia="宋体" w:cs="宋体"/>
                <w:b/>
                <w:color w:val="auto"/>
                <w:szCs w:val="21"/>
                <w:highlight w:val="none"/>
              </w:rPr>
              <w:t>分</w:t>
            </w:r>
          </w:p>
        </w:tc>
        <w:tc>
          <w:tcPr>
            <w:tcW w:w="1559" w:type="dxa"/>
            <w:noWrap w:val="0"/>
            <w:vAlign w:val="center"/>
          </w:tcPr>
          <w:p w14:paraId="269DE7BB">
            <w:pPr>
              <w:keepNext w:val="0"/>
              <w:keepLines w:val="0"/>
              <w:pageBreakBefore w:val="0"/>
              <w:kinsoku/>
              <w:wordWrap w:val="0"/>
              <w:overflowPunct/>
              <w:topLinePunct w:val="0"/>
              <w:autoSpaceDE/>
              <w:autoSpaceDN/>
              <w:bidi w:val="0"/>
              <w:spacing w:line="40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业绩分</w:t>
            </w:r>
          </w:p>
          <w:p w14:paraId="313AB3C1">
            <w:pPr>
              <w:keepNext w:val="0"/>
              <w:keepLines w:val="0"/>
              <w:pageBreakBefore w:val="0"/>
              <w:kinsoku/>
              <w:wordWrap w:val="0"/>
              <w:overflowPunct/>
              <w:topLinePunct w:val="0"/>
              <w:autoSpaceDE/>
              <w:autoSpaceDN/>
              <w:bidi w:val="0"/>
              <w:spacing w:line="40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（满分10分）</w:t>
            </w:r>
          </w:p>
        </w:tc>
        <w:tc>
          <w:tcPr>
            <w:tcW w:w="5410" w:type="dxa"/>
            <w:noWrap w:val="0"/>
            <w:vAlign w:val="center"/>
          </w:tcPr>
          <w:p w14:paraId="2763E520">
            <w:pPr>
              <w:keepNext w:val="0"/>
              <w:keepLines w:val="0"/>
              <w:pageBreakBefore w:val="0"/>
              <w:kinsoku/>
              <w:wordWrap w:val="0"/>
              <w:overflowPunct/>
              <w:topLinePunct w:val="0"/>
              <w:autoSpaceDE/>
              <w:autoSpaceDN/>
              <w:bidi w:val="0"/>
              <w:spacing w:line="40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rPr>
              <w:t>（1）2021 年以来供应商承接过</w:t>
            </w:r>
            <w:r>
              <w:rPr>
                <w:rFonts w:hint="eastAsia" w:ascii="宋体" w:hAnsi="宋体" w:eastAsia="宋体" w:cs="宋体"/>
                <w:color w:val="auto"/>
                <w:szCs w:val="21"/>
                <w:highlight w:val="none"/>
                <w:lang w:val="en-US" w:eastAsia="zh-CN"/>
              </w:rPr>
              <w:t>路桥、水运工程相关技术服务或同类似项目业绩</w:t>
            </w:r>
            <w:r>
              <w:rPr>
                <w:rFonts w:hint="eastAsia" w:ascii="宋体" w:hAnsi="宋体" w:eastAsia="宋体" w:cs="宋体"/>
                <w:color w:val="auto"/>
                <w:szCs w:val="21"/>
                <w:highlight w:val="none"/>
              </w:rPr>
              <w:t>的，每提供 1 项得 2 分，满分 10 分。</w:t>
            </w:r>
          </w:p>
          <w:p w14:paraId="42886E55">
            <w:pPr>
              <w:keepNext w:val="0"/>
              <w:keepLines w:val="0"/>
              <w:pageBreakBefore w:val="0"/>
              <w:kinsoku/>
              <w:wordWrap w:val="0"/>
              <w:overflowPunct/>
              <w:topLinePunct w:val="0"/>
              <w:autoSpaceDE/>
              <w:autoSpaceDN/>
              <w:bidi w:val="0"/>
              <w:spacing w:line="400" w:lineRule="exact"/>
              <w:ind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Cs w:val="21"/>
                <w:highlight w:val="none"/>
              </w:rPr>
              <w:t>响应文件中提供中标（成交）通知书或合同复印件</w:t>
            </w:r>
          </w:p>
        </w:tc>
      </w:tr>
      <w:tr w14:paraId="33C3A3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688" w:type="dxa"/>
            <w:gridSpan w:val="5"/>
            <w:noWrap w:val="0"/>
            <w:vAlign w:val="center"/>
          </w:tcPr>
          <w:p w14:paraId="7103FEFB">
            <w:pPr>
              <w:pStyle w:val="24"/>
              <w:spacing w:line="360" w:lineRule="exact"/>
              <w:rPr>
                <w:rFonts w:hint="eastAsia" w:ascii="宋体" w:hAnsi="宋体" w:eastAsia="宋体" w:cs="宋体"/>
                <w:bCs/>
                <w:color w:val="auto"/>
                <w:kern w:val="2"/>
                <w:sz w:val="24"/>
                <w:szCs w:val="24"/>
                <w:highlight w:val="none"/>
                <w:lang w:val="en-US" w:eastAsia="zh-CN"/>
              </w:rPr>
            </w:pPr>
            <w:r>
              <w:rPr>
                <w:rFonts w:hint="eastAsia" w:ascii="宋体" w:hAnsi="宋体" w:eastAsia="宋体" w:cs="宋体"/>
                <w:b/>
                <w:bCs/>
                <w:color w:val="auto"/>
                <w:kern w:val="2"/>
                <w:sz w:val="24"/>
                <w:szCs w:val="24"/>
                <w:highlight w:val="none"/>
                <w:lang w:val="en-US" w:eastAsia="zh-CN"/>
              </w:rPr>
              <w:t>总得分=1+2+3。</w:t>
            </w:r>
          </w:p>
        </w:tc>
      </w:tr>
    </w:tbl>
    <w:p w14:paraId="0F06B6F8">
      <w:pPr>
        <w:pStyle w:val="24"/>
        <w:spacing w:line="360" w:lineRule="auto"/>
        <w:rPr>
          <w:rFonts w:hint="eastAsia" w:ascii="宋体" w:hAnsi="宋体" w:eastAsia="宋体" w:cs="宋体"/>
          <w:bCs/>
          <w:color w:val="auto"/>
          <w:sz w:val="21"/>
          <w:highlight w:val="none"/>
        </w:rPr>
      </w:pPr>
    </w:p>
    <w:p w14:paraId="03BBAD24">
      <w:pPr>
        <w:pStyle w:val="24"/>
        <w:spacing w:line="360" w:lineRule="auto"/>
        <w:rPr>
          <w:rFonts w:hint="eastAsia" w:ascii="宋体" w:hAnsi="宋体" w:eastAsia="宋体" w:cs="宋体"/>
          <w:bCs/>
          <w:color w:val="auto"/>
          <w:sz w:val="21"/>
          <w:highlight w:val="none"/>
        </w:rPr>
      </w:pPr>
      <w:r>
        <w:rPr>
          <w:rFonts w:hint="eastAsia" w:ascii="宋体" w:hAnsi="宋体" w:eastAsia="宋体" w:cs="宋体"/>
          <w:bCs/>
          <w:color w:val="auto"/>
          <w:sz w:val="21"/>
          <w:highlight w:val="none"/>
        </w:rPr>
        <w:t>注</w:t>
      </w:r>
      <w:r>
        <w:rPr>
          <w:rFonts w:hint="eastAsia" w:ascii="宋体" w:hAnsi="宋体" w:eastAsia="宋体" w:cs="宋体"/>
          <w:bCs/>
          <w:color w:val="auto"/>
          <w:sz w:val="21"/>
          <w:highlight w:val="none"/>
          <w:lang w:eastAsia="zh-CN"/>
        </w:rPr>
        <w:t>：</w:t>
      </w:r>
      <w:r>
        <w:rPr>
          <w:rFonts w:hint="eastAsia" w:ascii="宋体" w:hAnsi="宋体" w:eastAsia="宋体" w:cs="宋体"/>
          <w:bCs/>
          <w:color w:val="auto"/>
          <w:sz w:val="21"/>
          <w:highlight w:val="none"/>
        </w:rPr>
        <w:t>1.计分方法按四舍五入取至百分位；</w:t>
      </w:r>
    </w:p>
    <w:p w14:paraId="5D50B38E">
      <w:pPr>
        <w:pStyle w:val="24"/>
        <w:keepNext w:val="0"/>
        <w:keepLines w:val="0"/>
        <w:pageBreakBefore w:val="0"/>
        <w:widowControl w:val="0"/>
        <w:numPr>
          <w:ilvl w:val="0"/>
          <w:numId w:val="0"/>
        </w:numPr>
        <w:kinsoku/>
        <w:wordWrap w:val="0"/>
        <w:overflowPunct/>
        <w:topLinePunct w:val="0"/>
        <w:autoSpaceDE/>
        <w:autoSpaceDN/>
        <w:bidi w:val="0"/>
        <w:adjustRightInd/>
        <w:snapToGrid/>
        <w:spacing w:line="360" w:lineRule="auto"/>
        <w:ind w:left="420" w:leftChars="0"/>
        <w:textAlignment w:val="auto"/>
        <w:rPr>
          <w:rFonts w:hint="eastAsia" w:ascii="宋体" w:hAnsi="宋体" w:eastAsia="宋体" w:cs="宋体"/>
          <w:bCs/>
          <w:color w:val="auto"/>
          <w:sz w:val="21"/>
          <w:highlight w:val="none"/>
          <w:lang w:val="en-US" w:eastAsia="zh-CN"/>
        </w:rPr>
      </w:pPr>
      <w:r>
        <w:rPr>
          <w:rFonts w:hint="eastAsia" w:hAnsi="宋体" w:eastAsia="宋体" w:cs="宋体"/>
          <w:bCs/>
          <w:color w:val="auto"/>
          <w:sz w:val="21"/>
          <w:highlight w:val="none"/>
          <w:lang w:val="en-US" w:eastAsia="zh-CN"/>
        </w:rPr>
        <w:t>2.</w:t>
      </w:r>
      <w:r>
        <w:rPr>
          <w:rFonts w:hint="eastAsia" w:ascii="宋体" w:hAnsi="宋体" w:eastAsia="宋体" w:cs="宋体"/>
          <w:bCs/>
          <w:color w:val="auto"/>
          <w:sz w:val="21"/>
          <w:highlight w:val="none"/>
          <w:lang w:val="en-US" w:eastAsia="zh-CN"/>
        </w:rPr>
        <w:t>各评审因素分值计算均保留小数点后两位，小数点后第三位“四舍五入”。</w:t>
      </w:r>
    </w:p>
    <w:p w14:paraId="3B50D09E">
      <w:pPr>
        <w:spacing w:before="120" w:line="320" w:lineRule="atLeast"/>
        <w:ind w:firstLine="420" w:firstLineChars="200"/>
        <w:rPr>
          <w:rFonts w:hint="eastAsia" w:ascii="宋体" w:hAnsi="宋体" w:eastAsia="宋体" w:cs="宋体"/>
          <w:bCs/>
          <w:color w:val="auto"/>
          <w:kern w:val="0"/>
          <w:sz w:val="21"/>
          <w:szCs w:val="21"/>
          <w:highlight w:val="none"/>
          <w:lang w:val="en-US" w:eastAsia="zh-CN" w:bidi="ar-SA"/>
        </w:rPr>
      </w:pPr>
      <w:r>
        <w:rPr>
          <w:rFonts w:hint="eastAsia" w:ascii="宋体" w:hAnsi="宋体" w:eastAsia="宋体" w:cs="宋体"/>
          <w:bCs/>
          <w:color w:val="auto"/>
          <w:kern w:val="0"/>
          <w:sz w:val="21"/>
          <w:szCs w:val="21"/>
          <w:highlight w:val="none"/>
          <w:lang w:val="en-US" w:eastAsia="zh-CN" w:bidi="ar-SA"/>
        </w:rPr>
        <w:t>3.1偏离认定说明</w:t>
      </w:r>
    </w:p>
    <w:p w14:paraId="681E49E9">
      <w:pPr>
        <w:spacing w:before="120" w:line="320" w:lineRule="atLeast"/>
        <w:ind w:firstLine="420" w:firstLineChars="200"/>
        <w:rPr>
          <w:rFonts w:hint="eastAsia" w:ascii="宋体" w:hAnsi="宋体" w:eastAsia="宋体" w:cs="宋体"/>
          <w:bCs/>
          <w:color w:val="auto"/>
          <w:kern w:val="0"/>
          <w:sz w:val="21"/>
          <w:szCs w:val="21"/>
          <w:highlight w:val="none"/>
          <w:lang w:val="en-US" w:eastAsia="zh-CN" w:bidi="ar-SA"/>
        </w:rPr>
      </w:pPr>
      <w:r>
        <w:rPr>
          <w:rFonts w:hint="eastAsia" w:ascii="宋体" w:hAnsi="宋体" w:eastAsia="宋体" w:cs="宋体"/>
          <w:bCs/>
          <w:color w:val="auto"/>
          <w:kern w:val="0"/>
          <w:sz w:val="21"/>
          <w:szCs w:val="21"/>
          <w:highlight w:val="none"/>
          <w:lang w:val="en-US" w:eastAsia="zh-CN" w:bidi="ar-SA"/>
        </w:rPr>
        <w:t>供应商根据采购需求中技术参数为基准，填写响应表，对于响应表或证明材料与技术参数不符的，按如下规定：</w:t>
      </w:r>
    </w:p>
    <w:p w14:paraId="3E00E5B4">
      <w:pPr>
        <w:spacing w:before="120" w:line="320" w:lineRule="atLeast"/>
        <w:ind w:firstLine="420" w:firstLineChars="200"/>
        <w:rPr>
          <w:rFonts w:hint="eastAsia" w:ascii="宋体" w:hAnsi="宋体" w:eastAsia="宋体" w:cs="宋体"/>
          <w:bCs/>
          <w:color w:val="auto"/>
          <w:kern w:val="0"/>
          <w:sz w:val="21"/>
          <w:szCs w:val="21"/>
          <w:highlight w:val="none"/>
          <w:lang w:val="en-US" w:eastAsia="zh-CN" w:bidi="ar-SA"/>
        </w:rPr>
      </w:pPr>
      <w:r>
        <w:rPr>
          <w:rFonts w:hint="eastAsia" w:ascii="宋体" w:hAnsi="宋体" w:eastAsia="宋体" w:cs="宋体"/>
          <w:bCs/>
          <w:color w:val="auto"/>
          <w:kern w:val="0"/>
          <w:sz w:val="21"/>
          <w:szCs w:val="21"/>
          <w:highlight w:val="none"/>
          <w:lang w:val="en-US" w:eastAsia="zh-CN" w:bidi="ar-SA"/>
        </w:rPr>
        <w:t>（1）实质性参数要求提交证明材料的，证明材料没有体现响应表中响应的内容的或未提供证明材料的，视为无效响应。非实质性参数要求提交证明材料的，证明材料没有体现响应表中响应的内容的或未提供证明材料的，视为负偏离。</w:t>
      </w:r>
    </w:p>
    <w:p w14:paraId="70E42EAB">
      <w:pPr>
        <w:spacing w:before="120" w:line="320" w:lineRule="atLeast"/>
        <w:ind w:firstLine="420" w:firstLineChars="200"/>
        <w:rPr>
          <w:rFonts w:hint="eastAsia" w:ascii="宋体" w:hAnsi="宋体" w:eastAsia="宋体" w:cs="宋体"/>
          <w:bCs/>
          <w:color w:val="auto"/>
          <w:kern w:val="0"/>
          <w:sz w:val="21"/>
          <w:szCs w:val="21"/>
          <w:highlight w:val="none"/>
          <w:lang w:val="en-US" w:eastAsia="zh-CN" w:bidi="ar-SA"/>
        </w:rPr>
      </w:pPr>
      <w:r>
        <w:rPr>
          <w:rFonts w:hint="eastAsia" w:ascii="宋体" w:hAnsi="宋体" w:eastAsia="宋体" w:cs="宋体"/>
          <w:bCs/>
          <w:color w:val="auto"/>
          <w:kern w:val="0"/>
          <w:sz w:val="21"/>
          <w:szCs w:val="21"/>
          <w:highlight w:val="none"/>
          <w:lang w:val="en-US" w:eastAsia="zh-CN" w:bidi="ar-SA"/>
        </w:rPr>
        <w:t>（2）响应表中响应的内容与证明材料不一致的，以证明材料为准作为评审依据。</w:t>
      </w:r>
    </w:p>
    <w:p w14:paraId="39147D78">
      <w:pPr>
        <w:spacing w:before="120" w:line="320" w:lineRule="atLeast"/>
        <w:ind w:firstLine="420" w:firstLineChars="200"/>
        <w:rPr>
          <w:rFonts w:hint="eastAsia" w:ascii="宋体" w:hAnsi="宋体" w:eastAsia="宋体" w:cs="宋体"/>
          <w:bCs/>
          <w:color w:val="auto"/>
          <w:kern w:val="0"/>
          <w:sz w:val="21"/>
          <w:szCs w:val="21"/>
          <w:highlight w:val="none"/>
          <w:lang w:val="en-US" w:eastAsia="zh-CN" w:bidi="ar-SA"/>
        </w:rPr>
      </w:pPr>
      <w:r>
        <w:rPr>
          <w:rFonts w:hint="eastAsia" w:ascii="宋体" w:hAnsi="宋体" w:eastAsia="宋体" w:cs="宋体"/>
          <w:bCs/>
          <w:color w:val="auto"/>
          <w:kern w:val="0"/>
          <w:sz w:val="21"/>
          <w:szCs w:val="21"/>
          <w:highlight w:val="none"/>
          <w:lang w:val="en-US" w:eastAsia="zh-CN" w:bidi="ar-SA"/>
        </w:rPr>
        <w:t>（3）同时出现以上两种情况的，按照（1）-（2）顺序认定。</w:t>
      </w:r>
    </w:p>
    <w:p w14:paraId="7270037D">
      <w:pPr>
        <w:spacing w:before="120" w:line="320" w:lineRule="atLeast"/>
        <w:ind w:firstLine="420" w:firstLineChars="200"/>
        <w:rPr>
          <w:rFonts w:hint="eastAsia" w:ascii="宋体" w:hAnsi="宋体" w:eastAsia="宋体" w:cs="宋体"/>
          <w:bCs/>
          <w:color w:val="auto"/>
          <w:kern w:val="0"/>
          <w:sz w:val="21"/>
          <w:szCs w:val="21"/>
          <w:highlight w:val="none"/>
          <w:lang w:val="en-US" w:eastAsia="zh-CN" w:bidi="ar-SA"/>
        </w:rPr>
      </w:pPr>
      <w:r>
        <w:rPr>
          <w:rFonts w:hint="eastAsia" w:ascii="宋体" w:hAnsi="宋体" w:eastAsia="宋体" w:cs="宋体"/>
          <w:bCs/>
          <w:color w:val="auto"/>
          <w:kern w:val="0"/>
          <w:sz w:val="21"/>
          <w:szCs w:val="21"/>
          <w:highlight w:val="none"/>
          <w:lang w:val="en-US" w:eastAsia="zh-CN" w:bidi="ar-SA"/>
        </w:rPr>
        <w:t>（4）响应表与采购需求中技术参数比较有漏项的，如为实质性参数漏项，视为未响应；如为非实质性参数漏项，视为负偏离。</w:t>
      </w:r>
    </w:p>
    <w:p w14:paraId="557F510C">
      <w:pPr>
        <w:spacing w:before="120" w:line="320" w:lineRule="atLeast"/>
        <w:ind w:firstLine="420" w:firstLineChars="200"/>
        <w:rPr>
          <w:rFonts w:hint="eastAsia" w:ascii="宋体" w:hAnsi="宋体" w:eastAsia="宋体" w:cs="宋体"/>
          <w:bCs/>
          <w:color w:val="auto"/>
          <w:kern w:val="0"/>
          <w:sz w:val="21"/>
          <w:szCs w:val="21"/>
          <w:highlight w:val="none"/>
          <w:lang w:val="en-US" w:eastAsia="zh-CN" w:bidi="ar-SA"/>
        </w:rPr>
      </w:pPr>
      <w:r>
        <w:rPr>
          <w:rFonts w:hint="eastAsia" w:ascii="宋体" w:hAnsi="宋体" w:eastAsia="宋体" w:cs="宋体"/>
          <w:bCs/>
          <w:color w:val="auto"/>
          <w:kern w:val="0"/>
          <w:sz w:val="21"/>
          <w:szCs w:val="21"/>
          <w:highlight w:val="none"/>
          <w:lang w:val="en-US" w:eastAsia="zh-CN" w:bidi="ar-SA"/>
        </w:rPr>
        <w:t>（5）一项技术参数有多条小项要求的，必须全部响应。如只响应部分参数，视为漏项，按照（4）判定。评审时以每一条技术参数为评审依据。</w:t>
      </w:r>
    </w:p>
    <w:p w14:paraId="0218CAE9">
      <w:pPr>
        <w:spacing w:before="120" w:line="320" w:lineRule="atLeast"/>
        <w:ind w:firstLine="420" w:firstLineChars="200"/>
        <w:rPr>
          <w:rFonts w:hint="eastAsia" w:ascii="宋体" w:hAnsi="宋体" w:eastAsia="宋体" w:cs="宋体"/>
          <w:bCs/>
          <w:color w:val="auto"/>
          <w:kern w:val="0"/>
          <w:sz w:val="21"/>
          <w:szCs w:val="21"/>
          <w:highlight w:val="none"/>
          <w:lang w:val="en-US" w:eastAsia="zh-CN" w:bidi="ar-SA"/>
        </w:rPr>
      </w:pPr>
      <w:r>
        <w:rPr>
          <w:rFonts w:hint="eastAsia" w:ascii="宋体" w:hAnsi="宋体" w:eastAsia="宋体" w:cs="宋体"/>
          <w:bCs/>
          <w:color w:val="auto"/>
          <w:kern w:val="0"/>
          <w:sz w:val="21"/>
          <w:szCs w:val="21"/>
          <w:highlight w:val="none"/>
          <w:lang w:val="en-US" w:eastAsia="zh-CN" w:bidi="ar-SA"/>
        </w:rPr>
        <w:t>（6）对于区间涵盖值参数，例：电压“测量范围3V-5V”，同时满足下限值更低及上限值更高才视为正偏离，例：响应为“测量范围2V-6V”。如有一端负偏离，不管另一端如何，均视为负偏离，例：响应为“测量范围4V-6V”。</w:t>
      </w:r>
    </w:p>
    <w:p w14:paraId="0107A0E2">
      <w:pPr>
        <w:spacing w:before="120" w:line="320" w:lineRule="atLeast"/>
        <w:ind w:firstLine="420" w:firstLineChars="200"/>
        <w:rPr>
          <w:rFonts w:hint="eastAsia" w:ascii="宋体" w:hAnsi="宋体" w:eastAsia="宋体" w:cs="宋体"/>
          <w:bCs/>
          <w:color w:val="auto"/>
          <w:kern w:val="0"/>
          <w:sz w:val="21"/>
          <w:szCs w:val="21"/>
          <w:highlight w:val="none"/>
          <w:lang w:val="en-US" w:eastAsia="zh-CN" w:bidi="ar-SA"/>
        </w:rPr>
      </w:pPr>
      <w:r>
        <w:rPr>
          <w:rFonts w:hint="eastAsia" w:ascii="宋体" w:hAnsi="宋体" w:eastAsia="宋体" w:cs="宋体"/>
          <w:bCs/>
          <w:color w:val="auto"/>
          <w:kern w:val="0"/>
          <w:sz w:val="21"/>
          <w:szCs w:val="21"/>
          <w:highlight w:val="none"/>
          <w:lang w:val="en-US" w:eastAsia="zh-CN" w:bidi="ar-SA"/>
        </w:rPr>
        <w:t>（7）对于区间任意值参数，例“5mm≤间距≤10mm”或“间距7.5±2.5mm”，若间距响应值为5mm-10mm中任意区间值或任意一个数值（含本数）时为无偏离，例：“6mm≤间距≤8mm”、“8±2mm”、“8mm”。超过区间范围视为负偏离，例：“3mm≤间距≤12mm”、“8±4mm”、“3-12mm”、“3mm”。此类参数不存在正偏离。</w:t>
      </w:r>
    </w:p>
    <w:p w14:paraId="1BA5BBB6">
      <w:pPr>
        <w:spacing w:before="120" w:line="320" w:lineRule="atLeast"/>
        <w:ind w:firstLine="420" w:firstLineChars="200"/>
        <w:rPr>
          <w:rFonts w:hint="eastAsia" w:ascii="宋体" w:hAnsi="宋体" w:eastAsia="宋体" w:cs="宋体"/>
          <w:bCs/>
          <w:color w:val="auto"/>
          <w:kern w:val="0"/>
          <w:sz w:val="21"/>
          <w:szCs w:val="21"/>
          <w:highlight w:val="none"/>
          <w:lang w:val="en-US" w:eastAsia="zh-CN" w:bidi="ar-SA"/>
        </w:rPr>
      </w:pPr>
      <w:r>
        <w:rPr>
          <w:rFonts w:hint="eastAsia" w:ascii="宋体" w:hAnsi="宋体" w:eastAsia="宋体" w:cs="宋体"/>
          <w:bCs/>
          <w:color w:val="auto"/>
          <w:kern w:val="0"/>
          <w:sz w:val="21"/>
          <w:szCs w:val="21"/>
          <w:highlight w:val="none"/>
          <w:lang w:val="en-US" w:eastAsia="zh-CN" w:bidi="ar-SA"/>
        </w:rPr>
        <w:t>（8）对于单边任意参数的要求，例“长度≥50cm”，若响应为50 cm及50cm以上任意一个数值，均视为无偏离；若响应小于50cm，视为负偏离。此类参数无正偏离。</w:t>
      </w:r>
    </w:p>
    <w:p w14:paraId="0B6EF4FE">
      <w:pPr>
        <w:spacing w:before="120" w:line="320" w:lineRule="atLeast"/>
        <w:ind w:firstLine="420" w:firstLineChars="200"/>
        <w:rPr>
          <w:rFonts w:hint="eastAsia" w:ascii="宋体" w:hAnsi="宋体" w:eastAsia="宋体" w:cs="宋体"/>
          <w:bCs/>
          <w:color w:val="auto"/>
          <w:kern w:val="0"/>
          <w:sz w:val="21"/>
          <w:szCs w:val="21"/>
          <w:highlight w:val="none"/>
          <w:lang w:val="en-US" w:eastAsia="zh-CN" w:bidi="ar-SA"/>
        </w:rPr>
      </w:pPr>
      <w:r>
        <w:rPr>
          <w:rFonts w:hint="eastAsia" w:ascii="宋体" w:hAnsi="宋体" w:eastAsia="宋体" w:cs="宋体"/>
          <w:bCs/>
          <w:color w:val="auto"/>
          <w:kern w:val="0"/>
          <w:sz w:val="21"/>
          <w:szCs w:val="21"/>
          <w:highlight w:val="none"/>
          <w:lang w:val="en-US" w:eastAsia="zh-CN" w:bidi="ar-SA"/>
        </w:rPr>
        <w:t>（9）对于固定参数，响应与采购需求中技术参数一致，视为无偏离，其他均视为负偏离，此类参数无正偏离。</w:t>
      </w:r>
    </w:p>
    <w:p w14:paraId="71924504">
      <w:pPr>
        <w:pStyle w:val="24"/>
        <w:keepNext w:val="0"/>
        <w:keepLines w:val="0"/>
        <w:pageBreakBefore w:val="0"/>
        <w:widowControl w:val="0"/>
        <w:numPr>
          <w:ilvl w:val="0"/>
          <w:numId w:val="0"/>
        </w:numPr>
        <w:kinsoku/>
        <w:wordWrap w:val="0"/>
        <w:overflowPunct/>
        <w:topLinePunct w:val="0"/>
        <w:autoSpaceDE/>
        <w:autoSpaceDN/>
        <w:bidi w:val="0"/>
        <w:adjustRightInd/>
        <w:snapToGrid/>
        <w:spacing w:line="360" w:lineRule="auto"/>
        <w:ind w:left="420" w:leftChars="0"/>
        <w:textAlignment w:val="auto"/>
        <w:rPr>
          <w:rFonts w:hint="eastAsia" w:ascii="宋体" w:hAnsi="宋体" w:eastAsia="宋体" w:cs="宋体"/>
          <w:bCs/>
          <w:color w:val="auto"/>
          <w:sz w:val="21"/>
          <w:highlight w:val="none"/>
        </w:rPr>
      </w:pPr>
      <w:r>
        <w:rPr>
          <w:rFonts w:hint="eastAsia" w:ascii="宋体" w:hAnsi="宋体" w:eastAsia="宋体" w:cs="宋体"/>
          <w:bCs/>
          <w:color w:val="auto"/>
          <w:kern w:val="0"/>
          <w:sz w:val="21"/>
          <w:szCs w:val="21"/>
          <w:highlight w:val="none"/>
          <w:lang w:val="en-US" w:eastAsia="zh-CN" w:bidi="ar-SA"/>
        </w:rPr>
        <w:t>（10）如采购需求中技术参数有特殊要求与上述说明不一致的，以特殊要求为准。</w:t>
      </w:r>
    </w:p>
    <w:p w14:paraId="7A387E3C">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highlight w:val="none"/>
        </w:rPr>
        <w:br w:type="page"/>
      </w:r>
    </w:p>
    <w:p w14:paraId="3A93B90F">
      <w:pPr>
        <w:pStyle w:val="5"/>
        <w:keepNext w:val="0"/>
        <w:keepLines w:val="0"/>
        <w:jc w:val="center"/>
        <w:rPr>
          <w:rFonts w:hint="eastAsia" w:ascii="宋体" w:hAnsi="宋体" w:eastAsia="宋体" w:cs="宋体"/>
          <w:color w:val="auto"/>
          <w:sz w:val="30"/>
          <w:szCs w:val="30"/>
          <w:highlight w:val="none"/>
        </w:rPr>
      </w:pPr>
      <w:r>
        <w:rPr>
          <w:rFonts w:hint="eastAsia" w:ascii="宋体" w:hAnsi="宋体" w:eastAsia="宋体" w:cs="宋体"/>
          <w:color w:val="auto"/>
          <w:sz w:val="30"/>
          <w:szCs w:val="30"/>
          <w:highlight w:val="none"/>
        </w:rPr>
        <w:t>四、中标候选人推荐原则</w:t>
      </w:r>
    </w:p>
    <w:p w14:paraId="0EB463F1">
      <w:pPr>
        <w:pStyle w:val="24"/>
        <w:spacing w:line="360" w:lineRule="auto"/>
        <w:contextualSpacing/>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（一）综合评分法</w:t>
      </w:r>
    </w:p>
    <w:p w14:paraId="48A290DF">
      <w:pPr>
        <w:pStyle w:val="24"/>
        <w:spacing w:line="360" w:lineRule="auto"/>
        <w:ind w:firstLine="420" w:firstLineChars="200"/>
        <w:contextualSpacing/>
        <w:rPr>
          <w:rFonts w:hint="eastAsia" w:ascii="宋体" w:hAnsi="宋体" w:eastAsia="宋体" w:cs="宋体"/>
          <w:color w:val="auto"/>
          <w:sz w:val="21"/>
          <w:highlight w:val="none"/>
        </w:rPr>
      </w:pPr>
      <w:r>
        <w:rPr>
          <w:rFonts w:hint="eastAsia" w:ascii="宋体" w:hAnsi="宋体" w:eastAsia="宋体" w:cs="宋体"/>
          <w:color w:val="auto"/>
          <w:sz w:val="21"/>
          <w:highlight w:val="none"/>
        </w:rPr>
        <w:t>评标委员会将根据总得分由高到低排列次序并推荐中标候选人。</w:t>
      </w:r>
      <w:r>
        <w:rPr>
          <w:rFonts w:hint="eastAsia" w:ascii="宋体" w:hAnsi="宋体" w:eastAsia="宋体" w:cs="宋体"/>
          <w:b/>
          <w:color w:val="auto"/>
          <w:sz w:val="21"/>
          <w:highlight w:val="none"/>
        </w:rPr>
        <w:t>中标候选人并列的，按照“投标人须知前附表”规定的方式确定中标人。</w:t>
      </w:r>
    </w:p>
    <w:p w14:paraId="260F8592">
      <w:pPr>
        <w:pStyle w:val="24"/>
        <w:spacing w:line="360" w:lineRule="auto"/>
        <w:ind w:firstLine="420" w:firstLineChars="200"/>
        <w:contextualSpacing/>
        <w:rPr>
          <w:rFonts w:hint="eastAsia" w:ascii="宋体" w:hAnsi="宋体" w:eastAsia="宋体" w:cs="宋体"/>
          <w:color w:val="auto"/>
          <w:sz w:val="21"/>
          <w:highlight w:val="none"/>
        </w:rPr>
      </w:pPr>
    </w:p>
    <w:p w14:paraId="69A8BAF3">
      <w:pPr>
        <w:pStyle w:val="24"/>
        <w:spacing w:line="360" w:lineRule="auto"/>
        <w:contextualSpacing/>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（二）最低评标价法</w:t>
      </w:r>
    </w:p>
    <w:p w14:paraId="01EEA55E">
      <w:pPr>
        <w:spacing w:line="360" w:lineRule="auto"/>
        <w:ind w:firstLine="420" w:firstLineChars="200"/>
        <w:contextualSpacing/>
        <w:rPr>
          <w:rFonts w:hint="eastAsia" w:ascii="宋体" w:hAnsi="宋体" w:eastAsia="宋体" w:cs="宋体"/>
          <w:b/>
          <w:color w:val="auto"/>
          <w:sz w:val="24"/>
          <w:highlight w:val="none"/>
        </w:rPr>
      </w:pPr>
      <w:r>
        <w:rPr>
          <w:rFonts w:hint="eastAsia" w:ascii="宋体" w:hAnsi="宋体" w:eastAsia="宋体" w:cs="宋体"/>
          <w:color w:val="auto"/>
          <w:highlight w:val="none"/>
        </w:rPr>
        <w:t>评标委员会按照评标价从低到高排序并推荐中标候选人，评标价相同的并列。投标文件满足招标文件全部实质性要求且评标价最低的投标人为排名第一的中标候选人。</w:t>
      </w:r>
    </w:p>
    <w:p w14:paraId="581B323E">
      <w:pPr>
        <w:spacing w:before="159" w:beforeLines="50" w:after="159" w:afterLines="50" w:line="400" w:lineRule="exact"/>
        <w:rPr>
          <w:rFonts w:hint="eastAsia" w:ascii="宋体" w:hAnsi="宋体" w:eastAsia="宋体" w:cs="宋体"/>
          <w:b/>
          <w:color w:val="auto"/>
          <w:sz w:val="24"/>
          <w:highlight w:val="none"/>
        </w:rPr>
      </w:pPr>
    </w:p>
    <w:p w14:paraId="5AC9E74A">
      <w:pPr>
        <w:spacing w:before="159" w:beforeLines="50" w:after="159" w:afterLines="50" w:line="400" w:lineRule="exact"/>
        <w:rPr>
          <w:rFonts w:hint="eastAsia" w:ascii="宋体" w:hAnsi="宋体" w:eastAsia="宋体" w:cs="宋体"/>
          <w:b/>
          <w:color w:val="auto"/>
          <w:sz w:val="24"/>
          <w:highlight w:val="none"/>
        </w:rPr>
      </w:pPr>
    </w:p>
    <w:p w14:paraId="6537B022">
      <w:pPr>
        <w:spacing w:before="159" w:beforeLines="50" w:after="159" w:afterLines="50" w:line="400" w:lineRule="exact"/>
        <w:rPr>
          <w:rFonts w:hint="eastAsia" w:ascii="宋体" w:hAnsi="宋体" w:eastAsia="宋体" w:cs="宋体"/>
          <w:b/>
          <w:color w:val="auto"/>
          <w:sz w:val="24"/>
          <w:highlight w:val="none"/>
        </w:rPr>
      </w:pPr>
    </w:p>
    <w:p w14:paraId="623A6F98">
      <w:pPr>
        <w:keepNext w:val="0"/>
        <w:keepLines w:val="0"/>
        <w:jc w:val="center"/>
        <w:outlineLvl w:val="9"/>
        <w:rPr>
          <w:rFonts w:hint="eastAsia" w:ascii="宋体" w:hAnsi="宋体" w:eastAsia="宋体" w:cs="宋体"/>
          <w:color w:val="auto"/>
          <w:highlight w:val="none"/>
        </w:rPr>
      </w:pPr>
      <w:r>
        <w:rPr>
          <w:rFonts w:hint="eastAsia" w:ascii="宋体" w:hAnsi="宋体" w:eastAsia="宋体" w:cs="宋体"/>
          <w:color w:val="auto"/>
          <w:highlight w:val="none"/>
        </w:rPr>
        <w:br w:type="page"/>
      </w:r>
    </w:p>
    <w:p w14:paraId="45347395">
      <w:pPr>
        <w:keepNext w:val="0"/>
        <w:keepLines w:val="0"/>
        <w:jc w:val="center"/>
        <w:outlineLvl w:val="9"/>
        <w:rPr>
          <w:rFonts w:hint="eastAsia" w:ascii="宋体" w:hAnsi="宋体" w:eastAsia="宋体" w:cs="宋体"/>
          <w:color w:val="auto"/>
          <w:highlight w:val="none"/>
        </w:rPr>
      </w:pPr>
    </w:p>
    <w:p w14:paraId="3AC5EF5A">
      <w:pPr>
        <w:keepNext w:val="0"/>
        <w:keepLines w:val="0"/>
        <w:jc w:val="center"/>
        <w:outlineLvl w:val="9"/>
        <w:rPr>
          <w:rFonts w:hint="eastAsia" w:ascii="宋体" w:hAnsi="宋体" w:eastAsia="宋体" w:cs="宋体"/>
          <w:color w:val="auto"/>
          <w:highlight w:val="none"/>
        </w:rPr>
      </w:pPr>
    </w:p>
    <w:p w14:paraId="269B5027">
      <w:pPr>
        <w:keepNext w:val="0"/>
        <w:keepLines w:val="0"/>
        <w:jc w:val="center"/>
        <w:outlineLvl w:val="9"/>
        <w:rPr>
          <w:rFonts w:hint="eastAsia" w:ascii="宋体" w:hAnsi="宋体" w:eastAsia="宋体" w:cs="宋体"/>
          <w:color w:val="auto"/>
          <w:highlight w:val="none"/>
        </w:rPr>
      </w:pPr>
    </w:p>
    <w:p w14:paraId="693811C9">
      <w:pPr>
        <w:keepNext w:val="0"/>
        <w:keepLines w:val="0"/>
        <w:jc w:val="center"/>
        <w:outlineLvl w:val="9"/>
        <w:rPr>
          <w:rFonts w:hint="eastAsia" w:ascii="宋体" w:hAnsi="宋体" w:eastAsia="宋体" w:cs="宋体"/>
          <w:color w:val="auto"/>
          <w:highlight w:val="none"/>
        </w:rPr>
      </w:pPr>
    </w:p>
    <w:p w14:paraId="7DE1A03E">
      <w:pPr>
        <w:keepNext w:val="0"/>
        <w:keepLines w:val="0"/>
        <w:jc w:val="center"/>
        <w:outlineLvl w:val="9"/>
        <w:rPr>
          <w:rFonts w:hint="eastAsia" w:ascii="宋体" w:hAnsi="宋体" w:eastAsia="宋体" w:cs="宋体"/>
          <w:color w:val="auto"/>
          <w:highlight w:val="none"/>
        </w:rPr>
      </w:pPr>
    </w:p>
    <w:p w14:paraId="58A9EF29">
      <w:pPr>
        <w:keepNext w:val="0"/>
        <w:keepLines w:val="0"/>
        <w:jc w:val="center"/>
        <w:outlineLvl w:val="9"/>
        <w:rPr>
          <w:rFonts w:hint="eastAsia" w:ascii="宋体" w:hAnsi="宋体" w:eastAsia="宋体" w:cs="宋体"/>
          <w:color w:val="auto"/>
          <w:highlight w:val="none"/>
        </w:rPr>
      </w:pPr>
    </w:p>
    <w:p w14:paraId="16508077">
      <w:pPr>
        <w:pStyle w:val="3"/>
        <w:jc w:val="center"/>
        <w:rPr>
          <w:rFonts w:hint="eastAsia" w:ascii="宋体" w:hAnsi="宋体" w:eastAsia="宋体" w:cs="宋体"/>
          <w:color w:val="auto"/>
          <w:highlight w:val="none"/>
        </w:rPr>
      </w:pPr>
      <w:bookmarkStart w:id="150" w:name="_Toc74320804"/>
      <w:r>
        <w:rPr>
          <w:rFonts w:hint="eastAsia" w:ascii="宋体" w:hAnsi="宋体" w:eastAsia="宋体" w:cs="宋体"/>
          <w:color w:val="auto"/>
          <w:highlight w:val="none"/>
        </w:rPr>
        <w:t>第五章</w:t>
      </w:r>
      <w:r>
        <w:rPr>
          <w:rFonts w:hint="eastAsia" w:ascii="宋体" w:hAnsi="宋体" w:eastAsia="宋体" w:cs="宋体"/>
          <w:color w:val="auto"/>
          <w:highlight w:val="none"/>
          <w:lang w:val="en-US" w:eastAsia="zh-CN"/>
        </w:rPr>
        <w:t xml:space="preserve"> </w:t>
      </w:r>
      <w:r>
        <w:rPr>
          <w:rFonts w:hint="eastAsia" w:ascii="宋体" w:hAnsi="宋体" w:eastAsia="宋体" w:cs="宋体"/>
          <w:color w:val="auto"/>
          <w:highlight w:val="none"/>
        </w:rPr>
        <w:t>拟签订的合同文本</w:t>
      </w:r>
      <w:bookmarkEnd w:id="150"/>
    </w:p>
    <w:p w14:paraId="6F62B1F4">
      <w:pPr>
        <w:snapToGrid w:val="0"/>
        <w:jc w:val="center"/>
        <w:rPr>
          <w:rFonts w:hint="eastAsia" w:ascii="宋体" w:hAnsi="宋体" w:eastAsia="宋体" w:cs="宋体"/>
          <w:bCs/>
          <w:color w:val="auto"/>
          <w:sz w:val="32"/>
          <w:szCs w:val="32"/>
          <w:highlight w:val="none"/>
        </w:rPr>
      </w:pPr>
    </w:p>
    <w:p w14:paraId="0EC2CBCC">
      <w:pPr>
        <w:snapToGrid w:val="0"/>
        <w:jc w:val="center"/>
        <w:rPr>
          <w:rFonts w:hint="eastAsia" w:ascii="宋体" w:hAnsi="宋体" w:eastAsia="宋体" w:cs="宋体"/>
          <w:bCs/>
          <w:color w:val="auto"/>
          <w:sz w:val="32"/>
          <w:szCs w:val="32"/>
          <w:highlight w:val="none"/>
        </w:rPr>
      </w:pPr>
    </w:p>
    <w:p w14:paraId="1B94ABA3">
      <w:pPr>
        <w:snapToGrid w:val="0"/>
        <w:jc w:val="center"/>
        <w:rPr>
          <w:rFonts w:hint="eastAsia" w:ascii="宋体" w:hAnsi="宋体" w:eastAsia="宋体" w:cs="宋体"/>
          <w:bCs/>
          <w:color w:val="auto"/>
          <w:sz w:val="32"/>
          <w:szCs w:val="32"/>
          <w:highlight w:val="none"/>
        </w:rPr>
      </w:pPr>
    </w:p>
    <w:p w14:paraId="13BCC060">
      <w:pPr>
        <w:snapToGrid w:val="0"/>
        <w:jc w:val="center"/>
        <w:rPr>
          <w:rFonts w:hint="eastAsia" w:ascii="宋体" w:hAnsi="宋体" w:eastAsia="宋体" w:cs="宋体"/>
          <w:bCs/>
          <w:color w:val="auto"/>
          <w:sz w:val="32"/>
          <w:szCs w:val="32"/>
          <w:highlight w:val="none"/>
        </w:rPr>
      </w:pPr>
    </w:p>
    <w:p w14:paraId="3C22F85E">
      <w:pPr>
        <w:snapToGrid w:val="0"/>
        <w:jc w:val="center"/>
        <w:rPr>
          <w:rFonts w:hint="eastAsia" w:ascii="宋体" w:hAnsi="宋体" w:eastAsia="宋体" w:cs="宋体"/>
          <w:bCs/>
          <w:color w:val="auto"/>
          <w:sz w:val="32"/>
          <w:szCs w:val="32"/>
          <w:highlight w:val="none"/>
        </w:rPr>
      </w:pPr>
    </w:p>
    <w:p w14:paraId="7B39566C">
      <w:pPr>
        <w:snapToGrid w:val="0"/>
        <w:jc w:val="center"/>
        <w:rPr>
          <w:rFonts w:hint="eastAsia" w:ascii="宋体" w:hAnsi="宋体" w:eastAsia="宋体" w:cs="宋体"/>
          <w:bCs/>
          <w:color w:val="auto"/>
          <w:sz w:val="32"/>
          <w:szCs w:val="32"/>
          <w:highlight w:val="none"/>
        </w:rPr>
      </w:pPr>
    </w:p>
    <w:p w14:paraId="7CBC838A">
      <w:pPr>
        <w:snapToGrid w:val="0"/>
        <w:jc w:val="center"/>
        <w:rPr>
          <w:rFonts w:hint="eastAsia" w:ascii="宋体" w:hAnsi="宋体" w:eastAsia="宋体" w:cs="宋体"/>
          <w:bCs/>
          <w:color w:val="auto"/>
          <w:sz w:val="32"/>
          <w:szCs w:val="32"/>
          <w:highlight w:val="none"/>
        </w:rPr>
      </w:pPr>
    </w:p>
    <w:p w14:paraId="46FF9AFE">
      <w:pPr>
        <w:snapToGrid w:val="0"/>
        <w:jc w:val="center"/>
        <w:rPr>
          <w:rFonts w:hint="eastAsia" w:ascii="宋体" w:hAnsi="宋体" w:eastAsia="宋体" w:cs="宋体"/>
          <w:bCs/>
          <w:color w:val="auto"/>
          <w:sz w:val="32"/>
          <w:szCs w:val="32"/>
          <w:highlight w:val="none"/>
        </w:rPr>
      </w:pPr>
    </w:p>
    <w:p w14:paraId="5812153F">
      <w:pPr>
        <w:snapToGrid w:val="0"/>
        <w:jc w:val="center"/>
        <w:rPr>
          <w:rFonts w:hint="eastAsia" w:ascii="宋体" w:hAnsi="宋体" w:eastAsia="宋体" w:cs="宋体"/>
          <w:bCs/>
          <w:color w:val="auto"/>
          <w:sz w:val="32"/>
          <w:szCs w:val="32"/>
          <w:highlight w:val="none"/>
        </w:rPr>
      </w:pPr>
    </w:p>
    <w:p w14:paraId="4B42A7E4">
      <w:pPr>
        <w:snapToGrid w:val="0"/>
        <w:jc w:val="center"/>
        <w:rPr>
          <w:rFonts w:hint="eastAsia" w:ascii="宋体" w:hAnsi="宋体" w:eastAsia="宋体" w:cs="宋体"/>
          <w:bCs/>
          <w:color w:val="auto"/>
          <w:sz w:val="32"/>
          <w:szCs w:val="32"/>
          <w:highlight w:val="none"/>
        </w:rPr>
      </w:pPr>
    </w:p>
    <w:p w14:paraId="653553B0">
      <w:pPr>
        <w:snapToGrid w:val="0"/>
        <w:jc w:val="center"/>
        <w:rPr>
          <w:rFonts w:hint="eastAsia" w:ascii="宋体" w:hAnsi="宋体" w:eastAsia="宋体" w:cs="宋体"/>
          <w:bCs/>
          <w:color w:val="auto"/>
          <w:sz w:val="32"/>
          <w:szCs w:val="32"/>
          <w:highlight w:val="none"/>
        </w:rPr>
      </w:pPr>
    </w:p>
    <w:p w14:paraId="657E4126">
      <w:pPr>
        <w:snapToGrid w:val="0"/>
        <w:jc w:val="center"/>
        <w:rPr>
          <w:rFonts w:hint="eastAsia" w:ascii="宋体" w:hAnsi="宋体" w:eastAsia="宋体" w:cs="宋体"/>
          <w:bCs/>
          <w:color w:val="auto"/>
          <w:sz w:val="32"/>
          <w:szCs w:val="32"/>
          <w:highlight w:val="none"/>
        </w:rPr>
      </w:pPr>
    </w:p>
    <w:p w14:paraId="68B580A8">
      <w:pPr>
        <w:snapToGrid w:val="0"/>
        <w:spacing w:line="400" w:lineRule="exact"/>
        <w:jc w:val="both"/>
        <w:outlineLvl w:val="0"/>
        <w:rPr>
          <w:rFonts w:hint="default" w:ascii="宋体" w:hAnsi="宋体" w:eastAsia="宋体" w:cs="宋体"/>
          <w:bCs/>
          <w:color w:val="auto"/>
          <w:sz w:val="32"/>
          <w:szCs w:val="32"/>
          <w:highlight w:val="none"/>
          <w:lang w:val="en-US" w:eastAsia="zh-CN"/>
        </w:rPr>
      </w:pPr>
      <w:r>
        <w:rPr>
          <w:rFonts w:hint="eastAsia" w:ascii="宋体" w:hAnsi="宋体" w:eastAsia="宋体" w:cs="宋体"/>
          <w:bCs/>
          <w:color w:val="auto"/>
          <w:sz w:val="32"/>
          <w:szCs w:val="32"/>
          <w:highlight w:val="none"/>
        </w:rPr>
        <w:br w:type="page"/>
      </w:r>
      <w:bookmarkStart w:id="151" w:name="_Hlk55381736"/>
      <w:r>
        <w:rPr>
          <w:rFonts w:hint="eastAsia" w:ascii="宋体" w:hAnsi="宋体" w:eastAsia="宋体" w:cs="宋体"/>
          <w:bCs/>
          <w:color w:val="auto"/>
          <w:sz w:val="32"/>
          <w:szCs w:val="32"/>
          <w:highlight w:val="none"/>
          <w:lang w:val="en-US" w:eastAsia="zh-CN"/>
        </w:rPr>
        <w:t>（GLTLJD1 标段/GLTLJD2 标段/GLTLJD3 标段/GLTLJD4 标段）和（SYJD1 标段/SYJD2 标段）</w:t>
      </w:r>
      <w:r>
        <w:rPr>
          <w:rFonts w:hint="eastAsia" w:ascii="宋体" w:hAnsi="宋体" w:eastAsia="宋体" w:cs="宋体"/>
          <w:bCs/>
          <w:color w:val="auto"/>
          <w:sz w:val="32"/>
          <w:szCs w:val="32"/>
          <w:highlight w:val="none"/>
        </w:rPr>
        <w:t>合同文本</w:t>
      </w:r>
    </w:p>
    <w:p w14:paraId="576E978E">
      <w:pPr>
        <w:snapToGrid w:val="0"/>
        <w:spacing w:line="400" w:lineRule="exact"/>
        <w:jc w:val="center"/>
        <w:rPr>
          <w:rFonts w:hint="eastAsia" w:ascii="宋体" w:hAnsi="宋体" w:eastAsia="宋体" w:cs="宋体"/>
          <w:b/>
          <w:bCs/>
          <w:color w:val="auto"/>
          <w:sz w:val="32"/>
          <w:szCs w:val="32"/>
          <w:highlight w:val="none"/>
        </w:rPr>
      </w:pPr>
      <w:r>
        <w:rPr>
          <w:rFonts w:hint="eastAsia" w:ascii="宋体" w:hAnsi="宋体" w:eastAsia="宋体" w:cs="宋体"/>
          <w:b/>
          <w:bCs/>
          <w:color w:val="auto"/>
          <w:sz w:val="32"/>
          <w:szCs w:val="32"/>
          <w:highlight w:val="none"/>
        </w:rPr>
        <w:t>《广西壮族自治区政府采购合同》</w:t>
      </w:r>
    </w:p>
    <w:p w14:paraId="6CD33245">
      <w:pPr>
        <w:snapToGrid w:val="0"/>
        <w:spacing w:line="400" w:lineRule="exact"/>
        <w:ind w:right="480" w:firstLine="5250" w:firstLineChars="2500"/>
        <w:rPr>
          <w:rFonts w:hint="eastAsia" w:ascii="宋体" w:hAnsi="宋体" w:eastAsia="宋体" w:cs="宋体"/>
          <w:bCs/>
          <w:color w:val="auto"/>
          <w:szCs w:val="21"/>
          <w:highlight w:val="none"/>
        </w:rPr>
      </w:pPr>
    </w:p>
    <w:p w14:paraId="13F4B8EE">
      <w:pPr>
        <w:snapToGrid w:val="0"/>
        <w:spacing w:line="400" w:lineRule="exact"/>
        <w:ind w:right="480" w:firstLine="5250" w:firstLineChars="2500"/>
        <w:rPr>
          <w:rFonts w:hint="eastAsia" w:ascii="宋体" w:hAnsi="宋体" w:eastAsia="宋体" w:cs="宋体"/>
          <w:bCs/>
          <w:color w:val="auto"/>
          <w:szCs w:val="21"/>
          <w:highlight w:val="none"/>
          <w:u w:val="single"/>
        </w:rPr>
      </w:pPr>
      <w:r>
        <w:rPr>
          <w:rFonts w:hint="eastAsia" w:ascii="宋体" w:hAnsi="宋体" w:eastAsia="宋体" w:cs="宋体"/>
          <w:bCs/>
          <w:color w:val="auto"/>
          <w:szCs w:val="21"/>
          <w:highlight w:val="none"/>
        </w:rPr>
        <w:t>合同编号：</w:t>
      </w:r>
    </w:p>
    <w:p w14:paraId="0A9A7979">
      <w:pPr>
        <w:snapToGrid w:val="0"/>
        <w:spacing w:line="320" w:lineRule="exact"/>
        <w:rPr>
          <w:rFonts w:hint="eastAsia" w:ascii="宋体" w:hAnsi="宋体" w:eastAsia="宋体" w:cs="宋体"/>
          <w:color w:val="auto"/>
          <w:szCs w:val="21"/>
          <w:highlight w:val="none"/>
        </w:rPr>
      </w:pPr>
    </w:p>
    <w:p w14:paraId="4F239BE6">
      <w:pPr>
        <w:snapToGrid w:val="0"/>
        <w:spacing w:line="320" w:lineRule="exact"/>
        <w:rPr>
          <w:rFonts w:hint="eastAsia" w:ascii="宋体" w:hAnsi="宋体" w:eastAsia="宋体" w:cs="宋体"/>
          <w:color w:val="auto"/>
          <w:szCs w:val="21"/>
          <w:highlight w:val="none"/>
          <w:u w:val="single"/>
        </w:rPr>
      </w:pPr>
      <w:r>
        <w:rPr>
          <w:rFonts w:hint="eastAsia" w:ascii="宋体" w:hAnsi="宋体" w:eastAsia="宋体" w:cs="宋体"/>
          <w:color w:val="auto"/>
          <w:szCs w:val="21"/>
          <w:highlight w:val="none"/>
        </w:rPr>
        <w:t>采购单位（甲方）</w:t>
      </w:r>
      <w:r>
        <w:rPr>
          <w:rFonts w:hint="eastAsia" w:ascii="宋体" w:hAnsi="宋体" w:eastAsia="宋体" w:cs="宋体"/>
          <w:color w:val="auto"/>
          <w:szCs w:val="21"/>
          <w:highlight w:val="none"/>
          <w:lang w:val="en-US" w:eastAsia="zh-CN"/>
        </w:rPr>
        <w:t xml:space="preserve">                                            </w:t>
      </w:r>
      <w:r>
        <w:rPr>
          <w:rFonts w:hint="eastAsia" w:ascii="宋体" w:hAnsi="宋体" w:eastAsia="宋体" w:cs="宋体"/>
          <w:color w:val="auto"/>
          <w:spacing w:val="-20"/>
          <w:szCs w:val="21"/>
          <w:highlight w:val="none"/>
        </w:rPr>
        <w:t>采 购 计 划 号</w:t>
      </w:r>
    </w:p>
    <w:p w14:paraId="3A0FE045">
      <w:pPr>
        <w:snapToGrid w:val="0"/>
        <w:spacing w:line="320" w:lineRule="exact"/>
        <w:rPr>
          <w:rFonts w:hint="eastAsia" w:ascii="宋体" w:hAnsi="宋体" w:eastAsia="宋体" w:cs="宋体"/>
          <w:color w:val="auto"/>
          <w:szCs w:val="21"/>
          <w:highlight w:val="none"/>
          <w:u w:val="single"/>
        </w:rPr>
      </w:pPr>
      <w:r>
        <w:rPr>
          <w:rFonts w:hint="eastAsia" w:ascii="宋体" w:hAnsi="宋体" w:eastAsia="宋体" w:cs="宋体"/>
          <w:color w:val="auto"/>
          <w:szCs w:val="21"/>
          <w:highlight w:val="none"/>
        </w:rPr>
        <w:t>供 应 商（乙方）</w:t>
      </w:r>
      <w:r>
        <w:rPr>
          <w:rFonts w:hint="eastAsia" w:ascii="宋体" w:hAnsi="宋体" w:eastAsia="宋体" w:cs="宋体"/>
          <w:color w:val="auto"/>
          <w:szCs w:val="21"/>
          <w:highlight w:val="none"/>
          <w:lang w:val="en-US" w:eastAsia="zh-CN"/>
        </w:rPr>
        <w:t xml:space="preserve">                                            </w:t>
      </w:r>
      <w:r>
        <w:rPr>
          <w:rFonts w:hint="eastAsia" w:ascii="宋体" w:hAnsi="宋体" w:eastAsia="宋体" w:cs="宋体"/>
          <w:color w:val="auto"/>
          <w:spacing w:val="-20"/>
          <w:szCs w:val="21"/>
          <w:highlight w:val="none"/>
        </w:rPr>
        <w:t>招  标  编  号</w:t>
      </w:r>
    </w:p>
    <w:p w14:paraId="1E6634E7">
      <w:pPr>
        <w:snapToGrid w:val="0"/>
        <w:spacing w:line="320" w:lineRule="exact"/>
        <w:rPr>
          <w:rFonts w:hint="eastAsia" w:ascii="宋体" w:hAnsi="宋体" w:eastAsia="宋体" w:cs="宋体"/>
          <w:color w:val="auto"/>
          <w:szCs w:val="21"/>
          <w:highlight w:val="none"/>
          <w:u w:val="single"/>
        </w:rPr>
      </w:pPr>
      <w:r>
        <w:rPr>
          <w:rFonts w:hint="eastAsia" w:ascii="宋体" w:hAnsi="宋体" w:eastAsia="宋体" w:cs="宋体"/>
          <w:color w:val="auto"/>
          <w:szCs w:val="21"/>
          <w:highlight w:val="none"/>
        </w:rPr>
        <w:t xml:space="preserve">签  订  地  点    </w:t>
      </w:r>
      <w:r>
        <w:rPr>
          <w:rFonts w:hint="eastAsia" w:ascii="宋体" w:hAnsi="宋体" w:eastAsia="宋体" w:cs="宋体"/>
          <w:color w:val="auto"/>
          <w:szCs w:val="21"/>
          <w:highlight w:val="none"/>
          <w:lang w:val="en-US" w:eastAsia="zh-CN"/>
        </w:rPr>
        <w:t xml:space="preserve">                                          </w:t>
      </w:r>
      <w:r>
        <w:rPr>
          <w:rFonts w:hint="eastAsia" w:ascii="宋体" w:hAnsi="宋体" w:eastAsia="宋体" w:cs="宋体"/>
          <w:color w:val="auto"/>
          <w:szCs w:val="21"/>
          <w:highlight w:val="none"/>
        </w:rPr>
        <w:t>签 订 时 间</w:t>
      </w:r>
    </w:p>
    <w:p w14:paraId="27BF6625">
      <w:pPr>
        <w:snapToGrid w:val="0"/>
        <w:spacing w:line="320" w:lineRule="exact"/>
        <w:ind w:firstLine="0" w:firstLineChars="0"/>
        <w:jc w:val="left"/>
        <w:rPr>
          <w:rFonts w:hint="eastAsia" w:ascii="宋体" w:hAnsi="宋体" w:eastAsia="宋体" w:cs="宋体"/>
          <w:color w:val="auto"/>
          <w:szCs w:val="21"/>
          <w:highlight w:val="none"/>
          <w:lang w:eastAsia="zh-CN"/>
        </w:rPr>
      </w:pPr>
      <w:r>
        <w:rPr>
          <w:rFonts w:hint="eastAsia" w:ascii="宋体" w:hAnsi="宋体" w:eastAsia="宋体" w:cs="宋体"/>
          <w:color w:val="auto"/>
          <w:highlight w:val="none"/>
          <w:lang w:eastAsia="zh-CN"/>
        </w:rPr>
        <w:t>是否中小企业合同：是或否</w:t>
      </w:r>
    </w:p>
    <w:p w14:paraId="39258F04">
      <w:pPr>
        <w:snapToGrid w:val="0"/>
        <w:spacing w:line="32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根据《中华人民共和国政府采购法》、《中华人民共和国民法典》等法律、法规规定，按照招投标文件规定条款和</w:t>
      </w:r>
      <w:r>
        <w:rPr>
          <w:rFonts w:hint="eastAsia" w:ascii="宋体" w:hAnsi="宋体" w:cs="宋体"/>
          <w:color w:val="auto"/>
          <w:szCs w:val="21"/>
          <w:highlight w:val="none"/>
          <w:lang w:eastAsia="zh-CN"/>
        </w:rPr>
        <w:t>乙方</w:t>
      </w:r>
      <w:r>
        <w:rPr>
          <w:rFonts w:hint="eastAsia" w:ascii="宋体" w:hAnsi="宋体" w:eastAsia="宋体" w:cs="宋体"/>
          <w:color w:val="auto"/>
          <w:szCs w:val="21"/>
          <w:highlight w:val="none"/>
        </w:rPr>
        <w:t>承诺，甲乙双方签订本合同。</w:t>
      </w:r>
    </w:p>
    <w:p w14:paraId="250AFA19">
      <w:pPr>
        <w:snapToGrid w:val="0"/>
        <w:spacing w:line="320" w:lineRule="exact"/>
        <w:ind w:firstLine="422" w:firstLineChars="200"/>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第一条　合同标的</w:t>
      </w:r>
    </w:p>
    <w:p w14:paraId="1302DD4C">
      <w:pPr>
        <w:snapToGrid w:val="0"/>
        <w:spacing w:line="32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1、服务成果一览表</w:t>
      </w:r>
    </w:p>
    <w:tbl>
      <w:tblPr>
        <w:tblStyle w:val="45"/>
        <w:tblW w:w="8504" w:type="dxa"/>
        <w:tblInd w:w="-7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5"/>
        <w:gridCol w:w="1467"/>
        <w:gridCol w:w="1627"/>
        <w:gridCol w:w="1146"/>
        <w:gridCol w:w="1146"/>
        <w:gridCol w:w="1306"/>
        <w:gridCol w:w="1147"/>
      </w:tblGrid>
      <w:tr w14:paraId="595D27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20" w:hRule="atLeast"/>
        </w:trPr>
        <w:tc>
          <w:tcPr>
            <w:tcW w:w="665" w:type="dxa"/>
            <w:noWrap w:val="0"/>
            <w:vAlign w:val="center"/>
          </w:tcPr>
          <w:p w14:paraId="7B90E45A">
            <w:pPr>
              <w:snapToGrid w:val="0"/>
              <w:spacing w:line="32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序号</w:t>
            </w:r>
          </w:p>
        </w:tc>
        <w:tc>
          <w:tcPr>
            <w:tcW w:w="1467" w:type="dxa"/>
            <w:noWrap w:val="0"/>
            <w:vAlign w:val="center"/>
          </w:tcPr>
          <w:p w14:paraId="6FE2F324">
            <w:pPr>
              <w:snapToGrid w:val="0"/>
              <w:spacing w:line="32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服务项目</w:t>
            </w:r>
          </w:p>
        </w:tc>
        <w:tc>
          <w:tcPr>
            <w:tcW w:w="1627" w:type="dxa"/>
            <w:noWrap w:val="0"/>
            <w:vAlign w:val="center"/>
          </w:tcPr>
          <w:p w14:paraId="6865035B">
            <w:pPr>
              <w:snapToGrid w:val="0"/>
              <w:spacing w:line="320" w:lineRule="exact"/>
              <w:jc w:val="center"/>
              <w:rPr>
                <w:rFonts w:hint="eastAsia" w:ascii="宋体" w:hAnsi="宋体" w:eastAsia="宋体" w:cs="宋体"/>
                <w:color w:val="auto"/>
                <w:szCs w:val="21"/>
                <w:highlight w:val="none"/>
              </w:rPr>
            </w:pPr>
            <w:r>
              <w:rPr>
                <w:rFonts w:hint="eastAsia" w:ascii="宋体" w:hAnsi="宋体" w:eastAsia="宋体" w:cs="宋体"/>
                <w:color w:val="auto"/>
                <w:highlight w:val="none"/>
              </w:rPr>
              <w:t>服务内容、标准</w:t>
            </w:r>
          </w:p>
        </w:tc>
        <w:tc>
          <w:tcPr>
            <w:tcW w:w="1146" w:type="dxa"/>
            <w:noWrap w:val="0"/>
            <w:vAlign w:val="center"/>
          </w:tcPr>
          <w:p w14:paraId="2B3DA60E">
            <w:pPr>
              <w:snapToGrid w:val="0"/>
              <w:spacing w:line="32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数量</w:t>
            </w:r>
          </w:p>
        </w:tc>
        <w:tc>
          <w:tcPr>
            <w:tcW w:w="1146" w:type="dxa"/>
            <w:noWrap w:val="0"/>
            <w:vAlign w:val="center"/>
          </w:tcPr>
          <w:p w14:paraId="733D8B4C">
            <w:pPr>
              <w:snapToGrid w:val="0"/>
              <w:spacing w:line="32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单位</w:t>
            </w:r>
          </w:p>
        </w:tc>
        <w:tc>
          <w:tcPr>
            <w:tcW w:w="1306" w:type="dxa"/>
            <w:noWrap w:val="0"/>
            <w:vAlign w:val="center"/>
          </w:tcPr>
          <w:p w14:paraId="34D8F791">
            <w:pPr>
              <w:snapToGrid w:val="0"/>
              <w:spacing w:line="32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单  价</w:t>
            </w:r>
          </w:p>
          <w:p w14:paraId="46E3EBFE">
            <w:pPr>
              <w:snapToGrid w:val="0"/>
              <w:spacing w:line="32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（元）</w:t>
            </w:r>
          </w:p>
        </w:tc>
        <w:tc>
          <w:tcPr>
            <w:tcW w:w="1147" w:type="dxa"/>
            <w:noWrap w:val="0"/>
            <w:vAlign w:val="center"/>
          </w:tcPr>
          <w:p w14:paraId="53FEB170">
            <w:pPr>
              <w:snapToGrid w:val="0"/>
              <w:spacing w:line="32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金  额</w:t>
            </w:r>
          </w:p>
          <w:p w14:paraId="2F4E3C8C">
            <w:pPr>
              <w:snapToGrid w:val="0"/>
              <w:spacing w:line="32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（元）</w:t>
            </w:r>
          </w:p>
        </w:tc>
      </w:tr>
      <w:tr w14:paraId="4FD966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5" w:hRule="atLeast"/>
        </w:trPr>
        <w:tc>
          <w:tcPr>
            <w:tcW w:w="665" w:type="dxa"/>
            <w:noWrap w:val="0"/>
            <w:vAlign w:val="center"/>
          </w:tcPr>
          <w:p w14:paraId="5C09B84A">
            <w:pPr>
              <w:snapToGrid w:val="0"/>
              <w:spacing w:line="320" w:lineRule="exact"/>
              <w:jc w:val="center"/>
              <w:rPr>
                <w:rFonts w:hint="eastAsia" w:ascii="宋体" w:hAnsi="宋体" w:eastAsia="宋体" w:cs="宋体"/>
                <w:color w:val="auto"/>
                <w:szCs w:val="21"/>
                <w:highlight w:val="none"/>
              </w:rPr>
            </w:pPr>
          </w:p>
        </w:tc>
        <w:tc>
          <w:tcPr>
            <w:tcW w:w="1467" w:type="dxa"/>
            <w:noWrap w:val="0"/>
            <w:vAlign w:val="center"/>
          </w:tcPr>
          <w:p w14:paraId="7B0D6D94">
            <w:pPr>
              <w:snapToGrid w:val="0"/>
              <w:spacing w:line="320" w:lineRule="exact"/>
              <w:jc w:val="center"/>
              <w:rPr>
                <w:rFonts w:hint="eastAsia" w:ascii="宋体" w:hAnsi="宋体" w:eastAsia="宋体" w:cs="宋体"/>
                <w:color w:val="auto"/>
                <w:szCs w:val="21"/>
                <w:highlight w:val="none"/>
              </w:rPr>
            </w:pPr>
          </w:p>
        </w:tc>
        <w:tc>
          <w:tcPr>
            <w:tcW w:w="1627" w:type="dxa"/>
            <w:noWrap w:val="0"/>
            <w:vAlign w:val="center"/>
          </w:tcPr>
          <w:p w14:paraId="4CAA3DCD">
            <w:pPr>
              <w:snapToGrid w:val="0"/>
              <w:spacing w:line="320" w:lineRule="exact"/>
              <w:jc w:val="center"/>
              <w:rPr>
                <w:rFonts w:hint="eastAsia" w:ascii="宋体" w:hAnsi="宋体" w:eastAsia="宋体" w:cs="宋体"/>
                <w:color w:val="auto"/>
                <w:szCs w:val="21"/>
                <w:highlight w:val="none"/>
              </w:rPr>
            </w:pPr>
          </w:p>
        </w:tc>
        <w:tc>
          <w:tcPr>
            <w:tcW w:w="1146" w:type="dxa"/>
            <w:noWrap w:val="0"/>
            <w:vAlign w:val="top"/>
          </w:tcPr>
          <w:p w14:paraId="5B98DBC4">
            <w:pPr>
              <w:snapToGrid w:val="0"/>
              <w:spacing w:line="320" w:lineRule="exact"/>
              <w:jc w:val="center"/>
              <w:rPr>
                <w:rFonts w:hint="eastAsia" w:ascii="宋体" w:hAnsi="宋体" w:eastAsia="宋体" w:cs="宋体"/>
                <w:color w:val="auto"/>
                <w:szCs w:val="21"/>
                <w:highlight w:val="none"/>
              </w:rPr>
            </w:pPr>
          </w:p>
        </w:tc>
        <w:tc>
          <w:tcPr>
            <w:tcW w:w="1146" w:type="dxa"/>
            <w:noWrap w:val="0"/>
            <w:vAlign w:val="top"/>
          </w:tcPr>
          <w:p w14:paraId="374B829D">
            <w:pPr>
              <w:snapToGrid w:val="0"/>
              <w:spacing w:line="320" w:lineRule="exact"/>
              <w:jc w:val="center"/>
              <w:rPr>
                <w:rFonts w:hint="eastAsia" w:ascii="宋体" w:hAnsi="宋体" w:eastAsia="宋体" w:cs="宋体"/>
                <w:color w:val="auto"/>
                <w:szCs w:val="21"/>
                <w:highlight w:val="none"/>
              </w:rPr>
            </w:pPr>
          </w:p>
        </w:tc>
        <w:tc>
          <w:tcPr>
            <w:tcW w:w="1306" w:type="dxa"/>
            <w:noWrap w:val="0"/>
            <w:vAlign w:val="center"/>
          </w:tcPr>
          <w:p w14:paraId="79829B9B">
            <w:pPr>
              <w:snapToGrid w:val="0"/>
              <w:spacing w:line="320" w:lineRule="exact"/>
              <w:jc w:val="center"/>
              <w:rPr>
                <w:rFonts w:hint="eastAsia" w:ascii="宋体" w:hAnsi="宋体" w:eastAsia="宋体" w:cs="宋体"/>
                <w:color w:val="auto"/>
                <w:szCs w:val="21"/>
                <w:highlight w:val="none"/>
              </w:rPr>
            </w:pPr>
          </w:p>
        </w:tc>
        <w:tc>
          <w:tcPr>
            <w:tcW w:w="1147" w:type="dxa"/>
            <w:noWrap w:val="0"/>
            <w:vAlign w:val="center"/>
          </w:tcPr>
          <w:p w14:paraId="22888C0C">
            <w:pPr>
              <w:snapToGrid w:val="0"/>
              <w:spacing w:line="320" w:lineRule="exact"/>
              <w:jc w:val="center"/>
              <w:rPr>
                <w:rFonts w:hint="eastAsia" w:ascii="宋体" w:hAnsi="宋体" w:eastAsia="宋体" w:cs="宋体"/>
                <w:color w:val="auto"/>
                <w:szCs w:val="21"/>
                <w:highlight w:val="none"/>
              </w:rPr>
            </w:pPr>
          </w:p>
        </w:tc>
      </w:tr>
      <w:tr w14:paraId="2FFD77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5" w:hRule="atLeast"/>
        </w:trPr>
        <w:tc>
          <w:tcPr>
            <w:tcW w:w="665" w:type="dxa"/>
            <w:noWrap w:val="0"/>
            <w:vAlign w:val="center"/>
          </w:tcPr>
          <w:p w14:paraId="4D5339C4">
            <w:pPr>
              <w:snapToGrid w:val="0"/>
              <w:spacing w:line="320" w:lineRule="exact"/>
              <w:jc w:val="center"/>
              <w:rPr>
                <w:rFonts w:hint="eastAsia" w:ascii="宋体" w:hAnsi="宋体" w:eastAsia="宋体" w:cs="宋体"/>
                <w:color w:val="auto"/>
                <w:szCs w:val="21"/>
                <w:highlight w:val="none"/>
              </w:rPr>
            </w:pPr>
          </w:p>
        </w:tc>
        <w:tc>
          <w:tcPr>
            <w:tcW w:w="1467" w:type="dxa"/>
            <w:noWrap w:val="0"/>
            <w:vAlign w:val="center"/>
          </w:tcPr>
          <w:p w14:paraId="50892BD7">
            <w:pPr>
              <w:snapToGrid w:val="0"/>
              <w:spacing w:line="320" w:lineRule="exact"/>
              <w:jc w:val="center"/>
              <w:rPr>
                <w:rFonts w:hint="eastAsia" w:ascii="宋体" w:hAnsi="宋体" w:eastAsia="宋体" w:cs="宋体"/>
                <w:color w:val="auto"/>
                <w:szCs w:val="21"/>
                <w:highlight w:val="none"/>
              </w:rPr>
            </w:pPr>
          </w:p>
        </w:tc>
        <w:tc>
          <w:tcPr>
            <w:tcW w:w="1627" w:type="dxa"/>
            <w:noWrap w:val="0"/>
            <w:vAlign w:val="center"/>
          </w:tcPr>
          <w:p w14:paraId="1493E0CC">
            <w:pPr>
              <w:snapToGrid w:val="0"/>
              <w:spacing w:line="320" w:lineRule="exact"/>
              <w:jc w:val="center"/>
              <w:rPr>
                <w:rFonts w:hint="eastAsia" w:ascii="宋体" w:hAnsi="宋体" w:eastAsia="宋体" w:cs="宋体"/>
                <w:color w:val="auto"/>
                <w:szCs w:val="21"/>
                <w:highlight w:val="none"/>
              </w:rPr>
            </w:pPr>
          </w:p>
        </w:tc>
        <w:tc>
          <w:tcPr>
            <w:tcW w:w="1146" w:type="dxa"/>
            <w:noWrap w:val="0"/>
            <w:vAlign w:val="top"/>
          </w:tcPr>
          <w:p w14:paraId="218026FC">
            <w:pPr>
              <w:snapToGrid w:val="0"/>
              <w:spacing w:line="320" w:lineRule="exact"/>
              <w:jc w:val="center"/>
              <w:rPr>
                <w:rFonts w:hint="eastAsia" w:ascii="宋体" w:hAnsi="宋体" w:eastAsia="宋体" w:cs="宋体"/>
                <w:color w:val="auto"/>
                <w:szCs w:val="21"/>
                <w:highlight w:val="none"/>
              </w:rPr>
            </w:pPr>
          </w:p>
        </w:tc>
        <w:tc>
          <w:tcPr>
            <w:tcW w:w="1146" w:type="dxa"/>
            <w:noWrap w:val="0"/>
            <w:vAlign w:val="top"/>
          </w:tcPr>
          <w:p w14:paraId="638D3641">
            <w:pPr>
              <w:snapToGrid w:val="0"/>
              <w:spacing w:line="320" w:lineRule="exact"/>
              <w:jc w:val="center"/>
              <w:rPr>
                <w:rFonts w:hint="eastAsia" w:ascii="宋体" w:hAnsi="宋体" w:eastAsia="宋体" w:cs="宋体"/>
                <w:color w:val="auto"/>
                <w:szCs w:val="21"/>
                <w:highlight w:val="none"/>
              </w:rPr>
            </w:pPr>
          </w:p>
        </w:tc>
        <w:tc>
          <w:tcPr>
            <w:tcW w:w="1306" w:type="dxa"/>
            <w:noWrap w:val="0"/>
            <w:vAlign w:val="center"/>
          </w:tcPr>
          <w:p w14:paraId="124C286C">
            <w:pPr>
              <w:snapToGrid w:val="0"/>
              <w:spacing w:line="320" w:lineRule="exact"/>
              <w:jc w:val="center"/>
              <w:rPr>
                <w:rFonts w:hint="eastAsia" w:ascii="宋体" w:hAnsi="宋体" w:eastAsia="宋体" w:cs="宋体"/>
                <w:color w:val="auto"/>
                <w:szCs w:val="21"/>
                <w:highlight w:val="none"/>
              </w:rPr>
            </w:pPr>
          </w:p>
        </w:tc>
        <w:tc>
          <w:tcPr>
            <w:tcW w:w="1147" w:type="dxa"/>
            <w:noWrap w:val="0"/>
            <w:vAlign w:val="center"/>
          </w:tcPr>
          <w:p w14:paraId="5F2CBC5B">
            <w:pPr>
              <w:snapToGrid w:val="0"/>
              <w:spacing w:line="320" w:lineRule="exact"/>
              <w:jc w:val="center"/>
              <w:rPr>
                <w:rFonts w:hint="eastAsia" w:ascii="宋体" w:hAnsi="宋体" w:eastAsia="宋体" w:cs="宋体"/>
                <w:color w:val="auto"/>
                <w:szCs w:val="21"/>
                <w:highlight w:val="none"/>
              </w:rPr>
            </w:pPr>
          </w:p>
        </w:tc>
      </w:tr>
      <w:tr w14:paraId="45F78F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5" w:hRule="atLeast"/>
        </w:trPr>
        <w:tc>
          <w:tcPr>
            <w:tcW w:w="8504" w:type="dxa"/>
            <w:gridSpan w:val="7"/>
            <w:noWrap w:val="0"/>
            <w:vAlign w:val="center"/>
          </w:tcPr>
          <w:p w14:paraId="6A62FBF4">
            <w:pPr>
              <w:snapToGrid w:val="0"/>
              <w:spacing w:line="32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人民币合计金额（大写）                          （小写）                 </w:t>
            </w:r>
          </w:p>
          <w:p w14:paraId="3B70EC81">
            <w:pPr>
              <w:snapToGrid w:val="0"/>
              <w:spacing w:line="32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rPr>
              <w:t>合同履行期限：</w:t>
            </w:r>
          </w:p>
        </w:tc>
      </w:tr>
    </w:tbl>
    <w:p w14:paraId="24A44C6C">
      <w:pPr>
        <w:snapToGrid w:val="0"/>
        <w:spacing w:line="320" w:lineRule="exact"/>
        <w:ind w:right="52"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合同合计金额包括为完成本合同所发生的一切费用（含完成合同项目过程中所需的劳务、材料、设备、仪器、运输、检测与试验、安全警戒、评审、咨询、会务、管理、保险、税费、利润等费用，以及合同明示或暗示的所有责任、义务和一般风险等的一切费用等各种费用在内）。</w:t>
      </w:r>
    </w:p>
    <w:p w14:paraId="10E24F5E">
      <w:pPr>
        <w:snapToGrid w:val="0"/>
        <w:spacing w:line="320" w:lineRule="exact"/>
        <w:ind w:firstLine="422" w:firstLineChars="200"/>
        <w:rPr>
          <w:rFonts w:hint="eastAsia" w:ascii="宋体" w:hAnsi="宋体" w:eastAsia="宋体" w:cs="宋体"/>
          <w:color w:val="auto"/>
          <w:szCs w:val="21"/>
          <w:highlight w:val="none"/>
        </w:rPr>
      </w:pPr>
      <w:r>
        <w:rPr>
          <w:rFonts w:hint="eastAsia" w:ascii="宋体" w:hAnsi="宋体" w:eastAsia="宋体" w:cs="宋体"/>
          <w:b/>
          <w:color w:val="auto"/>
          <w:szCs w:val="21"/>
          <w:highlight w:val="none"/>
        </w:rPr>
        <w:t>第二条　质量保证</w:t>
      </w:r>
    </w:p>
    <w:p w14:paraId="706B50E9">
      <w:pPr>
        <w:snapToGrid w:val="0"/>
        <w:spacing w:line="32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乙方所提供的技术服务质量必须与招投标文件和承诺相一致。</w:t>
      </w:r>
    </w:p>
    <w:p w14:paraId="01A72D7B">
      <w:pPr>
        <w:snapToGrid w:val="0"/>
        <w:spacing w:line="320" w:lineRule="exact"/>
        <w:ind w:firstLine="422" w:firstLineChars="200"/>
        <w:rPr>
          <w:rFonts w:hint="eastAsia" w:ascii="宋体" w:hAnsi="宋体" w:eastAsia="宋体" w:cs="宋体"/>
          <w:color w:val="auto"/>
          <w:szCs w:val="21"/>
          <w:highlight w:val="none"/>
        </w:rPr>
      </w:pPr>
      <w:r>
        <w:rPr>
          <w:rFonts w:hint="eastAsia" w:ascii="宋体" w:hAnsi="宋体" w:eastAsia="宋体" w:cs="宋体"/>
          <w:b/>
          <w:color w:val="auto"/>
          <w:szCs w:val="21"/>
          <w:highlight w:val="none"/>
        </w:rPr>
        <w:t>第三条　权利保证</w:t>
      </w:r>
    </w:p>
    <w:p w14:paraId="78BE1DEB">
      <w:pPr>
        <w:snapToGrid w:val="0"/>
        <w:spacing w:line="32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乙方应保证所提供的最终服务不会侵犯任何第三方的专利权、商标权、工业设计权、著作权或其他权利。</w:t>
      </w:r>
    </w:p>
    <w:p w14:paraId="2DFF0557">
      <w:pPr>
        <w:snapToGrid w:val="0"/>
        <w:spacing w:line="32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乙方应按招标文件规定的时间向甲方提供最终服务成果的有关技术资料。</w:t>
      </w:r>
    </w:p>
    <w:p w14:paraId="3DF2BA41">
      <w:pPr>
        <w:snapToGrid w:val="0"/>
        <w:spacing w:line="32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没有甲方事先书面同意，乙方不得将由甲方提供的有关合同或任何合同条文、规格、计划、图纸、样品或资料提供给与履行本合同无关的任何其他人。即使向履行本合同有关的人员提供，也应注意保密并限于履行合同的必需范围。</w:t>
      </w:r>
    </w:p>
    <w:p w14:paraId="24B720FE">
      <w:pPr>
        <w:snapToGrid w:val="0"/>
        <w:spacing w:line="32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乙方所交付的规划及专项课题研究成果知识产权归甲方所有。</w:t>
      </w:r>
    </w:p>
    <w:p w14:paraId="134D7E11">
      <w:pPr>
        <w:snapToGrid w:val="0"/>
        <w:spacing w:line="320" w:lineRule="exact"/>
        <w:ind w:firstLine="422" w:firstLineChars="200"/>
        <w:rPr>
          <w:rFonts w:hint="eastAsia" w:ascii="宋体" w:hAnsi="宋体" w:eastAsia="宋体" w:cs="宋体"/>
          <w:color w:val="auto"/>
          <w:szCs w:val="21"/>
          <w:highlight w:val="none"/>
        </w:rPr>
      </w:pPr>
      <w:r>
        <w:rPr>
          <w:rFonts w:hint="eastAsia" w:ascii="宋体" w:hAnsi="宋体" w:eastAsia="宋体" w:cs="宋体"/>
          <w:b/>
          <w:color w:val="auto"/>
          <w:szCs w:val="21"/>
          <w:highlight w:val="none"/>
        </w:rPr>
        <w:t>第四条　交付和验收</w:t>
      </w:r>
    </w:p>
    <w:p w14:paraId="3DAD42D8">
      <w:pPr>
        <w:snapToGrid w:val="0"/>
        <w:spacing w:line="32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1、交付规划成果时间及地点：。</w:t>
      </w:r>
    </w:p>
    <w:p w14:paraId="35AB727E">
      <w:pPr>
        <w:snapToGrid w:val="0"/>
        <w:spacing w:line="32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2、乙方提供不符合招投标文件和本合同规定的服务成果，甲方有权拒绝接受。</w:t>
      </w:r>
    </w:p>
    <w:p w14:paraId="5A9A1FA4">
      <w:pPr>
        <w:snapToGrid w:val="0"/>
        <w:spacing w:line="32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3、乙方应按要求提交服务成果材料，如有缺失应及时补齐，否则视为逾期交付。</w:t>
      </w:r>
    </w:p>
    <w:p w14:paraId="514C9654">
      <w:pPr>
        <w:snapToGrid w:val="0"/>
        <w:spacing w:line="32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4、甲方对验收有异议的，在验收后五个工作日内以书面形式向乙方提出，乙方应自收到甲方书面异议后</w:t>
      </w:r>
      <w:r>
        <w:rPr>
          <w:rFonts w:hint="eastAsia" w:ascii="宋体" w:hAnsi="宋体" w:eastAsia="宋体" w:cs="宋体"/>
          <w:color w:val="auto"/>
          <w:szCs w:val="21"/>
          <w:highlight w:val="none"/>
          <w:u w:val="single"/>
        </w:rPr>
        <w:t xml:space="preserve"> 5个工作 </w:t>
      </w:r>
      <w:r>
        <w:rPr>
          <w:rFonts w:hint="eastAsia" w:ascii="宋体" w:hAnsi="宋体" w:eastAsia="宋体" w:cs="宋体"/>
          <w:color w:val="auto"/>
          <w:szCs w:val="21"/>
          <w:highlight w:val="none"/>
        </w:rPr>
        <w:t>日内及时予以解决。</w:t>
      </w:r>
    </w:p>
    <w:p w14:paraId="50D65DEA">
      <w:pPr>
        <w:snapToGrid w:val="0"/>
        <w:spacing w:line="320" w:lineRule="exact"/>
        <w:ind w:firstLine="422" w:firstLineChars="200"/>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第五条  服务、质量保证期</w:t>
      </w:r>
    </w:p>
    <w:p w14:paraId="60EC34D5">
      <w:pPr>
        <w:snapToGrid w:val="0"/>
        <w:spacing w:line="32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1、乙方应按照国家有关法律法规以及招投标文件和本合同所附的《服务承诺》，为甲方提供售后服务。</w:t>
      </w:r>
    </w:p>
    <w:p w14:paraId="77DB11A4">
      <w:pPr>
        <w:snapToGrid w:val="0"/>
        <w:spacing w:line="320" w:lineRule="exact"/>
        <w:ind w:firstLine="420" w:firstLineChars="200"/>
        <w:rPr>
          <w:rFonts w:hint="eastAsia" w:ascii="宋体" w:hAnsi="宋体" w:eastAsia="宋体" w:cs="宋体"/>
          <w:color w:val="auto"/>
          <w:szCs w:val="21"/>
          <w:highlight w:val="none"/>
          <w:u w:val="single"/>
        </w:rPr>
      </w:pPr>
      <w:r>
        <w:rPr>
          <w:rFonts w:hint="eastAsia" w:ascii="宋体" w:hAnsi="宋体" w:eastAsia="宋体" w:cs="宋体"/>
          <w:color w:val="auto"/>
          <w:szCs w:val="21"/>
          <w:highlight w:val="none"/>
        </w:rPr>
        <w:t>2、乙方提供的服务承诺和售后服务及质量保证期责任等其它具体约定事项。（见合同附件）</w:t>
      </w:r>
    </w:p>
    <w:p w14:paraId="1A547087">
      <w:pPr>
        <w:snapToGrid w:val="0"/>
        <w:spacing w:line="320" w:lineRule="exact"/>
        <w:ind w:firstLine="422" w:firstLineChars="200"/>
        <w:rPr>
          <w:rFonts w:hint="eastAsia" w:ascii="宋体" w:hAnsi="宋体" w:eastAsia="宋体" w:cs="宋体"/>
          <w:color w:val="auto"/>
          <w:szCs w:val="21"/>
          <w:highlight w:val="none"/>
        </w:rPr>
      </w:pPr>
      <w:r>
        <w:rPr>
          <w:rFonts w:hint="eastAsia" w:ascii="宋体" w:hAnsi="宋体" w:eastAsia="宋体" w:cs="宋体"/>
          <w:b/>
          <w:color w:val="auto"/>
          <w:szCs w:val="21"/>
          <w:highlight w:val="none"/>
        </w:rPr>
        <w:t>第六条　付款方式和保证金</w:t>
      </w:r>
    </w:p>
    <w:p w14:paraId="39DA308D">
      <w:pPr>
        <w:snapToGrid w:val="0"/>
        <w:spacing w:line="320" w:lineRule="exact"/>
        <w:ind w:firstLine="420" w:firstLineChars="200"/>
        <w:rPr>
          <w:rFonts w:hint="eastAsia" w:ascii="宋体" w:hAnsi="宋体" w:eastAsia="宋体" w:cs="宋体"/>
          <w:color w:val="auto"/>
          <w:kern w:val="0"/>
          <w:sz w:val="20"/>
          <w:szCs w:val="21"/>
          <w:highlight w:val="none"/>
          <w:u w:val="single"/>
        </w:rPr>
      </w:pPr>
      <w:r>
        <w:rPr>
          <w:rFonts w:hint="eastAsia" w:ascii="宋体" w:hAnsi="宋体" w:eastAsia="宋体" w:cs="宋体"/>
          <w:color w:val="auto"/>
          <w:szCs w:val="21"/>
          <w:highlight w:val="none"/>
        </w:rPr>
        <w:t>1、资金性质：  财政性资金  。</w:t>
      </w:r>
    </w:p>
    <w:p w14:paraId="00632D27">
      <w:pPr>
        <w:snapToGrid w:val="0"/>
        <w:spacing w:line="320" w:lineRule="exact"/>
        <w:ind w:left="-61" w:firstLine="514"/>
        <w:rPr>
          <w:rFonts w:hint="eastAsia" w:ascii="宋体" w:hAnsi="宋体" w:eastAsia="宋体" w:cs="宋体"/>
          <w:color w:val="auto"/>
          <w:szCs w:val="21"/>
          <w:highlight w:val="none"/>
        </w:rPr>
      </w:pPr>
      <w:r>
        <w:rPr>
          <w:rFonts w:hint="eastAsia" w:ascii="宋体" w:hAnsi="宋体" w:eastAsia="宋体" w:cs="宋体"/>
          <w:color w:val="auto"/>
          <w:szCs w:val="21"/>
          <w:highlight w:val="none"/>
        </w:rPr>
        <w:t>2、付款方式：</w:t>
      </w:r>
      <w:r>
        <w:rPr>
          <w:rFonts w:hint="eastAsia" w:ascii="宋体" w:hAnsi="宋体" w:cs="宋体"/>
          <w:color w:val="auto"/>
          <w:szCs w:val="21"/>
          <w:highlight w:val="none"/>
          <w:lang w:val="en-US" w:eastAsia="zh-CN"/>
        </w:rPr>
        <w:t>乙方</w:t>
      </w:r>
      <w:r>
        <w:rPr>
          <w:rFonts w:hint="eastAsia" w:ascii="宋体" w:hAnsi="宋体" w:eastAsia="宋体" w:cs="宋体"/>
          <w:color w:val="auto"/>
          <w:szCs w:val="21"/>
          <w:highlight w:val="none"/>
          <w:lang w:val="en-US" w:eastAsia="zh-CN"/>
        </w:rPr>
        <w:t>须严格按照</w:t>
      </w:r>
      <w:r>
        <w:rPr>
          <w:rFonts w:hint="eastAsia" w:ascii="宋体" w:hAnsi="宋体" w:cs="宋体"/>
          <w:color w:val="auto"/>
          <w:szCs w:val="21"/>
          <w:highlight w:val="none"/>
          <w:lang w:val="en-US" w:eastAsia="zh-CN"/>
        </w:rPr>
        <w:t>甲方</w:t>
      </w:r>
      <w:r>
        <w:rPr>
          <w:rFonts w:hint="eastAsia" w:ascii="宋体" w:hAnsi="宋体" w:eastAsia="宋体" w:cs="宋体"/>
          <w:color w:val="auto"/>
          <w:szCs w:val="21"/>
          <w:highlight w:val="none"/>
          <w:lang w:val="en-US" w:eastAsia="zh-CN"/>
        </w:rPr>
        <w:t>的检测计划开展检测工作，</w:t>
      </w:r>
      <w:r>
        <w:rPr>
          <w:rFonts w:hint="eastAsia" w:ascii="宋体" w:hAnsi="宋体" w:cs="宋体"/>
          <w:color w:val="auto"/>
          <w:szCs w:val="21"/>
          <w:highlight w:val="none"/>
          <w:lang w:val="en-US" w:eastAsia="zh-CN"/>
        </w:rPr>
        <w:t>甲方</w:t>
      </w:r>
      <w:r>
        <w:rPr>
          <w:rFonts w:hint="eastAsia" w:ascii="宋体" w:hAnsi="宋体" w:eastAsia="宋体" w:cs="宋体"/>
          <w:color w:val="auto"/>
          <w:szCs w:val="21"/>
          <w:highlight w:val="none"/>
          <w:lang w:val="en-US" w:eastAsia="zh-CN"/>
        </w:rPr>
        <w:t>结合实际完成工作量分阶段支付款项，具体安排如下：</w:t>
      </w:r>
    </w:p>
    <w:p w14:paraId="62CE7ECF">
      <w:pPr>
        <w:snapToGrid w:val="0"/>
        <w:spacing w:line="320" w:lineRule="exact"/>
        <w:ind w:left="-61" w:firstLine="514"/>
        <w:rPr>
          <w:rFonts w:hint="eastAsia" w:ascii="宋体" w:hAnsi="宋体" w:eastAsia="宋体" w:cs="宋体"/>
          <w:color w:val="auto"/>
          <w:szCs w:val="21"/>
          <w:highlight w:val="none"/>
        </w:rPr>
      </w:pPr>
      <w:r>
        <w:rPr>
          <w:rFonts w:hint="eastAsia" w:ascii="宋体" w:hAnsi="宋体" w:cs="宋体"/>
          <w:color w:val="auto"/>
          <w:szCs w:val="21"/>
          <w:highlight w:val="none"/>
          <w:lang w:val="en-US" w:eastAsia="zh-CN"/>
        </w:rPr>
        <w:t>2.1</w:t>
      </w:r>
      <w:r>
        <w:rPr>
          <w:rFonts w:hint="eastAsia" w:ascii="宋体" w:hAnsi="宋体" w:eastAsia="宋体" w:cs="宋体"/>
          <w:color w:val="auto"/>
          <w:szCs w:val="21"/>
          <w:highlight w:val="none"/>
        </w:rPr>
        <w:t>预付款：合同签订生效之日起 20 个工作日内，支付合同总金额的 25%；</w:t>
      </w:r>
    </w:p>
    <w:p w14:paraId="591DF7D3">
      <w:pPr>
        <w:snapToGrid w:val="0"/>
        <w:spacing w:line="320" w:lineRule="exact"/>
        <w:ind w:left="-61" w:firstLine="514"/>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2.</w:t>
      </w:r>
      <w:r>
        <w:rPr>
          <w:rFonts w:hint="eastAsia" w:ascii="宋体" w:hAnsi="宋体" w:cs="宋体"/>
          <w:color w:val="auto"/>
          <w:szCs w:val="21"/>
          <w:highlight w:val="none"/>
          <w:lang w:val="en-US" w:eastAsia="zh-CN"/>
        </w:rPr>
        <w:t>2</w:t>
      </w:r>
      <w:r>
        <w:rPr>
          <w:rFonts w:hint="eastAsia" w:ascii="宋体" w:hAnsi="宋体" w:eastAsia="宋体" w:cs="宋体"/>
          <w:color w:val="auto"/>
          <w:szCs w:val="21"/>
          <w:highlight w:val="none"/>
        </w:rPr>
        <w:t>第一期进度款：2026 年 9 月</w:t>
      </w:r>
      <w:r>
        <w:rPr>
          <w:rFonts w:hint="eastAsia" w:ascii="宋体" w:hAnsi="宋体" w:eastAsia="宋体" w:cs="宋体"/>
          <w:color w:val="auto"/>
          <w:szCs w:val="21"/>
          <w:highlight w:val="none"/>
          <w:lang w:val="en-US" w:eastAsia="zh-CN"/>
        </w:rPr>
        <w:t>底</w:t>
      </w:r>
      <w:r>
        <w:rPr>
          <w:rFonts w:hint="eastAsia" w:ascii="宋体" w:hAnsi="宋体" w:cs="宋体"/>
          <w:color w:val="auto"/>
          <w:szCs w:val="21"/>
          <w:highlight w:val="none"/>
          <w:lang w:val="en-US" w:eastAsia="zh-CN"/>
        </w:rPr>
        <w:t>前</w:t>
      </w:r>
      <w:r>
        <w:rPr>
          <w:rFonts w:hint="eastAsia" w:ascii="宋体" w:hAnsi="宋体" w:eastAsia="宋体" w:cs="宋体"/>
          <w:color w:val="auto"/>
          <w:szCs w:val="21"/>
          <w:highlight w:val="none"/>
        </w:rPr>
        <w:t>，</w:t>
      </w:r>
      <w:r>
        <w:rPr>
          <w:rFonts w:hint="eastAsia" w:ascii="宋体" w:hAnsi="宋体" w:cs="宋体"/>
          <w:color w:val="auto"/>
          <w:szCs w:val="21"/>
          <w:highlight w:val="none"/>
          <w:lang w:val="en-US" w:eastAsia="zh-CN"/>
        </w:rPr>
        <w:t>乙方</w:t>
      </w:r>
      <w:r>
        <w:rPr>
          <w:rFonts w:hint="eastAsia" w:ascii="宋体" w:hAnsi="宋体" w:eastAsia="宋体" w:cs="宋体"/>
          <w:color w:val="auto"/>
          <w:szCs w:val="21"/>
          <w:highlight w:val="none"/>
        </w:rPr>
        <w:t>提交进度款支付申请，</w:t>
      </w:r>
      <w:r>
        <w:rPr>
          <w:rFonts w:hint="eastAsia" w:ascii="宋体" w:hAnsi="宋体" w:cs="宋体"/>
          <w:color w:val="auto"/>
          <w:szCs w:val="21"/>
          <w:highlight w:val="none"/>
          <w:lang w:val="en-US" w:eastAsia="zh-CN"/>
        </w:rPr>
        <w:t>甲方</w:t>
      </w:r>
      <w:r>
        <w:rPr>
          <w:rFonts w:hint="eastAsia" w:ascii="宋体" w:hAnsi="宋体" w:eastAsia="宋体" w:cs="宋体"/>
          <w:color w:val="auto"/>
          <w:szCs w:val="21"/>
          <w:highlight w:val="none"/>
        </w:rPr>
        <w:t>审核无误后，支付合同总金额的 10%；</w:t>
      </w:r>
    </w:p>
    <w:p w14:paraId="5D6D44A3">
      <w:pPr>
        <w:snapToGrid w:val="0"/>
        <w:spacing w:line="320" w:lineRule="exact"/>
        <w:ind w:left="-61" w:firstLine="514"/>
        <w:rPr>
          <w:rFonts w:hint="eastAsia" w:ascii="宋体" w:hAnsi="宋体" w:eastAsia="宋体" w:cs="宋体"/>
          <w:color w:val="auto"/>
          <w:szCs w:val="21"/>
          <w:highlight w:val="none"/>
        </w:rPr>
      </w:pPr>
      <w:r>
        <w:rPr>
          <w:rFonts w:hint="eastAsia" w:ascii="宋体" w:hAnsi="宋体" w:cs="宋体"/>
          <w:color w:val="auto"/>
          <w:szCs w:val="21"/>
          <w:highlight w:val="none"/>
          <w:lang w:val="en-US" w:eastAsia="zh-CN"/>
        </w:rPr>
        <w:t>2.3</w:t>
      </w:r>
      <w:r>
        <w:rPr>
          <w:rFonts w:hint="eastAsia" w:ascii="宋体" w:hAnsi="宋体" w:eastAsia="宋体" w:cs="宋体"/>
          <w:color w:val="auto"/>
          <w:szCs w:val="21"/>
          <w:highlight w:val="none"/>
        </w:rPr>
        <w:t>第二期进度款：2027 年 3 月</w:t>
      </w:r>
      <w:r>
        <w:rPr>
          <w:rFonts w:hint="eastAsia" w:ascii="宋体" w:hAnsi="宋体" w:eastAsia="宋体" w:cs="宋体"/>
          <w:color w:val="auto"/>
          <w:szCs w:val="21"/>
          <w:highlight w:val="none"/>
          <w:lang w:val="en-US" w:eastAsia="zh-CN"/>
        </w:rPr>
        <w:t>底</w:t>
      </w:r>
      <w:r>
        <w:rPr>
          <w:rFonts w:hint="eastAsia" w:ascii="宋体" w:hAnsi="宋体" w:cs="宋体"/>
          <w:color w:val="auto"/>
          <w:szCs w:val="21"/>
          <w:highlight w:val="none"/>
          <w:lang w:val="en-US" w:eastAsia="zh-CN"/>
        </w:rPr>
        <w:t>前</w:t>
      </w:r>
      <w:r>
        <w:rPr>
          <w:rFonts w:hint="eastAsia" w:ascii="宋体" w:hAnsi="宋体" w:eastAsia="宋体" w:cs="宋体"/>
          <w:color w:val="auto"/>
          <w:szCs w:val="21"/>
          <w:highlight w:val="none"/>
        </w:rPr>
        <w:t>，</w:t>
      </w:r>
      <w:r>
        <w:rPr>
          <w:rFonts w:hint="eastAsia" w:ascii="宋体" w:hAnsi="宋体" w:cs="宋体"/>
          <w:color w:val="auto"/>
          <w:szCs w:val="21"/>
          <w:highlight w:val="none"/>
          <w:lang w:val="en-US" w:eastAsia="zh-CN"/>
        </w:rPr>
        <w:t>乙方</w:t>
      </w:r>
      <w:r>
        <w:rPr>
          <w:rFonts w:hint="eastAsia" w:ascii="宋体" w:hAnsi="宋体" w:eastAsia="宋体" w:cs="宋体"/>
          <w:color w:val="auto"/>
          <w:szCs w:val="21"/>
          <w:highlight w:val="none"/>
        </w:rPr>
        <w:t>提交进度款支付申请，</w:t>
      </w:r>
      <w:r>
        <w:rPr>
          <w:rFonts w:hint="eastAsia" w:ascii="宋体" w:hAnsi="宋体" w:cs="宋体"/>
          <w:color w:val="auto"/>
          <w:szCs w:val="21"/>
          <w:highlight w:val="none"/>
          <w:lang w:val="en-US" w:eastAsia="zh-CN"/>
        </w:rPr>
        <w:t>甲方</w:t>
      </w:r>
      <w:r>
        <w:rPr>
          <w:rFonts w:hint="eastAsia" w:ascii="宋体" w:hAnsi="宋体" w:eastAsia="宋体" w:cs="宋体"/>
          <w:color w:val="auto"/>
          <w:szCs w:val="21"/>
          <w:highlight w:val="none"/>
        </w:rPr>
        <w:t>审核无误后，支付合同总金额的 30%；</w:t>
      </w:r>
    </w:p>
    <w:p w14:paraId="55308F64">
      <w:pPr>
        <w:snapToGrid w:val="0"/>
        <w:spacing w:line="320" w:lineRule="exact"/>
        <w:ind w:left="-61" w:firstLine="514"/>
        <w:rPr>
          <w:rFonts w:hint="eastAsia" w:ascii="宋体" w:hAnsi="宋体" w:eastAsia="宋体" w:cs="宋体"/>
          <w:color w:val="auto"/>
          <w:szCs w:val="21"/>
          <w:highlight w:val="none"/>
        </w:rPr>
      </w:pPr>
      <w:r>
        <w:rPr>
          <w:rFonts w:hint="eastAsia" w:ascii="宋体" w:hAnsi="宋体" w:cs="宋体"/>
          <w:color w:val="auto"/>
          <w:szCs w:val="21"/>
          <w:highlight w:val="none"/>
          <w:lang w:val="en-US" w:eastAsia="zh-CN"/>
        </w:rPr>
        <w:t>2.4</w:t>
      </w:r>
      <w:r>
        <w:rPr>
          <w:rFonts w:hint="eastAsia" w:ascii="宋体" w:hAnsi="宋体" w:eastAsia="宋体" w:cs="宋体"/>
          <w:color w:val="auto"/>
          <w:szCs w:val="21"/>
          <w:highlight w:val="none"/>
        </w:rPr>
        <w:t>尾款：项目履约期满，</w:t>
      </w:r>
      <w:r>
        <w:rPr>
          <w:rFonts w:hint="eastAsia" w:ascii="宋体" w:hAnsi="宋体" w:cs="宋体"/>
          <w:color w:val="auto"/>
          <w:szCs w:val="21"/>
          <w:highlight w:val="none"/>
          <w:lang w:val="en-US" w:eastAsia="zh-CN"/>
        </w:rPr>
        <w:t>乙方</w:t>
      </w:r>
      <w:r>
        <w:rPr>
          <w:rFonts w:hint="eastAsia" w:ascii="宋体" w:hAnsi="宋体" w:eastAsia="宋体" w:cs="宋体"/>
          <w:color w:val="auto"/>
          <w:szCs w:val="21"/>
          <w:highlight w:val="none"/>
        </w:rPr>
        <w:t>提交完整验收资料，</w:t>
      </w:r>
      <w:r>
        <w:rPr>
          <w:rFonts w:hint="eastAsia" w:ascii="宋体" w:hAnsi="宋体" w:cs="宋体"/>
          <w:color w:val="auto"/>
          <w:szCs w:val="21"/>
          <w:highlight w:val="none"/>
          <w:lang w:val="en-US" w:eastAsia="zh-CN"/>
        </w:rPr>
        <w:t>甲方</w:t>
      </w:r>
      <w:r>
        <w:rPr>
          <w:rFonts w:hint="eastAsia" w:ascii="宋体" w:hAnsi="宋体" w:eastAsia="宋体" w:cs="宋体"/>
          <w:color w:val="auto"/>
          <w:szCs w:val="21"/>
          <w:highlight w:val="none"/>
        </w:rPr>
        <w:t>审核无误后，支付合同剩余款项（合同总金额的 35%）。</w:t>
      </w:r>
    </w:p>
    <w:p w14:paraId="218347B4">
      <w:pPr>
        <w:snapToGrid w:val="0"/>
        <w:spacing w:line="320" w:lineRule="exact"/>
        <w:ind w:left="-61" w:firstLine="514"/>
        <w:rPr>
          <w:rFonts w:hint="eastAsia" w:ascii="宋体" w:hAnsi="宋体" w:eastAsia="宋体" w:cs="宋体"/>
          <w:color w:val="auto"/>
          <w:szCs w:val="21"/>
          <w:highlight w:val="none"/>
        </w:rPr>
      </w:pPr>
      <w:r>
        <w:rPr>
          <w:rFonts w:hint="eastAsia" w:ascii="宋体" w:hAnsi="宋体" w:cs="宋体"/>
          <w:color w:val="auto"/>
          <w:szCs w:val="21"/>
          <w:highlight w:val="none"/>
          <w:lang w:val="en-US" w:eastAsia="zh-CN"/>
        </w:rPr>
        <w:t>2.5</w:t>
      </w:r>
      <w:r>
        <w:rPr>
          <w:rFonts w:hint="eastAsia" w:ascii="宋体" w:hAnsi="宋体" w:eastAsia="宋体" w:cs="宋体"/>
          <w:color w:val="auto"/>
          <w:szCs w:val="21"/>
          <w:highlight w:val="none"/>
        </w:rPr>
        <w:t>所有款项支付前，</w:t>
      </w:r>
      <w:r>
        <w:rPr>
          <w:rFonts w:hint="eastAsia" w:ascii="宋体" w:hAnsi="宋体" w:cs="宋体"/>
          <w:color w:val="auto"/>
          <w:szCs w:val="21"/>
          <w:highlight w:val="none"/>
          <w:lang w:eastAsia="zh-CN"/>
        </w:rPr>
        <w:t>乙方</w:t>
      </w:r>
      <w:r>
        <w:rPr>
          <w:rFonts w:hint="eastAsia" w:ascii="宋体" w:hAnsi="宋体" w:cs="宋体"/>
          <w:color w:val="auto"/>
          <w:szCs w:val="21"/>
          <w:highlight w:val="none"/>
          <w:lang w:val="en-US" w:eastAsia="zh-CN"/>
        </w:rPr>
        <w:t>须</w:t>
      </w:r>
      <w:r>
        <w:rPr>
          <w:rFonts w:hint="eastAsia" w:ascii="宋体" w:hAnsi="宋体" w:eastAsia="宋体" w:cs="宋体"/>
          <w:color w:val="auto"/>
          <w:szCs w:val="21"/>
          <w:highlight w:val="none"/>
        </w:rPr>
        <w:t>提交等额增值税发票，未按要求提供发票的，</w:t>
      </w:r>
      <w:r>
        <w:rPr>
          <w:rFonts w:hint="eastAsia" w:ascii="宋体" w:hAnsi="宋体" w:cs="宋体"/>
          <w:color w:val="auto"/>
          <w:szCs w:val="21"/>
          <w:highlight w:val="none"/>
          <w:lang w:eastAsia="zh-CN"/>
        </w:rPr>
        <w:t>甲方</w:t>
      </w:r>
      <w:r>
        <w:rPr>
          <w:rFonts w:hint="eastAsia" w:ascii="宋体" w:hAnsi="宋体" w:eastAsia="宋体" w:cs="宋体"/>
          <w:color w:val="auto"/>
          <w:szCs w:val="21"/>
          <w:highlight w:val="none"/>
        </w:rPr>
        <w:t>可暂缓支付，不承担逾期付款责任</w:t>
      </w:r>
      <w:r>
        <w:rPr>
          <w:rFonts w:hint="eastAsia" w:ascii="宋体" w:hAnsi="宋体" w:eastAsia="宋体" w:cs="宋体"/>
          <w:b/>
          <w:bCs/>
          <w:color w:val="auto"/>
          <w:szCs w:val="21"/>
          <w:highlight w:val="none"/>
          <w:lang w:val="en-US" w:eastAsia="zh-CN"/>
        </w:rPr>
        <w:t>。</w:t>
      </w:r>
    </w:p>
    <w:p w14:paraId="19DB6108">
      <w:pPr>
        <w:snapToGrid w:val="0"/>
        <w:spacing w:line="320" w:lineRule="exact"/>
        <w:ind w:left="-61" w:leftChars="-29" w:firstLine="517" w:firstLineChars="245"/>
        <w:rPr>
          <w:rFonts w:hint="eastAsia" w:ascii="宋体" w:hAnsi="宋体" w:eastAsia="宋体" w:cs="宋体"/>
          <w:b/>
          <w:color w:val="auto"/>
          <w:kern w:val="0"/>
          <w:szCs w:val="21"/>
          <w:highlight w:val="none"/>
        </w:rPr>
      </w:pPr>
      <w:r>
        <w:rPr>
          <w:rFonts w:hint="eastAsia" w:ascii="宋体" w:hAnsi="宋体" w:eastAsia="宋体" w:cs="宋体"/>
          <w:b/>
          <w:color w:val="auto"/>
          <w:kern w:val="0"/>
          <w:szCs w:val="21"/>
          <w:highlight w:val="none"/>
        </w:rPr>
        <w:t>第七条　履约保证金</w:t>
      </w:r>
    </w:p>
    <w:p w14:paraId="02FD2BDA">
      <w:pPr>
        <w:snapToGrid w:val="0"/>
        <w:spacing w:line="320" w:lineRule="exact"/>
        <w:ind w:left="-61" w:firstLine="514"/>
        <w:rPr>
          <w:rFonts w:hint="eastAsia" w:ascii="宋体" w:hAnsi="宋体" w:eastAsia="宋体" w:cs="宋体"/>
          <w:color w:val="auto"/>
          <w:kern w:val="0"/>
          <w:sz w:val="20"/>
          <w:szCs w:val="21"/>
          <w:highlight w:val="none"/>
        </w:rPr>
      </w:pPr>
      <w:r>
        <w:rPr>
          <w:rFonts w:hint="eastAsia" w:ascii="宋体" w:hAnsi="宋体" w:eastAsia="宋体" w:cs="宋体"/>
          <w:color w:val="auto"/>
          <w:szCs w:val="21"/>
          <w:highlight w:val="none"/>
        </w:rPr>
        <w:t>履约保证金：合同金额 5%</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lang w:val="en-US" w:eastAsia="zh-CN"/>
        </w:rPr>
        <w:t>如果</w:t>
      </w:r>
      <w:r>
        <w:rPr>
          <w:rFonts w:hint="eastAsia" w:ascii="宋体" w:hAnsi="宋体" w:cs="宋体"/>
          <w:color w:val="auto"/>
          <w:szCs w:val="21"/>
          <w:highlight w:val="none"/>
          <w:lang w:val="en-US" w:eastAsia="zh-CN"/>
        </w:rPr>
        <w:t>乙方</w:t>
      </w:r>
      <w:r>
        <w:rPr>
          <w:rFonts w:hint="eastAsia" w:ascii="宋体" w:hAnsi="宋体" w:eastAsia="宋体" w:cs="宋体"/>
          <w:color w:val="auto"/>
          <w:szCs w:val="21"/>
          <w:highlight w:val="none"/>
          <w:lang w:val="en-US" w:eastAsia="zh-CN"/>
        </w:rPr>
        <w:t>为</w:t>
      </w:r>
      <w:r>
        <w:rPr>
          <w:rFonts w:hint="eastAsia" w:ascii="宋体" w:hAnsi="宋体" w:eastAsia="宋体" w:cs="宋体"/>
          <w:color w:val="auto"/>
          <w:szCs w:val="21"/>
          <w:highlight w:val="none"/>
          <w:lang w:eastAsia="zh-CN"/>
        </w:rPr>
        <w:t>中小企业</w:t>
      </w:r>
      <w:r>
        <w:rPr>
          <w:rFonts w:hint="eastAsia" w:ascii="宋体" w:hAnsi="宋体" w:eastAsia="宋体" w:cs="宋体"/>
          <w:color w:val="auto"/>
          <w:szCs w:val="21"/>
          <w:highlight w:val="none"/>
          <w:lang w:val="en-US" w:eastAsia="zh-CN"/>
        </w:rPr>
        <w:t>的，</w:t>
      </w:r>
      <w:r>
        <w:rPr>
          <w:rFonts w:hint="eastAsia" w:ascii="宋体" w:hAnsi="宋体" w:eastAsia="宋体" w:cs="宋体"/>
          <w:color w:val="auto"/>
          <w:szCs w:val="21"/>
          <w:highlight w:val="none"/>
          <w:lang w:eastAsia="zh-CN"/>
        </w:rPr>
        <w:t>收取的履约保证金</w:t>
      </w:r>
      <w:r>
        <w:rPr>
          <w:rFonts w:hint="eastAsia" w:ascii="宋体" w:hAnsi="宋体" w:eastAsia="宋体" w:cs="宋体"/>
          <w:color w:val="auto"/>
          <w:szCs w:val="21"/>
          <w:highlight w:val="none"/>
          <w:lang w:val="en-US" w:eastAsia="zh-CN"/>
        </w:rPr>
        <w:t>为</w:t>
      </w:r>
      <w:r>
        <w:rPr>
          <w:rFonts w:hint="eastAsia" w:ascii="宋体" w:hAnsi="宋体" w:eastAsia="宋体" w:cs="宋体"/>
          <w:color w:val="auto"/>
          <w:szCs w:val="21"/>
          <w:highlight w:val="none"/>
          <w:lang w:eastAsia="zh-CN"/>
        </w:rPr>
        <w:t>合同金额的2%）</w:t>
      </w:r>
      <w:r>
        <w:rPr>
          <w:rFonts w:hint="eastAsia" w:ascii="宋体" w:hAnsi="宋体" w:eastAsia="宋体" w:cs="宋体"/>
          <w:color w:val="auto"/>
          <w:szCs w:val="21"/>
          <w:highlight w:val="none"/>
        </w:rPr>
        <w:t>；</w:t>
      </w:r>
    </w:p>
    <w:p w14:paraId="5597EF3B">
      <w:pPr>
        <w:snapToGrid w:val="0"/>
        <w:spacing w:line="320" w:lineRule="exact"/>
        <w:ind w:left="-61" w:firstLine="514"/>
        <w:rPr>
          <w:rFonts w:hint="eastAsia" w:ascii="宋体" w:hAnsi="宋体" w:eastAsia="宋体" w:cs="宋体"/>
          <w:color w:val="auto"/>
          <w:szCs w:val="21"/>
          <w:highlight w:val="none"/>
        </w:rPr>
      </w:pPr>
      <w:r>
        <w:rPr>
          <w:rFonts w:hint="eastAsia" w:ascii="宋体" w:hAnsi="宋体" w:eastAsia="宋体" w:cs="宋体"/>
          <w:color w:val="auto"/>
          <w:szCs w:val="21"/>
          <w:highlight w:val="none"/>
        </w:rPr>
        <w:t>提交履约担保的时间：</w:t>
      </w:r>
      <w:r>
        <w:rPr>
          <w:rFonts w:hint="eastAsia" w:ascii="宋体" w:hAnsi="宋体" w:eastAsia="宋体" w:cs="宋体"/>
          <w:color w:val="auto"/>
          <w:szCs w:val="21"/>
          <w:highlight w:val="none"/>
          <w:u w:val="single"/>
        </w:rPr>
        <w:t xml:space="preserve"> 签订合同之前  </w:t>
      </w:r>
      <w:r>
        <w:rPr>
          <w:rFonts w:hint="eastAsia" w:ascii="宋体" w:hAnsi="宋体" w:eastAsia="宋体" w:cs="宋体"/>
          <w:color w:val="auto"/>
          <w:szCs w:val="21"/>
          <w:highlight w:val="none"/>
        </w:rPr>
        <w:t>。</w:t>
      </w:r>
    </w:p>
    <w:p w14:paraId="373CA593">
      <w:pPr>
        <w:snapToGrid w:val="0"/>
        <w:spacing w:line="320" w:lineRule="exact"/>
        <w:ind w:left="-61" w:firstLine="514"/>
        <w:rPr>
          <w:rFonts w:hint="eastAsia" w:ascii="宋体" w:hAnsi="宋体" w:eastAsia="宋体" w:cs="宋体"/>
          <w:color w:val="auto"/>
          <w:szCs w:val="21"/>
          <w:highlight w:val="none"/>
        </w:rPr>
      </w:pPr>
      <w:r>
        <w:rPr>
          <w:rFonts w:hint="eastAsia" w:ascii="宋体" w:hAnsi="宋体" w:eastAsia="宋体" w:cs="宋体"/>
          <w:color w:val="auto"/>
          <w:szCs w:val="21"/>
          <w:highlight w:val="none"/>
        </w:rPr>
        <w:t>履约保证金的形式为：银行转账、银行保函。合同履行完毕后（</w:t>
      </w:r>
      <w:r>
        <w:rPr>
          <w:rFonts w:hint="eastAsia" w:ascii="宋体" w:hAnsi="宋体" w:cs="宋体"/>
          <w:color w:val="auto"/>
          <w:szCs w:val="21"/>
          <w:highlight w:val="none"/>
          <w:lang w:eastAsia="zh-CN"/>
        </w:rPr>
        <w:t>乙方</w:t>
      </w:r>
      <w:r>
        <w:rPr>
          <w:rFonts w:hint="eastAsia" w:ascii="宋体" w:hAnsi="宋体" w:eastAsia="宋体" w:cs="宋体"/>
          <w:color w:val="auto"/>
          <w:szCs w:val="21"/>
          <w:highlight w:val="none"/>
        </w:rPr>
        <w:t>未发生违约行为的）无息退还。如采用银行保函的，需事先报</w:t>
      </w:r>
      <w:r>
        <w:rPr>
          <w:rFonts w:hint="eastAsia" w:ascii="宋体" w:hAnsi="宋体" w:cs="宋体"/>
          <w:color w:val="auto"/>
          <w:szCs w:val="21"/>
          <w:highlight w:val="none"/>
          <w:lang w:eastAsia="zh-CN"/>
        </w:rPr>
        <w:t>甲方</w:t>
      </w:r>
      <w:r>
        <w:rPr>
          <w:rFonts w:hint="eastAsia" w:ascii="宋体" w:hAnsi="宋体" w:eastAsia="宋体" w:cs="宋体"/>
          <w:color w:val="auto"/>
          <w:szCs w:val="21"/>
          <w:highlight w:val="none"/>
        </w:rPr>
        <w:t>核准。</w:t>
      </w:r>
    </w:p>
    <w:p w14:paraId="38DC13EA">
      <w:pPr>
        <w:snapToGrid w:val="0"/>
        <w:spacing w:line="320" w:lineRule="exact"/>
        <w:ind w:left="-61" w:firstLine="514"/>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rPr>
        <w:t>保证金缴纳的账号信息</w:t>
      </w:r>
      <w:r>
        <w:rPr>
          <w:rFonts w:hint="eastAsia" w:ascii="宋体" w:hAnsi="宋体" w:eastAsia="宋体" w:cs="宋体"/>
          <w:color w:val="auto"/>
          <w:szCs w:val="21"/>
          <w:highlight w:val="none"/>
          <w:lang w:eastAsia="zh-CN"/>
        </w:rPr>
        <w:t>：</w:t>
      </w:r>
    </w:p>
    <w:p w14:paraId="71C94698">
      <w:pPr>
        <w:snapToGrid w:val="0"/>
        <w:spacing w:line="320" w:lineRule="exact"/>
        <w:ind w:left="-61" w:firstLine="514"/>
        <w:rPr>
          <w:rFonts w:hint="eastAsia" w:ascii="宋体" w:hAnsi="宋体" w:eastAsia="宋体" w:cs="宋体"/>
          <w:color w:val="auto"/>
          <w:szCs w:val="21"/>
          <w:highlight w:val="none"/>
        </w:rPr>
      </w:pPr>
      <w:r>
        <w:rPr>
          <w:rFonts w:hint="eastAsia" w:ascii="宋体" w:hAnsi="宋体" w:eastAsia="宋体" w:cs="宋体"/>
          <w:color w:val="auto"/>
          <w:szCs w:val="21"/>
          <w:highlight w:val="none"/>
        </w:rPr>
        <w:t>户名</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rPr>
        <w:t>广西壮族自治区交通运输综合行政执法局</w:t>
      </w:r>
    </w:p>
    <w:p w14:paraId="390791DB">
      <w:pPr>
        <w:snapToGrid w:val="0"/>
        <w:spacing w:line="320" w:lineRule="exact"/>
        <w:ind w:left="-61" w:firstLine="514"/>
        <w:rPr>
          <w:rFonts w:hint="eastAsia" w:ascii="宋体" w:hAnsi="宋体" w:eastAsia="宋体" w:cs="宋体"/>
          <w:color w:val="auto"/>
          <w:szCs w:val="21"/>
          <w:highlight w:val="none"/>
        </w:rPr>
      </w:pPr>
      <w:r>
        <w:rPr>
          <w:rFonts w:hint="eastAsia" w:ascii="宋体" w:hAnsi="宋体" w:eastAsia="宋体" w:cs="宋体"/>
          <w:color w:val="auto"/>
          <w:szCs w:val="21"/>
          <w:highlight w:val="none"/>
        </w:rPr>
        <w:t>账号</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rPr>
        <w:t>451060309013000948504</w:t>
      </w:r>
    </w:p>
    <w:p w14:paraId="094BFA2F">
      <w:pPr>
        <w:snapToGrid w:val="0"/>
        <w:spacing w:line="320" w:lineRule="exact"/>
        <w:ind w:left="-61" w:firstLine="514"/>
        <w:rPr>
          <w:rFonts w:hint="eastAsia" w:ascii="宋体" w:hAnsi="宋体" w:eastAsia="宋体" w:cs="宋体"/>
          <w:color w:val="auto"/>
          <w:szCs w:val="21"/>
          <w:highlight w:val="none"/>
        </w:rPr>
      </w:pPr>
      <w:r>
        <w:rPr>
          <w:rFonts w:hint="eastAsia" w:ascii="宋体" w:hAnsi="宋体" w:eastAsia="宋体" w:cs="宋体"/>
          <w:color w:val="auto"/>
          <w:szCs w:val="21"/>
          <w:highlight w:val="none"/>
        </w:rPr>
        <w:t>开户行</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rPr>
        <w:t>交通银行南宁金源支行</w:t>
      </w:r>
    </w:p>
    <w:p w14:paraId="70EBB3C2">
      <w:pPr>
        <w:snapToGrid w:val="0"/>
        <w:spacing w:line="320" w:lineRule="exact"/>
        <w:ind w:left="-61" w:firstLine="514"/>
        <w:rPr>
          <w:rFonts w:hint="eastAsia" w:ascii="宋体" w:hAnsi="宋体" w:eastAsia="宋体" w:cs="宋体"/>
          <w:color w:val="auto"/>
          <w:szCs w:val="21"/>
          <w:highlight w:val="none"/>
        </w:rPr>
      </w:pPr>
      <w:r>
        <w:rPr>
          <w:rFonts w:hint="eastAsia" w:ascii="宋体" w:hAnsi="宋体" w:eastAsia="宋体" w:cs="宋体"/>
          <w:color w:val="auto"/>
          <w:szCs w:val="21"/>
          <w:highlight w:val="none"/>
        </w:rPr>
        <w:t>行号</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rPr>
        <w:t>301611000373</w:t>
      </w:r>
    </w:p>
    <w:p w14:paraId="47BC8858">
      <w:pPr>
        <w:snapToGrid w:val="0"/>
        <w:spacing w:line="320" w:lineRule="exact"/>
        <w:ind w:left="-61" w:firstLine="514"/>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第八条  税费</w:t>
      </w:r>
    </w:p>
    <w:p w14:paraId="6B28EAB5">
      <w:pPr>
        <w:snapToGrid w:val="0"/>
        <w:spacing w:line="320" w:lineRule="exact"/>
        <w:ind w:left="-61" w:firstLine="514"/>
        <w:rPr>
          <w:rFonts w:hint="eastAsia" w:ascii="宋体" w:hAnsi="宋体" w:eastAsia="宋体" w:cs="宋体"/>
          <w:color w:val="auto"/>
          <w:szCs w:val="21"/>
          <w:highlight w:val="none"/>
        </w:rPr>
      </w:pPr>
      <w:r>
        <w:rPr>
          <w:rFonts w:hint="eastAsia" w:ascii="宋体" w:hAnsi="宋体" w:eastAsia="宋体" w:cs="宋体"/>
          <w:color w:val="auto"/>
          <w:szCs w:val="21"/>
          <w:highlight w:val="none"/>
        </w:rPr>
        <w:t>本合同执行中相关的一切税费均由乙方负担。</w:t>
      </w:r>
    </w:p>
    <w:p w14:paraId="4695A3EF">
      <w:pPr>
        <w:snapToGrid w:val="0"/>
        <w:spacing w:line="320" w:lineRule="exact"/>
        <w:ind w:left="-61" w:firstLine="514"/>
        <w:rPr>
          <w:rFonts w:hint="eastAsia" w:ascii="宋体" w:hAnsi="宋体" w:eastAsia="宋体" w:cs="宋体"/>
          <w:color w:val="auto"/>
          <w:szCs w:val="21"/>
          <w:highlight w:val="none"/>
        </w:rPr>
      </w:pPr>
      <w:r>
        <w:rPr>
          <w:rFonts w:hint="eastAsia" w:ascii="宋体" w:hAnsi="宋体" w:eastAsia="宋体" w:cs="宋体"/>
          <w:b/>
          <w:color w:val="auto"/>
          <w:szCs w:val="21"/>
          <w:highlight w:val="none"/>
        </w:rPr>
        <w:t>第九条  质量保证及售后服务</w:t>
      </w:r>
    </w:p>
    <w:p w14:paraId="4F8E48D0">
      <w:pPr>
        <w:snapToGrid w:val="0"/>
        <w:spacing w:line="320" w:lineRule="exact"/>
        <w:ind w:firstLine="525" w:firstLineChars="250"/>
        <w:rPr>
          <w:rFonts w:hint="eastAsia" w:ascii="宋体" w:hAnsi="宋体" w:eastAsia="宋体" w:cs="宋体"/>
          <w:color w:val="auto"/>
          <w:szCs w:val="21"/>
          <w:highlight w:val="none"/>
        </w:rPr>
      </w:pPr>
      <w:r>
        <w:rPr>
          <w:rFonts w:hint="eastAsia" w:ascii="宋体" w:hAnsi="宋体" w:eastAsia="宋体" w:cs="宋体"/>
          <w:color w:val="auto"/>
          <w:szCs w:val="21"/>
          <w:highlight w:val="none"/>
        </w:rPr>
        <w:t>乙方应按招标文件规定的服务内容、技术要求、质量标准向甲方提供服务成果。乙方对提交的最终服务成果质量负责。</w:t>
      </w:r>
    </w:p>
    <w:p w14:paraId="19FC2A7D">
      <w:pPr>
        <w:snapToGrid w:val="0"/>
        <w:spacing w:line="320" w:lineRule="exact"/>
        <w:ind w:firstLine="422" w:firstLineChars="200"/>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第十条　违约责任</w:t>
      </w:r>
    </w:p>
    <w:p w14:paraId="7192A348">
      <w:pPr>
        <w:snapToGrid w:val="0"/>
        <w:spacing w:line="320" w:lineRule="exact"/>
        <w:ind w:firstLine="525" w:firstLineChars="250"/>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1、乙方所提供的技术服务、技术标准、材料等质量不合格的，应及时补充或修改，未及时补充或修改的按逾期交货处罚；因质量问题甲方不同意接收的或特殊情况甲方同意接收的，乙方应向甲方支付违约服务款额 5%违约金并赔偿甲方经济损失。                                       </w:t>
      </w:r>
    </w:p>
    <w:p w14:paraId="7ABD297F">
      <w:pPr>
        <w:snapToGrid w:val="0"/>
        <w:spacing w:line="320" w:lineRule="exact"/>
        <w:ind w:firstLine="472" w:firstLineChars="225"/>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2、乙方提供的设计成果如侵犯了第三方合法权益而引发的任何纠纷或诉讼，均由乙方负责交涉并承担全部责任。 </w:t>
      </w:r>
    </w:p>
    <w:p w14:paraId="413B0F90">
      <w:pPr>
        <w:snapToGrid w:val="0"/>
        <w:spacing w:line="320" w:lineRule="exact"/>
        <w:ind w:firstLine="472" w:firstLineChars="225"/>
        <w:rPr>
          <w:rFonts w:hint="eastAsia" w:ascii="宋体" w:hAnsi="宋体" w:eastAsia="宋体" w:cs="宋体"/>
          <w:color w:val="auto"/>
          <w:szCs w:val="21"/>
          <w:highlight w:val="none"/>
        </w:rPr>
      </w:pPr>
      <w:r>
        <w:rPr>
          <w:rFonts w:hint="eastAsia" w:ascii="宋体" w:hAnsi="宋体" w:eastAsia="宋体" w:cs="宋体"/>
          <w:color w:val="auto"/>
          <w:szCs w:val="21"/>
          <w:highlight w:val="none"/>
        </w:rPr>
        <w:t>3、甲方无故延期接收服务成果、乙方逾期交付的，每天向对方偿付违约货款额</w:t>
      </w:r>
      <w:r>
        <w:rPr>
          <w:rFonts w:hint="eastAsia" w:ascii="宋体" w:hAnsi="宋体" w:eastAsia="宋体" w:cs="宋体"/>
          <w:color w:val="auto"/>
          <w:szCs w:val="21"/>
          <w:highlight w:val="none"/>
          <w:u w:val="single"/>
        </w:rPr>
        <w:t>3‰</w:t>
      </w:r>
      <w:r>
        <w:rPr>
          <w:rFonts w:hint="eastAsia" w:ascii="宋体" w:hAnsi="宋体" w:eastAsia="宋体" w:cs="宋体"/>
          <w:color w:val="auto"/>
          <w:szCs w:val="21"/>
          <w:highlight w:val="none"/>
        </w:rPr>
        <w:t>违约金，但违约金累计不得超过违约货款额</w:t>
      </w:r>
      <w:r>
        <w:rPr>
          <w:rFonts w:hint="eastAsia" w:ascii="宋体" w:hAnsi="宋体" w:eastAsia="宋体" w:cs="宋体"/>
          <w:color w:val="auto"/>
          <w:szCs w:val="21"/>
          <w:highlight w:val="none"/>
          <w:u w:val="single"/>
        </w:rPr>
        <w:t>5%</w:t>
      </w:r>
      <w:r>
        <w:rPr>
          <w:rFonts w:hint="eastAsia" w:ascii="宋体" w:hAnsi="宋体" w:eastAsia="宋体" w:cs="宋体"/>
          <w:color w:val="auto"/>
          <w:szCs w:val="21"/>
          <w:highlight w:val="none"/>
        </w:rPr>
        <w:t>，超过</w:t>
      </w:r>
      <w:r>
        <w:rPr>
          <w:rFonts w:hint="eastAsia" w:ascii="宋体" w:hAnsi="宋体" w:eastAsia="宋体" w:cs="宋体"/>
          <w:color w:val="auto"/>
          <w:szCs w:val="21"/>
          <w:highlight w:val="none"/>
          <w:u w:val="single"/>
        </w:rPr>
        <w:t xml:space="preserve"> 15 </w:t>
      </w:r>
      <w:r>
        <w:rPr>
          <w:rFonts w:hint="eastAsia" w:ascii="宋体" w:hAnsi="宋体" w:eastAsia="宋体" w:cs="宋体"/>
          <w:color w:val="auto"/>
          <w:szCs w:val="21"/>
          <w:highlight w:val="none"/>
        </w:rPr>
        <w:t>天对方有权解除合同，违约方承担因此给对方造成经济损失；甲方延期付货款的，每天向乙方偿付延期货款额</w:t>
      </w:r>
      <w:r>
        <w:rPr>
          <w:rFonts w:hint="eastAsia" w:ascii="宋体" w:hAnsi="宋体" w:eastAsia="宋体" w:cs="宋体"/>
          <w:color w:val="auto"/>
          <w:szCs w:val="21"/>
          <w:highlight w:val="none"/>
          <w:u w:val="single"/>
        </w:rPr>
        <w:t>3‰</w:t>
      </w:r>
      <w:r>
        <w:rPr>
          <w:rFonts w:hint="eastAsia" w:ascii="宋体" w:hAnsi="宋体" w:eastAsia="宋体" w:cs="宋体"/>
          <w:color w:val="auto"/>
          <w:szCs w:val="21"/>
          <w:highlight w:val="none"/>
        </w:rPr>
        <w:t>滞纳金，但滞纳金累计不得超过延期货款额</w:t>
      </w:r>
      <w:r>
        <w:rPr>
          <w:rFonts w:hint="eastAsia" w:ascii="宋体" w:hAnsi="宋体" w:eastAsia="宋体" w:cs="宋体"/>
          <w:color w:val="auto"/>
          <w:szCs w:val="21"/>
          <w:highlight w:val="none"/>
          <w:u w:val="single"/>
        </w:rPr>
        <w:t>5%</w:t>
      </w:r>
      <w:r>
        <w:rPr>
          <w:rFonts w:hint="eastAsia" w:ascii="宋体" w:hAnsi="宋体" w:eastAsia="宋体" w:cs="宋体"/>
          <w:color w:val="auto"/>
          <w:szCs w:val="21"/>
          <w:highlight w:val="none"/>
        </w:rPr>
        <w:t>。</w:t>
      </w:r>
    </w:p>
    <w:p w14:paraId="1740CC3A">
      <w:pPr>
        <w:snapToGrid w:val="0"/>
        <w:spacing w:line="32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4、乙方未按本合同和投标文件中规定的服务承诺提供服务的，乙方应按本合同合计金额</w:t>
      </w:r>
      <w:r>
        <w:rPr>
          <w:rFonts w:hint="eastAsia" w:ascii="宋体" w:hAnsi="宋体" w:eastAsia="宋体" w:cs="宋体"/>
          <w:color w:val="auto"/>
          <w:szCs w:val="21"/>
          <w:highlight w:val="none"/>
          <w:u w:val="single"/>
        </w:rPr>
        <w:t xml:space="preserve"> 5%</w:t>
      </w:r>
      <w:r>
        <w:rPr>
          <w:rFonts w:hint="eastAsia" w:ascii="宋体" w:hAnsi="宋体" w:eastAsia="宋体" w:cs="宋体"/>
          <w:color w:val="auto"/>
          <w:szCs w:val="21"/>
          <w:highlight w:val="none"/>
        </w:rPr>
        <w:t>向甲方支付违约金。</w:t>
      </w:r>
    </w:p>
    <w:p w14:paraId="6052D540">
      <w:pPr>
        <w:snapToGrid w:val="0"/>
        <w:spacing w:line="32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5、乙方提供的设计文件在质量保证期内，因设计、工艺或材料的缺陷和其它质量原因造成的问题，由乙方负责，费用从合同款中扣除，不足另补。</w:t>
      </w:r>
    </w:p>
    <w:p w14:paraId="62F558D2">
      <w:pPr>
        <w:snapToGrid w:val="0"/>
        <w:spacing w:line="320" w:lineRule="exact"/>
        <w:ind w:left="-61" w:firstLine="514"/>
        <w:rPr>
          <w:rFonts w:hint="eastAsia" w:ascii="宋体" w:hAnsi="宋体" w:eastAsia="宋体" w:cs="宋体"/>
          <w:color w:val="auto"/>
          <w:szCs w:val="21"/>
          <w:highlight w:val="none"/>
        </w:rPr>
      </w:pPr>
      <w:r>
        <w:rPr>
          <w:rFonts w:hint="eastAsia" w:ascii="宋体" w:hAnsi="宋体" w:eastAsia="宋体" w:cs="宋体"/>
          <w:color w:val="auto"/>
          <w:szCs w:val="21"/>
          <w:highlight w:val="none"/>
        </w:rPr>
        <w:t>6、其它违约行为按违约货款额5%收取违约金并赔偿经济损失。</w:t>
      </w:r>
    </w:p>
    <w:p w14:paraId="2433A6A4">
      <w:pPr>
        <w:snapToGrid w:val="0"/>
        <w:spacing w:line="320" w:lineRule="exact"/>
        <w:ind w:firstLine="394" w:firstLineChars="196"/>
        <w:rPr>
          <w:rFonts w:hint="eastAsia" w:ascii="宋体" w:hAnsi="宋体" w:eastAsia="宋体" w:cs="宋体"/>
          <w:b/>
          <w:color w:val="auto"/>
          <w:kern w:val="0"/>
          <w:sz w:val="20"/>
          <w:szCs w:val="21"/>
          <w:highlight w:val="none"/>
        </w:rPr>
      </w:pPr>
      <w:r>
        <w:rPr>
          <w:rFonts w:hint="eastAsia" w:ascii="宋体" w:hAnsi="宋体" w:eastAsia="宋体" w:cs="宋体"/>
          <w:b/>
          <w:color w:val="auto"/>
          <w:kern w:val="0"/>
          <w:sz w:val="20"/>
          <w:szCs w:val="21"/>
          <w:highlight w:val="none"/>
        </w:rPr>
        <w:t>第十一条  不可抗力事件处理</w:t>
      </w:r>
    </w:p>
    <w:p w14:paraId="41B96675">
      <w:pPr>
        <w:snapToGrid w:val="0"/>
        <w:spacing w:line="32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 在合同有效期内，任何一方因不可抗力事件导致不能履行合同，则合同履行期可延长，其延长期与不可抗力影响期相同。</w:t>
      </w:r>
    </w:p>
    <w:p w14:paraId="5E3914B3">
      <w:pPr>
        <w:snapToGrid w:val="0"/>
        <w:spacing w:line="32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 不可抗力事件发生后，应立即通知对方，并寄送有关权威机构出具的证明。</w:t>
      </w:r>
    </w:p>
    <w:p w14:paraId="43CA6E8A">
      <w:pPr>
        <w:snapToGrid w:val="0"/>
        <w:spacing w:line="32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3. 不可抗力事件延续一百二十天以上，双方应通过友好协商，确定是否继续履行合同。</w:t>
      </w:r>
    </w:p>
    <w:p w14:paraId="7B013B99">
      <w:pPr>
        <w:snapToGrid w:val="0"/>
        <w:spacing w:line="320" w:lineRule="exact"/>
        <w:ind w:firstLine="422" w:firstLineChars="200"/>
        <w:rPr>
          <w:rFonts w:hint="eastAsia" w:ascii="宋体" w:hAnsi="宋体" w:eastAsia="宋体" w:cs="宋体"/>
          <w:color w:val="auto"/>
          <w:szCs w:val="21"/>
          <w:highlight w:val="none"/>
        </w:rPr>
      </w:pPr>
      <w:r>
        <w:rPr>
          <w:rFonts w:hint="eastAsia" w:ascii="宋体" w:hAnsi="宋体" w:eastAsia="宋体" w:cs="宋体"/>
          <w:b/>
          <w:color w:val="auto"/>
          <w:szCs w:val="21"/>
          <w:highlight w:val="none"/>
        </w:rPr>
        <w:t>第十二条  合同争议解决</w:t>
      </w:r>
    </w:p>
    <w:p w14:paraId="7DDBD8A4">
      <w:pPr>
        <w:snapToGrid w:val="0"/>
        <w:spacing w:line="32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1、因履行本合同引起的或与本合同有关的争议，甲乙双方应首先通过友好协商解决，如果协商不能解决，可向人民法院提起诉讼。</w:t>
      </w:r>
    </w:p>
    <w:p w14:paraId="578C175E">
      <w:pPr>
        <w:snapToGrid w:val="0"/>
        <w:spacing w:line="32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2、诉讼期间，本合同继续履行。</w:t>
      </w:r>
    </w:p>
    <w:p w14:paraId="6F8ADDB9">
      <w:pPr>
        <w:snapToGrid w:val="0"/>
        <w:spacing w:line="320" w:lineRule="exact"/>
        <w:ind w:firstLine="394" w:firstLineChars="196"/>
        <w:rPr>
          <w:rFonts w:hint="eastAsia" w:ascii="宋体" w:hAnsi="宋体" w:eastAsia="宋体" w:cs="宋体"/>
          <w:b/>
          <w:color w:val="auto"/>
          <w:kern w:val="0"/>
          <w:sz w:val="20"/>
          <w:szCs w:val="21"/>
          <w:highlight w:val="none"/>
        </w:rPr>
      </w:pPr>
      <w:r>
        <w:rPr>
          <w:rFonts w:hint="eastAsia" w:ascii="宋体" w:hAnsi="宋体" w:eastAsia="宋体" w:cs="宋体"/>
          <w:b/>
          <w:color w:val="auto"/>
          <w:kern w:val="0"/>
          <w:sz w:val="20"/>
          <w:szCs w:val="21"/>
          <w:highlight w:val="none"/>
        </w:rPr>
        <w:t>第十三条  合同生效及其它</w:t>
      </w:r>
    </w:p>
    <w:p w14:paraId="3007CF20">
      <w:pPr>
        <w:snapToGrid w:val="0"/>
        <w:spacing w:line="32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 合同经双方法定代表人或被授权代表签字并加盖单位公章后生效。</w:t>
      </w:r>
    </w:p>
    <w:p w14:paraId="7B2C57A1">
      <w:pPr>
        <w:snapToGrid w:val="0"/>
        <w:spacing w:line="32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2.合同执行中涉及采购资金和采购内容修改或补充的，须经财政部门审批，并签书面补充协议报财政部门备案，方可作为主合同不可分割的一部分。</w:t>
      </w:r>
    </w:p>
    <w:p w14:paraId="3E001FAE">
      <w:pPr>
        <w:snapToGrid w:val="0"/>
        <w:spacing w:line="32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3.本合同未尽事宜，遵照《民法典》有关条文执行。</w:t>
      </w:r>
    </w:p>
    <w:p w14:paraId="2977E60E">
      <w:pPr>
        <w:snapToGrid w:val="0"/>
        <w:spacing w:line="320" w:lineRule="exact"/>
        <w:ind w:firstLine="422" w:firstLineChars="200"/>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第十四条　合同的变更、终止与转让</w:t>
      </w:r>
    </w:p>
    <w:p w14:paraId="2325001D">
      <w:pPr>
        <w:snapToGrid w:val="0"/>
        <w:spacing w:line="32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1、除《中华人民共和国政府采购法》第五十条规定的情形外，本合同一经签订，甲乙双方不得擅自变更、中止或终止。</w:t>
      </w:r>
    </w:p>
    <w:p w14:paraId="6654BC04">
      <w:pPr>
        <w:snapToGrid w:val="0"/>
        <w:spacing w:line="320" w:lineRule="exact"/>
        <w:ind w:left="-61" w:firstLine="514"/>
        <w:rPr>
          <w:rFonts w:hint="eastAsia" w:ascii="宋体" w:hAnsi="宋体" w:eastAsia="宋体" w:cs="宋体"/>
          <w:color w:val="auto"/>
          <w:highlight w:val="none"/>
        </w:rPr>
      </w:pPr>
      <w:r>
        <w:rPr>
          <w:rFonts w:hint="eastAsia" w:ascii="宋体" w:hAnsi="宋体" w:eastAsia="宋体" w:cs="宋体"/>
          <w:color w:val="auto"/>
          <w:highlight w:val="none"/>
        </w:rPr>
        <w:t>2、乙方不得擅自转让其应履行的合同义务。</w:t>
      </w:r>
    </w:p>
    <w:p w14:paraId="136E5781">
      <w:pPr>
        <w:snapToGrid w:val="0"/>
        <w:spacing w:line="320" w:lineRule="exact"/>
        <w:ind w:firstLine="422" w:firstLineChars="200"/>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第十五条　签订本合同依据</w:t>
      </w:r>
    </w:p>
    <w:p w14:paraId="0E746F7F">
      <w:pPr>
        <w:snapToGrid w:val="0"/>
        <w:spacing w:line="32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1、政府采购招标文件；</w:t>
      </w:r>
    </w:p>
    <w:p w14:paraId="00A92B87">
      <w:pPr>
        <w:snapToGrid w:val="0"/>
        <w:spacing w:line="32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2、乙方提供的投标文件；</w:t>
      </w:r>
    </w:p>
    <w:p w14:paraId="2BF906B2">
      <w:pPr>
        <w:snapToGrid w:val="0"/>
        <w:spacing w:line="32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3、投标承诺书；</w:t>
      </w:r>
    </w:p>
    <w:p w14:paraId="5E9531D8">
      <w:pPr>
        <w:snapToGrid w:val="0"/>
        <w:spacing w:line="32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4、中标通知书。</w:t>
      </w:r>
    </w:p>
    <w:p w14:paraId="69E347A2">
      <w:pPr>
        <w:snapToGrid w:val="0"/>
        <w:spacing w:line="320" w:lineRule="exact"/>
        <w:ind w:firstLine="422" w:firstLineChars="200"/>
        <w:rPr>
          <w:rFonts w:hint="eastAsia" w:ascii="宋体" w:hAnsi="宋体" w:eastAsia="宋体" w:cs="宋体"/>
          <w:color w:val="auto"/>
          <w:szCs w:val="21"/>
          <w:highlight w:val="none"/>
        </w:rPr>
      </w:pPr>
      <w:r>
        <w:rPr>
          <w:rFonts w:hint="eastAsia" w:ascii="宋体" w:hAnsi="宋体" w:eastAsia="宋体" w:cs="宋体"/>
          <w:b/>
          <w:color w:val="auto"/>
          <w:szCs w:val="21"/>
          <w:highlight w:val="none"/>
        </w:rPr>
        <w:t>第十六条　</w:t>
      </w:r>
      <w:r>
        <w:rPr>
          <w:rFonts w:hint="eastAsia" w:ascii="宋体" w:hAnsi="宋体" w:eastAsia="宋体" w:cs="宋体"/>
          <w:color w:val="auto"/>
          <w:szCs w:val="21"/>
          <w:highlight w:val="none"/>
        </w:rPr>
        <w:t>本合同一式捌份，具有同等法律效力，甲乙双方各肆份。</w:t>
      </w:r>
    </w:p>
    <w:tbl>
      <w:tblPr>
        <w:tblStyle w:val="4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516"/>
        <w:gridCol w:w="4517"/>
      </w:tblGrid>
      <w:tr w14:paraId="78B638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78" w:hRule="atLeast"/>
          <w:jc w:val="center"/>
        </w:trPr>
        <w:tc>
          <w:tcPr>
            <w:tcW w:w="4516" w:type="dxa"/>
            <w:noWrap w:val="0"/>
            <w:vAlign w:val="center"/>
          </w:tcPr>
          <w:p w14:paraId="10AC44B8">
            <w:pPr>
              <w:snapToGrid w:val="0"/>
              <w:spacing w:line="32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甲方（章）           </w:t>
            </w:r>
          </w:p>
          <w:p w14:paraId="3F4AC1FF">
            <w:pPr>
              <w:snapToGrid w:val="0"/>
              <w:spacing w:line="320" w:lineRule="exact"/>
              <w:rPr>
                <w:rFonts w:hint="eastAsia" w:ascii="宋体" w:hAnsi="宋体" w:eastAsia="宋体" w:cs="宋体"/>
                <w:color w:val="auto"/>
                <w:szCs w:val="21"/>
                <w:highlight w:val="none"/>
              </w:rPr>
            </w:pPr>
          </w:p>
          <w:p w14:paraId="0F17C289">
            <w:pPr>
              <w:snapToGrid w:val="0"/>
              <w:spacing w:line="320" w:lineRule="exact"/>
              <w:ind w:firstLine="945" w:firstLineChars="450"/>
              <w:jc w:val="right"/>
              <w:rPr>
                <w:rFonts w:hint="eastAsia" w:ascii="宋体" w:hAnsi="宋体" w:eastAsia="宋体" w:cs="宋体"/>
                <w:color w:val="auto"/>
                <w:szCs w:val="21"/>
                <w:highlight w:val="none"/>
              </w:rPr>
            </w:pPr>
            <w:r>
              <w:rPr>
                <w:rFonts w:hint="eastAsia" w:ascii="宋体" w:hAnsi="宋体" w:eastAsia="宋体" w:cs="宋体"/>
                <w:color w:val="auto"/>
                <w:szCs w:val="21"/>
                <w:highlight w:val="none"/>
              </w:rPr>
              <w:t>年   月   日</w:t>
            </w:r>
          </w:p>
        </w:tc>
        <w:tc>
          <w:tcPr>
            <w:tcW w:w="4517" w:type="dxa"/>
            <w:noWrap w:val="0"/>
            <w:vAlign w:val="center"/>
          </w:tcPr>
          <w:p w14:paraId="18D69BEB">
            <w:pPr>
              <w:snapToGrid w:val="0"/>
              <w:spacing w:line="32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乙方（章）              </w:t>
            </w:r>
          </w:p>
          <w:p w14:paraId="66F75C11">
            <w:pPr>
              <w:snapToGrid w:val="0"/>
              <w:spacing w:line="320" w:lineRule="exact"/>
              <w:rPr>
                <w:rFonts w:hint="eastAsia" w:ascii="宋体" w:hAnsi="宋体" w:eastAsia="宋体" w:cs="宋体"/>
                <w:color w:val="auto"/>
                <w:szCs w:val="21"/>
                <w:highlight w:val="none"/>
              </w:rPr>
            </w:pPr>
          </w:p>
          <w:p w14:paraId="1C52720A">
            <w:pPr>
              <w:snapToGrid w:val="0"/>
              <w:spacing w:line="320" w:lineRule="exact"/>
              <w:jc w:val="right"/>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 年   月   日</w:t>
            </w:r>
          </w:p>
        </w:tc>
      </w:tr>
      <w:tr w14:paraId="5D7D23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4516" w:type="dxa"/>
            <w:noWrap w:val="0"/>
            <w:vAlign w:val="center"/>
          </w:tcPr>
          <w:p w14:paraId="609B7227">
            <w:pPr>
              <w:snapToGrid w:val="0"/>
              <w:spacing w:line="32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rPr>
              <w:t>单位地址：</w:t>
            </w:r>
          </w:p>
        </w:tc>
        <w:tc>
          <w:tcPr>
            <w:tcW w:w="4517" w:type="dxa"/>
            <w:noWrap w:val="0"/>
            <w:vAlign w:val="center"/>
          </w:tcPr>
          <w:p w14:paraId="5A4EE18F">
            <w:pPr>
              <w:snapToGrid w:val="0"/>
              <w:spacing w:line="32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rPr>
              <w:t>单位地址：</w:t>
            </w:r>
          </w:p>
        </w:tc>
      </w:tr>
      <w:tr w14:paraId="57BE87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4516" w:type="dxa"/>
            <w:noWrap w:val="0"/>
            <w:vAlign w:val="center"/>
          </w:tcPr>
          <w:p w14:paraId="1A9A4B6A">
            <w:pPr>
              <w:snapToGrid w:val="0"/>
              <w:spacing w:line="32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rPr>
              <w:t>法定代表人：</w:t>
            </w:r>
          </w:p>
        </w:tc>
        <w:tc>
          <w:tcPr>
            <w:tcW w:w="4517" w:type="dxa"/>
            <w:noWrap w:val="0"/>
            <w:vAlign w:val="center"/>
          </w:tcPr>
          <w:p w14:paraId="01E1BF0B">
            <w:pPr>
              <w:snapToGrid w:val="0"/>
              <w:spacing w:line="32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rPr>
              <w:t>法定代表人：</w:t>
            </w:r>
          </w:p>
        </w:tc>
      </w:tr>
      <w:tr w14:paraId="21D31C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4516" w:type="dxa"/>
            <w:noWrap w:val="0"/>
            <w:vAlign w:val="center"/>
          </w:tcPr>
          <w:p w14:paraId="03A15A92">
            <w:pPr>
              <w:snapToGrid w:val="0"/>
              <w:spacing w:line="32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rPr>
              <w:t>委托代理人：</w:t>
            </w:r>
          </w:p>
        </w:tc>
        <w:tc>
          <w:tcPr>
            <w:tcW w:w="4517" w:type="dxa"/>
            <w:noWrap w:val="0"/>
            <w:vAlign w:val="center"/>
          </w:tcPr>
          <w:p w14:paraId="3ACDB91C">
            <w:pPr>
              <w:snapToGrid w:val="0"/>
              <w:spacing w:line="32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rPr>
              <w:t>委托代理人</w:t>
            </w:r>
          </w:p>
        </w:tc>
      </w:tr>
      <w:tr w14:paraId="34FA52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4516" w:type="dxa"/>
            <w:noWrap w:val="0"/>
            <w:vAlign w:val="center"/>
          </w:tcPr>
          <w:p w14:paraId="6C95B35F">
            <w:pPr>
              <w:snapToGrid w:val="0"/>
              <w:spacing w:line="32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rPr>
              <w:t>电话：</w:t>
            </w:r>
          </w:p>
        </w:tc>
        <w:tc>
          <w:tcPr>
            <w:tcW w:w="4517" w:type="dxa"/>
            <w:noWrap w:val="0"/>
            <w:vAlign w:val="center"/>
          </w:tcPr>
          <w:p w14:paraId="59418C10">
            <w:pPr>
              <w:snapToGrid w:val="0"/>
              <w:spacing w:line="32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rPr>
              <w:t>电话：</w:t>
            </w:r>
          </w:p>
        </w:tc>
      </w:tr>
      <w:tr w14:paraId="335985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4516" w:type="dxa"/>
            <w:noWrap w:val="0"/>
            <w:vAlign w:val="center"/>
          </w:tcPr>
          <w:p w14:paraId="603DE49B">
            <w:pPr>
              <w:snapToGrid w:val="0"/>
              <w:spacing w:line="32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rPr>
              <w:t>电子邮箱：</w:t>
            </w:r>
          </w:p>
        </w:tc>
        <w:tc>
          <w:tcPr>
            <w:tcW w:w="4517" w:type="dxa"/>
            <w:noWrap w:val="0"/>
            <w:vAlign w:val="center"/>
          </w:tcPr>
          <w:p w14:paraId="7B065C3C">
            <w:pPr>
              <w:snapToGrid w:val="0"/>
              <w:spacing w:line="32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rPr>
              <w:t>电子邮箱：</w:t>
            </w:r>
          </w:p>
        </w:tc>
      </w:tr>
      <w:tr w14:paraId="7CDF0E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4516" w:type="dxa"/>
            <w:noWrap w:val="0"/>
            <w:vAlign w:val="center"/>
          </w:tcPr>
          <w:p w14:paraId="529CCEBA">
            <w:pPr>
              <w:snapToGrid w:val="0"/>
              <w:spacing w:line="32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rPr>
              <w:t>开户银行：</w:t>
            </w:r>
          </w:p>
        </w:tc>
        <w:tc>
          <w:tcPr>
            <w:tcW w:w="4517" w:type="dxa"/>
            <w:noWrap w:val="0"/>
            <w:vAlign w:val="center"/>
          </w:tcPr>
          <w:p w14:paraId="32A3D16B">
            <w:pPr>
              <w:snapToGrid w:val="0"/>
              <w:spacing w:line="32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rPr>
              <w:t>开户银行：</w:t>
            </w:r>
          </w:p>
        </w:tc>
      </w:tr>
      <w:tr w14:paraId="1462D3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4516" w:type="dxa"/>
            <w:noWrap w:val="0"/>
            <w:vAlign w:val="center"/>
          </w:tcPr>
          <w:p w14:paraId="3820BDE2">
            <w:pPr>
              <w:snapToGrid w:val="0"/>
              <w:spacing w:line="32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rPr>
              <w:t>账号：</w:t>
            </w:r>
          </w:p>
        </w:tc>
        <w:tc>
          <w:tcPr>
            <w:tcW w:w="4517" w:type="dxa"/>
            <w:noWrap w:val="0"/>
            <w:vAlign w:val="center"/>
          </w:tcPr>
          <w:p w14:paraId="1CAC2BDF">
            <w:pPr>
              <w:snapToGrid w:val="0"/>
              <w:spacing w:line="32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rPr>
              <w:t>账号：</w:t>
            </w:r>
          </w:p>
        </w:tc>
      </w:tr>
      <w:tr w14:paraId="636B3F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4516" w:type="dxa"/>
            <w:noWrap w:val="0"/>
            <w:vAlign w:val="center"/>
          </w:tcPr>
          <w:p w14:paraId="3551572E">
            <w:pPr>
              <w:snapToGrid w:val="0"/>
              <w:spacing w:line="32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rPr>
              <w:t>邮政编码：</w:t>
            </w:r>
          </w:p>
        </w:tc>
        <w:tc>
          <w:tcPr>
            <w:tcW w:w="4517" w:type="dxa"/>
            <w:noWrap w:val="0"/>
            <w:vAlign w:val="center"/>
          </w:tcPr>
          <w:p w14:paraId="2FAA5BD1">
            <w:pPr>
              <w:snapToGrid w:val="0"/>
              <w:spacing w:line="32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rPr>
              <w:t>邮政编码：</w:t>
            </w:r>
          </w:p>
        </w:tc>
      </w:tr>
    </w:tbl>
    <w:p w14:paraId="13D55ECE">
      <w:pPr>
        <w:spacing w:before="120" w:line="320" w:lineRule="atLeast"/>
        <w:jc w:val="left"/>
        <w:outlineLvl w:val="1"/>
        <w:rPr>
          <w:rFonts w:hint="eastAsia" w:ascii="宋体" w:hAnsi="宋体" w:eastAsia="宋体" w:cs="宋体"/>
          <w:b/>
          <w:bCs/>
          <w:color w:val="auto"/>
          <w:kern w:val="0"/>
          <w:szCs w:val="21"/>
          <w:highlight w:val="none"/>
        </w:rPr>
      </w:pPr>
      <w:r>
        <w:rPr>
          <w:rFonts w:hint="eastAsia" w:ascii="宋体" w:hAnsi="宋体" w:eastAsia="宋体" w:cs="宋体"/>
          <w:color w:val="auto"/>
          <w:highlight w:val="none"/>
        </w:rPr>
        <w:br w:type="page"/>
      </w:r>
      <w:r>
        <w:rPr>
          <w:rFonts w:hint="eastAsia" w:ascii="宋体" w:hAnsi="宋体" w:eastAsia="宋体" w:cs="宋体"/>
          <w:b/>
          <w:bCs/>
          <w:color w:val="auto"/>
          <w:kern w:val="0"/>
          <w:szCs w:val="21"/>
          <w:highlight w:val="none"/>
        </w:rPr>
        <w:t>合同附件1</w:t>
      </w:r>
    </w:p>
    <w:p w14:paraId="0BFCA9F1">
      <w:pPr>
        <w:snapToGrid w:val="0"/>
        <w:rPr>
          <w:rFonts w:hint="eastAsia" w:ascii="宋体" w:hAnsi="宋体" w:eastAsia="宋体" w:cs="宋体"/>
          <w:color w:val="auto"/>
          <w:sz w:val="18"/>
          <w:szCs w:val="18"/>
          <w:highlight w:val="none"/>
        </w:rPr>
      </w:pPr>
    </w:p>
    <w:tbl>
      <w:tblPr>
        <w:tblStyle w:val="45"/>
        <w:tblW w:w="4999"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89"/>
        <w:gridCol w:w="7625"/>
      </w:tblGrid>
      <w:tr w14:paraId="4B7AE8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5" w:hRule="atLeast"/>
        </w:trPr>
        <w:tc>
          <w:tcPr>
            <w:tcW w:w="522" w:type="pct"/>
            <w:vMerge w:val="restart"/>
            <w:noWrap w:val="0"/>
            <w:vAlign w:val="center"/>
          </w:tcPr>
          <w:p w14:paraId="141AAF8A">
            <w:pPr>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供</w:t>
            </w:r>
          </w:p>
          <w:p w14:paraId="41134FEC">
            <w:pPr>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应</w:t>
            </w:r>
          </w:p>
          <w:p w14:paraId="1788CED0">
            <w:pPr>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商</w:t>
            </w:r>
          </w:p>
          <w:p w14:paraId="237E2D79">
            <w:pPr>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申</w:t>
            </w:r>
          </w:p>
          <w:p w14:paraId="60889F0C">
            <w:pPr>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请</w:t>
            </w:r>
          </w:p>
        </w:tc>
        <w:tc>
          <w:tcPr>
            <w:tcW w:w="4477" w:type="pct"/>
            <w:noWrap w:val="0"/>
            <w:vAlign w:val="center"/>
          </w:tcPr>
          <w:p w14:paraId="5CCDE432">
            <w:pPr>
              <w:rPr>
                <w:rFonts w:hint="eastAsia" w:ascii="宋体" w:hAnsi="宋体" w:eastAsia="宋体" w:cs="宋体"/>
                <w:color w:val="auto"/>
                <w:szCs w:val="21"/>
                <w:highlight w:val="none"/>
              </w:rPr>
            </w:pPr>
            <w:r>
              <w:rPr>
                <w:rFonts w:hint="eastAsia" w:ascii="宋体" w:hAnsi="宋体" w:eastAsia="宋体" w:cs="宋体"/>
                <w:color w:val="auto"/>
                <w:szCs w:val="21"/>
                <w:highlight w:val="none"/>
              </w:rPr>
              <w:t>项目编号：</w:t>
            </w:r>
          </w:p>
        </w:tc>
      </w:tr>
      <w:tr w14:paraId="34CDE6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8" w:hRule="atLeast"/>
        </w:trPr>
        <w:tc>
          <w:tcPr>
            <w:tcW w:w="522" w:type="pct"/>
            <w:vMerge w:val="continue"/>
            <w:noWrap w:val="0"/>
            <w:vAlign w:val="center"/>
          </w:tcPr>
          <w:p w14:paraId="6691B9D3">
            <w:pPr>
              <w:rPr>
                <w:rFonts w:hint="eastAsia" w:ascii="宋体" w:hAnsi="宋体" w:eastAsia="宋体" w:cs="宋体"/>
                <w:color w:val="auto"/>
                <w:szCs w:val="21"/>
                <w:highlight w:val="none"/>
              </w:rPr>
            </w:pPr>
          </w:p>
        </w:tc>
        <w:tc>
          <w:tcPr>
            <w:tcW w:w="4477" w:type="pct"/>
            <w:noWrap w:val="0"/>
            <w:vAlign w:val="center"/>
          </w:tcPr>
          <w:p w14:paraId="4BB6B7FF">
            <w:pPr>
              <w:rPr>
                <w:rFonts w:hint="eastAsia" w:ascii="宋体" w:hAnsi="宋体" w:eastAsia="宋体" w:cs="宋体"/>
                <w:color w:val="auto"/>
                <w:szCs w:val="21"/>
                <w:highlight w:val="none"/>
              </w:rPr>
            </w:pPr>
            <w:r>
              <w:rPr>
                <w:rFonts w:hint="eastAsia" w:ascii="宋体" w:hAnsi="宋体" w:eastAsia="宋体" w:cs="宋体"/>
                <w:color w:val="auto"/>
                <w:szCs w:val="21"/>
                <w:highlight w:val="none"/>
              </w:rPr>
              <w:t>项目名称：</w:t>
            </w:r>
          </w:p>
        </w:tc>
      </w:tr>
      <w:tr w14:paraId="6BC6F7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22" w:type="pct"/>
            <w:vMerge w:val="continue"/>
            <w:noWrap w:val="0"/>
            <w:vAlign w:val="top"/>
          </w:tcPr>
          <w:p w14:paraId="52B4B82D">
            <w:pPr>
              <w:rPr>
                <w:rFonts w:hint="eastAsia" w:ascii="宋体" w:hAnsi="宋体" w:eastAsia="宋体" w:cs="宋体"/>
                <w:color w:val="auto"/>
                <w:szCs w:val="21"/>
                <w:highlight w:val="none"/>
              </w:rPr>
            </w:pPr>
          </w:p>
        </w:tc>
        <w:tc>
          <w:tcPr>
            <w:tcW w:w="4477" w:type="pct"/>
            <w:noWrap w:val="0"/>
            <w:vAlign w:val="top"/>
          </w:tcPr>
          <w:p w14:paraId="1D967A28">
            <w:pPr>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  </w:t>
            </w:r>
          </w:p>
          <w:p w14:paraId="4C17E759">
            <w:pPr>
              <w:spacing w:line="40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该项目已于</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年</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月</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日验收并交付使用。根据合同规定，该项目的履约保证金期限于</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年</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月</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日已满，请将履约保证金</w:t>
            </w:r>
          </w:p>
          <w:p w14:paraId="30A8FD0D">
            <w:pPr>
              <w:spacing w:line="40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（大写）¥</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（小写）退付到达以下账户。</w:t>
            </w:r>
          </w:p>
          <w:p w14:paraId="729100A3">
            <w:pPr>
              <w:spacing w:line="400" w:lineRule="exact"/>
              <w:ind w:firstLine="705"/>
              <w:rPr>
                <w:rFonts w:hint="eastAsia" w:ascii="宋体" w:hAnsi="宋体" w:eastAsia="宋体" w:cs="宋体"/>
                <w:color w:val="auto"/>
                <w:szCs w:val="21"/>
                <w:highlight w:val="none"/>
              </w:rPr>
            </w:pPr>
            <w:r>
              <w:rPr>
                <w:rFonts w:hint="eastAsia" w:ascii="宋体" w:hAnsi="宋体" w:eastAsia="宋体" w:cs="宋体"/>
                <w:color w:val="auto"/>
                <w:szCs w:val="21"/>
                <w:highlight w:val="none"/>
              </w:rPr>
              <w:t>单位名称：</w:t>
            </w:r>
          </w:p>
          <w:p w14:paraId="21D2C0FF">
            <w:pPr>
              <w:spacing w:line="400" w:lineRule="exact"/>
              <w:ind w:firstLine="705"/>
              <w:rPr>
                <w:rFonts w:hint="eastAsia" w:ascii="宋体" w:hAnsi="宋体" w:eastAsia="宋体" w:cs="宋体"/>
                <w:color w:val="auto"/>
                <w:szCs w:val="21"/>
                <w:highlight w:val="none"/>
              </w:rPr>
            </w:pPr>
            <w:r>
              <w:rPr>
                <w:rFonts w:hint="eastAsia" w:ascii="宋体" w:hAnsi="宋体" w:eastAsia="宋体" w:cs="宋体"/>
                <w:color w:val="auto"/>
                <w:szCs w:val="21"/>
                <w:highlight w:val="none"/>
              </w:rPr>
              <w:t>开户银行：</w:t>
            </w:r>
          </w:p>
          <w:p w14:paraId="3AE0B1CA">
            <w:pPr>
              <w:spacing w:line="400" w:lineRule="exact"/>
              <w:ind w:firstLine="705"/>
              <w:rPr>
                <w:rFonts w:hint="eastAsia" w:ascii="宋体" w:hAnsi="宋体" w:eastAsia="宋体" w:cs="宋体"/>
                <w:color w:val="auto"/>
                <w:szCs w:val="21"/>
                <w:highlight w:val="none"/>
              </w:rPr>
            </w:pPr>
            <w:r>
              <w:rPr>
                <w:rFonts w:hint="eastAsia" w:ascii="宋体" w:hAnsi="宋体" w:eastAsia="宋体" w:cs="宋体"/>
                <w:color w:val="auto"/>
                <w:szCs w:val="21"/>
                <w:highlight w:val="none"/>
              </w:rPr>
              <w:t>账   号：</w:t>
            </w:r>
          </w:p>
          <w:p w14:paraId="4B505D5A">
            <w:pPr>
              <w:spacing w:line="40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rPr>
              <w:t>联系人及电话：</w:t>
            </w:r>
          </w:p>
          <w:p w14:paraId="5826246C">
            <w:pPr>
              <w:spacing w:line="400" w:lineRule="exact"/>
              <w:rPr>
                <w:rFonts w:hint="eastAsia" w:ascii="宋体" w:hAnsi="宋体" w:eastAsia="宋体" w:cs="宋体"/>
                <w:color w:val="auto"/>
                <w:szCs w:val="21"/>
                <w:highlight w:val="none"/>
              </w:rPr>
            </w:pPr>
          </w:p>
          <w:p w14:paraId="34ED560E">
            <w:pPr>
              <w:spacing w:line="52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                                     供应商公章：</w:t>
            </w:r>
          </w:p>
          <w:p w14:paraId="087CDA61">
            <w:pPr>
              <w:spacing w:line="52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                           年    月     日</w:t>
            </w:r>
          </w:p>
        </w:tc>
      </w:tr>
      <w:tr w14:paraId="7A7BB1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2" w:type="pct"/>
            <w:noWrap w:val="0"/>
            <w:vAlign w:val="center"/>
          </w:tcPr>
          <w:p w14:paraId="2E815569">
            <w:pPr>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采</w:t>
            </w:r>
          </w:p>
          <w:p w14:paraId="196FF5C2">
            <w:pPr>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购</w:t>
            </w:r>
          </w:p>
          <w:p w14:paraId="27EF5AF4">
            <w:pPr>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单</w:t>
            </w:r>
          </w:p>
          <w:p w14:paraId="6CD04795">
            <w:pPr>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位</w:t>
            </w:r>
          </w:p>
          <w:p w14:paraId="4C2492CD">
            <w:pPr>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意</w:t>
            </w:r>
          </w:p>
          <w:p w14:paraId="6CD54929">
            <w:pPr>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见</w:t>
            </w:r>
          </w:p>
        </w:tc>
        <w:tc>
          <w:tcPr>
            <w:tcW w:w="4477" w:type="pct"/>
            <w:noWrap w:val="0"/>
            <w:vAlign w:val="top"/>
          </w:tcPr>
          <w:p w14:paraId="18310947">
            <w:pPr>
              <w:rPr>
                <w:rFonts w:hint="eastAsia" w:ascii="宋体" w:hAnsi="宋体" w:eastAsia="宋体" w:cs="宋体"/>
                <w:color w:val="auto"/>
                <w:szCs w:val="21"/>
                <w:highlight w:val="none"/>
              </w:rPr>
            </w:pPr>
          </w:p>
          <w:p w14:paraId="05FA8D27">
            <w:pPr>
              <w:rPr>
                <w:rFonts w:hint="eastAsia" w:ascii="宋体" w:hAnsi="宋体" w:eastAsia="宋体" w:cs="宋体"/>
                <w:color w:val="auto"/>
                <w:szCs w:val="21"/>
                <w:highlight w:val="none"/>
              </w:rPr>
            </w:pPr>
            <w:r>
              <w:rPr>
                <w:rFonts w:hint="eastAsia" w:ascii="宋体" w:hAnsi="宋体" w:eastAsia="宋体" w:cs="宋体"/>
                <w:color w:val="auto"/>
                <w:szCs w:val="21"/>
                <w:highlight w:val="none"/>
              </w:rPr>
              <w:t>退付意见：是否同意退付履约保证金及退付金额：</w:t>
            </w:r>
          </w:p>
          <w:p w14:paraId="0BFA5824">
            <w:pPr>
              <w:rPr>
                <w:rFonts w:hint="eastAsia" w:ascii="宋体" w:hAnsi="宋体" w:eastAsia="宋体" w:cs="宋体"/>
                <w:color w:val="auto"/>
                <w:szCs w:val="21"/>
                <w:highlight w:val="none"/>
              </w:rPr>
            </w:pPr>
          </w:p>
          <w:p w14:paraId="73EED862">
            <w:pPr>
              <w:rPr>
                <w:rFonts w:hint="eastAsia" w:ascii="宋体" w:hAnsi="宋体" w:eastAsia="宋体" w:cs="宋体"/>
                <w:color w:val="auto"/>
                <w:szCs w:val="21"/>
                <w:highlight w:val="none"/>
              </w:rPr>
            </w:pPr>
          </w:p>
          <w:p w14:paraId="4628CEAA">
            <w:pPr>
              <w:spacing w:line="52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rPr>
              <w:t>联系人及电话：                                 采购单位公章</w:t>
            </w:r>
          </w:p>
          <w:p w14:paraId="4EA29B47">
            <w:pPr>
              <w:spacing w:line="52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                                        年    月     日</w:t>
            </w:r>
          </w:p>
        </w:tc>
      </w:tr>
      <w:tr w14:paraId="5870F5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2" w:type="pct"/>
            <w:noWrap w:val="0"/>
            <w:vAlign w:val="center"/>
          </w:tcPr>
          <w:p w14:paraId="3665C4DB">
            <w:pPr>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财</w:t>
            </w:r>
          </w:p>
          <w:p w14:paraId="5E3A5233">
            <w:pPr>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务</w:t>
            </w:r>
          </w:p>
          <w:p w14:paraId="5E842B30">
            <w:pPr>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部</w:t>
            </w:r>
          </w:p>
          <w:p w14:paraId="387339E1">
            <w:pPr>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门</w:t>
            </w:r>
          </w:p>
          <w:p w14:paraId="7A3ED267">
            <w:pPr>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意</w:t>
            </w:r>
          </w:p>
          <w:p w14:paraId="3DEDA9FA">
            <w:pPr>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见</w:t>
            </w:r>
          </w:p>
        </w:tc>
        <w:tc>
          <w:tcPr>
            <w:tcW w:w="4477" w:type="pct"/>
            <w:noWrap w:val="0"/>
            <w:vAlign w:val="top"/>
          </w:tcPr>
          <w:p w14:paraId="50771016">
            <w:pPr>
              <w:spacing w:line="64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rPr>
              <w:t>此表于</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年</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 xml:space="preserve"> 月 </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 xml:space="preserve"> 日收到。</w:t>
            </w:r>
          </w:p>
          <w:p w14:paraId="53A80352">
            <w:pPr>
              <w:spacing w:line="64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rPr>
              <w:t>会计审核：</w:t>
            </w:r>
          </w:p>
          <w:p w14:paraId="3D106C17">
            <w:pPr>
              <w:spacing w:line="64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rPr>
              <w:t>财务负责人审核：</w:t>
            </w:r>
          </w:p>
          <w:p w14:paraId="5ED38B5F">
            <w:pPr>
              <w:spacing w:line="64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rPr>
              <w:t>单位负责人签字：</w:t>
            </w:r>
          </w:p>
          <w:p w14:paraId="6D644C90">
            <w:pPr>
              <w:spacing w:line="64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rPr>
              <w:t>出纳办理转账日期：</w:t>
            </w:r>
          </w:p>
        </w:tc>
      </w:tr>
    </w:tbl>
    <w:p w14:paraId="450F7B5F">
      <w:pPr>
        <w:pStyle w:val="2"/>
        <w:ind w:left="450" w:leftChars="114" w:hanging="211" w:hangingChars="100"/>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注：供应商凭经采购单位审批的退付意见书到相关财务部办理履约保证金退付事宜。</w:t>
      </w:r>
    </w:p>
    <w:p w14:paraId="00E0BFB0">
      <w:pPr>
        <w:spacing w:before="120" w:line="320" w:lineRule="atLeast"/>
        <w:jc w:val="left"/>
        <w:outlineLvl w:val="1"/>
        <w:rPr>
          <w:rFonts w:hint="eastAsia" w:ascii="宋体" w:hAnsi="宋体" w:eastAsia="宋体" w:cs="宋体"/>
          <w:b/>
          <w:bCs/>
          <w:color w:val="auto"/>
          <w:kern w:val="0"/>
          <w:szCs w:val="21"/>
          <w:highlight w:val="none"/>
        </w:rPr>
      </w:pPr>
      <w:r>
        <w:rPr>
          <w:rFonts w:hint="eastAsia" w:ascii="宋体" w:hAnsi="宋体" w:eastAsia="宋体" w:cs="宋体"/>
          <w:b/>
          <w:color w:val="auto"/>
          <w:sz w:val="32"/>
          <w:szCs w:val="32"/>
          <w:highlight w:val="none"/>
        </w:rPr>
        <w:br w:type="page"/>
      </w:r>
      <w:bookmarkStart w:id="152" w:name="_Hlk77607667"/>
      <w:bookmarkStart w:id="153" w:name="_Hlk80978015"/>
      <w:r>
        <w:rPr>
          <w:rFonts w:hint="eastAsia" w:ascii="宋体" w:hAnsi="宋体" w:eastAsia="宋体" w:cs="宋体"/>
          <w:b/>
          <w:bCs/>
          <w:color w:val="auto"/>
          <w:kern w:val="0"/>
          <w:szCs w:val="21"/>
          <w:highlight w:val="none"/>
        </w:rPr>
        <w:t>合同附件2</w:t>
      </w:r>
    </w:p>
    <w:p w14:paraId="393886FF">
      <w:pPr>
        <w:snapToGrid w:val="0"/>
        <w:spacing w:line="360" w:lineRule="exact"/>
        <w:jc w:val="center"/>
        <w:rPr>
          <w:rFonts w:hint="eastAsia" w:ascii="宋体" w:hAnsi="宋体" w:eastAsia="宋体" w:cs="宋体"/>
          <w:b/>
          <w:bCs/>
          <w:color w:val="auto"/>
          <w:szCs w:val="21"/>
          <w:highlight w:val="none"/>
        </w:rPr>
      </w:pPr>
    </w:p>
    <w:p w14:paraId="2C9AE58D">
      <w:pPr>
        <w:snapToGrid w:val="0"/>
        <w:spacing w:line="360" w:lineRule="exact"/>
        <w:jc w:val="center"/>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履约验收方案</w:t>
      </w:r>
    </w:p>
    <w:p w14:paraId="1CBACDF7">
      <w:pPr>
        <w:widowControl/>
        <w:jc w:val="left"/>
        <w:rPr>
          <w:rFonts w:hint="eastAsia" w:ascii="宋体" w:hAnsi="宋体" w:eastAsia="宋体" w:cs="宋体"/>
          <w:color w:val="auto"/>
          <w:szCs w:val="21"/>
          <w:highlight w:val="none"/>
        </w:rPr>
      </w:pPr>
    </w:p>
    <w:p w14:paraId="186772BF">
      <w:pPr>
        <w:pStyle w:val="24"/>
        <w:snapToGrid w:val="0"/>
        <w:jc w:val="center"/>
        <w:rPr>
          <w:rFonts w:hint="eastAsia" w:ascii="宋体" w:hAnsi="宋体" w:eastAsia="宋体" w:cs="宋体"/>
          <w:b/>
          <w:color w:val="auto"/>
          <w:sz w:val="24"/>
          <w:szCs w:val="24"/>
          <w:highlight w:val="none"/>
        </w:rPr>
      </w:pPr>
      <w:bookmarkStart w:id="154" w:name="_Hlk77607077"/>
      <w:r>
        <w:rPr>
          <w:rFonts w:hint="eastAsia" w:ascii="宋体" w:hAnsi="宋体" w:eastAsia="宋体" w:cs="宋体"/>
          <w:b/>
          <w:color w:val="auto"/>
          <w:sz w:val="24"/>
          <w:szCs w:val="24"/>
          <w:highlight w:val="none"/>
        </w:rPr>
        <w:t>【备注：本方案除无法确定的内容外，所有选项必须选择，所有空格必须填写内容】</w:t>
      </w:r>
    </w:p>
    <w:bookmarkEnd w:id="154"/>
    <w:p w14:paraId="32064E9D">
      <w:pPr>
        <w:pStyle w:val="122"/>
        <w:ind w:firstLineChars="0"/>
        <w:rPr>
          <w:rFonts w:hint="eastAsia" w:ascii="宋体" w:hAnsi="宋体" w:eastAsia="宋体" w:cs="宋体"/>
          <w:color w:val="auto"/>
          <w:kern w:val="2"/>
          <w:sz w:val="21"/>
          <w:szCs w:val="21"/>
          <w:highlight w:val="none"/>
        </w:rPr>
      </w:pPr>
    </w:p>
    <w:p w14:paraId="6B133D7A">
      <w:pPr>
        <w:spacing w:before="120" w:line="320" w:lineRule="exact"/>
        <w:jc w:val="left"/>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1.履约验收工作参加人员</w:t>
      </w:r>
    </w:p>
    <w:p w14:paraId="555FBE31">
      <w:pPr>
        <w:spacing w:before="120" w:line="320" w:lineRule="exact"/>
        <w:jc w:val="left"/>
        <w:rPr>
          <w:rFonts w:hint="eastAsia" w:ascii="宋体" w:hAnsi="宋体" w:eastAsia="宋体" w:cs="宋体"/>
          <w:color w:val="auto"/>
          <w:szCs w:val="21"/>
          <w:highlight w:val="none"/>
        </w:rPr>
      </w:pPr>
      <w:r>
        <w:rPr>
          <w:rFonts w:hint="eastAsia" w:ascii="宋体" w:hAnsi="宋体" w:eastAsia="宋体" w:cs="宋体"/>
          <w:b/>
          <w:bCs/>
          <w:color w:val="auto"/>
          <w:szCs w:val="21"/>
          <w:highlight w:val="none"/>
        </w:rPr>
        <w:t>1.1履约验收主体单位</w:t>
      </w:r>
    </w:p>
    <w:p w14:paraId="6447EB61">
      <w:pPr>
        <w:spacing w:before="120" w:line="320" w:lineRule="exact"/>
        <w:ind w:firstLine="420" w:firstLineChars="200"/>
        <w:jc w:val="left"/>
        <w:rPr>
          <w:rFonts w:hint="eastAsia" w:ascii="宋体" w:hAnsi="宋体" w:eastAsia="宋体" w:cs="宋体"/>
          <w:color w:val="auto"/>
          <w:szCs w:val="21"/>
          <w:highlight w:val="none"/>
          <w:u w:val="single"/>
        </w:rPr>
      </w:pPr>
      <w:r>
        <w:rPr>
          <w:rStyle w:val="53"/>
          <w:rFonts w:hint="eastAsia" w:ascii="宋体" w:hAnsi="宋体" w:eastAsia="宋体" w:cs="宋体"/>
          <w:color w:val="auto"/>
          <w:highlight w:val="none"/>
          <w:u w:val="single"/>
        </w:rPr>
        <w:t>采购人</w:t>
      </w:r>
      <w:r>
        <w:rPr>
          <w:rStyle w:val="53"/>
          <w:rFonts w:hint="eastAsia" w:ascii="宋体" w:hAnsi="宋体" w:eastAsia="宋体" w:cs="宋体"/>
          <w:color w:val="auto"/>
          <w:highlight w:val="none"/>
        </w:rPr>
        <w:t>（如委托第三方机构签订，应注明收费方式）</w:t>
      </w:r>
    </w:p>
    <w:p w14:paraId="1F9DD9BC">
      <w:pPr>
        <w:spacing w:before="120" w:line="320" w:lineRule="exact"/>
        <w:jc w:val="left"/>
        <w:rPr>
          <w:rFonts w:hint="eastAsia" w:ascii="宋体" w:hAnsi="宋体" w:eastAsia="宋体" w:cs="宋体"/>
          <w:color w:val="auto"/>
          <w:szCs w:val="21"/>
          <w:highlight w:val="none"/>
        </w:rPr>
      </w:pPr>
      <w:r>
        <w:rPr>
          <w:rFonts w:hint="eastAsia" w:ascii="宋体" w:hAnsi="宋体" w:eastAsia="宋体" w:cs="宋体"/>
          <w:b/>
          <w:bCs/>
          <w:color w:val="auto"/>
          <w:szCs w:val="21"/>
          <w:highlight w:val="none"/>
        </w:rPr>
        <w:t>1.2履约验收参加人员</w:t>
      </w:r>
    </w:p>
    <w:p w14:paraId="45A06DA3">
      <w:pPr>
        <w:spacing w:before="120" w:line="320" w:lineRule="exact"/>
        <w:ind w:firstLine="420" w:firstLineChars="200"/>
        <w:jc w:val="left"/>
        <w:rPr>
          <w:rFonts w:hint="eastAsia" w:ascii="宋体" w:hAnsi="宋体" w:eastAsia="宋体" w:cs="宋体"/>
          <w:color w:val="auto"/>
          <w:szCs w:val="21"/>
          <w:highlight w:val="none"/>
          <w:u w:val="single"/>
        </w:rPr>
      </w:pPr>
      <w:r>
        <w:rPr>
          <w:rFonts w:hint="eastAsia" w:ascii="宋体" w:hAnsi="宋体" w:eastAsia="宋体" w:cs="宋体"/>
          <w:color w:val="auto"/>
          <w:highlight w:val="none"/>
        </w:rPr>
        <w:t>采购人代表、委托机构代表、成交供应商代表及采购人邀请的其他人员</w:t>
      </w:r>
    </w:p>
    <w:p w14:paraId="32642D67">
      <w:pPr>
        <w:spacing w:before="120" w:line="320" w:lineRule="exact"/>
        <w:jc w:val="left"/>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2.履约验收时间</w:t>
      </w:r>
    </w:p>
    <w:p w14:paraId="330CE433">
      <w:pPr>
        <w:spacing w:before="120" w:line="320" w:lineRule="exact"/>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20XX年XX月XX日</w:t>
      </w:r>
    </w:p>
    <w:p w14:paraId="723CCAFA">
      <w:pPr>
        <w:spacing w:before="120" w:line="320" w:lineRule="exact"/>
        <w:jc w:val="left"/>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3.履约验收地点</w:t>
      </w:r>
    </w:p>
    <w:p w14:paraId="1439F9EC">
      <w:pPr>
        <w:spacing w:before="120" w:line="320" w:lineRule="exact"/>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XX市XX区XX路XX号</w:t>
      </w:r>
    </w:p>
    <w:p w14:paraId="67EC97E0">
      <w:pPr>
        <w:spacing w:before="120" w:line="320" w:lineRule="exact"/>
        <w:jc w:val="left"/>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4.履约验收方式</w:t>
      </w:r>
    </w:p>
    <w:p w14:paraId="16F2D573">
      <w:pPr>
        <w:spacing w:before="120" w:line="320" w:lineRule="exact"/>
        <w:jc w:val="left"/>
        <w:rPr>
          <w:rFonts w:hint="eastAsia" w:ascii="宋体" w:hAnsi="宋体" w:eastAsia="宋体" w:cs="宋体"/>
          <w:b/>
          <w:bCs/>
          <w:color w:val="auto"/>
          <w:szCs w:val="21"/>
          <w:highlight w:val="none"/>
          <w:u w:val="single"/>
        </w:rPr>
      </w:pPr>
      <w:r>
        <w:rPr>
          <w:rFonts w:hint="eastAsia" w:ascii="宋体" w:hAnsi="宋体" w:eastAsia="宋体" w:cs="宋体"/>
          <w:color w:val="auto"/>
          <w:szCs w:val="21"/>
          <w:highlight w:val="none"/>
          <w:u w:val="single"/>
        </w:rPr>
        <w:t>采购人自行验收</w:t>
      </w:r>
    </w:p>
    <w:p w14:paraId="2077ED74">
      <w:pPr>
        <w:spacing w:before="120" w:line="320" w:lineRule="exact"/>
        <w:jc w:val="left"/>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5.履约验收程序</w:t>
      </w:r>
    </w:p>
    <w:p w14:paraId="073A8524">
      <w:pPr>
        <w:spacing w:before="120" w:line="320" w:lineRule="exact"/>
        <w:jc w:val="left"/>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5.1成立验收小组</w:t>
      </w:r>
    </w:p>
    <w:p w14:paraId="28E14182">
      <w:pPr>
        <w:spacing w:before="120" w:line="320" w:lineRule="exact"/>
        <w:jc w:val="left"/>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5.2量化验收标准</w:t>
      </w:r>
    </w:p>
    <w:p w14:paraId="33B65C8D">
      <w:pPr>
        <w:spacing w:before="120" w:line="320" w:lineRule="exact"/>
        <w:jc w:val="left"/>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5.3组织验收</w:t>
      </w:r>
    </w:p>
    <w:p w14:paraId="5CEE3A5F">
      <w:pPr>
        <w:spacing w:before="120" w:line="320" w:lineRule="exact"/>
        <w:jc w:val="left"/>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5.4出具验收报告</w:t>
      </w:r>
    </w:p>
    <w:p w14:paraId="4E91B2F9">
      <w:pPr>
        <w:spacing w:before="120" w:line="320" w:lineRule="exact"/>
        <w:jc w:val="left"/>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5.5验收结果公告</w:t>
      </w:r>
    </w:p>
    <w:p w14:paraId="04E29DAF">
      <w:pPr>
        <w:spacing w:before="120" w:line="320" w:lineRule="exact"/>
        <w:jc w:val="left"/>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5.6验收资料归档</w:t>
      </w:r>
    </w:p>
    <w:p w14:paraId="155BB2EF">
      <w:pPr>
        <w:spacing w:before="120" w:line="320" w:lineRule="exact"/>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采购合同项目完成验收后，</w:t>
      </w:r>
      <w:r>
        <w:rPr>
          <w:rFonts w:hint="eastAsia" w:ascii="宋体" w:hAnsi="宋体" w:cs="宋体"/>
          <w:color w:val="auto"/>
          <w:szCs w:val="21"/>
          <w:highlight w:val="none"/>
          <w:lang w:eastAsia="zh-CN"/>
        </w:rPr>
        <w:t>甲方</w:t>
      </w:r>
      <w:r>
        <w:rPr>
          <w:rFonts w:hint="eastAsia" w:ascii="宋体" w:hAnsi="宋体" w:eastAsia="宋体" w:cs="宋体"/>
          <w:color w:val="auto"/>
          <w:szCs w:val="21"/>
          <w:highlight w:val="none"/>
        </w:rPr>
        <w:t>整理好验收原始记录、验收书等资料后妥善保管，不得变造、隐匿或者销毁，验收资料保存期为采购结束之日起至少保存15年。</w:t>
      </w:r>
    </w:p>
    <w:p w14:paraId="7A9961F1">
      <w:pPr>
        <w:spacing w:before="120" w:line="320" w:lineRule="exact"/>
        <w:jc w:val="left"/>
        <w:rPr>
          <w:rFonts w:hint="eastAsia" w:ascii="宋体" w:hAnsi="宋体" w:eastAsia="宋体" w:cs="宋体"/>
          <w:b/>
          <w:bCs/>
          <w:iCs/>
          <w:color w:val="auto"/>
          <w:szCs w:val="21"/>
          <w:highlight w:val="none"/>
        </w:rPr>
      </w:pPr>
      <w:r>
        <w:rPr>
          <w:rFonts w:hint="eastAsia" w:ascii="宋体" w:hAnsi="宋体" w:eastAsia="宋体" w:cs="宋体"/>
          <w:b/>
          <w:bCs/>
          <w:color w:val="auto"/>
          <w:szCs w:val="21"/>
          <w:highlight w:val="none"/>
        </w:rPr>
        <w:t>6.履约验收内容</w:t>
      </w:r>
    </w:p>
    <w:p w14:paraId="6AC33815">
      <w:pPr>
        <w:spacing w:before="120" w:line="320" w:lineRule="exact"/>
        <w:jc w:val="left"/>
        <w:rPr>
          <w:rFonts w:hint="eastAsia" w:ascii="宋体" w:hAnsi="宋体" w:eastAsia="宋体" w:cs="宋体"/>
          <w:iCs/>
          <w:color w:val="auto"/>
          <w:szCs w:val="21"/>
          <w:highlight w:val="none"/>
        </w:rPr>
      </w:pPr>
      <w:r>
        <w:rPr>
          <w:rFonts w:hint="eastAsia" w:ascii="宋体" w:hAnsi="宋体" w:eastAsia="宋体" w:cs="宋体"/>
          <w:b/>
          <w:bCs/>
          <w:color w:val="auto"/>
          <w:szCs w:val="21"/>
          <w:highlight w:val="none"/>
        </w:rPr>
        <w:t>6.1商务验收内容</w:t>
      </w:r>
    </w:p>
    <w:p w14:paraId="590FBA8C">
      <w:pPr>
        <w:spacing w:before="120" w:line="320" w:lineRule="exact"/>
        <w:ind w:firstLine="420" w:firstLineChars="200"/>
        <w:jc w:val="left"/>
        <w:rPr>
          <w:rFonts w:hint="eastAsia" w:ascii="宋体" w:hAnsi="宋体" w:eastAsia="宋体" w:cs="宋体"/>
          <w:color w:val="auto"/>
          <w:szCs w:val="21"/>
          <w:highlight w:val="none"/>
          <w:u w:val="single"/>
        </w:rPr>
      </w:pPr>
      <w:r>
        <w:rPr>
          <w:rFonts w:hint="eastAsia" w:ascii="宋体" w:hAnsi="宋体" w:eastAsia="宋体" w:cs="宋体"/>
          <w:color w:val="auto"/>
          <w:szCs w:val="21"/>
          <w:highlight w:val="none"/>
        </w:rPr>
        <w:t>对采购标的交付的情况、财务和服务要求，包括交付（实施）的时间（期限）和地点（范围），付款条件（进度和方式），包装和运输，售后服务，保险等进行验收。</w:t>
      </w:r>
    </w:p>
    <w:p w14:paraId="046C66E6">
      <w:pPr>
        <w:spacing w:before="120" w:line="320" w:lineRule="exact"/>
        <w:jc w:val="left"/>
        <w:rPr>
          <w:rFonts w:hint="eastAsia" w:ascii="宋体" w:hAnsi="宋体" w:eastAsia="宋体" w:cs="宋体"/>
          <w:iCs/>
          <w:color w:val="auto"/>
          <w:szCs w:val="21"/>
          <w:highlight w:val="none"/>
        </w:rPr>
      </w:pPr>
      <w:r>
        <w:rPr>
          <w:rFonts w:hint="eastAsia" w:ascii="宋体" w:hAnsi="宋体" w:eastAsia="宋体" w:cs="宋体"/>
          <w:b/>
          <w:bCs/>
          <w:color w:val="auto"/>
          <w:szCs w:val="21"/>
          <w:highlight w:val="none"/>
        </w:rPr>
        <w:t>6.2技术验收内容</w:t>
      </w:r>
    </w:p>
    <w:p w14:paraId="3FC1CBF1">
      <w:pPr>
        <w:spacing w:before="120" w:line="320" w:lineRule="exact"/>
        <w:ind w:firstLine="420" w:firstLineChars="200"/>
        <w:jc w:val="left"/>
        <w:rPr>
          <w:rFonts w:hint="eastAsia" w:ascii="宋体" w:hAnsi="宋体" w:eastAsia="宋体" w:cs="宋体"/>
          <w:color w:val="auto"/>
          <w:szCs w:val="21"/>
          <w:highlight w:val="none"/>
          <w:u w:val="single"/>
        </w:rPr>
      </w:pPr>
      <w:r>
        <w:rPr>
          <w:rFonts w:hint="eastAsia" w:ascii="宋体" w:hAnsi="宋体" w:eastAsia="宋体" w:cs="宋体"/>
          <w:color w:val="auto"/>
          <w:szCs w:val="21"/>
          <w:highlight w:val="none"/>
        </w:rPr>
        <w:t>对采购标的的功能和质量要求，包括性能、材料、结构、外观、安全，或者服务内容和标准等进行验收。</w:t>
      </w:r>
    </w:p>
    <w:p w14:paraId="369DF5E9">
      <w:pPr>
        <w:spacing w:before="120" w:line="320" w:lineRule="exact"/>
        <w:jc w:val="left"/>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7.履约验收标准</w:t>
      </w:r>
    </w:p>
    <w:p w14:paraId="56532A88">
      <w:pPr>
        <w:pStyle w:val="122"/>
        <w:spacing w:before="120" w:line="320" w:lineRule="exact"/>
        <w:ind w:firstLine="4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验收标准：</w:t>
      </w:r>
    </w:p>
    <w:p w14:paraId="41F33304">
      <w:pPr>
        <w:pStyle w:val="122"/>
        <w:spacing w:before="120" w:line="320" w:lineRule="exact"/>
        <w:ind w:firstLine="420"/>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rPr>
        <w:t>（1）中标（成交）供应商应提供完备的技术或服务资料、装箱单和合格证等，并派遣专业人员进行现场安装调试。验收合格条件如下：</w:t>
      </w:r>
    </w:p>
    <w:p w14:paraId="43F021BD">
      <w:pPr>
        <w:spacing w:before="120" w:line="32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rPr>
        <w:t>服务技术参数与响应文件中响应表或证明材料一致，性能或指标达到规定的标准。否则，以实际服务技术参数与响应文件响应表参数或证明材料比较，按如下情况处理：</w:t>
      </w:r>
    </w:p>
    <w:p w14:paraId="3B6D1D7C">
      <w:pPr>
        <w:spacing w:before="120" w:line="32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rPr>
        <w:t>①供应商响应文件响应表或证明材料中满足或优于的技术参数，在验收时实际不满足技术参数要求的，视为供应商违约，</w:t>
      </w:r>
      <w:r>
        <w:rPr>
          <w:rFonts w:hint="eastAsia" w:ascii="宋体" w:hAnsi="宋体" w:cs="宋体"/>
          <w:color w:val="auto"/>
          <w:szCs w:val="21"/>
          <w:highlight w:val="none"/>
          <w:lang w:eastAsia="zh-CN"/>
        </w:rPr>
        <w:t>甲方</w:t>
      </w:r>
      <w:r>
        <w:rPr>
          <w:rFonts w:hint="eastAsia" w:ascii="宋体" w:hAnsi="宋体" w:eastAsia="宋体" w:cs="宋体"/>
          <w:color w:val="auto"/>
          <w:szCs w:val="21"/>
          <w:highlight w:val="none"/>
        </w:rPr>
        <w:t>有权终止合同拒收服务成果，并追究供应商责任，同时报财政部门备案。</w:t>
      </w:r>
    </w:p>
    <w:p w14:paraId="1F266DEF">
      <w:pPr>
        <w:spacing w:before="120" w:line="32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rPr>
        <w:t>②供应商响应文件响应表或证明材料中优于的技术参数，在验收时实际仅满足并未优于技术参数要求的，视为供应商违约，</w:t>
      </w:r>
      <w:r>
        <w:rPr>
          <w:rFonts w:hint="eastAsia" w:ascii="宋体" w:hAnsi="宋体" w:cs="宋体"/>
          <w:color w:val="auto"/>
          <w:szCs w:val="21"/>
          <w:highlight w:val="none"/>
          <w:lang w:eastAsia="zh-CN"/>
        </w:rPr>
        <w:t>甲方</w:t>
      </w:r>
      <w:r>
        <w:rPr>
          <w:rFonts w:hint="eastAsia" w:ascii="宋体" w:hAnsi="宋体" w:eastAsia="宋体" w:cs="宋体"/>
          <w:color w:val="auto"/>
          <w:szCs w:val="21"/>
          <w:highlight w:val="none"/>
        </w:rPr>
        <w:t>有权终止合同拒收服务成果，并追究供应商责任，同时报财政部门备案。</w:t>
      </w:r>
    </w:p>
    <w:p w14:paraId="6653E19C">
      <w:pPr>
        <w:spacing w:before="120" w:line="32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③供应商响应文件响应表或证明材料中不满足的技术参数，在验收时实际满足技术参数的要求，以满足技术参数的要求验收。 </w:t>
      </w:r>
    </w:p>
    <w:p w14:paraId="5CE395FD">
      <w:pPr>
        <w:spacing w:before="120" w:line="32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rPr>
        <w:t>④供应商响应文件响应表或证明材料中满足的技术参数，在验收时实际优于技术参数的要求，以满足技术参数的要求验收。</w:t>
      </w:r>
    </w:p>
    <w:p w14:paraId="45EEEBB6">
      <w:pPr>
        <w:spacing w:before="120" w:line="32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rPr>
        <w:t>⑤供应商响应文件响应表或证明材料中优于的技术参数，在验收时实际也优于技术参数的要求，但没有达到响应表或证明材料中优于的程度，由</w:t>
      </w:r>
      <w:r>
        <w:rPr>
          <w:rFonts w:hint="eastAsia" w:ascii="宋体" w:hAnsi="宋体" w:cs="宋体"/>
          <w:color w:val="auto"/>
          <w:szCs w:val="21"/>
          <w:highlight w:val="none"/>
          <w:lang w:eastAsia="zh-CN"/>
        </w:rPr>
        <w:t>甲方</w:t>
      </w:r>
      <w:r>
        <w:rPr>
          <w:rFonts w:hint="eastAsia" w:ascii="宋体" w:hAnsi="宋体" w:eastAsia="宋体" w:cs="宋体"/>
          <w:color w:val="auto"/>
          <w:szCs w:val="21"/>
          <w:highlight w:val="none"/>
        </w:rPr>
        <w:t>与供应商协商按是否满足要求验收。</w:t>
      </w:r>
    </w:p>
    <w:p w14:paraId="41BD1D55">
      <w:pPr>
        <w:spacing w:before="120" w:line="320" w:lineRule="exact"/>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（1）在测试或试运行期间所出现的问题得到解决，并运行或工作正常。</w:t>
      </w:r>
    </w:p>
    <w:p w14:paraId="1DF50B58">
      <w:pPr>
        <w:spacing w:before="120" w:line="320" w:lineRule="exact"/>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（2）在规定时间内完成交付及验收，并经</w:t>
      </w:r>
      <w:r>
        <w:rPr>
          <w:rFonts w:hint="eastAsia" w:ascii="宋体" w:hAnsi="宋体" w:cs="宋体"/>
          <w:color w:val="auto"/>
          <w:szCs w:val="21"/>
          <w:highlight w:val="none"/>
          <w:lang w:eastAsia="zh-CN"/>
        </w:rPr>
        <w:t>甲方</w:t>
      </w:r>
      <w:r>
        <w:rPr>
          <w:rFonts w:hint="eastAsia" w:ascii="宋体" w:hAnsi="宋体" w:eastAsia="宋体" w:cs="宋体"/>
          <w:color w:val="auto"/>
          <w:szCs w:val="21"/>
          <w:highlight w:val="none"/>
        </w:rPr>
        <w:t>确认。</w:t>
      </w:r>
    </w:p>
    <w:p w14:paraId="68DCE125">
      <w:pPr>
        <w:spacing w:before="120" w:line="320" w:lineRule="exact"/>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（3）服务在安装调试并试运行符合要求后，才作为最终验收。</w:t>
      </w:r>
    </w:p>
    <w:p w14:paraId="2F553851">
      <w:pPr>
        <w:spacing w:before="120" w:line="320" w:lineRule="exact"/>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（4）成交供应商提供的服务未达到招标文件规定要求，且对</w:t>
      </w:r>
      <w:r>
        <w:rPr>
          <w:rFonts w:hint="eastAsia" w:ascii="宋体" w:hAnsi="宋体" w:cs="宋体"/>
          <w:color w:val="auto"/>
          <w:szCs w:val="21"/>
          <w:highlight w:val="none"/>
          <w:lang w:eastAsia="zh-CN"/>
        </w:rPr>
        <w:t>甲方</w:t>
      </w:r>
      <w:r>
        <w:rPr>
          <w:rFonts w:hint="eastAsia" w:ascii="宋体" w:hAnsi="宋体" w:eastAsia="宋体" w:cs="宋体"/>
          <w:color w:val="auto"/>
          <w:szCs w:val="21"/>
          <w:highlight w:val="none"/>
        </w:rPr>
        <w:t>造成损失的，由成交供应商承担一切责任，并赔偿所造成的损失。</w:t>
      </w:r>
    </w:p>
    <w:p w14:paraId="4F925524">
      <w:pPr>
        <w:spacing w:before="120" w:line="320" w:lineRule="exact"/>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（5）政府采购合同约定的其他要求及投标文件响应的其他标准。</w:t>
      </w:r>
    </w:p>
    <w:p w14:paraId="21C638E7">
      <w:pPr>
        <w:spacing w:before="120" w:line="320" w:lineRule="exact"/>
        <w:ind w:firstLine="422" w:firstLineChars="200"/>
        <w:jc w:val="left"/>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8.履约验收其他事项</w:t>
      </w:r>
    </w:p>
    <w:p w14:paraId="35CF7385">
      <w:pPr>
        <w:spacing w:before="120" w:line="320" w:lineRule="exact"/>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无</w:t>
      </w:r>
    </w:p>
    <w:p w14:paraId="010B97FF">
      <w:pPr>
        <w:spacing w:before="120" w:line="320" w:lineRule="exact"/>
        <w:ind w:firstLine="420" w:firstLineChars="200"/>
        <w:jc w:val="left"/>
        <w:rPr>
          <w:rFonts w:hint="eastAsia" w:ascii="宋体" w:hAnsi="宋体" w:eastAsia="宋体" w:cs="宋体"/>
          <w:color w:val="auto"/>
          <w:szCs w:val="21"/>
          <w:highlight w:val="none"/>
        </w:rPr>
      </w:pPr>
    </w:p>
    <w:p w14:paraId="7C8F7D73">
      <w:pPr>
        <w:snapToGrid w:val="0"/>
        <w:spacing w:line="400" w:lineRule="exact"/>
        <w:jc w:val="both"/>
        <w:outlineLvl w:val="0"/>
        <w:rPr>
          <w:rFonts w:hint="eastAsia" w:ascii="宋体" w:hAnsi="宋体" w:eastAsia="宋体" w:cs="宋体"/>
          <w:bCs/>
          <w:color w:val="auto"/>
          <w:sz w:val="32"/>
          <w:szCs w:val="32"/>
          <w:highlight w:val="none"/>
          <w:lang w:val="en-US" w:eastAsia="zh-CN"/>
        </w:rPr>
      </w:pPr>
      <w:r>
        <w:rPr>
          <w:rFonts w:hint="eastAsia" w:ascii="宋体" w:hAnsi="宋体" w:eastAsia="宋体" w:cs="宋体"/>
          <w:color w:val="auto"/>
          <w:szCs w:val="21"/>
          <w:highlight w:val="none"/>
          <w:u w:val="single"/>
        </w:rPr>
        <w:br w:type="page"/>
      </w:r>
      <w:r>
        <w:rPr>
          <w:rFonts w:hint="eastAsia" w:ascii="宋体" w:hAnsi="宋体" w:eastAsia="宋体" w:cs="宋体"/>
          <w:bCs/>
          <w:color w:val="auto"/>
          <w:sz w:val="32"/>
          <w:szCs w:val="32"/>
          <w:highlight w:val="none"/>
          <w:lang w:eastAsia="zh-CN"/>
        </w:rPr>
        <w:t>JSZC标段</w:t>
      </w:r>
      <w:r>
        <w:rPr>
          <w:rFonts w:hint="eastAsia" w:ascii="宋体" w:hAnsi="宋体" w:eastAsia="宋体" w:cs="宋体"/>
          <w:bCs/>
          <w:color w:val="auto"/>
          <w:sz w:val="32"/>
          <w:szCs w:val="32"/>
          <w:highlight w:val="none"/>
        </w:rPr>
        <w:t>（技术支持标段）合同文本</w:t>
      </w:r>
    </w:p>
    <w:p w14:paraId="65EF713F">
      <w:pPr>
        <w:snapToGrid w:val="0"/>
        <w:spacing w:line="400" w:lineRule="exact"/>
        <w:jc w:val="center"/>
        <w:rPr>
          <w:rFonts w:hint="eastAsia" w:ascii="宋体" w:hAnsi="宋体" w:eastAsia="宋体" w:cs="宋体"/>
          <w:b/>
          <w:bCs/>
          <w:color w:val="auto"/>
          <w:sz w:val="32"/>
          <w:szCs w:val="32"/>
          <w:highlight w:val="none"/>
        </w:rPr>
      </w:pPr>
      <w:r>
        <w:rPr>
          <w:rFonts w:hint="eastAsia" w:ascii="宋体" w:hAnsi="宋体" w:eastAsia="宋体" w:cs="宋体"/>
          <w:b/>
          <w:bCs/>
          <w:color w:val="auto"/>
          <w:sz w:val="32"/>
          <w:szCs w:val="32"/>
          <w:highlight w:val="none"/>
        </w:rPr>
        <w:t>《广西壮族自治区政府采购合同》</w:t>
      </w:r>
    </w:p>
    <w:p w14:paraId="5A4B6DCF">
      <w:pPr>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采购人（甲方）：</w:t>
      </w:r>
      <w:r>
        <w:rPr>
          <w:rFonts w:hint="eastAsia" w:ascii="宋体" w:hAnsi="宋体" w:eastAsia="宋体" w:cs="宋体"/>
          <w:color w:val="auto"/>
          <w:szCs w:val="21"/>
          <w:highlight w:val="none"/>
          <w:u w:val="single"/>
          <w:lang w:val="en-US" w:eastAsia="zh-CN"/>
        </w:rPr>
        <w:t xml:space="preserve">                  </w:t>
      </w:r>
      <w:r>
        <w:rPr>
          <w:rFonts w:hint="eastAsia" w:ascii="宋体" w:hAnsi="宋体" w:eastAsia="宋体" w:cs="宋体"/>
          <w:color w:val="auto"/>
          <w:szCs w:val="21"/>
          <w:highlight w:val="none"/>
        </w:rPr>
        <w:t xml:space="preserve"> </w:t>
      </w:r>
    </w:p>
    <w:p w14:paraId="408F76E8">
      <w:pPr>
        <w:spacing w:line="360" w:lineRule="auto"/>
        <w:rPr>
          <w:rFonts w:hint="eastAsia" w:ascii="宋体" w:hAnsi="宋体" w:eastAsia="宋体" w:cs="宋体"/>
          <w:color w:val="auto"/>
          <w:szCs w:val="21"/>
          <w:highlight w:val="none"/>
          <w:u w:val="single"/>
        </w:rPr>
      </w:pPr>
      <w:r>
        <w:rPr>
          <w:rFonts w:hint="eastAsia" w:ascii="宋体" w:hAnsi="宋体" w:eastAsia="宋体" w:cs="宋体"/>
          <w:color w:val="auto"/>
          <w:szCs w:val="21"/>
          <w:highlight w:val="none"/>
        </w:rPr>
        <w:t>供应商（乙方）：</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 xml:space="preserve">    </w:t>
      </w:r>
    </w:p>
    <w:p w14:paraId="5E8573CC">
      <w:pPr>
        <w:spacing w:line="360" w:lineRule="auto"/>
        <w:rPr>
          <w:rFonts w:hint="eastAsia" w:ascii="宋体" w:hAnsi="宋体" w:eastAsia="宋体" w:cs="宋体"/>
          <w:color w:val="auto"/>
          <w:szCs w:val="21"/>
          <w:highlight w:val="none"/>
          <w:u w:val="single"/>
          <w:lang w:val="en-US"/>
        </w:rPr>
      </w:pPr>
      <w:r>
        <w:rPr>
          <w:rFonts w:hint="eastAsia" w:ascii="宋体" w:hAnsi="宋体" w:eastAsia="宋体" w:cs="宋体"/>
          <w:color w:val="auto"/>
          <w:szCs w:val="21"/>
          <w:highlight w:val="none"/>
        </w:rPr>
        <w:t>项目名称：</w:t>
      </w:r>
      <w:r>
        <w:rPr>
          <w:rFonts w:hint="eastAsia" w:ascii="宋体" w:hAnsi="宋体" w:eastAsia="宋体" w:cs="宋体"/>
          <w:color w:val="auto"/>
          <w:szCs w:val="21"/>
          <w:highlight w:val="none"/>
          <w:u w:val="single"/>
          <w:lang w:val="en-US" w:eastAsia="zh-CN"/>
        </w:rPr>
        <w:t xml:space="preserve">                                        </w:t>
      </w:r>
    </w:p>
    <w:p w14:paraId="10A0DE6D">
      <w:pPr>
        <w:spacing w:line="360" w:lineRule="auto"/>
        <w:rPr>
          <w:rFonts w:hint="eastAsia" w:ascii="宋体" w:hAnsi="宋体" w:eastAsia="宋体" w:cs="宋体"/>
          <w:color w:val="auto"/>
          <w:szCs w:val="21"/>
          <w:highlight w:val="none"/>
          <w:u w:val="single"/>
        </w:rPr>
      </w:pPr>
      <w:r>
        <w:rPr>
          <w:rFonts w:hint="eastAsia" w:ascii="宋体" w:hAnsi="宋体" w:eastAsia="宋体" w:cs="宋体"/>
          <w:color w:val="auto"/>
          <w:szCs w:val="21"/>
          <w:highlight w:val="none"/>
        </w:rPr>
        <w:t>项目编号：</w:t>
      </w:r>
      <w:r>
        <w:rPr>
          <w:rFonts w:hint="eastAsia" w:ascii="宋体" w:hAnsi="宋体" w:eastAsia="宋体" w:cs="宋体"/>
          <w:color w:val="auto"/>
          <w:szCs w:val="21"/>
          <w:highlight w:val="none"/>
          <w:u w:val="single"/>
        </w:rPr>
        <w:t xml:space="preserve">                   </w:t>
      </w:r>
    </w:p>
    <w:p w14:paraId="43678C87">
      <w:pPr>
        <w:pStyle w:val="2"/>
        <w:rPr>
          <w:rFonts w:hint="eastAsia" w:ascii="宋体" w:hAnsi="宋体" w:eastAsia="宋体" w:cs="宋体"/>
          <w:color w:val="auto"/>
          <w:kern w:val="2"/>
          <w:sz w:val="21"/>
          <w:szCs w:val="21"/>
          <w:highlight w:val="none"/>
          <w:lang w:val="en-US" w:eastAsia="zh-CN"/>
        </w:rPr>
      </w:pPr>
      <w:r>
        <w:rPr>
          <w:rFonts w:hint="eastAsia" w:ascii="宋体" w:hAnsi="宋体" w:eastAsia="宋体" w:cs="宋体"/>
          <w:color w:val="auto"/>
          <w:spacing w:val="0"/>
          <w:kern w:val="2"/>
          <w:sz w:val="21"/>
          <w:szCs w:val="21"/>
          <w:highlight w:val="none"/>
        </w:rPr>
        <w:t>采购计划号</w:t>
      </w:r>
      <w:r>
        <w:rPr>
          <w:rFonts w:hint="eastAsia" w:ascii="宋体" w:hAnsi="宋体" w:eastAsia="宋体" w:cs="宋体"/>
          <w:color w:val="auto"/>
          <w:spacing w:val="0"/>
          <w:kern w:val="2"/>
          <w:sz w:val="21"/>
          <w:szCs w:val="21"/>
          <w:highlight w:val="none"/>
          <w:lang w:eastAsia="zh-CN"/>
        </w:rPr>
        <w:t>：</w:t>
      </w:r>
      <w:r>
        <w:rPr>
          <w:rFonts w:hint="eastAsia" w:ascii="宋体" w:hAnsi="宋体" w:eastAsia="宋体" w:cs="宋体"/>
          <w:color w:val="auto"/>
          <w:spacing w:val="0"/>
          <w:kern w:val="2"/>
          <w:sz w:val="21"/>
          <w:szCs w:val="21"/>
          <w:highlight w:val="none"/>
          <w:lang w:val="en-US" w:eastAsia="zh-CN"/>
        </w:rPr>
        <w:t xml:space="preserve">                        </w:t>
      </w:r>
    </w:p>
    <w:p w14:paraId="7A3E5CD5">
      <w:pPr>
        <w:spacing w:line="360" w:lineRule="auto"/>
        <w:rPr>
          <w:rFonts w:hint="eastAsia" w:ascii="宋体" w:hAnsi="宋体" w:eastAsia="宋体" w:cs="宋体"/>
          <w:color w:val="auto"/>
          <w:szCs w:val="21"/>
          <w:highlight w:val="none"/>
          <w:u w:val="single"/>
        </w:rPr>
      </w:pPr>
      <w:r>
        <w:rPr>
          <w:rFonts w:hint="eastAsia" w:ascii="宋体" w:hAnsi="宋体" w:eastAsia="宋体" w:cs="宋体"/>
          <w:color w:val="auto"/>
          <w:szCs w:val="21"/>
          <w:highlight w:val="none"/>
        </w:rPr>
        <w:t>签订地点：</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u w:val="single"/>
          <w:lang w:val="en-US" w:eastAsia="zh-CN"/>
        </w:rPr>
        <w:t xml:space="preserve">    </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 xml:space="preserve">       签订时间：</w:t>
      </w:r>
      <w:r>
        <w:rPr>
          <w:rFonts w:hint="eastAsia" w:ascii="宋体" w:hAnsi="宋体" w:eastAsia="宋体" w:cs="宋体"/>
          <w:color w:val="auto"/>
          <w:szCs w:val="21"/>
          <w:highlight w:val="none"/>
          <w:u w:val="single"/>
          <w:lang w:val="en-US" w:eastAsia="zh-CN"/>
        </w:rPr>
        <w:t xml:space="preserve">       </w:t>
      </w:r>
      <w:r>
        <w:rPr>
          <w:rFonts w:hint="eastAsia" w:ascii="宋体" w:hAnsi="宋体" w:eastAsia="宋体" w:cs="宋体"/>
          <w:color w:val="auto"/>
          <w:szCs w:val="21"/>
          <w:highlight w:val="none"/>
          <w:u w:val="single"/>
        </w:rPr>
        <w:t xml:space="preserve">         </w:t>
      </w:r>
    </w:p>
    <w:p w14:paraId="457549FB">
      <w:pPr>
        <w:spacing w:line="360" w:lineRule="auto"/>
        <w:ind w:firstLine="0" w:firstLineChars="0"/>
        <w:rPr>
          <w:rFonts w:hint="eastAsia" w:ascii="宋体" w:hAnsi="宋体" w:eastAsia="宋体" w:cs="宋体"/>
          <w:color w:val="auto"/>
          <w:szCs w:val="21"/>
          <w:highlight w:val="none"/>
        </w:rPr>
      </w:pPr>
      <w:r>
        <w:rPr>
          <w:rFonts w:hint="eastAsia" w:ascii="宋体" w:hAnsi="宋体" w:eastAsia="宋体" w:cs="宋体"/>
          <w:color w:val="auto"/>
          <w:highlight w:val="none"/>
          <w:lang w:eastAsia="zh-CN"/>
        </w:rPr>
        <w:t>是否中小企业合同：是或否</w:t>
      </w:r>
    </w:p>
    <w:p w14:paraId="4D2F9E09">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根据《中华人民共和国民法典》等法律、法规规定，按照磋商文件规定条款和乙方响应文件及其承诺，甲乙双方签订本合同。</w:t>
      </w:r>
    </w:p>
    <w:p w14:paraId="050A06ED">
      <w:pPr>
        <w:spacing w:line="360" w:lineRule="auto"/>
        <w:ind w:firstLine="422" w:firstLineChars="200"/>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第一条　合同标的</w:t>
      </w:r>
    </w:p>
    <w:p w14:paraId="0E34929C">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w:t>
      </w:r>
      <w:r>
        <w:rPr>
          <w:rFonts w:hint="eastAsia" w:ascii="宋体" w:hAnsi="宋体" w:eastAsia="宋体" w:cs="宋体"/>
          <w:color w:val="auto"/>
          <w:szCs w:val="21"/>
          <w:highlight w:val="none"/>
          <w:lang w:val="en-US" w:eastAsia="zh-CN"/>
        </w:rPr>
        <w:t>.</w:t>
      </w:r>
      <w:r>
        <w:rPr>
          <w:rFonts w:hint="eastAsia" w:ascii="宋体" w:hAnsi="宋体" w:eastAsia="宋体" w:cs="宋体"/>
          <w:color w:val="auto"/>
          <w:szCs w:val="21"/>
          <w:highlight w:val="none"/>
        </w:rPr>
        <w:t>项目一览表</w:t>
      </w:r>
    </w:p>
    <w:tbl>
      <w:tblPr>
        <w:tblStyle w:val="45"/>
        <w:tblW w:w="9060" w:type="dxa"/>
        <w:tblInd w:w="-13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1"/>
        <w:gridCol w:w="1567"/>
        <w:gridCol w:w="932"/>
        <w:gridCol w:w="6070"/>
      </w:tblGrid>
      <w:tr w14:paraId="4FFE47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1" w:type="dxa"/>
            <w:tcBorders>
              <w:top w:val="single" w:color="auto" w:sz="4" w:space="0"/>
              <w:left w:val="single" w:color="auto" w:sz="4" w:space="0"/>
              <w:bottom w:val="single" w:color="auto" w:sz="4" w:space="0"/>
              <w:right w:val="single" w:color="auto" w:sz="4" w:space="0"/>
            </w:tcBorders>
            <w:noWrap/>
            <w:vAlign w:val="center"/>
          </w:tcPr>
          <w:p w14:paraId="462637E1">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序号</w:t>
            </w:r>
          </w:p>
        </w:tc>
        <w:tc>
          <w:tcPr>
            <w:tcW w:w="1567" w:type="dxa"/>
            <w:tcBorders>
              <w:top w:val="single" w:color="auto" w:sz="4" w:space="0"/>
              <w:left w:val="single" w:color="auto" w:sz="4" w:space="0"/>
              <w:bottom w:val="single" w:color="auto" w:sz="4" w:space="0"/>
              <w:right w:val="single" w:color="auto" w:sz="4" w:space="0"/>
            </w:tcBorders>
            <w:noWrap/>
            <w:vAlign w:val="center"/>
          </w:tcPr>
          <w:p w14:paraId="6C9B1D12">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名称</w:t>
            </w:r>
          </w:p>
        </w:tc>
        <w:tc>
          <w:tcPr>
            <w:tcW w:w="932" w:type="dxa"/>
            <w:tcBorders>
              <w:top w:val="single" w:color="auto" w:sz="4" w:space="0"/>
              <w:left w:val="single" w:color="auto" w:sz="4" w:space="0"/>
              <w:bottom w:val="single" w:color="auto" w:sz="4" w:space="0"/>
              <w:right w:val="single" w:color="auto" w:sz="4" w:space="0"/>
            </w:tcBorders>
            <w:noWrap/>
            <w:vAlign w:val="center"/>
          </w:tcPr>
          <w:p w14:paraId="6DEEF212">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数量</w:t>
            </w:r>
          </w:p>
        </w:tc>
        <w:tc>
          <w:tcPr>
            <w:tcW w:w="6070" w:type="dxa"/>
            <w:tcBorders>
              <w:top w:val="single" w:color="auto" w:sz="4" w:space="0"/>
              <w:left w:val="single" w:color="auto" w:sz="4" w:space="0"/>
              <w:bottom w:val="single" w:color="auto" w:sz="4" w:space="0"/>
              <w:right w:val="single" w:color="auto" w:sz="4" w:space="0"/>
            </w:tcBorders>
            <w:noWrap/>
            <w:vAlign w:val="center"/>
          </w:tcPr>
          <w:p w14:paraId="52973E4E">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服务内容</w:t>
            </w:r>
          </w:p>
        </w:tc>
      </w:tr>
      <w:tr w14:paraId="055F55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1" w:type="dxa"/>
            <w:tcBorders>
              <w:top w:val="single" w:color="auto" w:sz="4" w:space="0"/>
              <w:left w:val="single" w:color="auto" w:sz="4" w:space="0"/>
              <w:bottom w:val="single" w:color="auto" w:sz="4" w:space="0"/>
              <w:right w:val="single" w:color="auto" w:sz="4" w:space="0"/>
            </w:tcBorders>
            <w:noWrap/>
            <w:vAlign w:val="center"/>
          </w:tcPr>
          <w:p w14:paraId="7DD49724">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1</w:t>
            </w:r>
          </w:p>
        </w:tc>
        <w:tc>
          <w:tcPr>
            <w:tcW w:w="1567" w:type="dxa"/>
            <w:tcBorders>
              <w:top w:val="single" w:color="auto" w:sz="4" w:space="0"/>
              <w:left w:val="single" w:color="auto" w:sz="4" w:space="0"/>
              <w:bottom w:val="single" w:color="auto" w:sz="4" w:space="0"/>
              <w:right w:val="single" w:color="auto" w:sz="4" w:space="0"/>
            </w:tcBorders>
            <w:noWrap/>
            <w:vAlign w:val="center"/>
          </w:tcPr>
          <w:p w14:paraId="10B9537B">
            <w:pPr>
              <w:spacing w:line="360" w:lineRule="auto"/>
              <w:jc w:val="center"/>
              <w:rPr>
                <w:rFonts w:hint="eastAsia" w:ascii="宋体" w:hAnsi="宋体" w:eastAsia="宋体" w:cs="宋体"/>
                <w:color w:val="auto"/>
                <w:szCs w:val="21"/>
                <w:highlight w:val="none"/>
              </w:rPr>
            </w:pPr>
          </w:p>
        </w:tc>
        <w:tc>
          <w:tcPr>
            <w:tcW w:w="932" w:type="dxa"/>
            <w:tcBorders>
              <w:top w:val="single" w:color="auto" w:sz="4" w:space="0"/>
              <w:left w:val="single" w:color="auto" w:sz="4" w:space="0"/>
              <w:bottom w:val="single" w:color="auto" w:sz="4" w:space="0"/>
              <w:right w:val="single" w:color="auto" w:sz="4" w:space="0"/>
            </w:tcBorders>
            <w:noWrap/>
            <w:vAlign w:val="center"/>
          </w:tcPr>
          <w:p w14:paraId="1B47835E">
            <w:pPr>
              <w:spacing w:line="360" w:lineRule="auto"/>
              <w:jc w:val="center"/>
              <w:rPr>
                <w:rFonts w:hint="eastAsia" w:ascii="宋体" w:hAnsi="宋体" w:eastAsia="宋体" w:cs="宋体"/>
                <w:color w:val="auto"/>
                <w:szCs w:val="21"/>
                <w:highlight w:val="none"/>
              </w:rPr>
            </w:pPr>
          </w:p>
        </w:tc>
        <w:tc>
          <w:tcPr>
            <w:tcW w:w="6070" w:type="dxa"/>
            <w:tcBorders>
              <w:top w:val="single" w:color="auto" w:sz="4" w:space="0"/>
              <w:left w:val="single" w:color="auto" w:sz="4" w:space="0"/>
              <w:bottom w:val="single" w:color="auto" w:sz="4" w:space="0"/>
              <w:right w:val="single" w:color="auto" w:sz="4" w:space="0"/>
            </w:tcBorders>
            <w:noWrap/>
            <w:vAlign w:val="center"/>
          </w:tcPr>
          <w:p w14:paraId="249D333C">
            <w:pPr>
              <w:spacing w:line="360" w:lineRule="auto"/>
              <w:rPr>
                <w:rFonts w:hint="eastAsia" w:ascii="宋体" w:hAnsi="宋体" w:eastAsia="宋体" w:cs="宋体"/>
                <w:color w:val="auto"/>
                <w:szCs w:val="21"/>
                <w:highlight w:val="none"/>
              </w:rPr>
            </w:pPr>
          </w:p>
        </w:tc>
      </w:tr>
      <w:tr w14:paraId="16B212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60" w:type="dxa"/>
            <w:gridSpan w:val="4"/>
            <w:tcBorders>
              <w:top w:val="single" w:color="auto" w:sz="4" w:space="0"/>
              <w:left w:val="single" w:color="auto" w:sz="4" w:space="0"/>
              <w:bottom w:val="single" w:color="auto" w:sz="4" w:space="0"/>
              <w:right w:val="single" w:color="auto" w:sz="4" w:space="0"/>
            </w:tcBorders>
            <w:noWrap/>
            <w:vAlign w:val="center"/>
          </w:tcPr>
          <w:p w14:paraId="261ADFE3">
            <w:pPr>
              <w:spacing w:line="360" w:lineRule="auto"/>
              <w:rPr>
                <w:rFonts w:hint="eastAsia" w:ascii="宋体" w:hAnsi="宋体" w:eastAsia="宋体" w:cs="宋体"/>
                <w:bCs/>
                <w:color w:val="auto"/>
                <w:szCs w:val="21"/>
                <w:highlight w:val="none"/>
              </w:rPr>
            </w:pPr>
            <w:r>
              <w:rPr>
                <w:rFonts w:hint="eastAsia" w:ascii="宋体" w:hAnsi="宋体" w:eastAsia="宋体" w:cs="宋体"/>
                <w:color w:val="auto"/>
                <w:szCs w:val="21"/>
                <w:highlight w:val="none"/>
              </w:rPr>
              <w:t>人民币合计金额（大写）：</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 xml:space="preserve">） </w:t>
            </w:r>
          </w:p>
        </w:tc>
      </w:tr>
    </w:tbl>
    <w:p w14:paraId="6FBF2502">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w:t>
      </w:r>
      <w:r>
        <w:rPr>
          <w:rFonts w:hint="eastAsia" w:ascii="宋体" w:hAnsi="宋体" w:eastAsia="宋体" w:cs="宋体"/>
          <w:color w:val="auto"/>
          <w:szCs w:val="21"/>
          <w:highlight w:val="none"/>
          <w:lang w:val="en-US" w:eastAsia="zh-CN"/>
        </w:rPr>
        <w:t>.</w:t>
      </w:r>
      <w:r>
        <w:rPr>
          <w:rFonts w:hint="eastAsia" w:ascii="宋体" w:hAnsi="宋体" w:eastAsia="宋体" w:cs="宋体"/>
          <w:color w:val="auto"/>
          <w:szCs w:val="21"/>
          <w:highlight w:val="none"/>
        </w:rPr>
        <w:t>合同合计金额是履行合同的最终价格，应包括但不限于项目所有服务内容、资料收集、专家劳务、项目所需投入的人员、技术、交通、差旅、采购代理服务、验收等费用、包含各项保险费用和各项税金。</w:t>
      </w:r>
    </w:p>
    <w:p w14:paraId="6E763770">
      <w:pPr>
        <w:spacing w:line="360" w:lineRule="auto"/>
        <w:ind w:firstLine="422" w:firstLineChars="200"/>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第二条　质量保证</w:t>
      </w:r>
    </w:p>
    <w:p w14:paraId="41F56014">
      <w:pPr>
        <w:snapToGrid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乙方所提供的服务及服务内容必须与响应文件承诺相一致，有国家强制性标准的，还必须符合国家强制性标准的规定，没有国家强制性标准但有其他强制性标准的，必须符合其他强制性标准的规定。</w:t>
      </w:r>
    </w:p>
    <w:p w14:paraId="1CDC21F4">
      <w:pPr>
        <w:spacing w:line="360" w:lineRule="auto"/>
        <w:ind w:firstLine="422" w:firstLineChars="200"/>
        <w:rPr>
          <w:rFonts w:hint="eastAsia" w:ascii="宋体" w:hAnsi="宋体" w:eastAsia="宋体" w:cs="宋体"/>
          <w:color w:val="auto"/>
          <w:szCs w:val="21"/>
          <w:highlight w:val="none"/>
        </w:rPr>
      </w:pPr>
      <w:r>
        <w:rPr>
          <w:rFonts w:hint="eastAsia" w:ascii="宋体" w:hAnsi="宋体" w:eastAsia="宋体" w:cs="宋体"/>
          <w:b/>
          <w:color w:val="auto"/>
          <w:szCs w:val="21"/>
          <w:highlight w:val="none"/>
        </w:rPr>
        <w:t>第三条　权利保证</w:t>
      </w:r>
    </w:p>
    <w:p w14:paraId="77D70C60">
      <w:pPr>
        <w:snapToGrid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w:t>
      </w:r>
      <w:r>
        <w:rPr>
          <w:rFonts w:hint="eastAsia" w:ascii="宋体" w:hAnsi="宋体" w:eastAsia="宋体" w:cs="宋体"/>
          <w:color w:val="auto"/>
          <w:szCs w:val="21"/>
          <w:highlight w:val="none"/>
          <w:lang w:val="en-US" w:eastAsia="zh-CN"/>
        </w:rPr>
        <w:t>.</w:t>
      </w:r>
      <w:r>
        <w:rPr>
          <w:rFonts w:hint="eastAsia" w:ascii="宋体" w:hAnsi="宋体" w:eastAsia="宋体" w:cs="宋体"/>
          <w:color w:val="auto"/>
          <w:szCs w:val="21"/>
          <w:highlight w:val="none"/>
        </w:rPr>
        <w:t>乙方应保证所提供服务在使用时不会侵犯任何第三方的专利权、商标权、工业设计权等知识产权及其他合法权利，且所有权、处分权等没有受到任何限制。</w:t>
      </w:r>
    </w:p>
    <w:p w14:paraId="768A4514">
      <w:pPr>
        <w:snapToGrid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w:t>
      </w:r>
      <w:r>
        <w:rPr>
          <w:rFonts w:hint="eastAsia" w:ascii="宋体" w:hAnsi="宋体" w:eastAsia="宋体" w:cs="宋体"/>
          <w:color w:val="auto"/>
          <w:szCs w:val="21"/>
          <w:highlight w:val="none"/>
          <w:lang w:val="en-US" w:eastAsia="zh-CN"/>
        </w:rPr>
        <w:t>.</w:t>
      </w:r>
      <w:r>
        <w:rPr>
          <w:rFonts w:hint="eastAsia" w:ascii="宋体" w:hAnsi="宋体" w:eastAsia="宋体" w:cs="宋体"/>
          <w:color w:val="auto"/>
          <w:szCs w:val="21"/>
          <w:highlight w:val="none"/>
        </w:rPr>
        <w:t>乙方必须为本项目涉及的各种资料、数据和收据等保密。未经甲方书面同意,乙方及乙方员工不得泄露、遗失、复印与本合同规定业务活动有关的一切资料和内容。所有甲方或第三人（与合同业务有关相关单位）提供的与本合同规定业务活动有关的一切资料，在合同结束后均应归还。</w:t>
      </w:r>
    </w:p>
    <w:p w14:paraId="6D98448A">
      <w:pPr>
        <w:snapToGrid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3</w:t>
      </w:r>
      <w:r>
        <w:rPr>
          <w:rFonts w:hint="eastAsia" w:ascii="宋体" w:hAnsi="宋体" w:eastAsia="宋体" w:cs="宋体"/>
          <w:color w:val="auto"/>
          <w:szCs w:val="21"/>
          <w:highlight w:val="none"/>
          <w:lang w:val="en-US" w:eastAsia="zh-CN"/>
        </w:rPr>
        <w:t>.</w:t>
      </w:r>
      <w:r>
        <w:rPr>
          <w:rFonts w:hint="eastAsia" w:ascii="宋体" w:hAnsi="宋体" w:eastAsia="宋体" w:cs="宋体"/>
          <w:color w:val="auto"/>
          <w:szCs w:val="21"/>
          <w:highlight w:val="none"/>
        </w:rPr>
        <w:t>乙方因履行本合同而产生的知识产权归甲方所有。</w:t>
      </w:r>
    </w:p>
    <w:p w14:paraId="426984FA">
      <w:pPr>
        <w:spacing w:line="360" w:lineRule="auto"/>
        <w:ind w:firstLine="422" w:firstLineChars="200"/>
        <w:rPr>
          <w:rFonts w:hint="eastAsia" w:ascii="宋体" w:hAnsi="宋体" w:eastAsia="宋体" w:cs="宋体"/>
          <w:color w:val="auto"/>
          <w:szCs w:val="21"/>
          <w:highlight w:val="none"/>
        </w:rPr>
      </w:pPr>
      <w:r>
        <w:rPr>
          <w:rFonts w:hint="eastAsia" w:ascii="宋体" w:hAnsi="宋体" w:eastAsia="宋体" w:cs="宋体"/>
          <w:b/>
          <w:color w:val="auto"/>
          <w:szCs w:val="21"/>
          <w:highlight w:val="none"/>
        </w:rPr>
        <w:t>第四条　交付和验收</w:t>
      </w:r>
    </w:p>
    <w:p w14:paraId="12201A9C">
      <w:pPr>
        <w:snapToGrid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w:t>
      </w:r>
      <w:r>
        <w:rPr>
          <w:rFonts w:hint="eastAsia" w:ascii="宋体" w:hAnsi="宋体" w:eastAsia="宋体" w:cs="宋体"/>
          <w:color w:val="auto"/>
          <w:szCs w:val="21"/>
          <w:highlight w:val="none"/>
          <w:lang w:val="en-US" w:eastAsia="zh-CN"/>
        </w:rPr>
        <w:t>.</w:t>
      </w:r>
      <w:r>
        <w:rPr>
          <w:rFonts w:hint="eastAsia" w:ascii="宋体" w:hAnsi="宋体" w:eastAsia="宋体" w:cs="宋体"/>
          <w:color w:val="auto"/>
          <w:szCs w:val="21"/>
          <w:highlight w:val="none"/>
          <w:lang w:eastAsia="zh-CN"/>
        </w:rPr>
        <w:t>合同履行期限</w:t>
      </w:r>
      <w:r>
        <w:rPr>
          <w:rFonts w:hint="eastAsia" w:ascii="宋体" w:hAnsi="宋体" w:eastAsia="宋体" w:cs="宋体"/>
          <w:color w:val="auto"/>
          <w:szCs w:val="21"/>
          <w:highlight w:val="none"/>
        </w:rPr>
        <w:t>：</w:t>
      </w:r>
      <w:r>
        <w:rPr>
          <w:rFonts w:hint="eastAsia" w:ascii="宋体" w:hAnsi="宋体" w:eastAsia="宋体" w:cs="宋体"/>
          <w:color w:val="auto"/>
          <w:szCs w:val="21"/>
          <w:highlight w:val="none"/>
          <w:u w:val="single"/>
          <w:lang w:val="en-US" w:eastAsia="zh-CN"/>
        </w:rPr>
        <w:t>服务期为合同签订日后12个月以内，技术支持中标人需在采购人提出需求后3日内安排相应专家提供技术支持服务</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w:t>
      </w:r>
    </w:p>
    <w:p w14:paraId="7F3C5CC2">
      <w:pPr>
        <w:snapToGrid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2.</w:t>
      </w:r>
      <w:r>
        <w:rPr>
          <w:rFonts w:hint="eastAsia" w:ascii="宋体" w:hAnsi="宋体" w:eastAsia="宋体" w:cs="宋体"/>
          <w:color w:val="auto"/>
          <w:szCs w:val="21"/>
          <w:highlight w:val="none"/>
        </w:rPr>
        <w:t>服务地点：广西区内甲方指定地点。</w:t>
      </w:r>
    </w:p>
    <w:p w14:paraId="5CFBB4D1">
      <w:pPr>
        <w:snapToGrid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3.</w:t>
      </w:r>
      <w:r>
        <w:rPr>
          <w:rFonts w:hint="eastAsia" w:ascii="宋体" w:hAnsi="宋体" w:eastAsia="宋体" w:cs="宋体"/>
          <w:color w:val="auto"/>
          <w:szCs w:val="21"/>
          <w:highlight w:val="none"/>
        </w:rPr>
        <w:t>服务成果：</w:t>
      </w:r>
      <w:r>
        <w:rPr>
          <w:rFonts w:hint="eastAsia" w:ascii="宋体" w:hAnsi="宋体" w:cs="宋体"/>
          <w:color w:val="auto"/>
          <w:szCs w:val="21"/>
          <w:highlight w:val="none"/>
          <w:u w:val="single"/>
          <w:lang w:val="en-US" w:eastAsia="zh-CN"/>
        </w:rPr>
        <w:t>《2026年广西交通工程建设领域行业监督检查服务工作总结报告》《2026年交通工程质量监督情况分析与完善建议研究报告》</w:t>
      </w:r>
      <w:r>
        <w:rPr>
          <w:rFonts w:hint="eastAsia" w:ascii="宋体" w:hAnsi="宋体" w:eastAsia="宋体" w:cs="宋体"/>
          <w:color w:val="auto"/>
          <w:szCs w:val="21"/>
          <w:highlight w:val="none"/>
          <w:u w:val="single"/>
          <w:lang w:val="en-US" w:eastAsia="zh-CN"/>
        </w:rPr>
        <w:t>纸质版5份，并提交电子版报告</w:t>
      </w:r>
      <w:r>
        <w:rPr>
          <w:rFonts w:hint="eastAsia" w:ascii="宋体" w:hAnsi="宋体" w:cs="宋体"/>
          <w:color w:val="auto"/>
          <w:szCs w:val="21"/>
          <w:highlight w:val="none"/>
          <w:u w:val="single"/>
          <w:lang w:val="en-US" w:eastAsia="zh-CN"/>
        </w:rPr>
        <w:t>。</w:t>
      </w:r>
    </w:p>
    <w:p w14:paraId="72104DF8">
      <w:pPr>
        <w:snapToGrid w:val="0"/>
        <w:spacing w:line="360" w:lineRule="auto"/>
        <w:ind w:firstLine="420" w:firstLineChars="200"/>
        <w:rPr>
          <w:rFonts w:hint="eastAsia" w:ascii="宋体" w:hAnsi="宋体" w:eastAsia="宋体" w:cs="宋体"/>
          <w:color w:val="auto"/>
          <w:szCs w:val="21"/>
          <w:highlight w:val="none"/>
          <w:u w:val="single"/>
          <w:lang w:val="en-US" w:eastAsia="zh-CN"/>
        </w:rPr>
      </w:pPr>
      <w:r>
        <w:rPr>
          <w:rFonts w:hint="eastAsia" w:ascii="宋体" w:hAnsi="宋体" w:eastAsia="宋体" w:cs="宋体"/>
          <w:color w:val="auto"/>
          <w:szCs w:val="21"/>
          <w:highlight w:val="none"/>
          <w:lang w:val="en-US" w:eastAsia="zh-CN"/>
        </w:rPr>
        <w:t>4.</w:t>
      </w:r>
      <w:r>
        <w:rPr>
          <w:rFonts w:hint="eastAsia" w:ascii="宋体" w:hAnsi="宋体" w:eastAsia="宋体" w:cs="宋体"/>
          <w:color w:val="auto"/>
          <w:szCs w:val="21"/>
          <w:highlight w:val="none"/>
        </w:rPr>
        <w:t>交付时间：</w:t>
      </w:r>
      <w:r>
        <w:rPr>
          <w:rFonts w:hint="eastAsia" w:ascii="宋体" w:hAnsi="宋体" w:eastAsia="宋体" w:cs="宋体"/>
          <w:color w:val="auto"/>
          <w:szCs w:val="21"/>
          <w:highlight w:val="none"/>
          <w:u w:val="single"/>
          <w:lang w:val="en-US" w:eastAsia="zh-CN"/>
        </w:rPr>
        <w:t xml:space="preserve">  </w:t>
      </w:r>
      <w:r>
        <w:rPr>
          <w:rFonts w:hint="eastAsia" w:ascii="宋体" w:hAnsi="宋体" w:cs="宋体"/>
          <w:color w:val="auto"/>
          <w:szCs w:val="21"/>
          <w:highlight w:val="none"/>
          <w:u w:val="single"/>
          <w:lang w:val="en-US" w:eastAsia="zh-CN"/>
        </w:rPr>
        <w:t>甲方指定时间</w:t>
      </w:r>
      <w:r>
        <w:rPr>
          <w:rFonts w:hint="eastAsia" w:ascii="宋体" w:hAnsi="宋体" w:eastAsia="宋体" w:cs="宋体"/>
          <w:color w:val="auto"/>
          <w:szCs w:val="21"/>
          <w:highlight w:val="none"/>
          <w:u w:val="single"/>
          <w:lang w:val="en-US" w:eastAsia="zh-CN"/>
        </w:rPr>
        <w:t xml:space="preserve">  </w:t>
      </w:r>
    </w:p>
    <w:p w14:paraId="4646F1BF">
      <w:pPr>
        <w:snapToGrid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5.</w:t>
      </w:r>
      <w:r>
        <w:rPr>
          <w:rFonts w:hint="eastAsia" w:ascii="宋体" w:hAnsi="宋体" w:eastAsia="宋体" w:cs="宋体"/>
          <w:color w:val="auto"/>
          <w:szCs w:val="21"/>
          <w:highlight w:val="none"/>
        </w:rPr>
        <w:t>乙方应按响应文件的承诺向甲方提供相应的服务，并提供所服务内容的相关技术资料。</w:t>
      </w:r>
    </w:p>
    <w:p w14:paraId="5EDF61BC">
      <w:pPr>
        <w:snapToGrid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6.</w:t>
      </w:r>
      <w:r>
        <w:rPr>
          <w:rFonts w:hint="eastAsia" w:ascii="宋体" w:hAnsi="宋体" w:eastAsia="宋体" w:cs="宋体"/>
          <w:color w:val="auto"/>
          <w:szCs w:val="21"/>
          <w:highlight w:val="none"/>
        </w:rPr>
        <w:t>乙方提供不符合响应文件和本合同规定的服务成果，甲方有权拒绝接受。</w:t>
      </w:r>
    </w:p>
    <w:p w14:paraId="40E55681">
      <w:pPr>
        <w:snapToGrid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7.</w:t>
      </w:r>
      <w:r>
        <w:rPr>
          <w:rFonts w:hint="eastAsia" w:ascii="宋体" w:hAnsi="宋体" w:eastAsia="宋体" w:cs="宋体"/>
          <w:color w:val="auto"/>
          <w:szCs w:val="21"/>
          <w:highlight w:val="none"/>
        </w:rPr>
        <w:t>乙方应在合同签订后3个工作日内向甲方提供检查工作计划（包括但不限于开展时间、完成内容、形成成果等），并在完成服务后应及时书面通知甲方进行验收，甲方应在收到通知后七个工作日内进行验收。验收合格后由甲乙双方签署验收单并加盖</w:t>
      </w:r>
      <w:r>
        <w:rPr>
          <w:rFonts w:hint="eastAsia" w:ascii="宋体" w:hAnsi="宋体" w:cs="宋体"/>
          <w:color w:val="auto"/>
          <w:szCs w:val="21"/>
          <w:highlight w:val="none"/>
          <w:lang w:eastAsia="zh-CN"/>
        </w:rPr>
        <w:t>甲方</w:t>
      </w:r>
      <w:r>
        <w:rPr>
          <w:rFonts w:hint="eastAsia" w:ascii="宋体" w:hAnsi="宋体" w:eastAsia="宋体" w:cs="宋体"/>
          <w:color w:val="auto"/>
          <w:szCs w:val="21"/>
          <w:highlight w:val="none"/>
        </w:rPr>
        <w:t>公章，甲乙双方各执一份。</w:t>
      </w:r>
    </w:p>
    <w:p w14:paraId="7FAE59C6">
      <w:pPr>
        <w:snapToGrid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8.</w:t>
      </w:r>
      <w:r>
        <w:rPr>
          <w:rFonts w:hint="eastAsia" w:ascii="宋体" w:hAnsi="宋体" w:eastAsia="宋体" w:cs="宋体"/>
          <w:color w:val="auto"/>
          <w:szCs w:val="21"/>
          <w:highlight w:val="none"/>
        </w:rPr>
        <w:t>甲乙双方应按照双方合同、响应文件验收</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rPr>
        <w:t>未尽事宜参照《关于印发广西壮族自治区政府采购项目履约验收管理办法的通知》[桂财采〔2015〕22号]以及《财政部关于进一步加强政府采购需求和履约验收管理的指导意见》[财库〔2016〕205号]规定执行。</w:t>
      </w:r>
    </w:p>
    <w:p w14:paraId="4740DA5A">
      <w:pPr>
        <w:snapToGrid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9.</w:t>
      </w:r>
      <w:r>
        <w:rPr>
          <w:rFonts w:hint="eastAsia" w:ascii="宋体" w:hAnsi="宋体" w:eastAsia="宋体" w:cs="宋体"/>
          <w:color w:val="auto"/>
          <w:szCs w:val="21"/>
          <w:highlight w:val="none"/>
        </w:rPr>
        <w:t>甲方在初步验收或者最终验收过程中如发现乙方提供的服务成果不满足响应文件及本合同规定的，可暂缓向乙方付款，直到乙方及时完善并提交相应的服务成果且经甲方验收合格后，方可办理付款。</w:t>
      </w:r>
    </w:p>
    <w:p w14:paraId="03585DC1">
      <w:pPr>
        <w:snapToGrid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10.</w:t>
      </w:r>
      <w:r>
        <w:rPr>
          <w:rFonts w:hint="eastAsia" w:ascii="宋体" w:hAnsi="宋体" w:eastAsia="宋体" w:cs="宋体"/>
          <w:color w:val="auto"/>
          <w:szCs w:val="21"/>
          <w:highlight w:val="none"/>
        </w:rPr>
        <w:t>甲方验收时以书面形式提出异议的，乙方应自收到甲方书面异议后五个工作日内及时予以解决，否则甲方有权不出具服务验收合格单，乙方逾期解决的，按照逾期交付承担违约责任。</w:t>
      </w:r>
    </w:p>
    <w:p w14:paraId="4B8A8DED">
      <w:pPr>
        <w:snapToGrid w:val="0"/>
        <w:spacing w:line="360" w:lineRule="auto"/>
        <w:ind w:firstLine="422" w:firstLineChars="200"/>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第五条  售后服务及培训</w:t>
      </w:r>
    </w:p>
    <w:p w14:paraId="1FFC8707">
      <w:pPr>
        <w:snapToGrid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w:t>
      </w:r>
      <w:r>
        <w:rPr>
          <w:rFonts w:hint="eastAsia" w:ascii="宋体" w:hAnsi="宋体" w:eastAsia="宋体" w:cs="宋体"/>
          <w:color w:val="auto"/>
          <w:szCs w:val="21"/>
          <w:highlight w:val="none"/>
          <w:lang w:val="en-US" w:eastAsia="zh-CN"/>
        </w:rPr>
        <w:t>.</w:t>
      </w:r>
      <w:r>
        <w:rPr>
          <w:rFonts w:hint="eastAsia" w:ascii="宋体" w:hAnsi="宋体" w:eastAsia="宋体" w:cs="宋体"/>
          <w:color w:val="auto"/>
          <w:szCs w:val="21"/>
          <w:highlight w:val="none"/>
        </w:rPr>
        <w:t>乙方应按照国家有关法律法规和</w:t>
      </w:r>
      <w:r>
        <w:rPr>
          <w:rFonts w:hint="eastAsia" w:ascii="宋体" w:hAnsi="宋体" w:eastAsia="宋体" w:cs="宋体"/>
          <w:color w:val="auto"/>
          <w:szCs w:val="21"/>
          <w:highlight w:val="none"/>
          <w:lang w:val="en-US" w:eastAsia="zh-CN"/>
        </w:rPr>
        <w:t>相应磋商文件、响应文件承诺</w:t>
      </w:r>
      <w:r>
        <w:rPr>
          <w:rFonts w:hint="eastAsia" w:ascii="宋体" w:hAnsi="宋体" w:eastAsia="宋体" w:cs="宋体"/>
          <w:color w:val="auto"/>
          <w:szCs w:val="21"/>
          <w:highlight w:val="none"/>
        </w:rPr>
        <w:t>为甲方提供相应的售后服务。</w:t>
      </w:r>
    </w:p>
    <w:p w14:paraId="35AC02CF">
      <w:pPr>
        <w:snapToGrid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w:t>
      </w:r>
      <w:r>
        <w:rPr>
          <w:rFonts w:hint="eastAsia" w:ascii="宋体" w:hAnsi="宋体" w:eastAsia="宋体" w:cs="宋体"/>
          <w:color w:val="auto"/>
          <w:szCs w:val="21"/>
          <w:highlight w:val="none"/>
          <w:lang w:val="en-US" w:eastAsia="zh-CN"/>
        </w:rPr>
        <w:t>.</w:t>
      </w:r>
      <w:r>
        <w:rPr>
          <w:rFonts w:hint="eastAsia" w:ascii="宋体" w:hAnsi="宋体" w:eastAsia="宋体" w:cs="宋体"/>
          <w:color w:val="auto"/>
          <w:szCs w:val="21"/>
          <w:highlight w:val="none"/>
        </w:rPr>
        <w:t>甲方应提供必要测试条件（如场地、电源、水源等）。</w:t>
      </w:r>
    </w:p>
    <w:p w14:paraId="7D1EBB53">
      <w:pPr>
        <w:snapToGrid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3</w:t>
      </w:r>
      <w:r>
        <w:rPr>
          <w:rFonts w:hint="eastAsia" w:ascii="宋体" w:hAnsi="宋体" w:eastAsia="宋体" w:cs="宋体"/>
          <w:color w:val="auto"/>
          <w:szCs w:val="21"/>
          <w:highlight w:val="none"/>
          <w:lang w:val="en-US" w:eastAsia="zh-CN"/>
        </w:rPr>
        <w:t>.</w:t>
      </w:r>
      <w:r>
        <w:rPr>
          <w:rFonts w:hint="eastAsia" w:ascii="宋体" w:hAnsi="宋体" w:eastAsia="宋体" w:cs="宋体"/>
          <w:color w:val="auto"/>
          <w:szCs w:val="21"/>
          <w:highlight w:val="none"/>
        </w:rPr>
        <w:t>乙方负责甲方有关人员的培训（如有）。培训时间、地点：</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w:t>
      </w:r>
    </w:p>
    <w:p w14:paraId="00E9200E">
      <w:pPr>
        <w:snapToGrid w:val="0"/>
        <w:spacing w:line="360" w:lineRule="auto"/>
        <w:ind w:firstLine="422" w:firstLineChars="200"/>
        <w:rPr>
          <w:rFonts w:hint="eastAsia" w:ascii="宋体" w:hAnsi="宋体" w:eastAsia="宋体" w:cs="宋体"/>
          <w:color w:val="auto"/>
          <w:szCs w:val="21"/>
          <w:highlight w:val="none"/>
          <w:u w:val="single"/>
        </w:rPr>
      </w:pPr>
      <w:r>
        <w:rPr>
          <w:rFonts w:hint="eastAsia" w:ascii="宋体" w:hAnsi="宋体" w:eastAsia="宋体" w:cs="宋体"/>
          <w:b/>
          <w:color w:val="auto"/>
          <w:szCs w:val="21"/>
          <w:highlight w:val="none"/>
        </w:rPr>
        <w:t>第六条　付款方式</w:t>
      </w:r>
    </w:p>
    <w:p w14:paraId="7FC7D76C">
      <w:pPr>
        <w:snapToGrid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1.签订合同后，</w:t>
      </w:r>
      <w:r>
        <w:rPr>
          <w:rFonts w:hint="eastAsia" w:ascii="宋体" w:hAnsi="宋体" w:cs="宋体"/>
          <w:color w:val="auto"/>
          <w:szCs w:val="21"/>
          <w:highlight w:val="none"/>
          <w:lang w:val="en-US" w:eastAsia="zh-CN"/>
        </w:rPr>
        <w:t>乙方</w:t>
      </w:r>
      <w:r>
        <w:rPr>
          <w:rFonts w:hint="eastAsia" w:ascii="宋体" w:hAnsi="宋体" w:eastAsia="宋体" w:cs="宋体"/>
          <w:color w:val="auto"/>
          <w:szCs w:val="21"/>
          <w:highlight w:val="none"/>
          <w:lang w:val="en-US" w:eastAsia="zh-CN"/>
        </w:rPr>
        <w:t>须严格按照</w:t>
      </w:r>
      <w:r>
        <w:rPr>
          <w:rFonts w:hint="eastAsia" w:ascii="宋体" w:hAnsi="宋体" w:cs="宋体"/>
          <w:color w:val="auto"/>
          <w:szCs w:val="21"/>
          <w:highlight w:val="none"/>
          <w:lang w:val="en-US" w:eastAsia="zh-CN"/>
        </w:rPr>
        <w:t>甲方</w:t>
      </w:r>
      <w:r>
        <w:rPr>
          <w:rFonts w:hint="eastAsia" w:ascii="宋体" w:hAnsi="宋体" w:eastAsia="宋体" w:cs="宋体"/>
          <w:color w:val="auto"/>
          <w:szCs w:val="21"/>
          <w:highlight w:val="none"/>
          <w:lang w:val="en-US" w:eastAsia="zh-CN"/>
        </w:rPr>
        <w:t>的检测计划开展检测工作，</w:t>
      </w:r>
      <w:r>
        <w:rPr>
          <w:rFonts w:hint="eastAsia" w:ascii="宋体" w:hAnsi="宋体" w:cs="宋体"/>
          <w:color w:val="auto"/>
          <w:szCs w:val="21"/>
          <w:highlight w:val="none"/>
          <w:lang w:val="en-US" w:eastAsia="zh-CN"/>
        </w:rPr>
        <w:t>甲方</w:t>
      </w:r>
      <w:r>
        <w:rPr>
          <w:rFonts w:hint="eastAsia" w:ascii="宋体" w:hAnsi="宋体" w:eastAsia="宋体" w:cs="宋体"/>
          <w:color w:val="auto"/>
          <w:szCs w:val="21"/>
          <w:highlight w:val="none"/>
          <w:lang w:val="en-US" w:eastAsia="zh-CN"/>
        </w:rPr>
        <w:t>结合实际完成工作量分阶段支付款项，具体安排如下：</w:t>
      </w:r>
    </w:p>
    <w:p w14:paraId="3480581C">
      <w:pPr>
        <w:snapToGrid w:val="0"/>
        <w:spacing w:line="360" w:lineRule="auto"/>
        <w:ind w:firstLine="420" w:firstLineChars="200"/>
        <w:rPr>
          <w:rFonts w:hint="eastAsia" w:ascii="宋体" w:hAnsi="宋体" w:eastAsia="宋体" w:cs="宋体"/>
          <w:b w:val="0"/>
          <w:bCs w:val="0"/>
          <w:color w:val="auto"/>
          <w:szCs w:val="21"/>
          <w:highlight w:val="none"/>
        </w:rPr>
      </w:pPr>
      <w:r>
        <w:rPr>
          <w:rFonts w:hint="eastAsia" w:ascii="宋体" w:hAnsi="宋体" w:eastAsia="宋体" w:cs="宋体"/>
          <w:b w:val="0"/>
          <w:bCs w:val="0"/>
          <w:color w:val="auto"/>
          <w:szCs w:val="21"/>
          <w:highlight w:val="none"/>
          <w:lang w:val="en-US" w:eastAsia="zh-CN"/>
        </w:rPr>
        <w:t>1.</w:t>
      </w:r>
      <w:r>
        <w:rPr>
          <w:rFonts w:hint="eastAsia" w:ascii="宋体" w:hAnsi="宋体" w:cs="宋体"/>
          <w:b w:val="0"/>
          <w:bCs w:val="0"/>
          <w:color w:val="auto"/>
          <w:szCs w:val="21"/>
          <w:highlight w:val="none"/>
          <w:lang w:val="en-US" w:eastAsia="zh-CN"/>
        </w:rPr>
        <w:t>1</w:t>
      </w:r>
      <w:r>
        <w:rPr>
          <w:rFonts w:hint="eastAsia" w:ascii="宋体" w:hAnsi="宋体" w:eastAsia="宋体" w:cs="宋体"/>
          <w:b w:val="0"/>
          <w:bCs w:val="0"/>
          <w:color w:val="auto"/>
          <w:szCs w:val="21"/>
          <w:highlight w:val="none"/>
        </w:rPr>
        <w:t>预付款：合同签订生效之日起 20 个工作日内，支付合同总金额的 25%；</w:t>
      </w:r>
    </w:p>
    <w:p w14:paraId="606EDA35">
      <w:pPr>
        <w:snapToGrid w:val="0"/>
        <w:spacing w:line="360" w:lineRule="auto"/>
        <w:ind w:firstLine="420" w:firstLineChars="200"/>
        <w:rPr>
          <w:rFonts w:hint="eastAsia" w:ascii="宋体" w:hAnsi="宋体" w:eastAsia="宋体" w:cs="宋体"/>
          <w:b w:val="0"/>
          <w:bCs w:val="0"/>
          <w:color w:val="auto"/>
          <w:szCs w:val="21"/>
          <w:highlight w:val="none"/>
        </w:rPr>
      </w:pPr>
      <w:r>
        <w:rPr>
          <w:rFonts w:hint="eastAsia" w:ascii="宋体" w:hAnsi="宋体" w:cs="宋体"/>
          <w:b w:val="0"/>
          <w:bCs w:val="0"/>
          <w:color w:val="auto"/>
          <w:szCs w:val="21"/>
          <w:highlight w:val="none"/>
          <w:lang w:val="en-US" w:eastAsia="zh-CN"/>
        </w:rPr>
        <w:t>1.2</w:t>
      </w:r>
      <w:r>
        <w:rPr>
          <w:rFonts w:hint="eastAsia" w:ascii="宋体" w:hAnsi="宋体" w:eastAsia="宋体" w:cs="宋体"/>
          <w:b w:val="0"/>
          <w:bCs w:val="0"/>
          <w:color w:val="auto"/>
          <w:szCs w:val="21"/>
          <w:highlight w:val="none"/>
        </w:rPr>
        <w:t>第一期进度款：2026 年 9 月</w:t>
      </w:r>
      <w:r>
        <w:rPr>
          <w:rFonts w:hint="eastAsia" w:ascii="宋体" w:hAnsi="宋体" w:eastAsia="宋体" w:cs="宋体"/>
          <w:b w:val="0"/>
          <w:bCs w:val="0"/>
          <w:color w:val="auto"/>
          <w:szCs w:val="21"/>
          <w:highlight w:val="none"/>
          <w:lang w:val="en-US" w:eastAsia="zh-CN"/>
        </w:rPr>
        <w:t>底前</w:t>
      </w:r>
      <w:r>
        <w:rPr>
          <w:rFonts w:hint="eastAsia" w:ascii="宋体" w:hAnsi="宋体" w:eastAsia="宋体" w:cs="宋体"/>
          <w:b w:val="0"/>
          <w:bCs w:val="0"/>
          <w:color w:val="auto"/>
          <w:szCs w:val="21"/>
          <w:highlight w:val="none"/>
        </w:rPr>
        <w:t>，</w:t>
      </w:r>
      <w:r>
        <w:rPr>
          <w:rFonts w:hint="eastAsia" w:ascii="宋体" w:hAnsi="宋体" w:eastAsia="宋体" w:cs="宋体"/>
          <w:b w:val="0"/>
          <w:bCs w:val="0"/>
          <w:color w:val="auto"/>
          <w:szCs w:val="21"/>
          <w:highlight w:val="none"/>
          <w:lang w:val="en-US" w:eastAsia="zh-CN"/>
        </w:rPr>
        <w:t>乙方</w:t>
      </w:r>
      <w:r>
        <w:rPr>
          <w:rFonts w:hint="eastAsia" w:ascii="宋体" w:hAnsi="宋体" w:eastAsia="宋体" w:cs="宋体"/>
          <w:b w:val="0"/>
          <w:bCs w:val="0"/>
          <w:color w:val="auto"/>
          <w:szCs w:val="21"/>
          <w:highlight w:val="none"/>
        </w:rPr>
        <w:t>提交进度款支付申请，</w:t>
      </w:r>
      <w:r>
        <w:rPr>
          <w:rFonts w:hint="eastAsia" w:ascii="宋体" w:hAnsi="宋体" w:eastAsia="宋体" w:cs="宋体"/>
          <w:b w:val="0"/>
          <w:bCs w:val="0"/>
          <w:color w:val="auto"/>
          <w:szCs w:val="21"/>
          <w:highlight w:val="none"/>
          <w:lang w:val="en-US" w:eastAsia="zh-CN"/>
        </w:rPr>
        <w:t>甲方</w:t>
      </w:r>
      <w:r>
        <w:rPr>
          <w:rFonts w:hint="eastAsia" w:ascii="宋体" w:hAnsi="宋体" w:eastAsia="宋体" w:cs="宋体"/>
          <w:b w:val="0"/>
          <w:bCs w:val="0"/>
          <w:color w:val="auto"/>
          <w:szCs w:val="21"/>
          <w:highlight w:val="none"/>
        </w:rPr>
        <w:t>审核无误后，支付合同总金额的 10%；</w:t>
      </w:r>
    </w:p>
    <w:p w14:paraId="4590A8D4">
      <w:pPr>
        <w:snapToGrid w:val="0"/>
        <w:spacing w:line="360" w:lineRule="auto"/>
        <w:ind w:firstLine="420" w:firstLineChars="200"/>
        <w:rPr>
          <w:rFonts w:hint="eastAsia" w:ascii="宋体" w:hAnsi="宋体" w:eastAsia="宋体" w:cs="宋体"/>
          <w:b w:val="0"/>
          <w:bCs w:val="0"/>
          <w:color w:val="auto"/>
          <w:szCs w:val="21"/>
          <w:highlight w:val="none"/>
        </w:rPr>
      </w:pPr>
      <w:r>
        <w:rPr>
          <w:rFonts w:hint="eastAsia" w:ascii="宋体" w:hAnsi="宋体" w:cs="宋体"/>
          <w:b w:val="0"/>
          <w:bCs w:val="0"/>
          <w:color w:val="auto"/>
          <w:szCs w:val="21"/>
          <w:highlight w:val="none"/>
          <w:lang w:val="en-US" w:eastAsia="zh-CN"/>
        </w:rPr>
        <w:t>1.3</w:t>
      </w:r>
      <w:r>
        <w:rPr>
          <w:rFonts w:hint="eastAsia" w:ascii="宋体" w:hAnsi="宋体" w:eastAsia="宋体" w:cs="宋体"/>
          <w:b w:val="0"/>
          <w:bCs w:val="0"/>
          <w:color w:val="auto"/>
          <w:szCs w:val="21"/>
          <w:highlight w:val="none"/>
        </w:rPr>
        <w:t>第二期进度款：2027 年 3 月</w:t>
      </w:r>
      <w:r>
        <w:rPr>
          <w:rFonts w:hint="eastAsia" w:ascii="宋体" w:hAnsi="宋体" w:eastAsia="宋体" w:cs="宋体"/>
          <w:b w:val="0"/>
          <w:bCs w:val="0"/>
          <w:color w:val="auto"/>
          <w:szCs w:val="21"/>
          <w:highlight w:val="none"/>
          <w:lang w:val="en-US" w:eastAsia="zh-CN"/>
        </w:rPr>
        <w:t>底前</w:t>
      </w:r>
      <w:r>
        <w:rPr>
          <w:rFonts w:hint="eastAsia" w:ascii="宋体" w:hAnsi="宋体" w:eastAsia="宋体" w:cs="宋体"/>
          <w:b w:val="0"/>
          <w:bCs w:val="0"/>
          <w:color w:val="auto"/>
          <w:szCs w:val="21"/>
          <w:highlight w:val="none"/>
        </w:rPr>
        <w:t>，</w:t>
      </w:r>
      <w:r>
        <w:rPr>
          <w:rFonts w:hint="eastAsia" w:ascii="宋体" w:hAnsi="宋体" w:eastAsia="宋体" w:cs="宋体"/>
          <w:b w:val="0"/>
          <w:bCs w:val="0"/>
          <w:color w:val="auto"/>
          <w:szCs w:val="21"/>
          <w:highlight w:val="none"/>
          <w:lang w:val="en-US" w:eastAsia="zh-CN"/>
        </w:rPr>
        <w:t>乙方</w:t>
      </w:r>
      <w:r>
        <w:rPr>
          <w:rFonts w:hint="eastAsia" w:ascii="宋体" w:hAnsi="宋体" w:eastAsia="宋体" w:cs="宋体"/>
          <w:b w:val="0"/>
          <w:bCs w:val="0"/>
          <w:color w:val="auto"/>
          <w:szCs w:val="21"/>
          <w:highlight w:val="none"/>
        </w:rPr>
        <w:t>提交进度款支付申请，</w:t>
      </w:r>
      <w:r>
        <w:rPr>
          <w:rFonts w:hint="eastAsia" w:ascii="宋体" w:hAnsi="宋体" w:eastAsia="宋体" w:cs="宋体"/>
          <w:b w:val="0"/>
          <w:bCs w:val="0"/>
          <w:color w:val="auto"/>
          <w:szCs w:val="21"/>
          <w:highlight w:val="none"/>
          <w:lang w:val="en-US" w:eastAsia="zh-CN"/>
        </w:rPr>
        <w:t>甲方</w:t>
      </w:r>
      <w:r>
        <w:rPr>
          <w:rFonts w:hint="eastAsia" w:ascii="宋体" w:hAnsi="宋体" w:eastAsia="宋体" w:cs="宋体"/>
          <w:b w:val="0"/>
          <w:bCs w:val="0"/>
          <w:color w:val="auto"/>
          <w:szCs w:val="21"/>
          <w:highlight w:val="none"/>
        </w:rPr>
        <w:t>审核无误后，支付合同总金额的 30%；</w:t>
      </w:r>
    </w:p>
    <w:p w14:paraId="4483C196">
      <w:pPr>
        <w:snapToGrid w:val="0"/>
        <w:spacing w:line="360" w:lineRule="auto"/>
        <w:ind w:firstLine="420" w:firstLineChars="200"/>
        <w:rPr>
          <w:rFonts w:hint="eastAsia" w:ascii="宋体" w:hAnsi="宋体" w:eastAsia="宋体" w:cs="宋体"/>
          <w:b w:val="0"/>
          <w:bCs w:val="0"/>
          <w:color w:val="auto"/>
          <w:szCs w:val="21"/>
          <w:highlight w:val="none"/>
        </w:rPr>
      </w:pPr>
      <w:r>
        <w:rPr>
          <w:rFonts w:hint="eastAsia" w:ascii="宋体" w:hAnsi="宋体" w:cs="宋体"/>
          <w:b w:val="0"/>
          <w:bCs w:val="0"/>
          <w:color w:val="auto"/>
          <w:szCs w:val="21"/>
          <w:highlight w:val="none"/>
          <w:lang w:val="en-US" w:eastAsia="zh-CN"/>
        </w:rPr>
        <w:t>1.4</w:t>
      </w:r>
      <w:r>
        <w:rPr>
          <w:rFonts w:hint="eastAsia" w:ascii="宋体" w:hAnsi="宋体" w:eastAsia="宋体" w:cs="宋体"/>
          <w:b w:val="0"/>
          <w:bCs w:val="0"/>
          <w:color w:val="auto"/>
          <w:szCs w:val="21"/>
          <w:highlight w:val="none"/>
        </w:rPr>
        <w:t>尾款：项目履约期满，</w:t>
      </w:r>
      <w:r>
        <w:rPr>
          <w:rFonts w:hint="eastAsia" w:ascii="宋体" w:hAnsi="宋体" w:eastAsia="宋体" w:cs="宋体"/>
          <w:b w:val="0"/>
          <w:bCs w:val="0"/>
          <w:color w:val="auto"/>
          <w:szCs w:val="21"/>
          <w:highlight w:val="none"/>
          <w:lang w:val="en-US" w:eastAsia="zh-CN"/>
        </w:rPr>
        <w:t>乙方</w:t>
      </w:r>
      <w:r>
        <w:rPr>
          <w:rFonts w:hint="eastAsia" w:ascii="宋体" w:hAnsi="宋体" w:eastAsia="宋体" w:cs="宋体"/>
          <w:b w:val="0"/>
          <w:bCs w:val="0"/>
          <w:color w:val="auto"/>
          <w:szCs w:val="21"/>
          <w:highlight w:val="none"/>
        </w:rPr>
        <w:t>提交完整验收资料，</w:t>
      </w:r>
      <w:r>
        <w:rPr>
          <w:rFonts w:hint="eastAsia" w:ascii="宋体" w:hAnsi="宋体" w:eastAsia="宋体" w:cs="宋体"/>
          <w:b w:val="0"/>
          <w:bCs w:val="0"/>
          <w:color w:val="auto"/>
          <w:szCs w:val="21"/>
          <w:highlight w:val="none"/>
          <w:lang w:val="en-US" w:eastAsia="zh-CN"/>
        </w:rPr>
        <w:t>甲方</w:t>
      </w:r>
      <w:r>
        <w:rPr>
          <w:rFonts w:hint="eastAsia" w:ascii="宋体" w:hAnsi="宋体" w:eastAsia="宋体" w:cs="宋体"/>
          <w:b w:val="0"/>
          <w:bCs w:val="0"/>
          <w:color w:val="auto"/>
          <w:szCs w:val="21"/>
          <w:highlight w:val="none"/>
        </w:rPr>
        <w:t>审核无误后，支付合同剩余款项（合同总金额的 35%）。</w:t>
      </w:r>
    </w:p>
    <w:p w14:paraId="06151D5F">
      <w:pPr>
        <w:snapToGrid w:val="0"/>
        <w:spacing w:line="360" w:lineRule="auto"/>
        <w:ind w:firstLine="420" w:firstLineChars="200"/>
        <w:rPr>
          <w:rFonts w:hint="eastAsia" w:ascii="宋体" w:hAnsi="宋体" w:eastAsia="宋体" w:cs="宋体"/>
          <w:b w:val="0"/>
          <w:bCs w:val="0"/>
          <w:color w:val="auto"/>
          <w:szCs w:val="21"/>
          <w:highlight w:val="none"/>
        </w:rPr>
      </w:pPr>
      <w:r>
        <w:rPr>
          <w:rFonts w:hint="eastAsia" w:ascii="宋体" w:hAnsi="宋体" w:cs="宋体"/>
          <w:b w:val="0"/>
          <w:bCs w:val="0"/>
          <w:color w:val="auto"/>
          <w:szCs w:val="21"/>
          <w:highlight w:val="none"/>
          <w:lang w:val="en-US" w:eastAsia="zh-CN"/>
        </w:rPr>
        <w:t>1.5</w:t>
      </w:r>
      <w:r>
        <w:rPr>
          <w:rFonts w:hint="eastAsia" w:ascii="宋体" w:hAnsi="宋体" w:eastAsia="宋体" w:cs="宋体"/>
          <w:b w:val="0"/>
          <w:bCs w:val="0"/>
          <w:color w:val="auto"/>
          <w:szCs w:val="21"/>
          <w:highlight w:val="none"/>
        </w:rPr>
        <w:t>所有款项支付前，</w:t>
      </w:r>
      <w:r>
        <w:rPr>
          <w:rFonts w:hint="eastAsia" w:ascii="宋体" w:hAnsi="宋体" w:eastAsia="宋体" w:cs="宋体"/>
          <w:b w:val="0"/>
          <w:bCs w:val="0"/>
          <w:color w:val="auto"/>
          <w:szCs w:val="21"/>
          <w:highlight w:val="none"/>
          <w:lang w:eastAsia="zh-CN"/>
        </w:rPr>
        <w:t>乙方</w:t>
      </w:r>
      <w:r>
        <w:rPr>
          <w:rFonts w:hint="eastAsia" w:ascii="宋体" w:hAnsi="宋体" w:cs="宋体"/>
          <w:color w:val="auto"/>
          <w:szCs w:val="21"/>
          <w:highlight w:val="none"/>
          <w:lang w:val="en-US" w:eastAsia="zh-CN"/>
        </w:rPr>
        <w:t>须</w:t>
      </w:r>
      <w:r>
        <w:rPr>
          <w:rFonts w:hint="eastAsia" w:ascii="宋体" w:hAnsi="宋体" w:eastAsia="宋体" w:cs="宋体"/>
          <w:b w:val="0"/>
          <w:bCs w:val="0"/>
          <w:color w:val="auto"/>
          <w:szCs w:val="21"/>
          <w:highlight w:val="none"/>
        </w:rPr>
        <w:t>提交等额增值税发票，未按要求提供发票的，</w:t>
      </w:r>
      <w:r>
        <w:rPr>
          <w:rFonts w:hint="eastAsia" w:ascii="宋体" w:hAnsi="宋体" w:eastAsia="宋体" w:cs="宋体"/>
          <w:b w:val="0"/>
          <w:bCs w:val="0"/>
          <w:color w:val="auto"/>
          <w:szCs w:val="21"/>
          <w:highlight w:val="none"/>
          <w:lang w:eastAsia="zh-CN"/>
        </w:rPr>
        <w:t>甲方</w:t>
      </w:r>
      <w:r>
        <w:rPr>
          <w:rFonts w:hint="eastAsia" w:ascii="宋体" w:hAnsi="宋体" w:eastAsia="宋体" w:cs="宋体"/>
          <w:b w:val="0"/>
          <w:bCs w:val="0"/>
          <w:color w:val="auto"/>
          <w:szCs w:val="21"/>
          <w:highlight w:val="none"/>
        </w:rPr>
        <w:t>可暂缓支付，不承担逾期付款责任</w:t>
      </w:r>
      <w:r>
        <w:rPr>
          <w:rFonts w:hint="eastAsia" w:ascii="宋体" w:hAnsi="宋体" w:eastAsia="宋体" w:cs="宋体"/>
          <w:b w:val="0"/>
          <w:bCs w:val="0"/>
          <w:color w:val="auto"/>
          <w:szCs w:val="21"/>
          <w:highlight w:val="none"/>
          <w:lang w:val="en-US" w:eastAsia="zh-CN"/>
        </w:rPr>
        <w:t>。</w:t>
      </w:r>
    </w:p>
    <w:p w14:paraId="2202533D">
      <w:pPr>
        <w:snapToGrid w:val="0"/>
        <w:spacing w:line="360" w:lineRule="auto"/>
        <w:ind w:firstLine="422" w:firstLineChars="200"/>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第七条　履约保证金</w:t>
      </w:r>
    </w:p>
    <w:p w14:paraId="7152088A">
      <w:pPr>
        <w:snapToGrid w:val="0"/>
        <w:spacing w:line="320" w:lineRule="exact"/>
        <w:ind w:left="-61" w:firstLine="514"/>
        <w:rPr>
          <w:rFonts w:hint="eastAsia" w:ascii="宋体" w:hAnsi="宋体" w:eastAsia="宋体" w:cs="宋体"/>
          <w:color w:val="auto"/>
          <w:kern w:val="0"/>
          <w:sz w:val="20"/>
          <w:szCs w:val="21"/>
          <w:highlight w:val="none"/>
        </w:rPr>
      </w:pPr>
      <w:r>
        <w:rPr>
          <w:rFonts w:hint="eastAsia" w:ascii="宋体" w:hAnsi="宋体" w:eastAsia="宋体" w:cs="宋体"/>
          <w:color w:val="auto"/>
          <w:szCs w:val="21"/>
          <w:highlight w:val="none"/>
        </w:rPr>
        <w:t>履约保证金：合同金额 5%</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lang w:val="en-US" w:eastAsia="zh-CN"/>
        </w:rPr>
        <w:t>如果</w:t>
      </w:r>
      <w:r>
        <w:rPr>
          <w:rFonts w:hint="eastAsia" w:ascii="宋体" w:hAnsi="宋体" w:cs="宋体"/>
          <w:color w:val="auto"/>
          <w:szCs w:val="21"/>
          <w:highlight w:val="none"/>
          <w:lang w:val="en-US" w:eastAsia="zh-CN"/>
        </w:rPr>
        <w:t>乙方</w:t>
      </w:r>
      <w:r>
        <w:rPr>
          <w:rFonts w:hint="eastAsia" w:ascii="宋体" w:hAnsi="宋体" w:eastAsia="宋体" w:cs="宋体"/>
          <w:color w:val="auto"/>
          <w:szCs w:val="21"/>
          <w:highlight w:val="none"/>
          <w:lang w:val="en-US" w:eastAsia="zh-CN"/>
        </w:rPr>
        <w:t>为</w:t>
      </w:r>
      <w:r>
        <w:rPr>
          <w:rFonts w:hint="eastAsia" w:ascii="宋体" w:hAnsi="宋体" w:eastAsia="宋体" w:cs="宋体"/>
          <w:color w:val="auto"/>
          <w:szCs w:val="21"/>
          <w:highlight w:val="none"/>
          <w:lang w:eastAsia="zh-CN"/>
        </w:rPr>
        <w:t>中小企业</w:t>
      </w:r>
      <w:r>
        <w:rPr>
          <w:rFonts w:hint="eastAsia" w:ascii="宋体" w:hAnsi="宋体" w:eastAsia="宋体" w:cs="宋体"/>
          <w:color w:val="auto"/>
          <w:szCs w:val="21"/>
          <w:highlight w:val="none"/>
          <w:lang w:val="en-US" w:eastAsia="zh-CN"/>
        </w:rPr>
        <w:t>的，</w:t>
      </w:r>
      <w:r>
        <w:rPr>
          <w:rFonts w:hint="eastAsia" w:ascii="宋体" w:hAnsi="宋体" w:eastAsia="宋体" w:cs="宋体"/>
          <w:color w:val="auto"/>
          <w:szCs w:val="21"/>
          <w:highlight w:val="none"/>
          <w:lang w:eastAsia="zh-CN"/>
        </w:rPr>
        <w:t>收取的履约保证金</w:t>
      </w:r>
      <w:r>
        <w:rPr>
          <w:rFonts w:hint="eastAsia" w:ascii="宋体" w:hAnsi="宋体" w:eastAsia="宋体" w:cs="宋体"/>
          <w:color w:val="auto"/>
          <w:szCs w:val="21"/>
          <w:highlight w:val="none"/>
          <w:lang w:val="en-US" w:eastAsia="zh-CN"/>
        </w:rPr>
        <w:t>为</w:t>
      </w:r>
      <w:r>
        <w:rPr>
          <w:rFonts w:hint="eastAsia" w:ascii="宋体" w:hAnsi="宋体" w:eastAsia="宋体" w:cs="宋体"/>
          <w:color w:val="auto"/>
          <w:szCs w:val="21"/>
          <w:highlight w:val="none"/>
          <w:lang w:eastAsia="zh-CN"/>
        </w:rPr>
        <w:t>合同金额的2%）</w:t>
      </w:r>
      <w:r>
        <w:rPr>
          <w:rFonts w:hint="eastAsia" w:ascii="宋体" w:hAnsi="宋体" w:eastAsia="宋体" w:cs="宋体"/>
          <w:color w:val="auto"/>
          <w:szCs w:val="21"/>
          <w:highlight w:val="none"/>
        </w:rPr>
        <w:t>；</w:t>
      </w:r>
    </w:p>
    <w:p w14:paraId="07AF2ACE">
      <w:pPr>
        <w:snapToGrid w:val="0"/>
        <w:spacing w:line="320" w:lineRule="exact"/>
        <w:ind w:left="-61" w:firstLine="514"/>
        <w:rPr>
          <w:rFonts w:hint="eastAsia" w:ascii="宋体" w:hAnsi="宋体" w:eastAsia="宋体" w:cs="宋体"/>
          <w:color w:val="auto"/>
          <w:szCs w:val="21"/>
          <w:highlight w:val="none"/>
        </w:rPr>
      </w:pPr>
      <w:r>
        <w:rPr>
          <w:rFonts w:hint="eastAsia" w:ascii="宋体" w:hAnsi="宋体" w:eastAsia="宋体" w:cs="宋体"/>
          <w:color w:val="auto"/>
          <w:szCs w:val="21"/>
          <w:highlight w:val="none"/>
        </w:rPr>
        <w:t>提交履约担保的时间：</w:t>
      </w:r>
      <w:r>
        <w:rPr>
          <w:rFonts w:hint="eastAsia" w:ascii="宋体" w:hAnsi="宋体" w:eastAsia="宋体" w:cs="宋体"/>
          <w:color w:val="auto"/>
          <w:szCs w:val="21"/>
          <w:highlight w:val="none"/>
          <w:u w:val="single"/>
        </w:rPr>
        <w:t xml:space="preserve"> 签订合同之前  </w:t>
      </w:r>
      <w:r>
        <w:rPr>
          <w:rFonts w:hint="eastAsia" w:ascii="宋体" w:hAnsi="宋体" w:eastAsia="宋体" w:cs="宋体"/>
          <w:color w:val="auto"/>
          <w:szCs w:val="21"/>
          <w:highlight w:val="none"/>
        </w:rPr>
        <w:t>。</w:t>
      </w:r>
    </w:p>
    <w:p w14:paraId="5F119C60">
      <w:pPr>
        <w:snapToGrid w:val="0"/>
        <w:spacing w:line="320" w:lineRule="exact"/>
        <w:ind w:left="-61" w:firstLine="514"/>
        <w:rPr>
          <w:rFonts w:hint="eastAsia" w:ascii="宋体" w:hAnsi="宋体" w:eastAsia="宋体" w:cs="宋体"/>
          <w:color w:val="auto"/>
          <w:szCs w:val="21"/>
          <w:highlight w:val="none"/>
        </w:rPr>
      </w:pPr>
      <w:r>
        <w:rPr>
          <w:rFonts w:hint="eastAsia" w:ascii="宋体" w:hAnsi="宋体" w:eastAsia="宋体" w:cs="宋体"/>
          <w:color w:val="auto"/>
          <w:szCs w:val="21"/>
          <w:highlight w:val="none"/>
        </w:rPr>
        <w:t>履约保证金的形式为：银行转账、银行保函。合同履行完毕后（</w:t>
      </w:r>
      <w:r>
        <w:rPr>
          <w:rFonts w:hint="eastAsia" w:ascii="宋体" w:hAnsi="宋体" w:cs="宋体"/>
          <w:color w:val="auto"/>
          <w:szCs w:val="21"/>
          <w:highlight w:val="none"/>
          <w:lang w:eastAsia="zh-CN"/>
        </w:rPr>
        <w:t>乙方</w:t>
      </w:r>
      <w:r>
        <w:rPr>
          <w:rFonts w:hint="eastAsia" w:ascii="宋体" w:hAnsi="宋体" w:eastAsia="宋体" w:cs="宋体"/>
          <w:color w:val="auto"/>
          <w:szCs w:val="21"/>
          <w:highlight w:val="none"/>
        </w:rPr>
        <w:t>未发生违约行为的）无息退还。如采用银行保函的，需事先报</w:t>
      </w:r>
      <w:r>
        <w:rPr>
          <w:rFonts w:hint="eastAsia" w:ascii="宋体" w:hAnsi="宋体" w:cs="宋体"/>
          <w:color w:val="auto"/>
          <w:szCs w:val="21"/>
          <w:highlight w:val="none"/>
          <w:lang w:eastAsia="zh-CN"/>
        </w:rPr>
        <w:t>甲方</w:t>
      </w:r>
      <w:r>
        <w:rPr>
          <w:rFonts w:hint="eastAsia" w:ascii="宋体" w:hAnsi="宋体" w:eastAsia="宋体" w:cs="宋体"/>
          <w:color w:val="auto"/>
          <w:szCs w:val="21"/>
          <w:highlight w:val="none"/>
        </w:rPr>
        <w:t>核准。</w:t>
      </w:r>
    </w:p>
    <w:p w14:paraId="65C74255">
      <w:pPr>
        <w:snapToGrid w:val="0"/>
        <w:spacing w:line="320" w:lineRule="exact"/>
        <w:ind w:left="-61" w:firstLine="514"/>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rPr>
        <w:t>保证金缴纳的账号信息</w:t>
      </w:r>
      <w:r>
        <w:rPr>
          <w:rFonts w:hint="eastAsia" w:ascii="宋体" w:hAnsi="宋体" w:eastAsia="宋体" w:cs="宋体"/>
          <w:color w:val="auto"/>
          <w:szCs w:val="21"/>
          <w:highlight w:val="none"/>
          <w:lang w:eastAsia="zh-CN"/>
        </w:rPr>
        <w:t>：</w:t>
      </w:r>
    </w:p>
    <w:p w14:paraId="3B4A4833">
      <w:pPr>
        <w:snapToGrid w:val="0"/>
        <w:spacing w:line="320" w:lineRule="exact"/>
        <w:ind w:left="-61" w:firstLine="514"/>
        <w:rPr>
          <w:rFonts w:hint="eastAsia" w:ascii="宋体" w:hAnsi="宋体" w:eastAsia="宋体" w:cs="宋体"/>
          <w:color w:val="auto"/>
          <w:szCs w:val="21"/>
          <w:highlight w:val="none"/>
        </w:rPr>
      </w:pPr>
      <w:r>
        <w:rPr>
          <w:rFonts w:hint="eastAsia" w:ascii="宋体" w:hAnsi="宋体" w:eastAsia="宋体" w:cs="宋体"/>
          <w:color w:val="auto"/>
          <w:szCs w:val="21"/>
          <w:highlight w:val="none"/>
        </w:rPr>
        <w:t>户名</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rPr>
        <w:t>广西壮族自治区交通运输综合行政执法局</w:t>
      </w:r>
    </w:p>
    <w:p w14:paraId="1AFC4EA7">
      <w:pPr>
        <w:snapToGrid w:val="0"/>
        <w:spacing w:line="320" w:lineRule="exact"/>
        <w:ind w:left="-61" w:firstLine="514"/>
        <w:rPr>
          <w:rFonts w:hint="eastAsia" w:ascii="宋体" w:hAnsi="宋体" w:eastAsia="宋体" w:cs="宋体"/>
          <w:color w:val="auto"/>
          <w:szCs w:val="21"/>
          <w:highlight w:val="none"/>
        </w:rPr>
      </w:pPr>
      <w:r>
        <w:rPr>
          <w:rFonts w:hint="eastAsia" w:ascii="宋体" w:hAnsi="宋体" w:eastAsia="宋体" w:cs="宋体"/>
          <w:color w:val="auto"/>
          <w:szCs w:val="21"/>
          <w:highlight w:val="none"/>
        </w:rPr>
        <w:t>账号</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rPr>
        <w:t>451060309013000948504</w:t>
      </w:r>
    </w:p>
    <w:p w14:paraId="132D0EC6">
      <w:pPr>
        <w:snapToGrid w:val="0"/>
        <w:spacing w:line="320" w:lineRule="exact"/>
        <w:ind w:left="-61" w:firstLine="514"/>
        <w:rPr>
          <w:rFonts w:hint="eastAsia" w:ascii="宋体" w:hAnsi="宋体" w:eastAsia="宋体" w:cs="宋体"/>
          <w:color w:val="auto"/>
          <w:szCs w:val="21"/>
          <w:highlight w:val="none"/>
        </w:rPr>
      </w:pPr>
      <w:r>
        <w:rPr>
          <w:rFonts w:hint="eastAsia" w:ascii="宋体" w:hAnsi="宋体" w:eastAsia="宋体" w:cs="宋体"/>
          <w:color w:val="auto"/>
          <w:szCs w:val="21"/>
          <w:highlight w:val="none"/>
        </w:rPr>
        <w:t>开户行</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rPr>
        <w:t>交通银行南宁金源支行</w:t>
      </w:r>
    </w:p>
    <w:p w14:paraId="7485D550">
      <w:pPr>
        <w:snapToGrid w:val="0"/>
        <w:spacing w:line="320" w:lineRule="exact"/>
        <w:ind w:left="-61" w:firstLine="514"/>
        <w:rPr>
          <w:rFonts w:hint="eastAsia" w:ascii="宋体" w:hAnsi="宋体" w:eastAsia="宋体" w:cs="宋体"/>
          <w:color w:val="auto"/>
          <w:szCs w:val="21"/>
          <w:highlight w:val="none"/>
        </w:rPr>
      </w:pPr>
      <w:r>
        <w:rPr>
          <w:rFonts w:hint="eastAsia" w:ascii="宋体" w:hAnsi="宋体" w:eastAsia="宋体" w:cs="宋体"/>
          <w:color w:val="auto"/>
          <w:szCs w:val="21"/>
          <w:highlight w:val="none"/>
        </w:rPr>
        <w:t>行号</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rPr>
        <w:t>301611000373</w:t>
      </w:r>
    </w:p>
    <w:p w14:paraId="77A71EC6">
      <w:pPr>
        <w:spacing w:line="360" w:lineRule="auto"/>
        <w:ind w:firstLine="422" w:firstLineChars="200"/>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第八条  税费</w:t>
      </w:r>
    </w:p>
    <w:p w14:paraId="1D492983">
      <w:pPr>
        <w:snapToGrid w:val="0"/>
        <w:spacing w:line="360" w:lineRule="auto"/>
        <w:ind w:firstLine="420" w:firstLineChars="200"/>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本合同执行中相关的一切税费均由乙方负担，合同另有约定的除外。</w:t>
      </w:r>
    </w:p>
    <w:p w14:paraId="219EE811">
      <w:pPr>
        <w:spacing w:line="360" w:lineRule="auto"/>
        <w:ind w:firstLine="422" w:firstLineChars="200"/>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第九条　违约责任</w:t>
      </w:r>
    </w:p>
    <w:p w14:paraId="62E38835">
      <w:pPr>
        <w:snapToGrid w:val="0"/>
        <w:spacing w:line="360" w:lineRule="auto"/>
        <w:ind w:firstLine="420" w:firstLineChars="200"/>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 xml:space="preserve">1.除不可抗力原因外，乙方没有按照合同规定的时间提供服务的，甲方可要求乙方支付违约金。每推迟一天按合同金额的万分之三支付违约金，该违约金累计不超过合同金额的10%。 超过30天甲方有权解除合同。 </w:t>
      </w:r>
    </w:p>
    <w:p w14:paraId="1293DD8C">
      <w:pPr>
        <w:snapToGrid w:val="0"/>
        <w:spacing w:line="360" w:lineRule="auto"/>
        <w:ind w:firstLine="420" w:firstLineChars="200"/>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2.乙方提供的服务如侵犯了第三方合法权益而引发的任何纠纷或者诉讼，均由乙方负责交涉并承担全部责任，因此导致甲方遭受损失的，乙方应承担全部赔偿责任。</w:t>
      </w:r>
    </w:p>
    <w:p w14:paraId="655F3ED8">
      <w:pPr>
        <w:snapToGrid w:val="0"/>
        <w:spacing w:line="360" w:lineRule="auto"/>
        <w:ind w:firstLine="420" w:firstLineChars="200"/>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3.甲方延期付款的，每天向乙方偿付延期款额万分之三滞纳金，但滞纳金累计不得超过延期款额5%。</w:t>
      </w:r>
    </w:p>
    <w:p w14:paraId="071D7D67">
      <w:pPr>
        <w:snapToGrid w:val="0"/>
        <w:spacing w:line="360" w:lineRule="auto"/>
        <w:ind w:firstLine="420" w:firstLineChars="200"/>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4.除本合同另有约定外，乙方未按本合同约定和采购文件规定、投标文件中规定的服务承诺提供服务的其它行为，乙方应按本合同合计金额的5%向甲方支付违约金，乙方还应赔偿甲方所受的损失。如服务期内累计有三次违约行为的，且经甲方要求据不整改或整改仍达不到要求的，甲方有权解除合同。</w:t>
      </w:r>
    </w:p>
    <w:p w14:paraId="5AAB3055">
      <w:pPr>
        <w:snapToGrid w:val="0"/>
        <w:spacing w:line="360" w:lineRule="auto"/>
        <w:ind w:firstLine="420" w:firstLineChars="200"/>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5.因乙方原因导致甲方解除合同的，乙方应向甲方支付合同总额10%的违约金，并承担因此给甲方造成的经济损失。且乙方还应当自收到甲方要求合同解除的函之日起5日内退还甲方已经支付的全部款项及按同期LPR2倍计算的资金占用费（从收到款项之日到退还款项之日止）。</w:t>
      </w:r>
    </w:p>
    <w:p w14:paraId="7A285FD5">
      <w:pPr>
        <w:snapToGrid w:val="0"/>
        <w:spacing w:line="360" w:lineRule="auto"/>
        <w:ind w:firstLine="420" w:firstLineChars="200"/>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6.因乙方违约，导致甲方为维护自己的合法权益所产生的一切费用（包括但不限于律师费、诉讼费、调查费、公证费、鉴定费、保全费、诉讼财产保全责任保险费等费用）均由乙方承担。</w:t>
      </w:r>
    </w:p>
    <w:p w14:paraId="25ACD8F3">
      <w:pPr>
        <w:spacing w:line="360" w:lineRule="auto"/>
        <w:ind w:firstLine="422" w:firstLineChars="200"/>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第十条  不可抗力事件处理</w:t>
      </w:r>
    </w:p>
    <w:p w14:paraId="58446CEA">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w:t>
      </w:r>
      <w:r>
        <w:rPr>
          <w:rFonts w:hint="eastAsia" w:ascii="宋体" w:hAnsi="宋体" w:eastAsia="宋体" w:cs="宋体"/>
          <w:color w:val="auto"/>
          <w:szCs w:val="21"/>
          <w:highlight w:val="none"/>
          <w:lang w:val="en-US" w:eastAsia="zh-CN"/>
        </w:rPr>
        <w:t>.</w:t>
      </w:r>
      <w:r>
        <w:rPr>
          <w:rFonts w:hint="eastAsia" w:ascii="宋体" w:hAnsi="宋体" w:eastAsia="宋体" w:cs="宋体"/>
          <w:color w:val="auto"/>
          <w:szCs w:val="21"/>
          <w:highlight w:val="none"/>
        </w:rPr>
        <w:t>在合同有效期内，任何一方因不可抗力事件导致不能履行合同，则合同履行期可延长，其延长期与不可抗力影响期相同。</w:t>
      </w:r>
    </w:p>
    <w:p w14:paraId="2A25950E">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w:t>
      </w:r>
      <w:r>
        <w:rPr>
          <w:rFonts w:hint="eastAsia" w:ascii="宋体" w:hAnsi="宋体" w:eastAsia="宋体" w:cs="宋体"/>
          <w:color w:val="auto"/>
          <w:szCs w:val="21"/>
          <w:highlight w:val="none"/>
          <w:lang w:val="en-US" w:eastAsia="zh-CN"/>
        </w:rPr>
        <w:t>.</w:t>
      </w:r>
      <w:r>
        <w:rPr>
          <w:rFonts w:hint="eastAsia" w:ascii="宋体" w:hAnsi="宋体" w:eastAsia="宋体" w:cs="宋体"/>
          <w:color w:val="auto"/>
          <w:szCs w:val="21"/>
          <w:highlight w:val="none"/>
        </w:rPr>
        <w:t>不可抗力事件发生后，应立即通知对方，并寄送有关权威机构出具的证明。声称受到不可抗力影响的一方应在任何时候采取合理的行动，以避免或尽量减少不可抗力事件对本合同履约及双方利益的影响。因主观原因延误，未及时采取必要措施而导致损失扩大的，不能免除责任。</w:t>
      </w:r>
    </w:p>
    <w:p w14:paraId="01C249FE">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3</w:t>
      </w:r>
      <w:r>
        <w:rPr>
          <w:rFonts w:hint="eastAsia" w:ascii="宋体" w:hAnsi="宋体" w:eastAsia="宋体" w:cs="宋体"/>
          <w:color w:val="auto"/>
          <w:szCs w:val="21"/>
          <w:highlight w:val="none"/>
          <w:lang w:val="en-US" w:eastAsia="zh-CN"/>
        </w:rPr>
        <w:t>.</w:t>
      </w:r>
      <w:r>
        <w:rPr>
          <w:rFonts w:hint="eastAsia" w:ascii="宋体" w:hAnsi="宋体" w:eastAsia="宋体" w:cs="宋体"/>
          <w:color w:val="auto"/>
          <w:szCs w:val="21"/>
          <w:highlight w:val="none"/>
        </w:rPr>
        <w:t>不可抗力事件延续一百二十天以上，双方应通过友好协商，确定是否继续履行合同。</w:t>
      </w:r>
    </w:p>
    <w:p w14:paraId="4D200607">
      <w:pPr>
        <w:spacing w:line="360" w:lineRule="auto"/>
        <w:ind w:firstLine="422" w:firstLineChars="200"/>
        <w:rPr>
          <w:rFonts w:hint="eastAsia" w:ascii="宋体" w:hAnsi="宋体" w:eastAsia="宋体" w:cs="宋体"/>
          <w:color w:val="auto"/>
          <w:szCs w:val="21"/>
          <w:highlight w:val="none"/>
        </w:rPr>
      </w:pPr>
      <w:r>
        <w:rPr>
          <w:rFonts w:hint="eastAsia" w:ascii="宋体" w:hAnsi="宋体" w:eastAsia="宋体" w:cs="宋体"/>
          <w:b/>
          <w:color w:val="auto"/>
          <w:szCs w:val="21"/>
          <w:highlight w:val="none"/>
        </w:rPr>
        <w:t>第十一条  合同争议解决</w:t>
      </w:r>
    </w:p>
    <w:p w14:paraId="730DD642">
      <w:pPr>
        <w:snapToGrid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w:t>
      </w:r>
      <w:r>
        <w:rPr>
          <w:rFonts w:hint="eastAsia" w:ascii="宋体" w:hAnsi="宋体" w:eastAsia="宋体" w:cs="宋体"/>
          <w:color w:val="auto"/>
          <w:szCs w:val="21"/>
          <w:highlight w:val="none"/>
          <w:lang w:val="en-US" w:eastAsia="zh-CN"/>
        </w:rPr>
        <w:t>.</w:t>
      </w:r>
      <w:r>
        <w:rPr>
          <w:rFonts w:hint="eastAsia" w:ascii="宋体" w:hAnsi="宋体" w:eastAsia="宋体" w:cs="宋体"/>
          <w:color w:val="auto"/>
          <w:szCs w:val="21"/>
          <w:highlight w:val="none"/>
        </w:rPr>
        <w:t>因服务质量问题发生争议的，应邀请国家认可的质量检测机构进行鉴定。服务符合标准的，鉴定费由甲方承担；服务不符合标准的，鉴定费由乙方承担。</w:t>
      </w:r>
    </w:p>
    <w:p w14:paraId="67C0AAFB">
      <w:pPr>
        <w:snapToGrid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w:t>
      </w:r>
      <w:r>
        <w:rPr>
          <w:rFonts w:hint="eastAsia" w:ascii="宋体" w:hAnsi="宋体" w:eastAsia="宋体" w:cs="宋体"/>
          <w:color w:val="auto"/>
          <w:szCs w:val="21"/>
          <w:highlight w:val="none"/>
          <w:lang w:val="en-US" w:eastAsia="zh-CN"/>
        </w:rPr>
        <w:t>.</w:t>
      </w:r>
      <w:r>
        <w:rPr>
          <w:rFonts w:hint="eastAsia" w:ascii="宋体" w:hAnsi="宋体" w:eastAsia="宋体" w:cs="宋体"/>
          <w:color w:val="auto"/>
          <w:szCs w:val="21"/>
          <w:highlight w:val="none"/>
        </w:rPr>
        <w:t>因履行本合同引起的或者与本合同有关的争议，甲乙双方应首先通过友好协商解决，如果协商不能解决，可向甲方所在地有管辖权的人民法院提起诉讼。</w:t>
      </w:r>
    </w:p>
    <w:p w14:paraId="05444EAB">
      <w:pPr>
        <w:snapToGrid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3</w:t>
      </w:r>
      <w:r>
        <w:rPr>
          <w:rFonts w:hint="eastAsia" w:ascii="宋体" w:hAnsi="宋体" w:eastAsia="宋体" w:cs="宋体"/>
          <w:color w:val="auto"/>
          <w:szCs w:val="21"/>
          <w:highlight w:val="none"/>
          <w:lang w:val="en-US" w:eastAsia="zh-CN"/>
        </w:rPr>
        <w:t>.</w:t>
      </w:r>
      <w:r>
        <w:rPr>
          <w:rFonts w:hint="eastAsia" w:ascii="宋体" w:hAnsi="宋体" w:eastAsia="宋体" w:cs="宋体"/>
          <w:color w:val="auto"/>
          <w:szCs w:val="21"/>
          <w:highlight w:val="none"/>
        </w:rPr>
        <w:t>诉讼期间，本合同继续履行。</w:t>
      </w:r>
    </w:p>
    <w:p w14:paraId="32ADD815">
      <w:pPr>
        <w:spacing w:line="360" w:lineRule="auto"/>
        <w:ind w:firstLine="422" w:firstLineChars="200"/>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第十二条  合同生效及其它</w:t>
      </w:r>
    </w:p>
    <w:p w14:paraId="400291D6">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w:t>
      </w:r>
      <w:r>
        <w:rPr>
          <w:rFonts w:hint="eastAsia" w:ascii="宋体" w:hAnsi="宋体" w:eastAsia="宋体" w:cs="宋体"/>
          <w:color w:val="auto"/>
          <w:szCs w:val="21"/>
          <w:highlight w:val="none"/>
          <w:lang w:val="en-US" w:eastAsia="zh-CN"/>
        </w:rPr>
        <w:t>.</w:t>
      </w:r>
      <w:r>
        <w:rPr>
          <w:rFonts w:hint="eastAsia" w:ascii="宋体" w:hAnsi="宋体" w:eastAsia="宋体" w:cs="宋体"/>
          <w:color w:val="auto"/>
          <w:szCs w:val="21"/>
          <w:highlight w:val="none"/>
        </w:rPr>
        <w:t>合同经双方法定代表人或者授权代表签字并加盖单位公章后生效（委托代理人签字的需后附法定代表人授权委托书，格式自拟）。</w:t>
      </w:r>
    </w:p>
    <w:p w14:paraId="30DB892A">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w:t>
      </w:r>
      <w:r>
        <w:rPr>
          <w:rFonts w:hint="eastAsia" w:ascii="宋体" w:hAnsi="宋体" w:eastAsia="宋体" w:cs="宋体"/>
          <w:color w:val="auto"/>
          <w:szCs w:val="21"/>
          <w:highlight w:val="none"/>
          <w:lang w:val="en-US" w:eastAsia="zh-CN"/>
        </w:rPr>
        <w:t>.</w:t>
      </w:r>
      <w:r>
        <w:rPr>
          <w:rFonts w:hint="eastAsia" w:ascii="宋体" w:hAnsi="宋体" w:eastAsia="宋体" w:cs="宋体"/>
          <w:color w:val="auto"/>
          <w:szCs w:val="21"/>
          <w:highlight w:val="none"/>
        </w:rPr>
        <w:t>合同执行中涉及采购资金和采购内容修改或者补充的，须经财政部门审批，并签书面补充协议报财政部门备案，方可作为主合同不可分割的一部分。</w:t>
      </w:r>
    </w:p>
    <w:p w14:paraId="5AABFE67">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3</w:t>
      </w:r>
      <w:r>
        <w:rPr>
          <w:rFonts w:hint="eastAsia" w:ascii="宋体" w:hAnsi="宋体" w:eastAsia="宋体" w:cs="宋体"/>
          <w:color w:val="auto"/>
          <w:szCs w:val="21"/>
          <w:highlight w:val="none"/>
          <w:lang w:val="en-US" w:eastAsia="zh-CN"/>
        </w:rPr>
        <w:t>.</w:t>
      </w:r>
      <w:r>
        <w:rPr>
          <w:rFonts w:hint="eastAsia" w:ascii="宋体" w:hAnsi="宋体" w:eastAsia="宋体" w:cs="宋体"/>
          <w:color w:val="auto"/>
          <w:szCs w:val="21"/>
          <w:highlight w:val="none"/>
        </w:rPr>
        <w:t>本合同未尽事宜，遵照《中华人民共和国民法典》有关条文执行。</w:t>
      </w:r>
    </w:p>
    <w:p w14:paraId="486FE470">
      <w:pPr>
        <w:spacing w:line="360" w:lineRule="auto"/>
        <w:ind w:firstLine="422" w:firstLineChars="200"/>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第十三条　合同的变更、终止与转让</w:t>
      </w:r>
    </w:p>
    <w:p w14:paraId="4C7F247F">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w:t>
      </w:r>
      <w:r>
        <w:rPr>
          <w:rFonts w:hint="eastAsia" w:ascii="宋体" w:hAnsi="宋体" w:eastAsia="宋体" w:cs="宋体"/>
          <w:color w:val="auto"/>
          <w:szCs w:val="21"/>
          <w:highlight w:val="none"/>
          <w:lang w:val="en-US" w:eastAsia="zh-CN"/>
        </w:rPr>
        <w:t>.</w:t>
      </w:r>
      <w:r>
        <w:rPr>
          <w:rFonts w:hint="eastAsia" w:ascii="宋体" w:hAnsi="宋体" w:eastAsia="宋体" w:cs="宋体"/>
          <w:color w:val="auto"/>
          <w:szCs w:val="21"/>
          <w:highlight w:val="none"/>
        </w:rPr>
        <w:t>除《中华人民共和国政府采购法》第五十条规定或者合同约定的情形外，本合同一经签订，甲乙双方不得擅自变更、中止或者终止。</w:t>
      </w:r>
    </w:p>
    <w:p w14:paraId="78F30942">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w:t>
      </w:r>
      <w:r>
        <w:rPr>
          <w:rFonts w:hint="eastAsia" w:ascii="宋体" w:hAnsi="宋体" w:eastAsia="宋体" w:cs="宋体"/>
          <w:color w:val="auto"/>
          <w:szCs w:val="21"/>
          <w:highlight w:val="none"/>
          <w:lang w:val="en-US" w:eastAsia="zh-CN"/>
        </w:rPr>
        <w:t>.</w:t>
      </w:r>
      <w:r>
        <w:rPr>
          <w:rFonts w:hint="eastAsia" w:ascii="宋体" w:hAnsi="宋体" w:eastAsia="宋体" w:cs="宋体"/>
          <w:color w:val="auto"/>
          <w:szCs w:val="21"/>
          <w:highlight w:val="none"/>
        </w:rPr>
        <w:t>乙方不得擅自转让其应履行的合同义务。</w:t>
      </w:r>
    </w:p>
    <w:p w14:paraId="58D49DA5">
      <w:pPr>
        <w:spacing w:line="360" w:lineRule="auto"/>
        <w:ind w:firstLine="422" w:firstLineChars="200"/>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第十四条　签订本合同依据</w:t>
      </w:r>
    </w:p>
    <w:p w14:paraId="5E8089C7">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w:t>
      </w:r>
      <w:r>
        <w:rPr>
          <w:rFonts w:hint="eastAsia" w:ascii="宋体" w:hAnsi="宋体" w:eastAsia="宋体" w:cs="宋体"/>
          <w:color w:val="auto"/>
          <w:szCs w:val="21"/>
          <w:highlight w:val="none"/>
          <w:lang w:val="en-US" w:eastAsia="zh-CN"/>
        </w:rPr>
        <w:t>.</w:t>
      </w:r>
      <w:r>
        <w:rPr>
          <w:rFonts w:hint="eastAsia" w:ascii="宋体" w:hAnsi="宋体" w:eastAsia="宋体" w:cs="宋体"/>
          <w:color w:val="auto"/>
          <w:szCs w:val="21"/>
          <w:highlight w:val="none"/>
        </w:rPr>
        <w:t>成交通知书；</w:t>
      </w:r>
    </w:p>
    <w:p w14:paraId="1D2D4B81">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w:t>
      </w:r>
      <w:r>
        <w:rPr>
          <w:rFonts w:hint="eastAsia" w:ascii="宋体" w:hAnsi="宋体" w:eastAsia="宋体" w:cs="宋体"/>
          <w:color w:val="auto"/>
          <w:szCs w:val="21"/>
          <w:highlight w:val="none"/>
          <w:lang w:val="en-US" w:eastAsia="zh-CN"/>
        </w:rPr>
        <w:t>.投标函</w:t>
      </w:r>
      <w:r>
        <w:rPr>
          <w:rFonts w:hint="eastAsia" w:ascii="宋体" w:hAnsi="宋体" w:eastAsia="宋体" w:cs="宋体"/>
          <w:color w:val="auto"/>
          <w:szCs w:val="21"/>
          <w:highlight w:val="none"/>
        </w:rPr>
        <w:t>；</w:t>
      </w:r>
    </w:p>
    <w:p w14:paraId="194ECFA7">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3</w:t>
      </w:r>
      <w:r>
        <w:rPr>
          <w:rFonts w:hint="eastAsia" w:ascii="宋体" w:hAnsi="宋体" w:eastAsia="宋体" w:cs="宋体"/>
          <w:color w:val="auto"/>
          <w:szCs w:val="21"/>
          <w:highlight w:val="none"/>
          <w:lang w:val="en-US" w:eastAsia="zh-CN"/>
        </w:rPr>
        <w:t>.商务要求偏离表</w:t>
      </w:r>
      <w:r>
        <w:rPr>
          <w:rFonts w:hint="eastAsia" w:ascii="宋体" w:hAnsi="宋体" w:eastAsia="宋体" w:cs="宋体"/>
          <w:color w:val="auto"/>
          <w:szCs w:val="21"/>
          <w:highlight w:val="none"/>
        </w:rPr>
        <w:t>和技术要求偏离表；</w:t>
      </w:r>
    </w:p>
    <w:p w14:paraId="647141AC">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4</w:t>
      </w:r>
      <w:r>
        <w:rPr>
          <w:rFonts w:hint="eastAsia" w:ascii="宋体" w:hAnsi="宋体" w:eastAsia="宋体" w:cs="宋体"/>
          <w:color w:val="auto"/>
          <w:szCs w:val="21"/>
          <w:highlight w:val="none"/>
          <w:lang w:val="en-US" w:eastAsia="zh-CN"/>
        </w:rPr>
        <w:t>.</w:t>
      </w:r>
      <w:r>
        <w:rPr>
          <w:rFonts w:hint="eastAsia" w:ascii="宋体" w:hAnsi="宋体" w:eastAsia="宋体" w:cs="宋体"/>
          <w:color w:val="auto"/>
          <w:szCs w:val="21"/>
          <w:highlight w:val="none"/>
        </w:rPr>
        <w:t>售后服务承诺；</w:t>
      </w:r>
    </w:p>
    <w:p w14:paraId="23548F80">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5</w:t>
      </w:r>
      <w:r>
        <w:rPr>
          <w:rFonts w:hint="eastAsia" w:ascii="宋体" w:hAnsi="宋体" w:eastAsia="宋体" w:cs="宋体"/>
          <w:color w:val="auto"/>
          <w:szCs w:val="21"/>
          <w:highlight w:val="none"/>
          <w:lang w:val="en-US" w:eastAsia="zh-CN"/>
        </w:rPr>
        <w:t>.</w:t>
      </w:r>
      <w:r>
        <w:rPr>
          <w:rFonts w:hint="eastAsia" w:ascii="宋体" w:hAnsi="宋体" w:eastAsia="宋体" w:cs="宋体"/>
          <w:color w:val="auto"/>
          <w:szCs w:val="21"/>
          <w:highlight w:val="none"/>
        </w:rPr>
        <w:t>响应文件中的其他相关文件。</w:t>
      </w:r>
    </w:p>
    <w:p w14:paraId="6D51D365">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6</w:t>
      </w:r>
      <w:r>
        <w:rPr>
          <w:rFonts w:hint="eastAsia" w:ascii="宋体" w:hAnsi="宋体" w:eastAsia="宋体" w:cs="宋体"/>
          <w:color w:val="auto"/>
          <w:szCs w:val="21"/>
          <w:highlight w:val="none"/>
          <w:lang w:val="en-US" w:eastAsia="zh-CN"/>
        </w:rPr>
        <w:t>.</w:t>
      </w:r>
      <w:r>
        <w:rPr>
          <w:rFonts w:hint="eastAsia" w:ascii="宋体" w:hAnsi="宋体" w:eastAsia="宋体" w:cs="宋体"/>
          <w:color w:val="auto"/>
          <w:szCs w:val="21"/>
          <w:highlight w:val="none"/>
        </w:rPr>
        <w:t>上述合同文件互相补充和解释。如果合同文件之间存在矛盾或者不一致之处，以上述文件的排列顺序在先者为准。</w:t>
      </w:r>
    </w:p>
    <w:p w14:paraId="52CDDD80">
      <w:pPr>
        <w:snapToGrid w:val="0"/>
        <w:spacing w:line="360" w:lineRule="auto"/>
        <w:ind w:firstLine="422" w:firstLineChars="200"/>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第十五条   通知送达条款</w:t>
      </w:r>
    </w:p>
    <w:p w14:paraId="125EC036">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w:t>
      </w:r>
      <w:r>
        <w:rPr>
          <w:rFonts w:hint="eastAsia" w:ascii="宋体" w:hAnsi="宋体" w:eastAsia="宋体" w:cs="宋体"/>
          <w:color w:val="auto"/>
          <w:szCs w:val="21"/>
          <w:highlight w:val="none"/>
          <w:lang w:val="en-US" w:eastAsia="zh-CN"/>
        </w:rPr>
        <w:t>.</w:t>
      </w:r>
      <w:r>
        <w:rPr>
          <w:rFonts w:hint="eastAsia" w:ascii="宋体" w:hAnsi="宋体" w:eastAsia="宋体" w:cs="宋体"/>
          <w:color w:val="auto"/>
          <w:szCs w:val="21"/>
          <w:highlight w:val="none"/>
        </w:rPr>
        <w:t>双方就履约过程中产生的各种文书及就合同发生纠纷时相关文件和法律文书均可通过专人送达或邮政特快专递送达至本合同约定的地址。</w:t>
      </w:r>
    </w:p>
    <w:p w14:paraId="497D50C9">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（1）专人送达的，一方及其员工（不限于本合同约定的联系人）签收视为送达。</w:t>
      </w:r>
    </w:p>
    <w:p w14:paraId="310AE936">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（2）邮政特快专递寄出的，寄出的第3天视为送达。</w:t>
      </w:r>
    </w:p>
    <w:p w14:paraId="3FD6B928">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w:t>
      </w:r>
      <w:r>
        <w:rPr>
          <w:rFonts w:hint="eastAsia" w:ascii="宋体" w:hAnsi="宋体" w:eastAsia="宋体" w:cs="宋体"/>
          <w:color w:val="auto"/>
          <w:szCs w:val="21"/>
          <w:highlight w:val="none"/>
          <w:lang w:val="en-US" w:eastAsia="zh-CN"/>
        </w:rPr>
        <w:t>.</w:t>
      </w:r>
      <w:r>
        <w:rPr>
          <w:rFonts w:hint="eastAsia" w:ascii="宋体" w:hAnsi="宋体" w:eastAsia="宋体" w:cs="宋体"/>
          <w:color w:val="auto"/>
          <w:szCs w:val="21"/>
          <w:highlight w:val="none"/>
        </w:rPr>
        <w:t>双方认可的通知送达地址、联系人、联系方式如下：</w:t>
      </w:r>
    </w:p>
    <w:p w14:paraId="7D130646">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甲方地址及联系方式：</w:t>
      </w:r>
      <w:r>
        <w:rPr>
          <w:rFonts w:hint="eastAsia" w:ascii="宋体" w:hAnsi="宋体" w:eastAsia="宋体" w:cs="宋体"/>
          <w:color w:val="auto"/>
          <w:szCs w:val="21"/>
          <w:highlight w:val="none"/>
          <w:u w:val="single"/>
          <w:lang w:val="en-US" w:eastAsia="zh-CN"/>
        </w:rPr>
        <w:t xml:space="preserve">                                    </w:t>
      </w:r>
      <w:r>
        <w:rPr>
          <w:rFonts w:hint="eastAsia" w:ascii="宋体" w:hAnsi="宋体" w:eastAsia="宋体" w:cs="宋体"/>
          <w:color w:val="auto"/>
          <w:szCs w:val="21"/>
          <w:highlight w:val="none"/>
        </w:rPr>
        <w:t>。</w:t>
      </w:r>
    </w:p>
    <w:p w14:paraId="427A9369">
      <w:pPr>
        <w:spacing w:line="360" w:lineRule="auto"/>
        <w:ind w:firstLine="420" w:firstLineChars="200"/>
        <w:rPr>
          <w:rFonts w:hint="eastAsia" w:ascii="宋体" w:hAnsi="宋体" w:eastAsia="宋体" w:cs="宋体"/>
          <w:color w:val="auto"/>
          <w:szCs w:val="21"/>
          <w:highlight w:val="none"/>
          <w:u w:val="single"/>
        </w:rPr>
      </w:pPr>
      <w:r>
        <w:rPr>
          <w:rFonts w:hint="eastAsia" w:ascii="宋体" w:hAnsi="宋体" w:eastAsia="宋体" w:cs="宋体"/>
          <w:color w:val="auto"/>
          <w:szCs w:val="21"/>
          <w:highlight w:val="none"/>
        </w:rPr>
        <w:t>乙方地址及联系方式：</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w:t>
      </w:r>
    </w:p>
    <w:p w14:paraId="2B75EE80">
      <w:pPr>
        <w:spacing w:line="360" w:lineRule="auto"/>
        <w:ind w:firstLine="420" w:firstLineChars="200"/>
        <w:rPr>
          <w:rFonts w:hint="eastAsia" w:ascii="宋体" w:hAnsi="宋体" w:eastAsia="宋体" w:cs="宋体"/>
          <w:b/>
          <w:color w:val="auto"/>
          <w:szCs w:val="21"/>
          <w:highlight w:val="none"/>
        </w:rPr>
      </w:pPr>
      <w:r>
        <w:rPr>
          <w:rFonts w:hint="eastAsia" w:ascii="宋体" w:hAnsi="宋体" w:eastAsia="宋体" w:cs="宋体"/>
          <w:color w:val="auto"/>
          <w:szCs w:val="21"/>
          <w:highlight w:val="none"/>
        </w:rPr>
        <w:t>3</w:t>
      </w:r>
      <w:r>
        <w:rPr>
          <w:rFonts w:hint="eastAsia" w:ascii="宋体" w:hAnsi="宋体" w:eastAsia="宋体" w:cs="宋体"/>
          <w:color w:val="auto"/>
          <w:szCs w:val="21"/>
          <w:highlight w:val="none"/>
          <w:lang w:val="en-US" w:eastAsia="zh-CN"/>
        </w:rPr>
        <w:t>.</w:t>
      </w:r>
      <w:r>
        <w:rPr>
          <w:rFonts w:hint="eastAsia" w:ascii="宋体" w:hAnsi="宋体" w:eastAsia="宋体" w:cs="宋体"/>
          <w:color w:val="auto"/>
          <w:szCs w:val="21"/>
          <w:highlight w:val="none"/>
        </w:rPr>
        <w:t>如果任何一方变更上述地址、联系人、联系方式的，应提前7日书面通知对方（对方实际收到变更通知书前作出的送达仍有效），否则任何一方通知送达上述地址和联系人的，均视为被送达方收到相关文件，由此引发的法律后果由被送达人承担。</w:t>
      </w:r>
    </w:p>
    <w:p w14:paraId="47AC9536">
      <w:pPr>
        <w:spacing w:line="360" w:lineRule="auto"/>
        <w:ind w:firstLine="422" w:firstLineChars="200"/>
        <w:rPr>
          <w:rFonts w:hint="eastAsia" w:ascii="宋体" w:hAnsi="宋体" w:eastAsia="宋体" w:cs="宋体"/>
          <w:color w:val="auto"/>
          <w:szCs w:val="21"/>
          <w:highlight w:val="none"/>
        </w:rPr>
      </w:pPr>
      <w:r>
        <w:rPr>
          <w:rFonts w:hint="eastAsia" w:ascii="宋体" w:hAnsi="宋体" w:eastAsia="宋体" w:cs="宋体"/>
          <w:b/>
          <w:color w:val="auto"/>
          <w:szCs w:val="21"/>
          <w:highlight w:val="none"/>
        </w:rPr>
        <w:t>第十六条　</w:t>
      </w:r>
      <w:r>
        <w:rPr>
          <w:rFonts w:hint="eastAsia" w:ascii="宋体" w:hAnsi="宋体" w:eastAsia="宋体" w:cs="宋体"/>
          <w:color w:val="auto"/>
          <w:szCs w:val="21"/>
          <w:highlight w:val="none"/>
        </w:rPr>
        <w:t>本合同一式七份，具有同等法律效力，采购代理机构一份，甲方三份，乙方三份。</w:t>
      </w:r>
    </w:p>
    <w:p w14:paraId="5C84C5AB">
      <w:pPr>
        <w:spacing w:line="400" w:lineRule="exact"/>
        <w:rPr>
          <w:rFonts w:hint="eastAsia" w:ascii="宋体" w:hAnsi="宋体" w:eastAsia="宋体" w:cs="宋体"/>
          <w:color w:val="auto"/>
          <w:szCs w:val="21"/>
          <w:highlight w:val="none"/>
        </w:rPr>
      </w:pPr>
    </w:p>
    <w:tbl>
      <w:tblPr>
        <w:tblStyle w:val="45"/>
        <w:tblW w:w="0" w:type="auto"/>
        <w:tblInd w:w="-11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16"/>
        <w:gridCol w:w="4316"/>
      </w:tblGrid>
      <w:tr w14:paraId="429D76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473" w:type="dxa"/>
            <w:noWrap w:val="0"/>
            <w:vAlign w:val="top"/>
          </w:tcPr>
          <w:p w14:paraId="2C7F7A92">
            <w:pPr>
              <w:snapToGrid w:val="0"/>
              <w:spacing w:line="400" w:lineRule="exact"/>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lang w:bidi="ar"/>
              </w:rPr>
              <w:t>甲方：（章）</w:t>
            </w:r>
          </w:p>
          <w:p w14:paraId="59519AF1">
            <w:pPr>
              <w:snapToGrid w:val="0"/>
              <w:spacing w:line="400" w:lineRule="exact"/>
              <w:ind w:firstLine="945" w:firstLineChars="450"/>
              <w:jc w:val="right"/>
              <w:rPr>
                <w:rFonts w:hint="eastAsia" w:ascii="宋体" w:hAnsi="宋体" w:eastAsia="宋体" w:cs="宋体"/>
                <w:color w:val="auto"/>
                <w:szCs w:val="21"/>
                <w:highlight w:val="none"/>
              </w:rPr>
            </w:pPr>
          </w:p>
          <w:p w14:paraId="14A39927">
            <w:pPr>
              <w:pStyle w:val="2"/>
              <w:spacing w:line="400" w:lineRule="exact"/>
              <w:jc w:val="righ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bidi="ar"/>
              </w:rPr>
              <w:t xml:space="preserve"> </w:t>
            </w:r>
            <w:r>
              <w:rPr>
                <w:rFonts w:hint="eastAsia" w:ascii="宋体" w:hAnsi="宋体" w:eastAsia="宋体" w:cs="宋体"/>
                <w:color w:val="auto"/>
                <w:sz w:val="21"/>
                <w:szCs w:val="21"/>
                <w:highlight w:val="none"/>
                <w:lang w:bidi="ar"/>
              </w:rPr>
              <w:t>年   月   日</w:t>
            </w:r>
          </w:p>
        </w:tc>
        <w:tc>
          <w:tcPr>
            <w:tcW w:w="4473" w:type="dxa"/>
            <w:noWrap w:val="0"/>
            <w:vAlign w:val="top"/>
          </w:tcPr>
          <w:p w14:paraId="3F5846C4">
            <w:pPr>
              <w:snapToGrid w:val="0"/>
              <w:spacing w:line="40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lang w:bidi="ar"/>
              </w:rPr>
              <w:t xml:space="preserve">乙方：（章）     </w:t>
            </w:r>
          </w:p>
          <w:p w14:paraId="75792F21">
            <w:pPr>
              <w:snapToGrid w:val="0"/>
              <w:spacing w:line="400" w:lineRule="exact"/>
              <w:jc w:val="right"/>
              <w:rPr>
                <w:rFonts w:hint="eastAsia" w:ascii="宋体" w:hAnsi="宋体" w:eastAsia="宋体" w:cs="宋体"/>
                <w:color w:val="auto"/>
                <w:szCs w:val="21"/>
                <w:highlight w:val="none"/>
              </w:rPr>
            </w:pPr>
            <w:r>
              <w:rPr>
                <w:rFonts w:hint="eastAsia" w:ascii="宋体" w:hAnsi="宋体" w:eastAsia="宋体" w:cs="宋体"/>
                <w:color w:val="auto"/>
                <w:szCs w:val="21"/>
                <w:highlight w:val="none"/>
                <w:lang w:bidi="ar"/>
              </w:rPr>
              <w:t xml:space="preserve">       </w:t>
            </w:r>
          </w:p>
          <w:p w14:paraId="1D0F99D2">
            <w:pPr>
              <w:pStyle w:val="2"/>
              <w:spacing w:line="400" w:lineRule="exact"/>
              <w:jc w:val="righ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bidi="ar"/>
              </w:rPr>
              <w:t xml:space="preserve"> </w:t>
            </w:r>
            <w:r>
              <w:rPr>
                <w:rFonts w:hint="eastAsia" w:ascii="宋体" w:hAnsi="宋体" w:eastAsia="宋体" w:cs="宋体"/>
                <w:color w:val="auto"/>
                <w:sz w:val="21"/>
                <w:szCs w:val="21"/>
                <w:highlight w:val="none"/>
                <w:lang w:bidi="ar"/>
              </w:rPr>
              <w:t>年   月   日</w:t>
            </w:r>
          </w:p>
        </w:tc>
      </w:tr>
      <w:tr w14:paraId="5A5EF0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473" w:type="dxa"/>
            <w:noWrap w:val="0"/>
            <w:vAlign w:val="center"/>
          </w:tcPr>
          <w:p w14:paraId="19CC64D4">
            <w:pPr>
              <w:pStyle w:val="2"/>
              <w:spacing w:line="400" w:lineRule="exact"/>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bidi="ar"/>
              </w:rPr>
              <w:t>单位地址：</w:t>
            </w:r>
            <w:r>
              <w:rPr>
                <w:rFonts w:hint="eastAsia" w:ascii="宋体" w:hAnsi="宋体" w:eastAsia="宋体" w:cs="宋体"/>
                <w:color w:val="auto"/>
                <w:sz w:val="21"/>
                <w:szCs w:val="21"/>
                <w:highlight w:val="none"/>
                <w:lang w:val="en-US" w:eastAsia="zh-CN" w:bidi="ar"/>
              </w:rPr>
              <w:t xml:space="preserve"> </w:t>
            </w:r>
          </w:p>
        </w:tc>
        <w:tc>
          <w:tcPr>
            <w:tcW w:w="4473" w:type="dxa"/>
            <w:noWrap w:val="0"/>
            <w:vAlign w:val="center"/>
          </w:tcPr>
          <w:p w14:paraId="4DD6A87C">
            <w:pPr>
              <w:pStyle w:val="2"/>
              <w:spacing w:line="40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bidi="ar"/>
              </w:rPr>
              <w:t>单位地址：</w:t>
            </w:r>
          </w:p>
        </w:tc>
      </w:tr>
      <w:tr w14:paraId="7E5FBC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2" w:hRule="atLeast"/>
        </w:trPr>
        <w:tc>
          <w:tcPr>
            <w:tcW w:w="4473" w:type="dxa"/>
            <w:noWrap w:val="0"/>
            <w:vAlign w:val="center"/>
          </w:tcPr>
          <w:p w14:paraId="160B5191">
            <w:pPr>
              <w:pStyle w:val="2"/>
              <w:spacing w:line="40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bidi="ar"/>
              </w:rPr>
              <w:t>法定代表人：</w:t>
            </w:r>
          </w:p>
        </w:tc>
        <w:tc>
          <w:tcPr>
            <w:tcW w:w="4473" w:type="dxa"/>
            <w:noWrap w:val="0"/>
            <w:vAlign w:val="center"/>
          </w:tcPr>
          <w:p w14:paraId="2F283185">
            <w:pPr>
              <w:pStyle w:val="2"/>
              <w:spacing w:line="40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bidi="ar"/>
              </w:rPr>
              <w:t>法定代表人：</w:t>
            </w:r>
          </w:p>
        </w:tc>
      </w:tr>
      <w:tr w14:paraId="2A3107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4" w:hRule="atLeast"/>
        </w:trPr>
        <w:tc>
          <w:tcPr>
            <w:tcW w:w="4473" w:type="dxa"/>
            <w:noWrap w:val="0"/>
            <w:vAlign w:val="center"/>
          </w:tcPr>
          <w:p w14:paraId="030B0EC0">
            <w:pPr>
              <w:pStyle w:val="2"/>
              <w:spacing w:line="40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bidi="ar"/>
              </w:rPr>
              <w:t>委托代理人：</w:t>
            </w:r>
          </w:p>
        </w:tc>
        <w:tc>
          <w:tcPr>
            <w:tcW w:w="4473" w:type="dxa"/>
            <w:noWrap w:val="0"/>
            <w:vAlign w:val="center"/>
          </w:tcPr>
          <w:p w14:paraId="4670252A">
            <w:pPr>
              <w:pStyle w:val="2"/>
              <w:spacing w:line="40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bidi="ar"/>
              </w:rPr>
              <w:t>委托代理人：</w:t>
            </w:r>
          </w:p>
        </w:tc>
      </w:tr>
      <w:tr w14:paraId="75FB91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473" w:type="dxa"/>
            <w:noWrap w:val="0"/>
            <w:vAlign w:val="center"/>
          </w:tcPr>
          <w:p w14:paraId="00B1602E">
            <w:pPr>
              <w:pStyle w:val="2"/>
              <w:spacing w:line="40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bidi="ar"/>
              </w:rPr>
              <w:t>电话：</w:t>
            </w:r>
          </w:p>
        </w:tc>
        <w:tc>
          <w:tcPr>
            <w:tcW w:w="4473" w:type="dxa"/>
            <w:noWrap w:val="0"/>
            <w:vAlign w:val="center"/>
          </w:tcPr>
          <w:p w14:paraId="0648596A">
            <w:pPr>
              <w:pStyle w:val="2"/>
              <w:spacing w:line="40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bidi="ar"/>
              </w:rPr>
              <w:t>电话：</w:t>
            </w:r>
          </w:p>
        </w:tc>
      </w:tr>
      <w:tr w14:paraId="78200A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473" w:type="dxa"/>
            <w:noWrap w:val="0"/>
            <w:vAlign w:val="center"/>
          </w:tcPr>
          <w:p w14:paraId="42E68772">
            <w:pPr>
              <w:pStyle w:val="2"/>
              <w:spacing w:line="40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bidi="ar"/>
              </w:rPr>
              <w:t>开户银行：</w:t>
            </w:r>
          </w:p>
        </w:tc>
        <w:tc>
          <w:tcPr>
            <w:tcW w:w="4473" w:type="dxa"/>
            <w:noWrap w:val="0"/>
            <w:vAlign w:val="center"/>
          </w:tcPr>
          <w:p w14:paraId="6707B2FF">
            <w:pPr>
              <w:pStyle w:val="2"/>
              <w:spacing w:line="40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bidi="ar"/>
              </w:rPr>
              <w:t xml:space="preserve">开户银行： </w:t>
            </w:r>
          </w:p>
        </w:tc>
      </w:tr>
      <w:tr w14:paraId="3A4691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473" w:type="dxa"/>
            <w:noWrap w:val="0"/>
            <w:vAlign w:val="center"/>
          </w:tcPr>
          <w:p w14:paraId="0C05729A">
            <w:pPr>
              <w:pStyle w:val="2"/>
              <w:spacing w:line="40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bidi="ar"/>
              </w:rPr>
              <w:t xml:space="preserve">账号： </w:t>
            </w:r>
          </w:p>
        </w:tc>
        <w:tc>
          <w:tcPr>
            <w:tcW w:w="4473" w:type="dxa"/>
            <w:noWrap w:val="0"/>
            <w:vAlign w:val="center"/>
          </w:tcPr>
          <w:p w14:paraId="49E39248">
            <w:pPr>
              <w:pStyle w:val="2"/>
              <w:spacing w:line="40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bidi="ar"/>
              </w:rPr>
              <w:t>账号：</w:t>
            </w:r>
          </w:p>
        </w:tc>
      </w:tr>
      <w:tr w14:paraId="293B80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473" w:type="dxa"/>
            <w:noWrap w:val="0"/>
            <w:vAlign w:val="center"/>
          </w:tcPr>
          <w:p w14:paraId="5383BAAB">
            <w:pPr>
              <w:pStyle w:val="2"/>
              <w:spacing w:line="40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bidi="ar"/>
              </w:rPr>
              <w:t>邮政编码：</w:t>
            </w:r>
          </w:p>
        </w:tc>
        <w:tc>
          <w:tcPr>
            <w:tcW w:w="4473" w:type="dxa"/>
            <w:noWrap w:val="0"/>
            <w:vAlign w:val="center"/>
          </w:tcPr>
          <w:p w14:paraId="17DFCBDE">
            <w:pPr>
              <w:pStyle w:val="2"/>
              <w:spacing w:line="40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bidi="ar"/>
              </w:rPr>
              <w:t>邮政编码：</w:t>
            </w:r>
          </w:p>
        </w:tc>
      </w:tr>
    </w:tbl>
    <w:p w14:paraId="35FF0F54">
      <w:pPr>
        <w:spacing w:before="120" w:line="320" w:lineRule="exact"/>
        <w:jc w:val="center"/>
        <w:rPr>
          <w:rFonts w:hint="eastAsia" w:ascii="宋体" w:hAnsi="宋体" w:eastAsia="宋体" w:cs="宋体"/>
          <w:color w:val="auto"/>
          <w:szCs w:val="21"/>
          <w:highlight w:val="none"/>
          <w:u w:val="single"/>
        </w:rPr>
      </w:pPr>
    </w:p>
    <w:bookmarkEnd w:id="152"/>
    <w:bookmarkEnd w:id="153"/>
    <w:p w14:paraId="7EAFC32C">
      <w:pPr>
        <w:snapToGrid w:val="0"/>
        <w:spacing w:line="360" w:lineRule="exact"/>
        <w:jc w:val="center"/>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br w:type="page"/>
      </w:r>
      <w:r>
        <w:rPr>
          <w:rFonts w:hint="eastAsia" w:ascii="宋体" w:hAnsi="宋体" w:eastAsia="宋体" w:cs="宋体"/>
          <w:b/>
          <w:bCs/>
          <w:color w:val="auto"/>
          <w:szCs w:val="21"/>
          <w:highlight w:val="none"/>
        </w:rPr>
        <w:t>广西壮族自治区政府采购项目合同验收书</w:t>
      </w:r>
    </w:p>
    <w:p w14:paraId="7BEAEE98">
      <w:pPr>
        <w:widowControl/>
        <w:snapToGrid w:val="0"/>
        <w:spacing w:before="100" w:beforeAutospacing="1" w:after="100" w:afterAutospacing="1" w:line="320" w:lineRule="exact"/>
        <w:ind w:left="-359" w:leftChars="-171" w:firstLine="420" w:firstLineChars="200"/>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根据政府采购项目（</w:t>
      </w:r>
      <w:r>
        <w:rPr>
          <w:rFonts w:hint="eastAsia" w:ascii="宋体" w:hAnsi="宋体" w:eastAsia="宋体" w:cs="宋体"/>
          <w:color w:val="auto"/>
          <w:kern w:val="0"/>
          <w:szCs w:val="21"/>
          <w:highlight w:val="none"/>
          <w:u w:val="single"/>
        </w:rPr>
        <w:t>采购合同编号：</w:t>
      </w:r>
      <w:r>
        <w:rPr>
          <w:rFonts w:hint="eastAsia" w:ascii="宋体" w:hAnsi="宋体" w:eastAsia="宋体" w:cs="宋体"/>
          <w:color w:val="auto"/>
          <w:szCs w:val="21"/>
          <w:highlight w:val="none"/>
          <w:u w:val="single"/>
        </w:rPr>
        <w:t>GXZC20XX-XX-XXXXX-</w:t>
      </w:r>
      <w:r>
        <w:rPr>
          <w:rFonts w:hint="eastAsia" w:ascii="宋体" w:hAnsi="宋体" w:cs="宋体"/>
          <w:color w:val="auto"/>
          <w:szCs w:val="21"/>
          <w:highlight w:val="none"/>
          <w:u w:val="single"/>
          <w:lang w:eastAsia="zh-CN"/>
        </w:rPr>
        <w:t>KWZB</w:t>
      </w:r>
      <w:r>
        <w:rPr>
          <w:rFonts w:hint="eastAsia" w:ascii="宋体" w:hAnsi="宋体" w:eastAsia="宋体" w:cs="宋体"/>
          <w:color w:val="auto"/>
          <w:kern w:val="0"/>
          <w:szCs w:val="21"/>
          <w:highlight w:val="none"/>
        </w:rPr>
        <w:t>）的约定，我单位对（</w:t>
      </w:r>
      <w:r>
        <w:rPr>
          <w:rFonts w:hint="eastAsia" w:ascii="宋体" w:hAnsi="宋体" w:eastAsia="宋体" w:cs="宋体"/>
          <w:color w:val="auto"/>
          <w:szCs w:val="21"/>
          <w:highlight w:val="none"/>
          <w:u w:val="single"/>
        </w:rPr>
        <w:t>XXXX采购项目</w:t>
      </w:r>
      <w:r>
        <w:rPr>
          <w:rFonts w:hint="eastAsia" w:ascii="宋体" w:hAnsi="宋体" w:eastAsia="宋体" w:cs="宋体"/>
          <w:color w:val="auto"/>
          <w:kern w:val="0"/>
          <w:szCs w:val="21"/>
          <w:highlight w:val="none"/>
        </w:rPr>
        <w:t>）政府采购项目中标（或成交）供应商</w:t>
      </w:r>
      <w:r>
        <w:rPr>
          <w:rFonts w:hint="eastAsia" w:ascii="宋体" w:hAnsi="宋体" w:eastAsia="宋体" w:cs="宋体"/>
          <w:color w:val="auto"/>
          <w:kern w:val="0"/>
          <w:szCs w:val="21"/>
          <w:highlight w:val="none"/>
          <w:u w:val="single"/>
        </w:rPr>
        <w:t>XX公司（填写供应商名称）</w:t>
      </w:r>
      <w:r>
        <w:rPr>
          <w:rFonts w:hint="eastAsia" w:ascii="宋体" w:hAnsi="宋体" w:eastAsia="宋体" w:cs="宋体"/>
          <w:color w:val="auto"/>
          <w:kern w:val="0"/>
          <w:szCs w:val="21"/>
          <w:highlight w:val="none"/>
        </w:rPr>
        <w:t>提供的服务（或工程、货物）进行了验收，验收情况如下：</w:t>
      </w:r>
    </w:p>
    <w:tbl>
      <w:tblPr>
        <w:tblStyle w:val="45"/>
        <w:tblW w:w="9627" w:type="dxa"/>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0" w:type="dxa"/>
          <w:bottom w:w="0" w:type="dxa"/>
          <w:right w:w="0" w:type="dxa"/>
        </w:tblCellMar>
      </w:tblPr>
      <w:tblGrid>
        <w:gridCol w:w="661"/>
        <w:gridCol w:w="866"/>
        <w:gridCol w:w="977"/>
        <w:gridCol w:w="2263"/>
        <w:gridCol w:w="1608"/>
        <w:gridCol w:w="850"/>
        <w:gridCol w:w="242"/>
        <w:gridCol w:w="2160"/>
      </w:tblGrid>
      <w:tr w14:paraId="6E5EE0E5">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361" w:hRule="atLeast"/>
          <w:jc w:val="center"/>
        </w:trPr>
        <w:tc>
          <w:tcPr>
            <w:tcW w:w="2504" w:type="dxa"/>
            <w:gridSpan w:val="3"/>
            <w:tcBorders>
              <w:top w:val="single" w:color="auto" w:sz="8" w:space="0"/>
              <w:left w:val="single" w:color="auto" w:sz="8" w:space="0"/>
              <w:bottom w:val="single" w:color="auto" w:sz="8" w:space="0"/>
              <w:right w:val="single" w:color="auto" w:sz="8" w:space="0"/>
            </w:tcBorders>
            <w:noWrap w:val="0"/>
            <w:vAlign w:val="center"/>
          </w:tcPr>
          <w:p w14:paraId="18FD445C">
            <w:pPr>
              <w:widowControl/>
              <w:snapToGrid w:val="0"/>
              <w:spacing w:before="100" w:beforeAutospacing="1" w:after="100" w:afterAutospacing="1" w:line="320" w:lineRule="exact"/>
              <w:ind w:left="-3" w:firstLine="4" w:firstLineChars="2"/>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验收方式：</w:t>
            </w:r>
          </w:p>
        </w:tc>
        <w:tc>
          <w:tcPr>
            <w:tcW w:w="7123" w:type="dxa"/>
            <w:gridSpan w:val="5"/>
            <w:tcBorders>
              <w:top w:val="single" w:color="auto" w:sz="8" w:space="0"/>
              <w:left w:val="single" w:color="auto" w:sz="8" w:space="0"/>
              <w:bottom w:val="single" w:color="auto" w:sz="8" w:space="0"/>
              <w:right w:val="single" w:color="auto" w:sz="8" w:space="0"/>
            </w:tcBorders>
            <w:noWrap w:val="0"/>
            <w:vAlign w:val="center"/>
          </w:tcPr>
          <w:p w14:paraId="63716AD6">
            <w:pPr>
              <w:widowControl/>
              <w:snapToGrid w:val="0"/>
              <w:spacing w:before="100" w:beforeAutospacing="1" w:after="100" w:afterAutospacing="1" w:line="320" w:lineRule="exact"/>
              <w:ind w:left="-3" w:firstLine="420" w:firstLineChars="200"/>
              <w:jc w:val="center"/>
              <w:rPr>
                <w:rFonts w:hint="eastAsia" w:ascii="宋体" w:hAnsi="宋体" w:eastAsia="宋体" w:cs="宋体"/>
                <w:color w:val="auto"/>
                <w:kern w:val="0"/>
                <w:szCs w:val="21"/>
                <w:highlight w:val="none"/>
              </w:rPr>
            </w:pPr>
            <w:r>
              <w:rPr>
                <w:rFonts w:hint="eastAsia" w:ascii="宋体" w:hAnsi="宋体" w:eastAsia="宋体" w:cs="宋体"/>
                <w:color w:val="auto"/>
                <w:szCs w:val="21"/>
                <w:highlight w:val="none"/>
              </w:rPr>
              <w:t>□</w:t>
            </w:r>
            <w:r>
              <w:rPr>
                <w:rFonts w:hint="eastAsia" w:ascii="宋体" w:hAnsi="宋体" w:eastAsia="宋体" w:cs="宋体"/>
                <w:color w:val="auto"/>
                <w:kern w:val="0"/>
                <w:szCs w:val="21"/>
                <w:highlight w:val="none"/>
              </w:rPr>
              <w:t>自行验收        </w:t>
            </w:r>
            <w:r>
              <w:rPr>
                <w:rFonts w:hint="eastAsia" w:ascii="宋体" w:hAnsi="宋体" w:eastAsia="宋体" w:cs="宋体"/>
                <w:color w:val="auto"/>
                <w:szCs w:val="21"/>
                <w:highlight w:val="none"/>
              </w:rPr>
              <w:sym w:font="Wingdings 2" w:char="00A3"/>
            </w:r>
            <w:r>
              <w:rPr>
                <w:rFonts w:hint="eastAsia" w:ascii="宋体" w:hAnsi="宋体" w:eastAsia="宋体" w:cs="宋体"/>
                <w:color w:val="auto"/>
                <w:kern w:val="0"/>
                <w:szCs w:val="21"/>
                <w:highlight w:val="none"/>
              </w:rPr>
              <w:t>委托验收</w:t>
            </w:r>
          </w:p>
        </w:tc>
      </w:tr>
      <w:tr w14:paraId="1CE338CA">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424" w:hRule="atLeast"/>
          <w:jc w:val="center"/>
        </w:trPr>
        <w:tc>
          <w:tcPr>
            <w:tcW w:w="661" w:type="dxa"/>
            <w:tcBorders>
              <w:top w:val="single" w:color="auto" w:sz="8" w:space="0"/>
              <w:left w:val="single" w:color="auto" w:sz="8" w:space="0"/>
              <w:bottom w:val="single" w:color="auto" w:sz="8" w:space="0"/>
              <w:right w:val="single" w:color="auto" w:sz="8" w:space="0"/>
            </w:tcBorders>
            <w:noWrap w:val="0"/>
            <w:vAlign w:val="center"/>
          </w:tcPr>
          <w:p w14:paraId="7ED42D13">
            <w:pPr>
              <w:widowControl/>
              <w:snapToGrid w:val="0"/>
              <w:spacing w:before="100" w:beforeAutospacing="1" w:after="100" w:afterAutospacing="1" w:line="320" w:lineRule="exact"/>
              <w:ind w:firstLine="2" w:firstLineChars="1"/>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序号</w:t>
            </w:r>
          </w:p>
        </w:tc>
        <w:tc>
          <w:tcPr>
            <w:tcW w:w="1843" w:type="dxa"/>
            <w:gridSpan w:val="2"/>
            <w:tcBorders>
              <w:top w:val="single" w:color="auto" w:sz="8" w:space="0"/>
              <w:left w:val="single" w:color="auto" w:sz="8" w:space="0"/>
              <w:bottom w:val="single" w:color="auto" w:sz="8" w:space="0"/>
              <w:right w:val="single" w:color="auto" w:sz="8" w:space="0"/>
            </w:tcBorders>
            <w:noWrap w:val="0"/>
            <w:vAlign w:val="center"/>
          </w:tcPr>
          <w:p w14:paraId="20D759D5">
            <w:pPr>
              <w:widowControl/>
              <w:snapToGrid w:val="0"/>
              <w:spacing w:before="100" w:beforeAutospacing="1" w:after="100" w:afterAutospacing="1" w:line="320" w:lineRule="exact"/>
              <w:ind w:left="-3" w:firstLine="2" w:firstLineChars="1"/>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名  称</w:t>
            </w:r>
          </w:p>
        </w:tc>
        <w:tc>
          <w:tcPr>
            <w:tcW w:w="3871" w:type="dxa"/>
            <w:gridSpan w:val="2"/>
            <w:tcBorders>
              <w:top w:val="single" w:color="auto" w:sz="8" w:space="0"/>
              <w:left w:val="single" w:color="auto" w:sz="8" w:space="0"/>
              <w:bottom w:val="single" w:color="auto" w:sz="8" w:space="0"/>
              <w:right w:val="single" w:color="auto" w:sz="8" w:space="0"/>
            </w:tcBorders>
            <w:noWrap w:val="0"/>
            <w:vAlign w:val="center"/>
          </w:tcPr>
          <w:p w14:paraId="7039BB02">
            <w:pPr>
              <w:widowControl/>
              <w:snapToGrid w:val="0"/>
              <w:spacing w:before="100" w:beforeAutospacing="1" w:after="100" w:afterAutospacing="1" w:line="320" w:lineRule="exact"/>
              <w:ind w:left="-3" w:firstLine="2" w:firstLineChars="1"/>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服务内容、标准等</w:t>
            </w:r>
          </w:p>
        </w:tc>
        <w:tc>
          <w:tcPr>
            <w:tcW w:w="850" w:type="dxa"/>
            <w:tcBorders>
              <w:top w:val="single" w:color="auto" w:sz="8" w:space="0"/>
              <w:left w:val="single" w:color="auto" w:sz="8" w:space="0"/>
              <w:bottom w:val="single" w:color="auto" w:sz="8" w:space="0"/>
              <w:right w:val="single" w:color="auto" w:sz="8" w:space="0"/>
            </w:tcBorders>
            <w:noWrap w:val="0"/>
            <w:vAlign w:val="center"/>
          </w:tcPr>
          <w:p w14:paraId="1F6D074D">
            <w:pPr>
              <w:widowControl/>
              <w:snapToGrid w:val="0"/>
              <w:spacing w:before="100" w:beforeAutospacing="1" w:after="100" w:afterAutospacing="1" w:line="320" w:lineRule="exact"/>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数量</w:t>
            </w:r>
          </w:p>
        </w:tc>
        <w:tc>
          <w:tcPr>
            <w:tcW w:w="2402" w:type="dxa"/>
            <w:gridSpan w:val="2"/>
            <w:tcBorders>
              <w:top w:val="single" w:color="auto" w:sz="8" w:space="0"/>
              <w:left w:val="single" w:color="auto" w:sz="8" w:space="0"/>
              <w:bottom w:val="single" w:color="auto" w:sz="8" w:space="0"/>
              <w:right w:val="single" w:color="auto" w:sz="8" w:space="0"/>
            </w:tcBorders>
            <w:noWrap w:val="0"/>
            <w:vAlign w:val="center"/>
          </w:tcPr>
          <w:p w14:paraId="20691564">
            <w:pPr>
              <w:widowControl/>
              <w:snapToGrid w:val="0"/>
              <w:spacing w:before="100" w:beforeAutospacing="1" w:after="100" w:afterAutospacing="1" w:line="320" w:lineRule="exact"/>
              <w:ind w:left="-3" w:firstLine="2" w:firstLineChars="1"/>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金  额</w:t>
            </w:r>
          </w:p>
        </w:tc>
      </w:tr>
      <w:tr w14:paraId="24A0008A">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487" w:hRule="atLeast"/>
          <w:jc w:val="center"/>
        </w:trPr>
        <w:tc>
          <w:tcPr>
            <w:tcW w:w="661" w:type="dxa"/>
            <w:tcBorders>
              <w:top w:val="single" w:color="auto" w:sz="8" w:space="0"/>
              <w:left w:val="single" w:color="auto" w:sz="8" w:space="0"/>
              <w:bottom w:val="single" w:color="auto" w:sz="8" w:space="0"/>
              <w:right w:val="single" w:color="auto" w:sz="8" w:space="0"/>
            </w:tcBorders>
            <w:noWrap w:val="0"/>
            <w:vAlign w:val="center"/>
          </w:tcPr>
          <w:p w14:paraId="7AC15DDF">
            <w:pPr>
              <w:widowControl/>
              <w:snapToGrid w:val="0"/>
              <w:spacing w:before="100" w:beforeAutospacing="1" w:after="100" w:afterAutospacing="1" w:line="320" w:lineRule="exact"/>
              <w:ind w:left="-3" w:firstLine="4" w:firstLineChars="2"/>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1</w:t>
            </w:r>
          </w:p>
        </w:tc>
        <w:tc>
          <w:tcPr>
            <w:tcW w:w="1843" w:type="dxa"/>
            <w:gridSpan w:val="2"/>
            <w:tcBorders>
              <w:top w:val="single" w:color="auto" w:sz="8" w:space="0"/>
              <w:left w:val="single" w:color="auto" w:sz="8" w:space="0"/>
              <w:bottom w:val="single" w:color="auto" w:sz="8" w:space="0"/>
              <w:right w:val="single" w:color="auto" w:sz="8" w:space="0"/>
            </w:tcBorders>
            <w:noWrap w:val="0"/>
            <w:vAlign w:val="center"/>
          </w:tcPr>
          <w:p w14:paraId="207AAA40">
            <w:pPr>
              <w:widowControl/>
              <w:snapToGrid w:val="0"/>
              <w:spacing w:before="100" w:beforeAutospacing="1" w:after="100" w:afterAutospacing="1" w:line="320" w:lineRule="exact"/>
              <w:ind w:left="-3" w:firstLine="420" w:firstLineChars="200"/>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XXXX设备</w:t>
            </w:r>
          </w:p>
        </w:tc>
        <w:tc>
          <w:tcPr>
            <w:tcW w:w="3871" w:type="dxa"/>
            <w:gridSpan w:val="2"/>
            <w:tcBorders>
              <w:top w:val="single" w:color="auto" w:sz="8" w:space="0"/>
              <w:left w:val="single" w:color="auto" w:sz="8" w:space="0"/>
              <w:bottom w:val="single" w:color="auto" w:sz="8" w:space="0"/>
              <w:right w:val="single" w:color="auto" w:sz="8" w:space="0"/>
            </w:tcBorders>
            <w:noWrap w:val="0"/>
            <w:vAlign w:val="center"/>
          </w:tcPr>
          <w:p w14:paraId="13188079">
            <w:pPr>
              <w:pStyle w:val="124"/>
              <w:ind w:firstLine="0" w:firstLineChars="0"/>
              <w:rPr>
                <w:rFonts w:hint="eastAsia" w:ascii="宋体" w:hAnsi="宋体" w:eastAsia="宋体" w:cs="宋体"/>
                <w:color w:val="auto"/>
                <w:szCs w:val="21"/>
                <w:highlight w:val="none"/>
              </w:rPr>
            </w:pPr>
          </w:p>
        </w:tc>
        <w:tc>
          <w:tcPr>
            <w:tcW w:w="850" w:type="dxa"/>
            <w:tcBorders>
              <w:top w:val="single" w:color="auto" w:sz="8" w:space="0"/>
              <w:left w:val="single" w:color="auto" w:sz="8" w:space="0"/>
              <w:bottom w:val="single" w:color="auto" w:sz="8" w:space="0"/>
              <w:right w:val="single" w:color="auto" w:sz="8" w:space="0"/>
            </w:tcBorders>
            <w:noWrap w:val="0"/>
            <w:vAlign w:val="center"/>
          </w:tcPr>
          <w:p w14:paraId="12631609">
            <w:pPr>
              <w:widowControl/>
              <w:snapToGrid w:val="0"/>
              <w:spacing w:before="100" w:beforeAutospacing="1" w:after="100" w:afterAutospacing="1" w:line="320" w:lineRule="exact"/>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1套</w:t>
            </w:r>
          </w:p>
        </w:tc>
        <w:tc>
          <w:tcPr>
            <w:tcW w:w="2402" w:type="dxa"/>
            <w:gridSpan w:val="2"/>
            <w:tcBorders>
              <w:top w:val="single" w:color="auto" w:sz="8" w:space="0"/>
              <w:left w:val="single" w:color="auto" w:sz="8" w:space="0"/>
              <w:bottom w:val="single" w:color="auto" w:sz="8" w:space="0"/>
              <w:right w:val="single" w:color="auto" w:sz="8" w:space="0"/>
            </w:tcBorders>
            <w:noWrap w:val="0"/>
            <w:vAlign w:val="center"/>
          </w:tcPr>
          <w:p w14:paraId="67DF7F7F">
            <w:pPr>
              <w:pStyle w:val="124"/>
              <w:ind w:firstLine="0" w:firstLineChars="0"/>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¥0.00元</w:t>
            </w:r>
          </w:p>
        </w:tc>
      </w:tr>
      <w:tr w14:paraId="2783B543">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487" w:hRule="atLeast"/>
          <w:jc w:val="center"/>
        </w:trPr>
        <w:tc>
          <w:tcPr>
            <w:tcW w:w="6375" w:type="dxa"/>
            <w:gridSpan w:val="5"/>
            <w:tcBorders>
              <w:top w:val="single" w:color="auto" w:sz="8" w:space="0"/>
              <w:left w:val="single" w:color="auto" w:sz="8" w:space="0"/>
              <w:bottom w:val="single" w:color="auto" w:sz="8" w:space="0"/>
              <w:right w:val="single" w:color="auto" w:sz="8" w:space="0"/>
            </w:tcBorders>
            <w:noWrap w:val="0"/>
            <w:vAlign w:val="center"/>
          </w:tcPr>
          <w:p w14:paraId="6738E3D9">
            <w:pPr>
              <w:pStyle w:val="124"/>
              <w:ind w:firstLine="0" w:firstLineChars="0"/>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合 计</w:t>
            </w:r>
          </w:p>
        </w:tc>
        <w:tc>
          <w:tcPr>
            <w:tcW w:w="850" w:type="dxa"/>
            <w:tcBorders>
              <w:top w:val="single" w:color="auto" w:sz="8" w:space="0"/>
              <w:left w:val="single" w:color="auto" w:sz="8" w:space="0"/>
              <w:bottom w:val="single" w:color="auto" w:sz="8" w:space="0"/>
              <w:right w:val="single" w:color="auto" w:sz="8" w:space="0"/>
            </w:tcBorders>
            <w:noWrap w:val="0"/>
            <w:vAlign w:val="center"/>
          </w:tcPr>
          <w:p w14:paraId="365611DB">
            <w:pPr>
              <w:widowControl/>
              <w:snapToGrid w:val="0"/>
              <w:spacing w:before="100" w:beforeAutospacing="1" w:after="100" w:afterAutospacing="1" w:line="320" w:lineRule="exact"/>
              <w:jc w:val="center"/>
              <w:rPr>
                <w:rFonts w:hint="eastAsia" w:ascii="宋体" w:hAnsi="宋体" w:eastAsia="宋体" w:cs="宋体"/>
                <w:color w:val="auto"/>
                <w:kern w:val="0"/>
                <w:szCs w:val="21"/>
                <w:highlight w:val="none"/>
              </w:rPr>
            </w:pPr>
          </w:p>
        </w:tc>
        <w:tc>
          <w:tcPr>
            <w:tcW w:w="2402" w:type="dxa"/>
            <w:gridSpan w:val="2"/>
            <w:tcBorders>
              <w:top w:val="single" w:color="auto" w:sz="8" w:space="0"/>
              <w:left w:val="single" w:color="auto" w:sz="8" w:space="0"/>
              <w:bottom w:val="single" w:color="auto" w:sz="8" w:space="0"/>
              <w:right w:val="single" w:color="auto" w:sz="8" w:space="0"/>
            </w:tcBorders>
            <w:noWrap w:val="0"/>
            <w:vAlign w:val="center"/>
          </w:tcPr>
          <w:p w14:paraId="7F74D831">
            <w:pPr>
              <w:pStyle w:val="124"/>
              <w:ind w:firstLine="0" w:firstLineChars="0"/>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¥0.00元</w:t>
            </w:r>
          </w:p>
        </w:tc>
      </w:tr>
      <w:tr w14:paraId="4E37D0B4">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555" w:hRule="atLeast"/>
          <w:jc w:val="center"/>
        </w:trPr>
        <w:tc>
          <w:tcPr>
            <w:tcW w:w="9627" w:type="dxa"/>
            <w:gridSpan w:val="8"/>
            <w:tcBorders>
              <w:top w:val="single" w:color="auto" w:sz="8" w:space="0"/>
              <w:left w:val="single" w:color="auto" w:sz="8" w:space="0"/>
              <w:bottom w:val="single" w:color="auto" w:sz="8" w:space="0"/>
              <w:right w:val="single" w:color="auto" w:sz="8" w:space="0"/>
            </w:tcBorders>
            <w:noWrap w:val="0"/>
            <w:vAlign w:val="center"/>
          </w:tcPr>
          <w:p w14:paraId="2C6D456F">
            <w:pPr>
              <w:widowControl/>
              <w:snapToGrid w:val="0"/>
              <w:spacing w:before="100" w:beforeAutospacing="1" w:after="100" w:afterAutospacing="1" w:line="320" w:lineRule="exact"/>
              <w:ind w:firstLine="2" w:firstLineChars="1"/>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合计大写金额：人民币元整</w:t>
            </w:r>
          </w:p>
        </w:tc>
      </w:tr>
      <w:tr w14:paraId="0003EDEA">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549" w:hRule="atLeast"/>
          <w:jc w:val="center"/>
        </w:trPr>
        <w:tc>
          <w:tcPr>
            <w:tcW w:w="1527" w:type="dxa"/>
            <w:gridSpan w:val="2"/>
            <w:tcBorders>
              <w:top w:val="single" w:color="auto" w:sz="8" w:space="0"/>
              <w:left w:val="single" w:color="auto" w:sz="8" w:space="0"/>
              <w:bottom w:val="single" w:color="auto" w:sz="8" w:space="0"/>
              <w:right w:val="single" w:color="auto" w:sz="8" w:space="0"/>
            </w:tcBorders>
            <w:noWrap w:val="0"/>
            <w:vAlign w:val="center"/>
          </w:tcPr>
          <w:p w14:paraId="0EE950C7">
            <w:pPr>
              <w:widowControl/>
              <w:snapToGrid w:val="0"/>
              <w:spacing w:before="100" w:beforeAutospacing="1" w:after="100" w:afterAutospacing="1" w:line="320" w:lineRule="exact"/>
              <w:ind w:firstLine="2" w:firstLineChars="1"/>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实际交付日期</w:t>
            </w:r>
          </w:p>
        </w:tc>
        <w:tc>
          <w:tcPr>
            <w:tcW w:w="3240" w:type="dxa"/>
            <w:gridSpan w:val="2"/>
            <w:tcBorders>
              <w:top w:val="single" w:color="auto" w:sz="8" w:space="0"/>
              <w:left w:val="single" w:color="auto" w:sz="8" w:space="0"/>
              <w:bottom w:val="single" w:color="auto" w:sz="8" w:space="0"/>
              <w:right w:val="single" w:color="auto" w:sz="8" w:space="0"/>
            </w:tcBorders>
            <w:noWrap w:val="0"/>
            <w:vAlign w:val="center"/>
          </w:tcPr>
          <w:p w14:paraId="0171D86F">
            <w:pPr>
              <w:snapToGrid w:val="0"/>
              <w:spacing w:before="100" w:beforeAutospacing="1" w:after="100" w:afterAutospacing="1" w:line="320" w:lineRule="exact"/>
              <w:ind w:firstLine="420" w:firstLineChars="200"/>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20  年  月  日</w:t>
            </w:r>
          </w:p>
        </w:tc>
        <w:tc>
          <w:tcPr>
            <w:tcW w:w="2700" w:type="dxa"/>
            <w:gridSpan w:val="3"/>
            <w:tcBorders>
              <w:top w:val="single" w:color="auto" w:sz="8" w:space="0"/>
              <w:left w:val="single" w:color="auto" w:sz="8" w:space="0"/>
              <w:bottom w:val="single" w:color="auto" w:sz="8" w:space="0"/>
              <w:right w:val="single" w:color="auto" w:sz="8" w:space="0"/>
            </w:tcBorders>
            <w:noWrap w:val="0"/>
            <w:vAlign w:val="center"/>
          </w:tcPr>
          <w:p w14:paraId="717A9741">
            <w:pPr>
              <w:snapToGrid w:val="0"/>
              <w:spacing w:before="100" w:beforeAutospacing="1" w:after="100" w:afterAutospacing="1" w:line="320" w:lineRule="exact"/>
              <w:ind w:firstLine="39" w:firstLineChars="19"/>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合同交付验收日期</w:t>
            </w:r>
          </w:p>
        </w:tc>
        <w:tc>
          <w:tcPr>
            <w:tcW w:w="2160" w:type="dxa"/>
            <w:tcBorders>
              <w:top w:val="single" w:color="auto" w:sz="8" w:space="0"/>
              <w:left w:val="single" w:color="auto" w:sz="8" w:space="0"/>
              <w:bottom w:val="single" w:color="auto" w:sz="8" w:space="0"/>
              <w:right w:val="single" w:color="auto" w:sz="8" w:space="0"/>
            </w:tcBorders>
            <w:noWrap w:val="0"/>
            <w:vAlign w:val="center"/>
          </w:tcPr>
          <w:p w14:paraId="6AA57EB7">
            <w:pPr>
              <w:snapToGrid w:val="0"/>
              <w:spacing w:before="100" w:beforeAutospacing="1" w:after="100" w:afterAutospacing="1" w:line="320" w:lineRule="exact"/>
              <w:ind w:firstLine="420" w:firstLineChars="200"/>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20  年  月  日</w:t>
            </w:r>
          </w:p>
        </w:tc>
      </w:tr>
      <w:tr w14:paraId="69362873">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693" w:hRule="atLeast"/>
          <w:jc w:val="center"/>
        </w:trPr>
        <w:tc>
          <w:tcPr>
            <w:tcW w:w="1527" w:type="dxa"/>
            <w:gridSpan w:val="2"/>
            <w:tcBorders>
              <w:top w:val="single" w:color="auto" w:sz="8" w:space="0"/>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6AC2B65D">
            <w:pPr>
              <w:widowControl/>
              <w:snapToGrid w:val="0"/>
              <w:spacing w:before="100" w:beforeAutospacing="1" w:after="100" w:afterAutospacing="1" w:line="320" w:lineRule="exact"/>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验收具体内容</w:t>
            </w:r>
          </w:p>
        </w:tc>
        <w:tc>
          <w:tcPr>
            <w:tcW w:w="8100" w:type="dxa"/>
            <w:gridSpan w:val="6"/>
            <w:tcBorders>
              <w:top w:val="single" w:color="auto" w:sz="8" w:space="0"/>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6344FBAC">
            <w:pPr>
              <w:pStyle w:val="124"/>
              <w:ind w:firstLine="0" w:firstLineChars="0"/>
              <w:rPr>
                <w:rFonts w:hint="eastAsia" w:ascii="宋体" w:hAnsi="宋体" w:eastAsia="宋体" w:cs="宋体"/>
                <w:color w:val="auto"/>
                <w:szCs w:val="21"/>
                <w:highlight w:val="none"/>
              </w:rPr>
            </w:pPr>
            <w:r>
              <w:rPr>
                <w:rFonts w:hint="eastAsia" w:ascii="宋体" w:hAnsi="宋体" w:eastAsia="宋体" w:cs="宋体"/>
                <w:color w:val="auto"/>
                <w:szCs w:val="21"/>
                <w:highlight w:val="none"/>
              </w:rPr>
              <w:t>中标人所提供服务的内容满足采购合同约定的要求、标准。</w:t>
            </w:r>
          </w:p>
        </w:tc>
      </w:tr>
      <w:tr w14:paraId="16BE5890">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546" w:hRule="atLeast"/>
          <w:jc w:val="center"/>
        </w:trPr>
        <w:tc>
          <w:tcPr>
            <w:tcW w:w="1527" w:type="dxa"/>
            <w:gridSpan w:val="2"/>
            <w:vMerge w:val="restart"/>
            <w:tcBorders>
              <w:top w:val="single" w:color="auto" w:sz="8" w:space="0"/>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1667710E">
            <w:pPr>
              <w:widowControl/>
              <w:spacing w:before="100" w:beforeAutospacing="1" w:after="100" w:afterAutospacing="1" w:line="320" w:lineRule="exact"/>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验收小组意见</w:t>
            </w:r>
          </w:p>
        </w:tc>
        <w:tc>
          <w:tcPr>
            <w:tcW w:w="8100" w:type="dxa"/>
            <w:gridSpan w:val="6"/>
            <w:tcBorders>
              <w:top w:val="single" w:color="auto" w:sz="8" w:space="0"/>
              <w:left w:val="single" w:color="auto" w:sz="8" w:space="0"/>
              <w:bottom w:val="single" w:color="auto" w:sz="4" w:space="0"/>
              <w:right w:val="single" w:color="auto" w:sz="8" w:space="0"/>
            </w:tcBorders>
            <w:noWrap w:val="0"/>
            <w:vAlign w:val="center"/>
          </w:tcPr>
          <w:p w14:paraId="2F348E8F">
            <w:pPr>
              <w:widowControl/>
              <w:spacing w:before="100" w:beforeAutospacing="1" w:after="100" w:afterAutospacing="1" w:line="320" w:lineRule="exact"/>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验收结论性意见：同意（不同意）通过项目验收</w:t>
            </w:r>
          </w:p>
        </w:tc>
      </w:tr>
      <w:tr w14:paraId="73FEDDAB">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1037" w:hRule="atLeast"/>
          <w:jc w:val="center"/>
        </w:trPr>
        <w:tc>
          <w:tcPr>
            <w:tcW w:w="1527" w:type="dxa"/>
            <w:gridSpan w:val="2"/>
            <w:vMerge w:val="continue"/>
            <w:tcBorders>
              <w:top w:val="single" w:color="auto" w:sz="8" w:space="0"/>
              <w:left w:val="single" w:color="auto" w:sz="8" w:space="0"/>
              <w:bottom w:val="single" w:color="auto" w:sz="8" w:space="0"/>
              <w:right w:val="single" w:color="auto" w:sz="8" w:space="0"/>
            </w:tcBorders>
            <w:noWrap w:val="0"/>
            <w:vAlign w:val="center"/>
          </w:tcPr>
          <w:p w14:paraId="310B1C31">
            <w:pPr>
              <w:widowControl/>
              <w:spacing w:line="320" w:lineRule="exact"/>
              <w:jc w:val="left"/>
              <w:rPr>
                <w:rFonts w:hint="eastAsia" w:ascii="宋体" w:hAnsi="宋体" w:eastAsia="宋体" w:cs="宋体"/>
                <w:color w:val="auto"/>
                <w:kern w:val="0"/>
                <w:szCs w:val="21"/>
                <w:highlight w:val="none"/>
              </w:rPr>
            </w:pPr>
          </w:p>
        </w:tc>
        <w:tc>
          <w:tcPr>
            <w:tcW w:w="8100" w:type="dxa"/>
            <w:gridSpan w:val="6"/>
            <w:tcBorders>
              <w:top w:val="single" w:color="auto" w:sz="4" w:space="0"/>
              <w:left w:val="single" w:color="auto" w:sz="8" w:space="0"/>
              <w:bottom w:val="single" w:color="auto" w:sz="8" w:space="0"/>
              <w:right w:val="single" w:color="auto" w:sz="8" w:space="0"/>
            </w:tcBorders>
            <w:noWrap w:val="0"/>
            <w:vAlign w:val="center"/>
          </w:tcPr>
          <w:p w14:paraId="52ADB22F">
            <w:pPr>
              <w:pStyle w:val="124"/>
              <w:ind w:firstLine="0" w:firstLineChars="0"/>
              <w:rPr>
                <w:rFonts w:hint="eastAsia" w:ascii="宋体" w:hAnsi="宋体" w:eastAsia="宋体" w:cs="宋体"/>
                <w:color w:val="auto"/>
                <w:szCs w:val="21"/>
                <w:highlight w:val="none"/>
              </w:rPr>
            </w:pPr>
            <w:r>
              <w:rPr>
                <w:rFonts w:hint="eastAsia" w:ascii="宋体" w:hAnsi="宋体" w:eastAsia="宋体" w:cs="宋体"/>
                <w:color w:val="auto"/>
                <w:szCs w:val="21"/>
                <w:highlight w:val="none"/>
              </w:rPr>
              <w:t>有异议的意见和说明理由：</w:t>
            </w:r>
          </w:p>
          <w:p w14:paraId="38979106">
            <w:pPr>
              <w:pStyle w:val="124"/>
              <w:ind w:firstLine="5880" w:firstLineChars="2800"/>
              <w:rPr>
                <w:rFonts w:hint="eastAsia" w:ascii="宋体" w:hAnsi="宋体" w:eastAsia="宋体" w:cs="宋体"/>
                <w:color w:val="auto"/>
                <w:szCs w:val="21"/>
                <w:highlight w:val="none"/>
              </w:rPr>
            </w:pPr>
            <w:r>
              <w:rPr>
                <w:rFonts w:hint="eastAsia" w:ascii="宋体" w:hAnsi="宋体" w:eastAsia="宋体" w:cs="宋体"/>
                <w:color w:val="auto"/>
                <w:szCs w:val="21"/>
                <w:highlight w:val="none"/>
              </w:rPr>
              <w:t>签字：</w:t>
            </w:r>
          </w:p>
        </w:tc>
      </w:tr>
      <w:tr w14:paraId="6D005FC8">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1331" w:hRule="atLeast"/>
          <w:jc w:val="center"/>
        </w:trPr>
        <w:tc>
          <w:tcPr>
            <w:tcW w:w="9627" w:type="dxa"/>
            <w:gridSpan w:val="8"/>
            <w:tcBorders>
              <w:top w:val="single" w:color="auto" w:sz="8" w:space="0"/>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2C183689">
            <w:pPr>
              <w:widowControl/>
              <w:spacing w:before="100" w:beforeAutospacing="1" w:after="100" w:afterAutospacing="1" w:line="320" w:lineRule="exact"/>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验收小组成员签字：</w:t>
            </w:r>
          </w:p>
          <w:p w14:paraId="72113352">
            <w:pPr>
              <w:widowControl/>
              <w:spacing w:before="100" w:beforeAutospacing="1" w:after="100" w:afterAutospacing="1" w:line="320" w:lineRule="exact"/>
              <w:jc w:val="left"/>
              <w:rPr>
                <w:rFonts w:hint="eastAsia" w:ascii="宋体" w:hAnsi="宋体" w:eastAsia="宋体" w:cs="宋体"/>
                <w:color w:val="auto"/>
                <w:kern w:val="0"/>
                <w:szCs w:val="21"/>
                <w:highlight w:val="none"/>
              </w:rPr>
            </w:pPr>
          </w:p>
        </w:tc>
      </w:tr>
      <w:tr w14:paraId="33F297E9">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1110" w:hRule="atLeast"/>
          <w:jc w:val="center"/>
        </w:trPr>
        <w:tc>
          <w:tcPr>
            <w:tcW w:w="9627" w:type="dxa"/>
            <w:gridSpan w:val="8"/>
            <w:tcBorders>
              <w:top w:val="single" w:color="auto" w:sz="8" w:space="0"/>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0613E00B">
            <w:pPr>
              <w:widowControl/>
              <w:spacing w:before="100" w:beforeAutospacing="1" w:after="100" w:afterAutospacing="1" w:line="320" w:lineRule="exact"/>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监督人员或其他相关人员签字：</w:t>
            </w:r>
          </w:p>
          <w:p w14:paraId="1EC783D3">
            <w:pPr>
              <w:widowControl/>
              <w:spacing w:before="100" w:beforeAutospacing="1" w:after="100" w:afterAutospacing="1" w:line="320" w:lineRule="exact"/>
              <w:ind w:firstLine="65" w:firstLineChars="31"/>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或受邀机构的意见（盖章）：</w:t>
            </w:r>
          </w:p>
        </w:tc>
      </w:tr>
      <w:tr w14:paraId="50E24347">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1418" w:hRule="atLeast"/>
          <w:jc w:val="center"/>
        </w:trPr>
        <w:tc>
          <w:tcPr>
            <w:tcW w:w="4767" w:type="dxa"/>
            <w:gridSpan w:val="4"/>
            <w:tcBorders>
              <w:top w:val="single" w:color="auto" w:sz="8" w:space="0"/>
              <w:left w:val="single" w:color="auto" w:sz="8" w:space="0"/>
              <w:bottom w:val="single" w:color="auto" w:sz="8" w:space="0"/>
              <w:right w:val="nil"/>
            </w:tcBorders>
            <w:noWrap w:val="0"/>
            <w:tcMar>
              <w:top w:w="0" w:type="dxa"/>
              <w:left w:w="108" w:type="dxa"/>
              <w:bottom w:w="0" w:type="dxa"/>
              <w:right w:w="108" w:type="dxa"/>
            </w:tcMar>
            <w:vAlign w:val="center"/>
          </w:tcPr>
          <w:p w14:paraId="137268B9">
            <w:pPr>
              <w:widowControl/>
              <w:spacing w:before="100" w:beforeAutospacing="1" w:after="100" w:afterAutospacing="1" w:line="320" w:lineRule="exact"/>
              <w:ind w:firstLine="65" w:firstLineChars="31"/>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中标或者成交供应商负责人签字或盖章：</w:t>
            </w:r>
          </w:p>
          <w:p w14:paraId="51E85ACE">
            <w:pPr>
              <w:widowControl/>
              <w:spacing w:before="100" w:beforeAutospacing="1" w:after="100" w:afterAutospacing="1" w:line="320" w:lineRule="exact"/>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联系电话：          年   月   日</w:t>
            </w:r>
          </w:p>
          <w:p w14:paraId="121881D0">
            <w:pPr>
              <w:widowControl/>
              <w:spacing w:before="100" w:beforeAutospacing="1" w:after="100" w:afterAutospacing="1" w:line="320" w:lineRule="exact"/>
              <w:jc w:val="left"/>
              <w:rPr>
                <w:rFonts w:hint="eastAsia" w:ascii="宋体" w:hAnsi="宋体" w:eastAsia="宋体" w:cs="宋体"/>
                <w:color w:val="auto"/>
                <w:kern w:val="0"/>
                <w:szCs w:val="21"/>
                <w:highlight w:val="none"/>
              </w:rPr>
            </w:pPr>
          </w:p>
          <w:p w14:paraId="0983D3E1">
            <w:pPr>
              <w:widowControl/>
              <w:spacing w:before="100" w:beforeAutospacing="1" w:after="100" w:afterAutospacing="1" w:line="320" w:lineRule="exact"/>
              <w:ind w:firstLine="65" w:firstLineChars="31"/>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采购人签字或盖章：</w:t>
            </w:r>
          </w:p>
          <w:p w14:paraId="1F2023B7">
            <w:pPr>
              <w:widowControl/>
              <w:spacing w:before="100" w:beforeAutospacing="1" w:after="100" w:afterAutospacing="1" w:line="320" w:lineRule="exact"/>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联系电话：         年   月   日</w:t>
            </w:r>
          </w:p>
        </w:tc>
        <w:tc>
          <w:tcPr>
            <w:tcW w:w="4860" w:type="dxa"/>
            <w:gridSpan w:val="4"/>
            <w:tcBorders>
              <w:top w:val="single" w:color="auto" w:sz="8" w:space="0"/>
              <w:left w:val="nil"/>
              <w:bottom w:val="single" w:color="auto" w:sz="8" w:space="0"/>
              <w:right w:val="single" w:color="auto" w:sz="8" w:space="0"/>
            </w:tcBorders>
            <w:noWrap w:val="0"/>
            <w:vAlign w:val="center"/>
          </w:tcPr>
          <w:p w14:paraId="6A606D2F">
            <w:pPr>
              <w:widowControl/>
              <w:spacing w:before="100" w:beforeAutospacing="1" w:after="100" w:afterAutospacing="1" w:line="320" w:lineRule="exact"/>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 受托机构的意见（盖章）：</w:t>
            </w:r>
          </w:p>
          <w:p w14:paraId="47B4A4F7">
            <w:pPr>
              <w:widowControl/>
              <w:spacing w:before="100" w:beforeAutospacing="1" w:after="100" w:afterAutospacing="1" w:line="320" w:lineRule="exact"/>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联系电话：                     年   月   日</w:t>
            </w:r>
          </w:p>
          <w:p w14:paraId="63F86192">
            <w:pPr>
              <w:widowControl/>
              <w:spacing w:before="100" w:beforeAutospacing="1" w:after="100" w:afterAutospacing="1" w:line="320" w:lineRule="exact"/>
              <w:jc w:val="left"/>
              <w:rPr>
                <w:rFonts w:hint="eastAsia" w:ascii="宋体" w:hAnsi="宋体" w:eastAsia="宋体" w:cs="宋体"/>
                <w:color w:val="auto"/>
                <w:kern w:val="0"/>
                <w:szCs w:val="21"/>
                <w:highlight w:val="none"/>
              </w:rPr>
            </w:pPr>
          </w:p>
          <w:p w14:paraId="6CA395FA">
            <w:pPr>
              <w:widowControl/>
              <w:spacing w:before="100" w:beforeAutospacing="1" w:after="100" w:afterAutospacing="1" w:line="320" w:lineRule="exact"/>
              <w:jc w:val="left"/>
              <w:rPr>
                <w:rFonts w:hint="eastAsia" w:ascii="宋体" w:hAnsi="宋体" w:eastAsia="宋体" w:cs="宋体"/>
                <w:color w:val="auto"/>
                <w:kern w:val="0"/>
                <w:szCs w:val="21"/>
                <w:highlight w:val="none"/>
              </w:rPr>
            </w:pPr>
          </w:p>
          <w:p w14:paraId="5A440DEF">
            <w:pPr>
              <w:widowControl/>
              <w:spacing w:before="100" w:beforeAutospacing="1" w:after="100" w:afterAutospacing="1" w:line="320" w:lineRule="exact"/>
              <w:jc w:val="left"/>
              <w:rPr>
                <w:rFonts w:hint="eastAsia" w:ascii="宋体" w:hAnsi="宋体" w:eastAsia="宋体" w:cs="宋体"/>
                <w:color w:val="auto"/>
                <w:kern w:val="0"/>
                <w:szCs w:val="21"/>
                <w:highlight w:val="none"/>
              </w:rPr>
            </w:pPr>
          </w:p>
        </w:tc>
      </w:tr>
    </w:tbl>
    <w:p w14:paraId="384B3FAD">
      <w:pPr>
        <w:widowControl/>
        <w:jc w:val="left"/>
        <w:rPr>
          <w:rFonts w:hint="eastAsia" w:ascii="宋体" w:hAnsi="宋体" w:eastAsia="宋体" w:cs="宋体"/>
          <w:bCs/>
          <w:color w:val="auto"/>
          <w:sz w:val="24"/>
          <w:highlight w:val="none"/>
        </w:rPr>
      </w:pPr>
      <w:r>
        <w:rPr>
          <w:rFonts w:hint="eastAsia" w:ascii="宋体" w:hAnsi="宋体" w:eastAsia="宋体" w:cs="宋体"/>
          <w:color w:val="auto"/>
          <w:spacing w:val="-10"/>
          <w:kern w:val="0"/>
          <w:szCs w:val="21"/>
          <w:highlight w:val="none"/>
        </w:rPr>
        <w:t>备注：本报告单一式4份（采购单位1份、供应商1份、采购监督部门备案1份、采购代理机构1份）</w:t>
      </w:r>
    </w:p>
    <w:p w14:paraId="79011727">
      <w:pPr>
        <w:widowControl/>
        <w:jc w:val="left"/>
        <w:rPr>
          <w:rFonts w:hint="eastAsia" w:ascii="宋体" w:hAnsi="宋体" w:eastAsia="宋体" w:cs="宋体"/>
          <w:color w:val="auto"/>
          <w:szCs w:val="21"/>
          <w:highlight w:val="none"/>
          <w:u w:val="single"/>
          <w:lang w:eastAsia="zh-CN"/>
        </w:rPr>
      </w:pPr>
    </w:p>
    <w:p w14:paraId="316EB0BD">
      <w:pPr>
        <w:snapToGrid w:val="0"/>
        <w:jc w:val="left"/>
        <w:rPr>
          <w:rFonts w:hint="eastAsia" w:ascii="宋体" w:hAnsi="宋体" w:eastAsia="宋体" w:cs="宋体"/>
          <w:color w:val="auto"/>
          <w:sz w:val="24"/>
          <w:highlight w:val="none"/>
        </w:rPr>
        <w:sectPr>
          <w:pgSz w:w="11906" w:h="16838"/>
          <w:pgMar w:top="1440" w:right="1803" w:bottom="1440" w:left="1803" w:header="851" w:footer="992" w:gutter="0"/>
          <w:pgNumType w:fmt="decimal"/>
          <w:cols w:space="720" w:num="1"/>
          <w:docGrid w:type="lines" w:linePitch="319" w:charSpace="0"/>
        </w:sectPr>
      </w:pPr>
    </w:p>
    <w:bookmarkEnd w:id="151"/>
    <w:p w14:paraId="5C5FE8BA">
      <w:pPr>
        <w:snapToGrid w:val="0"/>
        <w:jc w:val="center"/>
        <w:rPr>
          <w:rFonts w:hint="eastAsia" w:ascii="宋体" w:hAnsi="宋体" w:eastAsia="宋体" w:cs="宋体"/>
          <w:bCs/>
          <w:color w:val="auto"/>
          <w:sz w:val="32"/>
          <w:szCs w:val="32"/>
          <w:highlight w:val="none"/>
        </w:rPr>
      </w:pPr>
    </w:p>
    <w:p w14:paraId="1D1CDC54">
      <w:pPr>
        <w:snapToGrid w:val="0"/>
        <w:jc w:val="center"/>
        <w:rPr>
          <w:rFonts w:hint="eastAsia" w:ascii="宋体" w:hAnsi="宋体" w:eastAsia="宋体" w:cs="宋体"/>
          <w:bCs/>
          <w:color w:val="auto"/>
          <w:sz w:val="32"/>
          <w:szCs w:val="32"/>
          <w:highlight w:val="none"/>
        </w:rPr>
      </w:pPr>
    </w:p>
    <w:p w14:paraId="684D611E">
      <w:pPr>
        <w:snapToGrid w:val="0"/>
        <w:jc w:val="center"/>
        <w:rPr>
          <w:rFonts w:hint="eastAsia" w:ascii="宋体" w:hAnsi="宋体" w:eastAsia="宋体" w:cs="宋体"/>
          <w:bCs/>
          <w:color w:val="auto"/>
          <w:sz w:val="32"/>
          <w:szCs w:val="32"/>
          <w:highlight w:val="none"/>
        </w:rPr>
      </w:pPr>
    </w:p>
    <w:p w14:paraId="34495A62">
      <w:pPr>
        <w:snapToGrid w:val="0"/>
        <w:jc w:val="center"/>
        <w:rPr>
          <w:rFonts w:hint="eastAsia" w:ascii="宋体" w:hAnsi="宋体" w:eastAsia="宋体" w:cs="宋体"/>
          <w:bCs/>
          <w:color w:val="auto"/>
          <w:sz w:val="32"/>
          <w:szCs w:val="32"/>
          <w:highlight w:val="none"/>
        </w:rPr>
      </w:pPr>
    </w:p>
    <w:p w14:paraId="1913C029">
      <w:pPr>
        <w:snapToGrid w:val="0"/>
        <w:jc w:val="center"/>
        <w:rPr>
          <w:rFonts w:hint="eastAsia" w:ascii="宋体" w:hAnsi="宋体" w:eastAsia="宋体" w:cs="宋体"/>
          <w:bCs/>
          <w:color w:val="auto"/>
          <w:sz w:val="32"/>
          <w:szCs w:val="32"/>
          <w:highlight w:val="none"/>
        </w:rPr>
      </w:pPr>
    </w:p>
    <w:p w14:paraId="2EE57876">
      <w:pPr>
        <w:snapToGrid w:val="0"/>
        <w:jc w:val="center"/>
        <w:rPr>
          <w:rFonts w:hint="eastAsia" w:ascii="宋体" w:hAnsi="宋体" w:eastAsia="宋体" w:cs="宋体"/>
          <w:bCs/>
          <w:color w:val="auto"/>
          <w:sz w:val="32"/>
          <w:szCs w:val="32"/>
          <w:highlight w:val="none"/>
        </w:rPr>
      </w:pPr>
    </w:p>
    <w:p w14:paraId="513C6B8E">
      <w:pPr>
        <w:snapToGrid w:val="0"/>
        <w:jc w:val="center"/>
        <w:rPr>
          <w:rFonts w:hint="eastAsia" w:ascii="宋体" w:hAnsi="宋体" w:eastAsia="宋体" w:cs="宋体"/>
          <w:bCs/>
          <w:color w:val="auto"/>
          <w:sz w:val="32"/>
          <w:szCs w:val="32"/>
          <w:highlight w:val="none"/>
        </w:rPr>
      </w:pPr>
    </w:p>
    <w:p w14:paraId="2B253C9B">
      <w:pPr>
        <w:snapToGrid w:val="0"/>
        <w:jc w:val="center"/>
        <w:rPr>
          <w:rFonts w:hint="eastAsia" w:ascii="宋体" w:hAnsi="宋体" w:eastAsia="宋体" w:cs="宋体"/>
          <w:bCs/>
          <w:color w:val="auto"/>
          <w:sz w:val="32"/>
          <w:szCs w:val="32"/>
          <w:highlight w:val="none"/>
        </w:rPr>
      </w:pPr>
    </w:p>
    <w:p w14:paraId="65AE8448">
      <w:pPr>
        <w:snapToGrid w:val="0"/>
        <w:jc w:val="center"/>
        <w:rPr>
          <w:rFonts w:hint="eastAsia" w:ascii="宋体" w:hAnsi="宋体" w:eastAsia="宋体" w:cs="宋体"/>
          <w:bCs/>
          <w:color w:val="auto"/>
          <w:sz w:val="32"/>
          <w:szCs w:val="32"/>
          <w:highlight w:val="none"/>
        </w:rPr>
      </w:pPr>
    </w:p>
    <w:p w14:paraId="1A51AE67">
      <w:pPr>
        <w:pStyle w:val="3"/>
        <w:jc w:val="center"/>
        <w:rPr>
          <w:rFonts w:hint="eastAsia" w:ascii="宋体" w:hAnsi="宋体" w:eastAsia="宋体" w:cs="宋体"/>
          <w:color w:val="auto"/>
          <w:highlight w:val="none"/>
        </w:rPr>
      </w:pPr>
      <w:bookmarkStart w:id="155" w:name="_Toc74320805"/>
      <w:r>
        <w:rPr>
          <w:rFonts w:hint="eastAsia" w:ascii="宋体" w:hAnsi="宋体" w:eastAsia="宋体" w:cs="宋体"/>
          <w:color w:val="auto"/>
          <w:highlight w:val="none"/>
        </w:rPr>
        <w:t>第六章</w:t>
      </w:r>
      <w:r>
        <w:rPr>
          <w:rFonts w:hint="eastAsia" w:ascii="宋体" w:hAnsi="宋体" w:eastAsia="宋体" w:cs="宋体"/>
          <w:color w:val="auto"/>
          <w:highlight w:val="none"/>
          <w:lang w:val="en-US" w:eastAsia="zh-CN"/>
        </w:rPr>
        <w:t xml:space="preserve"> </w:t>
      </w:r>
      <w:r>
        <w:rPr>
          <w:rFonts w:hint="eastAsia" w:ascii="宋体" w:hAnsi="宋体" w:eastAsia="宋体" w:cs="宋体"/>
          <w:color w:val="auto"/>
          <w:highlight w:val="none"/>
        </w:rPr>
        <w:t>投标文件格式</w:t>
      </w:r>
      <w:bookmarkEnd w:id="155"/>
    </w:p>
    <w:p w14:paraId="1156D925">
      <w:pPr>
        <w:snapToGrid w:val="0"/>
        <w:spacing w:before="50" w:after="50"/>
        <w:outlineLvl w:val="9"/>
        <w:rPr>
          <w:rFonts w:hint="eastAsia" w:ascii="宋体" w:hAnsi="宋体" w:eastAsia="宋体" w:cs="宋体"/>
          <w:color w:val="auto"/>
          <w:sz w:val="32"/>
          <w:szCs w:val="20"/>
          <w:highlight w:val="none"/>
        </w:rPr>
      </w:pPr>
    </w:p>
    <w:p w14:paraId="5F7FE0C4">
      <w:pPr>
        <w:snapToGrid w:val="0"/>
        <w:spacing w:before="50" w:after="50"/>
        <w:outlineLvl w:val="9"/>
        <w:rPr>
          <w:rFonts w:hint="eastAsia" w:ascii="宋体" w:hAnsi="宋体" w:eastAsia="宋体" w:cs="宋体"/>
          <w:color w:val="auto"/>
          <w:sz w:val="32"/>
          <w:szCs w:val="20"/>
          <w:highlight w:val="none"/>
        </w:rPr>
      </w:pPr>
    </w:p>
    <w:p w14:paraId="420E300C">
      <w:pPr>
        <w:snapToGrid w:val="0"/>
        <w:spacing w:before="50" w:after="50"/>
        <w:outlineLvl w:val="9"/>
        <w:rPr>
          <w:rFonts w:hint="eastAsia" w:ascii="宋体" w:hAnsi="宋体" w:eastAsia="宋体" w:cs="宋体"/>
          <w:color w:val="auto"/>
          <w:sz w:val="32"/>
          <w:szCs w:val="20"/>
          <w:highlight w:val="none"/>
        </w:rPr>
      </w:pPr>
    </w:p>
    <w:p w14:paraId="18176183">
      <w:pPr>
        <w:snapToGrid w:val="0"/>
        <w:spacing w:before="50" w:after="50"/>
        <w:outlineLvl w:val="9"/>
        <w:rPr>
          <w:rFonts w:hint="eastAsia" w:ascii="宋体" w:hAnsi="宋体" w:eastAsia="宋体" w:cs="宋体"/>
          <w:color w:val="auto"/>
          <w:sz w:val="32"/>
          <w:szCs w:val="20"/>
          <w:highlight w:val="none"/>
        </w:rPr>
      </w:pPr>
    </w:p>
    <w:p w14:paraId="4D6515C7">
      <w:pPr>
        <w:snapToGrid w:val="0"/>
        <w:spacing w:before="50" w:after="50"/>
        <w:outlineLvl w:val="9"/>
        <w:rPr>
          <w:rFonts w:hint="eastAsia" w:ascii="宋体" w:hAnsi="宋体" w:eastAsia="宋体" w:cs="宋体"/>
          <w:color w:val="auto"/>
          <w:sz w:val="32"/>
          <w:szCs w:val="20"/>
          <w:highlight w:val="none"/>
        </w:rPr>
      </w:pPr>
    </w:p>
    <w:p w14:paraId="6E3C7C2A">
      <w:pPr>
        <w:snapToGrid w:val="0"/>
        <w:spacing w:before="50" w:after="50"/>
        <w:outlineLvl w:val="9"/>
        <w:rPr>
          <w:rFonts w:hint="eastAsia" w:ascii="宋体" w:hAnsi="宋体" w:eastAsia="宋体" w:cs="宋体"/>
          <w:color w:val="auto"/>
          <w:sz w:val="32"/>
          <w:szCs w:val="20"/>
          <w:highlight w:val="none"/>
        </w:rPr>
      </w:pPr>
    </w:p>
    <w:p w14:paraId="4B8CC4FD">
      <w:pPr>
        <w:snapToGrid w:val="0"/>
        <w:spacing w:before="50" w:after="50"/>
        <w:outlineLvl w:val="9"/>
        <w:rPr>
          <w:rFonts w:hint="eastAsia" w:ascii="宋体" w:hAnsi="宋体" w:eastAsia="宋体" w:cs="宋体"/>
          <w:color w:val="auto"/>
          <w:sz w:val="32"/>
          <w:szCs w:val="20"/>
          <w:highlight w:val="none"/>
        </w:rPr>
      </w:pPr>
    </w:p>
    <w:p w14:paraId="3AD6AF10">
      <w:pPr>
        <w:snapToGrid w:val="0"/>
        <w:spacing w:before="50" w:after="50"/>
        <w:outlineLvl w:val="9"/>
        <w:rPr>
          <w:rFonts w:hint="eastAsia" w:ascii="宋体" w:hAnsi="宋体" w:eastAsia="宋体" w:cs="宋体"/>
          <w:color w:val="auto"/>
          <w:sz w:val="32"/>
          <w:szCs w:val="20"/>
          <w:highlight w:val="none"/>
        </w:rPr>
      </w:pPr>
    </w:p>
    <w:p w14:paraId="7E3CEFA3">
      <w:pPr>
        <w:snapToGrid w:val="0"/>
        <w:spacing w:before="50" w:after="50"/>
        <w:outlineLvl w:val="9"/>
        <w:rPr>
          <w:rFonts w:hint="eastAsia" w:ascii="宋体" w:hAnsi="宋体" w:eastAsia="宋体" w:cs="宋体"/>
          <w:color w:val="auto"/>
          <w:sz w:val="32"/>
          <w:szCs w:val="20"/>
          <w:highlight w:val="none"/>
        </w:rPr>
      </w:pPr>
    </w:p>
    <w:p w14:paraId="4990E0CA">
      <w:pPr>
        <w:snapToGrid w:val="0"/>
        <w:spacing w:before="50" w:after="50"/>
        <w:outlineLvl w:val="9"/>
        <w:rPr>
          <w:rFonts w:hint="eastAsia" w:ascii="宋体" w:hAnsi="宋体" w:eastAsia="宋体" w:cs="宋体"/>
          <w:color w:val="auto"/>
          <w:sz w:val="32"/>
          <w:szCs w:val="20"/>
          <w:highlight w:val="none"/>
        </w:rPr>
      </w:pPr>
    </w:p>
    <w:p w14:paraId="071BB5F9">
      <w:pPr>
        <w:snapToGrid w:val="0"/>
        <w:spacing w:before="50" w:after="50"/>
        <w:outlineLvl w:val="9"/>
        <w:rPr>
          <w:rFonts w:hint="eastAsia" w:ascii="宋体" w:hAnsi="宋体" w:eastAsia="宋体" w:cs="宋体"/>
          <w:color w:val="auto"/>
          <w:sz w:val="32"/>
          <w:szCs w:val="20"/>
          <w:highlight w:val="none"/>
        </w:rPr>
      </w:pPr>
    </w:p>
    <w:p w14:paraId="6159AE72">
      <w:pPr>
        <w:snapToGrid w:val="0"/>
        <w:spacing w:before="159" w:beforeLines="50" w:after="50"/>
        <w:jc w:val="center"/>
        <w:outlineLvl w:val="9"/>
        <w:rPr>
          <w:rFonts w:hint="eastAsia" w:ascii="宋体" w:hAnsi="宋体" w:eastAsia="宋体" w:cs="宋体"/>
          <w:color w:val="auto"/>
          <w:highlight w:val="none"/>
        </w:rPr>
      </w:pPr>
    </w:p>
    <w:p w14:paraId="76509740">
      <w:pPr>
        <w:rPr>
          <w:rFonts w:hint="eastAsia" w:ascii="宋体" w:hAnsi="宋体" w:eastAsia="宋体" w:cs="宋体"/>
          <w:b/>
          <w:color w:val="auto"/>
          <w:sz w:val="28"/>
          <w:szCs w:val="28"/>
          <w:highlight w:val="none"/>
        </w:rPr>
      </w:pPr>
      <w:bookmarkStart w:id="156" w:name="_Toc254970698"/>
      <w:bookmarkStart w:id="157" w:name="_Toc19686836"/>
      <w:bookmarkStart w:id="158" w:name="_Toc254970557"/>
      <w:r>
        <w:rPr>
          <w:rFonts w:hint="eastAsia" w:ascii="宋体" w:hAnsi="宋体" w:eastAsia="宋体" w:cs="宋体"/>
          <w:b/>
          <w:color w:val="auto"/>
          <w:sz w:val="28"/>
          <w:szCs w:val="28"/>
          <w:highlight w:val="none"/>
        </w:rPr>
        <w:br w:type="page"/>
      </w:r>
      <w:bookmarkEnd w:id="156"/>
      <w:bookmarkEnd w:id="157"/>
      <w:bookmarkEnd w:id="158"/>
      <w:r>
        <w:rPr>
          <w:rFonts w:hint="eastAsia" w:ascii="宋体" w:hAnsi="宋体" w:eastAsia="宋体" w:cs="宋体"/>
          <w:b/>
          <w:color w:val="auto"/>
          <w:sz w:val="28"/>
          <w:szCs w:val="28"/>
          <w:highlight w:val="none"/>
        </w:rPr>
        <w:t>一、报价文件格式</w:t>
      </w:r>
    </w:p>
    <w:p w14:paraId="60BDC546">
      <w:pPr>
        <w:snapToGrid w:val="0"/>
        <w:spacing w:before="159" w:beforeLines="50" w:after="50" w:line="360" w:lineRule="auto"/>
        <w:ind w:left="142"/>
        <w:jc w:val="left"/>
        <w:rPr>
          <w:rFonts w:hint="eastAsia" w:ascii="宋体" w:hAnsi="宋体" w:eastAsia="宋体" w:cs="宋体"/>
          <w:color w:val="auto"/>
          <w:sz w:val="24"/>
          <w:szCs w:val="20"/>
          <w:highlight w:val="none"/>
        </w:rPr>
      </w:pPr>
      <w:r>
        <w:rPr>
          <w:rFonts w:hint="eastAsia" w:ascii="宋体" w:hAnsi="宋体" w:eastAsia="宋体" w:cs="宋体"/>
          <w:b/>
          <w:color w:val="auto"/>
          <w:sz w:val="24"/>
          <w:highlight w:val="none"/>
        </w:rPr>
        <w:t xml:space="preserve">1. 报价文件封面格式： </w:t>
      </w:r>
    </w:p>
    <w:p w14:paraId="07E748D5">
      <w:pPr>
        <w:snapToGrid w:val="0"/>
        <w:spacing w:before="159" w:beforeLines="50" w:after="50" w:line="400" w:lineRule="exact"/>
        <w:rPr>
          <w:rFonts w:hint="eastAsia" w:ascii="宋体" w:hAnsi="宋体" w:eastAsia="宋体" w:cs="宋体"/>
          <w:bCs/>
          <w:color w:val="auto"/>
          <w:sz w:val="32"/>
          <w:szCs w:val="20"/>
          <w:highlight w:val="none"/>
        </w:rPr>
      </w:pPr>
      <w:r>
        <w:rPr>
          <w:rFonts w:hint="eastAsia" w:ascii="宋体" w:hAnsi="宋体" w:eastAsia="宋体" w:cs="宋体"/>
          <w:color w:val="auto"/>
          <w:sz w:val="24"/>
          <w:highlight w:val="none"/>
        </w:rPr>
        <w:t xml:space="preserve">                                                   </w:t>
      </w:r>
    </w:p>
    <w:p w14:paraId="06D294DC">
      <w:pPr>
        <w:snapToGrid w:val="0"/>
        <w:spacing w:before="159" w:beforeLines="50" w:after="50" w:line="400" w:lineRule="exact"/>
        <w:jc w:val="center"/>
        <w:rPr>
          <w:rFonts w:hint="eastAsia" w:ascii="宋体" w:hAnsi="宋体" w:eastAsia="宋体" w:cs="宋体"/>
          <w:bCs/>
          <w:color w:val="auto"/>
          <w:sz w:val="24"/>
          <w:szCs w:val="20"/>
          <w:highlight w:val="none"/>
        </w:rPr>
      </w:pPr>
    </w:p>
    <w:p w14:paraId="030BC3F5">
      <w:pPr>
        <w:snapToGrid w:val="0"/>
        <w:spacing w:before="159" w:beforeLines="50" w:after="50"/>
        <w:jc w:val="center"/>
        <w:rPr>
          <w:rFonts w:hint="eastAsia" w:ascii="宋体" w:hAnsi="宋体" w:eastAsia="宋体" w:cs="宋体"/>
          <w:color w:val="auto"/>
          <w:sz w:val="84"/>
          <w:szCs w:val="84"/>
          <w:highlight w:val="none"/>
        </w:rPr>
      </w:pPr>
      <w:r>
        <w:rPr>
          <w:rFonts w:hint="eastAsia" w:ascii="宋体" w:hAnsi="宋体" w:eastAsia="宋体" w:cs="宋体"/>
          <w:color w:val="auto"/>
          <w:sz w:val="84"/>
          <w:szCs w:val="84"/>
          <w:highlight w:val="none"/>
        </w:rPr>
        <w:t>投  标  文  件</w:t>
      </w:r>
    </w:p>
    <w:p w14:paraId="38B63A3F">
      <w:pPr>
        <w:snapToGrid w:val="0"/>
        <w:spacing w:before="159" w:beforeLines="50" w:after="50" w:line="400" w:lineRule="exact"/>
        <w:jc w:val="center"/>
        <w:rPr>
          <w:rFonts w:hint="eastAsia" w:ascii="宋体" w:hAnsi="宋体" w:eastAsia="宋体" w:cs="宋体"/>
          <w:bCs/>
          <w:color w:val="auto"/>
          <w:sz w:val="32"/>
          <w:szCs w:val="32"/>
          <w:highlight w:val="none"/>
        </w:rPr>
      </w:pPr>
    </w:p>
    <w:p w14:paraId="54E4BFE6">
      <w:pPr>
        <w:snapToGrid w:val="0"/>
        <w:spacing w:before="159" w:beforeLines="50" w:after="50" w:line="400" w:lineRule="exact"/>
        <w:jc w:val="center"/>
        <w:outlineLvl w:val="0"/>
        <w:rPr>
          <w:rFonts w:hint="eastAsia" w:ascii="宋体" w:hAnsi="宋体" w:eastAsia="宋体" w:cs="宋体"/>
          <w:color w:val="auto"/>
          <w:sz w:val="32"/>
          <w:szCs w:val="32"/>
          <w:highlight w:val="none"/>
        </w:rPr>
      </w:pPr>
      <w:r>
        <w:rPr>
          <w:rFonts w:hint="eastAsia" w:ascii="宋体" w:hAnsi="宋体" w:eastAsia="宋体" w:cs="宋体"/>
          <w:color w:val="auto"/>
          <w:sz w:val="32"/>
          <w:szCs w:val="32"/>
          <w:highlight w:val="none"/>
        </w:rPr>
        <w:t>报  价  文  件</w:t>
      </w:r>
    </w:p>
    <w:p w14:paraId="5DAA2936">
      <w:pPr>
        <w:snapToGrid w:val="0"/>
        <w:spacing w:before="159" w:beforeLines="50" w:after="50" w:line="400" w:lineRule="exact"/>
        <w:rPr>
          <w:rFonts w:hint="eastAsia" w:ascii="宋体" w:hAnsi="宋体" w:eastAsia="宋体" w:cs="宋体"/>
          <w:bCs/>
          <w:color w:val="auto"/>
          <w:sz w:val="24"/>
          <w:szCs w:val="20"/>
          <w:highlight w:val="none"/>
        </w:rPr>
      </w:pPr>
    </w:p>
    <w:p w14:paraId="3121EB90">
      <w:pPr>
        <w:snapToGrid w:val="0"/>
        <w:spacing w:before="159" w:beforeLines="50" w:after="50" w:line="400" w:lineRule="exact"/>
        <w:rPr>
          <w:rFonts w:hint="eastAsia" w:ascii="宋体" w:hAnsi="宋体" w:eastAsia="宋体" w:cs="宋体"/>
          <w:bCs/>
          <w:color w:val="auto"/>
          <w:sz w:val="24"/>
          <w:szCs w:val="20"/>
          <w:highlight w:val="none"/>
        </w:rPr>
      </w:pPr>
    </w:p>
    <w:p w14:paraId="5034EAAC">
      <w:pPr>
        <w:snapToGrid w:val="0"/>
        <w:spacing w:before="159" w:beforeLines="50" w:after="50" w:line="400" w:lineRule="exact"/>
        <w:rPr>
          <w:rFonts w:hint="eastAsia" w:ascii="宋体" w:hAnsi="宋体" w:eastAsia="宋体" w:cs="宋体"/>
          <w:bCs/>
          <w:color w:val="auto"/>
          <w:sz w:val="24"/>
          <w:szCs w:val="20"/>
          <w:highlight w:val="none"/>
        </w:rPr>
      </w:pPr>
    </w:p>
    <w:p w14:paraId="7CA70230">
      <w:pPr>
        <w:snapToGrid w:val="0"/>
        <w:spacing w:before="159" w:beforeLines="50" w:after="50" w:line="400" w:lineRule="exact"/>
        <w:rPr>
          <w:rFonts w:hint="eastAsia" w:ascii="宋体" w:hAnsi="宋体" w:eastAsia="宋体" w:cs="宋体"/>
          <w:bCs/>
          <w:color w:val="auto"/>
          <w:sz w:val="24"/>
          <w:szCs w:val="20"/>
          <w:highlight w:val="none"/>
        </w:rPr>
      </w:pPr>
    </w:p>
    <w:p w14:paraId="67170B18">
      <w:pPr>
        <w:snapToGrid w:val="0"/>
        <w:spacing w:before="159" w:beforeLines="50" w:after="50" w:line="400" w:lineRule="exact"/>
        <w:ind w:firstLine="360" w:firstLineChars="150"/>
        <w:rPr>
          <w:rFonts w:hint="eastAsia" w:ascii="宋体" w:hAnsi="宋体" w:eastAsia="宋体" w:cs="宋体"/>
          <w:bCs/>
          <w:color w:val="auto"/>
          <w:sz w:val="24"/>
          <w:highlight w:val="none"/>
        </w:rPr>
      </w:pPr>
      <w:r>
        <w:rPr>
          <w:rFonts w:hint="eastAsia" w:ascii="宋体" w:hAnsi="宋体" w:eastAsia="宋体" w:cs="宋体"/>
          <w:bCs/>
          <w:color w:val="auto"/>
          <w:sz w:val="24"/>
          <w:highlight w:val="none"/>
        </w:rPr>
        <w:t xml:space="preserve">项目名称： </w:t>
      </w:r>
    </w:p>
    <w:p w14:paraId="1295D820">
      <w:pPr>
        <w:snapToGrid w:val="0"/>
        <w:spacing w:before="159" w:beforeLines="50" w:after="50" w:line="400" w:lineRule="exact"/>
        <w:ind w:firstLine="360" w:firstLineChars="150"/>
        <w:rPr>
          <w:rFonts w:hint="eastAsia" w:ascii="宋体" w:hAnsi="宋体" w:eastAsia="宋体" w:cs="宋体"/>
          <w:bCs/>
          <w:color w:val="auto"/>
          <w:sz w:val="24"/>
          <w:highlight w:val="none"/>
        </w:rPr>
      </w:pPr>
    </w:p>
    <w:p w14:paraId="3086555C">
      <w:pPr>
        <w:snapToGrid w:val="0"/>
        <w:spacing w:before="159" w:beforeLines="50" w:after="50" w:line="400" w:lineRule="exact"/>
        <w:ind w:firstLine="360" w:firstLineChars="150"/>
        <w:rPr>
          <w:rFonts w:hint="eastAsia" w:ascii="宋体" w:hAnsi="宋体" w:eastAsia="宋体" w:cs="宋体"/>
          <w:bCs/>
          <w:color w:val="auto"/>
          <w:sz w:val="24"/>
          <w:highlight w:val="none"/>
        </w:rPr>
      </w:pPr>
      <w:r>
        <w:rPr>
          <w:rFonts w:hint="eastAsia" w:ascii="宋体" w:hAnsi="宋体" w:eastAsia="宋体" w:cs="宋体"/>
          <w:bCs/>
          <w:color w:val="auto"/>
          <w:sz w:val="24"/>
          <w:highlight w:val="none"/>
        </w:rPr>
        <w:t xml:space="preserve">项目编号： </w:t>
      </w:r>
    </w:p>
    <w:p w14:paraId="75A61E5F">
      <w:pPr>
        <w:snapToGrid w:val="0"/>
        <w:spacing w:before="159" w:beforeLines="50" w:after="50" w:line="400" w:lineRule="exact"/>
        <w:ind w:firstLine="360" w:firstLineChars="150"/>
        <w:rPr>
          <w:rFonts w:hint="eastAsia" w:ascii="宋体" w:hAnsi="宋体" w:eastAsia="宋体" w:cs="宋体"/>
          <w:bCs/>
          <w:color w:val="auto"/>
          <w:sz w:val="24"/>
          <w:highlight w:val="none"/>
        </w:rPr>
      </w:pPr>
    </w:p>
    <w:p w14:paraId="1595B22F">
      <w:pPr>
        <w:snapToGrid w:val="0"/>
        <w:spacing w:before="159" w:beforeLines="50" w:after="50" w:line="400" w:lineRule="exact"/>
        <w:ind w:firstLine="360" w:firstLineChars="150"/>
        <w:rPr>
          <w:rFonts w:hint="eastAsia" w:ascii="宋体" w:hAnsi="宋体" w:eastAsia="宋体" w:cs="宋体"/>
          <w:bCs/>
          <w:color w:val="auto"/>
          <w:sz w:val="24"/>
          <w:highlight w:val="none"/>
        </w:rPr>
      </w:pPr>
      <w:r>
        <w:rPr>
          <w:rFonts w:hint="eastAsia" w:ascii="宋体" w:hAnsi="宋体" w:eastAsia="宋体" w:cs="宋体"/>
          <w:bCs/>
          <w:color w:val="auto"/>
          <w:sz w:val="24"/>
          <w:highlight w:val="none"/>
        </w:rPr>
        <w:t>所投分标：</w:t>
      </w:r>
    </w:p>
    <w:p w14:paraId="0DA6354D">
      <w:pPr>
        <w:snapToGrid w:val="0"/>
        <w:spacing w:before="159" w:beforeLines="50" w:after="50" w:line="400" w:lineRule="exact"/>
        <w:ind w:firstLine="360" w:firstLineChars="150"/>
        <w:rPr>
          <w:rFonts w:hint="eastAsia" w:ascii="宋体" w:hAnsi="宋体" w:eastAsia="宋体" w:cs="宋体"/>
          <w:bCs/>
          <w:color w:val="auto"/>
          <w:sz w:val="24"/>
          <w:highlight w:val="none"/>
        </w:rPr>
      </w:pPr>
    </w:p>
    <w:p w14:paraId="1732029C">
      <w:pPr>
        <w:snapToGrid w:val="0"/>
        <w:spacing w:before="159" w:beforeLines="50" w:after="50" w:line="400" w:lineRule="exact"/>
        <w:ind w:firstLine="360" w:firstLineChars="150"/>
        <w:rPr>
          <w:rFonts w:hint="eastAsia" w:ascii="宋体" w:hAnsi="宋体" w:eastAsia="宋体" w:cs="宋体"/>
          <w:bCs/>
          <w:color w:val="auto"/>
          <w:sz w:val="24"/>
          <w:highlight w:val="none"/>
        </w:rPr>
      </w:pPr>
      <w:r>
        <w:rPr>
          <w:rFonts w:hint="eastAsia" w:ascii="宋体" w:hAnsi="宋体" w:eastAsia="宋体" w:cs="宋体"/>
          <w:bCs/>
          <w:color w:val="auto"/>
          <w:sz w:val="24"/>
          <w:highlight w:val="none"/>
        </w:rPr>
        <w:t>投标人名称：</w:t>
      </w:r>
    </w:p>
    <w:p w14:paraId="3D78588F">
      <w:pPr>
        <w:snapToGrid w:val="0"/>
        <w:spacing w:before="159" w:beforeLines="50" w:after="50" w:line="400" w:lineRule="exact"/>
        <w:ind w:firstLine="360" w:firstLineChars="150"/>
        <w:rPr>
          <w:rFonts w:hint="eastAsia" w:ascii="宋体" w:hAnsi="宋体" w:eastAsia="宋体" w:cs="宋体"/>
          <w:bCs/>
          <w:color w:val="auto"/>
          <w:sz w:val="24"/>
          <w:highlight w:val="none"/>
        </w:rPr>
      </w:pPr>
    </w:p>
    <w:p w14:paraId="4D422F86">
      <w:pPr>
        <w:snapToGrid w:val="0"/>
        <w:spacing w:before="159" w:beforeLines="50" w:after="50" w:line="400" w:lineRule="exact"/>
        <w:ind w:firstLine="360" w:firstLineChars="150"/>
        <w:rPr>
          <w:rFonts w:hint="eastAsia" w:ascii="宋体" w:hAnsi="宋体" w:eastAsia="宋体" w:cs="宋体"/>
          <w:bCs/>
          <w:color w:val="auto"/>
          <w:sz w:val="24"/>
          <w:highlight w:val="none"/>
        </w:rPr>
      </w:pPr>
      <w:r>
        <w:rPr>
          <w:rFonts w:hint="eastAsia" w:ascii="宋体" w:hAnsi="宋体" w:eastAsia="宋体" w:cs="宋体"/>
          <w:bCs/>
          <w:color w:val="auto"/>
          <w:sz w:val="24"/>
          <w:highlight w:val="none"/>
        </w:rPr>
        <w:t>投标人地址：</w:t>
      </w:r>
    </w:p>
    <w:p w14:paraId="4B0BF903">
      <w:pPr>
        <w:pStyle w:val="8"/>
        <w:snapToGrid w:val="0"/>
        <w:spacing w:before="50" w:after="50" w:line="400" w:lineRule="exact"/>
        <w:ind w:firstLine="960" w:firstLineChars="400"/>
        <w:rPr>
          <w:rFonts w:hint="eastAsia" w:ascii="宋体" w:hAnsi="宋体" w:eastAsia="宋体" w:cs="宋体"/>
          <w:bCs/>
          <w:color w:val="auto"/>
          <w:sz w:val="24"/>
          <w:szCs w:val="24"/>
          <w:highlight w:val="none"/>
        </w:rPr>
      </w:pPr>
    </w:p>
    <w:p w14:paraId="17244E5F">
      <w:pPr>
        <w:snapToGrid w:val="0"/>
        <w:spacing w:before="159" w:beforeLines="50" w:after="50" w:line="400" w:lineRule="exact"/>
        <w:rPr>
          <w:rFonts w:hint="eastAsia" w:ascii="宋体" w:hAnsi="宋体" w:eastAsia="宋体" w:cs="宋体"/>
          <w:color w:val="auto"/>
          <w:sz w:val="30"/>
          <w:szCs w:val="20"/>
          <w:highlight w:val="none"/>
        </w:rPr>
      </w:pPr>
      <w:r>
        <w:rPr>
          <w:rFonts w:hint="eastAsia" w:ascii="宋体" w:hAnsi="宋体" w:eastAsia="宋体" w:cs="宋体"/>
          <w:color w:val="auto"/>
          <w:sz w:val="24"/>
          <w:highlight w:val="none"/>
        </w:rPr>
        <w:t xml:space="preserve">                                   年  月  日</w:t>
      </w:r>
    </w:p>
    <w:p w14:paraId="19815C9A">
      <w:pPr>
        <w:snapToGrid w:val="0"/>
        <w:spacing w:before="159" w:beforeLines="50" w:after="50" w:line="360" w:lineRule="auto"/>
        <w:jc w:val="left"/>
        <w:rPr>
          <w:rFonts w:hint="eastAsia" w:ascii="宋体" w:hAnsi="宋体" w:eastAsia="宋体" w:cs="宋体"/>
          <w:color w:val="auto"/>
          <w:sz w:val="24"/>
          <w:szCs w:val="20"/>
          <w:highlight w:val="none"/>
        </w:rPr>
      </w:pPr>
      <w:r>
        <w:rPr>
          <w:rFonts w:hint="eastAsia" w:ascii="宋体" w:hAnsi="宋体" w:eastAsia="宋体" w:cs="宋体"/>
          <w:b/>
          <w:color w:val="auto"/>
          <w:sz w:val="24"/>
          <w:highlight w:val="none"/>
        </w:rPr>
        <w:br w:type="page"/>
      </w:r>
      <w:r>
        <w:rPr>
          <w:rFonts w:hint="eastAsia" w:ascii="宋体" w:hAnsi="宋体" w:eastAsia="宋体" w:cs="宋体"/>
          <w:b/>
          <w:color w:val="auto"/>
          <w:sz w:val="24"/>
          <w:highlight w:val="none"/>
        </w:rPr>
        <w:t>2.</w:t>
      </w:r>
      <w:r>
        <w:rPr>
          <w:rFonts w:hint="eastAsia" w:ascii="宋体" w:hAnsi="宋体" w:eastAsia="宋体" w:cs="宋体"/>
          <w:b/>
          <w:bCs/>
          <w:color w:val="auto"/>
          <w:sz w:val="24"/>
          <w:highlight w:val="none"/>
        </w:rPr>
        <w:t>报价文件目录</w:t>
      </w:r>
    </w:p>
    <w:p w14:paraId="5605B554">
      <w:pPr>
        <w:snapToGrid w:val="0"/>
        <w:spacing w:before="50" w:after="159" w:afterLines="50" w:line="360" w:lineRule="auto"/>
        <w:jc w:val="left"/>
        <w:rPr>
          <w:rFonts w:hint="eastAsia" w:ascii="宋体" w:hAnsi="宋体" w:eastAsia="宋体" w:cs="宋体"/>
          <w:b/>
          <w:color w:val="auto"/>
          <w:sz w:val="24"/>
          <w:highlight w:val="none"/>
        </w:rPr>
      </w:pPr>
      <w:r>
        <w:rPr>
          <w:rFonts w:hint="eastAsia" w:ascii="宋体" w:hAnsi="宋体" w:eastAsia="宋体" w:cs="宋体"/>
          <w:color w:val="auto"/>
          <w:szCs w:val="21"/>
          <w:highlight w:val="none"/>
        </w:rPr>
        <w:t>根据招标文件规定及投标人提供的材料自行编写目录。</w:t>
      </w:r>
    </w:p>
    <w:p w14:paraId="7E3CF09D">
      <w:pPr>
        <w:snapToGrid w:val="0"/>
        <w:spacing w:before="159" w:beforeLines="50" w:after="50"/>
        <w:rPr>
          <w:rFonts w:hint="eastAsia" w:ascii="宋体" w:hAnsi="宋体" w:eastAsia="宋体" w:cs="宋体"/>
          <w:b/>
          <w:color w:val="auto"/>
          <w:sz w:val="24"/>
          <w:highlight w:val="none"/>
        </w:rPr>
      </w:pPr>
    </w:p>
    <w:p w14:paraId="4825FD17">
      <w:pPr>
        <w:snapToGrid w:val="0"/>
        <w:spacing w:before="159" w:beforeLines="50" w:after="50"/>
        <w:rPr>
          <w:rFonts w:hint="eastAsia" w:ascii="宋体" w:hAnsi="宋体" w:eastAsia="宋体" w:cs="宋体"/>
          <w:b/>
          <w:color w:val="auto"/>
          <w:sz w:val="24"/>
          <w:highlight w:val="none"/>
        </w:rPr>
      </w:pPr>
    </w:p>
    <w:p w14:paraId="436DDA56">
      <w:pPr>
        <w:snapToGrid w:val="0"/>
        <w:spacing w:before="159" w:beforeLines="50" w:after="50"/>
        <w:rPr>
          <w:rFonts w:hint="eastAsia" w:ascii="宋体" w:hAnsi="宋体" w:eastAsia="宋体" w:cs="宋体"/>
          <w:b/>
          <w:color w:val="auto"/>
          <w:sz w:val="24"/>
          <w:highlight w:val="none"/>
        </w:rPr>
      </w:pPr>
    </w:p>
    <w:p w14:paraId="4634EC76">
      <w:pPr>
        <w:snapToGrid w:val="0"/>
        <w:spacing w:before="159" w:beforeLines="50" w:after="50"/>
        <w:ind w:left="142"/>
        <w:jc w:val="left"/>
        <w:rPr>
          <w:rFonts w:hint="eastAsia" w:ascii="宋体" w:hAnsi="宋体" w:eastAsia="宋体" w:cs="宋体"/>
          <w:b/>
          <w:color w:val="auto"/>
          <w:sz w:val="24"/>
          <w:highlight w:val="none"/>
        </w:rPr>
      </w:pPr>
      <w:r>
        <w:rPr>
          <w:rFonts w:hint="eastAsia" w:ascii="宋体" w:hAnsi="宋体" w:eastAsia="宋体" w:cs="宋体"/>
          <w:b/>
          <w:color w:val="auto"/>
          <w:sz w:val="24"/>
          <w:highlight w:val="none"/>
        </w:rPr>
        <w:br w:type="page"/>
      </w:r>
      <w:r>
        <w:rPr>
          <w:rFonts w:hint="eastAsia" w:ascii="宋体" w:hAnsi="宋体" w:eastAsia="宋体" w:cs="宋体"/>
          <w:b/>
          <w:color w:val="auto"/>
          <w:sz w:val="24"/>
          <w:highlight w:val="none"/>
        </w:rPr>
        <w:t>3. 投标函格式：</w:t>
      </w:r>
    </w:p>
    <w:p w14:paraId="3AB70870">
      <w:pPr>
        <w:snapToGrid w:val="0"/>
        <w:spacing w:before="159" w:beforeLines="50" w:after="50" w:line="360" w:lineRule="auto"/>
        <w:jc w:val="center"/>
        <w:rPr>
          <w:rFonts w:hint="eastAsia" w:ascii="宋体" w:hAnsi="宋体" w:eastAsia="宋体" w:cs="宋体"/>
          <w:bCs/>
          <w:color w:val="auto"/>
          <w:sz w:val="44"/>
          <w:szCs w:val="44"/>
          <w:highlight w:val="none"/>
        </w:rPr>
      </w:pPr>
      <w:r>
        <w:rPr>
          <w:rFonts w:hint="eastAsia" w:ascii="宋体" w:hAnsi="宋体" w:eastAsia="宋体" w:cs="宋体"/>
          <w:bCs/>
          <w:color w:val="auto"/>
          <w:sz w:val="44"/>
          <w:szCs w:val="44"/>
          <w:highlight w:val="none"/>
        </w:rPr>
        <w:t>投 标 函</w:t>
      </w:r>
    </w:p>
    <w:p w14:paraId="52BCEF7B">
      <w:pPr>
        <w:spacing w:line="440" w:lineRule="exact"/>
        <w:contextualSpacing/>
        <w:rPr>
          <w:rFonts w:hint="eastAsia" w:ascii="宋体" w:hAnsi="宋体" w:eastAsia="宋体" w:cs="宋体"/>
          <w:color w:val="auto"/>
          <w:sz w:val="24"/>
          <w:highlight w:val="none"/>
        </w:rPr>
      </w:pPr>
      <w:r>
        <w:rPr>
          <w:rFonts w:hint="eastAsia" w:ascii="宋体" w:hAnsi="宋体" w:eastAsia="宋体" w:cs="宋体"/>
          <w:color w:val="auto"/>
          <w:sz w:val="24"/>
          <w:highlight w:val="none"/>
        </w:rPr>
        <w:t>致：</w:t>
      </w:r>
      <w:r>
        <w:rPr>
          <w:rFonts w:hint="eastAsia" w:ascii="宋体" w:hAnsi="宋体" w:eastAsia="宋体" w:cs="宋体"/>
          <w:color w:val="auto"/>
          <w:sz w:val="24"/>
          <w:highlight w:val="none"/>
          <w:u w:val="single"/>
        </w:rPr>
        <w:t>采购人名称</w:t>
      </w:r>
    </w:p>
    <w:p w14:paraId="1CF0B7E3">
      <w:pPr>
        <w:spacing w:line="440" w:lineRule="exact"/>
        <w:ind w:firstLine="480"/>
        <w:contextualSpacing/>
        <w:rPr>
          <w:rFonts w:hint="eastAsia" w:ascii="宋体" w:hAnsi="宋体" w:eastAsia="宋体" w:cs="宋体"/>
          <w:color w:val="auto"/>
          <w:sz w:val="24"/>
          <w:highlight w:val="none"/>
        </w:rPr>
      </w:pPr>
      <w:r>
        <w:rPr>
          <w:rFonts w:hint="eastAsia" w:ascii="宋体" w:hAnsi="宋体" w:eastAsia="宋体" w:cs="宋体"/>
          <w:color w:val="auto"/>
          <w:sz w:val="24"/>
          <w:highlight w:val="none"/>
        </w:rPr>
        <w:t>根据贵方</w:t>
      </w:r>
      <w:r>
        <w:rPr>
          <w:rFonts w:hint="eastAsia" w:ascii="宋体" w:hAnsi="宋体" w:eastAsia="宋体" w:cs="宋体"/>
          <w:color w:val="auto"/>
          <w:sz w:val="24"/>
          <w:highlight w:val="none"/>
          <w:u w:val="single"/>
        </w:rPr>
        <w:t xml:space="preserve"> 项目名称</w:t>
      </w:r>
      <w:r>
        <w:rPr>
          <w:rFonts w:hint="eastAsia" w:ascii="宋体" w:hAnsi="宋体" w:eastAsia="宋体" w:cs="宋体"/>
          <w:color w:val="auto"/>
          <w:sz w:val="24"/>
          <w:highlight w:val="none"/>
        </w:rPr>
        <w:t>（项目编号：</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）的招标公告，签字代表______</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（姓名）经正式授权并代表投标人</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（投标人名称）提交投标文件。</w:t>
      </w:r>
    </w:p>
    <w:p w14:paraId="5FED5B67">
      <w:pPr>
        <w:spacing w:line="440" w:lineRule="exact"/>
        <w:ind w:firstLine="480" w:firstLineChars="200"/>
        <w:contextualSpacing/>
        <w:rPr>
          <w:rFonts w:hint="eastAsia" w:ascii="宋体" w:hAnsi="宋体" w:eastAsia="宋体" w:cs="宋体"/>
          <w:color w:val="auto"/>
          <w:sz w:val="24"/>
          <w:highlight w:val="none"/>
        </w:rPr>
      </w:pPr>
      <w:r>
        <w:rPr>
          <w:rFonts w:hint="eastAsia" w:ascii="宋体" w:hAnsi="宋体" w:eastAsia="宋体" w:cs="宋体"/>
          <w:color w:val="auto"/>
          <w:sz w:val="24"/>
          <w:highlight w:val="none"/>
        </w:rPr>
        <w:t>据此函，我方宣布同意如下：</w:t>
      </w:r>
    </w:p>
    <w:p w14:paraId="5828AD5E">
      <w:pPr>
        <w:spacing w:line="440" w:lineRule="exact"/>
        <w:ind w:firstLine="480" w:firstLineChars="200"/>
        <w:contextualSpacing/>
        <w:rPr>
          <w:rFonts w:hint="eastAsia" w:ascii="宋体" w:hAnsi="宋体" w:eastAsia="宋体" w:cs="宋体"/>
          <w:color w:val="auto"/>
          <w:sz w:val="24"/>
          <w:highlight w:val="none"/>
        </w:rPr>
      </w:pPr>
      <w:r>
        <w:rPr>
          <w:rFonts w:hint="eastAsia" w:ascii="宋体" w:hAnsi="宋体" w:eastAsia="宋体" w:cs="宋体"/>
          <w:color w:val="auto"/>
          <w:sz w:val="24"/>
          <w:highlight w:val="none"/>
        </w:rPr>
        <w:t>1.我方已详细审查全部“招标文件”，包括修改文件（如有的话）以及全部参考资料和有关附件，已经了解我方对于招标文件、采购过程、采购结果有依法进行询问、质疑、投诉的权利及相关渠道和要求。</w:t>
      </w:r>
    </w:p>
    <w:p w14:paraId="540D8F03">
      <w:pPr>
        <w:spacing w:line="440" w:lineRule="exact"/>
        <w:ind w:firstLine="480" w:firstLineChars="200"/>
        <w:contextualSpacing/>
        <w:rPr>
          <w:rFonts w:hint="eastAsia" w:ascii="宋体" w:hAnsi="宋体" w:eastAsia="宋体" w:cs="宋体"/>
          <w:color w:val="auto"/>
          <w:sz w:val="24"/>
          <w:highlight w:val="none"/>
        </w:rPr>
      </w:pPr>
      <w:r>
        <w:rPr>
          <w:rFonts w:hint="eastAsia" w:ascii="宋体" w:hAnsi="宋体" w:eastAsia="宋体" w:cs="宋体"/>
          <w:color w:val="auto"/>
          <w:sz w:val="24"/>
          <w:highlight w:val="none"/>
        </w:rPr>
        <w:t>2.我方在投标之前已经完全理解并接受招标文件的各项规定和要求，对招标文件的合理性、合法性不再有异议。</w:t>
      </w:r>
    </w:p>
    <w:p w14:paraId="7844168C">
      <w:pPr>
        <w:spacing w:line="440" w:lineRule="exact"/>
        <w:ind w:firstLine="480" w:firstLineChars="200"/>
        <w:contextualSpacing/>
        <w:rPr>
          <w:rFonts w:hint="eastAsia" w:ascii="宋体" w:hAnsi="宋体" w:eastAsia="宋体" w:cs="宋体"/>
          <w:color w:val="auto"/>
          <w:sz w:val="24"/>
          <w:highlight w:val="none"/>
        </w:rPr>
      </w:pPr>
      <w:r>
        <w:rPr>
          <w:rFonts w:hint="eastAsia" w:ascii="宋体" w:hAnsi="宋体" w:eastAsia="宋体" w:cs="宋体"/>
          <w:color w:val="auto"/>
          <w:sz w:val="24"/>
          <w:highlight w:val="none"/>
        </w:rPr>
        <w:t>3.本投标有效期自投标截止之日起</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日。</w:t>
      </w:r>
    </w:p>
    <w:p w14:paraId="0D000955">
      <w:pPr>
        <w:spacing w:line="440" w:lineRule="exact"/>
        <w:ind w:firstLine="480" w:firstLineChars="200"/>
        <w:contextualSpacing/>
        <w:rPr>
          <w:rFonts w:hint="eastAsia" w:ascii="宋体" w:hAnsi="宋体" w:eastAsia="宋体" w:cs="宋体"/>
          <w:color w:val="auto"/>
          <w:sz w:val="24"/>
          <w:highlight w:val="none"/>
        </w:rPr>
      </w:pPr>
      <w:r>
        <w:rPr>
          <w:rFonts w:hint="eastAsia" w:ascii="宋体" w:hAnsi="宋体" w:eastAsia="宋体" w:cs="宋体"/>
          <w:color w:val="auto"/>
          <w:sz w:val="24"/>
          <w:highlight w:val="none"/>
        </w:rPr>
        <w:t>4.如中标，本投标文件至本项目合同履行完毕止均保持有效，我方将按“招标文件”及政府采购法律、法规的规定履行合同责任和义务。</w:t>
      </w:r>
    </w:p>
    <w:p w14:paraId="4543D74F">
      <w:pPr>
        <w:spacing w:line="440" w:lineRule="exact"/>
        <w:ind w:firstLine="480" w:firstLineChars="200"/>
        <w:contextualSpacing/>
        <w:rPr>
          <w:rFonts w:hint="eastAsia" w:ascii="宋体" w:hAnsi="宋体" w:eastAsia="宋体" w:cs="宋体"/>
          <w:color w:val="auto"/>
          <w:sz w:val="24"/>
          <w:highlight w:val="none"/>
        </w:rPr>
      </w:pPr>
      <w:r>
        <w:rPr>
          <w:rFonts w:hint="eastAsia" w:ascii="宋体" w:hAnsi="宋体" w:eastAsia="宋体" w:cs="宋体"/>
          <w:color w:val="auto"/>
          <w:sz w:val="24"/>
          <w:highlight w:val="none"/>
        </w:rPr>
        <w:t>5.我方同意按照贵方要求提供与投标有关的一切数据或者资料。</w:t>
      </w:r>
    </w:p>
    <w:p w14:paraId="29C20B7B">
      <w:pPr>
        <w:spacing w:line="440" w:lineRule="exact"/>
        <w:ind w:firstLine="480" w:firstLineChars="200"/>
        <w:contextualSpacing/>
        <w:rPr>
          <w:rFonts w:hint="eastAsia" w:ascii="宋体" w:hAnsi="宋体" w:eastAsia="宋体" w:cs="宋体"/>
          <w:color w:val="auto"/>
          <w:sz w:val="24"/>
          <w:highlight w:val="none"/>
        </w:rPr>
      </w:pPr>
      <w:r>
        <w:rPr>
          <w:rFonts w:hint="eastAsia" w:ascii="宋体" w:hAnsi="宋体" w:eastAsia="宋体" w:cs="宋体"/>
          <w:color w:val="auto"/>
          <w:sz w:val="24"/>
          <w:highlight w:val="none"/>
        </w:rPr>
        <w:t>6.我方向贵方提交的所有投标文件、资料都是准确的和真实的。</w:t>
      </w:r>
    </w:p>
    <w:p w14:paraId="3FC162F3">
      <w:pPr>
        <w:spacing w:line="440" w:lineRule="exact"/>
        <w:ind w:firstLine="480" w:firstLineChars="200"/>
        <w:contextualSpacing/>
        <w:rPr>
          <w:rFonts w:hint="eastAsia" w:ascii="宋体" w:hAnsi="宋体" w:eastAsia="宋体" w:cs="宋体"/>
          <w:color w:val="auto"/>
          <w:sz w:val="24"/>
          <w:highlight w:val="none"/>
        </w:rPr>
      </w:pPr>
      <w:r>
        <w:rPr>
          <w:rFonts w:hint="eastAsia" w:ascii="宋体" w:hAnsi="宋体" w:eastAsia="宋体" w:cs="宋体"/>
          <w:color w:val="auto"/>
          <w:sz w:val="24"/>
          <w:highlight w:val="none"/>
        </w:rPr>
        <w:t>7.以上事项如有虚假或者隐瞒，我方愿意承担一切后果，并不再寻求任何旨在减轻或者免除法律责任的辩解。</w:t>
      </w:r>
    </w:p>
    <w:p w14:paraId="2F20DC00">
      <w:pPr>
        <w:spacing w:line="440" w:lineRule="exact"/>
        <w:ind w:firstLine="480" w:firstLineChars="200"/>
        <w:contextualSpacing/>
        <w:rPr>
          <w:rFonts w:hint="eastAsia" w:ascii="宋体" w:hAnsi="宋体" w:eastAsia="宋体" w:cs="宋体"/>
          <w:color w:val="auto"/>
          <w:sz w:val="24"/>
          <w:highlight w:val="none"/>
        </w:rPr>
      </w:pPr>
      <w:r>
        <w:rPr>
          <w:rFonts w:hint="eastAsia" w:ascii="宋体" w:hAnsi="宋体" w:eastAsia="宋体" w:cs="宋体"/>
          <w:color w:val="auto"/>
          <w:sz w:val="24"/>
          <w:highlight w:val="none"/>
        </w:rPr>
        <w:t>8.根据《中华人民共和国政府采购法实施条例》第五十条要求对政府采购合同进行公告，但政府采购合同中涉及国家秘密、商业秘密的内容除外。我方就对本次投标文件进行注明如下：（两项内容中必须选择一项）</w:t>
      </w:r>
    </w:p>
    <w:p w14:paraId="536F8388">
      <w:pPr>
        <w:spacing w:line="440" w:lineRule="exact"/>
        <w:ind w:firstLine="480" w:firstLineChars="200"/>
        <w:contextualSpacing/>
        <w:rPr>
          <w:rFonts w:hint="eastAsia" w:ascii="宋体" w:hAnsi="宋体" w:eastAsia="宋体" w:cs="宋体"/>
          <w:color w:val="auto"/>
          <w:sz w:val="24"/>
          <w:highlight w:val="none"/>
        </w:rPr>
      </w:pPr>
      <w:r>
        <w:rPr>
          <w:rFonts w:hint="eastAsia" w:ascii="宋体" w:hAnsi="宋体" w:eastAsia="宋体" w:cs="宋体"/>
          <w:color w:val="auto"/>
          <w:sz w:val="24"/>
          <w:highlight w:val="none"/>
        </w:rPr>
        <w:t>□我方本次投标文件</w:t>
      </w:r>
      <w:r>
        <w:rPr>
          <w:rFonts w:hint="eastAsia" w:ascii="宋体" w:hAnsi="宋体" w:eastAsia="宋体" w:cs="宋体"/>
          <w:color w:val="auto"/>
          <w:kern w:val="0"/>
          <w:sz w:val="24"/>
          <w:highlight w:val="none"/>
        </w:rPr>
        <w:t>内容中</w:t>
      </w:r>
      <w:r>
        <w:rPr>
          <w:rFonts w:hint="eastAsia" w:ascii="宋体" w:hAnsi="宋体" w:eastAsia="宋体" w:cs="宋体"/>
          <w:color w:val="auto"/>
          <w:sz w:val="24"/>
          <w:highlight w:val="none"/>
        </w:rPr>
        <w:t>未</w:t>
      </w:r>
      <w:r>
        <w:rPr>
          <w:rFonts w:hint="eastAsia" w:ascii="宋体" w:hAnsi="宋体" w:eastAsia="宋体" w:cs="宋体"/>
          <w:color w:val="auto"/>
          <w:kern w:val="0"/>
          <w:sz w:val="24"/>
          <w:highlight w:val="none"/>
        </w:rPr>
        <w:t>涉及商业秘密；</w:t>
      </w:r>
    </w:p>
    <w:p w14:paraId="34708877">
      <w:pPr>
        <w:spacing w:line="440" w:lineRule="exact"/>
        <w:ind w:firstLine="480" w:firstLineChars="200"/>
        <w:contextualSpacing/>
        <w:rPr>
          <w:rFonts w:hint="eastAsia" w:ascii="宋体" w:hAnsi="宋体" w:eastAsia="宋体" w:cs="宋体"/>
          <w:color w:val="auto"/>
          <w:sz w:val="24"/>
          <w:highlight w:val="none"/>
        </w:rPr>
      </w:pPr>
      <w:r>
        <w:rPr>
          <w:rFonts w:hint="eastAsia" w:ascii="宋体" w:hAnsi="宋体" w:eastAsia="宋体" w:cs="宋体"/>
          <w:color w:val="auto"/>
          <w:sz w:val="24"/>
          <w:highlight w:val="none"/>
        </w:rPr>
        <w:t>□我方本次投标文件</w:t>
      </w:r>
      <w:r>
        <w:rPr>
          <w:rFonts w:hint="eastAsia" w:ascii="宋体" w:hAnsi="宋体" w:eastAsia="宋体" w:cs="宋体"/>
          <w:color w:val="auto"/>
          <w:kern w:val="0"/>
          <w:sz w:val="24"/>
          <w:highlight w:val="none"/>
        </w:rPr>
        <w:t>涉及商业秘密的内容有：</w:t>
      </w:r>
      <w:r>
        <w:rPr>
          <w:rFonts w:hint="eastAsia" w:ascii="宋体" w:hAnsi="宋体" w:eastAsia="宋体" w:cs="宋体"/>
          <w:color w:val="auto"/>
          <w:kern w:val="0"/>
          <w:sz w:val="24"/>
          <w:highlight w:val="none"/>
          <w:u w:val="single"/>
        </w:rPr>
        <w:t xml:space="preserve">                         </w:t>
      </w:r>
      <w:r>
        <w:rPr>
          <w:rFonts w:hint="eastAsia" w:ascii="宋体" w:hAnsi="宋体" w:eastAsia="宋体" w:cs="宋体"/>
          <w:color w:val="auto"/>
          <w:kern w:val="0"/>
          <w:sz w:val="24"/>
          <w:highlight w:val="none"/>
        </w:rPr>
        <w:t>；</w:t>
      </w:r>
    </w:p>
    <w:p w14:paraId="05F51507">
      <w:pPr>
        <w:spacing w:line="440" w:lineRule="exact"/>
        <w:ind w:firstLine="480" w:firstLineChars="200"/>
        <w:contextualSpacing/>
        <w:rPr>
          <w:rFonts w:hint="eastAsia" w:ascii="宋体" w:hAnsi="宋体" w:eastAsia="宋体" w:cs="宋体"/>
          <w:color w:val="auto"/>
          <w:sz w:val="24"/>
          <w:highlight w:val="none"/>
        </w:rPr>
      </w:pPr>
      <w:r>
        <w:rPr>
          <w:rFonts w:hint="eastAsia" w:ascii="宋体" w:hAnsi="宋体" w:eastAsia="宋体" w:cs="宋体"/>
          <w:color w:val="auto"/>
          <w:sz w:val="24"/>
          <w:highlight w:val="none"/>
        </w:rPr>
        <w:t>9.与本投标有关的一切正式往来信函请寄：</w:t>
      </w:r>
    </w:p>
    <w:p w14:paraId="0E3167AA">
      <w:pPr>
        <w:spacing w:line="440" w:lineRule="exact"/>
        <w:ind w:firstLine="480" w:firstLineChars="200"/>
        <w:contextualSpacing/>
        <w:rPr>
          <w:rFonts w:hint="eastAsia" w:ascii="宋体" w:hAnsi="宋体" w:eastAsia="宋体" w:cs="宋体"/>
          <w:color w:val="auto"/>
          <w:sz w:val="24"/>
          <w:highlight w:val="none"/>
          <w:u w:val="single"/>
        </w:rPr>
      </w:pPr>
      <w:r>
        <w:rPr>
          <w:rFonts w:hint="eastAsia" w:ascii="宋体" w:hAnsi="宋体" w:eastAsia="宋体" w:cs="宋体"/>
          <w:color w:val="auto"/>
          <w:sz w:val="24"/>
          <w:highlight w:val="none"/>
        </w:rPr>
        <w:t>地址：</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邮编：</w:t>
      </w:r>
      <w:r>
        <w:rPr>
          <w:rFonts w:hint="eastAsia" w:ascii="宋体" w:hAnsi="宋体" w:eastAsia="宋体" w:cs="宋体"/>
          <w:color w:val="auto"/>
          <w:sz w:val="24"/>
          <w:highlight w:val="none"/>
          <w:u w:val="single"/>
        </w:rPr>
        <w:t xml:space="preserve">            </w:t>
      </w:r>
    </w:p>
    <w:p w14:paraId="110C8A44">
      <w:pPr>
        <w:spacing w:line="440" w:lineRule="exact"/>
        <w:ind w:firstLine="480" w:firstLineChars="200"/>
        <w:contextualSpacing/>
        <w:rPr>
          <w:rFonts w:hint="eastAsia" w:ascii="宋体" w:hAnsi="宋体" w:eastAsia="宋体" w:cs="宋体"/>
          <w:color w:val="auto"/>
          <w:sz w:val="24"/>
          <w:highlight w:val="none"/>
        </w:rPr>
      </w:pPr>
      <w:r>
        <w:rPr>
          <w:rFonts w:hint="eastAsia" w:ascii="宋体" w:hAnsi="宋体" w:eastAsia="宋体" w:cs="宋体"/>
          <w:color w:val="auto"/>
          <w:sz w:val="24"/>
          <w:highlight w:val="none"/>
        </w:rPr>
        <w:t>电话：</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传真：</w:t>
      </w:r>
      <w:r>
        <w:rPr>
          <w:rFonts w:hint="eastAsia" w:ascii="宋体" w:hAnsi="宋体" w:eastAsia="宋体" w:cs="宋体"/>
          <w:color w:val="auto"/>
          <w:sz w:val="24"/>
          <w:highlight w:val="none"/>
          <w:u w:val="single"/>
        </w:rPr>
        <w:t xml:space="preserve">          </w:t>
      </w:r>
    </w:p>
    <w:p w14:paraId="050C13E7">
      <w:pPr>
        <w:spacing w:line="440" w:lineRule="exact"/>
        <w:ind w:firstLine="480" w:firstLineChars="200"/>
        <w:contextualSpacing/>
        <w:rPr>
          <w:rFonts w:hint="eastAsia" w:ascii="宋体" w:hAnsi="宋体" w:eastAsia="宋体" w:cs="宋体"/>
          <w:color w:val="auto"/>
          <w:sz w:val="24"/>
          <w:highlight w:val="none"/>
        </w:rPr>
      </w:pPr>
      <w:r>
        <w:rPr>
          <w:rFonts w:hint="eastAsia" w:ascii="宋体" w:hAnsi="宋体" w:eastAsia="宋体" w:cs="宋体"/>
          <w:color w:val="auto"/>
          <w:sz w:val="24"/>
          <w:highlight w:val="none"/>
        </w:rPr>
        <w:t>投标人名称：</w:t>
      </w:r>
      <w:r>
        <w:rPr>
          <w:rFonts w:hint="eastAsia" w:ascii="宋体" w:hAnsi="宋体" w:eastAsia="宋体" w:cs="宋体"/>
          <w:color w:val="auto"/>
          <w:sz w:val="24"/>
          <w:highlight w:val="none"/>
          <w:u w:val="single"/>
        </w:rPr>
        <w:t xml:space="preserve">                </w:t>
      </w:r>
    </w:p>
    <w:p w14:paraId="7A0785A0">
      <w:pPr>
        <w:spacing w:line="440" w:lineRule="exact"/>
        <w:ind w:firstLine="480" w:firstLineChars="200"/>
        <w:contextualSpacing/>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开户银行：</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 xml:space="preserve">   银行账号：</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 xml:space="preserve"> </w:t>
      </w:r>
    </w:p>
    <w:p w14:paraId="69AA2399">
      <w:pPr>
        <w:spacing w:line="440" w:lineRule="exact"/>
        <w:ind w:firstLine="480" w:firstLineChars="200"/>
        <w:contextualSpacing/>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法定代表人或者委托代理人签字：___________ </w:t>
      </w:r>
    </w:p>
    <w:p w14:paraId="4ED914AB">
      <w:pPr>
        <w:pStyle w:val="24"/>
        <w:spacing w:line="440" w:lineRule="exact"/>
        <w:contextualSpacing/>
        <w:jc w:val="center"/>
        <w:rPr>
          <w:rFonts w:hint="eastAsia" w:hAnsi="宋体" w:eastAsia="宋体" w:cs="宋体"/>
          <w:color w:val="auto"/>
          <w:sz w:val="24"/>
          <w:szCs w:val="24"/>
          <w:highlight w:val="none"/>
          <w:u w:val="single"/>
        </w:rPr>
      </w:pPr>
      <w:r>
        <w:rPr>
          <w:rFonts w:hint="eastAsia" w:hAnsi="宋体" w:eastAsia="宋体" w:cs="宋体"/>
          <w:color w:val="auto"/>
          <w:sz w:val="24"/>
          <w:highlight w:val="none"/>
        </w:rPr>
        <w:t xml:space="preserve">                                    投标人（盖公章）：</w:t>
      </w:r>
    </w:p>
    <w:p w14:paraId="4A0FDB8D">
      <w:pPr>
        <w:pStyle w:val="24"/>
        <w:spacing w:line="440" w:lineRule="exact"/>
        <w:contextualSpacing/>
        <w:rPr>
          <w:rFonts w:hint="eastAsia" w:hAnsi="宋体" w:eastAsia="宋体" w:cs="宋体"/>
          <w:color w:val="auto"/>
          <w:sz w:val="24"/>
          <w:highlight w:val="none"/>
        </w:rPr>
      </w:pPr>
      <w:r>
        <w:rPr>
          <w:rFonts w:hint="eastAsia" w:hAnsi="宋体" w:eastAsia="宋体" w:cs="宋体"/>
          <w:color w:val="auto"/>
          <w:sz w:val="24"/>
          <w:szCs w:val="24"/>
          <w:highlight w:val="none"/>
        </w:rPr>
        <w:t xml:space="preserve">                                                </w:t>
      </w:r>
      <w:r>
        <w:rPr>
          <w:rFonts w:hint="eastAsia" w:hAnsi="宋体" w:eastAsia="宋体" w:cs="宋体"/>
          <w:color w:val="auto"/>
          <w:sz w:val="24"/>
          <w:szCs w:val="24"/>
          <w:highlight w:val="none"/>
          <w:u w:val="single"/>
        </w:rPr>
        <w:t xml:space="preserve">      </w:t>
      </w:r>
      <w:r>
        <w:rPr>
          <w:rFonts w:hint="eastAsia" w:hAnsi="宋体" w:eastAsia="宋体" w:cs="宋体"/>
          <w:color w:val="auto"/>
          <w:sz w:val="24"/>
          <w:szCs w:val="24"/>
          <w:highlight w:val="none"/>
        </w:rPr>
        <w:t>年</w:t>
      </w:r>
      <w:r>
        <w:rPr>
          <w:rFonts w:hint="eastAsia" w:hAnsi="宋体" w:eastAsia="宋体" w:cs="宋体"/>
          <w:color w:val="auto"/>
          <w:sz w:val="24"/>
          <w:szCs w:val="24"/>
          <w:highlight w:val="none"/>
          <w:u w:val="single"/>
        </w:rPr>
        <w:t xml:space="preserve">    </w:t>
      </w:r>
      <w:r>
        <w:rPr>
          <w:rFonts w:hint="eastAsia" w:hAnsi="宋体" w:eastAsia="宋体" w:cs="宋体"/>
          <w:color w:val="auto"/>
          <w:sz w:val="24"/>
          <w:szCs w:val="24"/>
          <w:highlight w:val="none"/>
        </w:rPr>
        <w:t>月</w:t>
      </w:r>
      <w:r>
        <w:rPr>
          <w:rFonts w:hint="eastAsia" w:hAnsi="宋体" w:eastAsia="宋体" w:cs="宋体"/>
          <w:color w:val="auto"/>
          <w:sz w:val="24"/>
          <w:szCs w:val="24"/>
          <w:highlight w:val="none"/>
          <w:u w:val="single"/>
        </w:rPr>
        <w:t xml:space="preserve">     </w:t>
      </w:r>
      <w:r>
        <w:rPr>
          <w:rFonts w:hint="eastAsia" w:hAnsi="宋体" w:eastAsia="宋体" w:cs="宋体"/>
          <w:color w:val="auto"/>
          <w:sz w:val="24"/>
          <w:szCs w:val="24"/>
          <w:highlight w:val="none"/>
        </w:rPr>
        <w:t>日</w:t>
      </w:r>
    </w:p>
    <w:p w14:paraId="037C98A7">
      <w:pPr>
        <w:snapToGrid w:val="0"/>
        <w:spacing w:before="159" w:beforeLines="50" w:after="50" w:line="440" w:lineRule="exact"/>
        <w:jc w:val="left"/>
        <w:rPr>
          <w:rFonts w:hint="eastAsia" w:ascii="宋体" w:hAnsi="宋体" w:eastAsia="宋体" w:cs="宋体"/>
          <w:b/>
          <w:color w:val="auto"/>
          <w:sz w:val="24"/>
          <w:szCs w:val="20"/>
          <w:highlight w:val="none"/>
        </w:rPr>
      </w:pPr>
      <w:r>
        <w:rPr>
          <w:rFonts w:hint="eastAsia" w:ascii="宋体" w:hAnsi="宋体" w:eastAsia="宋体" w:cs="宋体"/>
          <w:color w:val="auto"/>
          <w:highlight w:val="none"/>
          <w:u w:val="single"/>
        </w:rPr>
        <w:br w:type="page"/>
      </w:r>
      <w:r>
        <w:rPr>
          <w:rFonts w:hint="eastAsia" w:ascii="宋体" w:hAnsi="宋体" w:eastAsia="宋体" w:cs="宋体"/>
          <w:b/>
          <w:color w:val="auto"/>
          <w:sz w:val="24"/>
          <w:highlight w:val="none"/>
        </w:rPr>
        <w:t>4. 开标一览表（格式）</w:t>
      </w:r>
    </w:p>
    <w:p w14:paraId="52C74D36">
      <w:pPr>
        <w:snapToGrid w:val="0"/>
        <w:spacing w:before="50" w:after="50"/>
        <w:jc w:val="center"/>
        <w:rPr>
          <w:rFonts w:hint="eastAsia" w:ascii="宋体" w:hAnsi="宋体" w:eastAsia="宋体" w:cs="宋体"/>
          <w:b/>
          <w:color w:val="auto"/>
          <w:sz w:val="30"/>
          <w:highlight w:val="none"/>
        </w:rPr>
      </w:pPr>
      <w:r>
        <w:rPr>
          <w:rFonts w:hint="eastAsia" w:ascii="宋体" w:hAnsi="宋体" w:eastAsia="宋体" w:cs="宋体"/>
          <w:b/>
          <w:color w:val="auto"/>
          <w:sz w:val="30"/>
          <w:highlight w:val="none"/>
        </w:rPr>
        <w:t>开标一览表</w:t>
      </w:r>
    </w:p>
    <w:p w14:paraId="0E8C83FF">
      <w:pPr>
        <w:snapToGrid w:val="0"/>
        <w:spacing w:before="50" w:after="50"/>
        <w:jc w:val="center"/>
        <w:rPr>
          <w:rFonts w:hint="eastAsia" w:ascii="宋体" w:hAnsi="宋体" w:eastAsia="宋体" w:cs="宋体"/>
          <w:b/>
          <w:color w:val="auto"/>
          <w:sz w:val="30"/>
          <w:szCs w:val="20"/>
          <w:highlight w:val="none"/>
        </w:rPr>
      </w:pPr>
    </w:p>
    <w:p w14:paraId="5FF112C5">
      <w:pPr>
        <w:snapToGrid w:val="0"/>
        <w:spacing w:before="50" w:after="50"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项目名称：</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u w:val="single"/>
          <w:lang w:val="en-US" w:eastAsia="zh-CN"/>
        </w:rPr>
        <w:t xml:space="preserve">      </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u w:val="single"/>
          <w:lang w:val="en-US" w:eastAsia="zh-CN"/>
        </w:rPr>
        <w:t xml:space="preserve">      </w:t>
      </w:r>
      <w:r>
        <w:rPr>
          <w:rFonts w:hint="eastAsia" w:ascii="宋体" w:hAnsi="宋体" w:eastAsia="宋体" w:cs="宋体"/>
          <w:color w:val="auto"/>
          <w:sz w:val="24"/>
          <w:highlight w:val="none"/>
          <w:u w:val="single"/>
        </w:rPr>
        <w:t xml:space="preserve">    </w:t>
      </w:r>
    </w:p>
    <w:p w14:paraId="006F1112">
      <w:pPr>
        <w:snapToGrid w:val="0"/>
        <w:spacing w:before="50" w:after="50"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项目编号：</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u w:val="single"/>
          <w:lang w:val="en-US" w:eastAsia="zh-CN"/>
        </w:rPr>
        <w:t xml:space="preserve">       </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u w:val="single"/>
          <w:lang w:val="en-US" w:eastAsia="zh-CN"/>
        </w:rPr>
        <w:t xml:space="preserve">      </w:t>
      </w:r>
      <w:r>
        <w:rPr>
          <w:rFonts w:hint="eastAsia" w:ascii="宋体" w:hAnsi="宋体" w:eastAsia="宋体" w:cs="宋体"/>
          <w:color w:val="auto"/>
          <w:sz w:val="24"/>
          <w:highlight w:val="none"/>
          <w:u w:val="single"/>
        </w:rPr>
        <w:t xml:space="preserve">    </w:t>
      </w:r>
    </w:p>
    <w:p w14:paraId="4238AD0B">
      <w:pPr>
        <w:snapToGrid w:val="0"/>
        <w:spacing w:before="50" w:after="50" w:line="360" w:lineRule="auto"/>
        <w:rPr>
          <w:rFonts w:hint="eastAsia" w:ascii="宋体" w:hAnsi="宋体" w:eastAsia="宋体" w:cs="宋体"/>
          <w:color w:val="auto"/>
          <w:sz w:val="24"/>
          <w:highlight w:val="none"/>
          <w:u w:val="single"/>
          <w:lang w:val="en-US" w:eastAsia="zh-CN"/>
        </w:rPr>
      </w:pPr>
      <w:r>
        <w:rPr>
          <w:rFonts w:hint="eastAsia" w:ascii="宋体" w:hAnsi="宋体" w:eastAsia="宋体" w:cs="宋体"/>
          <w:color w:val="auto"/>
          <w:sz w:val="24"/>
          <w:highlight w:val="none"/>
        </w:rPr>
        <w:t>分</w:t>
      </w:r>
      <w:r>
        <w:rPr>
          <w:rFonts w:hint="eastAsia" w:ascii="宋体" w:hAnsi="宋体" w:eastAsia="宋体" w:cs="宋体"/>
          <w:color w:val="auto"/>
          <w:sz w:val="24"/>
          <w:highlight w:val="none"/>
          <w:lang w:val="en-US" w:eastAsia="zh-CN"/>
        </w:rPr>
        <w:t xml:space="preserve">    </w:t>
      </w:r>
      <w:r>
        <w:rPr>
          <w:rFonts w:hint="eastAsia" w:ascii="宋体" w:hAnsi="宋体" w:eastAsia="宋体" w:cs="宋体"/>
          <w:color w:val="auto"/>
          <w:sz w:val="24"/>
          <w:highlight w:val="none"/>
        </w:rPr>
        <w:t>标：</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u w:val="single"/>
          <w:lang w:val="en-US" w:eastAsia="zh-CN"/>
        </w:rPr>
        <w:t xml:space="preserve">      </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u w:val="single"/>
          <w:lang w:val="en-US" w:eastAsia="zh-CN"/>
        </w:rPr>
        <w:t xml:space="preserve">      </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u w:val="single"/>
          <w:lang w:val="en-US" w:eastAsia="zh-CN"/>
        </w:rPr>
        <w:t xml:space="preserve">    </w:t>
      </w:r>
    </w:p>
    <w:p w14:paraId="0D0E60C5">
      <w:pPr>
        <w:snapToGrid w:val="0"/>
        <w:spacing w:before="50" w:after="50"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投标人名称：</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u w:val="single"/>
          <w:lang w:val="en-US" w:eastAsia="zh-CN"/>
        </w:rPr>
        <w:t xml:space="preserve">      </w:t>
      </w:r>
      <w:r>
        <w:rPr>
          <w:rFonts w:hint="eastAsia" w:ascii="宋体" w:hAnsi="宋体" w:eastAsia="宋体" w:cs="宋体"/>
          <w:color w:val="auto"/>
          <w:sz w:val="24"/>
          <w:highlight w:val="none"/>
          <w:u w:val="single"/>
        </w:rPr>
        <w:t xml:space="preserve">    </w:t>
      </w:r>
    </w:p>
    <w:tbl>
      <w:tblPr>
        <w:tblStyle w:val="45"/>
        <w:tblW w:w="850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4"/>
        <w:gridCol w:w="2511"/>
        <w:gridCol w:w="1614"/>
        <w:gridCol w:w="1289"/>
        <w:gridCol w:w="1290"/>
        <w:gridCol w:w="1066"/>
      </w:tblGrid>
      <w:tr w14:paraId="597528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50" w:hRule="atLeast"/>
          <w:jc w:val="center"/>
        </w:trPr>
        <w:tc>
          <w:tcPr>
            <w:tcW w:w="734" w:type="dxa"/>
            <w:tcBorders>
              <w:top w:val="single" w:color="auto" w:sz="4" w:space="0"/>
              <w:left w:val="single" w:color="auto" w:sz="4" w:space="0"/>
              <w:bottom w:val="single" w:color="auto" w:sz="4" w:space="0"/>
              <w:right w:val="single" w:color="auto" w:sz="4" w:space="0"/>
            </w:tcBorders>
            <w:noWrap w:val="0"/>
            <w:vAlign w:val="center"/>
          </w:tcPr>
          <w:p w14:paraId="61D2F966">
            <w:pPr>
              <w:spacing w:line="360" w:lineRule="exact"/>
              <w:jc w:val="center"/>
              <w:rPr>
                <w:rFonts w:hint="eastAsia" w:ascii="宋体" w:hAnsi="宋体" w:eastAsia="宋体" w:cs="宋体"/>
                <w:b/>
                <w:bCs/>
                <w:color w:val="auto"/>
                <w:sz w:val="24"/>
                <w:highlight w:val="none"/>
              </w:rPr>
            </w:pPr>
            <w:r>
              <w:rPr>
                <w:rFonts w:hint="eastAsia" w:ascii="宋体" w:hAnsi="宋体" w:eastAsia="宋体" w:cs="宋体"/>
                <w:b/>
                <w:bCs/>
                <w:color w:val="auto"/>
                <w:szCs w:val="21"/>
                <w:highlight w:val="none"/>
              </w:rPr>
              <w:t>标项</w:t>
            </w:r>
          </w:p>
        </w:tc>
        <w:tc>
          <w:tcPr>
            <w:tcW w:w="2511" w:type="dxa"/>
            <w:tcBorders>
              <w:top w:val="single" w:color="auto" w:sz="4" w:space="0"/>
              <w:left w:val="single" w:color="auto" w:sz="4" w:space="0"/>
              <w:bottom w:val="single" w:color="auto" w:sz="4" w:space="0"/>
              <w:right w:val="single" w:color="auto" w:sz="4" w:space="0"/>
            </w:tcBorders>
            <w:noWrap w:val="0"/>
            <w:vAlign w:val="center"/>
          </w:tcPr>
          <w:p w14:paraId="5BB2BC45">
            <w:pPr>
              <w:spacing w:line="360" w:lineRule="exact"/>
              <w:jc w:val="center"/>
              <w:rPr>
                <w:rFonts w:hint="eastAsia" w:ascii="宋体" w:hAnsi="宋体" w:eastAsia="宋体" w:cs="宋体"/>
                <w:b/>
                <w:bCs/>
                <w:color w:val="auto"/>
                <w:sz w:val="24"/>
                <w:highlight w:val="none"/>
              </w:rPr>
            </w:pPr>
            <w:r>
              <w:rPr>
                <w:rFonts w:hint="eastAsia" w:ascii="宋体" w:hAnsi="宋体" w:eastAsia="宋体" w:cs="宋体"/>
                <w:b/>
                <w:bCs/>
                <w:color w:val="auto"/>
                <w:szCs w:val="21"/>
                <w:highlight w:val="none"/>
              </w:rPr>
              <w:t>标的名称</w:t>
            </w:r>
          </w:p>
        </w:tc>
        <w:tc>
          <w:tcPr>
            <w:tcW w:w="1614" w:type="dxa"/>
            <w:tcBorders>
              <w:top w:val="single" w:color="auto" w:sz="4" w:space="0"/>
              <w:left w:val="single" w:color="auto" w:sz="4" w:space="0"/>
              <w:bottom w:val="single" w:color="auto" w:sz="4" w:space="0"/>
              <w:right w:val="single" w:color="auto" w:sz="4" w:space="0"/>
            </w:tcBorders>
            <w:noWrap w:val="0"/>
            <w:vAlign w:val="center"/>
          </w:tcPr>
          <w:p w14:paraId="14CA2344">
            <w:pPr>
              <w:spacing w:line="360" w:lineRule="exact"/>
              <w:jc w:val="center"/>
              <w:rPr>
                <w:rFonts w:hint="eastAsia" w:ascii="宋体" w:hAnsi="宋体" w:eastAsia="宋体" w:cs="宋体"/>
                <w:b/>
                <w:bCs/>
                <w:color w:val="auto"/>
                <w:szCs w:val="21"/>
                <w:highlight w:val="none"/>
                <w:lang w:eastAsia="zh-CN"/>
              </w:rPr>
            </w:pPr>
            <w:r>
              <w:rPr>
                <w:rFonts w:hint="eastAsia" w:ascii="宋体" w:hAnsi="宋体" w:eastAsia="宋体" w:cs="宋体"/>
                <w:b/>
                <w:bCs/>
                <w:color w:val="auto"/>
                <w:szCs w:val="21"/>
                <w:highlight w:val="none"/>
              </w:rPr>
              <w:t>数量</w:t>
            </w:r>
            <w:r>
              <w:rPr>
                <w:rFonts w:hint="eastAsia" w:ascii="宋体" w:hAnsi="宋体" w:eastAsia="宋体" w:cs="宋体"/>
                <w:b/>
                <w:bCs/>
                <w:color w:val="auto"/>
                <w:szCs w:val="21"/>
                <w:highlight w:val="none"/>
                <w:lang w:eastAsia="zh-CN"/>
              </w:rPr>
              <w:t>及单位</w:t>
            </w:r>
          </w:p>
        </w:tc>
        <w:tc>
          <w:tcPr>
            <w:tcW w:w="1289" w:type="dxa"/>
            <w:tcBorders>
              <w:top w:val="single" w:color="auto" w:sz="4" w:space="0"/>
              <w:left w:val="single" w:color="auto" w:sz="4" w:space="0"/>
              <w:bottom w:val="single" w:color="auto" w:sz="4" w:space="0"/>
              <w:right w:val="single" w:color="auto" w:sz="4" w:space="0"/>
            </w:tcBorders>
            <w:noWrap w:val="0"/>
            <w:vAlign w:val="center"/>
          </w:tcPr>
          <w:p w14:paraId="4BAE53B1">
            <w:pPr>
              <w:spacing w:line="360" w:lineRule="exact"/>
              <w:jc w:val="center"/>
              <w:rPr>
                <w:rFonts w:hint="eastAsia" w:ascii="宋体" w:hAnsi="宋体" w:eastAsia="宋体" w:cs="宋体"/>
                <w:b/>
                <w:bCs/>
                <w:color w:val="auto"/>
                <w:szCs w:val="21"/>
                <w:highlight w:val="none"/>
                <w:lang w:eastAsia="zh-CN"/>
              </w:rPr>
            </w:pPr>
            <w:r>
              <w:rPr>
                <w:rFonts w:hint="eastAsia" w:ascii="宋体" w:hAnsi="宋体" w:eastAsia="宋体" w:cs="宋体"/>
                <w:b/>
                <w:bCs/>
                <w:color w:val="auto"/>
                <w:szCs w:val="21"/>
                <w:highlight w:val="none"/>
                <w:lang w:eastAsia="zh-CN"/>
              </w:rPr>
              <w:t>单价（元）</w:t>
            </w:r>
          </w:p>
        </w:tc>
        <w:tc>
          <w:tcPr>
            <w:tcW w:w="1290" w:type="dxa"/>
            <w:tcBorders>
              <w:top w:val="single" w:color="auto" w:sz="4" w:space="0"/>
              <w:left w:val="single" w:color="auto" w:sz="4" w:space="0"/>
              <w:bottom w:val="single" w:color="auto" w:sz="4" w:space="0"/>
              <w:right w:val="single" w:color="auto" w:sz="4" w:space="0"/>
            </w:tcBorders>
            <w:noWrap w:val="0"/>
            <w:vAlign w:val="center"/>
          </w:tcPr>
          <w:p w14:paraId="1E547484">
            <w:pPr>
              <w:spacing w:line="360" w:lineRule="exact"/>
              <w:jc w:val="center"/>
              <w:rPr>
                <w:rFonts w:hint="eastAsia" w:ascii="宋体" w:hAnsi="宋体" w:eastAsia="宋体" w:cs="宋体"/>
                <w:b/>
                <w:bCs/>
                <w:color w:val="auto"/>
                <w:szCs w:val="21"/>
                <w:highlight w:val="none"/>
                <w:lang w:eastAsia="zh-CN"/>
              </w:rPr>
            </w:pPr>
            <w:r>
              <w:rPr>
                <w:rFonts w:hint="eastAsia" w:ascii="宋体" w:hAnsi="宋体" w:eastAsia="宋体" w:cs="宋体"/>
                <w:b/>
                <w:bCs/>
                <w:color w:val="auto"/>
                <w:szCs w:val="21"/>
                <w:highlight w:val="none"/>
                <w:lang w:eastAsia="zh-CN"/>
              </w:rPr>
              <w:t>合价（元）</w:t>
            </w:r>
          </w:p>
        </w:tc>
        <w:tc>
          <w:tcPr>
            <w:tcW w:w="1066" w:type="dxa"/>
            <w:tcBorders>
              <w:top w:val="single" w:color="auto" w:sz="4" w:space="0"/>
              <w:left w:val="single" w:color="auto" w:sz="4" w:space="0"/>
              <w:bottom w:val="single" w:color="auto" w:sz="4" w:space="0"/>
              <w:right w:val="single" w:color="auto" w:sz="4" w:space="0"/>
            </w:tcBorders>
            <w:noWrap w:val="0"/>
            <w:vAlign w:val="center"/>
          </w:tcPr>
          <w:p w14:paraId="1BD6CA81">
            <w:pPr>
              <w:spacing w:line="360" w:lineRule="exact"/>
              <w:jc w:val="center"/>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备注</w:t>
            </w:r>
          </w:p>
        </w:tc>
      </w:tr>
      <w:tr w14:paraId="3C41DA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78" w:hRule="atLeast"/>
          <w:jc w:val="center"/>
        </w:trPr>
        <w:tc>
          <w:tcPr>
            <w:tcW w:w="734" w:type="dxa"/>
            <w:tcBorders>
              <w:top w:val="single" w:color="auto" w:sz="4" w:space="0"/>
              <w:left w:val="single" w:color="auto" w:sz="4" w:space="0"/>
              <w:bottom w:val="single" w:color="auto" w:sz="4" w:space="0"/>
              <w:right w:val="single" w:color="auto" w:sz="4" w:space="0"/>
            </w:tcBorders>
            <w:noWrap w:val="0"/>
            <w:vAlign w:val="center"/>
          </w:tcPr>
          <w:p w14:paraId="1BB3FFA2">
            <w:pPr>
              <w:spacing w:line="360" w:lineRule="auto"/>
              <w:jc w:val="center"/>
              <w:rPr>
                <w:rFonts w:hint="eastAsia" w:ascii="宋体" w:hAnsi="宋体" w:eastAsia="宋体" w:cs="宋体"/>
                <w:color w:val="auto"/>
                <w:sz w:val="24"/>
                <w:highlight w:val="none"/>
              </w:rPr>
            </w:pPr>
          </w:p>
        </w:tc>
        <w:tc>
          <w:tcPr>
            <w:tcW w:w="2511" w:type="dxa"/>
            <w:tcBorders>
              <w:top w:val="single" w:color="auto" w:sz="4" w:space="0"/>
              <w:left w:val="single" w:color="auto" w:sz="4" w:space="0"/>
              <w:bottom w:val="single" w:color="auto" w:sz="4" w:space="0"/>
              <w:right w:val="single" w:color="auto" w:sz="4" w:space="0"/>
            </w:tcBorders>
            <w:noWrap w:val="0"/>
            <w:vAlign w:val="center"/>
          </w:tcPr>
          <w:p w14:paraId="14ED5C1F">
            <w:pPr>
              <w:jc w:val="center"/>
              <w:rPr>
                <w:rFonts w:hint="eastAsia" w:ascii="宋体" w:hAnsi="宋体" w:eastAsia="宋体" w:cs="宋体"/>
                <w:color w:val="auto"/>
                <w:sz w:val="24"/>
                <w:highlight w:val="none"/>
              </w:rPr>
            </w:pPr>
          </w:p>
        </w:tc>
        <w:tc>
          <w:tcPr>
            <w:tcW w:w="1614" w:type="dxa"/>
            <w:tcBorders>
              <w:top w:val="single" w:color="auto" w:sz="4" w:space="0"/>
              <w:left w:val="single" w:color="auto" w:sz="4" w:space="0"/>
              <w:bottom w:val="single" w:color="auto" w:sz="4" w:space="0"/>
              <w:right w:val="single" w:color="auto" w:sz="4" w:space="0"/>
            </w:tcBorders>
            <w:noWrap w:val="0"/>
            <w:vAlign w:val="center"/>
          </w:tcPr>
          <w:p w14:paraId="49C8781E">
            <w:pPr>
              <w:spacing w:line="360" w:lineRule="auto"/>
              <w:jc w:val="center"/>
              <w:rPr>
                <w:rFonts w:hint="eastAsia" w:ascii="宋体" w:hAnsi="宋体" w:eastAsia="宋体" w:cs="宋体"/>
                <w:color w:val="auto"/>
                <w:sz w:val="24"/>
                <w:highlight w:val="none"/>
              </w:rPr>
            </w:pPr>
          </w:p>
        </w:tc>
        <w:tc>
          <w:tcPr>
            <w:tcW w:w="1289" w:type="dxa"/>
            <w:tcBorders>
              <w:top w:val="single" w:color="auto" w:sz="4" w:space="0"/>
              <w:left w:val="single" w:color="auto" w:sz="4" w:space="0"/>
              <w:bottom w:val="single" w:color="auto" w:sz="4" w:space="0"/>
              <w:right w:val="single" w:color="auto" w:sz="4" w:space="0"/>
            </w:tcBorders>
            <w:noWrap w:val="0"/>
            <w:vAlign w:val="center"/>
          </w:tcPr>
          <w:p w14:paraId="587EBED1">
            <w:pPr>
              <w:spacing w:line="360" w:lineRule="auto"/>
              <w:jc w:val="center"/>
              <w:rPr>
                <w:rFonts w:hint="eastAsia" w:ascii="宋体" w:hAnsi="宋体" w:eastAsia="宋体" w:cs="宋体"/>
                <w:color w:val="auto"/>
                <w:sz w:val="24"/>
                <w:highlight w:val="none"/>
              </w:rPr>
            </w:pPr>
          </w:p>
        </w:tc>
        <w:tc>
          <w:tcPr>
            <w:tcW w:w="1290" w:type="dxa"/>
            <w:tcBorders>
              <w:top w:val="single" w:color="auto" w:sz="4" w:space="0"/>
              <w:left w:val="single" w:color="auto" w:sz="4" w:space="0"/>
              <w:bottom w:val="single" w:color="auto" w:sz="4" w:space="0"/>
              <w:right w:val="single" w:color="auto" w:sz="4" w:space="0"/>
            </w:tcBorders>
            <w:noWrap w:val="0"/>
            <w:vAlign w:val="center"/>
          </w:tcPr>
          <w:p w14:paraId="386F5F50">
            <w:pPr>
              <w:spacing w:line="360" w:lineRule="auto"/>
              <w:jc w:val="center"/>
              <w:rPr>
                <w:rFonts w:hint="eastAsia" w:ascii="宋体" w:hAnsi="宋体" w:eastAsia="宋体" w:cs="宋体"/>
                <w:color w:val="auto"/>
                <w:sz w:val="24"/>
                <w:highlight w:val="none"/>
              </w:rPr>
            </w:pPr>
          </w:p>
        </w:tc>
        <w:tc>
          <w:tcPr>
            <w:tcW w:w="1066" w:type="dxa"/>
            <w:tcBorders>
              <w:top w:val="single" w:color="auto" w:sz="4" w:space="0"/>
              <w:left w:val="single" w:color="auto" w:sz="4" w:space="0"/>
              <w:bottom w:val="single" w:color="auto" w:sz="4" w:space="0"/>
              <w:right w:val="single" w:color="auto" w:sz="4" w:space="0"/>
            </w:tcBorders>
            <w:noWrap w:val="0"/>
            <w:vAlign w:val="center"/>
          </w:tcPr>
          <w:p w14:paraId="50C29A25">
            <w:pPr>
              <w:spacing w:line="360" w:lineRule="auto"/>
              <w:rPr>
                <w:rFonts w:hint="eastAsia" w:ascii="宋体" w:hAnsi="宋体" w:eastAsia="宋体" w:cs="宋体"/>
                <w:color w:val="auto"/>
                <w:sz w:val="24"/>
                <w:highlight w:val="none"/>
              </w:rPr>
            </w:pPr>
          </w:p>
        </w:tc>
      </w:tr>
      <w:tr w14:paraId="6FD0A2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59" w:hRule="atLeast"/>
          <w:jc w:val="center"/>
        </w:trPr>
        <w:tc>
          <w:tcPr>
            <w:tcW w:w="8504" w:type="dxa"/>
            <w:gridSpan w:val="6"/>
            <w:tcBorders>
              <w:top w:val="single" w:color="auto" w:sz="4" w:space="0"/>
              <w:left w:val="single" w:color="auto" w:sz="4" w:space="0"/>
              <w:bottom w:val="single" w:color="auto" w:sz="4" w:space="0"/>
              <w:right w:val="single" w:color="auto" w:sz="4" w:space="0"/>
            </w:tcBorders>
            <w:noWrap w:val="0"/>
            <w:vAlign w:val="center"/>
          </w:tcPr>
          <w:p w14:paraId="4984E610">
            <w:pPr>
              <w:spacing w:line="360" w:lineRule="auto"/>
              <w:rPr>
                <w:rFonts w:hint="eastAsia" w:ascii="宋体" w:hAnsi="宋体" w:eastAsia="宋体" w:cs="宋体"/>
                <w:color w:val="auto"/>
                <w:sz w:val="24"/>
                <w:highlight w:val="none"/>
                <w:lang w:val="en-US" w:eastAsia="zh-CN"/>
              </w:rPr>
            </w:pPr>
            <w:r>
              <w:rPr>
                <w:rFonts w:hint="eastAsia" w:ascii="宋体" w:hAnsi="宋体" w:eastAsia="宋体" w:cs="宋体"/>
                <w:color w:val="auto"/>
                <w:sz w:val="24"/>
                <w:highlight w:val="none"/>
                <w:lang w:eastAsia="zh-CN"/>
              </w:rPr>
              <w:t>投标总价：大写</w:t>
            </w:r>
            <w:r>
              <w:rPr>
                <w:rFonts w:hint="eastAsia" w:ascii="宋体" w:hAnsi="宋体" w:eastAsia="宋体" w:cs="宋体"/>
                <w:color w:val="auto"/>
                <w:sz w:val="24"/>
                <w:highlight w:val="none"/>
                <w:lang w:val="en-US" w:eastAsia="zh-CN"/>
              </w:rPr>
              <w:t xml:space="preserve">                 （¥             ）</w:t>
            </w:r>
          </w:p>
        </w:tc>
      </w:tr>
      <w:tr w14:paraId="0902FB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50" w:hRule="atLeast"/>
          <w:jc w:val="center"/>
        </w:trPr>
        <w:tc>
          <w:tcPr>
            <w:tcW w:w="8504" w:type="dxa"/>
            <w:gridSpan w:val="6"/>
            <w:tcBorders>
              <w:top w:val="single" w:color="auto" w:sz="4" w:space="0"/>
              <w:left w:val="single" w:color="auto" w:sz="4" w:space="0"/>
              <w:bottom w:val="single" w:color="auto" w:sz="4" w:space="0"/>
              <w:right w:val="single" w:color="auto" w:sz="4" w:space="0"/>
            </w:tcBorders>
            <w:noWrap w:val="0"/>
            <w:vAlign w:val="center"/>
          </w:tcPr>
          <w:p w14:paraId="70B053D1">
            <w:pPr>
              <w:spacing w:line="360" w:lineRule="auto"/>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合同履行期限：</w:t>
            </w:r>
          </w:p>
        </w:tc>
      </w:tr>
      <w:tr w14:paraId="486317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50" w:hRule="atLeast"/>
          <w:jc w:val="center"/>
        </w:trPr>
        <w:tc>
          <w:tcPr>
            <w:tcW w:w="8504" w:type="dxa"/>
            <w:gridSpan w:val="6"/>
            <w:tcBorders>
              <w:top w:val="single" w:color="auto" w:sz="4" w:space="0"/>
              <w:left w:val="single" w:color="auto" w:sz="4" w:space="0"/>
              <w:bottom w:val="single" w:color="auto" w:sz="4" w:space="0"/>
              <w:right w:val="single" w:color="auto" w:sz="4" w:space="0"/>
            </w:tcBorders>
            <w:noWrap w:val="0"/>
            <w:vAlign w:val="center"/>
          </w:tcPr>
          <w:p w14:paraId="6F4AE066">
            <w:pPr>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说明：</w:t>
            </w:r>
          </w:p>
          <w:p w14:paraId="4F70968F">
            <w:pPr>
              <w:numPr>
                <w:ilvl w:val="0"/>
                <w:numId w:val="5"/>
              </w:numPr>
              <w:spacing w:line="360" w:lineRule="auto"/>
              <w:rPr>
                <w:rFonts w:hint="eastAsia"/>
                <w:color w:val="auto"/>
                <w:highlight w:val="none"/>
              </w:rPr>
            </w:pPr>
            <w:r>
              <w:rPr>
                <w:rFonts w:hint="eastAsia" w:ascii="宋体" w:hAnsi="宋体" w:eastAsia="宋体" w:cs="宋体"/>
                <w:color w:val="auto"/>
                <w:szCs w:val="21"/>
                <w:highlight w:val="none"/>
              </w:rPr>
              <w:t>投标报价由投标人在各分标的单价限价内进行单项报价，每个分标仅允许报一个投标单价报价，投标人应自行考虑合同期内的各项风险因素，合同期内中标单价不予调整。</w:t>
            </w:r>
          </w:p>
        </w:tc>
      </w:tr>
    </w:tbl>
    <w:p w14:paraId="22A7A9A7">
      <w:pPr>
        <w:snapToGrid w:val="0"/>
        <w:spacing w:before="50" w:after="50" w:line="360" w:lineRule="auto"/>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注： </w:t>
      </w:r>
    </w:p>
    <w:p w14:paraId="11E3FAA1">
      <w:pPr>
        <w:snapToGrid w:val="0"/>
        <w:spacing w:before="50" w:after="50" w:line="360" w:lineRule="auto"/>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1.投标人的开标一览表必须加盖投标人公章并由法定代表人或者委托代理人签字，</w:t>
      </w:r>
      <w:r>
        <w:rPr>
          <w:rFonts w:hint="eastAsia" w:ascii="宋体" w:hAnsi="宋体" w:eastAsia="宋体" w:cs="宋体"/>
          <w:b/>
          <w:color w:val="auto"/>
          <w:sz w:val="24"/>
          <w:highlight w:val="none"/>
        </w:rPr>
        <w:t>否则其投标作无效标处理</w:t>
      </w:r>
      <w:r>
        <w:rPr>
          <w:rFonts w:hint="eastAsia" w:ascii="宋体" w:hAnsi="宋体" w:eastAsia="宋体" w:cs="宋体"/>
          <w:color w:val="auto"/>
          <w:sz w:val="24"/>
          <w:highlight w:val="none"/>
        </w:rPr>
        <w:t>。</w:t>
      </w:r>
    </w:p>
    <w:p w14:paraId="756C5AA2">
      <w:pPr>
        <w:snapToGrid w:val="0"/>
        <w:spacing w:before="50" w:after="50" w:line="360" w:lineRule="auto"/>
        <w:ind w:firstLine="480" w:firstLineChars="200"/>
        <w:jc w:val="left"/>
        <w:rPr>
          <w:rFonts w:hint="eastAsia" w:ascii="宋体" w:hAnsi="宋体" w:eastAsia="宋体" w:cs="宋体"/>
          <w:b/>
          <w:color w:val="auto"/>
          <w:sz w:val="24"/>
          <w:highlight w:val="none"/>
        </w:rPr>
      </w:pPr>
      <w:r>
        <w:rPr>
          <w:rFonts w:hint="eastAsia" w:ascii="宋体" w:hAnsi="宋体" w:eastAsia="宋体" w:cs="宋体"/>
          <w:bCs/>
          <w:color w:val="auto"/>
          <w:sz w:val="24"/>
          <w:highlight w:val="none"/>
        </w:rPr>
        <w:t>2.</w:t>
      </w:r>
      <w:r>
        <w:rPr>
          <w:rFonts w:hint="eastAsia" w:ascii="宋体" w:hAnsi="宋体" w:eastAsia="宋体" w:cs="宋体"/>
          <w:color w:val="auto"/>
          <w:sz w:val="24"/>
          <w:highlight w:val="none"/>
        </w:rPr>
        <w:t>报价一经涂改，应在涂改处加盖投标人公章或者由法定代表人或者委托代理人签字或者盖章</w:t>
      </w:r>
      <w:r>
        <w:rPr>
          <w:rFonts w:hint="eastAsia" w:ascii="宋体" w:hAnsi="宋体" w:eastAsia="宋体" w:cs="宋体"/>
          <w:b/>
          <w:color w:val="auto"/>
          <w:sz w:val="24"/>
          <w:highlight w:val="none"/>
        </w:rPr>
        <w:t>，否则其投标作无效标处理。</w:t>
      </w:r>
    </w:p>
    <w:p w14:paraId="2DC2145B">
      <w:pPr>
        <w:snapToGrid w:val="0"/>
        <w:spacing w:before="50" w:after="50" w:line="360" w:lineRule="auto"/>
        <w:ind w:firstLine="480" w:firstLineChars="200"/>
        <w:rPr>
          <w:rFonts w:hint="eastAsia" w:ascii="宋体" w:hAnsi="宋体" w:eastAsia="宋体" w:cs="宋体"/>
          <w:b/>
          <w:color w:val="auto"/>
          <w:sz w:val="24"/>
          <w:highlight w:val="none"/>
        </w:rPr>
      </w:pPr>
      <w:r>
        <w:rPr>
          <w:rFonts w:hint="eastAsia" w:ascii="宋体" w:hAnsi="宋体" w:eastAsia="宋体" w:cs="宋体"/>
          <w:color w:val="auto"/>
          <w:sz w:val="24"/>
          <w:highlight w:val="none"/>
          <w:lang w:val="en-US" w:eastAsia="zh-CN"/>
        </w:rPr>
        <w:t>3</w:t>
      </w:r>
      <w:r>
        <w:rPr>
          <w:rFonts w:hint="eastAsia" w:ascii="宋体" w:hAnsi="宋体" w:eastAsia="宋体" w:cs="宋体"/>
          <w:color w:val="auto"/>
          <w:sz w:val="24"/>
          <w:highlight w:val="none"/>
        </w:rPr>
        <w:t>.如有多分标，按分标分别提供开标一览表，</w:t>
      </w:r>
      <w:r>
        <w:rPr>
          <w:rFonts w:hint="eastAsia" w:ascii="宋体" w:hAnsi="宋体" w:eastAsia="宋体" w:cs="宋体"/>
          <w:b/>
          <w:color w:val="auto"/>
          <w:sz w:val="24"/>
          <w:highlight w:val="none"/>
        </w:rPr>
        <w:t>否则投标无效</w:t>
      </w:r>
    </w:p>
    <w:p w14:paraId="57C11E6D">
      <w:pPr>
        <w:snapToGrid w:val="0"/>
        <w:spacing w:before="50" w:after="50" w:line="360" w:lineRule="auto"/>
        <w:ind w:firstLine="482" w:firstLineChars="200"/>
        <w:rPr>
          <w:rFonts w:hint="eastAsia" w:ascii="宋体" w:hAnsi="宋体" w:eastAsia="宋体" w:cs="宋体"/>
          <w:b/>
          <w:color w:val="auto"/>
          <w:sz w:val="24"/>
          <w:highlight w:val="none"/>
        </w:rPr>
      </w:pPr>
    </w:p>
    <w:p w14:paraId="2E9A053C">
      <w:pPr>
        <w:snapToGrid w:val="0"/>
        <w:spacing w:before="50" w:after="50" w:line="360" w:lineRule="auto"/>
        <w:ind w:left="-2" w:leftChars="-1" w:right="-817" w:rightChars="-389"/>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法定代表人或者委托代理人（签字）：                    </w:t>
      </w:r>
    </w:p>
    <w:p w14:paraId="413432CD">
      <w:pPr>
        <w:snapToGrid w:val="0"/>
        <w:spacing w:before="50" w:after="50" w:line="360" w:lineRule="auto"/>
        <w:ind w:left="-3" w:leftChars="-15" w:right="-817" w:rightChars="-389" w:hanging="28" w:hangingChars="12"/>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投标人（盖公章）：                                 </w:t>
      </w:r>
    </w:p>
    <w:p w14:paraId="28FFC497">
      <w:pPr>
        <w:snapToGrid w:val="0"/>
        <w:spacing w:before="50" w:after="50" w:line="360" w:lineRule="auto"/>
        <w:ind w:left="-3" w:leftChars="-15" w:right="-817" w:rightChars="-389" w:hanging="28" w:hangingChars="12"/>
        <w:rPr>
          <w:rFonts w:hint="eastAsia" w:ascii="宋体" w:hAnsi="宋体" w:eastAsia="宋体" w:cs="宋体"/>
          <w:color w:val="auto"/>
          <w:szCs w:val="21"/>
          <w:highlight w:val="none"/>
        </w:rPr>
      </w:pPr>
      <w:r>
        <w:rPr>
          <w:rFonts w:hint="eastAsia" w:ascii="宋体" w:hAnsi="宋体" w:eastAsia="宋体" w:cs="宋体"/>
          <w:color w:val="auto"/>
          <w:sz w:val="24"/>
          <w:highlight w:val="none"/>
        </w:rPr>
        <w:t>日期：    年   月   日</w:t>
      </w:r>
    </w:p>
    <w:p w14:paraId="4B8DE71A">
      <w:pPr>
        <w:rPr>
          <w:rFonts w:hint="eastAsia" w:ascii="宋体" w:hAnsi="宋体" w:eastAsia="宋体" w:cs="宋体"/>
          <w:b/>
          <w:color w:val="auto"/>
          <w:sz w:val="28"/>
          <w:szCs w:val="28"/>
          <w:highlight w:val="none"/>
        </w:rPr>
      </w:pPr>
      <w:r>
        <w:rPr>
          <w:rFonts w:hint="eastAsia" w:ascii="宋体" w:hAnsi="宋体" w:eastAsia="宋体" w:cs="宋体"/>
          <w:b/>
          <w:bCs/>
          <w:color w:val="auto"/>
          <w:sz w:val="24"/>
          <w:highlight w:val="none"/>
        </w:rPr>
        <w:br w:type="page"/>
      </w:r>
      <w:bookmarkStart w:id="159" w:name="_Toc19686837"/>
      <w:r>
        <w:rPr>
          <w:rFonts w:hint="eastAsia" w:ascii="宋体" w:hAnsi="宋体" w:eastAsia="宋体" w:cs="宋体"/>
          <w:b/>
          <w:color w:val="auto"/>
          <w:sz w:val="28"/>
          <w:szCs w:val="28"/>
          <w:highlight w:val="none"/>
        </w:rPr>
        <w:t>二、资格证明文件格式</w:t>
      </w:r>
      <w:bookmarkEnd w:id="159"/>
    </w:p>
    <w:p w14:paraId="1A084808">
      <w:pPr>
        <w:numPr>
          <w:ilvl w:val="2"/>
          <w:numId w:val="6"/>
        </w:numPr>
        <w:snapToGrid w:val="0"/>
        <w:spacing w:before="159" w:beforeLines="50" w:after="50" w:line="360" w:lineRule="auto"/>
        <w:ind w:left="0" w:firstLine="0"/>
        <w:jc w:val="left"/>
        <w:rPr>
          <w:rFonts w:hint="eastAsia" w:ascii="宋体" w:hAnsi="宋体" w:eastAsia="宋体" w:cs="宋体"/>
          <w:b/>
          <w:color w:val="auto"/>
          <w:sz w:val="24"/>
          <w:highlight w:val="none"/>
        </w:rPr>
      </w:pPr>
      <w:r>
        <w:rPr>
          <w:rFonts w:hint="eastAsia" w:ascii="宋体" w:hAnsi="宋体" w:eastAsia="宋体" w:cs="宋体"/>
          <w:b/>
          <w:color w:val="auto"/>
          <w:sz w:val="24"/>
          <w:highlight w:val="none"/>
        </w:rPr>
        <w:t xml:space="preserve">资格证明文件封面格式： </w:t>
      </w:r>
    </w:p>
    <w:p w14:paraId="0C980679">
      <w:pPr>
        <w:snapToGrid w:val="0"/>
        <w:spacing w:before="159" w:beforeLines="50" w:after="50"/>
        <w:rPr>
          <w:rFonts w:hint="eastAsia" w:ascii="宋体" w:hAnsi="宋体" w:eastAsia="宋体" w:cs="宋体"/>
          <w:bCs/>
          <w:color w:val="auto"/>
          <w:sz w:val="32"/>
          <w:szCs w:val="20"/>
          <w:highlight w:val="none"/>
        </w:rPr>
      </w:pPr>
      <w:r>
        <w:rPr>
          <w:rFonts w:hint="eastAsia" w:ascii="宋体" w:hAnsi="宋体" w:eastAsia="宋体" w:cs="宋体"/>
          <w:color w:val="auto"/>
          <w:sz w:val="24"/>
          <w:highlight w:val="none"/>
        </w:rPr>
        <w:t xml:space="preserve">                                                   </w:t>
      </w:r>
    </w:p>
    <w:p w14:paraId="5AD1069B">
      <w:pPr>
        <w:snapToGrid w:val="0"/>
        <w:spacing w:before="159" w:beforeLines="50" w:after="50"/>
        <w:rPr>
          <w:rFonts w:hint="eastAsia" w:ascii="宋体" w:hAnsi="宋体" w:eastAsia="宋体" w:cs="宋体"/>
          <w:color w:val="auto"/>
          <w:sz w:val="24"/>
          <w:szCs w:val="20"/>
          <w:highlight w:val="none"/>
        </w:rPr>
      </w:pPr>
    </w:p>
    <w:p w14:paraId="38C96A61">
      <w:pPr>
        <w:snapToGrid w:val="0"/>
        <w:spacing w:before="159" w:beforeLines="50" w:after="50"/>
        <w:rPr>
          <w:rFonts w:hint="eastAsia" w:ascii="宋体" w:hAnsi="宋体" w:eastAsia="宋体" w:cs="宋体"/>
          <w:color w:val="auto"/>
          <w:sz w:val="24"/>
          <w:szCs w:val="20"/>
          <w:highlight w:val="none"/>
        </w:rPr>
      </w:pPr>
    </w:p>
    <w:p w14:paraId="7FABEF23">
      <w:pPr>
        <w:snapToGrid w:val="0"/>
        <w:spacing w:before="159" w:beforeLines="50" w:after="50"/>
        <w:jc w:val="center"/>
        <w:rPr>
          <w:rFonts w:hint="eastAsia" w:ascii="宋体" w:hAnsi="宋体" w:eastAsia="宋体" w:cs="宋体"/>
          <w:color w:val="auto"/>
          <w:sz w:val="84"/>
          <w:szCs w:val="84"/>
          <w:highlight w:val="none"/>
        </w:rPr>
      </w:pPr>
      <w:r>
        <w:rPr>
          <w:rFonts w:hint="eastAsia" w:ascii="宋体" w:hAnsi="宋体" w:eastAsia="宋体" w:cs="宋体"/>
          <w:color w:val="auto"/>
          <w:sz w:val="84"/>
          <w:szCs w:val="84"/>
          <w:highlight w:val="none"/>
        </w:rPr>
        <w:t>投  标  文  件</w:t>
      </w:r>
    </w:p>
    <w:p w14:paraId="2F4F8582">
      <w:pPr>
        <w:snapToGrid w:val="0"/>
        <w:spacing w:before="159" w:beforeLines="50" w:after="50"/>
        <w:rPr>
          <w:rFonts w:hint="eastAsia" w:ascii="宋体" w:hAnsi="宋体" w:eastAsia="宋体" w:cs="宋体"/>
          <w:color w:val="auto"/>
          <w:sz w:val="24"/>
          <w:szCs w:val="20"/>
          <w:highlight w:val="none"/>
        </w:rPr>
      </w:pPr>
    </w:p>
    <w:p w14:paraId="644809F5">
      <w:pPr>
        <w:snapToGrid w:val="0"/>
        <w:spacing w:before="159" w:beforeLines="50" w:after="50"/>
        <w:rPr>
          <w:rFonts w:hint="eastAsia" w:ascii="宋体" w:hAnsi="宋体" w:eastAsia="宋体" w:cs="宋体"/>
          <w:color w:val="auto"/>
          <w:sz w:val="24"/>
          <w:szCs w:val="20"/>
          <w:highlight w:val="none"/>
        </w:rPr>
      </w:pPr>
    </w:p>
    <w:p w14:paraId="472FEA12">
      <w:pPr>
        <w:snapToGrid w:val="0"/>
        <w:spacing w:before="159" w:beforeLines="50" w:after="50"/>
        <w:jc w:val="center"/>
        <w:outlineLvl w:val="0"/>
        <w:rPr>
          <w:rFonts w:hint="eastAsia" w:ascii="宋体" w:hAnsi="宋体" w:eastAsia="宋体" w:cs="宋体"/>
          <w:b/>
          <w:color w:val="auto"/>
          <w:sz w:val="24"/>
          <w:szCs w:val="20"/>
          <w:highlight w:val="none"/>
        </w:rPr>
      </w:pPr>
      <w:r>
        <w:rPr>
          <w:rFonts w:hint="eastAsia" w:ascii="宋体" w:hAnsi="宋体" w:eastAsia="宋体" w:cs="宋体"/>
          <w:b/>
          <w:color w:val="auto"/>
          <w:sz w:val="32"/>
          <w:szCs w:val="32"/>
          <w:highlight w:val="none"/>
        </w:rPr>
        <w:t>资 格 证 明 文 件</w:t>
      </w:r>
    </w:p>
    <w:p w14:paraId="59F59D0D">
      <w:pPr>
        <w:snapToGrid w:val="0"/>
        <w:spacing w:before="159" w:beforeLines="50" w:after="50"/>
        <w:rPr>
          <w:rFonts w:hint="eastAsia" w:ascii="宋体" w:hAnsi="宋体" w:eastAsia="宋体" w:cs="宋体"/>
          <w:bCs/>
          <w:color w:val="auto"/>
          <w:sz w:val="24"/>
          <w:szCs w:val="20"/>
          <w:highlight w:val="none"/>
        </w:rPr>
      </w:pPr>
    </w:p>
    <w:p w14:paraId="0382E0A3">
      <w:pPr>
        <w:snapToGrid w:val="0"/>
        <w:spacing w:before="159" w:beforeLines="50" w:after="50"/>
        <w:rPr>
          <w:rFonts w:hint="eastAsia" w:ascii="宋体" w:hAnsi="宋体" w:eastAsia="宋体" w:cs="宋体"/>
          <w:bCs/>
          <w:color w:val="auto"/>
          <w:sz w:val="24"/>
          <w:szCs w:val="20"/>
          <w:highlight w:val="none"/>
        </w:rPr>
      </w:pPr>
    </w:p>
    <w:p w14:paraId="2B81ADB3">
      <w:pPr>
        <w:snapToGrid w:val="0"/>
        <w:spacing w:before="159" w:beforeLines="50" w:after="50"/>
        <w:rPr>
          <w:rFonts w:hint="eastAsia" w:ascii="宋体" w:hAnsi="宋体" w:eastAsia="宋体" w:cs="宋体"/>
          <w:bCs/>
          <w:color w:val="auto"/>
          <w:sz w:val="24"/>
          <w:szCs w:val="20"/>
          <w:highlight w:val="none"/>
        </w:rPr>
      </w:pPr>
    </w:p>
    <w:p w14:paraId="7FC116EF">
      <w:pPr>
        <w:snapToGrid w:val="0"/>
        <w:spacing w:before="159" w:beforeLines="50" w:after="50"/>
        <w:rPr>
          <w:rFonts w:hint="eastAsia" w:ascii="宋体" w:hAnsi="宋体" w:eastAsia="宋体" w:cs="宋体"/>
          <w:bCs/>
          <w:color w:val="auto"/>
          <w:sz w:val="24"/>
          <w:szCs w:val="20"/>
          <w:highlight w:val="none"/>
        </w:rPr>
      </w:pPr>
    </w:p>
    <w:p w14:paraId="697F367B">
      <w:pPr>
        <w:snapToGrid w:val="0"/>
        <w:spacing w:before="159" w:beforeLines="50" w:after="50"/>
        <w:rPr>
          <w:rFonts w:hint="eastAsia" w:ascii="宋体" w:hAnsi="宋体" w:eastAsia="宋体" w:cs="宋体"/>
          <w:bCs/>
          <w:color w:val="auto"/>
          <w:sz w:val="24"/>
          <w:szCs w:val="20"/>
          <w:highlight w:val="none"/>
        </w:rPr>
      </w:pPr>
    </w:p>
    <w:p w14:paraId="682B8A13">
      <w:pPr>
        <w:snapToGrid w:val="0"/>
        <w:spacing w:before="159" w:beforeLines="50" w:after="50"/>
        <w:ind w:firstLine="540" w:firstLineChars="225"/>
        <w:rPr>
          <w:rFonts w:hint="eastAsia" w:ascii="宋体" w:hAnsi="宋体" w:eastAsia="宋体" w:cs="宋体"/>
          <w:bCs/>
          <w:color w:val="auto"/>
          <w:sz w:val="24"/>
          <w:highlight w:val="none"/>
        </w:rPr>
      </w:pPr>
      <w:r>
        <w:rPr>
          <w:rFonts w:hint="eastAsia" w:ascii="宋体" w:hAnsi="宋体" w:eastAsia="宋体" w:cs="宋体"/>
          <w:bCs/>
          <w:color w:val="auto"/>
          <w:sz w:val="24"/>
          <w:highlight w:val="none"/>
        </w:rPr>
        <w:t>项目名称：</w:t>
      </w:r>
    </w:p>
    <w:p w14:paraId="6AED9BCE">
      <w:pPr>
        <w:snapToGrid w:val="0"/>
        <w:spacing w:before="159" w:beforeLines="50" w:after="50"/>
        <w:ind w:firstLine="540" w:firstLineChars="225"/>
        <w:rPr>
          <w:rFonts w:hint="eastAsia" w:ascii="宋体" w:hAnsi="宋体" w:eastAsia="宋体" w:cs="宋体"/>
          <w:bCs/>
          <w:color w:val="auto"/>
          <w:sz w:val="24"/>
          <w:szCs w:val="20"/>
          <w:highlight w:val="none"/>
        </w:rPr>
      </w:pPr>
    </w:p>
    <w:p w14:paraId="06C95A2B">
      <w:pPr>
        <w:snapToGrid w:val="0"/>
        <w:spacing w:before="159" w:beforeLines="50" w:after="50"/>
        <w:ind w:firstLine="540" w:firstLineChars="225"/>
        <w:rPr>
          <w:rFonts w:hint="eastAsia" w:ascii="宋体" w:hAnsi="宋体" w:eastAsia="宋体" w:cs="宋体"/>
          <w:bCs/>
          <w:color w:val="auto"/>
          <w:sz w:val="24"/>
          <w:highlight w:val="none"/>
        </w:rPr>
      </w:pPr>
      <w:r>
        <w:rPr>
          <w:rFonts w:hint="eastAsia" w:ascii="宋体" w:hAnsi="宋体" w:eastAsia="宋体" w:cs="宋体"/>
          <w:bCs/>
          <w:color w:val="auto"/>
          <w:sz w:val="24"/>
          <w:highlight w:val="none"/>
        </w:rPr>
        <w:t>项目编号：</w:t>
      </w:r>
    </w:p>
    <w:p w14:paraId="6D708C94">
      <w:pPr>
        <w:snapToGrid w:val="0"/>
        <w:spacing w:before="159" w:beforeLines="50" w:after="50"/>
        <w:ind w:firstLine="540" w:firstLineChars="225"/>
        <w:rPr>
          <w:rFonts w:hint="eastAsia" w:ascii="宋体" w:hAnsi="宋体" w:eastAsia="宋体" w:cs="宋体"/>
          <w:bCs/>
          <w:color w:val="auto"/>
          <w:sz w:val="24"/>
          <w:szCs w:val="20"/>
          <w:highlight w:val="none"/>
        </w:rPr>
      </w:pPr>
      <w:r>
        <w:rPr>
          <w:rFonts w:hint="eastAsia" w:ascii="宋体" w:hAnsi="宋体" w:eastAsia="宋体" w:cs="宋体"/>
          <w:bCs/>
          <w:color w:val="auto"/>
          <w:sz w:val="24"/>
          <w:highlight w:val="none"/>
        </w:rPr>
        <w:t xml:space="preserve"> </w:t>
      </w:r>
    </w:p>
    <w:p w14:paraId="0F83C3CB">
      <w:pPr>
        <w:snapToGrid w:val="0"/>
        <w:spacing w:before="159" w:beforeLines="50" w:after="50"/>
        <w:ind w:firstLine="540" w:firstLineChars="225"/>
        <w:rPr>
          <w:rFonts w:hint="eastAsia" w:ascii="宋体" w:hAnsi="宋体" w:eastAsia="宋体" w:cs="宋体"/>
          <w:bCs/>
          <w:color w:val="auto"/>
          <w:sz w:val="24"/>
          <w:highlight w:val="none"/>
        </w:rPr>
      </w:pPr>
      <w:r>
        <w:rPr>
          <w:rFonts w:hint="eastAsia" w:ascii="宋体" w:hAnsi="宋体" w:eastAsia="宋体" w:cs="宋体"/>
          <w:bCs/>
          <w:color w:val="auto"/>
          <w:sz w:val="24"/>
          <w:highlight w:val="none"/>
        </w:rPr>
        <w:t>所投分标：</w:t>
      </w:r>
    </w:p>
    <w:p w14:paraId="7ADD7D66">
      <w:pPr>
        <w:pStyle w:val="8"/>
        <w:snapToGrid w:val="0"/>
        <w:spacing w:before="50" w:after="50"/>
        <w:ind w:firstLine="540" w:firstLineChars="225"/>
        <w:rPr>
          <w:rFonts w:hint="eastAsia" w:ascii="宋体" w:hAnsi="宋体" w:eastAsia="宋体" w:cs="宋体"/>
          <w:bCs/>
          <w:color w:val="auto"/>
          <w:sz w:val="24"/>
          <w:szCs w:val="24"/>
          <w:highlight w:val="none"/>
        </w:rPr>
      </w:pPr>
    </w:p>
    <w:p w14:paraId="6D040101">
      <w:pPr>
        <w:pStyle w:val="8"/>
        <w:snapToGrid w:val="0"/>
        <w:spacing w:before="50" w:after="50"/>
        <w:ind w:firstLine="540" w:firstLineChars="225"/>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投标人名称：</w:t>
      </w:r>
    </w:p>
    <w:p w14:paraId="5CCA7E4F">
      <w:pPr>
        <w:pStyle w:val="8"/>
        <w:snapToGrid w:val="0"/>
        <w:spacing w:before="50" w:after="50"/>
        <w:ind w:firstLine="540" w:firstLineChars="225"/>
        <w:rPr>
          <w:rFonts w:hint="eastAsia" w:ascii="宋体" w:hAnsi="宋体" w:eastAsia="宋体" w:cs="宋体"/>
          <w:bCs/>
          <w:color w:val="auto"/>
          <w:sz w:val="24"/>
          <w:szCs w:val="24"/>
          <w:highlight w:val="none"/>
        </w:rPr>
      </w:pPr>
    </w:p>
    <w:p w14:paraId="0E818DB5">
      <w:pPr>
        <w:pStyle w:val="8"/>
        <w:snapToGrid w:val="0"/>
        <w:spacing w:before="50" w:after="50"/>
        <w:ind w:firstLine="960" w:firstLineChars="400"/>
        <w:rPr>
          <w:rFonts w:hint="eastAsia" w:ascii="宋体" w:hAnsi="宋体" w:eastAsia="宋体" w:cs="宋体"/>
          <w:bCs/>
          <w:color w:val="auto"/>
          <w:sz w:val="24"/>
          <w:szCs w:val="24"/>
          <w:highlight w:val="none"/>
        </w:rPr>
      </w:pPr>
    </w:p>
    <w:p w14:paraId="019A0DF6">
      <w:pPr>
        <w:snapToGrid w:val="0"/>
        <w:spacing w:before="159" w:beforeLines="50" w:after="50"/>
        <w:ind w:firstLine="645"/>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年  月  日</w:t>
      </w:r>
    </w:p>
    <w:p w14:paraId="299251E3">
      <w:pPr>
        <w:snapToGrid w:val="0"/>
        <w:spacing w:before="159" w:beforeLines="50" w:after="50"/>
        <w:rPr>
          <w:rFonts w:hint="eastAsia" w:ascii="宋体" w:hAnsi="宋体" w:eastAsia="宋体" w:cs="宋体"/>
          <w:color w:val="auto"/>
          <w:sz w:val="24"/>
          <w:szCs w:val="20"/>
          <w:highlight w:val="none"/>
        </w:rPr>
      </w:pPr>
      <w:r>
        <w:rPr>
          <w:rFonts w:hint="eastAsia" w:ascii="宋体" w:hAnsi="宋体" w:eastAsia="宋体" w:cs="宋体"/>
          <w:color w:val="auto"/>
          <w:sz w:val="24"/>
          <w:szCs w:val="20"/>
          <w:highlight w:val="none"/>
        </w:rPr>
        <w:t xml:space="preserve"> </w:t>
      </w:r>
    </w:p>
    <w:p w14:paraId="4FCB9ED2">
      <w:pPr>
        <w:snapToGrid w:val="0"/>
        <w:spacing w:before="159" w:beforeLines="50" w:after="50"/>
        <w:rPr>
          <w:rFonts w:hint="eastAsia" w:ascii="宋体" w:hAnsi="宋体" w:eastAsia="宋体" w:cs="宋体"/>
          <w:color w:val="auto"/>
          <w:sz w:val="24"/>
          <w:szCs w:val="20"/>
          <w:highlight w:val="none"/>
        </w:rPr>
      </w:pPr>
    </w:p>
    <w:p w14:paraId="2BCA0660">
      <w:pPr>
        <w:numPr>
          <w:ilvl w:val="2"/>
          <w:numId w:val="6"/>
        </w:numPr>
        <w:snapToGrid w:val="0"/>
        <w:spacing w:before="159" w:beforeLines="50" w:after="50" w:line="360" w:lineRule="auto"/>
        <w:ind w:left="0" w:firstLine="0"/>
        <w:jc w:val="left"/>
        <w:rPr>
          <w:rFonts w:hint="eastAsia" w:ascii="宋体" w:hAnsi="宋体" w:eastAsia="宋体" w:cs="宋体"/>
          <w:color w:val="auto"/>
          <w:sz w:val="24"/>
          <w:szCs w:val="20"/>
          <w:highlight w:val="none"/>
        </w:rPr>
      </w:pPr>
      <w:r>
        <w:rPr>
          <w:rFonts w:hint="eastAsia" w:ascii="宋体" w:hAnsi="宋体" w:eastAsia="宋体" w:cs="宋体"/>
          <w:b/>
          <w:bCs/>
          <w:color w:val="auto"/>
          <w:sz w:val="24"/>
          <w:highlight w:val="none"/>
        </w:rPr>
        <w:br w:type="page"/>
      </w:r>
      <w:r>
        <w:rPr>
          <w:rFonts w:hint="eastAsia" w:ascii="宋体" w:hAnsi="宋体" w:eastAsia="宋体" w:cs="宋体"/>
          <w:b/>
          <w:bCs/>
          <w:color w:val="auto"/>
          <w:sz w:val="24"/>
          <w:highlight w:val="none"/>
        </w:rPr>
        <w:t>资格证明文件目录</w:t>
      </w:r>
    </w:p>
    <w:p w14:paraId="585BAC75">
      <w:pPr>
        <w:snapToGrid w:val="0"/>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根据招标文件规定及投标人提供的材料自行编写目录。</w:t>
      </w:r>
    </w:p>
    <w:p w14:paraId="42356AED">
      <w:pPr>
        <w:snapToGrid w:val="0"/>
        <w:spacing w:before="50" w:after="159" w:afterLines="50"/>
        <w:jc w:val="left"/>
        <w:rPr>
          <w:rFonts w:hint="eastAsia" w:ascii="宋体" w:hAnsi="宋体" w:eastAsia="宋体" w:cs="宋体"/>
          <w:color w:val="auto"/>
          <w:sz w:val="24"/>
          <w:highlight w:val="none"/>
        </w:rPr>
      </w:pPr>
    </w:p>
    <w:p w14:paraId="7E36C44E">
      <w:pPr>
        <w:snapToGrid w:val="0"/>
        <w:spacing w:before="50" w:after="159" w:afterLines="50"/>
        <w:jc w:val="left"/>
        <w:rPr>
          <w:rFonts w:hint="eastAsia" w:ascii="宋体" w:hAnsi="宋体" w:eastAsia="宋体" w:cs="宋体"/>
          <w:color w:val="auto"/>
          <w:sz w:val="24"/>
          <w:highlight w:val="none"/>
        </w:rPr>
      </w:pPr>
    </w:p>
    <w:p w14:paraId="555FF4BA">
      <w:pPr>
        <w:numPr>
          <w:ilvl w:val="2"/>
          <w:numId w:val="6"/>
        </w:numPr>
        <w:snapToGrid w:val="0"/>
        <w:spacing w:before="159" w:beforeLines="50" w:after="50"/>
        <w:ind w:left="0" w:firstLine="0"/>
        <w:jc w:val="left"/>
        <w:rPr>
          <w:rFonts w:hint="eastAsia" w:ascii="宋体" w:hAnsi="宋体" w:eastAsia="宋体" w:cs="宋体"/>
          <w:b/>
          <w:color w:val="auto"/>
          <w:sz w:val="24"/>
          <w:highlight w:val="none"/>
        </w:rPr>
      </w:pPr>
      <w:r>
        <w:rPr>
          <w:rFonts w:hint="eastAsia" w:ascii="宋体" w:hAnsi="宋体" w:eastAsia="宋体" w:cs="宋体"/>
          <w:b/>
          <w:color w:val="auto"/>
          <w:sz w:val="24"/>
          <w:highlight w:val="none"/>
        </w:rPr>
        <w:br w:type="page"/>
      </w:r>
      <w:r>
        <w:rPr>
          <w:rFonts w:hint="eastAsia" w:ascii="宋体" w:hAnsi="宋体" w:eastAsia="宋体" w:cs="宋体"/>
          <w:b/>
          <w:color w:val="auto"/>
          <w:sz w:val="28"/>
          <w:szCs w:val="28"/>
          <w:highlight w:val="none"/>
        </w:rPr>
        <w:t>投标人直接控股、管理关系信息表</w:t>
      </w:r>
    </w:p>
    <w:p w14:paraId="166067CD">
      <w:pPr>
        <w:snapToGrid w:val="0"/>
        <w:spacing w:before="50" w:after="159" w:afterLines="50"/>
        <w:jc w:val="center"/>
        <w:rPr>
          <w:rFonts w:hint="eastAsia" w:ascii="宋体" w:hAnsi="宋体" w:eastAsia="宋体" w:cs="宋体"/>
          <w:b/>
          <w:color w:val="auto"/>
          <w:sz w:val="28"/>
          <w:szCs w:val="28"/>
          <w:highlight w:val="none"/>
        </w:rPr>
      </w:pPr>
      <w:r>
        <w:rPr>
          <w:rFonts w:hint="eastAsia" w:ascii="宋体" w:hAnsi="宋体" w:eastAsia="宋体" w:cs="宋体"/>
          <w:b/>
          <w:color w:val="auto"/>
          <w:sz w:val="32"/>
          <w:szCs w:val="32"/>
          <w:highlight w:val="none"/>
          <w:lang w:eastAsia="zh-CN"/>
        </w:rPr>
        <w:t>（一）</w:t>
      </w:r>
      <w:r>
        <w:rPr>
          <w:rFonts w:hint="eastAsia" w:ascii="宋体" w:hAnsi="宋体" w:eastAsia="宋体" w:cs="宋体"/>
          <w:b/>
          <w:color w:val="auto"/>
          <w:sz w:val="32"/>
          <w:szCs w:val="32"/>
          <w:highlight w:val="none"/>
        </w:rPr>
        <w:t>投标人直接控股股东信息表</w:t>
      </w:r>
    </w:p>
    <w:tbl>
      <w:tblPr>
        <w:tblStyle w:val="45"/>
        <w:tblpPr w:leftFromText="180" w:rightFromText="180" w:vertAnchor="text" w:horzAnchor="page" w:tblpX="1824" w:tblpY="779"/>
        <w:tblOverlap w:val="never"/>
        <w:tblW w:w="4998" w:type="pct"/>
        <w:tblInd w:w="0" w:type="dxa"/>
        <w:shd w:val="clear" w:color="auto" w:fill="FBFBFB"/>
        <w:tblLayout w:type="autofit"/>
        <w:tblCellMar>
          <w:top w:w="0" w:type="dxa"/>
          <w:left w:w="0" w:type="dxa"/>
          <w:bottom w:w="0" w:type="dxa"/>
          <w:right w:w="0" w:type="dxa"/>
        </w:tblCellMar>
      </w:tblPr>
      <w:tblGrid>
        <w:gridCol w:w="745"/>
        <w:gridCol w:w="2045"/>
        <w:gridCol w:w="1116"/>
        <w:gridCol w:w="3355"/>
        <w:gridCol w:w="1276"/>
      </w:tblGrid>
      <w:tr w14:paraId="34C11D21">
        <w:tblPrEx>
          <w:shd w:val="clear" w:color="auto" w:fill="FBFBFB"/>
          <w:tblCellMar>
            <w:top w:w="0" w:type="dxa"/>
            <w:left w:w="0" w:type="dxa"/>
            <w:bottom w:w="0" w:type="dxa"/>
            <w:right w:w="0" w:type="dxa"/>
          </w:tblCellMar>
        </w:tblPrEx>
        <w:trPr>
          <w:tblHeader/>
        </w:trPr>
        <w:tc>
          <w:tcPr>
            <w:tcW w:w="436" w:type="pct"/>
            <w:tcBorders>
              <w:top w:val="single" w:color="auto" w:sz="4" w:space="0"/>
              <w:left w:val="single" w:color="auto" w:sz="4" w:space="0"/>
              <w:bottom w:val="single" w:color="auto" w:sz="4" w:space="0"/>
              <w:right w:val="single" w:color="auto" w:sz="4" w:space="0"/>
            </w:tcBorders>
            <w:shd w:val="clear" w:color="auto" w:fill="EAE3D8"/>
            <w:noWrap w:val="0"/>
            <w:tcMar>
              <w:top w:w="120" w:type="dxa"/>
              <w:left w:w="120" w:type="dxa"/>
              <w:bottom w:w="120" w:type="dxa"/>
              <w:right w:w="120" w:type="dxa"/>
            </w:tcMar>
            <w:vAlign w:val="center"/>
          </w:tcPr>
          <w:p w14:paraId="2B50E1A2">
            <w:pPr>
              <w:spacing w:line="360" w:lineRule="auto"/>
              <w:jc w:val="center"/>
              <w:rPr>
                <w:rFonts w:hint="eastAsia" w:ascii="宋体" w:hAnsi="宋体" w:eastAsia="宋体" w:cs="宋体"/>
                <w:b/>
                <w:bCs/>
                <w:color w:val="auto"/>
                <w:kern w:val="0"/>
                <w:sz w:val="24"/>
                <w:highlight w:val="none"/>
              </w:rPr>
            </w:pPr>
            <w:r>
              <w:rPr>
                <w:rFonts w:hint="eastAsia" w:ascii="宋体" w:hAnsi="宋体" w:eastAsia="宋体" w:cs="宋体"/>
                <w:b/>
                <w:bCs/>
                <w:color w:val="auto"/>
                <w:kern w:val="0"/>
                <w:sz w:val="24"/>
                <w:highlight w:val="none"/>
              </w:rPr>
              <w:t>序号</w:t>
            </w:r>
          </w:p>
        </w:tc>
        <w:tc>
          <w:tcPr>
            <w:tcW w:w="1197" w:type="pct"/>
            <w:tcBorders>
              <w:top w:val="single" w:color="auto" w:sz="4" w:space="0"/>
              <w:left w:val="single" w:color="auto" w:sz="4" w:space="0"/>
              <w:bottom w:val="single" w:color="auto" w:sz="4" w:space="0"/>
              <w:right w:val="single" w:color="auto" w:sz="4" w:space="0"/>
            </w:tcBorders>
            <w:shd w:val="clear" w:color="auto" w:fill="EAE3D8"/>
            <w:noWrap w:val="0"/>
            <w:tcMar>
              <w:top w:w="120" w:type="dxa"/>
              <w:left w:w="120" w:type="dxa"/>
              <w:bottom w:w="120" w:type="dxa"/>
              <w:right w:w="120" w:type="dxa"/>
            </w:tcMar>
            <w:vAlign w:val="center"/>
          </w:tcPr>
          <w:p w14:paraId="6CFEDF6E">
            <w:pPr>
              <w:spacing w:line="360" w:lineRule="auto"/>
              <w:jc w:val="center"/>
              <w:rPr>
                <w:rFonts w:hint="eastAsia" w:ascii="宋体" w:hAnsi="宋体" w:eastAsia="宋体" w:cs="宋体"/>
                <w:b/>
                <w:bCs/>
                <w:color w:val="auto"/>
                <w:kern w:val="0"/>
                <w:sz w:val="24"/>
                <w:highlight w:val="none"/>
              </w:rPr>
            </w:pPr>
            <w:r>
              <w:rPr>
                <w:rFonts w:hint="eastAsia" w:ascii="宋体" w:hAnsi="宋体" w:eastAsia="宋体" w:cs="宋体"/>
                <w:b/>
                <w:bCs/>
                <w:color w:val="auto"/>
                <w:kern w:val="0"/>
                <w:sz w:val="24"/>
                <w:highlight w:val="none"/>
              </w:rPr>
              <w:t>直接控股股东名称</w:t>
            </w:r>
          </w:p>
        </w:tc>
        <w:tc>
          <w:tcPr>
            <w:tcW w:w="653" w:type="pct"/>
            <w:tcBorders>
              <w:top w:val="single" w:color="auto" w:sz="4" w:space="0"/>
              <w:left w:val="single" w:color="auto" w:sz="4" w:space="0"/>
              <w:bottom w:val="single" w:color="auto" w:sz="4" w:space="0"/>
              <w:right w:val="single" w:color="auto" w:sz="4" w:space="0"/>
            </w:tcBorders>
            <w:shd w:val="clear" w:color="auto" w:fill="EAE3D8"/>
            <w:noWrap w:val="0"/>
            <w:tcMar>
              <w:top w:w="120" w:type="dxa"/>
              <w:left w:w="120" w:type="dxa"/>
              <w:bottom w:w="120" w:type="dxa"/>
              <w:right w:w="120" w:type="dxa"/>
            </w:tcMar>
            <w:vAlign w:val="center"/>
          </w:tcPr>
          <w:p w14:paraId="5D557D34">
            <w:pPr>
              <w:spacing w:line="360" w:lineRule="auto"/>
              <w:jc w:val="center"/>
              <w:rPr>
                <w:rFonts w:hint="eastAsia" w:ascii="宋体" w:hAnsi="宋体" w:eastAsia="宋体" w:cs="宋体"/>
                <w:b/>
                <w:bCs/>
                <w:color w:val="auto"/>
                <w:kern w:val="0"/>
                <w:sz w:val="24"/>
                <w:highlight w:val="none"/>
              </w:rPr>
            </w:pPr>
            <w:r>
              <w:rPr>
                <w:rFonts w:hint="eastAsia" w:ascii="宋体" w:hAnsi="宋体" w:eastAsia="宋体" w:cs="宋体"/>
                <w:b/>
                <w:bCs/>
                <w:color w:val="auto"/>
                <w:kern w:val="0"/>
                <w:sz w:val="24"/>
                <w:highlight w:val="none"/>
              </w:rPr>
              <w:t>出资比例</w:t>
            </w:r>
          </w:p>
        </w:tc>
        <w:tc>
          <w:tcPr>
            <w:tcW w:w="1964" w:type="pct"/>
            <w:tcBorders>
              <w:top w:val="single" w:color="auto" w:sz="4" w:space="0"/>
              <w:left w:val="single" w:color="auto" w:sz="4" w:space="0"/>
              <w:bottom w:val="single" w:color="auto" w:sz="4" w:space="0"/>
              <w:right w:val="single" w:color="auto" w:sz="4" w:space="0"/>
            </w:tcBorders>
            <w:shd w:val="clear" w:color="auto" w:fill="EAE3D8"/>
            <w:noWrap w:val="0"/>
            <w:tcMar>
              <w:top w:w="120" w:type="dxa"/>
              <w:left w:w="120" w:type="dxa"/>
              <w:bottom w:w="120" w:type="dxa"/>
              <w:right w:w="120" w:type="dxa"/>
            </w:tcMar>
            <w:vAlign w:val="center"/>
          </w:tcPr>
          <w:p w14:paraId="1B5CE056">
            <w:pPr>
              <w:spacing w:line="360" w:lineRule="auto"/>
              <w:jc w:val="center"/>
              <w:rPr>
                <w:rFonts w:hint="eastAsia" w:ascii="宋体" w:hAnsi="宋体" w:eastAsia="宋体" w:cs="宋体"/>
                <w:b/>
                <w:bCs/>
                <w:color w:val="auto"/>
                <w:kern w:val="0"/>
                <w:sz w:val="24"/>
                <w:highlight w:val="none"/>
              </w:rPr>
            </w:pPr>
            <w:r>
              <w:rPr>
                <w:rFonts w:hint="eastAsia" w:ascii="宋体" w:hAnsi="宋体" w:eastAsia="宋体" w:cs="宋体"/>
                <w:b/>
                <w:bCs/>
                <w:color w:val="auto"/>
                <w:kern w:val="0"/>
                <w:sz w:val="24"/>
                <w:highlight w:val="none"/>
              </w:rPr>
              <w:t>身份证号码或者统一社会信用代码</w:t>
            </w:r>
          </w:p>
        </w:tc>
        <w:tc>
          <w:tcPr>
            <w:tcW w:w="747" w:type="pct"/>
            <w:tcBorders>
              <w:top w:val="single" w:color="auto" w:sz="4" w:space="0"/>
              <w:left w:val="single" w:color="auto" w:sz="4" w:space="0"/>
              <w:bottom w:val="single" w:color="auto" w:sz="4" w:space="0"/>
              <w:right w:val="single" w:color="auto" w:sz="4" w:space="0"/>
            </w:tcBorders>
            <w:shd w:val="clear" w:color="auto" w:fill="EAE3D8"/>
            <w:noWrap w:val="0"/>
            <w:tcMar>
              <w:top w:w="120" w:type="dxa"/>
              <w:left w:w="120" w:type="dxa"/>
              <w:bottom w:w="120" w:type="dxa"/>
              <w:right w:w="120" w:type="dxa"/>
            </w:tcMar>
            <w:vAlign w:val="center"/>
          </w:tcPr>
          <w:p w14:paraId="4FDE42A0">
            <w:pPr>
              <w:spacing w:line="360" w:lineRule="auto"/>
              <w:jc w:val="center"/>
              <w:rPr>
                <w:rFonts w:hint="eastAsia" w:ascii="宋体" w:hAnsi="宋体" w:eastAsia="宋体" w:cs="宋体"/>
                <w:b/>
                <w:bCs/>
                <w:color w:val="auto"/>
                <w:kern w:val="0"/>
                <w:sz w:val="24"/>
                <w:highlight w:val="none"/>
              </w:rPr>
            </w:pPr>
            <w:r>
              <w:rPr>
                <w:rFonts w:hint="eastAsia" w:ascii="宋体" w:hAnsi="宋体" w:eastAsia="宋体" w:cs="宋体"/>
                <w:b/>
                <w:bCs/>
                <w:color w:val="auto"/>
                <w:kern w:val="0"/>
                <w:sz w:val="24"/>
                <w:highlight w:val="none"/>
              </w:rPr>
              <w:t>备注</w:t>
            </w:r>
          </w:p>
        </w:tc>
      </w:tr>
      <w:tr w14:paraId="58ADB75E">
        <w:tblPrEx>
          <w:shd w:val="clear" w:color="auto" w:fill="FBFBFB"/>
          <w:tblCellMar>
            <w:top w:w="0" w:type="dxa"/>
            <w:left w:w="0" w:type="dxa"/>
            <w:bottom w:w="0" w:type="dxa"/>
            <w:right w:w="0" w:type="dxa"/>
          </w:tblCellMar>
        </w:tblPrEx>
        <w:tc>
          <w:tcPr>
            <w:tcW w:w="436" w:type="pct"/>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1C99000F">
            <w:pPr>
              <w:spacing w:line="360" w:lineRule="auto"/>
              <w:jc w:val="center"/>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1</w:t>
            </w:r>
          </w:p>
        </w:tc>
        <w:tc>
          <w:tcPr>
            <w:tcW w:w="1197" w:type="pct"/>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61E40E1C">
            <w:pPr>
              <w:spacing w:line="360" w:lineRule="auto"/>
              <w:jc w:val="center"/>
              <w:rPr>
                <w:rFonts w:hint="eastAsia" w:ascii="宋体" w:hAnsi="宋体" w:eastAsia="宋体" w:cs="宋体"/>
                <w:color w:val="auto"/>
                <w:kern w:val="0"/>
                <w:sz w:val="24"/>
                <w:highlight w:val="none"/>
              </w:rPr>
            </w:pPr>
          </w:p>
        </w:tc>
        <w:tc>
          <w:tcPr>
            <w:tcW w:w="653" w:type="pct"/>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48BB0AFA">
            <w:pPr>
              <w:spacing w:line="360" w:lineRule="auto"/>
              <w:jc w:val="center"/>
              <w:rPr>
                <w:rFonts w:hint="eastAsia" w:ascii="宋体" w:hAnsi="宋体" w:eastAsia="宋体" w:cs="宋体"/>
                <w:color w:val="auto"/>
                <w:kern w:val="0"/>
                <w:sz w:val="24"/>
                <w:highlight w:val="none"/>
              </w:rPr>
            </w:pPr>
          </w:p>
        </w:tc>
        <w:tc>
          <w:tcPr>
            <w:tcW w:w="1964" w:type="pct"/>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3AB5EEAD">
            <w:pPr>
              <w:spacing w:line="360" w:lineRule="auto"/>
              <w:jc w:val="center"/>
              <w:rPr>
                <w:rFonts w:hint="eastAsia" w:ascii="宋体" w:hAnsi="宋体" w:eastAsia="宋体" w:cs="宋体"/>
                <w:color w:val="auto"/>
                <w:kern w:val="0"/>
                <w:sz w:val="24"/>
                <w:highlight w:val="none"/>
              </w:rPr>
            </w:pPr>
          </w:p>
        </w:tc>
        <w:tc>
          <w:tcPr>
            <w:tcW w:w="747" w:type="pct"/>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17D82341">
            <w:pPr>
              <w:spacing w:line="360" w:lineRule="auto"/>
              <w:jc w:val="center"/>
              <w:rPr>
                <w:rFonts w:hint="eastAsia" w:ascii="宋体" w:hAnsi="宋体" w:eastAsia="宋体" w:cs="宋体"/>
                <w:color w:val="auto"/>
                <w:kern w:val="0"/>
                <w:sz w:val="24"/>
                <w:highlight w:val="none"/>
              </w:rPr>
            </w:pPr>
          </w:p>
        </w:tc>
      </w:tr>
      <w:tr w14:paraId="053A8EF8">
        <w:tblPrEx>
          <w:shd w:val="clear" w:color="auto" w:fill="FBFBFB"/>
          <w:tblCellMar>
            <w:top w:w="0" w:type="dxa"/>
            <w:left w:w="0" w:type="dxa"/>
            <w:bottom w:w="0" w:type="dxa"/>
            <w:right w:w="0" w:type="dxa"/>
          </w:tblCellMar>
        </w:tblPrEx>
        <w:tc>
          <w:tcPr>
            <w:tcW w:w="436" w:type="pct"/>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200EE594">
            <w:pPr>
              <w:spacing w:line="360" w:lineRule="auto"/>
              <w:jc w:val="center"/>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2</w:t>
            </w:r>
          </w:p>
        </w:tc>
        <w:tc>
          <w:tcPr>
            <w:tcW w:w="1197" w:type="pct"/>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717EFA60">
            <w:pPr>
              <w:spacing w:line="360" w:lineRule="auto"/>
              <w:jc w:val="center"/>
              <w:rPr>
                <w:rFonts w:hint="eastAsia" w:ascii="宋体" w:hAnsi="宋体" w:eastAsia="宋体" w:cs="宋体"/>
                <w:color w:val="auto"/>
                <w:kern w:val="0"/>
                <w:sz w:val="24"/>
                <w:highlight w:val="none"/>
              </w:rPr>
            </w:pPr>
          </w:p>
        </w:tc>
        <w:tc>
          <w:tcPr>
            <w:tcW w:w="653" w:type="pct"/>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0DE2FE5C">
            <w:pPr>
              <w:spacing w:line="360" w:lineRule="auto"/>
              <w:jc w:val="center"/>
              <w:rPr>
                <w:rFonts w:hint="eastAsia" w:ascii="宋体" w:hAnsi="宋体" w:eastAsia="宋体" w:cs="宋体"/>
                <w:color w:val="auto"/>
                <w:kern w:val="0"/>
                <w:sz w:val="24"/>
                <w:highlight w:val="none"/>
              </w:rPr>
            </w:pPr>
          </w:p>
        </w:tc>
        <w:tc>
          <w:tcPr>
            <w:tcW w:w="1964" w:type="pct"/>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3F85396E">
            <w:pPr>
              <w:spacing w:line="360" w:lineRule="auto"/>
              <w:jc w:val="center"/>
              <w:rPr>
                <w:rFonts w:hint="eastAsia" w:ascii="宋体" w:hAnsi="宋体" w:eastAsia="宋体" w:cs="宋体"/>
                <w:color w:val="auto"/>
                <w:kern w:val="0"/>
                <w:sz w:val="24"/>
                <w:highlight w:val="none"/>
              </w:rPr>
            </w:pPr>
          </w:p>
        </w:tc>
        <w:tc>
          <w:tcPr>
            <w:tcW w:w="747" w:type="pct"/>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72E69ADD">
            <w:pPr>
              <w:spacing w:line="360" w:lineRule="auto"/>
              <w:jc w:val="center"/>
              <w:rPr>
                <w:rFonts w:hint="eastAsia" w:ascii="宋体" w:hAnsi="宋体" w:eastAsia="宋体" w:cs="宋体"/>
                <w:color w:val="auto"/>
                <w:kern w:val="0"/>
                <w:sz w:val="24"/>
                <w:highlight w:val="none"/>
              </w:rPr>
            </w:pPr>
          </w:p>
        </w:tc>
      </w:tr>
      <w:tr w14:paraId="2BF99DA6">
        <w:tblPrEx>
          <w:shd w:val="clear" w:color="auto" w:fill="FBFBFB"/>
          <w:tblCellMar>
            <w:top w:w="0" w:type="dxa"/>
            <w:left w:w="0" w:type="dxa"/>
            <w:bottom w:w="0" w:type="dxa"/>
            <w:right w:w="0" w:type="dxa"/>
          </w:tblCellMar>
        </w:tblPrEx>
        <w:tc>
          <w:tcPr>
            <w:tcW w:w="436" w:type="pct"/>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07D042E5">
            <w:pPr>
              <w:spacing w:line="360" w:lineRule="auto"/>
              <w:jc w:val="center"/>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3</w:t>
            </w:r>
          </w:p>
        </w:tc>
        <w:tc>
          <w:tcPr>
            <w:tcW w:w="1197" w:type="pct"/>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056002B5">
            <w:pPr>
              <w:spacing w:line="360" w:lineRule="auto"/>
              <w:jc w:val="center"/>
              <w:rPr>
                <w:rFonts w:hint="eastAsia" w:ascii="宋体" w:hAnsi="宋体" w:eastAsia="宋体" w:cs="宋体"/>
                <w:color w:val="auto"/>
                <w:kern w:val="0"/>
                <w:sz w:val="24"/>
                <w:highlight w:val="none"/>
              </w:rPr>
            </w:pPr>
          </w:p>
        </w:tc>
        <w:tc>
          <w:tcPr>
            <w:tcW w:w="653" w:type="pct"/>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23DA07BB">
            <w:pPr>
              <w:spacing w:line="360" w:lineRule="auto"/>
              <w:jc w:val="center"/>
              <w:rPr>
                <w:rFonts w:hint="eastAsia" w:ascii="宋体" w:hAnsi="宋体" w:eastAsia="宋体" w:cs="宋体"/>
                <w:color w:val="auto"/>
                <w:kern w:val="0"/>
                <w:sz w:val="24"/>
                <w:highlight w:val="none"/>
              </w:rPr>
            </w:pPr>
          </w:p>
        </w:tc>
        <w:tc>
          <w:tcPr>
            <w:tcW w:w="1964" w:type="pct"/>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4669FE84">
            <w:pPr>
              <w:spacing w:line="360" w:lineRule="auto"/>
              <w:jc w:val="center"/>
              <w:rPr>
                <w:rFonts w:hint="eastAsia" w:ascii="宋体" w:hAnsi="宋体" w:eastAsia="宋体" w:cs="宋体"/>
                <w:color w:val="auto"/>
                <w:kern w:val="0"/>
                <w:sz w:val="24"/>
                <w:highlight w:val="none"/>
              </w:rPr>
            </w:pPr>
          </w:p>
        </w:tc>
        <w:tc>
          <w:tcPr>
            <w:tcW w:w="747" w:type="pct"/>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787593FF">
            <w:pPr>
              <w:spacing w:line="360" w:lineRule="auto"/>
              <w:jc w:val="center"/>
              <w:rPr>
                <w:rFonts w:hint="eastAsia" w:ascii="宋体" w:hAnsi="宋体" w:eastAsia="宋体" w:cs="宋体"/>
                <w:color w:val="auto"/>
                <w:kern w:val="0"/>
                <w:sz w:val="24"/>
                <w:highlight w:val="none"/>
              </w:rPr>
            </w:pPr>
          </w:p>
        </w:tc>
      </w:tr>
      <w:tr w14:paraId="2C9AC422">
        <w:tblPrEx>
          <w:shd w:val="clear" w:color="auto" w:fill="FBFBFB"/>
          <w:tblCellMar>
            <w:top w:w="0" w:type="dxa"/>
            <w:left w:w="0" w:type="dxa"/>
            <w:bottom w:w="0" w:type="dxa"/>
            <w:right w:w="0" w:type="dxa"/>
          </w:tblCellMar>
        </w:tblPrEx>
        <w:tc>
          <w:tcPr>
            <w:tcW w:w="436" w:type="pct"/>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1CE6E3EB">
            <w:pPr>
              <w:spacing w:line="360" w:lineRule="auto"/>
              <w:jc w:val="center"/>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w:t>
            </w:r>
          </w:p>
        </w:tc>
        <w:tc>
          <w:tcPr>
            <w:tcW w:w="1197" w:type="pct"/>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500765FC">
            <w:pPr>
              <w:spacing w:line="360" w:lineRule="auto"/>
              <w:jc w:val="center"/>
              <w:rPr>
                <w:rFonts w:hint="eastAsia" w:ascii="宋体" w:hAnsi="宋体" w:eastAsia="宋体" w:cs="宋体"/>
                <w:color w:val="auto"/>
                <w:kern w:val="0"/>
                <w:sz w:val="24"/>
                <w:highlight w:val="none"/>
              </w:rPr>
            </w:pPr>
          </w:p>
        </w:tc>
        <w:tc>
          <w:tcPr>
            <w:tcW w:w="653" w:type="pct"/>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30D44CDD">
            <w:pPr>
              <w:spacing w:line="360" w:lineRule="auto"/>
              <w:jc w:val="center"/>
              <w:rPr>
                <w:rFonts w:hint="eastAsia" w:ascii="宋体" w:hAnsi="宋体" w:eastAsia="宋体" w:cs="宋体"/>
                <w:color w:val="auto"/>
                <w:kern w:val="0"/>
                <w:sz w:val="24"/>
                <w:highlight w:val="none"/>
              </w:rPr>
            </w:pPr>
          </w:p>
        </w:tc>
        <w:tc>
          <w:tcPr>
            <w:tcW w:w="1964" w:type="pct"/>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2B2C3E26">
            <w:pPr>
              <w:spacing w:line="360" w:lineRule="auto"/>
              <w:jc w:val="center"/>
              <w:rPr>
                <w:rFonts w:hint="eastAsia" w:ascii="宋体" w:hAnsi="宋体" w:eastAsia="宋体" w:cs="宋体"/>
                <w:color w:val="auto"/>
                <w:kern w:val="0"/>
                <w:sz w:val="24"/>
                <w:highlight w:val="none"/>
              </w:rPr>
            </w:pPr>
          </w:p>
        </w:tc>
        <w:tc>
          <w:tcPr>
            <w:tcW w:w="747" w:type="pct"/>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17342EFE">
            <w:pPr>
              <w:spacing w:line="360" w:lineRule="auto"/>
              <w:jc w:val="center"/>
              <w:rPr>
                <w:rFonts w:hint="eastAsia" w:ascii="宋体" w:hAnsi="宋体" w:eastAsia="宋体" w:cs="宋体"/>
                <w:color w:val="auto"/>
                <w:kern w:val="0"/>
                <w:sz w:val="24"/>
                <w:highlight w:val="none"/>
              </w:rPr>
            </w:pPr>
          </w:p>
        </w:tc>
      </w:tr>
    </w:tbl>
    <w:p w14:paraId="07D19110">
      <w:pPr>
        <w:snapToGrid w:val="0"/>
        <w:spacing w:before="50" w:after="159" w:afterLines="50" w:line="360" w:lineRule="auto"/>
        <w:jc w:val="center"/>
        <w:rPr>
          <w:rFonts w:hint="eastAsia" w:ascii="宋体" w:hAnsi="宋体" w:eastAsia="宋体" w:cs="宋体"/>
          <w:b/>
          <w:color w:val="auto"/>
          <w:sz w:val="32"/>
          <w:szCs w:val="32"/>
          <w:highlight w:val="none"/>
        </w:rPr>
      </w:pPr>
    </w:p>
    <w:p w14:paraId="30152223">
      <w:pPr>
        <w:snapToGrid w:val="0"/>
        <w:spacing w:line="360" w:lineRule="auto"/>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注：</w:t>
      </w:r>
    </w:p>
    <w:p w14:paraId="322C3752">
      <w:pPr>
        <w:snapToGrid w:val="0"/>
        <w:spacing w:line="360" w:lineRule="auto"/>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1.直接控股股东：是指其出资额占有限责任公司资本总额百分之五十以上或者其持有的股份占股份有限公司股份总额百分之五十以上的股东；出资额或者持有股份的比例虽然不足百分之五十，但依其出资额或者持有的股份所享有的表决权已足以对股东会、股东大会的决议产生重大影响的股东。</w:t>
      </w:r>
    </w:p>
    <w:p w14:paraId="50EB3B57">
      <w:pPr>
        <w:snapToGrid w:val="0"/>
        <w:spacing w:line="360" w:lineRule="auto"/>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2.本表所指的控股关系仅限于直接控股关系，不包括间接的控股关系。公司实际控制人与公司之间的关系不属于本表所指的直接控股关系。</w:t>
      </w:r>
    </w:p>
    <w:p w14:paraId="581A1EBF">
      <w:pPr>
        <w:snapToGrid w:val="0"/>
        <w:spacing w:line="360" w:lineRule="auto"/>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3.供应商不存在直接控股股东的，则填“无”。</w:t>
      </w:r>
    </w:p>
    <w:p w14:paraId="51B87A08">
      <w:pPr>
        <w:snapToGrid w:val="0"/>
        <w:spacing w:line="360" w:lineRule="auto"/>
        <w:jc w:val="left"/>
        <w:rPr>
          <w:rFonts w:hint="eastAsia" w:ascii="宋体" w:hAnsi="宋体" w:eastAsia="宋体" w:cs="宋体"/>
          <w:color w:val="auto"/>
          <w:sz w:val="24"/>
          <w:highlight w:val="none"/>
        </w:rPr>
      </w:pPr>
    </w:p>
    <w:p w14:paraId="0338482A">
      <w:pPr>
        <w:snapToGrid w:val="0"/>
        <w:spacing w:line="360" w:lineRule="auto"/>
        <w:jc w:val="left"/>
        <w:rPr>
          <w:rFonts w:hint="eastAsia" w:ascii="宋体" w:hAnsi="宋体" w:eastAsia="宋体" w:cs="宋体"/>
          <w:color w:val="auto"/>
          <w:sz w:val="24"/>
          <w:highlight w:val="none"/>
        </w:rPr>
      </w:pPr>
    </w:p>
    <w:p w14:paraId="7B142237">
      <w:pPr>
        <w:snapToGrid w:val="0"/>
        <w:spacing w:line="360" w:lineRule="auto"/>
        <w:jc w:val="left"/>
        <w:rPr>
          <w:rFonts w:hint="eastAsia" w:ascii="宋体" w:hAnsi="宋体" w:eastAsia="宋体" w:cs="宋体"/>
          <w:color w:val="auto"/>
          <w:sz w:val="24"/>
          <w:highlight w:val="none"/>
        </w:rPr>
      </w:pPr>
    </w:p>
    <w:p w14:paraId="3E39407C">
      <w:pPr>
        <w:snapToGrid w:val="0"/>
        <w:spacing w:before="159" w:beforeLines="50" w:line="360" w:lineRule="auto"/>
        <w:ind w:right="480" w:firstLine="3967" w:firstLineChars="1653"/>
        <w:rPr>
          <w:rFonts w:hint="eastAsia" w:ascii="宋体" w:hAnsi="宋体" w:eastAsia="宋体" w:cs="宋体"/>
          <w:color w:val="auto"/>
          <w:sz w:val="24"/>
          <w:highlight w:val="none"/>
          <w:u w:val="single"/>
        </w:rPr>
      </w:pPr>
      <w:r>
        <w:rPr>
          <w:rFonts w:hint="eastAsia" w:ascii="宋体" w:hAnsi="宋体" w:eastAsia="宋体" w:cs="宋体"/>
          <w:color w:val="auto"/>
          <w:sz w:val="24"/>
          <w:highlight w:val="none"/>
        </w:rPr>
        <w:t>法定代表人或者委托代理人（签字）：</w:t>
      </w:r>
      <w:r>
        <w:rPr>
          <w:rFonts w:hint="eastAsia" w:ascii="宋体" w:hAnsi="宋体" w:eastAsia="宋体" w:cs="宋体"/>
          <w:color w:val="auto"/>
          <w:sz w:val="24"/>
          <w:highlight w:val="none"/>
          <w:u w:val="single"/>
        </w:rPr>
        <w:t xml:space="preserve">             </w:t>
      </w:r>
    </w:p>
    <w:p w14:paraId="39A2EAB0">
      <w:pPr>
        <w:snapToGrid w:val="0"/>
        <w:spacing w:before="159" w:beforeLines="50" w:after="50" w:line="360" w:lineRule="auto"/>
        <w:ind w:right="480" w:firstLine="5520" w:firstLineChars="2300"/>
        <w:rPr>
          <w:rFonts w:hint="eastAsia" w:ascii="宋体" w:hAnsi="宋体" w:eastAsia="宋体" w:cs="宋体"/>
          <w:color w:val="auto"/>
          <w:sz w:val="24"/>
          <w:highlight w:val="none"/>
          <w:u w:val="single"/>
        </w:rPr>
      </w:pPr>
      <w:r>
        <w:rPr>
          <w:rFonts w:hint="eastAsia" w:ascii="宋体" w:hAnsi="宋体" w:eastAsia="宋体" w:cs="宋体"/>
          <w:color w:val="auto"/>
          <w:sz w:val="24"/>
          <w:highlight w:val="none"/>
        </w:rPr>
        <w:t>投标人（盖公章）：</w:t>
      </w:r>
      <w:r>
        <w:rPr>
          <w:rFonts w:hint="eastAsia" w:ascii="宋体" w:hAnsi="宋体" w:eastAsia="宋体" w:cs="宋体"/>
          <w:color w:val="auto"/>
          <w:sz w:val="24"/>
          <w:highlight w:val="none"/>
          <w:u w:val="single"/>
        </w:rPr>
        <w:t xml:space="preserve">                 </w:t>
      </w:r>
    </w:p>
    <w:p w14:paraId="64264B28">
      <w:pPr>
        <w:snapToGrid w:val="0"/>
        <w:spacing w:before="159" w:beforeLines="50" w:after="50" w:line="360" w:lineRule="auto"/>
        <w:ind w:right="480" w:firstLine="5520" w:firstLineChars="2300"/>
        <w:jc w:val="center"/>
        <w:rPr>
          <w:rFonts w:hint="eastAsia" w:ascii="宋体" w:hAnsi="宋体" w:eastAsia="宋体" w:cs="宋体"/>
          <w:color w:val="auto"/>
          <w:sz w:val="32"/>
          <w:szCs w:val="32"/>
          <w:highlight w:val="none"/>
        </w:rPr>
      </w:pPr>
      <w:r>
        <w:rPr>
          <w:rFonts w:hint="eastAsia" w:ascii="宋体" w:hAnsi="宋体" w:eastAsia="宋体" w:cs="宋体"/>
          <w:color w:val="auto"/>
          <w:sz w:val="24"/>
          <w:highlight w:val="none"/>
        </w:rPr>
        <w:t>年    月    日</w:t>
      </w:r>
      <w:r>
        <w:rPr>
          <w:rFonts w:hint="eastAsia" w:ascii="宋体" w:hAnsi="宋体" w:eastAsia="宋体" w:cs="宋体"/>
          <w:b/>
          <w:color w:val="auto"/>
          <w:sz w:val="32"/>
          <w:szCs w:val="32"/>
          <w:highlight w:val="none"/>
        </w:rPr>
        <w:br w:type="page"/>
      </w:r>
      <w:r>
        <w:rPr>
          <w:rFonts w:hint="eastAsia" w:ascii="宋体" w:hAnsi="宋体" w:eastAsia="宋体" w:cs="宋体"/>
          <w:b/>
          <w:color w:val="auto"/>
          <w:sz w:val="32"/>
          <w:szCs w:val="32"/>
          <w:highlight w:val="none"/>
          <w:lang w:eastAsia="zh-CN"/>
        </w:rPr>
        <w:t>（二）</w:t>
      </w:r>
      <w:r>
        <w:rPr>
          <w:rFonts w:hint="eastAsia" w:ascii="宋体" w:hAnsi="宋体" w:eastAsia="宋体" w:cs="宋体"/>
          <w:b/>
          <w:color w:val="auto"/>
          <w:sz w:val="32"/>
          <w:szCs w:val="32"/>
          <w:highlight w:val="none"/>
        </w:rPr>
        <w:t>投标人直接管理关系信息表</w:t>
      </w:r>
    </w:p>
    <w:tbl>
      <w:tblPr>
        <w:tblStyle w:val="45"/>
        <w:tblW w:w="0" w:type="auto"/>
        <w:tblInd w:w="0" w:type="dxa"/>
        <w:tblLayout w:type="fixed"/>
        <w:tblCellMar>
          <w:top w:w="0" w:type="dxa"/>
          <w:left w:w="0" w:type="dxa"/>
          <w:bottom w:w="0" w:type="dxa"/>
          <w:right w:w="0" w:type="dxa"/>
        </w:tblCellMar>
      </w:tblPr>
      <w:tblGrid>
        <w:gridCol w:w="1005"/>
        <w:gridCol w:w="2659"/>
        <w:gridCol w:w="3924"/>
        <w:gridCol w:w="2064"/>
      </w:tblGrid>
      <w:tr w14:paraId="3D889B9E">
        <w:tblPrEx>
          <w:tblCellMar>
            <w:top w:w="0" w:type="dxa"/>
            <w:left w:w="0" w:type="dxa"/>
            <w:bottom w:w="0" w:type="dxa"/>
            <w:right w:w="0" w:type="dxa"/>
          </w:tblCellMar>
        </w:tblPrEx>
        <w:trPr>
          <w:tblHeader/>
        </w:trPr>
        <w:tc>
          <w:tcPr>
            <w:tcW w:w="1005"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030ED968">
            <w:pPr>
              <w:spacing w:line="360" w:lineRule="auto"/>
              <w:jc w:val="center"/>
              <w:rPr>
                <w:rFonts w:hint="eastAsia" w:ascii="宋体" w:hAnsi="宋体" w:eastAsia="宋体" w:cs="宋体"/>
                <w:b/>
                <w:bCs/>
                <w:color w:val="auto"/>
                <w:kern w:val="0"/>
                <w:sz w:val="24"/>
                <w:highlight w:val="none"/>
              </w:rPr>
            </w:pPr>
            <w:r>
              <w:rPr>
                <w:rFonts w:hint="eastAsia" w:ascii="宋体" w:hAnsi="宋体" w:eastAsia="宋体" w:cs="宋体"/>
                <w:b/>
                <w:bCs/>
                <w:color w:val="auto"/>
                <w:kern w:val="0"/>
                <w:sz w:val="24"/>
                <w:highlight w:val="none"/>
              </w:rPr>
              <w:t>序号</w:t>
            </w:r>
          </w:p>
        </w:tc>
        <w:tc>
          <w:tcPr>
            <w:tcW w:w="2659"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3EA3BD93">
            <w:pPr>
              <w:spacing w:line="360" w:lineRule="auto"/>
              <w:jc w:val="center"/>
              <w:rPr>
                <w:rFonts w:hint="eastAsia" w:ascii="宋体" w:hAnsi="宋体" w:eastAsia="宋体" w:cs="宋体"/>
                <w:b/>
                <w:bCs/>
                <w:color w:val="auto"/>
                <w:kern w:val="0"/>
                <w:sz w:val="24"/>
                <w:highlight w:val="none"/>
              </w:rPr>
            </w:pPr>
            <w:r>
              <w:rPr>
                <w:rFonts w:hint="eastAsia" w:ascii="宋体" w:hAnsi="宋体" w:eastAsia="宋体" w:cs="宋体"/>
                <w:b/>
                <w:bCs/>
                <w:color w:val="auto"/>
                <w:kern w:val="0"/>
                <w:sz w:val="24"/>
                <w:highlight w:val="none"/>
              </w:rPr>
              <w:t>直接管理关系单位名称</w:t>
            </w:r>
          </w:p>
        </w:tc>
        <w:tc>
          <w:tcPr>
            <w:tcW w:w="3924"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49ECC253">
            <w:pPr>
              <w:spacing w:line="360" w:lineRule="auto"/>
              <w:jc w:val="center"/>
              <w:rPr>
                <w:rFonts w:hint="eastAsia" w:ascii="宋体" w:hAnsi="宋体" w:eastAsia="宋体" w:cs="宋体"/>
                <w:b/>
                <w:bCs/>
                <w:color w:val="auto"/>
                <w:kern w:val="0"/>
                <w:sz w:val="24"/>
                <w:highlight w:val="none"/>
              </w:rPr>
            </w:pPr>
            <w:r>
              <w:rPr>
                <w:rFonts w:hint="eastAsia" w:ascii="宋体" w:hAnsi="宋体" w:eastAsia="宋体" w:cs="宋体"/>
                <w:b/>
                <w:bCs/>
                <w:color w:val="auto"/>
                <w:kern w:val="0"/>
                <w:sz w:val="24"/>
                <w:highlight w:val="none"/>
              </w:rPr>
              <w:t>统一社会信用代码</w:t>
            </w:r>
          </w:p>
        </w:tc>
        <w:tc>
          <w:tcPr>
            <w:tcW w:w="2064"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08C61917">
            <w:pPr>
              <w:spacing w:line="360" w:lineRule="auto"/>
              <w:jc w:val="center"/>
              <w:rPr>
                <w:rFonts w:hint="eastAsia" w:ascii="宋体" w:hAnsi="宋体" w:eastAsia="宋体" w:cs="宋体"/>
                <w:b/>
                <w:bCs/>
                <w:color w:val="auto"/>
                <w:kern w:val="0"/>
                <w:sz w:val="24"/>
                <w:highlight w:val="none"/>
              </w:rPr>
            </w:pPr>
            <w:r>
              <w:rPr>
                <w:rFonts w:hint="eastAsia" w:ascii="宋体" w:hAnsi="宋体" w:eastAsia="宋体" w:cs="宋体"/>
                <w:b/>
                <w:bCs/>
                <w:color w:val="auto"/>
                <w:kern w:val="0"/>
                <w:sz w:val="24"/>
                <w:highlight w:val="none"/>
              </w:rPr>
              <w:t>备注</w:t>
            </w:r>
          </w:p>
        </w:tc>
      </w:tr>
      <w:tr w14:paraId="7BEEA8AF">
        <w:tblPrEx>
          <w:tblCellMar>
            <w:top w:w="0" w:type="dxa"/>
            <w:left w:w="0" w:type="dxa"/>
            <w:bottom w:w="0" w:type="dxa"/>
            <w:right w:w="0" w:type="dxa"/>
          </w:tblCellMar>
        </w:tblPrEx>
        <w:tc>
          <w:tcPr>
            <w:tcW w:w="1005"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42B72E88">
            <w:pPr>
              <w:spacing w:line="360" w:lineRule="auto"/>
              <w:jc w:val="center"/>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1</w:t>
            </w:r>
          </w:p>
        </w:tc>
        <w:tc>
          <w:tcPr>
            <w:tcW w:w="2659"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2C969560">
            <w:pPr>
              <w:spacing w:line="360" w:lineRule="auto"/>
              <w:jc w:val="center"/>
              <w:rPr>
                <w:rFonts w:hint="eastAsia" w:ascii="宋体" w:hAnsi="宋体" w:eastAsia="宋体" w:cs="宋体"/>
                <w:color w:val="auto"/>
                <w:kern w:val="0"/>
                <w:sz w:val="24"/>
                <w:highlight w:val="none"/>
              </w:rPr>
            </w:pPr>
          </w:p>
        </w:tc>
        <w:tc>
          <w:tcPr>
            <w:tcW w:w="3924"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5464D63F">
            <w:pPr>
              <w:spacing w:line="360" w:lineRule="auto"/>
              <w:jc w:val="center"/>
              <w:rPr>
                <w:rFonts w:hint="eastAsia" w:ascii="宋体" w:hAnsi="宋体" w:eastAsia="宋体" w:cs="宋体"/>
                <w:color w:val="auto"/>
                <w:kern w:val="0"/>
                <w:sz w:val="24"/>
                <w:highlight w:val="none"/>
              </w:rPr>
            </w:pPr>
          </w:p>
        </w:tc>
        <w:tc>
          <w:tcPr>
            <w:tcW w:w="2064"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0179A337">
            <w:pPr>
              <w:spacing w:line="360" w:lineRule="auto"/>
              <w:jc w:val="center"/>
              <w:rPr>
                <w:rFonts w:hint="eastAsia" w:ascii="宋体" w:hAnsi="宋体" w:eastAsia="宋体" w:cs="宋体"/>
                <w:color w:val="auto"/>
                <w:kern w:val="0"/>
                <w:sz w:val="24"/>
                <w:highlight w:val="none"/>
              </w:rPr>
            </w:pPr>
          </w:p>
        </w:tc>
      </w:tr>
      <w:tr w14:paraId="0947C2F0">
        <w:tblPrEx>
          <w:tblCellMar>
            <w:top w:w="0" w:type="dxa"/>
            <w:left w:w="0" w:type="dxa"/>
            <w:bottom w:w="0" w:type="dxa"/>
            <w:right w:w="0" w:type="dxa"/>
          </w:tblCellMar>
        </w:tblPrEx>
        <w:tc>
          <w:tcPr>
            <w:tcW w:w="1005"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4E171B04">
            <w:pPr>
              <w:spacing w:line="360" w:lineRule="auto"/>
              <w:jc w:val="center"/>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2</w:t>
            </w:r>
          </w:p>
        </w:tc>
        <w:tc>
          <w:tcPr>
            <w:tcW w:w="2659"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56BA9FD6">
            <w:pPr>
              <w:spacing w:line="360" w:lineRule="auto"/>
              <w:jc w:val="center"/>
              <w:rPr>
                <w:rFonts w:hint="eastAsia" w:ascii="宋体" w:hAnsi="宋体" w:eastAsia="宋体" w:cs="宋体"/>
                <w:color w:val="auto"/>
                <w:kern w:val="0"/>
                <w:sz w:val="24"/>
                <w:highlight w:val="none"/>
              </w:rPr>
            </w:pPr>
          </w:p>
        </w:tc>
        <w:tc>
          <w:tcPr>
            <w:tcW w:w="3924"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76ADEC0B">
            <w:pPr>
              <w:spacing w:line="360" w:lineRule="auto"/>
              <w:jc w:val="center"/>
              <w:rPr>
                <w:rFonts w:hint="eastAsia" w:ascii="宋体" w:hAnsi="宋体" w:eastAsia="宋体" w:cs="宋体"/>
                <w:color w:val="auto"/>
                <w:kern w:val="0"/>
                <w:sz w:val="24"/>
                <w:highlight w:val="none"/>
              </w:rPr>
            </w:pPr>
          </w:p>
        </w:tc>
        <w:tc>
          <w:tcPr>
            <w:tcW w:w="2064"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49E0129B">
            <w:pPr>
              <w:spacing w:line="360" w:lineRule="auto"/>
              <w:jc w:val="center"/>
              <w:rPr>
                <w:rFonts w:hint="eastAsia" w:ascii="宋体" w:hAnsi="宋体" w:eastAsia="宋体" w:cs="宋体"/>
                <w:color w:val="auto"/>
                <w:kern w:val="0"/>
                <w:sz w:val="24"/>
                <w:highlight w:val="none"/>
              </w:rPr>
            </w:pPr>
          </w:p>
        </w:tc>
      </w:tr>
      <w:tr w14:paraId="5193B887">
        <w:tblPrEx>
          <w:tblCellMar>
            <w:top w:w="0" w:type="dxa"/>
            <w:left w:w="0" w:type="dxa"/>
            <w:bottom w:w="0" w:type="dxa"/>
            <w:right w:w="0" w:type="dxa"/>
          </w:tblCellMar>
        </w:tblPrEx>
        <w:tc>
          <w:tcPr>
            <w:tcW w:w="1005"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377E83A1">
            <w:pPr>
              <w:spacing w:line="360" w:lineRule="auto"/>
              <w:jc w:val="center"/>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3</w:t>
            </w:r>
          </w:p>
        </w:tc>
        <w:tc>
          <w:tcPr>
            <w:tcW w:w="2659"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036E7377">
            <w:pPr>
              <w:spacing w:line="360" w:lineRule="auto"/>
              <w:jc w:val="center"/>
              <w:rPr>
                <w:rFonts w:hint="eastAsia" w:ascii="宋体" w:hAnsi="宋体" w:eastAsia="宋体" w:cs="宋体"/>
                <w:color w:val="auto"/>
                <w:kern w:val="0"/>
                <w:sz w:val="24"/>
                <w:highlight w:val="none"/>
              </w:rPr>
            </w:pPr>
          </w:p>
        </w:tc>
        <w:tc>
          <w:tcPr>
            <w:tcW w:w="3924"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349B4842">
            <w:pPr>
              <w:spacing w:line="360" w:lineRule="auto"/>
              <w:jc w:val="center"/>
              <w:rPr>
                <w:rFonts w:hint="eastAsia" w:ascii="宋体" w:hAnsi="宋体" w:eastAsia="宋体" w:cs="宋体"/>
                <w:color w:val="auto"/>
                <w:kern w:val="0"/>
                <w:sz w:val="24"/>
                <w:highlight w:val="none"/>
              </w:rPr>
            </w:pPr>
          </w:p>
        </w:tc>
        <w:tc>
          <w:tcPr>
            <w:tcW w:w="2064"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06FD3E15">
            <w:pPr>
              <w:spacing w:line="360" w:lineRule="auto"/>
              <w:jc w:val="center"/>
              <w:rPr>
                <w:rFonts w:hint="eastAsia" w:ascii="宋体" w:hAnsi="宋体" w:eastAsia="宋体" w:cs="宋体"/>
                <w:color w:val="auto"/>
                <w:kern w:val="0"/>
                <w:sz w:val="24"/>
                <w:highlight w:val="none"/>
              </w:rPr>
            </w:pPr>
          </w:p>
        </w:tc>
      </w:tr>
      <w:tr w14:paraId="192B60B6">
        <w:tblPrEx>
          <w:tblCellMar>
            <w:top w:w="0" w:type="dxa"/>
            <w:left w:w="0" w:type="dxa"/>
            <w:bottom w:w="0" w:type="dxa"/>
            <w:right w:w="0" w:type="dxa"/>
          </w:tblCellMar>
        </w:tblPrEx>
        <w:tc>
          <w:tcPr>
            <w:tcW w:w="1005"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756FA427">
            <w:pPr>
              <w:spacing w:line="360" w:lineRule="auto"/>
              <w:jc w:val="center"/>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w:t>
            </w:r>
          </w:p>
        </w:tc>
        <w:tc>
          <w:tcPr>
            <w:tcW w:w="2659"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59B0FA87">
            <w:pPr>
              <w:spacing w:line="360" w:lineRule="auto"/>
              <w:jc w:val="center"/>
              <w:rPr>
                <w:rFonts w:hint="eastAsia" w:ascii="宋体" w:hAnsi="宋体" w:eastAsia="宋体" w:cs="宋体"/>
                <w:color w:val="auto"/>
                <w:kern w:val="0"/>
                <w:sz w:val="24"/>
                <w:highlight w:val="none"/>
              </w:rPr>
            </w:pPr>
          </w:p>
        </w:tc>
        <w:tc>
          <w:tcPr>
            <w:tcW w:w="3924"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0AA656DF">
            <w:pPr>
              <w:spacing w:line="360" w:lineRule="auto"/>
              <w:jc w:val="center"/>
              <w:rPr>
                <w:rFonts w:hint="eastAsia" w:ascii="宋体" w:hAnsi="宋体" w:eastAsia="宋体" w:cs="宋体"/>
                <w:color w:val="auto"/>
                <w:kern w:val="0"/>
                <w:sz w:val="24"/>
                <w:highlight w:val="none"/>
              </w:rPr>
            </w:pPr>
          </w:p>
        </w:tc>
        <w:tc>
          <w:tcPr>
            <w:tcW w:w="2064"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08DD7FD9">
            <w:pPr>
              <w:spacing w:line="360" w:lineRule="auto"/>
              <w:jc w:val="center"/>
              <w:rPr>
                <w:rFonts w:hint="eastAsia" w:ascii="宋体" w:hAnsi="宋体" w:eastAsia="宋体" w:cs="宋体"/>
                <w:color w:val="auto"/>
                <w:kern w:val="0"/>
                <w:sz w:val="24"/>
                <w:highlight w:val="none"/>
              </w:rPr>
            </w:pPr>
          </w:p>
        </w:tc>
      </w:tr>
    </w:tbl>
    <w:p w14:paraId="4C19C3FC">
      <w:pPr>
        <w:snapToGrid w:val="0"/>
        <w:spacing w:line="360" w:lineRule="auto"/>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注：</w:t>
      </w:r>
    </w:p>
    <w:p w14:paraId="19BE5266">
      <w:pPr>
        <w:snapToGrid w:val="0"/>
        <w:spacing w:line="360" w:lineRule="auto"/>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1.管理关系：是指不具有出资持股关系的其他单位之间存在的管理与被管理关系，如一些上下级关系的事业单位和团体组织。</w:t>
      </w:r>
    </w:p>
    <w:p w14:paraId="19B4832A">
      <w:pPr>
        <w:snapToGrid w:val="0"/>
        <w:spacing w:line="360" w:lineRule="auto"/>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2.</w:t>
      </w:r>
      <w:r>
        <w:rPr>
          <w:rFonts w:hint="eastAsia" w:ascii="宋体" w:hAnsi="宋体" w:eastAsia="宋体" w:cs="宋体"/>
          <w:color w:val="auto"/>
          <w:spacing w:val="-6"/>
          <w:sz w:val="24"/>
          <w:highlight w:val="none"/>
        </w:rPr>
        <w:t>本表所指的管理关系仅限于直接管理关系，不包括间接的管理关系。</w:t>
      </w:r>
    </w:p>
    <w:p w14:paraId="708C22A0">
      <w:pPr>
        <w:snapToGrid w:val="0"/>
        <w:spacing w:line="360" w:lineRule="auto"/>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3.供应商不存在直接管理关系的，则填“无”。</w:t>
      </w:r>
    </w:p>
    <w:p w14:paraId="2D208A29">
      <w:pPr>
        <w:snapToGrid w:val="0"/>
        <w:spacing w:line="360" w:lineRule="auto"/>
        <w:jc w:val="left"/>
        <w:rPr>
          <w:rFonts w:hint="eastAsia" w:ascii="宋体" w:hAnsi="宋体" w:eastAsia="宋体" w:cs="宋体"/>
          <w:color w:val="auto"/>
          <w:sz w:val="24"/>
          <w:highlight w:val="none"/>
        </w:rPr>
      </w:pPr>
    </w:p>
    <w:p w14:paraId="237389E0">
      <w:pPr>
        <w:snapToGrid w:val="0"/>
        <w:spacing w:line="360" w:lineRule="auto"/>
        <w:jc w:val="left"/>
        <w:rPr>
          <w:rFonts w:hint="eastAsia" w:ascii="宋体" w:hAnsi="宋体" w:eastAsia="宋体" w:cs="宋体"/>
          <w:color w:val="auto"/>
          <w:sz w:val="24"/>
          <w:highlight w:val="none"/>
        </w:rPr>
      </w:pPr>
    </w:p>
    <w:p w14:paraId="62BD0EB6">
      <w:pPr>
        <w:snapToGrid w:val="0"/>
        <w:spacing w:line="360" w:lineRule="auto"/>
        <w:jc w:val="left"/>
        <w:rPr>
          <w:rFonts w:hint="eastAsia" w:ascii="宋体" w:hAnsi="宋体" w:eastAsia="宋体" w:cs="宋体"/>
          <w:color w:val="auto"/>
          <w:sz w:val="24"/>
          <w:highlight w:val="none"/>
        </w:rPr>
      </w:pPr>
    </w:p>
    <w:p w14:paraId="14C1993E">
      <w:pPr>
        <w:snapToGrid w:val="0"/>
        <w:spacing w:line="360" w:lineRule="auto"/>
        <w:jc w:val="left"/>
        <w:rPr>
          <w:rFonts w:hint="eastAsia" w:ascii="宋体" w:hAnsi="宋体" w:eastAsia="宋体" w:cs="宋体"/>
          <w:color w:val="auto"/>
          <w:sz w:val="24"/>
          <w:highlight w:val="none"/>
        </w:rPr>
      </w:pPr>
    </w:p>
    <w:p w14:paraId="5F21A0EA">
      <w:pPr>
        <w:snapToGrid w:val="0"/>
        <w:spacing w:line="360" w:lineRule="auto"/>
        <w:jc w:val="left"/>
        <w:rPr>
          <w:rFonts w:hint="eastAsia" w:ascii="宋体" w:hAnsi="宋体" w:eastAsia="宋体" w:cs="宋体"/>
          <w:color w:val="auto"/>
          <w:sz w:val="24"/>
          <w:highlight w:val="none"/>
        </w:rPr>
      </w:pPr>
    </w:p>
    <w:p w14:paraId="32B72BCA">
      <w:pPr>
        <w:snapToGrid w:val="0"/>
        <w:spacing w:line="360" w:lineRule="auto"/>
        <w:jc w:val="left"/>
        <w:rPr>
          <w:rFonts w:hint="eastAsia" w:ascii="宋体" w:hAnsi="宋体" w:eastAsia="宋体" w:cs="宋体"/>
          <w:color w:val="auto"/>
          <w:sz w:val="24"/>
          <w:highlight w:val="none"/>
        </w:rPr>
      </w:pPr>
    </w:p>
    <w:p w14:paraId="25B30CF4">
      <w:pPr>
        <w:snapToGrid w:val="0"/>
        <w:spacing w:line="360" w:lineRule="auto"/>
        <w:jc w:val="left"/>
        <w:rPr>
          <w:rFonts w:hint="eastAsia" w:ascii="宋体" w:hAnsi="宋体" w:eastAsia="宋体" w:cs="宋体"/>
          <w:color w:val="auto"/>
          <w:sz w:val="24"/>
          <w:highlight w:val="none"/>
        </w:rPr>
      </w:pPr>
    </w:p>
    <w:p w14:paraId="63116DFD">
      <w:pPr>
        <w:snapToGrid w:val="0"/>
        <w:spacing w:before="159" w:beforeLines="50" w:line="360" w:lineRule="auto"/>
        <w:ind w:right="480" w:firstLine="3967" w:firstLineChars="1653"/>
        <w:rPr>
          <w:rFonts w:hint="eastAsia" w:ascii="宋体" w:hAnsi="宋体" w:eastAsia="宋体" w:cs="宋体"/>
          <w:color w:val="auto"/>
          <w:sz w:val="24"/>
          <w:highlight w:val="none"/>
          <w:u w:val="single"/>
        </w:rPr>
      </w:pPr>
      <w:r>
        <w:rPr>
          <w:rFonts w:hint="eastAsia" w:ascii="宋体" w:hAnsi="宋体" w:eastAsia="宋体" w:cs="宋体"/>
          <w:color w:val="auto"/>
          <w:sz w:val="24"/>
          <w:highlight w:val="none"/>
        </w:rPr>
        <w:t>法定代表人或者委托代理人（签字）：</w:t>
      </w:r>
      <w:r>
        <w:rPr>
          <w:rFonts w:hint="eastAsia" w:ascii="宋体" w:hAnsi="宋体" w:eastAsia="宋体" w:cs="宋体"/>
          <w:color w:val="auto"/>
          <w:sz w:val="24"/>
          <w:highlight w:val="none"/>
          <w:u w:val="single"/>
        </w:rPr>
        <w:t xml:space="preserve">             </w:t>
      </w:r>
    </w:p>
    <w:p w14:paraId="4B4E8497">
      <w:pPr>
        <w:snapToGrid w:val="0"/>
        <w:spacing w:before="159" w:beforeLines="50" w:after="50" w:line="360" w:lineRule="auto"/>
        <w:ind w:right="480" w:firstLine="5520" w:firstLineChars="2300"/>
        <w:rPr>
          <w:rFonts w:hint="eastAsia" w:ascii="宋体" w:hAnsi="宋体" w:eastAsia="宋体" w:cs="宋体"/>
          <w:color w:val="auto"/>
          <w:sz w:val="24"/>
          <w:highlight w:val="none"/>
        </w:rPr>
      </w:pPr>
      <w:r>
        <w:rPr>
          <w:rFonts w:hint="eastAsia" w:ascii="宋体" w:hAnsi="宋体" w:eastAsia="宋体" w:cs="宋体"/>
          <w:color w:val="auto"/>
          <w:sz w:val="24"/>
          <w:highlight w:val="none"/>
        </w:rPr>
        <w:t>投标人（盖公章）：</w:t>
      </w:r>
      <w:r>
        <w:rPr>
          <w:rFonts w:hint="eastAsia" w:ascii="宋体" w:hAnsi="宋体" w:eastAsia="宋体" w:cs="宋体"/>
          <w:color w:val="auto"/>
          <w:sz w:val="24"/>
          <w:highlight w:val="none"/>
          <w:u w:val="single"/>
        </w:rPr>
        <w:t xml:space="preserve">                 </w:t>
      </w:r>
    </w:p>
    <w:p w14:paraId="2C4EC302">
      <w:pPr>
        <w:snapToGrid w:val="0"/>
        <w:spacing w:before="159" w:beforeLines="50" w:after="50" w:line="360" w:lineRule="auto"/>
        <w:ind w:right="480" w:firstLine="240" w:firstLineChars="100"/>
        <w:jc w:val="right"/>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 年    月    日</w:t>
      </w:r>
    </w:p>
    <w:p w14:paraId="07C9DE10">
      <w:pPr>
        <w:snapToGrid w:val="0"/>
        <w:spacing w:before="50" w:after="159" w:afterLines="50"/>
        <w:jc w:val="left"/>
        <w:rPr>
          <w:rFonts w:hint="eastAsia" w:ascii="宋体" w:hAnsi="宋体" w:eastAsia="宋体" w:cs="宋体"/>
          <w:color w:val="auto"/>
          <w:szCs w:val="21"/>
          <w:highlight w:val="none"/>
        </w:rPr>
      </w:pPr>
    </w:p>
    <w:p w14:paraId="30D9AE35">
      <w:pPr>
        <w:snapToGrid w:val="0"/>
        <w:spacing w:before="159" w:beforeLines="50" w:after="50"/>
        <w:jc w:val="left"/>
        <w:rPr>
          <w:rFonts w:hint="eastAsia" w:ascii="宋体" w:hAnsi="宋体" w:eastAsia="宋体" w:cs="宋体"/>
          <w:b/>
          <w:color w:val="auto"/>
          <w:sz w:val="24"/>
          <w:szCs w:val="20"/>
          <w:highlight w:val="none"/>
        </w:rPr>
      </w:pPr>
    </w:p>
    <w:p w14:paraId="662205F8">
      <w:pPr>
        <w:numPr>
          <w:ilvl w:val="2"/>
          <w:numId w:val="6"/>
        </w:numPr>
        <w:snapToGrid w:val="0"/>
        <w:spacing w:before="159" w:beforeLines="50" w:after="50"/>
        <w:ind w:left="0" w:firstLine="0"/>
        <w:jc w:val="left"/>
        <w:rPr>
          <w:rFonts w:hint="eastAsia" w:ascii="宋体" w:hAnsi="宋体" w:eastAsia="宋体" w:cs="宋体"/>
          <w:b/>
          <w:color w:val="auto"/>
          <w:sz w:val="24"/>
          <w:szCs w:val="20"/>
          <w:highlight w:val="none"/>
        </w:rPr>
      </w:pPr>
      <w:r>
        <w:rPr>
          <w:rFonts w:hint="eastAsia" w:ascii="宋体" w:hAnsi="宋体" w:eastAsia="宋体" w:cs="宋体"/>
          <w:b/>
          <w:color w:val="auto"/>
          <w:sz w:val="24"/>
          <w:highlight w:val="none"/>
        </w:rPr>
        <w:br w:type="page"/>
      </w:r>
      <w:r>
        <w:rPr>
          <w:rFonts w:hint="eastAsia" w:ascii="宋体" w:hAnsi="宋体" w:eastAsia="宋体" w:cs="宋体"/>
          <w:b/>
          <w:color w:val="auto"/>
          <w:sz w:val="24"/>
          <w:highlight w:val="none"/>
        </w:rPr>
        <w:t>投标声明格式</w:t>
      </w:r>
    </w:p>
    <w:p w14:paraId="265BD59E">
      <w:pPr>
        <w:snapToGrid w:val="0"/>
        <w:spacing w:before="50" w:after="159" w:afterLines="50"/>
        <w:jc w:val="left"/>
        <w:rPr>
          <w:rFonts w:hint="eastAsia" w:ascii="宋体" w:hAnsi="宋体" w:eastAsia="宋体" w:cs="宋体"/>
          <w:color w:val="auto"/>
          <w:highlight w:val="none"/>
        </w:rPr>
      </w:pPr>
    </w:p>
    <w:p w14:paraId="221212BC">
      <w:pPr>
        <w:snapToGrid w:val="0"/>
        <w:spacing w:before="50" w:after="159" w:afterLines="50"/>
        <w:jc w:val="center"/>
        <w:rPr>
          <w:rFonts w:hint="eastAsia" w:ascii="宋体" w:hAnsi="宋体" w:eastAsia="宋体" w:cs="宋体"/>
          <w:bCs/>
          <w:color w:val="auto"/>
          <w:sz w:val="44"/>
          <w:szCs w:val="44"/>
          <w:highlight w:val="none"/>
        </w:rPr>
      </w:pPr>
      <w:r>
        <w:rPr>
          <w:rFonts w:hint="eastAsia" w:ascii="宋体" w:hAnsi="宋体" w:eastAsia="宋体" w:cs="宋体"/>
          <w:bCs/>
          <w:color w:val="auto"/>
          <w:sz w:val="44"/>
          <w:szCs w:val="44"/>
          <w:highlight w:val="none"/>
        </w:rPr>
        <w:t>投标声明</w:t>
      </w:r>
    </w:p>
    <w:p w14:paraId="2132C8A6">
      <w:pPr>
        <w:snapToGrid w:val="0"/>
        <w:spacing w:before="50" w:after="159" w:afterLines="50"/>
        <w:jc w:val="center"/>
        <w:rPr>
          <w:rFonts w:hint="eastAsia" w:ascii="宋体" w:hAnsi="宋体" w:eastAsia="宋体" w:cs="宋体"/>
          <w:bCs/>
          <w:color w:val="auto"/>
          <w:sz w:val="44"/>
          <w:szCs w:val="44"/>
          <w:highlight w:val="none"/>
        </w:rPr>
      </w:pPr>
    </w:p>
    <w:p w14:paraId="45AEC395">
      <w:pPr>
        <w:spacing w:line="400" w:lineRule="exact"/>
        <w:contextualSpacing/>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（采购人名称）：</w:t>
      </w:r>
    </w:p>
    <w:p w14:paraId="229A94E9">
      <w:pPr>
        <w:spacing w:line="400" w:lineRule="exact"/>
        <w:ind w:firstLine="523" w:firstLineChars="218"/>
        <w:contextualSpacing/>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我方参加贵单位组织</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项目（项目编号：</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）的政府采购活动。我方在此郑重声明：</w:t>
      </w:r>
    </w:p>
    <w:p w14:paraId="70FE0CC0">
      <w:pPr>
        <w:spacing w:line="400" w:lineRule="exact"/>
        <w:ind w:firstLine="480" w:firstLineChars="200"/>
        <w:contextualSpacing/>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1.我方参加本项目的政府采购活动前三年内在经营活动中没有重大违法记录（重大违法记录是指供应商因违法经营受到刑事处罚或者责令停产停业、吊销许可证或者执照、较大数额罚款等行政处罚），未被列入失信被执行人、</w:t>
      </w:r>
      <w:r>
        <w:rPr>
          <w:rFonts w:hint="eastAsia" w:ascii="宋体" w:hAnsi="宋体" w:eastAsia="宋体" w:cs="宋体"/>
          <w:color w:val="auto"/>
          <w:sz w:val="24"/>
          <w:highlight w:val="none"/>
          <w:lang w:eastAsia="zh-CN"/>
        </w:rPr>
        <w:t>重大税收违法失信主体名单</w:t>
      </w:r>
      <w:r>
        <w:rPr>
          <w:rFonts w:hint="eastAsia" w:ascii="宋体" w:hAnsi="宋体" w:eastAsia="宋体" w:cs="宋体"/>
          <w:color w:val="auto"/>
          <w:sz w:val="24"/>
          <w:highlight w:val="none"/>
        </w:rPr>
        <w:t>、政府采购严重违法失信行为记录名单，完全符合《中华人民共和国政府采购法》第二十二条规定的供应商资格条件，我方对此声明负全部法律责任。</w:t>
      </w:r>
    </w:p>
    <w:p w14:paraId="559455B5">
      <w:pPr>
        <w:spacing w:line="400" w:lineRule="exact"/>
        <w:ind w:firstLine="480" w:firstLineChars="200"/>
        <w:contextualSpacing/>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2.我方不是为本次采购项目提供整体设计、规范编制或者项目管理、监理、检测等服务的供应商。</w:t>
      </w:r>
    </w:p>
    <w:p w14:paraId="779844C7">
      <w:pPr>
        <w:pStyle w:val="2"/>
        <w:ind w:firstLine="480" w:firstLineChars="200"/>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3.我方承诺未被列入国家铁路局《铁路工程建设失信行为认定记录公布管理办法》“黑名单”且在公布期的投标人及其项目主要人员。</w:t>
      </w:r>
    </w:p>
    <w:p w14:paraId="15AAC4B6">
      <w:pPr>
        <w:pStyle w:val="2"/>
        <w:ind w:firstLine="480" w:firstLineChars="200"/>
        <w:rPr>
          <w:rFonts w:hint="eastAsia" w:ascii="宋体" w:hAnsi="宋体" w:cs="宋体"/>
          <w:color w:val="auto"/>
          <w:szCs w:val="21"/>
          <w:highlight w:val="none"/>
          <w:lang w:eastAsia="zh-CN"/>
        </w:rPr>
      </w:pPr>
      <w:r>
        <w:rPr>
          <w:rFonts w:hint="eastAsia" w:ascii="宋体" w:hAnsi="宋体" w:cs="宋体"/>
          <w:color w:val="auto"/>
          <w:kern w:val="2"/>
          <w:sz w:val="24"/>
          <w:szCs w:val="24"/>
          <w:highlight w:val="none"/>
          <w:lang w:val="en-US" w:eastAsia="zh-CN" w:bidi="ar-SA"/>
        </w:rPr>
        <w:t>4.我方</w:t>
      </w:r>
      <w:r>
        <w:rPr>
          <w:rFonts w:hint="eastAsia" w:ascii="宋体" w:hAnsi="宋体" w:eastAsia="宋体" w:cs="宋体"/>
          <w:color w:val="auto"/>
          <w:szCs w:val="21"/>
          <w:highlight w:val="none"/>
        </w:rPr>
        <w:t>不存在被交通运输部和广西交通运输厅取消投标资格或禁止进入公路建设市场且处罚期未满的情形</w:t>
      </w:r>
      <w:r>
        <w:rPr>
          <w:rFonts w:hint="eastAsia" w:ascii="宋体" w:hAnsi="宋体" w:cs="宋体"/>
          <w:color w:val="auto"/>
          <w:szCs w:val="21"/>
          <w:highlight w:val="none"/>
          <w:lang w:eastAsia="zh-CN"/>
        </w:rPr>
        <w:t>。</w:t>
      </w:r>
    </w:p>
    <w:p w14:paraId="42DA8F34">
      <w:pPr>
        <w:ind w:firstLine="480" w:firstLineChars="200"/>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5.我方承诺不属于公益一类事业单位、使用事业编制且由财政拨款保障的群团组织，可以作为政府购买服务的承接主体。</w:t>
      </w:r>
    </w:p>
    <w:p w14:paraId="6FD8CC10">
      <w:pPr>
        <w:spacing w:line="400" w:lineRule="exact"/>
        <w:ind w:firstLine="480" w:firstLineChars="200"/>
        <w:contextualSpacing/>
        <w:jc w:val="left"/>
        <w:rPr>
          <w:rFonts w:hint="eastAsia" w:ascii="宋体" w:hAnsi="宋体" w:eastAsia="宋体" w:cs="宋体"/>
          <w:color w:val="auto"/>
          <w:sz w:val="24"/>
          <w:highlight w:val="none"/>
        </w:rPr>
      </w:pPr>
      <w:r>
        <w:rPr>
          <w:rFonts w:hint="eastAsia" w:ascii="宋体" w:hAnsi="宋体" w:cs="宋体"/>
          <w:color w:val="auto"/>
          <w:sz w:val="24"/>
          <w:highlight w:val="none"/>
          <w:lang w:val="en-US" w:eastAsia="zh-CN"/>
        </w:rPr>
        <w:t>6</w:t>
      </w:r>
      <w:r>
        <w:rPr>
          <w:rFonts w:hint="eastAsia" w:ascii="宋体" w:hAnsi="宋体" w:eastAsia="宋体" w:cs="宋体"/>
          <w:color w:val="auto"/>
          <w:sz w:val="24"/>
          <w:highlight w:val="none"/>
        </w:rPr>
        <w:t>. 我方承诺符合《中华人民共和国政府采购法》第二十二条规定：</w:t>
      </w:r>
    </w:p>
    <w:p w14:paraId="385F5033">
      <w:pPr>
        <w:spacing w:line="400" w:lineRule="exact"/>
        <w:ind w:firstLine="480" w:firstLineChars="200"/>
        <w:contextualSpacing/>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（一）具有独立承担民事责任的能力；</w:t>
      </w:r>
    </w:p>
    <w:p w14:paraId="40C57A5F">
      <w:pPr>
        <w:spacing w:line="400" w:lineRule="exact"/>
        <w:ind w:firstLine="480" w:firstLineChars="200"/>
        <w:contextualSpacing/>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（二）具有良好的商业信誉和健全的财务会计制度；</w:t>
      </w:r>
    </w:p>
    <w:p w14:paraId="3C780E7F">
      <w:pPr>
        <w:spacing w:line="400" w:lineRule="exact"/>
        <w:ind w:firstLine="480" w:firstLineChars="200"/>
        <w:contextualSpacing/>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（三）具有履行合同所必需的设备和专业技术能力；</w:t>
      </w:r>
    </w:p>
    <w:p w14:paraId="31D5F023">
      <w:pPr>
        <w:spacing w:line="400" w:lineRule="exact"/>
        <w:ind w:firstLine="480" w:firstLineChars="200"/>
        <w:contextualSpacing/>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（四）有依法缴纳税收和社会保障资金的良好记录；</w:t>
      </w:r>
    </w:p>
    <w:p w14:paraId="00DD82EE">
      <w:pPr>
        <w:spacing w:line="400" w:lineRule="exact"/>
        <w:ind w:firstLine="480" w:firstLineChars="200"/>
        <w:contextualSpacing/>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（五）参加政府采购活动前三年内，在经营活动中没有重大违法记录；</w:t>
      </w:r>
    </w:p>
    <w:p w14:paraId="3627CE94">
      <w:pPr>
        <w:spacing w:line="400" w:lineRule="exact"/>
        <w:ind w:firstLine="480" w:firstLineChars="200"/>
        <w:contextualSpacing/>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（六）法律、行政法规规定的其他条件。</w:t>
      </w:r>
    </w:p>
    <w:p w14:paraId="43217603">
      <w:pPr>
        <w:spacing w:line="400" w:lineRule="exact"/>
        <w:ind w:firstLine="480" w:firstLineChars="200"/>
        <w:contextualSpacing/>
        <w:jc w:val="left"/>
        <w:rPr>
          <w:rFonts w:hint="eastAsia" w:ascii="宋体" w:hAnsi="宋体" w:eastAsia="宋体" w:cs="宋体"/>
          <w:color w:val="auto"/>
          <w:sz w:val="24"/>
          <w:highlight w:val="none"/>
        </w:rPr>
      </w:pPr>
      <w:r>
        <w:rPr>
          <w:rFonts w:hint="eastAsia" w:ascii="宋体" w:hAnsi="宋体" w:cs="宋体"/>
          <w:color w:val="auto"/>
          <w:sz w:val="24"/>
          <w:highlight w:val="none"/>
          <w:lang w:val="en-US" w:eastAsia="zh-CN"/>
        </w:rPr>
        <w:t>7</w:t>
      </w:r>
      <w:r>
        <w:rPr>
          <w:rFonts w:hint="eastAsia" w:ascii="宋体" w:hAnsi="宋体" w:eastAsia="宋体" w:cs="宋体"/>
          <w:color w:val="auto"/>
          <w:sz w:val="24"/>
          <w:highlight w:val="none"/>
        </w:rPr>
        <w:t>.以上事项如有虚假或者隐瞒，我方愿意承担一切后果，并不再寻求任何旨在减轻或者免除法律责任的辩解。</w:t>
      </w:r>
    </w:p>
    <w:p w14:paraId="7F8D49AC">
      <w:pPr>
        <w:spacing w:line="400" w:lineRule="exact"/>
        <w:contextualSpacing/>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    特此承诺。</w:t>
      </w:r>
    </w:p>
    <w:p w14:paraId="4B91C4DA">
      <w:pPr>
        <w:spacing w:line="400" w:lineRule="exact"/>
        <w:contextualSpacing/>
        <w:jc w:val="left"/>
        <w:rPr>
          <w:rFonts w:hint="eastAsia" w:ascii="宋体" w:hAnsi="宋体" w:eastAsia="宋体" w:cs="宋体"/>
          <w:b/>
          <w:color w:val="auto"/>
          <w:sz w:val="24"/>
          <w:highlight w:val="none"/>
        </w:rPr>
      </w:pPr>
      <w:r>
        <w:rPr>
          <w:rFonts w:hint="eastAsia" w:ascii="宋体" w:hAnsi="宋体" w:eastAsia="宋体" w:cs="宋体"/>
          <w:b/>
          <w:color w:val="auto"/>
          <w:sz w:val="24"/>
          <w:highlight w:val="none"/>
        </w:rPr>
        <w:t xml:space="preserve">    注：如为联合体投标，盖章处须加盖联合体各方公章并由联合体各方法定代表人分别签字，否则投标无效。</w:t>
      </w:r>
    </w:p>
    <w:p w14:paraId="0CE68616">
      <w:pPr>
        <w:spacing w:line="400" w:lineRule="exact"/>
        <w:contextualSpacing/>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                                          法定代表人（签字或者盖章）：</w:t>
      </w:r>
      <w:r>
        <w:rPr>
          <w:rFonts w:hint="eastAsia" w:ascii="宋体" w:hAnsi="宋体" w:eastAsia="宋体" w:cs="宋体"/>
          <w:color w:val="auto"/>
          <w:sz w:val="24"/>
          <w:highlight w:val="none"/>
          <w:u w:val="single"/>
        </w:rPr>
        <w:t xml:space="preserve">             </w:t>
      </w:r>
    </w:p>
    <w:p w14:paraId="73FFAE1C">
      <w:pPr>
        <w:spacing w:line="400" w:lineRule="exact"/>
        <w:contextualSpacing/>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                                          投标人（盖公章）：</w:t>
      </w:r>
      <w:r>
        <w:rPr>
          <w:rFonts w:hint="eastAsia" w:ascii="宋体" w:hAnsi="宋体" w:eastAsia="宋体" w:cs="宋体"/>
          <w:color w:val="auto"/>
          <w:sz w:val="24"/>
          <w:highlight w:val="none"/>
          <w:u w:val="single"/>
        </w:rPr>
        <w:t xml:space="preserve">                 </w:t>
      </w:r>
    </w:p>
    <w:p w14:paraId="79913F9F">
      <w:pPr>
        <w:spacing w:line="400" w:lineRule="exact"/>
        <w:contextualSpacing/>
        <w:jc w:val="left"/>
        <w:rPr>
          <w:rFonts w:hint="eastAsia" w:ascii="宋体" w:hAnsi="宋体" w:eastAsia="宋体" w:cs="宋体"/>
          <w:color w:val="auto"/>
          <w:highlight w:val="none"/>
        </w:rPr>
      </w:pPr>
      <w:r>
        <w:rPr>
          <w:rFonts w:hint="eastAsia" w:ascii="宋体" w:hAnsi="宋体" w:eastAsia="宋体" w:cs="宋体"/>
          <w:color w:val="auto"/>
          <w:sz w:val="24"/>
          <w:highlight w:val="none"/>
        </w:rPr>
        <w:t xml:space="preserve">                                                  年    月    日</w:t>
      </w:r>
    </w:p>
    <w:p w14:paraId="213F40A0">
      <w:pPr>
        <w:rPr>
          <w:rFonts w:hint="eastAsia" w:ascii="宋体" w:hAnsi="宋体" w:eastAsia="宋体" w:cs="宋体"/>
          <w:b/>
          <w:color w:val="auto"/>
          <w:sz w:val="28"/>
          <w:szCs w:val="28"/>
          <w:highlight w:val="none"/>
        </w:rPr>
      </w:pPr>
      <w:bookmarkStart w:id="160" w:name="_Toc19686838"/>
      <w:r>
        <w:rPr>
          <w:rFonts w:hint="eastAsia" w:ascii="宋体" w:hAnsi="宋体" w:eastAsia="宋体" w:cs="宋体"/>
          <w:b/>
          <w:color w:val="auto"/>
          <w:sz w:val="28"/>
          <w:szCs w:val="28"/>
          <w:highlight w:val="none"/>
        </w:rPr>
        <w:br w:type="page"/>
      </w:r>
      <w:r>
        <w:rPr>
          <w:rFonts w:hint="eastAsia" w:ascii="宋体" w:hAnsi="宋体" w:eastAsia="宋体" w:cs="宋体"/>
          <w:b/>
          <w:color w:val="auto"/>
          <w:sz w:val="28"/>
          <w:szCs w:val="28"/>
          <w:highlight w:val="none"/>
        </w:rPr>
        <w:t>三、商务文件格式</w:t>
      </w:r>
      <w:bookmarkEnd w:id="160"/>
    </w:p>
    <w:p w14:paraId="70F9E8A9">
      <w:pPr>
        <w:snapToGrid w:val="0"/>
        <w:spacing w:before="159" w:beforeLines="50" w:after="50" w:line="360" w:lineRule="auto"/>
        <w:jc w:val="left"/>
        <w:rPr>
          <w:rFonts w:hint="eastAsia" w:ascii="宋体" w:hAnsi="宋体" w:eastAsia="宋体" w:cs="宋体"/>
          <w:b/>
          <w:color w:val="auto"/>
          <w:sz w:val="24"/>
          <w:highlight w:val="none"/>
        </w:rPr>
      </w:pPr>
      <w:r>
        <w:rPr>
          <w:rFonts w:hint="eastAsia" w:ascii="宋体" w:hAnsi="宋体" w:eastAsia="宋体" w:cs="宋体"/>
          <w:b/>
          <w:color w:val="auto"/>
          <w:sz w:val="24"/>
          <w:highlight w:val="none"/>
        </w:rPr>
        <w:t xml:space="preserve">1.商务文件封面格式： </w:t>
      </w:r>
    </w:p>
    <w:p w14:paraId="42BB8840">
      <w:pPr>
        <w:snapToGrid w:val="0"/>
        <w:spacing w:before="159" w:beforeLines="50" w:after="50"/>
        <w:rPr>
          <w:rFonts w:hint="eastAsia" w:ascii="宋体" w:hAnsi="宋体" w:eastAsia="宋体" w:cs="宋体"/>
          <w:bCs/>
          <w:color w:val="auto"/>
          <w:sz w:val="32"/>
          <w:szCs w:val="20"/>
          <w:highlight w:val="none"/>
        </w:rPr>
      </w:pPr>
      <w:r>
        <w:rPr>
          <w:rFonts w:hint="eastAsia" w:ascii="宋体" w:hAnsi="宋体" w:eastAsia="宋体" w:cs="宋体"/>
          <w:color w:val="auto"/>
          <w:sz w:val="24"/>
          <w:highlight w:val="none"/>
        </w:rPr>
        <w:t xml:space="preserve">                                                 </w:t>
      </w:r>
    </w:p>
    <w:p w14:paraId="0844C9B1">
      <w:pPr>
        <w:snapToGrid w:val="0"/>
        <w:spacing w:before="159" w:beforeLines="50" w:after="50"/>
        <w:rPr>
          <w:rFonts w:hint="eastAsia" w:ascii="宋体" w:hAnsi="宋体" w:eastAsia="宋体" w:cs="宋体"/>
          <w:color w:val="auto"/>
          <w:sz w:val="24"/>
          <w:szCs w:val="20"/>
          <w:highlight w:val="none"/>
        </w:rPr>
      </w:pPr>
    </w:p>
    <w:p w14:paraId="7F208E11">
      <w:pPr>
        <w:snapToGrid w:val="0"/>
        <w:spacing w:before="159" w:beforeLines="50" w:after="50"/>
        <w:rPr>
          <w:rFonts w:hint="eastAsia" w:ascii="宋体" w:hAnsi="宋体" w:eastAsia="宋体" w:cs="宋体"/>
          <w:color w:val="auto"/>
          <w:sz w:val="24"/>
          <w:szCs w:val="20"/>
          <w:highlight w:val="none"/>
        </w:rPr>
      </w:pPr>
    </w:p>
    <w:p w14:paraId="773EBB46">
      <w:pPr>
        <w:snapToGrid w:val="0"/>
        <w:spacing w:before="159" w:beforeLines="50" w:after="50"/>
        <w:rPr>
          <w:rFonts w:hint="eastAsia" w:ascii="宋体" w:hAnsi="宋体" w:eastAsia="宋体" w:cs="宋体"/>
          <w:color w:val="auto"/>
          <w:sz w:val="24"/>
          <w:szCs w:val="20"/>
          <w:highlight w:val="none"/>
        </w:rPr>
      </w:pPr>
    </w:p>
    <w:p w14:paraId="5A53C542">
      <w:pPr>
        <w:snapToGrid w:val="0"/>
        <w:spacing w:before="159" w:beforeLines="50" w:after="50"/>
        <w:jc w:val="center"/>
        <w:rPr>
          <w:rFonts w:hint="eastAsia" w:ascii="宋体" w:hAnsi="宋体" w:eastAsia="宋体" w:cs="宋体"/>
          <w:color w:val="auto"/>
          <w:sz w:val="84"/>
          <w:szCs w:val="84"/>
          <w:highlight w:val="none"/>
        </w:rPr>
      </w:pPr>
      <w:r>
        <w:rPr>
          <w:rFonts w:hint="eastAsia" w:ascii="宋体" w:hAnsi="宋体" w:eastAsia="宋体" w:cs="宋体"/>
          <w:color w:val="auto"/>
          <w:sz w:val="84"/>
          <w:szCs w:val="84"/>
          <w:highlight w:val="none"/>
        </w:rPr>
        <w:t>投  标  文  件</w:t>
      </w:r>
    </w:p>
    <w:p w14:paraId="6B773133">
      <w:pPr>
        <w:snapToGrid w:val="0"/>
        <w:spacing w:before="159" w:beforeLines="50" w:after="50"/>
        <w:rPr>
          <w:rFonts w:hint="eastAsia" w:ascii="宋体" w:hAnsi="宋体" w:eastAsia="宋体" w:cs="宋体"/>
          <w:color w:val="auto"/>
          <w:sz w:val="24"/>
          <w:szCs w:val="20"/>
          <w:highlight w:val="none"/>
        </w:rPr>
      </w:pPr>
    </w:p>
    <w:p w14:paraId="7B62BB05">
      <w:pPr>
        <w:snapToGrid w:val="0"/>
        <w:spacing w:before="159" w:beforeLines="50" w:after="50"/>
        <w:rPr>
          <w:rFonts w:hint="eastAsia" w:ascii="宋体" w:hAnsi="宋体" w:eastAsia="宋体" w:cs="宋体"/>
          <w:color w:val="auto"/>
          <w:sz w:val="24"/>
          <w:szCs w:val="20"/>
          <w:highlight w:val="none"/>
        </w:rPr>
      </w:pPr>
    </w:p>
    <w:p w14:paraId="2F8BE10F">
      <w:pPr>
        <w:snapToGrid w:val="0"/>
        <w:spacing w:before="159" w:beforeLines="50" w:after="50"/>
        <w:jc w:val="center"/>
        <w:outlineLvl w:val="0"/>
        <w:rPr>
          <w:rFonts w:hint="eastAsia" w:ascii="宋体" w:hAnsi="宋体" w:eastAsia="宋体" w:cs="宋体"/>
          <w:bCs/>
          <w:color w:val="auto"/>
          <w:sz w:val="32"/>
          <w:szCs w:val="32"/>
          <w:highlight w:val="none"/>
        </w:rPr>
      </w:pPr>
      <w:r>
        <w:rPr>
          <w:rFonts w:hint="eastAsia" w:ascii="宋体" w:hAnsi="宋体" w:eastAsia="宋体" w:cs="宋体"/>
          <w:bCs/>
          <w:color w:val="auto"/>
          <w:sz w:val="32"/>
          <w:szCs w:val="32"/>
          <w:highlight w:val="none"/>
        </w:rPr>
        <w:t>商  务  文  件</w:t>
      </w:r>
    </w:p>
    <w:p w14:paraId="0A0E9AA4">
      <w:pPr>
        <w:snapToGrid w:val="0"/>
        <w:spacing w:before="159" w:beforeLines="50" w:after="50"/>
        <w:rPr>
          <w:rFonts w:hint="eastAsia" w:ascii="宋体" w:hAnsi="宋体" w:eastAsia="宋体" w:cs="宋体"/>
          <w:bCs/>
          <w:color w:val="auto"/>
          <w:sz w:val="24"/>
          <w:szCs w:val="20"/>
          <w:highlight w:val="none"/>
        </w:rPr>
      </w:pPr>
    </w:p>
    <w:p w14:paraId="776A215A">
      <w:pPr>
        <w:snapToGrid w:val="0"/>
        <w:spacing w:before="159" w:beforeLines="50" w:after="50"/>
        <w:ind w:firstLine="540" w:firstLineChars="225"/>
        <w:rPr>
          <w:rFonts w:hint="eastAsia" w:ascii="宋体" w:hAnsi="宋体" w:eastAsia="宋体" w:cs="宋体"/>
          <w:bCs/>
          <w:color w:val="auto"/>
          <w:sz w:val="24"/>
          <w:highlight w:val="none"/>
        </w:rPr>
      </w:pPr>
    </w:p>
    <w:p w14:paraId="4B57ADCD">
      <w:pPr>
        <w:snapToGrid w:val="0"/>
        <w:spacing w:before="159" w:beforeLines="50" w:after="50"/>
        <w:ind w:firstLine="540" w:firstLineChars="225"/>
        <w:rPr>
          <w:rFonts w:hint="eastAsia" w:ascii="宋体" w:hAnsi="宋体" w:eastAsia="宋体" w:cs="宋体"/>
          <w:bCs/>
          <w:color w:val="auto"/>
          <w:sz w:val="24"/>
          <w:highlight w:val="none"/>
        </w:rPr>
      </w:pPr>
    </w:p>
    <w:p w14:paraId="5DFA5C31">
      <w:pPr>
        <w:snapToGrid w:val="0"/>
        <w:spacing w:before="159" w:beforeLines="50" w:after="50"/>
        <w:ind w:firstLine="540" w:firstLineChars="225"/>
        <w:rPr>
          <w:rFonts w:hint="eastAsia" w:ascii="宋体" w:hAnsi="宋体" w:eastAsia="宋体" w:cs="宋体"/>
          <w:bCs/>
          <w:color w:val="auto"/>
          <w:sz w:val="24"/>
          <w:highlight w:val="none"/>
        </w:rPr>
      </w:pPr>
    </w:p>
    <w:p w14:paraId="0A8772B8">
      <w:pPr>
        <w:snapToGrid w:val="0"/>
        <w:spacing w:before="159" w:beforeLines="50" w:after="50"/>
        <w:ind w:firstLine="540" w:firstLineChars="225"/>
        <w:rPr>
          <w:rFonts w:hint="eastAsia" w:ascii="宋体" w:hAnsi="宋体" w:eastAsia="宋体" w:cs="宋体"/>
          <w:bCs/>
          <w:color w:val="auto"/>
          <w:sz w:val="24"/>
          <w:highlight w:val="none"/>
        </w:rPr>
      </w:pPr>
      <w:r>
        <w:rPr>
          <w:rFonts w:hint="eastAsia" w:ascii="宋体" w:hAnsi="宋体" w:eastAsia="宋体" w:cs="宋体"/>
          <w:bCs/>
          <w:color w:val="auto"/>
          <w:sz w:val="24"/>
          <w:highlight w:val="none"/>
        </w:rPr>
        <w:t>项目名称：</w:t>
      </w:r>
    </w:p>
    <w:p w14:paraId="180C3194">
      <w:pPr>
        <w:snapToGrid w:val="0"/>
        <w:spacing w:before="159" w:beforeLines="50" w:after="50"/>
        <w:ind w:firstLine="540" w:firstLineChars="225"/>
        <w:rPr>
          <w:rFonts w:hint="eastAsia" w:ascii="宋体" w:hAnsi="宋体" w:eastAsia="宋体" w:cs="宋体"/>
          <w:bCs/>
          <w:color w:val="auto"/>
          <w:sz w:val="24"/>
          <w:szCs w:val="20"/>
          <w:highlight w:val="none"/>
        </w:rPr>
      </w:pPr>
    </w:p>
    <w:p w14:paraId="35AC4396">
      <w:pPr>
        <w:snapToGrid w:val="0"/>
        <w:spacing w:before="159" w:beforeLines="50" w:after="50"/>
        <w:ind w:firstLine="540" w:firstLineChars="225"/>
        <w:rPr>
          <w:rFonts w:hint="eastAsia" w:ascii="宋体" w:hAnsi="宋体" w:eastAsia="宋体" w:cs="宋体"/>
          <w:bCs/>
          <w:color w:val="auto"/>
          <w:sz w:val="24"/>
          <w:highlight w:val="none"/>
        </w:rPr>
      </w:pPr>
      <w:r>
        <w:rPr>
          <w:rFonts w:hint="eastAsia" w:ascii="宋体" w:hAnsi="宋体" w:eastAsia="宋体" w:cs="宋体"/>
          <w:bCs/>
          <w:color w:val="auto"/>
          <w:sz w:val="24"/>
          <w:highlight w:val="none"/>
        </w:rPr>
        <w:t>项目编号：</w:t>
      </w:r>
    </w:p>
    <w:p w14:paraId="5530E8ED">
      <w:pPr>
        <w:snapToGrid w:val="0"/>
        <w:spacing w:before="159" w:beforeLines="50" w:after="50"/>
        <w:ind w:firstLine="540" w:firstLineChars="225"/>
        <w:rPr>
          <w:rFonts w:hint="eastAsia" w:ascii="宋体" w:hAnsi="宋体" w:eastAsia="宋体" w:cs="宋体"/>
          <w:bCs/>
          <w:color w:val="auto"/>
          <w:sz w:val="24"/>
          <w:szCs w:val="20"/>
          <w:highlight w:val="none"/>
        </w:rPr>
      </w:pPr>
      <w:r>
        <w:rPr>
          <w:rFonts w:hint="eastAsia" w:ascii="宋体" w:hAnsi="宋体" w:eastAsia="宋体" w:cs="宋体"/>
          <w:bCs/>
          <w:color w:val="auto"/>
          <w:sz w:val="24"/>
          <w:highlight w:val="none"/>
        </w:rPr>
        <w:t xml:space="preserve"> </w:t>
      </w:r>
    </w:p>
    <w:p w14:paraId="6434F1A9">
      <w:pPr>
        <w:snapToGrid w:val="0"/>
        <w:spacing w:before="159" w:beforeLines="50" w:after="50"/>
        <w:ind w:firstLine="540" w:firstLineChars="225"/>
        <w:rPr>
          <w:rFonts w:hint="eastAsia" w:ascii="宋体" w:hAnsi="宋体" w:eastAsia="宋体" w:cs="宋体"/>
          <w:bCs/>
          <w:color w:val="auto"/>
          <w:sz w:val="24"/>
          <w:highlight w:val="none"/>
        </w:rPr>
      </w:pPr>
      <w:r>
        <w:rPr>
          <w:rFonts w:hint="eastAsia" w:ascii="宋体" w:hAnsi="宋体" w:eastAsia="宋体" w:cs="宋体"/>
          <w:bCs/>
          <w:color w:val="auto"/>
          <w:sz w:val="24"/>
          <w:highlight w:val="none"/>
        </w:rPr>
        <w:t>所投分标：</w:t>
      </w:r>
    </w:p>
    <w:p w14:paraId="0A89CE5E">
      <w:pPr>
        <w:snapToGrid w:val="0"/>
        <w:spacing w:before="159" w:beforeLines="50" w:after="50"/>
        <w:ind w:firstLine="540" w:firstLineChars="225"/>
        <w:rPr>
          <w:rFonts w:hint="eastAsia" w:ascii="宋体" w:hAnsi="宋体" w:eastAsia="宋体" w:cs="宋体"/>
          <w:bCs/>
          <w:color w:val="auto"/>
          <w:sz w:val="24"/>
          <w:szCs w:val="20"/>
          <w:highlight w:val="none"/>
        </w:rPr>
      </w:pPr>
    </w:p>
    <w:p w14:paraId="7A0FBDED">
      <w:pPr>
        <w:pStyle w:val="8"/>
        <w:snapToGrid w:val="0"/>
        <w:spacing w:before="50" w:after="50"/>
        <w:ind w:firstLine="540" w:firstLineChars="225"/>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投标人名称：</w:t>
      </w:r>
    </w:p>
    <w:p w14:paraId="20674FBB">
      <w:pPr>
        <w:pStyle w:val="8"/>
        <w:snapToGrid w:val="0"/>
        <w:spacing w:before="50" w:after="50"/>
        <w:ind w:firstLine="540" w:firstLineChars="225"/>
        <w:rPr>
          <w:rFonts w:hint="eastAsia" w:ascii="宋体" w:hAnsi="宋体" w:eastAsia="宋体" w:cs="宋体"/>
          <w:bCs/>
          <w:color w:val="auto"/>
          <w:sz w:val="24"/>
          <w:szCs w:val="24"/>
          <w:highlight w:val="none"/>
        </w:rPr>
      </w:pPr>
    </w:p>
    <w:p w14:paraId="434C4B8D">
      <w:pPr>
        <w:pStyle w:val="8"/>
        <w:snapToGrid w:val="0"/>
        <w:spacing w:before="50" w:after="50"/>
        <w:ind w:firstLine="540" w:firstLineChars="225"/>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投标人地址：</w:t>
      </w:r>
    </w:p>
    <w:p w14:paraId="0CD7079A">
      <w:pPr>
        <w:pStyle w:val="8"/>
        <w:snapToGrid w:val="0"/>
        <w:spacing w:before="50" w:after="50"/>
        <w:ind w:firstLine="960" w:firstLineChars="400"/>
        <w:rPr>
          <w:rFonts w:hint="eastAsia" w:ascii="宋体" w:hAnsi="宋体" w:eastAsia="宋体" w:cs="宋体"/>
          <w:bCs/>
          <w:color w:val="auto"/>
          <w:sz w:val="24"/>
          <w:szCs w:val="24"/>
          <w:highlight w:val="none"/>
        </w:rPr>
      </w:pPr>
    </w:p>
    <w:p w14:paraId="3CFB0AF5">
      <w:pPr>
        <w:snapToGrid w:val="0"/>
        <w:spacing w:before="159" w:beforeLines="50" w:after="50"/>
        <w:ind w:firstLine="645"/>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                        年  月  日</w:t>
      </w:r>
    </w:p>
    <w:p w14:paraId="2863876D">
      <w:pPr>
        <w:snapToGrid w:val="0"/>
        <w:spacing w:before="159" w:beforeLines="50" w:after="50"/>
        <w:rPr>
          <w:rFonts w:hint="eastAsia" w:ascii="宋体" w:hAnsi="宋体" w:eastAsia="宋体" w:cs="宋体"/>
          <w:color w:val="auto"/>
          <w:sz w:val="24"/>
          <w:szCs w:val="20"/>
          <w:highlight w:val="none"/>
        </w:rPr>
      </w:pPr>
      <w:r>
        <w:rPr>
          <w:rFonts w:hint="eastAsia" w:ascii="宋体" w:hAnsi="宋体" w:eastAsia="宋体" w:cs="宋体"/>
          <w:color w:val="auto"/>
          <w:sz w:val="24"/>
          <w:szCs w:val="20"/>
          <w:highlight w:val="none"/>
        </w:rPr>
        <w:t xml:space="preserve"> </w:t>
      </w:r>
    </w:p>
    <w:p w14:paraId="71407D08">
      <w:pPr>
        <w:snapToGrid w:val="0"/>
        <w:spacing w:line="360" w:lineRule="auto"/>
        <w:jc w:val="left"/>
        <w:rPr>
          <w:rFonts w:hint="eastAsia" w:ascii="宋体" w:hAnsi="宋体" w:eastAsia="宋体" w:cs="宋体"/>
          <w:b/>
          <w:bCs/>
          <w:color w:val="auto"/>
          <w:sz w:val="28"/>
          <w:szCs w:val="28"/>
          <w:highlight w:val="none"/>
        </w:rPr>
      </w:pPr>
      <w:r>
        <w:rPr>
          <w:rFonts w:hint="eastAsia" w:ascii="宋体" w:hAnsi="宋体" w:eastAsia="宋体" w:cs="宋体"/>
          <w:color w:val="auto"/>
          <w:sz w:val="24"/>
          <w:szCs w:val="20"/>
          <w:highlight w:val="none"/>
        </w:rPr>
        <w:br w:type="page"/>
      </w:r>
      <w:r>
        <w:rPr>
          <w:rFonts w:hint="eastAsia" w:ascii="宋体" w:hAnsi="宋体" w:eastAsia="宋体" w:cs="宋体"/>
          <w:b/>
          <w:bCs/>
          <w:color w:val="auto"/>
          <w:sz w:val="24"/>
          <w:highlight w:val="none"/>
        </w:rPr>
        <w:t>2.商务文件目录</w:t>
      </w:r>
    </w:p>
    <w:p w14:paraId="385C127C">
      <w:pPr>
        <w:snapToGrid w:val="0"/>
        <w:spacing w:before="50" w:after="159" w:afterLines="50" w:line="360" w:lineRule="auto"/>
        <w:ind w:firstLine="480" w:firstLineChars="200"/>
        <w:jc w:val="left"/>
        <w:rPr>
          <w:rFonts w:hint="eastAsia" w:ascii="宋体" w:hAnsi="宋体" w:eastAsia="宋体" w:cs="宋体"/>
          <w:b/>
          <w:bCs/>
          <w:color w:val="auto"/>
          <w:sz w:val="32"/>
          <w:szCs w:val="32"/>
          <w:highlight w:val="none"/>
        </w:rPr>
      </w:pPr>
      <w:r>
        <w:rPr>
          <w:rFonts w:hint="eastAsia" w:ascii="宋体" w:hAnsi="宋体" w:eastAsia="宋体" w:cs="宋体"/>
          <w:color w:val="auto"/>
          <w:sz w:val="24"/>
          <w:highlight w:val="none"/>
        </w:rPr>
        <w:t>根据招标文件规定及投标人提供的材料自行编写目录。</w:t>
      </w:r>
    </w:p>
    <w:p w14:paraId="38EE0CFA">
      <w:pPr>
        <w:snapToGrid w:val="0"/>
        <w:spacing w:before="50" w:after="159" w:afterLines="50"/>
        <w:jc w:val="left"/>
        <w:rPr>
          <w:rFonts w:hint="eastAsia" w:ascii="宋体" w:hAnsi="宋体" w:eastAsia="宋体" w:cs="宋体"/>
          <w:color w:val="auto"/>
          <w:highlight w:val="none"/>
        </w:rPr>
      </w:pPr>
    </w:p>
    <w:p w14:paraId="60C80B0E">
      <w:pPr>
        <w:snapToGrid w:val="0"/>
        <w:spacing w:before="159" w:beforeLines="50" w:after="50"/>
        <w:jc w:val="left"/>
        <w:rPr>
          <w:rFonts w:hint="eastAsia" w:ascii="宋体" w:hAnsi="宋体" w:eastAsia="宋体" w:cs="宋体"/>
          <w:b/>
          <w:color w:val="auto"/>
          <w:sz w:val="24"/>
          <w:highlight w:val="none"/>
        </w:rPr>
      </w:pPr>
      <w:r>
        <w:rPr>
          <w:rFonts w:hint="eastAsia" w:ascii="宋体" w:hAnsi="宋体" w:eastAsia="宋体" w:cs="宋体"/>
          <w:b/>
          <w:color w:val="auto"/>
          <w:sz w:val="24"/>
          <w:highlight w:val="none"/>
        </w:rPr>
        <w:br w:type="page"/>
      </w:r>
      <w:r>
        <w:rPr>
          <w:rFonts w:hint="eastAsia" w:ascii="宋体" w:hAnsi="宋体" w:eastAsia="宋体" w:cs="宋体"/>
          <w:b/>
          <w:color w:val="auto"/>
          <w:sz w:val="24"/>
          <w:highlight w:val="none"/>
        </w:rPr>
        <w:t>3.投标人参加本项目无围标串标行为的承诺</w:t>
      </w:r>
    </w:p>
    <w:p w14:paraId="48274491">
      <w:pPr>
        <w:snapToGrid w:val="0"/>
        <w:spacing w:before="159" w:beforeLines="50" w:after="50"/>
        <w:jc w:val="left"/>
        <w:rPr>
          <w:rFonts w:hint="eastAsia" w:ascii="宋体" w:hAnsi="宋体" w:eastAsia="宋体" w:cs="宋体"/>
          <w:b/>
          <w:color w:val="auto"/>
          <w:sz w:val="24"/>
          <w:highlight w:val="none"/>
        </w:rPr>
      </w:pPr>
    </w:p>
    <w:p w14:paraId="781898B2">
      <w:pPr>
        <w:spacing w:line="360" w:lineRule="auto"/>
        <w:ind w:left="420"/>
        <w:contextualSpacing/>
        <w:jc w:val="center"/>
        <w:rPr>
          <w:rFonts w:hint="eastAsia" w:ascii="宋体" w:hAnsi="宋体" w:eastAsia="宋体" w:cs="宋体"/>
          <w:b/>
          <w:color w:val="auto"/>
          <w:sz w:val="24"/>
          <w:highlight w:val="none"/>
        </w:rPr>
      </w:pPr>
      <w:r>
        <w:rPr>
          <w:rFonts w:hint="eastAsia" w:ascii="宋体" w:hAnsi="宋体" w:eastAsia="宋体" w:cs="宋体"/>
          <w:bCs/>
          <w:color w:val="auto"/>
          <w:spacing w:val="-11"/>
          <w:sz w:val="44"/>
          <w:szCs w:val="44"/>
          <w:highlight w:val="none"/>
        </w:rPr>
        <w:t>投标人参加本项目无围标串标行为的承诺函</w:t>
      </w:r>
    </w:p>
    <w:p w14:paraId="3E664629">
      <w:pPr>
        <w:spacing w:line="440" w:lineRule="exact"/>
        <w:contextualSpacing/>
        <w:jc w:val="left"/>
        <w:rPr>
          <w:rFonts w:hint="eastAsia" w:ascii="宋体" w:hAnsi="宋体" w:eastAsia="宋体" w:cs="宋体"/>
          <w:b/>
          <w:color w:val="auto"/>
          <w:sz w:val="24"/>
          <w:highlight w:val="none"/>
        </w:rPr>
      </w:pPr>
      <w:r>
        <w:rPr>
          <w:rFonts w:hint="eastAsia" w:ascii="宋体" w:hAnsi="宋体" w:eastAsia="宋体" w:cs="宋体"/>
          <w:b/>
          <w:color w:val="auto"/>
          <w:sz w:val="24"/>
          <w:highlight w:val="none"/>
        </w:rPr>
        <w:t>一、我方承诺无下列相互串通投标的情形：</w:t>
      </w:r>
    </w:p>
    <w:p w14:paraId="77F25A66">
      <w:pPr>
        <w:spacing w:line="440" w:lineRule="exact"/>
        <w:ind w:firstLine="470" w:firstLineChars="196"/>
        <w:contextualSpacing/>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1.不同投标人的投标文件由同一单位或者个人编制；</w:t>
      </w:r>
    </w:p>
    <w:p w14:paraId="09300FBE">
      <w:pPr>
        <w:spacing w:line="440" w:lineRule="exact"/>
        <w:ind w:firstLine="470" w:firstLineChars="196"/>
        <w:contextualSpacing/>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2.不同投标人委托同一单位或者个人办理投标事宜；</w:t>
      </w:r>
    </w:p>
    <w:p w14:paraId="31FDBCF3">
      <w:pPr>
        <w:spacing w:line="440" w:lineRule="exact"/>
        <w:ind w:firstLine="470" w:firstLineChars="196"/>
        <w:contextualSpacing/>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3.不同的投标人的投标文件载明的项目管理人员为同一个人；</w:t>
      </w:r>
    </w:p>
    <w:p w14:paraId="298BA15E">
      <w:pPr>
        <w:spacing w:line="440" w:lineRule="exact"/>
        <w:ind w:firstLine="470" w:firstLineChars="196"/>
        <w:contextualSpacing/>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4.不同投标人的投标文件异常一致或者投标报价呈规律性差异；</w:t>
      </w:r>
    </w:p>
    <w:p w14:paraId="102CD239">
      <w:pPr>
        <w:spacing w:line="440" w:lineRule="exact"/>
        <w:ind w:firstLine="470" w:firstLineChars="196"/>
        <w:contextualSpacing/>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5.不同投标人的投标文件相互混装；</w:t>
      </w:r>
    </w:p>
    <w:p w14:paraId="41D1AA5A">
      <w:pPr>
        <w:spacing w:line="440" w:lineRule="exact"/>
        <w:ind w:firstLine="470" w:firstLineChars="196"/>
        <w:contextualSpacing/>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6.不同投标人的投标保证金从同一单位或者个人账户转出。</w:t>
      </w:r>
    </w:p>
    <w:p w14:paraId="38655E9C">
      <w:pPr>
        <w:spacing w:line="440" w:lineRule="exact"/>
        <w:contextualSpacing/>
        <w:jc w:val="left"/>
        <w:rPr>
          <w:rFonts w:hint="eastAsia" w:ascii="宋体" w:hAnsi="宋体" w:eastAsia="宋体" w:cs="宋体"/>
          <w:color w:val="auto"/>
          <w:sz w:val="24"/>
          <w:highlight w:val="none"/>
        </w:rPr>
      </w:pPr>
      <w:r>
        <w:rPr>
          <w:rFonts w:hint="eastAsia" w:ascii="宋体" w:hAnsi="宋体" w:eastAsia="宋体" w:cs="宋体"/>
          <w:b/>
          <w:color w:val="auto"/>
          <w:sz w:val="24"/>
          <w:highlight w:val="none"/>
        </w:rPr>
        <w:t>二、我方承诺无下列恶意串通的情形：</w:t>
      </w:r>
    </w:p>
    <w:p w14:paraId="35493479">
      <w:pPr>
        <w:spacing w:line="440" w:lineRule="exact"/>
        <w:ind w:firstLine="470" w:firstLineChars="196"/>
        <w:contextualSpacing/>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1.投标人直接或者间接从采购人或者采购代理机构处获得其他投标人的相关信息并修改其投标文件或者响应文件；</w:t>
      </w:r>
    </w:p>
    <w:p w14:paraId="5DFC89E7">
      <w:pPr>
        <w:spacing w:line="440" w:lineRule="exact"/>
        <w:ind w:firstLine="470" w:firstLineChars="196"/>
        <w:contextualSpacing/>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2.投标人按照采购人或者采购代理机构的授意撤换、修改投标文件或者响应文件；</w:t>
      </w:r>
    </w:p>
    <w:p w14:paraId="43B4732E">
      <w:pPr>
        <w:spacing w:line="440" w:lineRule="exact"/>
        <w:ind w:firstLine="470" w:firstLineChars="196"/>
        <w:contextualSpacing/>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3.投标人之间协商报价、技术方案等投标文件或者响应文件的实质性内容；</w:t>
      </w:r>
    </w:p>
    <w:p w14:paraId="6E8CB858">
      <w:pPr>
        <w:spacing w:line="440" w:lineRule="exact"/>
        <w:ind w:firstLine="470" w:firstLineChars="196"/>
        <w:contextualSpacing/>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4.属于同一集团、协会、商会等组织成员的投标人按照该组织要求协同参加政府采购活动；</w:t>
      </w:r>
    </w:p>
    <w:p w14:paraId="1D881E7B">
      <w:pPr>
        <w:spacing w:line="440" w:lineRule="exact"/>
        <w:ind w:firstLine="470" w:firstLineChars="196"/>
        <w:contextualSpacing/>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5.投标人之间事先约定一致抬高或者压低投标报价，或者在招标项目中事先约定轮流以高价位或者低价位中标，或者事先约定由某一特定投标人中标，然后再参加投标；</w:t>
      </w:r>
    </w:p>
    <w:p w14:paraId="12063875">
      <w:pPr>
        <w:spacing w:line="440" w:lineRule="exact"/>
        <w:ind w:firstLine="470" w:firstLineChars="196"/>
        <w:contextualSpacing/>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6.投标人之间商定部分投标人放弃参加政府采购活动或者放弃中标；</w:t>
      </w:r>
    </w:p>
    <w:p w14:paraId="13822485">
      <w:pPr>
        <w:spacing w:line="440" w:lineRule="exact"/>
        <w:ind w:firstLine="470" w:firstLineChars="196"/>
        <w:contextualSpacing/>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7.投标人与采购人或者采购代理机构之间、投标人相互之间，为谋求特定投标人中标或者排斥其他投标人的其他串通行为。</w:t>
      </w:r>
    </w:p>
    <w:p w14:paraId="2D74182C">
      <w:pPr>
        <w:spacing w:line="440" w:lineRule="exact"/>
        <w:ind w:firstLine="472" w:firstLineChars="196"/>
        <w:contextualSpacing/>
        <w:jc w:val="left"/>
        <w:rPr>
          <w:rFonts w:hint="eastAsia" w:ascii="宋体" w:hAnsi="宋体" w:eastAsia="宋体" w:cs="宋体"/>
          <w:b/>
          <w:color w:val="auto"/>
          <w:sz w:val="24"/>
          <w:highlight w:val="none"/>
        </w:rPr>
      </w:pPr>
      <w:r>
        <w:rPr>
          <w:rFonts w:hint="eastAsia" w:ascii="宋体" w:hAnsi="宋体" w:eastAsia="宋体" w:cs="宋体"/>
          <w:b/>
          <w:color w:val="auto"/>
          <w:sz w:val="24"/>
          <w:highlight w:val="none"/>
        </w:rPr>
        <w:t>以上情形一经核查属实，我方愿意承担一切后果，并不再寻求任何旨在减轻或者免除法律责任的辩解。</w:t>
      </w:r>
    </w:p>
    <w:p w14:paraId="41A3F864">
      <w:pPr>
        <w:pStyle w:val="24"/>
        <w:spacing w:line="440" w:lineRule="exact"/>
        <w:ind w:firstLine="6840" w:firstLineChars="2850"/>
        <w:contextualSpacing/>
        <w:rPr>
          <w:rFonts w:hint="eastAsia" w:hAnsi="宋体" w:eastAsia="宋体" w:cs="宋体"/>
          <w:color w:val="auto"/>
          <w:sz w:val="24"/>
          <w:szCs w:val="24"/>
          <w:highlight w:val="none"/>
        </w:rPr>
      </w:pPr>
    </w:p>
    <w:p w14:paraId="579A85ED">
      <w:pPr>
        <w:pStyle w:val="24"/>
        <w:spacing w:line="440" w:lineRule="exact"/>
        <w:contextualSpacing/>
        <w:jc w:val="center"/>
        <w:rPr>
          <w:rFonts w:hint="eastAsia" w:hAnsi="宋体" w:eastAsia="宋体" w:cs="宋体"/>
          <w:color w:val="auto"/>
          <w:sz w:val="24"/>
          <w:szCs w:val="24"/>
          <w:highlight w:val="none"/>
        </w:rPr>
      </w:pPr>
      <w:r>
        <w:rPr>
          <w:rFonts w:hint="eastAsia" w:hAnsi="宋体" w:eastAsia="宋体" w:cs="宋体"/>
          <w:color w:val="auto"/>
          <w:sz w:val="24"/>
          <w:szCs w:val="24"/>
          <w:highlight w:val="none"/>
        </w:rPr>
        <w:t xml:space="preserve">                                    投标人名称（公章）</w:t>
      </w:r>
    </w:p>
    <w:p w14:paraId="42056FB5">
      <w:pPr>
        <w:pStyle w:val="24"/>
        <w:spacing w:line="440" w:lineRule="exact"/>
        <w:contextualSpacing/>
        <w:rPr>
          <w:rFonts w:hint="eastAsia" w:hAnsi="宋体" w:eastAsia="宋体" w:cs="宋体"/>
          <w:color w:val="auto"/>
          <w:sz w:val="24"/>
          <w:highlight w:val="none"/>
        </w:rPr>
      </w:pPr>
      <w:r>
        <w:rPr>
          <w:rFonts w:hint="eastAsia" w:hAnsi="宋体" w:eastAsia="宋体" w:cs="宋体"/>
          <w:color w:val="auto"/>
          <w:sz w:val="24"/>
          <w:highlight w:val="none"/>
        </w:rPr>
        <w:t xml:space="preserve">                                                </w:t>
      </w:r>
      <w:r>
        <w:rPr>
          <w:rFonts w:hint="eastAsia" w:hAnsi="宋体" w:eastAsia="宋体" w:cs="宋体"/>
          <w:color w:val="auto"/>
          <w:sz w:val="24"/>
          <w:highlight w:val="none"/>
          <w:u w:val="single"/>
        </w:rPr>
        <w:t xml:space="preserve">      </w:t>
      </w:r>
      <w:r>
        <w:rPr>
          <w:rFonts w:hint="eastAsia" w:hAnsi="宋体" w:eastAsia="宋体" w:cs="宋体"/>
          <w:color w:val="auto"/>
          <w:sz w:val="24"/>
          <w:highlight w:val="none"/>
        </w:rPr>
        <w:t>年</w:t>
      </w:r>
      <w:r>
        <w:rPr>
          <w:rFonts w:hint="eastAsia" w:hAnsi="宋体" w:eastAsia="宋体" w:cs="宋体"/>
          <w:color w:val="auto"/>
          <w:sz w:val="24"/>
          <w:highlight w:val="none"/>
          <w:u w:val="single"/>
        </w:rPr>
        <w:t xml:space="preserve">    </w:t>
      </w:r>
      <w:r>
        <w:rPr>
          <w:rFonts w:hint="eastAsia" w:hAnsi="宋体" w:eastAsia="宋体" w:cs="宋体"/>
          <w:color w:val="auto"/>
          <w:sz w:val="24"/>
          <w:highlight w:val="none"/>
        </w:rPr>
        <w:t>月</w:t>
      </w:r>
      <w:r>
        <w:rPr>
          <w:rFonts w:hint="eastAsia" w:hAnsi="宋体" w:eastAsia="宋体" w:cs="宋体"/>
          <w:color w:val="auto"/>
          <w:sz w:val="24"/>
          <w:highlight w:val="none"/>
          <w:u w:val="single"/>
        </w:rPr>
        <w:t xml:space="preserve">     </w:t>
      </w:r>
      <w:r>
        <w:rPr>
          <w:rFonts w:hint="eastAsia" w:hAnsi="宋体" w:eastAsia="宋体" w:cs="宋体"/>
          <w:color w:val="auto"/>
          <w:sz w:val="24"/>
          <w:highlight w:val="none"/>
        </w:rPr>
        <w:t>日</w:t>
      </w:r>
    </w:p>
    <w:p w14:paraId="5DDE873E">
      <w:pPr>
        <w:snapToGrid w:val="0"/>
        <w:spacing w:before="159" w:beforeLines="50" w:after="50"/>
        <w:jc w:val="left"/>
        <w:rPr>
          <w:rFonts w:hint="eastAsia" w:ascii="宋体" w:hAnsi="宋体" w:eastAsia="宋体" w:cs="宋体"/>
          <w:b/>
          <w:color w:val="auto"/>
          <w:sz w:val="24"/>
          <w:highlight w:val="none"/>
        </w:rPr>
      </w:pPr>
    </w:p>
    <w:p w14:paraId="12E0E18A">
      <w:pPr>
        <w:snapToGrid w:val="0"/>
        <w:spacing w:before="159" w:beforeLines="50" w:after="50"/>
        <w:jc w:val="left"/>
        <w:rPr>
          <w:rFonts w:hint="eastAsia" w:ascii="宋体" w:hAnsi="宋体" w:eastAsia="宋体" w:cs="宋体"/>
          <w:b/>
          <w:color w:val="auto"/>
          <w:sz w:val="24"/>
          <w:highlight w:val="none"/>
        </w:rPr>
      </w:pPr>
    </w:p>
    <w:p w14:paraId="475ADE3F">
      <w:pPr>
        <w:snapToGrid w:val="0"/>
        <w:spacing w:before="159" w:beforeLines="50" w:after="50"/>
        <w:jc w:val="left"/>
        <w:rPr>
          <w:rFonts w:hint="eastAsia" w:ascii="宋体" w:hAnsi="宋体" w:eastAsia="宋体" w:cs="宋体"/>
          <w:b/>
          <w:color w:val="auto"/>
          <w:sz w:val="24"/>
          <w:highlight w:val="none"/>
        </w:rPr>
      </w:pPr>
      <w:r>
        <w:rPr>
          <w:rFonts w:hint="eastAsia" w:ascii="宋体" w:hAnsi="宋体" w:eastAsia="宋体" w:cs="宋体"/>
          <w:b/>
          <w:color w:val="auto"/>
          <w:sz w:val="24"/>
          <w:highlight w:val="none"/>
        </w:rPr>
        <w:t>4.法定代表人身份证明</w:t>
      </w:r>
    </w:p>
    <w:p w14:paraId="563CC945">
      <w:pPr>
        <w:snapToGrid w:val="0"/>
        <w:spacing w:before="159" w:beforeLines="50" w:after="50"/>
        <w:jc w:val="center"/>
        <w:rPr>
          <w:rFonts w:hint="eastAsia" w:ascii="宋体" w:hAnsi="宋体" w:eastAsia="宋体" w:cs="宋体"/>
          <w:bCs/>
          <w:color w:val="auto"/>
          <w:sz w:val="44"/>
          <w:szCs w:val="44"/>
          <w:highlight w:val="none"/>
        </w:rPr>
      </w:pPr>
      <w:r>
        <w:rPr>
          <w:rFonts w:hint="eastAsia" w:ascii="宋体" w:hAnsi="宋体" w:eastAsia="宋体" w:cs="宋体"/>
          <w:bCs/>
          <w:color w:val="auto"/>
          <w:sz w:val="44"/>
          <w:szCs w:val="44"/>
          <w:highlight w:val="none"/>
        </w:rPr>
        <w:t>法定代表人身份证明</w:t>
      </w:r>
    </w:p>
    <w:p w14:paraId="1D8DB66C">
      <w:pPr>
        <w:spacing w:line="500" w:lineRule="exact"/>
        <w:ind w:left="540"/>
        <w:rPr>
          <w:rFonts w:hint="eastAsia" w:ascii="宋体" w:hAnsi="宋体" w:eastAsia="宋体" w:cs="宋体"/>
          <w:color w:val="auto"/>
          <w:sz w:val="24"/>
          <w:highlight w:val="none"/>
        </w:rPr>
      </w:pPr>
      <w:r>
        <w:rPr>
          <w:rFonts w:hint="eastAsia" w:ascii="宋体" w:hAnsi="宋体" w:eastAsia="宋体" w:cs="宋体"/>
          <w:color w:val="auto"/>
          <w:sz w:val="24"/>
          <w:highlight w:val="none"/>
        </w:rPr>
        <w:t>投 标 人：</w:t>
      </w:r>
      <w:r>
        <w:rPr>
          <w:rFonts w:hint="eastAsia" w:ascii="宋体" w:hAnsi="宋体" w:eastAsia="宋体" w:cs="宋体"/>
          <w:color w:val="auto"/>
          <w:sz w:val="24"/>
          <w:highlight w:val="none"/>
          <w:u w:val="single"/>
        </w:rPr>
        <w:t xml:space="preserve">                                                        </w:t>
      </w:r>
    </w:p>
    <w:p w14:paraId="4C69FE10">
      <w:pPr>
        <w:spacing w:line="500" w:lineRule="exact"/>
        <w:ind w:left="540"/>
        <w:rPr>
          <w:rFonts w:hint="eastAsia" w:ascii="宋体" w:hAnsi="宋体" w:eastAsia="宋体" w:cs="宋体"/>
          <w:color w:val="auto"/>
          <w:sz w:val="24"/>
          <w:highlight w:val="none"/>
        </w:rPr>
      </w:pPr>
      <w:r>
        <w:rPr>
          <w:rFonts w:hint="eastAsia" w:ascii="宋体" w:hAnsi="宋体" w:eastAsia="宋体" w:cs="宋体"/>
          <w:color w:val="auto"/>
          <w:sz w:val="24"/>
          <w:highlight w:val="none"/>
        </w:rPr>
        <w:t>地    址：</w:t>
      </w:r>
      <w:r>
        <w:rPr>
          <w:rFonts w:hint="eastAsia" w:ascii="宋体" w:hAnsi="宋体" w:eastAsia="宋体" w:cs="宋体"/>
          <w:color w:val="auto"/>
          <w:sz w:val="24"/>
          <w:highlight w:val="none"/>
          <w:u w:val="single"/>
        </w:rPr>
        <w:t xml:space="preserve">                                                        </w:t>
      </w:r>
    </w:p>
    <w:p w14:paraId="7DC1EFF1">
      <w:pPr>
        <w:spacing w:line="500" w:lineRule="exact"/>
        <w:ind w:left="540"/>
        <w:rPr>
          <w:rFonts w:hint="eastAsia" w:ascii="宋体" w:hAnsi="宋体" w:eastAsia="宋体" w:cs="宋体"/>
          <w:color w:val="auto"/>
          <w:sz w:val="24"/>
          <w:highlight w:val="none"/>
        </w:rPr>
      </w:pPr>
      <w:r>
        <w:rPr>
          <w:rFonts w:hint="eastAsia" w:ascii="宋体" w:hAnsi="宋体" w:eastAsia="宋体" w:cs="宋体"/>
          <w:color w:val="auto"/>
          <w:sz w:val="24"/>
          <w:highlight w:val="none"/>
        </w:rPr>
        <w:t>姓    名：</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性      别：</w:t>
      </w:r>
      <w:r>
        <w:rPr>
          <w:rFonts w:hint="eastAsia" w:ascii="宋体" w:hAnsi="宋体" w:eastAsia="宋体" w:cs="宋体"/>
          <w:color w:val="auto"/>
          <w:sz w:val="24"/>
          <w:highlight w:val="none"/>
          <w:u w:val="single"/>
        </w:rPr>
        <w:t xml:space="preserve">                </w:t>
      </w:r>
    </w:p>
    <w:p w14:paraId="55C9C189">
      <w:pPr>
        <w:spacing w:line="500" w:lineRule="exact"/>
        <w:ind w:left="540"/>
        <w:rPr>
          <w:rFonts w:hint="eastAsia" w:ascii="宋体" w:hAnsi="宋体" w:eastAsia="宋体" w:cs="宋体"/>
          <w:color w:val="auto"/>
          <w:sz w:val="24"/>
          <w:highlight w:val="none"/>
          <w:u w:val="single"/>
        </w:rPr>
      </w:pPr>
      <w:r>
        <w:rPr>
          <w:rFonts w:hint="eastAsia" w:ascii="宋体" w:hAnsi="宋体" w:eastAsia="宋体" w:cs="宋体"/>
          <w:color w:val="auto"/>
          <w:sz w:val="24"/>
          <w:highlight w:val="none"/>
        </w:rPr>
        <w:t>年    龄：</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职      务：</w:t>
      </w:r>
      <w:r>
        <w:rPr>
          <w:rFonts w:hint="eastAsia" w:ascii="宋体" w:hAnsi="宋体" w:eastAsia="宋体" w:cs="宋体"/>
          <w:color w:val="auto"/>
          <w:sz w:val="24"/>
          <w:highlight w:val="none"/>
          <w:u w:val="single"/>
        </w:rPr>
        <w:t xml:space="preserve">                </w:t>
      </w:r>
    </w:p>
    <w:p w14:paraId="3539B702">
      <w:pPr>
        <w:spacing w:line="500" w:lineRule="exact"/>
        <w:ind w:left="540"/>
        <w:rPr>
          <w:rFonts w:hint="eastAsia" w:ascii="宋体" w:hAnsi="宋体" w:eastAsia="宋体" w:cs="宋体"/>
          <w:color w:val="auto"/>
          <w:sz w:val="24"/>
          <w:highlight w:val="none"/>
        </w:rPr>
      </w:pPr>
      <w:r>
        <w:rPr>
          <w:rFonts w:hint="eastAsia" w:ascii="宋体" w:hAnsi="宋体" w:eastAsia="宋体" w:cs="宋体"/>
          <w:color w:val="auto"/>
          <w:sz w:val="24"/>
          <w:highlight w:val="none"/>
        </w:rPr>
        <w:t>身份证号码：</w:t>
      </w:r>
      <w:r>
        <w:rPr>
          <w:rFonts w:hint="eastAsia" w:ascii="宋体" w:hAnsi="宋体" w:eastAsia="宋体" w:cs="宋体"/>
          <w:color w:val="auto"/>
          <w:sz w:val="24"/>
          <w:highlight w:val="none"/>
          <w:u w:val="single"/>
        </w:rPr>
        <w:t xml:space="preserve">                                 </w:t>
      </w:r>
    </w:p>
    <w:p w14:paraId="189FC648">
      <w:pPr>
        <w:spacing w:line="500" w:lineRule="exact"/>
        <w:ind w:left="540"/>
        <w:rPr>
          <w:rFonts w:hint="eastAsia" w:ascii="宋体" w:hAnsi="宋体" w:eastAsia="宋体" w:cs="宋体"/>
          <w:color w:val="auto"/>
          <w:sz w:val="24"/>
          <w:highlight w:val="none"/>
        </w:rPr>
      </w:pPr>
      <w:r>
        <w:rPr>
          <w:rFonts w:hint="eastAsia" w:ascii="宋体" w:hAnsi="宋体" w:eastAsia="宋体" w:cs="宋体"/>
          <w:color w:val="auto"/>
          <w:sz w:val="24"/>
          <w:highlight w:val="none"/>
        </w:rPr>
        <w:t>系</w:t>
      </w:r>
      <w:r>
        <w:rPr>
          <w:rFonts w:hint="eastAsia" w:ascii="宋体" w:hAnsi="宋体" w:eastAsia="宋体" w:cs="宋体"/>
          <w:color w:val="auto"/>
          <w:sz w:val="24"/>
          <w:highlight w:val="none"/>
          <w:u w:val="single"/>
        </w:rPr>
        <w:t xml:space="preserve">            （投标人名称）              </w:t>
      </w:r>
      <w:r>
        <w:rPr>
          <w:rFonts w:hint="eastAsia" w:ascii="宋体" w:hAnsi="宋体" w:eastAsia="宋体" w:cs="宋体"/>
          <w:color w:val="auto"/>
          <w:sz w:val="24"/>
          <w:highlight w:val="none"/>
        </w:rPr>
        <w:t>的法定代表人。</w:t>
      </w:r>
    </w:p>
    <w:p w14:paraId="54F826CD">
      <w:pPr>
        <w:spacing w:line="500" w:lineRule="exact"/>
        <w:ind w:left="540"/>
        <w:rPr>
          <w:rFonts w:hint="eastAsia" w:ascii="宋体" w:hAnsi="宋体" w:eastAsia="宋体" w:cs="宋体"/>
          <w:color w:val="auto"/>
          <w:sz w:val="24"/>
          <w:highlight w:val="none"/>
        </w:rPr>
      </w:pPr>
      <w:r>
        <w:rPr>
          <w:rFonts w:hint="eastAsia" w:ascii="宋体" w:hAnsi="宋体" w:eastAsia="宋体" w:cs="宋体"/>
          <w:color w:val="auto"/>
          <w:sz w:val="24"/>
          <w:highlight w:val="none"/>
        </w:rPr>
        <w:t>特此证明。</w:t>
      </w:r>
    </w:p>
    <w:p w14:paraId="32ABEA3B">
      <w:pPr>
        <w:spacing w:line="500" w:lineRule="exact"/>
        <w:ind w:left="540"/>
        <w:rPr>
          <w:rFonts w:hint="eastAsia" w:ascii="宋体" w:hAnsi="宋体" w:eastAsia="宋体" w:cs="宋体"/>
          <w:color w:val="auto"/>
          <w:sz w:val="24"/>
          <w:highlight w:val="none"/>
        </w:rPr>
      </w:pPr>
    </w:p>
    <w:p w14:paraId="1C3A1314">
      <w:pPr>
        <w:spacing w:line="500" w:lineRule="exact"/>
        <w:ind w:left="540"/>
        <w:rPr>
          <w:rFonts w:hint="eastAsia" w:ascii="宋体" w:hAnsi="宋体" w:eastAsia="宋体" w:cs="宋体"/>
          <w:color w:val="auto"/>
          <w:sz w:val="24"/>
          <w:highlight w:val="none"/>
        </w:rPr>
      </w:pPr>
    </w:p>
    <w:p w14:paraId="2B236BC0">
      <w:pPr>
        <w:spacing w:line="500" w:lineRule="exact"/>
        <w:ind w:left="540"/>
        <w:rPr>
          <w:rFonts w:hint="eastAsia" w:ascii="宋体" w:hAnsi="宋体" w:eastAsia="宋体" w:cs="宋体"/>
          <w:color w:val="auto"/>
          <w:sz w:val="24"/>
          <w:highlight w:val="none"/>
        </w:rPr>
      </w:pPr>
      <w:r>
        <w:rPr>
          <w:rFonts w:hint="eastAsia" w:ascii="宋体" w:hAnsi="宋体" w:eastAsia="宋体" w:cs="宋体"/>
          <w:color w:val="auto"/>
          <w:sz w:val="24"/>
          <w:highlight w:val="none"/>
        </w:rPr>
        <w:t>附件：法定代表人有效身份证正反面复印件</w:t>
      </w:r>
    </w:p>
    <w:p w14:paraId="3635B003">
      <w:pPr>
        <w:spacing w:line="500" w:lineRule="exact"/>
        <w:ind w:left="540"/>
        <w:rPr>
          <w:rFonts w:hint="eastAsia" w:ascii="宋体" w:hAnsi="宋体" w:eastAsia="宋体" w:cs="宋体"/>
          <w:color w:val="auto"/>
          <w:sz w:val="24"/>
          <w:highlight w:val="none"/>
        </w:rPr>
      </w:pPr>
    </w:p>
    <w:p w14:paraId="23359772">
      <w:pPr>
        <w:spacing w:line="500" w:lineRule="exact"/>
        <w:ind w:left="540"/>
        <w:jc w:val="right"/>
        <w:rPr>
          <w:rFonts w:hint="eastAsia" w:ascii="宋体" w:hAnsi="宋体" w:eastAsia="宋体" w:cs="宋体"/>
          <w:color w:val="auto"/>
          <w:sz w:val="24"/>
          <w:highlight w:val="none"/>
        </w:rPr>
      </w:pPr>
      <w:r>
        <w:rPr>
          <w:rFonts w:hint="eastAsia" w:ascii="宋体" w:hAnsi="宋体" w:eastAsia="宋体" w:cs="宋体"/>
          <w:color w:val="auto"/>
          <w:sz w:val="24"/>
          <w:highlight w:val="none"/>
        </w:rPr>
        <w:t>投标人名称（公章）</w:t>
      </w:r>
    </w:p>
    <w:p w14:paraId="6D001275">
      <w:pPr>
        <w:spacing w:line="500" w:lineRule="exact"/>
        <w:ind w:left="540"/>
        <w:jc w:val="right"/>
        <w:rPr>
          <w:rFonts w:hint="eastAsia" w:ascii="宋体" w:hAnsi="宋体" w:eastAsia="宋体" w:cs="宋体"/>
          <w:color w:val="auto"/>
          <w:sz w:val="24"/>
          <w:highlight w:val="none"/>
        </w:rPr>
      </w:pPr>
    </w:p>
    <w:p w14:paraId="4F9F753C">
      <w:pPr>
        <w:snapToGrid w:val="0"/>
        <w:spacing w:before="159" w:beforeLines="50" w:after="50"/>
        <w:ind w:left="540"/>
        <w:jc w:val="right"/>
        <w:rPr>
          <w:rFonts w:hint="eastAsia" w:ascii="宋体" w:hAnsi="宋体" w:eastAsia="宋体" w:cs="宋体"/>
          <w:color w:val="auto"/>
          <w:sz w:val="24"/>
          <w:highlight w:val="none"/>
        </w:rPr>
      </w:pP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年</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月</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日</w:t>
      </w:r>
    </w:p>
    <w:p w14:paraId="480BD339">
      <w:pPr>
        <w:snapToGrid w:val="0"/>
        <w:spacing w:before="159" w:beforeLines="50" w:after="50"/>
        <w:jc w:val="center"/>
        <w:rPr>
          <w:rFonts w:hint="eastAsia" w:ascii="宋体" w:hAnsi="宋体" w:eastAsia="宋体" w:cs="宋体"/>
          <w:b/>
          <w:color w:val="auto"/>
          <w:sz w:val="24"/>
          <w:highlight w:val="none"/>
        </w:rPr>
      </w:pPr>
    </w:p>
    <w:p w14:paraId="6D0CC259">
      <w:pPr>
        <w:snapToGrid w:val="0"/>
        <w:spacing w:before="159" w:beforeLines="50" w:after="50"/>
        <w:jc w:val="left"/>
        <w:rPr>
          <w:rFonts w:hint="eastAsia" w:ascii="宋体" w:hAnsi="宋体" w:eastAsia="宋体" w:cs="宋体"/>
          <w:b/>
          <w:color w:val="auto"/>
          <w:sz w:val="24"/>
          <w:szCs w:val="20"/>
          <w:highlight w:val="none"/>
        </w:rPr>
      </w:pPr>
      <w:r>
        <w:rPr>
          <w:rFonts w:hint="eastAsia" w:ascii="宋体" w:hAnsi="宋体" w:eastAsia="宋体" w:cs="宋体"/>
          <w:color w:val="auto"/>
          <w:sz w:val="24"/>
          <w:highlight w:val="none"/>
        </w:rPr>
        <w:t>注：自然人投标的无需提供</w:t>
      </w:r>
    </w:p>
    <w:p w14:paraId="0D8160FD">
      <w:pPr>
        <w:snapToGrid w:val="0"/>
        <w:spacing w:before="159" w:beforeLines="50" w:after="50"/>
        <w:jc w:val="left"/>
        <w:rPr>
          <w:rFonts w:hint="eastAsia" w:ascii="宋体" w:hAnsi="宋体" w:eastAsia="宋体" w:cs="宋体"/>
          <w:b/>
          <w:color w:val="auto"/>
          <w:sz w:val="24"/>
          <w:szCs w:val="20"/>
          <w:highlight w:val="none"/>
        </w:rPr>
      </w:pPr>
      <w:r>
        <w:rPr>
          <w:rFonts w:hint="eastAsia" w:ascii="宋体" w:hAnsi="宋体" w:eastAsia="宋体" w:cs="宋体"/>
          <w:b/>
          <w:color w:val="auto"/>
          <w:sz w:val="24"/>
          <w:highlight w:val="none"/>
        </w:rPr>
        <w:br w:type="page"/>
      </w:r>
      <w:r>
        <w:rPr>
          <w:rFonts w:hint="eastAsia" w:ascii="宋体" w:hAnsi="宋体" w:eastAsia="宋体" w:cs="宋体"/>
          <w:b/>
          <w:color w:val="auto"/>
          <w:sz w:val="24"/>
          <w:highlight w:val="none"/>
        </w:rPr>
        <w:t>5.授权委托书格式</w:t>
      </w:r>
    </w:p>
    <w:p w14:paraId="1DB60FB3">
      <w:pPr>
        <w:snapToGrid w:val="0"/>
        <w:spacing w:before="159" w:beforeLines="50" w:after="50"/>
        <w:jc w:val="center"/>
        <w:rPr>
          <w:rFonts w:hint="eastAsia" w:ascii="宋体" w:hAnsi="宋体" w:eastAsia="宋体" w:cs="宋体"/>
          <w:b/>
          <w:color w:val="auto"/>
          <w:sz w:val="44"/>
          <w:szCs w:val="44"/>
          <w:highlight w:val="none"/>
        </w:rPr>
      </w:pPr>
    </w:p>
    <w:p w14:paraId="1CEDF56F">
      <w:pPr>
        <w:spacing w:line="360" w:lineRule="auto"/>
        <w:contextualSpacing/>
        <w:jc w:val="center"/>
        <w:rPr>
          <w:rFonts w:hint="eastAsia" w:ascii="宋体" w:hAnsi="宋体" w:eastAsia="宋体" w:cs="宋体"/>
          <w:bCs/>
          <w:color w:val="auto"/>
          <w:sz w:val="44"/>
          <w:szCs w:val="44"/>
          <w:highlight w:val="none"/>
        </w:rPr>
      </w:pPr>
      <w:r>
        <w:rPr>
          <w:rFonts w:hint="eastAsia" w:ascii="宋体" w:hAnsi="宋体" w:eastAsia="宋体" w:cs="宋体"/>
          <w:bCs/>
          <w:color w:val="auto"/>
          <w:sz w:val="44"/>
          <w:szCs w:val="44"/>
          <w:highlight w:val="none"/>
        </w:rPr>
        <w:t>授权委托书</w:t>
      </w:r>
    </w:p>
    <w:p w14:paraId="6C439E09">
      <w:pPr>
        <w:spacing w:line="360" w:lineRule="auto"/>
        <w:contextualSpacing/>
        <w:jc w:val="center"/>
        <w:rPr>
          <w:rFonts w:hint="eastAsia" w:ascii="宋体" w:hAnsi="宋体" w:eastAsia="宋体" w:cs="宋体"/>
          <w:bCs/>
          <w:color w:val="auto"/>
          <w:sz w:val="32"/>
          <w:szCs w:val="32"/>
          <w:highlight w:val="none"/>
        </w:rPr>
      </w:pPr>
      <w:r>
        <w:rPr>
          <w:rFonts w:hint="eastAsia" w:ascii="宋体" w:hAnsi="宋体" w:eastAsia="宋体" w:cs="宋体"/>
          <w:bCs/>
          <w:color w:val="auto"/>
          <w:sz w:val="32"/>
          <w:szCs w:val="32"/>
          <w:highlight w:val="none"/>
        </w:rPr>
        <w:t>（非联合体投标格式）</w:t>
      </w:r>
    </w:p>
    <w:p w14:paraId="62E408D3">
      <w:pPr>
        <w:spacing w:line="360" w:lineRule="auto"/>
        <w:contextualSpacing/>
        <w:jc w:val="center"/>
        <w:rPr>
          <w:rFonts w:hint="eastAsia" w:ascii="宋体" w:hAnsi="宋体" w:eastAsia="宋体" w:cs="宋体"/>
          <w:bCs/>
          <w:color w:val="auto"/>
          <w:sz w:val="24"/>
          <w:highlight w:val="none"/>
        </w:rPr>
      </w:pPr>
      <w:r>
        <w:rPr>
          <w:rFonts w:hint="eastAsia" w:ascii="宋体" w:hAnsi="宋体" w:eastAsia="宋体" w:cs="宋体"/>
          <w:bCs/>
          <w:color w:val="auto"/>
          <w:sz w:val="32"/>
          <w:szCs w:val="32"/>
          <w:highlight w:val="none"/>
        </w:rPr>
        <w:t>（如有委托时）</w:t>
      </w:r>
    </w:p>
    <w:p w14:paraId="4F09516A">
      <w:pPr>
        <w:spacing w:line="440" w:lineRule="exact"/>
        <w:contextualSpacing/>
        <w:jc w:val="center"/>
        <w:rPr>
          <w:rFonts w:hint="eastAsia" w:ascii="宋体" w:hAnsi="宋体" w:eastAsia="宋体" w:cs="宋体"/>
          <w:b/>
          <w:color w:val="auto"/>
          <w:sz w:val="24"/>
          <w:highlight w:val="none"/>
        </w:rPr>
      </w:pPr>
    </w:p>
    <w:p w14:paraId="13211970">
      <w:pPr>
        <w:spacing w:line="440" w:lineRule="exact"/>
        <w:contextualSpacing/>
        <w:rPr>
          <w:rFonts w:hint="eastAsia" w:ascii="宋体" w:hAnsi="宋体" w:eastAsia="宋体" w:cs="宋体"/>
          <w:b/>
          <w:bCs/>
          <w:color w:val="auto"/>
          <w:sz w:val="24"/>
          <w:highlight w:val="none"/>
        </w:rPr>
      </w:pPr>
      <w:r>
        <w:rPr>
          <w:rFonts w:hint="eastAsia" w:ascii="宋体" w:hAnsi="宋体" w:eastAsia="宋体" w:cs="宋体"/>
          <w:bCs/>
          <w:color w:val="auto"/>
          <w:sz w:val="24"/>
          <w:highlight w:val="none"/>
        </w:rPr>
        <w:t>致：</w:t>
      </w:r>
      <w:r>
        <w:rPr>
          <w:rFonts w:hint="eastAsia" w:ascii="宋体" w:hAnsi="宋体" w:eastAsia="宋体" w:cs="宋体"/>
          <w:color w:val="auto"/>
          <w:sz w:val="24"/>
          <w:highlight w:val="none"/>
          <w:u w:val="single"/>
        </w:rPr>
        <w:t>采购人名称</w:t>
      </w:r>
      <w:r>
        <w:rPr>
          <w:rFonts w:hint="eastAsia" w:ascii="宋体" w:hAnsi="宋体" w:eastAsia="宋体" w:cs="宋体"/>
          <w:color w:val="auto"/>
          <w:sz w:val="24"/>
          <w:highlight w:val="none"/>
        </w:rPr>
        <w:t>：</w:t>
      </w:r>
    </w:p>
    <w:p w14:paraId="04EB5A95">
      <w:pPr>
        <w:spacing w:line="440" w:lineRule="exact"/>
        <w:ind w:firstLine="566" w:firstLineChars="236"/>
        <w:contextualSpacing/>
        <w:rPr>
          <w:rFonts w:hint="eastAsia" w:ascii="宋体" w:hAnsi="宋体" w:eastAsia="宋体" w:cs="宋体"/>
          <w:color w:val="auto"/>
          <w:sz w:val="24"/>
          <w:highlight w:val="none"/>
        </w:rPr>
      </w:pPr>
      <w:r>
        <w:rPr>
          <w:rFonts w:hint="eastAsia" w:ascii="宋体" w:hAnsi="宋体" w:eastAsia="宋体" w:cs="宋体"/>
          <w:color w:val="auto"/>
          <w:sz w:val="24"/>
          <w:highlight w:val="none"/>
        </w:rPr>
        <w:t>我</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（姓名）系</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（投标人名称）的法定代表人，现授权委托</w:t>
      </w:r>
      <w:r>
        <w:rPr>
          <w:rFonts w:hint="eastAsia" w:ascii="宋体" w:hAnsi="宋体" w:eastAsia="宋体" w:cs="宋体"/>
          <w:color w:val="auto"/>
          <w:sz w:val="24"/>
          <w:highlight w:val="none"/>
          <w:u w:val="single"/>
        </w:rPr>
        <w:t xml:space="preserve">              （姓名）</w:t>
      </w:r>
      <w:r>
        <w:rPr>
          <w:rFonts w:hint="eastAsia" w:ascii="宋体" w:hAnsi="宋体" w:eastAsia="宋体" w:cs="宋体"/>
          <w:color w:val="auto"/>
          <w:sz w:val="24"/>
          <w:highlight w:val="none"/>
        </w:rPr>
        <w:t>以我方的名义参加</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项目的投标活动，并代表我方全权办理针对上述项目的所有采购程序和环节的具体事务和签署相关文件。</w:t>
      </w:r>
    </w:p>
    <w:p w14:paraId="4F973A67">
      <w:pPr>
        <w:spacing w:line="440" w:lineRule="exact"/>
        <w:contextualSpacing/>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    我方对委托代理人的签字事项负全部责任。</w:t>
      </w:r>
    </w:p>
    <w:p w14:paraId="5E8AF917">
      <w:pPr>
        <w:spacing w:line="440" w:lineRule="exact"/>
        <w:ind w:firstLine="480"/>
        <w:contextualSpacing/>
        <w:rPr>
          <w:rFonts w:hint="eastAsia" w:ascii="宋体" w:hAnsi="宋体" w:eastAsia="宋体" w:cs="宋体"/>
          <w:color w:val="auto"/>
          <w:sz w:val="24"/>
          <w:highlight w:val="none"/>
        </w:rPr>
      </w:pPr>
      <w:r>
        <w:rPr>
          <w:rFonts w:hint="eastAsia" w:ascii="宋体" w:hAnsi="宋体" w:eastAsia="宋体" w:cs="宋体"/>
          <w:color w:val="auto"/>
          <w:sz w:val="24"/>
          <w:highlight w:val="none"/>
          <w:u w:val="single"/>
        </w:rPr>
        <w:t>本授权书自签署之日起生效，在撤销授权的书面通知以前，本授权书一直有效。委托代理人在授权书有效期内签署的所有文件不因授权的撤销而失效。</w:t>
      </w:r>
    </w:p>
    <w:p w14:paraId="7DB33CF5">
      <w:pPr>
        <w:spacing w:line="440" w:lineRule="exact"/>
        <w:ind w:firstLine="480"/>
        <w:contextualSpacing/>
        <w:rPr>
          <w:rFonts w:hint="eastAsia" w:ascii="宋体" w:hAnsi="宋体" w:eastAsia="宋体" w:cs="宋体"/>
          <w:color w:val="auto"/>
          <w:sz w:val="24"/>
          <w:highlight w:val="none"/>
        </w:rPr>
      </w:pPr>
      <w:r>
        <w:rPr>
          <w:rFonts w:hint="eastAsia" w:ascii="宋体" w:hAnsi="宋体" w:eastAsia="宋体" w:cs="宋体"/>
          <w:color w:val="auto"/>
          <w:sz w:val="24"/>
          <w:highlight w:val="none"/>
        </w:rPr>
        <w:t>委托代理人无转委托权，特此委托。</w:t>
      </w:r>
    </w:p>
    <w:p w14:paraId="1ADC20FD">
      <w:pPr>
        <w:spacing w:line="440" w:lineRule="exact"/>
        <w:ind w:firstLine="480"/>
        <w:contextualSpacing/>
        <w:rPr>
          <w:rFonts w:hint="eastAsia" w:ascii="宋体" w:hAnsi="宋体" w:eastAsia="宋体" w:cs="宋体"/>
          <w:color w:val="auto"/>
          <w:sz w:val="24"/>
          <w:highlight w:val="none"/>
        </w:rPr>
      </w:pPr>
      <w:r>
        <w:rPr>
          <w:rFonts w:hint="eastAsia" w:ascii="宋体" w:hAnsi="宋体" w:eastAsia="宋体" w:cs="宋体"/>
          <w:color w:val="auto"/>
          <w:sz w:val="24"/>
          <w:highlight w:val="none"/>
        </w:rPr>
        <w:t>附：法定代表人身份证明及委托代理人有效身份证正反面复印件</w:t>
      </w:r>
    </w:p>
    <w:p w14:paraId="5FCA9201">
      <w:pPr>
        <w:spacing w:line="440" w:lineRule="exact"/>
        <w:contextualSpacing/>
        <w:rPr>
          <w:rFonts w:hint="eastAsia" w:ascii="宋体" w:hAnsi="宋体" w:eastAsia="宋体" w:cs="宋体"/>
          <w:color w:val="auto"/>
          <w:sz w:val="24"/>
          <w:highlight w:val="none"/>
        </w:rPr>
      </w:pPr>
    </w:p>
    <w:p w14:paraId="43761710">
      <w:pPr>
        <w:spacing w:line="440" w:lineRule="exact"/>
        <w:contextualSpacing/>
        <w:rPr>
          <w:rFonts w:hint="eastAsia" w:ascii="宋体" w:hAnsi="宋体" w:eastAsia="宋体" w:cs="宋体"/>
          <w:color w:val="auto"/>
          <w:sz w:val="24"/>
          <w:highlight w:val="none"/>
          <w:u w:val="single"/>
        </w:rPr>
      </w:pPr>
      <w:r>
        <w:rPr>
          <w:rFonts w:hint="eastAsia" w:ascii="宋体" w:hAnsi="宋体" w:eastAsia="宋体" w:cs="宋体"/>
          <w:color w:val="auto"/>
          <w:sz w:val="24"/>
          <w:highlight w:val="none"/>
        </w:rPr>
        <w:t>委托代理人（签字）：</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 xml:space="preserve">            法定代表人（签字或者盖章）：</w:t>
      </w:r>
      <w:r>
        <w:rPr>
          <w:rFonts w:hint="eastAsia" w:ascii="宋体" w:hAnsi="宋体" w:eastAsia="宋体" w:cs="宋体"/>
          <w:color w:val="auto"/>
          <w:sz w:val="24"/>
          <w:highlight w:val="none"/>
          <w:u w:val="single"/>
        </w:rPr>
        <w:t xml:space="preserve">              </w:t>
      </w:r>
    </w:p>
    <w:p w14:paraId="60EB0D97">
      <w:pPr>
        <w:spacing w:line="440" w:lineRule="exact"/>
        <w:contextualSpacing/>
        <w:rPr>
          <w:rFonts w:hint="eastAsia" w:ascii="宋体" w:hAnsi="宋体" w:eastAsia="宋体" w:cs="宋体"/>
          <w:color w:val="auto"/>
          <w:sz w:val="24"/>
          <w:highlight w:val="none"/>
        </w:rPr>
      </w:pPr>
      <w:r>
        <w:rPr>
          <w:rFonts w:hint="eastAsia" w:ascii="宋体" w:hAnsi="宋体" w:eastAsia="宋体" w:cs="宋体"/>
          <w:color w:val="auto"/>
          <w:sz w:val="24"/>
          <w:highlight w:val="none"/>
        </w:rPr>
        <w:t>委托代理人身份证号码：</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 xml:space="preserve"> </w:t>
      </w:r>
    </w:p>
    <w:p w14:paraId="5039781C">
      <w:pPr>
        <w:spacing w:line="440" w:lineRule="exact"/>
        <w:contextualSpacing/>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                                                投标人（盖公章）：</w:t>
      </w:r>
    </w:p>
    <w:p w14:paraId="07E179C6">
      <w:pPr>
        <w:spacing w:line="440" w:lineRule="exact"/>
        <w:contextualSpacing/>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                                              年    月    日</w:t>
      </w:r>
    </w:p>
    <w:p w14:paraId="33EAB132">
      <w:pPr>
        <w:spacing w:line="440" w:lineRule="exact"/>
        <w:contextualSpacing/>
        <w:rPr>
          <w:rFonts w:hint="eastAsia" w:ascii="宋体" w:hAnsi="宋体" w:eastAsia="宋体" w:cs="宋体"/>
          <w:color w:val="auto"/>
          <w:sz w:val="24"/>
          <w:highlight w:val="none"/>
        </w:rPr>
      </w:pPr>
      <w:r>
        <w:rPr>
          <w:rFonts w:hint="eastAsia" w:ascii="宋体" w:hAnsi="宋体" w:eastAsia="宋体" w:cs="宋体"/>
          <w:color w:val="auto"/>
          <w:sz w:val="24"/>
          <w:highlight w:val="none"/>
        </w:rPr>
        <w:t>注：1.</w:t>
      </w:r>
      <w:bookmarkStart w:id="161" w:name="_Hlk65851555"/>
      <w:bookmarkStart w:id="162" w:name="_Hlk65851620"/>
      <w:r>
        <w:rPr>
          <w:rFonts w:hint="eastAsia" w:ascii="宋体" w:hAnsi="宋体" w:eastAsia="宋体" w:cs="宋体"/>
          <w:color w:val="auto"/>
          <w:sz w:val="24"/>
          <w:highlight w:val="none"/>
        </w:rPr>
        <w:t>法定代表人必须在授权委托书上亲笔签字或者盖章，</w:t>
      </w:r>
      <w:bookmarkEnd w:id="161"/>
      <w:r>
        <w:rPr>
          <w:rFonts w:hint="eastAsia" w:ascii="宋体" w:hAnsi="宋体" w:eastAsia="宋体" w:cs="宋体"/>
          <w:color w:val="auto"/>
          <w:sz w:val="24"/>
          <w:highlight w:val="none"/>
        </w:rPr>
        <w:t>委托代理人必须在授权委托书上亲笔签字，</w:t>
      </w:r>
      <w:r>
        <w:rPr>
          <w:rFonts w:hint="eastAsia" w:ascii="宋体" w:hAnsi="宋体" w:eastAsia="宋体" w:cs="宋体"/>
          <w:b/>
          <w:bCs/>
          <w:color w:val="auto"/>
          <w:sz w:val="24"/>
          <w:highlight w:val="none"/>
        </w:rPr>
        <w:t>否则按无效投标处理</w:t>
      </w:r>
      <w:r>
        <w:rPr>
          <w:rFonts w:hint="eastAsia" w:ascii="宋体" w:hAnsi="宋体" w:eastAsia="宋体" w:cs="宋体"/>
          <w:color w:val="auto"/>
          <w:sz w:val="24"/>
          <w:highlight w:val="none"/>
        </w:rPr>
        <w:t>；</w:t>
      </w:r>
      <w:bookmarkEnd w:id="162"/>
    </w:p>
    <w:p w14:paraId="226C7D8C">
      <w:pPr>
        <w:spacing w:line="440" w:lineRule="exact"/>
        <w:ind w:firstLine="480" w:firstLineChars="200"/>
        <w:contextualSpacing/>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2.法人、其他组织投标时“我方”是指“我单位”，自然人投标时“我方”是指“本人”。</w:t>
      </w:r>
    </w:p>
    <w:p w14:paraId="50F86745">
      <w:pPr>
        <w:rPr>
          <w:rFonts w:hint="eastAsia" w:ascii="宋体" w:hAnsi="宋体" w:eastAsia="宋体" w:cs="宋体"/>
          <w:color w:val="auto"/>
          <w:sz w:val="24"/>
          <w:highlight w:val="none"/>
        </w:rPr>
      </w:pPr>
      <w:r>
        <w:rPr>
          <w:rFonts w:hint="eastAsia" w:ascii="宋体" w:hAnsi="宋体" w:eastAsia="宋体" w:cs="宋体"/>
          <w:color w:val="auto"/>
          <w:sz w:val="24"/>
          <w:highlight w:val="none"/>
        </w:rPr>
        <w:br w:type="page"/>
      </w:r>
    </w:p>
    <w:p w14:paraId="372C3A31">
      <w:pPr>
        <w:rPr>
          <w:rFonts w:hint="eastAsia" w:ascii="宋体" w:hAnsi="宋体" w:eastAsia="宋体" w:cs="宋体"/>
          <w:b/>
          <w:color w:val="auto"/>
          <w:sz w:val="24"/>
          <w:szCs w:val="20"/>
          <w:highlight w:val="none"/>
        </w:rPr>
      </w:pPr>
      <w:r>
        <w:rPr>
          <w:rFonts w:hint="eastAsia" w:ascii="宋体" w:hAnsi="宋体" w:eastAsia="宋体" w:cs="宋体"/>
          <w:b/>
          <w:color w:val="auto"/>
          <w:sz w:val="24"/>
          <w:highlight w:val="none"/>
        </w:rPr>
        <w:t>6.商务要求偏离表格式（注：按项目需求表具体项目修改）</w:t>
      </w:r>
    </w:p>
    <w:p w14:paraId="550D2B40">
      <w:pPr>
        <w:snapToGrid w:val="0"/>
        <w:spacing w:before="50"/>
        <w:jc w:val="left"/>
        <w:rPr>
          <w:rFonts w:hint="eastAsia" w:ascii="宋体" w:hAnsi="宋体" w:eastAsia="宋体" w:cs="宋体"/>
          <w:color w:val="auto"/>
          <w:sz w:val="24"/>
          <w:highlight w:val="none"/>
        </w:rPr>
      </w:pPr>
    </w:p>
    <w:p w14:paraId="4831C04B">
      <w:pPr>
        <w:pStyle w:val="24"/>
        <w:rPr>
          <w:rFonts w:hint="eastAsia" w:hAnsi="宋体" w:eastAsia="宋体" w:cs="宋体"/>
          <w:color w:val="auto"/>
          <w:sz w:val="24"/>
          <w:szCs w:val="24"/>
          <w:highlight w:val="none"/>
        </w:rPr>
      </w:pPr>
      <w:r>
        <w:rPr>
          <w:rFonts w:hint="eastAsia" w:hAnsi="宋体" w:eastAsia="宋体" w:cs="宋体"/>
          <w:color w:val="auto"/>
          <w:sz w:val="24"/>
          <w:szCs w:val="24"/>
          <w:highlight w:val="none"/>
        </w:rPr>
        <w:t>所投分标：</w:t>
      </w:r>
      <w:r>
        <w:rPr>
          <w:rFonts w:hint="eastAsia" w:hAnsi="宋体" w:eastAsia="宋体" w:cs="宋体"/>
          <w:color w:val="auto"/>
          <w:sz w:val="24"/>
          <w:szCs w:val="24"/>
          <w:highlight w:val="none"/>
          <w:u w:val="single"/>
        </w:rPr>
        <w:t xml:space="preserve">     </w:t>
      </w:r>
      <w:r>
        <w:rPr>
          <w:rFonts w:hint="eastAsia" w:hAnsi="宋体" w:eastAsia="宋体" w:cs="宋体"/>
          <w:color w:val="auto"/>
          <w:sz w:val="24"/>
          <w:szCs w:val="24"/>
          <w:highlight w:val="none"/>
        </w:rPr>
        <w:t>分标</w:t>
      </w:r>
    </w:p>
    <w:p w14:paraId="113AA042">
      <w:pPr>
        <w:snapToGrid w:val="0"/>
        <w:spacing w:before="50"/>
        <w:jc w:val="left"/>
        <w:rPr>
          <w:rFonts w:hint="eastAsia" w:ascii="宋体" w:hAnsi="宋体" w:eastAsia="宋体" w:cs="宋体"/>
          <w:color w:val="auto"/>
          <w:sz w:val="24"/>
          <w:highlight w:val="none"/>
          <w:u w:val="single"/>
        </w:rPr>
      </w:pPr>
    </w:p>
    <w:tbl>
      <w:tblPr>
        <w:tblStyle w:val="45"/>
        <w:tblW w:w="8513"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autofit"/>
        <w:tblCellMar>
          <w:top w:w="0" w:type="dxa"/>
          <w:left w:w="108" w:type="dxa"/>
          <w:bottom w:w="0" w:type="dxa"/>
          <w:right w:w="108" w:type="dxa"/>
        </w:tblCellMar>
      </w:tblPr>
      <w:tblGrid>
        <w:gridCol w:w="2534"/>
        <w:gridCol w:w="2661"/>
        <w:gridCol w:w="2158"/>
        <w:gridCol w:w="1160"/>
      </w:tblGrid>
      <w:tr w14:paraId="5877E0F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blHeader/>
          <w:jc w:val="center"/>
        </w:trPr>
        <w:tc>
          <w:tcPr>
            <w:tcW w:w="2534" w:type="dxa"/>
            <w:tcBorders>
              <w:top w:val="single" w:color="auto" w:sz="4" w:space="0"/>
              <w:left w:val="single" w:color="auto" w:sz="4" w:space="0"/>
              <w:bottom w:val="single" w:color="auto" w:sz="4" w:space="0"/>
              <w:right w:val="single" w:color="auto" w:sz="4" w:space="0"/>
            </w:tcBorders>
            <w:noWrap w:val="0"/>
            <w:vAlign w:val="center"/>
          </w:tcPr>
          <w:p w14:paraId="73685196">
            <w:pPr>
              <w:bidi w:val="0"/>
              <w:jc w:val="center"/>
              <w:rPr>
                <w:rFonts w:hint="eastAsia" w:ascii="宋体" w:hAnsi="宋体" w:eastAsia="宋体" w:cs="宋体"/>
                <w:b/>
                <w:bCs/>
                <w:color w:val="auto"/>
                <w:highlight w:val="none"/>
              </w:rPr>
            </w:pPr>
            <w:r>
              <w:rPr>
                <w:rFonts w:hint="eastAsia" w:ascii="宋体" w:hAnsi="宋体" w:eastAsia="宋体" w:cs="宋体"/>
                <w:b/>
                <w:bCs/>
                <w:color w:val="auto"/>
                <w:highlight w:val="none"/>
              </w:rPr>
              <w:t>项目</w:t>
            </w:r>
          </w:p>
        </w:tc>
        <w:tc>
          <w:tcPr>
            <w:tcW w:w="2661" w:type="dxa"/>
            <w:tcBorders>
              <w:top w:val="single" w:color="auto" w:sz="4" w:space="0"/>
              <w:left w:val="single" w:color="auto" w:sz="4" w:space="0"/>
              <w:bottom w:val="single" w:color="auto" w:sz="4" w:space="0"/>
              <w:right w:val="single" w:color="auto" w:sz="4" w:space="0"/>
            </w:tcBorders>
            <w:noWrap w:val="0"/>
            <w:vAlign w:val="center"/>
          </w:tcPr>
          <w:p w14:paraId="36F371C8">
            <w:pPr>
              <w:bidi w:val="0"/>
              <w:jc w:val="center"/>
              <w:rPr>
                <w:rFonts w:hint="eastAsia" w:ascii="宋体" w:hAnsi="宋体" w:eastAsia="宋体" w:cs="宋体"/>
                <w:b/>
                <w:bCs/>
                <w:color w:val="auto"/>
                <w:highlight w:val="none"/>
              </w:rPr>
            </w:pPr>
            <w:r>
              <w:rPr>
                <w:rFonts w:hint="eastAsia" w:ascii="宋体" w:hAnsi="宋体" w:eastAsia="宋体" w:cs="宋体"/>
                <w:b/>
                <w:bCs/>
                <w:color w:val="auto"/>
                <w:highlight w:val="none"/>
              </w:rPr>
              <w:t>招标文件商务要求</w:t>
            </w:r>
          </w:p>
        </w:tc>
        <w:tc>
          <w:tcPr>
            <w:tcW w:w="2158" w:type="dxa"/>
            <w:tcBorders>
              <w:top w:val="single" w:color="auto" w:sz="4" w:space="0"/>
              <w:left w:val="single" w:color="auto" w:sz="4" w:space="0"/>
              <w:bottom w:val="single" w:color="auto" w:sz="4" w:space="0"/>
              <w:right w:val="single" w:color="auto" w:sz="4" w:space="0"/>
            </w:tcBorders>
            <w:noWrap w:val="0"/>
            <w:vAlign w:val="center"/>
          </w:tcPr>
          <w:p w14:paraId="28CEB519">
            <w:pPr>
              <w:bidi w:val="0"/>
              <w:jc w:val="center"/>
              <w:rPr>
                <w:rFonts w:hint="eastAsia" w:ascii="宋体" w:hAnsi="宋体" w:eastAsia="宋体" w:cs="宋体"/>
                <w:b/>
                <w:bCs/>
                <w:color w:val="auto"/>
                <w:highlight w:val="none"/>
              </w:rPr>
            </w:pPr>
            <w:r>
              <w:rPr>
                <w:rFonts w:hint="eastAsia" w:ascii="宋体" w:hAnsi="宋体" w:eastAsia="宋体" w:cs="宋体"/>
                <w:b/>
                <w:bCs/>
                <w:color w:val="auto"/>
                <w:highlight w:val="none"/>
              </w:rPr>
              <w:t>投标人的承诺</w:t>
            </w:r>
          </w:p>
        </w:tc>
        <w:tc>
          <w:tcPr>
            <w:tcW w:w="1160" w:type="dxa"/>
            <w:tcBorders>
              <w:top w:val="single" w:color="auto" w:sz="4" w:space="0"/>
              <w:left w:val="single" w:color="auto" w:sz="4" w:space="0"/>
              <w:bottom w:val="single" w:color="auto" w:sz="4" w:space="0"/>
              <w:right w:val="single" w:color="auto" w:sz="4" w:space="0"/>
            </w:tcBorders>
            <w:noWrap w:val="0"/>
            <w:vAlign w:val="center"/>
          </w:tcPr>
          <w:p w14:paraId="357955E7">
            <w:pPr>
              <w:bidi w:val="0"/>
              <w:jc w:val="center"/>
              <w:rPr>
                <w:rFonts w:hint="eastAsia" w:ascii="宋体" w:hAnsi="宋体" w:eastAsia="宋体" w:cs="宋体"/>
                <w:b/>
                <w:bCs/>
                <w:color w:val="auto"/>
                <w:highlight w:val="none"/>
              </w:rPr>
            </w:pPr>
            <w:r>
              <w:rPr>
                <w:rFonts w:hint="eastAsia" w:ascii="宋体" w:hAnsi="宋体" w:eastAsia="宋体" w:cs="宋体"/>
                <w:b/>
                <w:bCs/>
                <w:color w:val="auto"/>
                <w:highlight w:val="none"/>
              </w:rPr>
              <w:t>偏离说明</w:t>
            </w:r>
          </w:p>
        </w:tc>
      </w:tr>
      <w:tr w14:paraId="5BF5C96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2534" w:type="dxa"/>
            <w:tcBorders>
              <w:top w:val="single" w:color="auto" w:sz="4" w:space="0"/>
              <w:left w:val="single" w:color="auto" w:sz="4" w:space="0"/>
              <w:bottom w:val="single" w:color="auto" w:sz="4" w:space="0"/>
              <w:right w:val="single" w:color="auto" w:sz="4" w:space="0"/>
            </w:tcBorders>
            <w:noWrap w:val="0"/>
            <w:vAlign w:val="center"/>
          </w:tcPr>
          <w:p w14:paraId="1938A6C4">
            <w:pPr>
              <w:bidi w:val="0"/>
              <w:jc w:val="center"/>
              <w:rPr>
                <w:rFonts w:hint="eastAsia" w:ascii="宋体" w:hAnsi="宋体" w:eastAsia="宋体" w:cs="宋体"/>
                <w:color w:val="auto"/>
                <w:sz w:val="21"/>
                <w:szCs w:val="21"/>
                <w:highlight w:val="none"/>
              </w:rPr>
            </w:pPr>
            <w:r>
              <w:rPr>
                <w:rFonts w:hint="eastAsia" w:ascii="宋体" w:hAnsi="宋体" w:eastAsia="宋体" w:cs="宋体"/>
                <w:b w:val="0"/>
                <w:bCs w:val="0"/>
                <w:color w:val="auto"/>
                <w:sz w:val="21"/>
                <w:szCs w:val="21"/>
                <w:highlight w:val="none"/>
              </w:rPr>
              <w:t>投标报价要求</w:t>
            </w:r>
          </w:p>
        </w:tc>
        <w:tc>
          <w:tcPr>
            <w:tcW w:w="2661" w:type="dxa"/>
            <w:tcBorders>
              <w:top w:val="single" w:color="auto" w:sz="4" w:space="0"/>
              <w:left w:val="single" w:color="auto" w:sz="4" w:space="0"/>
              <w:bottom w:val="single" w:color="auto" w:sz="4" w:space="0"/>
              <w:right w:val="single" w:color="auto" w:sz="4" w:space="0"/>
            </w:tcBorders>
            <w:noWrap w:val="0"/>
            <w:vAlign w:val="center"/>
          </w:tcPr>
          <w:p w14:paraId="7197874F">
            <w:pPr>
              <w:bidi w:val="0"/>
              <w:jc w:val="center"/>
              <w:rPr>
                <w:rFonts w:hint="eastAsia" w:ascii="宋体" w:hAnsi="宋体" w:eastAsia="宋体" w:cs="宋体"/>
                <w:color w:val="auto"/>
                <w:highlight w:val="none"/>
              </w:rPr>
            </w:pPr>
          </w:p>
        </w:tc>
        <w:tc>
          <w:tcPr>
            <w:tcW w:w="2158" w:type="dxa"/>
            <w:tcBorders>
              <w:top w:val="single" w:color="auto" w:sz="4" w:space="0"/>
              <w:left w:val="single" w:color="auto" w:sz="4" w:space="0"/>
              <w:bottom w:val="single" w:color="auto" w:sz="4" w:space="0"/>
              <w:right w:val="single" w:color="auto" w:sz="4" w:space="0"/>
            </w:tcBorders>
            <w:noWrap w:val="0"/>
            <w:vAlign w:val="center"/>
          </w:tcPr>
          <w:p w14:paraId="6DE9D714">
            <w:pPr>
              <w:bidi w:val="0"/>
              <w:jc w:val="center"/>
              <w:rPr>
                <w:rFonts w:hint="eastAsia" w:ascii="宋体" w:hAnsi="宋体" w:eastAsia="宋体" w:cs="宋体"/>
                <w:color w:val="auto"/>
                <w:highlight w:val="none"/>
              </w:rPr>
            </w:pPr>
          </w:p>
        </w:tc>
        <w:tc>
          <w:tcPr>
            <w:tcW w:w="1160" w:type="dxa"/>
            <w:tcBorders>
              <w:top w:val="single" w:color="auto" w:sz="4" w:space="0"/>
              <w:left w:val="single" w:color="auto" w:sz="4" w:space="0"/>
              <w:bottom w:val="single" w:color="auto" w:sz="4" w:space="0"/>
              <w:right w:val="single" w:color="auto" w:sz="4" w:space="0"/>
            </w:tcBorders>
            <w:noWrap w:val="0"/>
            <w:vAlign w:val="center"/>
          </w:tcPr>
          <w:p w14:paraId="712E86DF">
            <w:pPr>
              <w:bidi w:val="0"/>
              <w:jc w:val="center"/>
              <w:rPr>
                <w:rFonts w:hint="eastAsia" w:ascii="宋体" w:hAnsi="宋体" w:eastAsia="宋体" w:cs="宋体"/>
                <w:color w:val="auto"/>
                <w:highlight w:val="none"/>
              </w:rPr>
            </w:pPr>
          </w:p>
        </w:tc>
      </w:tr>
      <w:tr w14:paraId="2F183FA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2534" w:type="dxa"/>
            <w:tcBorders>
              <w:top w:val="single" w:color="auto" w:sz="4" w:space="0"/>
              <w:left w:val="single" w:color="auto" w:sz="4" w:space="0"/>
              <w:bottom w:val="single" w:color="auto" w:sz="4" w:space="0"/>
              <w:right w:val="single" w:color="auto" w:sz="4" w:space="0"/>
            </w:tcBorders>
            <w:noWrap w:val="0"/>
            <w:vAlign w:val="center"/>
          </w:tcPr>
          <w:p w14:paraId="065137A5">
            <w:pPr>
              <w:bidi w:val="0"/>
              <w:jc w:val="center"/>
              <w:rPr>
                <w:rFonts w:hint="eastAsia" w:ascii="宋体" w:hAnsi="宋体" w:eastAsia="宋体" w:cs="宋体"/>
                <w:color w:val="auto"/>
                <w:sz w:val="21"/>
                <w:szCs w:val="21"/>
                <w:highlight w:val="none"/>
              </w:rPr>
            </w:pPr>
            <w:r>
              <w:rPr>
                <w:rFonts w:hint="eastAsia" w:ascii="宋体" w:hAnsi="宋体" w:eastAsia="宋体" w:cs="宋体"/>
                <w:b w:val="0"/>
                <w:bCs w:val="0"/>
                <w:color w:val="auto"/>
                <w:spacing w:val="3"/>
                <w:sz w:val="21"/>
                <w:szCs w:val="21"/>
                <w:highlight w:val="none"/>
              </w:rPr>
              <w:t>合同签订日期</w:t>
            </w:r>
          </w:p>
        </w:tc>
        <w:tc>
          <w:tcPr>
            <w:tcW w:w="2661" w:type="dxa"/>
            <w:tcBorders>
              <w:top w:val="single" w:color="auto" w:sz="4" w:space="0"/>
              <w:left w:val="single" w:color="auto" w:sz="4" w:space="0"/>
              <w:bottom w:val="single" w:color="auto" w:sz="4" w:space="0"/>
              <w:right w:val="single" w:color="auto" w:sz="4" w:space="0"/>
            </w:tcBorders>
            <w:noWrap w:val="0"/>
            <w:vAlign w:val="center"/>
          </w:tcPr>
          <w:p w14:paraId="454896D1">
            <w:pPr>
              <w:bidi w:val="0"/>
              <w:jc w:val="center"/>
              <w:rPr>
                <w:rFonts w:hint="eastAsia" w:ascii="宋体" w:hAnsi="宋体" w:eastAsia="宋体" w:cs="宋体"/>
                <w:color w:val="auto"/>
                <w:highlight w:val="none"/>
              </w:rPr>
            </w:pPr>
          </w:p>
        </w:tc>
        <w:tc>
          <w:tcPr>
            <w:tcW w:w="2158" w:type="dxa"/>
            <w:tcBorders>
              <w:top w:val="single" w:color="auto" w:sz="4" w:space="0"/>
              <w:left w:val="single" w:color="auto" w:sz="4" w:space="0"/>
              <w:bottom w:val="single" w:color="auto" w:sz="4" w:space="0"/>
              <w:right w:val="single" w:color="auto" w:sz="4" w:space="0"/>
            </w:tcBorders>
            <w:noWrap w:val="0"/>
            <w:vAlign w:val="center"/>
          </w:tcPr>
          <w:p w14:paraId="4CE1E3D4">
            <w:pPr>
              <w:bidi w:val="0"/>
              <w:jc w:val="center"/>
              <w:rPr>
                <w:rFonts w:hint="eastAsia" w:ascii="宋体" w:hAnsi="宋体" w:eastAsia="宋体" w:cs="宋体"/>
                <w:color w:val="auto"/>
                <w:highlight w:val="none"/>
              </w:rPr>
            </w:pPr>
          </w:p>
        </w:tc>
        <w:tc>
          <w:tcPr>
            <w:tcW w:w="1160" w:type="dxa"/>
            <w:tcBorders>
              <w:top w:val="single" w:color="auto" w:sz="4" w:space="0"/>
              <w:left w:val="single" w:color="auto" w:sz="4" w:space="0"/>
              <w:bottom w:val="single" w:color="auto" w:sz="4" w:space="0"/>
              <w:right w:val="single" w:color="auto" w:sz="4" w:space="0"/>
            </w:tcBorders>
            <w:noWrap w:val="0"/>
            <w:vAlign w:val="center"/>
          </w:tcPr>
          <w:p w14:paraId="2A7910B1">
            <w:pPr>
              <w:bidi w:val="0"/>
              <w:jc w:val="center"/>
              <w:rPr>
                <w:rFonts w:hint="eastAsia" w:ascii="宋体" w:hAnsi="宋体" w:eastAsia="宋体" w:cs="宋体"/>
                <w:color w:val="auto"/>
                <w:highlight w:val="none"/>
              </w:rPr>
            </w:pPr>
          </w:p>
        </w:tc>
      </w:tr>
      <w:tr w14:paraId="12EA143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2534" w:type="dxa"/>
            <w:tcBorders>
              <w:top w:val="single" w:color="auto" w:sz="4" w:space="0"/>
              <w:left w:val="single" w:color="auto" w:sz="4" w:space="0"/>
              <w:bottom w:val="single" w:color="auto" w:sz="4" w:space="0"/>
              <w:right w:val="single" w:color="auto" w:sz="4" w:space="0"/>
            </w:tcBorders>
            <w:noWrap w:val="0"/>
            <w:vAlign w:val="center"/>
          </w:tcPr>
          <w:p w14:paraId="3E2E0162">
            <w:pPr>
              <w:bidi w:val="0"/>
              <w:jc w:val="center"/>
              <w:rPr>
                <w:rFonts w:hint="default" w:ascii="宋体" w:hAnsi="宋体" w:eastAsia="宋体" w:cs="宋体"/>
                <w:color w:val="auto"/>
                <w:highlight w:val="none"/>
                <w:lang w:val="en-US" w:eastAsia="zh-CN"/>
              </w:rPr>
            </w:pPr>
            <w:r>
              <w:rPr>
                <w:rFonts w:hint="eastAsia" w:ascii="宋体" w:hAnsi="宋体" w:cs="宋体"/>
                <w:color w:val="auto"/>
                <w:highlight w:val="none"/>
                <w:lang w:val="en-US" w:eastAsia="zh-CN"/>
              </w:rPr>
              <w:t>.......</w:t>
            </w:r>
          </w:p>
        </w:tc>
        <w:tc>
          <w:tcPr>
            <w:tcW w:w="2661" w:type="dxa"/>
            <w:tcBorders>
              <w:top w:val="single" w:color="auto" w:sz="4" w:space="0"/>
              <w:left w:val="single" w:color="auto" w:sz="4" w:space="0"/>
              <w:bottom w:val="single" w:color="auto" w:sz="4" w:space="0"/>
              <w:right w:val="single" w:color="auto" w:sz="4" w:space="0"/>
            </w:tcBorders>
            <w:noWrap w:val="0"/>
            <w:vAlign w:val="center"/>
          </w:tcPr>
          <w:p w14:paraId="698029D3">
            <w:pPr>
              <w:bidi w:val="0"/>
              <w:jc w:val="center"/>
              <w:rPr>
                <w:rFonts w:hint="eastAsia" w:ascii="宋体" w:hAnsi="宋体" w:eastAsia="宋体" w:cs="宋体"/>
                <w:color w:val="auto"/>
                <w:highlight w:val="none"/>
              </w:rPr>
            </w:pPr>
          </w:p>
        </w:tc>
        <w:tc>
          <w:tcPr>
            <w:tcW w:w="2158" w:type="dxa"/>
            <w:tcBorders>
              <w:top w:val="single" w:color="auto" w:sz="4" w:space="0"/>
              <w:left w:val="single" w:color="auto" w:sz="4" w:space="0"/>
              <w:bottom w:val="single" w:color="auto" w:sz="4" w:space="0"/>
              <w:right w:val="single" w:color="auto" w:sz="4" w:space="0"/>
            </w:tcBorders>
            <w:noWrap w:val="0"/>
            <w:vAlign w:val="center"/>
          </w:tcPr>
          <w:p w14:paraId="632DB9B5">
            <w:pPr>
              <w:bidi w:val="0"/>
              <w:jc w:val="center"/>
              <w:rPr>
                <w:rFonts w:hint="eastAsia" w:ascii="宋体" w:hAnsi="宋体" w:eastAsia="宋体" w:cs="宋体"/>
                <w:color w:val="auto"/>
                <w:highlight w:val="none"/>
              </w:rPr>
            </w:pPr>
          </w:p>
        </w:tc>
        <w:tc>
          <w:tcPr>
            <w:tcW w:w="1160" w:type="dxa"/>
            <w:tcBorders>
              <w:top w:val="single" w:color="auto" w:sz="4" w:space="0"/>
              <w:left w:val="single" w:color="auto" w:sz="4" w:space="0"/>
              <w:bottom w:val="single" w:color="auto" w:sz="4" w:space="0"/>
              <w:right w:val="single" w:color="auto" w:sz="4" w:space="0"/>
            </w:tcBorders>
            <w:noWrap w:val="0"/>
            <w:vAlign w:val="center"/>
          </w:tcPr>
          <w:p w14:paraId="15138D9A">
            <w:pPr>
              <w:bidi w:val="0"/>
              <w:jc w:val="center"/>
              <w:rPr>
                <w:rFonts w:hint="eastAsia" w:ascii="宋体" w:hAnsi="宋体" w:eastAsia="宋体" w:cs="宋体"/>
                <w:color w:val="auto"/>
                <w:highlight w:val="none"/>
              </w:rPr>
            </w:pPr>
          </w:p>
        </w:tc>
      </w:tr>
      <w:tr w14:paraId="13C745B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2534" w:type="dxa"/>
            <w:tcBorders>
              <w:top w:val="single" w:color="auto" w:sz="4" w:space="0"/>
              <w:left w:val="single" w:color="auto" w:sz="4" w:space="0"/>
              <w:bottom w:val="single" w:color="auto" w:sz="4" w:space="0"/>
              <w:right w:val="single" w:color="auto" w:sz="4" w:space="0"/>
            </w:tcBorders>
            <w:noWrap w:val="0"/>
            <w:vAlign w:val="center"/>
          </w:tcPr>
          <w:p w14:paraId="12BEA2B3">
            <w:pPr>
              <w:bidi w:val="0"/>
              <w:jc w:val="center"/>
              <w:rPr>
                <w:rFonts w:hint="default" w:ascii="宋体" w:hAnsi="宋体" w:cs="宋体"/>
                <w:color w:val="auto"/>
                <w:highlight w:val="none"/>
                <w:lang w:val="en-US" w:eastAsia="zh-CN"/>
              </w:rPr>
            </w:pPr>
            <w:r>
              <w:rPr>
                <w:rFonts w:hint="eastAsia" w:ascii="宋体" w:hAnsi="宋体" w:cs="宋体"/>
                <w:color w:val="auto"/>
                <w:highlight w:val="none"/>
                <w:lang w:val="en-US" w:eastAsia="zh-CN"/>
              </w:rPr>
              <w:t>N</w:t>
            </w:r>
          </w:p>
        </w:tc>
        <w:tc>
          <w:tcPr>
            <w:tcW w:w="2661" w:type="dxa"/>
            <w:tcBorders>
              <w:top w:val="single" w:color="auto" w:sz="4" w:space="0"/>
              <w:left w:val="single" w:color="auto" w:sz="4" w:space="0"/>
              <w:bottom w:val="single" w:color="auto" w:sz="4" w:space="0"/>
              <w:right w:val="single" w:color="auto" w:sz="4" w:space="0"/>
            </w:tcBorders>
            <w:noWrap w:val="0"/>
            <w:vAlign w:val="center"/>
          </w:tcPr>
          <w:p w14:paraId="5BA4B0DF">
            <w:pPr>
              <w:bidi w:val="0"/>
              <w:jc w:val="center"/>
              <w:rPr>
                <w:rFonts w:hint="eastAsia" w:ascii="宋体" w:hAnsi="宋体" w:eastAsia="宋体" w:cs="宋体"/>
                <w:color w:val="auto"/>
                <w:highlight w:val="none"/>
              </w:rPr>
            </w:pPr>
          </w:p>
        </w:tc>
        <w:tc>
          <w:tcPr>
            <w:tcW w:w="2158" w:type="dxa"/>
            <w:tcBorders>
              <w:top w:val="single" w:color="auto" w:sz="4" w:space="0"/>
              <w:left w:val="single" w:color="auto" w:sz="4" w:space="0"/>
              <w:bottom w:val="single" w:color="auto" w:sz="4" w:space="0"/>
              <w:right w:val="single" w:color="auto" w:sz="4" w:space="0"/>
            </w:tcBorders>
            <w:noWrap w:val="0"/>
            <w:vAlign w:val="center"/>
          </w:tcPr>
          <w:p w14:paraId="4100D4DA">
            <w:pPr>
              <w:bidi w:val="0"/>
              <w:jc w:val="center"/>
              <w:rPr>
                <w:rFonts w:hint="eastAsia" w:ascii="宋体" w:hAnsi="宋体" w:eastAsia="宋体" w:cs="宋体"/>
                <w:color w:val="auto"/>
                <w:highlight w:val="none"/>
              </w:rPr>
            </w:pPr>
          </w:p>
        </w:tc>
        <w:tc>
          <w:tcPr>
            <w:tcW w:w="1160" w:type="dxa"/>
            <w:tcBorders>
              <w:top w:val="single" w:color="auto" w:sz="4" w:space="0"/>
              <w:left w:val="single" w:color="auto" w:sz="4" w:space="0"/>
              <w:bottom w:val="single" w:color="auto" w:sz="4" w:space="0"/>
              <w:right w:val="single" w:color="auto" w:sz="4" w:space="0"/>
            </w:tcBorders>
            <w:noWrap w:val="0"/>
            <w:vAlign w:val="center"/>
          </w:tcPr>
          <w:p w14:paraId="0CB97D5B">
            <w:pPr>
              <w:bidi w:val="0"/>
              <w:jc w:val="center"/>
              <w:rPr>
                <w:rFonts w:hint="eastAsia" w:ascii="宋体" w:hAnsi="宋体" w:eastAsia="宋体" w:cs="宋体"/>
                <w:color w:val="auto"/>
                <w:highlight w:val="none"/>
              </w:rPr>
            </w:pPr>
          </w:p>
        </w:tc>
      </w:tr>
    </w:tbl>
    <w:p w14:paraId="73E6B71C">
      <w:pPr>
        <w:pStyle w:val="18"/>
        <w:rPr>
          <w:rFonts w:hint="eastAsia" w:ascii="宋体" w:hAnsi="宋体" w:eastAsia="宋体" w:cs="宋体"/>
          <w:color w:val="auto"/>
          <w:highlight w:val="none"/>
        </w:rPr>
      </w:pPr>
      <w:r>
        <w:rPr>
          <w:rFonts w:hint="eastAsia" w:ascii="宋体" w:hAnsi="宋体" w:eastAsia="宋体" w:cs="宋体"/>
          <w:color w:val="auto"/>
          <w:highlight w:val="none"/>
        </w:rPr>
        <w:t>说明：</w:t>
      </w:r>
    </w:p>
    <w:p w14:paraId="03613B82">
      <w:pPr>
        <w:pStyle w:val="19"/>
        <w:spacing w:line="520" w:lineRule="exact"/>
        <w:ind w:firstLine="0" w:firstLineChars="0"/>
        <w:rPr>
          <w:rFonts w:hint="eastAsia" w:ascii="宋体" w:hAnsi="宋体" w:eastAsia="宋体" w:cs="宋体"/>
          <w:color w:val="auto"/>
          <w:szCs w:val="32"/>
          <w:highlight w:val="none"/>
        </w:rPr>
      </w:pPr>
      <w:r>
        <w:rPr>
          <w:rFonts w:hint="eastAsia" w:ascii="宋体" w:hAnsi="宋体" w:eastAsia="宋体" w:cs="宋体"/>
          <w:color w:val="auto"/>
          <w:sz w:val="24"/>
          <w:szCs w:val="24"/>
          <w:highlight w:val="none"/>
        </w:rPr>
        <w:t>1. 上表“招标文件商务要求”应复制招标文件“第二章 采购需求”中的商务要求，“投标人承诺”应填写投标人对相应条款的承诺，“偏离说明”应注明“正偏离”、“负偏离”或者“无偏离”。（正偏离即优于招标文件要求，负偏离即低于招标文件要求，无偏离即与招标文件要求一致。）</w:t>
      </w:r>
    </w:p>
    <w:p w14:paraId="5F91DB07">
      <w:pPr>
        <w:pStyle w:val="18"/>
        <w:rPr>
          <w:rFonts w:hint="eastAsia" w:ascii="宋体" w:hAnsi="宋体" w:eastAsia="宋体" w:cs="宋体"/>
          <w:b w:val="0"/>
          <w:bCs w:val="0"/>
          <w:color w:val="auto"/>
          <w:highlight w:val="none"/>
        </w:rPr>
      </w:pPr>
      <w:r>
        <w:rPr>
          <w:rFonts w:hint="eastAsia" w:ascii="宋体" w:hAnsi="宋体" w:eastAsia="宋体" w:cs="宋体"/>
          <w:b w:val="0"/>
          <w:bCs w:val="0"/>
          <w:color w:val="auto"/>
          <w:highlight w:val="none"/>
        </w:rPr>
        <w:t>2.</w:t>
      </w:r>
      <w:r>
        <w:rPr>
          <w:rFonts w:hint="eastAsia" w:ascii="宋体" w:hAnsi="宋体" w:eastAsia="宋体" w:cs="宋体"/>
          <w:color w:val="auto"/>
          <w:highlight w:val="none"/>
        </w:rPr>
        <w:t xml:space="preserve"> </w:t>
      </w:r>
      <w:r>
        <w:rPr>
          <w:rFonts w:hint="eastAsia" w:ascii="宋体" w:hAnsi="宋体" w:eastAsia="宋体" w:cs="宋体"/>
          <w:b w:val="0"/>
          <w:bCs w:val="0"/>
          <w:color w:val="auto"/>
          <w:highlight w:val="none"/>
        </w:rPr>
        <w:t>投标人应根据自身实际情况对招标文件商务要求逐条作出明确承诺，并对偏离情况作出说明。</w:t>
      </w:r>
    </w:p>
    <w:p w14:paraId="796AB78F">
      <w:pPr>
        <w:snapToGrid w:val="0"/>
        <w:spacing w:before="50" w:after="50"/>
        <w:rPr>
          <w:rFonts w:hint="eastAsia" w:ascii="宋体" w:hAnsi="宋体" w:eastAsia="宋体" w:cs="宋体"/>
          <w:color w:val="auto"/>
          <w:sz w:val="24"/>
          <w:highlight w:val="none"/>
        </w:rPr>
      </w:pPr>
    </w:p>
    <w:p w14:paraId="698719CC">
      <w:pPr>
        <w:snapToGrid w:val="0"/>
        <w:spacing w:before="50" w:after="50"/>
        <w:rPr>
          <w:rFonts w:hint="eastAsia" w:ascii="宋体" w:hAnsi="宋体" w:eastAsia="宋体" w:cs="宋体"/>
          <w:color w:val="auto"/>
          <w:spacing w:val="20"/>
          <w:sz w:val="24"/>
          <w:highlight w:val="none"/>
          <w:u w:val="single"/>
        </w:rPr>
      </w:pPr>
      <w:r>
        <w:rPr>
          <w:rFonts w:hint="eastAsia" w:ascii="宋体" w:hAnsi="宋体" w:eastAsia="宋体" w:cs="宋体"/>
          <w:color w:val="auto"/>
          <w:sz w:val="24"/>
          <w:highlight w:val="none"/>
        </w:rPr>
        <w:t>法定代表人或者委托代理人</w:t>
      </w:r>
      <w:r>
        <w:rPr>
          <w:rFonts w:hint="eastAsia" w:ascii="宋体" w:hAnsi="宋体" w:eastAsia="宋体" w:cs="宋体"/>
          <w:color w:val="auto"/>
          <w:spacing w:val="20"/>
          <w:sz w:val="24"/>
          <w:highlight w:val="none"/>
        </w:rPr>
        <w:t>（签字）：</w:t>
      </w:r>
      <w:r>
        <w:rPr>
          <w:rFonts w:hint="eastAsia" w:ascii="宋体" w:hAnsi="宋体" w:eastAsia="宋体" w:cs="宋体"/>
          <w:color w:val="auto"/>
          <w:spacing w:val="20"/>
          <w:sz w:val="24"/>
          <w:highlight w:val="none"/>
          <w:u w:val="single"/>
        </w:rPr>
        <w:t xml:space="preserve">        </w:t>
      </w:r>
    </w:p>
    <w:p w14:paraId="72D89F4A">
      <w:pPr>
        <w:snapToGrid w:val="0"/>
        <w:spacing w:before="159" w:beforeLines="50"/>
        <w:rPr>
          <w:rFonts w:hint="eastAsia" w:ascii="宋体" w:hAnsi="宋体" w:eastAsia="宋体" w:cs="宋体"/>
          <w:color w:val="auto"/>
          <w:spacing w:val="20"/>
          <w:sz w:val="24"/>
          <w:highlight w:val="none"/>
        </w:rPr>
      </w:pPr>
      <w:r>
        <w:rPr>
          <w:rFonts w:hint="eastAsia" w:ascii="宋体" w:hAnsi="宋体" w:eastAsia="宋体" w:cs="宋体"/>
          <w:color w:val="auto"/>
          <w:spacing w:val="20"/>
          <w:sz w:val="24"/>
          <w:highlight w:val="none"/>
        </w:rPr>
        <w:t>投标人盖公章：</w:t>
      </w:r>
      <w:r>
        <w:rPr>
          <w:rFonts w:hint="eastAsia" w:ascii="宋体" w:hAnsi="宋体" w:eastAsia="宋体" w:cs="宋体"/>
          <w:color w:val="auto"/>
          <w:spacing w:val="20"/>
          <w:sz w:val="24"/>
          <w:highlight w:val="none"/>
          <w:u w:val="single"/>
        </w:rPr>
        <w:t xml:space="preserve">            </w:t>
      </w:r>
      <w:r>
        <w:rPr>
          <w:rFonts w:hint="eastAsia" w:ascii="宋体" w:hAnsi="宋体" w:eastAsia="宋体" w:cs="宋体"/>
          <w:color w:val="auto"/>
          <w:spacing w:val="20"/>
          <w:sz w:val="24"/>
          <w:highlight w:val="none"/>
        </w:rPr>
        <w:t xml:space="preserve">   </w:t>
      </w:r>
    </w:p>
    <w:p w14:paraId="65A7E4B7">
      <w:pPr>
        <w:snapToGrid w:val="0"/>
        <w:spacing w:before="159" w:beforeLines="50"/>
        <w:rPr>
          <w:rFonts w:hint="eastAsia" w:ascii="宋体" w:hAnsi="宋体" w:eastAsia="宋体" w:cs="宋体"/>
          <w:color w:val="auto"/>
          <w:sz w:val="24"/>
          <w:szCs w:val="20"/>
          <w:highlight w:val="none"/>
        </w:rPr>
      </w:pPr>
      <w:r>
        <w:rPr>
          <w:rFonts w:hint="eastAsia" w:ascii="宋体" w:hAnsi="宋体" w:eastAsia="宋体" w:cs="宋体"/>
          <w:color w:val="auto"/>
          <w:spacing w:val="20"/>
          <w:sz w:val="24"/>
          <w:highlight w:val="none"/>
        </w:rPr>
        <w:t>日  期：</w:t>
      </w:r>
      <w:r>
        <w:rPr>
          <w:rFonts w:hint="eastAsia" w:ascii="宋体" w:hAnsi="宋体" w:eastAsia="宋体" w:cs="宋体"/>
          <w:color w:val="auto"/>
          <w:spacing w:val="20"/>
          <w:sz w:val="24"/>
          <w:highlight w:val="none"/>
          <w:u w:val="single"/>
        </w:rPr>
        <w:t xml:space="preserve">         </w:t>
      </w:r>
    </w:p>
    <w:p w14:paraId="62BA9E45">
      <w:pPr>
        <w:snapToGrid w:val="0"/>
        <w:spacing w:before="159" w:beforeLines="50" w:after="50"/>
        <w:jc w:val="left"/>
        <w:rPr>
          <w:rFonts w:hint="eastAsia" w:ascii="宋体" w:hAnsi="宋体" w:eastAsia="宋体" w:cs="宋体"/>
          <w:b/>
          <w:color w:val="auto"/>
          <w:sz w:val="24"/>
          <w:highlight w:val="none"/>
        </w:rPr>
      </w:pPr>
      <w:r>
        <w:rPr>
          <w:rFonts w:hint="eastAsia" w:ascii="宋体" w:hAnsi="宋体" w:eastAsia="宋体" w:cs="宋体"/>
          <w:color w:val="auto"/>
          <w:sz w:val="24"/>
          <w:szCs w:val="20"/>
          <w:highlight w:val="none"/>
        </w:rPr>
        <w:br w:type="page"/>
      </w:r>
      <w:r>
        <w:rPr>
          <w:rFonts w:hint="eastAsia" w:ascii="宋体" w:hAnsi="宋体" w:eastAsia="宋体" w:cs="宋体"/>
          <w:b/>
          <w:color w:val="auto"/>
          <w:sz w:val="24"/>
          <w:highlight w:val="none"/>
        </w:rPr>
        <w:t>7.投标人业绩证明材料</w:t>
      </w:r>
    </w:p>
    <w:p w14:paraId="00CD93C6">
      <w:pPr>
        <w:snapToGrid w:val="0"/>
        <w:spacing w:before="50" w:after="120" w:afterLines="50"/>
        <w:jc w:val="center"/>
        <w:rPr>
          <w:rFonts w:hint="eastAsia" w:ascii="宋体" w:hAnsi="宋体" w:eastAsia="宋体" w:cs="宋体"/>
          <w:color w:val="auto"/>
          <w:szCs w:val="21"/>
          <w:highlight w:val="none"/>
        </w:rPr>
      </w:pPr>
      <w:r>
        <w:rPr>
          <w:rFonts w:hint="eastAsia" w:ascii="宋体" w:hAnsi="宋体" w:eastAsia="宋体" w:cs="宋体"/>
          <w:b/>
          <w:color w:val="auto"/>
          <w:szCs w:val="21"/>
          <w:highlight w:val="none"/>
        </w:rPr>
        <w:t>类似成功案例业绩一览表</w:t>
      </w:r>
    </w:p>
    <w:tbl>
      <w:tblPr>
        <w:tblStyle w:val="45"/>
        <w:tblW w:w="9071"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373"/>
        <w:gridCol w:w="1709"/>
        <w:gridCol w:w="2438"/>
        <w:gridCol w:w="1219"/>
        <w:gridCol w:w="782"/>
        <w:gridCol w:w="859"/>
        <w:gridCol w:w="1691"/>
      </w:tblGrid>
      <w:tr w14:paraId="0C71992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1509" w:hRule="atLeast"/>
        </w:trPr>
        <w:tc>
          <w:tcPr>
            <w:tcW w:w="486" w:type="dxa"/>
            <w:tcBorders>
              <w:top w:val="single" w:color="auto" w:sz="4" w:space="0"/>
              <w:left w:val="single" w:color="auto" w:sz="4" w:space="0"/>
              <w:bottom w:val="single" w:color="auto" w:sz="4" w:space="0"/>
              <w:right w:val="single" w:color="auto" w:sz="4" w:space="0"/>
            </w:tcBorders>
            <w:noWrap w:val="0"/>
            <w:vAlign w:val="center"/>
          </w:tcPr>
          <w:p w14:paraId="64947906">
            <w:pPr>
              <w:snapToGrid w:val="0"/>
              <w:spacing w:line="24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序号</w:t>
            </w:r>
          </w:p>
        </w:tc>
        <w:tc>
          <w:tcPr>
            <w:tcW w:w="2820" w:type="dxa"/>
            <w:tcBorders>
              <w:top w:val="single" w:color="auto" w:sz="4" w:space="0"/>
              <w:left w:val="single" w:color="auto" w:sz="4" w:space="0"/>
              <w:bottom w:val="single" w:color="auto" w:sz="4" w:space="0"/>
              <w:right w:val="single" w:color="auto" w:sz="4" w:space="0"/>
            </w:tcBorders>
            <w:noWrap w:val="0"/>
            <w:vAlign w:val="center"/>
          </w:tcPr>
          <w:p w14:paraId="4B999C83">
            <w:pPr>
              <w:snapToGrid w:val="0"/>
              <w:spacing w:line="24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甲方单位名称</w:t>
            </w:r>
          </w:p>
        </w:tc>
        <w:tc>
          <w:tcPr>
            <w:tcW w:w="4095" w:type="dxa"/>
            <w:tcBorders>
              <w:top w:val="single" w:color="auto" w:sz="4" w:space="0"/>
              <w:left w:val="single" w:color="auto" w:sz="4" w:space="0"/>
              <w:bottom w:val="single" w:color="auto" w:sz="4" w:space="0"/>
              <w:right w:val="single" w:color="auto" w:sz="4" w:space="0"/>
            </w:tcBorders>
            <w:noWrap w:val="0"/>
            <w:vAlign w:val="center"/>
          </w:tcPr>
          <w:p w14:paraId="45096BD4">
            <w:pPr>
              <w:snapToGrid w:val="0"/>
              <w:spacing w:line="24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项目名称或服务内容</w:t>
            </w:r>
          </w:p>
        </w:tc>
        <w:tc>
          <w:tcPr>
            <w:tcW w:w="1965" w:type="dxa"/>
            <w:tcBorders>
              <w:top w:val="single" w:color="auto" w:sz="4" w:space="0"/>
              <w:left w:val="single" w:color="auto" w:sz="4" w:space="0"/>
              <w:bottom w:val="single" w:color="auto" w:sz="4" w:space="0"/>
              <w:right w:val="single" w:color="auto" w:sz="4" w:space="0"/>
            </w:tcBorders>
            <w:noWrap w:val="0"/>
            <w:vAlign w:val="center"/>
          </w:tcPr>
          <w:p w14:paraId="77F203E6">
            <w:pPr>
              <w:snapToGrid w:val="0"/>
              <w:spacing w:line="24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服务周期或时间（年/月）</w:t>
            </w:r>
          </w:p>
        </w:tc>
        <w:tc>
          <w:tcPr>
            <w:tcW w:w="1200" w:type="dxa"/>
            <w:tcBorders>
              <w:top w:val="single" w:color="auto" w:sz="4" w:space="0"/>
              <w:left w:val="single" w:color="auto" w:sz="4" w:space="0"/>
              <w:bottom w:val="single" w:color="auto" w:sz="4" w:space="0"/>
              <w:right w:val="single" w:color="auto" w:sz="4" w:space="0"/>
            </w:tcBorders>
            <w:noWrap w:val="0"/>
            <w:vAlign w:val="center"/>
          </w:tcPr>
          <w:p w14:paraId="6CBAC0CD">
            <w:pPr>
              <w:snapToGrid w:val="0"/>
              <w:spacing w:line="24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团队人数</w:t>
            </w:r>
          </w:p>
        </w:tc>
        <w:tc>
          <w:tcPr>
            <w:tcW w:w="1335" w:type="dxa"/>
            <w:tcBorders>
              <w:top w:val="single" w:color="auto" w:sz="4" w:space="0"/>
              <w:left w:val="single" w:color="auto" w:sz="4" w:space="0"/>
              <w:bottom w:val="single" w:color="auto" w:sz="4" w:space="0"/>
              <w:right w:val="single" w:color="auto" w:sz="4" w:space="0"/>
            </w:tcBorders>
            <w:noWrap w:val="0"/>
            <w:vAlign w:val="center"/>
          </w:tcPr>
          <w:p w14:paraId="47924E7C">
            <w:pPr>
              <w:snapToGrid w:val="0"/>
              <w:spacing w:line="24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合同总价（元）</w:t>
            </w:r>
          </w:p>
        </w:tc>
        <w:tc>
          <w:tcPr>
            <w:tcW w:w="2790" w:type="dxa"/>
            <w:tcBorders>
              <w:top w:val="single" w:color="auto" w:sz="4" w:space="0"/>
              <w:left w:val="single" w:color="auto" w:sz="4" w:space="0"/>
              <w:bottom w:val="single" w:color="auto" w:sz="4" w:space="0"/>
              <w:right w:val="single" w:color="auto" w:sz="4" w:space="0"/>
            </w:tcBorders>
            <w:noWrap w:val="0"/>
            <w:vAlign w:val="center"/>
          </w:tcPr>
          <w:p w14:paraId="6D0434A2">
            <w:pPr>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采购单位联系人及联系电话</w:t>
            </w:r>
          </w:p>
        </w:tc>
      </w:tr>
      <w:tr w14:paraId="44ACC5C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68" w:hRule="atLeast"/>
        </w:trPr>
        <w:tc>
          <w:tcPr>
            <w:tcW w:w="486" w:type="dxa"/>
            <w:tcBorders>
              <w:top w:val="single" w:color="auto" w:sz="4" w:space="0"/>
              <w:left w:val="single" w:color="auto" w:sz="4" w:space="0"/>
              <w:bottom w:val="single" w:color="auto" w:sz="4" w:space="0"/>
              <w:right w:val="single" w:color="auto" w:sz="4" w:space="0"/>
            </w:tcBorders>
            <w:noWrap w:val="0"/>
            <w:vAlign w:val="top"/>
          </w:tcPr>
          <w:p w14:paraId="5B0C9949">
            <w:pPr>
              <w:snapToGrid w:val="0"/>
              <w:spacing w:line="240" w:lineRule="exact"/>
              <w:jc w:val="left"/>
              <w:rPr>
                <w:rFonts w:hint="eastAsia" w:ascii="宋体" w:hAnsi="宋体" w:eastAsia="宋体" w:cs="宋体"/>
                <w:color w:val="auto"/>
                <w:szCs w:val="21"/>
                <w:highlight w:val="none"/>
              </w:rPr>
            </w:pPr>
          </w:p>
        </w:tc>
        <w:tc>
          <w:tcPr>
            <w:tcW w:w="2820" w:type="dxa"/>
            <w:tcBorders>
              <w:top w:val="single" w:color="auto" w:sz="4" w:space="0"/>
              <w:left w:val="single" w:color="auto" w:sz="4" w:space="0"/>
              <w:bottom w:val="single" w:color="auto" w:sz="4" w:space="0"/>
              <w:right w:val="single" w:color="auto" w:sz="4" w:space="0"/>
            </w:tcBorders>
            <w:noWrap w:val="0"/>
            <w:vAlign w:val="top"/>
          </w:tcPr>
          <w:p w14:paraId="11056C05">
            <w:pPr>
              <w:snapToGrid w:val="0"/>
              <w:spacing w:line="240" w:lineRule="exact"/>
              <w:jc w:val="left"/>
              <w:rPr>
                <w:rFonts w:hint="eastAsia" w:ascii="宋体" w:hAnsi="宋体" w:eastAsia="宋体" w:cs="宋体"/>
                <w:color w:val="auto"/>
                <w:szCs w:val="21"/>
                <w:highlight w:val="none"/>
              </w:rPr>
            </w:pPr>
          </w:p>
        </w:tc>
        <w:tc>
          <w:tcPr>
            <w:tcW w:w="4095" w:type="dxa"/>
            <w:tcBorders>
              <w:top w:val="single" w:color="auto" w:sz="4" w:space="0"/>
              <w:left w:val="single" w:color="auto" w:sz="4" w:space="0"/>
              <w:bottom w:val="single" w:color="auto" w:sz="4" w:space="0"/>
              <w:right w:val="single" w:color="auto" w:sz="4" w:space="0"/>
            </w:tcBorders>
            <w:noWrap w:val="0"/>
            <w:vAlign w:val="top"/>
          </w:tcPr>
          <w:p w14:paraId="22D4A0D1">
            <w:pPr>
              <w:snapToGrid w:val="0"/>
              <w:spacing w:line="240" w:lineRule="exact"/>
              <w:jc w:val="left"/>
              <w:rPr>
                <w:rFonts w:hint="eastAsia" w:ascii="宋体" w:hAnsi="宋体" w:eastAsia="宋体" w:cs="宋体"/>
                <w:color w:val="auto"/>
                <w:szCs w:val="21"/>
                <w:highlight w:val="none"/>
              </w:rPr>
            </w:pPr>
          </w:p>
        </w:tc>
        <w:tc>
          <w:tcPr>
            <w:tcW w:w="1965" w:type="dxa"/>
            <w:tcBorders>
              <w:top w:val="single" w:color="auto" w:sz="4" w:space="0"/>
              <w:left w:val="single" w:color="auto" w:sz="4" w:space="0"/>
              <w:bottom w:val="single" w:color="auto" w:sz="4" w:space="0"/>
              <w:right w:val="single" w:color="auto" w:sz="4" w:space="0"/>
            </w:tcBorders>
            <w:noWrap w:val="0"/>
            <w:vAlign w:val="top"/>
          </w:tcPr>
          <w:p w14:paraId="6DA1C370">
            <w:pPr>
              <w:snapToGrid w:val="0"/>
              <w:spacing w:line="240" w:lineRule="exact"/>
              <w:jc w:val="left"/>
              <w:rPr>
                <w:rFonts w:hint="eastAsia" w:ascii="宋体" w:hAnsi="宋体" w:eastAsia="宋体" w:cs="宋体"/>
                <w:color w:val="auto"/>
                <w:szCs w:val="21"/>
                <w:highlight w:val="none"/>
              </w:rPr>
            </w:pPr>
          </w:p>
        </w:tc>
        <w:tc>
          <w:tcPr>
            <w:tcW w:w="1200" w:type="dxa"/>
            <w:tcBorders>
              <w:top w:val="single" w:color="auto" w:sz="4" w:space="0"/>
              <w:left w:val="single" w:color="auto" w:sz="4" w:space="0"/>
              <w:bottom w:val="single" w:color="auto" w:sz="4" w:space="0"/>
              <w:right w:val="single" w:color="auto" w:sz="4" w:space="0"/>
            </w:tcBorders>
            <w:noWrap w:val="0"/>
            <w:vAlign w:val="top"/>
          </w:tcPr>
          <w:p w14:paraId="164E81EA">
            <w:pPr>
              <w:snapToGrid w:val="0"/>
              <w:spacing w:line="240" w:lineRule="exact"/>
              <w:jc w:val="left"/>
              <w:rPr>
                <w:rFonts w:hint="eastAsia" w:ascii="宋体" w:hAnsi="宋体" w:eastAsia="宋体" w:cs="宋体"/>
                <w:color w:val="auto"/>
                <w:szCs w:val="21"/>
                <w:highlight w:val="none"/>
              </w:rPr>
            </w:pPr>
          </w:p>
        </w:tc>
        <w:tc>
          <w:tcPr>
            <w:tcW w:w="1335" w:type="dxa"/>
            <w:tcBorders>
              <w:top w:val="single" w:color="auto" w:sz="4" w:space="0"/>
              <w:left w:val="single" w:color="auto" w:sz="4" w:space="0"/>
              <w:bottom w:val="single" w:color="auto" w:sz="4" w:space="0"/>
              <w:right w:val="single" w:color="auto" w:sz="4" w:space="0"/>
            </w:tcBorders>
            <w:noWrap w:val="0"/>
            <w:vAlign w:val="top"/>
          </w:tcPr>
          <w:p w14:paraId="6086A56C">
            <w:pPr>
              <w:snapToGrid w:val="0"/>
              <w:spacing w:line="240" w:lineRule="exact"/>
              <w:jc w:val="left"/>
              <w:rPr>
                <w:rFonts w:hint="eastAsia" w:ascii="宋体" w:hAnsi="宋体" w:eastAsia="宋体" w:cs="宋体"/>
                <w:color w:val="auto"/>
                <w:szCs w:val="21"/>
                <w:highlight w:val="none"/>
              </w:rPr>
            </w:pPr>
          </w:p>
        </w:tc>
        <w:tc>
          <w:tcPr>
            <w:tcW w:w="2790" w:type="dxa"/>
            <w:tcBorders>
              <w:top w:val="single" w:color="auto" w:sz="4" w:space="0"/>
              <w:left w:val="single" w:color="auto" w:sz="4" w:space="0"/>
              <w:bottom w:val="single" w:color="auto" w:sz="4" w:space="0"/>
              <w:right w:val="single" w:color="auto" w:sz="4" w:space="0"/>
            </w:tcBorders>
            <w:noWrap w:val="0"/>
            <w:vAlign w:val="top"/>
          </w:tcPr>
          <w:p w14:paraId="4E581A5A">
            <w:pPr>
              <w:snapToGrid w:val="0"/>
              <w:spacing w:line="240" w:lineRule="exact"/>
              <w:jc w:val="left"/>
              <w:rPr>
                <w:rFonts w:hint="eastAsia" w:ascii="宋体" w:hAnsi="宋体" w:eastAsia="宋体" w:cs="宋体"/>
                <w:color w:val="auto"/>
                <w:szCs w:val="21"/>
                <w:highlight w:val="none"/>
              </w:rPr>
            </w:pPr>
          </w:p>
        </w:tc>
      </w:tr>
      <w:tr w14:paraId="07D9D27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87" w:hRule="atLeast"/>
        </w:trPr>
        <w:tc>
          <w:tcPr>
            <w:tcW w:w="486" w:type="dxa"/>
            <w:tcBorders>
              <w:top w:val="single" w:color="auto" w:sz="4" w:space="0"/>
              <w:left w:val="single" w:color="auto" w:sz="4" w:space="0"/>
              <w:bottom w:val="single" w:color="auto" w:sz="4" w:space="0"/>
              <w:right w:val="single" w:color="auto" w:sz="4" w:space="0"/>
            </w:tcBorders>
            <w:noWrap w:val="0"/>
            <w:vAlign w:val="top"/>
          </w:tcPr>
          <w:p w14:paraId="5AEC89AC">
            <w:pPr>
              <w:snapToGrid w:val="0"/>
              <w:spacing w:before="50" w:after="120" w:afterLines="50" w:line="400" w:lineRule="exact"/>
              <w:jc w:val="left"/>
              <w:rPr>
                <w:rFonts w:hint="eastAsia" w:ascii="宋体" w:hAnsi="宋体" w:eastAsia="宋体" w:cs="宋体"/>
                <w:color w:val="auto"/>
                <w:szCs w:val="21"/>
                <w:highlight w:val="none"/>
              </w:rPr>
            </w:pPr>
          </w:p>
        </w:tc>
        <w:tc>
          <w:tcPr>
            <w:tcW w:w="2820" w:type="dxa"/>
            <w:tcBorders>
              <w:top w:val="single" w:color="auto" w:sz="4" w:space="0"/>
              <w:left w:val="single" w:color="auto" w:sz="4" w:space="0"/>
              <w:bottom w:val="single" w:color="auto" w:sz="4" w:space="0"/>
              <w:right w:val="single" w:color="auto" w:sz="4" w:space="0"/>
            </w:tcBorders>
            <w:noWrap w:val="0"/>
            <w:vAlign w:val="top"/>
          </w:tcPr>
          <w:p w14:paraId="188B002C">
            <w:pPr>
              <w:snapToGrid w:val="0"/>
              <w:spacing w:before="50" w:after="120" w:afterLines="50" w:line="400" w:lineRule="exact"/>
              <w:jc w:val="left"/>
              <w:rPr>
                <w:rFonts w:hint="eastAsia" w:ascii="宋体" w:hAnsi="宋体" w:eastAsia="宋体" w:cs="宋体"/>
                <w:color w:val="auto"/>
                <w:szCs w:val="21"/>
                <w:highlight w:val="none"/>
              </w:rPr>
            </w:pPr>
          </w:p>
        </w:tc>
        <w:tc>
          <w:tcPr>
            <w:tcW w:w="4095" w:type="dxa"/>
            <w:tcBorders>
              <w:top w:val="single" w:color="auto" w:sz="4" w:space="0"/>
              <w:left w:val="single" w:color="auto" w:sz="4" w:space="0"/>
              <w:bottom w:val="single" w:color="auto" w:sz="4" w:space="0"/>
              <w:right w:val="single" w:color="auto" w:sz="4" w:space="0"/>
            </w:tcBorders>
            <w:noWrap w:val="0"/>
            <w:vAlign w:val="top"/>
          </w:tcPr>
          <w:p w14:paraId="63ACFF2A">
            <w:pPr>
              <w:snapToGrid w:val="0"/>
              <w:spacing w:before="50" w:after="120" w:afterLines="50" w:line="400" w:lineRule="exact"/>
              <w:jc w:val="left"/>
              <w:rPr>
                <w:rFonts w:hint="eastAsia" w:ascii="宋体" w:hAnsi="宋体" w:eastAsia="宋体" w:cs="宋体"/>
                <w:color w:val="auto"/>
                <w:szCs w:val="21"/>
                <w:highlight w:val="none"/>
              </w:rPr>
            </w:pPr>
          </w:p>
        </w:tc>
        <w:tc>
          <w:tcPr>
            <w:tcW w:w="1965" w:type="dxa"/>
            <w:tcBorders>
              <w:top w:val="single" w:color="auto" w:sz="4" w:space="0"/>
              <w:left w:val="single" w:color="auto" w:sz="4" w:space="0"/>
              <w:bottom w:val="single" w:color="auto" w:sz="4" w:space="0"/>
              <w:right w:val="single" w:color="auto" w:sz="4" w:space="0"/>
            </w:tcBorders>
            <w:noWrap w:val="0"/>
            <w:vAlign w:val="top"/>
          </w:tcPr>
          <w:p w14:paraId="7AFAA33F">
            <w:pPr>
              <w:snapToGrid w:val="0"/>
              <w:spacing w:before="50" w:after="120" w:afterLines="50" w:line="400" w:lineRule="exact"/>
              <w:jc w:val="left"/>
              <w:rPr>
                <w:rFonts w:hint="eastAsia" w:ascii="宋体" w:hAnsi="宋体" w:eastAsia="宋体" w:cs="宋体"/>
                <w:color w:val="auto"/>
                <w:szCs w:val="21"/>
                <w:highlight w:val="none"/>
              </w:rPr>
            </w:pPr>
          </w:p>
        </w:tc>
        <w:tc>
          <w:tcPr>
            <w:tcW w:w="1200" w:type="dxa"/>
            <w:tcBorders>
              <w:top w:val="single" w:color="auto" w:sz="4" w:space="0"/>
              <w:left w:val="single" w:color="auto" w:sz="4" w:space="0"/>
              <w:bottom w:val="single" w:color="auto" w:sz="4" w:space="0"/>
              <w:right w:val="single" w:color="auto" w:sz="4" w:space="0"/>
            </w:tcBorders>
            <w:noWrap w:val="0"/>
            <w:vAlign w:val="top"/>
          </w:tcPr>
          <w:p w14:paraId="37D4EA77">
            <w:pPr>
              <w:snapToGrid w:val="0"/>
              <w:spacing w:before="50" w:after="120" w:afterLines="50" w:line="400" w:lineRule="exact"/>
              <w:jc w:val="left"/>
              <w:rPr>
                <w:rFonts w:hint="eastAsia" w:ascii="宋体" w:hAnsi="宋体" w:eastAsia="宋体" w:cs="宋体"/>
                <w:color w:val="auto"/>
                <w:szCs w:val="21"/>
                <w:highlight w:val="none"/>
              </w:rPr>
            </w:pPr>
          </w:p>
        </w:tc>
        <w:tc>
          <w:tcPr>
            <w:tcW w:w="1335" w:type="dxa"/>
            <w:tcBorders>
              <w:top w:val="single" w:color="auto" w:sz="4" w:space="0"/>
              <w:left w:val="single" w:color="auto" w:sz="4" w:space="0"/>
              <w:bottom w:val="single" w:color="auto" w:sz="4" w:space="0"/>
              <w:right w:val="single" w:color="auto" w:sz="4" w:space="0"/>
            </w:tcBorders>
            <w:noWrap w:val="0"/>
            <w:vAlign w:val="top"/>
          </w:tcPr>
          <w:p w14:paraId="310A2289">
            <w:pPr>
              <w:snapToGrid w:val="0"/>
              <w:spacing w:before="50" w:after="120" w:afterLines="50" w:line="400" w:lineRule="exact"/>
              <w:jc w:val="left"/>
              <w:rPr>
                <w:rFonts w:hint="eastAsia" w:ascii="宋体" w:hAnsi="宋体" w:eastAsia="宋体" w:cs="宋体"/>
                <w:color w:val="auto"/>
                <w:szCs w:val="21"/>
                <w:highlight w:val="none"/>
              </w:rPr>
            </w:pPr>
          </w:p>
        </w:tc>
        <w:tc>
          <w:tcPr>
            <w:tcW w:w="2790" w:type="dxa"/>
            <w:tcBorders>
              <w:top w:val="single" w:color="auto" w:sz="4" w:space="0"/>
              <w:left w:val="single" w:color="auto" w:sz="4" w:space="0"/>
              <w:bottom w:val="single" w:color="auto" w:sz="4" w:space="0"/>
              <w:right w:val="single" w:color="auto" w:sz="4" w:space="0"/>
            </w:tcBorders>
            <w:noWrap w:val="0"/>
            <w:vAlign w:val="top"/>
          </w:tcPr>
          <w:p w14:paraId="7570A4AF">
            <w:pPr>
              <w:snapToGrid w:val="0"/>
              <w:spacing w:before="50" w:after="120" w:afterLines="50" w:line="400" w:lineRule="exact"/>
              <w:jc w:val="left"/>
              <w:rPr>
                <w:rFonts w:hint="eastAsia" w:ascii="宋体" w:hAnsi="宋体" w:eastAsia="宋体" w:cs="宋体"/>
                <w:color w:val="auto"/>
                <w:szCs w:val="21"/>
                <w:highlight w:val="none"/>
              </w:rPr>
            </w:pPr>
          </w:p>
        </w:tc>
      </w:tr>
      <w:tr w14:paraId="6E08EF6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31" w:hRule="atLeast"/>
        </w:trPr>
        <w:tc>
          <w:tcPr>
            <w:tcW w:w="486" w:type="dxa"/>
            <w:tcBorders>
              <w:top w:val="single" w:color="auto" w:sz="4" w:space="0"/>
              <w:left w:val="single" w:color="auto" w:sz="4" w:space="0"/>
              <w:bottom w:val="single" w:color="auto" w:sz="4" w:space="0"/>
              <w:right w:val="single" w:color="auto" w:sz="4" w:space="0"/>
            </w:tcBorders>
            <w:noWrap w:val="0"/>
            <w:vAlign w:val="top"/>
          </w:tcPr>
          <w:p w14:paraId="5EE4A073">
            <w:pPr>
              <w:snapToGrid w:val="0"/>
              <w:spacing w:before="50" w:after="120" w:afterLines="50" w:line="400" w:lineRule="exact"/>
              <w:jc w:val="left"/>
              <w:rPr>
                <w:rFonts w:hint="eastAsia" w:ascii="宋体" w:hAnsi="宋体" w:eastAsia="宋体" w:cs="宋体"/>
                <w:color w:val="auto"/>
                <w:szCs w:val="21"/>
                <w:highlight w:val="none"/>
              </w:rPr>
            </w:pPr>
          </w:p>
        </w:tc>
        <w:tc>
          <w:tcPr>
            <w:tcW w:w="2820" w:type="dxa"/>
            <w:tcBorders>
              <w:top w:val="single" w:color="auto" w:sz="4" w:space="0"/>
              <w:left w:val="single" w:color="auto" w:sz="4" w:space="0"/>
              <w:bottom w:val="single" w:color="auto" w:sz="4" w:space="0"/>
              <w:right w:val="single" w:color="auto" w:sz="4" w:space="0"/>
            </w:tcBorders>
            <w:noWrap w:val="0"/>
            <w:vAlign w:val="top"/>
          </w:tcPr>
          <w:p w14:paraId="5F3FA9A5">
            <w:pPr>
              <w:snapToGrid w:val="0"/>
              <w:spacing w:before="50" w:after="120" w:afterLines="50" w:line="400" w:lineRule="exact"/>
              <w:jc w:val="left"/>
              <w:rPr>
                <w:rFonts w:hint="eastAsia" w:ascii="宋体" w:hAnsi="宋体" w:eastAsia="宋体" w:cs="宋体"/>
                <w:color w:val="auto"/>
                <w:szCs w:val="21"/>
                <w:highlight w:val="none"/>
              </w:rPr>
            </w:pPr>
          </w:p>
        </w:tc>
        <w:tc>
          <w:tcPr>
            <w:tcW w:w="4095" w:type="dxa"/>
            <w:tcBorders>
              <w:top w:val="single" w:color="auto" w:sz="4" w:space="0"/>
              <w:left w:val="single" w:color="auto" w:sz="4" w:space="0"/>
              <w:bottom w:val="single" w:color="auto" w:sz="4" w:space="0"/>
              <w:right w:val="single" w:color="auto" w:sz="4" w:space="0"/>
            </w:tcBorders>
            <w:noWrap w:val="0"/>
            <w:vAlign w:val="top"/>
          </w:tcPr>
          <w:p w14:paraId="370249B1">
            <w:pPr>
              <w:snapToGrid w:val="0"/>
              <w:spacing w:before="50" w:after="120" w:afterLines="50" w:line="400" w:lineRule="exact"/>
              <w:jc w:val="left"/>
              <w:rPr>
                <w:rFonts w:hint="eastAsia" w:ascii="宋体" w:hAnsi="宋体" w:eastAsia="宋体" w:cs="宋体"/>
                <w:color w:val="auto"/>
                <w:szCs w:val="21"/>
                <w:highlight w:val="none"/>
              </w:rPr>
            </w:pPr>
          </w:p>
        </w:tc>
        <w:tc>
          <w:tcPr>
            <w:tcW w:w="1965" w:type="dxa"/>
            <w:tcBorders>
              <w:top w:val="single" w:color="auto" w:sz="4" w:space="0"/>
              <w:left w:val="single" w:color="auto" w:sz="4" w:space="0"/>
              <w:bottom w:val="single" w:color="auto" w:sz="4" w:space="0"/>
              <w:right w:val="single" w:color="auto" w:sz="4" w:space="0"/>
            </w:tcBorders>
            <w:noWrap w:val="0"/>
            <w:vAlign w:val="top"/>
          </w:tcPr>
          <w:p w14:paraId="4F75F140">
            <w:pPr>
              <w:snapToGrid w:val="0"/>
              <w:spacing w:before="50" w:after="120" w:afterLines="50" w:line="400" w:lineRule="exact"/>
              <w:jc w:val="left"/>
              <w:rPr>
                <w:rFonts w:hint="eastAsia" w:ascii="宋体" w:hAnsi="宋体" w:eastAsia="宋体" w:cs="宋体"/>
                <w:color w:val="auto"/>
                <w:szCs w:val="21"/>
                <w:highlight w:val="none"/>
              </w:rPr>
            </w:pPr>
          </w:p>
        </w:tc>
        <w:tc>
          <w:tcPr>
            <w:tcW w:w="1200" w:type="dxa"/>
            <w:tcBorders>
              <w:top w:val="single" w:color="auto" w:sz="4" w:space="0"/>
              <w:left w:val="single" w:color="auto" w:sz="4" w:space="0"/>
              <w:bottom w:val="single" w:color="auto" w:sz="4" w:space="0"/>
              <w:right w:val="single" w:color="auto" w:sz="4" w:space="0"/>
            </w:tcBorders>
            <w:noWrap w:val="0"/>
            <w:vAlign w:val="top"/>
          </w:tcPr>
          <w:p w14:paraId="15942A95">
            <w:pPr>
              <w:snapToGrid w:val="0"/>
              <w:spacing w:before="50" w:after="120" w:afterLines="50" w:line="400" w:lineRule="exact"/>
              <w:jc w:val="left"/>
              <w:rPr>
                <w:rFonts w:hint="eastAsia" w:ascii="宋体" w:hAnsi="宋体" w:eastAsia="宋体" w:cs="宋体"/>
                <w:color w:val="auto"/>
                <w:szCs w:val="21"/>
                <w:highlight w:val="none"/>
              </w:rPr>
            </w:pPr>
          </w:p>
        </w:tc>
        <w:tc>
          <w:tcPr>
            <w:tcW w:w="1335" w:type="dxa"/>
            <w:tcBorders>
              <w:top w:val="single" w:color="auto" w:sz="4" w:space="0"/>
              <w:left w:val="single" w:color="auto" w:sz="4" w:space="0"/>
              <w:bottom w:val="single" w:color="auto" w:sz="4" w:space="0"/>
              <w:right w:val="single" w:color="auto" w:sz="4" w:space="0"/>
            </w:tcBorders>
            <w:noWrap w:val="0"/>
            <w:vAlign w:val="top"/>
          </w:tcPr>
          <w:p w14:paraId="614A27ED">
            <w:pPr>
              <w:snapToGrid w:val="0"/>
              <w:spacing w:before="50" w:after="120" w:afterLines="50" w:line="400" w:lineRule="exact"/>
              <w:jc w:val="left"/>
              <w:rPr>
                <w:rFonts w:hint="eastAsia" w:ascii="宋体" w:hAnsi="宋体" w:eastAsia="宋体" w:cs="宋体"/>
                <w:color w:val="auto"/>
                <w:szCs w:val="21"/>
                <w:highlight w:val="none"/>
              </w:rPr>
            </w:pPr>
          </w:p>
        </w:tc>
        <w:tc>
          <w:tcPr>
            <w:tcW w:w="2790" w:type="dxa"/>
            <w:tcBorders>
              <w:top w:val="single" w:color="auto" w:sz="4" w:space="0"/>
              <w:left w:val="single" w:color="auto" w:sz="4" w:space="0"/>
              <w:bottom w:val="single" w:color="auto" w:sz="4" w:space="0"/>
              <w:right w:val="single" w:color="auto" w:sz="4" w:space="0"/>
            </w:tcBorders>
            <w:noWrap w:val="0"/>
            <w:vAlign w:val="top"/>
          </w:tcPr>
          <w:p w14:paraId="6E00F21E">
            <w:pPr>
              <w:snapToGrid w:val="0"/>
              <w:spacing w:before="50" w:after="120" w:afterLines="50" w:line="400" w:lineRule="exact"/>
              <w:jc w:val="left"/>
              <w:rPr>
                <w:rFonts w:hint="eastAsia" w:ascii="宋体" w:hAnsi="宋体" w:eastAsia="宋体" w:cs="宋体"/>
                <w:color w:val="auto"/>
                <w:szCs w:val="21"/>
                <w:highlight w:val="none"/>
              </w:rPr>
            </w:pPr>
          </w:p>
        </w:tc>
      </w:tr>
      <w:tr w14:paraId="296F6F7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87" w:hRule="atLeast"/>
        </w:trPr>
        <w:tc>
          <w:tcPr>
            <w:tcW w:w="486" w:type="dxa"/>
            <w:tcBorders>
              <w:top w:val="single" w:color="auto" w:sz="4" w:space="0"/>
              <w:left w:val="single" w:color="auto" w:sz="4" w:space="0"/>
              <w:bottom w:val="single" w:color="auto" w:sz="4" w:space="0"/>
              <w:right w:val="single" w:color="auto" w:sz="4" w:space="0"/>
            </w:tcBorders>
            <w:noWrap w:val="0"/>
            <w:vAlign w:val="top"/>
          </w:tcPr>
          <w:p w14:paraId="688951E0">
            <w:pPr>
              <w:snapToGrid w:val="0"/>
              <w:spacing w:before="50" w:after="120" w:afterLines="50" w:line="400" w:lineRule="exact"/>
              <w:jc w:val="left"/>
              <w:rPr>
                <w:rFonts w:hint="eastAsia" w:ascii="宋体" w:hAnsi="宋体" w:eastAsia="宋体" w:cs="宋体"/>
                <w:color w:val="auto"/>
                <w:szCs w:val="21"/>
                <w:highlight w:val="none"/>
              </w:rPr>
            </w:pPr>
          </w:p>
        </w:tc>
        <w:tc>
          <w:tcPr>
            <w:tcW w:w="2820" w:type="dxa"/>
            <w:tcBorders>
              <w:top w:val="single" w:color="auto" w:sz="4" w:space="0"/>
              <w:left w:val="single" w:color="auto" w:sz="4" w:space="0"/>
              <w:bottom w:val="single" w:color="auto" w:sz="4" w:space="0"/>
              <w:right w:val="single" w:color="auto" w:sz="4" w:space="0"/>
            </w:tcBorders>
            <w:noWrap w:val="0"/>
            <w:vAlign w:val="top"/>
          </w:tcPr>
          <w:p w14:paraId="62A4FF2E">
            <w:pPr>
              <w:snapToGrid w:val="0"/>
              <w:spacing w:before="50" w:after="120" w:afterLines="50" w:line="400" w:lineRule="exact"/>
              <w:jc w:val="left"/>
              <w:rPr>
                <w:rFonts w:hint="eastAsia" w:ascii="宋体" w:hAnsi="宋体" w:eastAsia="宋体" w:cs="宋体"/>
                <w:color w:val="auto"/>
                <w:szCs w:val="21"/>
                <w:highlight w:val="none"/>
              </w:rPr>
            </w:pPr>
          </w:p>
        </w:tc>
        <w:tc>
          <w:tcPr>
            <w:tcW w:w="4095" w:type="dxa"/>
            <w:tcBorders>
              <w:top w:val="single" w:color="auto" w:sz="4" w:space="0"/>
              <w:left w:val="single" w:color="auto" w:sz="4" w:space="0"/>
              <w:bottom w:val="single" w:color="auto" w:sz="4" w:space="0"/>
              <w:right w:val="single" w:color="auto" w:sz="4" w:space="0"/>
            </w:tcBorders>
            <w:noWrap w:val="0"/>
            <w:vAlign w:val="top"/>
          </w:tcPr>
          <w:p w14:paraId="6DD1888C">
            <w:pPr>
              <w:snapToGrid w:val="0"/>
              <w:spacing w:before="50" w:after="120" w:afterLines="50" w:line="400" w:lineRule="exact"/>
              <w:jc w:val="left"/>
              <w:rPr>
                <w:rFonts w:hint="eastAsia" w:ascii="宋体" w:hAnsi="宋体" w:eastAsia="宋体" w:cs="宋体"/>
                <w:color w:val="auto"/>
                <w:szCs w:val="21"/>
                <w:highlight w:val="none"/>
              </w:rPr>
            </w:pPr>
          </w:p>
        </w:tc>
        <w:tc>
          <w:tcPr>
            <w:tcW w:w="1965" w:type="dxa"/>
            <w:tcBorders>
              <w:top w:val="single" w:color="auto" w:sz="4" w:space="0"/>
              <w:left w:val="single" w:color="auto" w:sz="4" w:space="0"/>
              <w:bottom w:val="single" w:color="auto" w:sz="4" w:space="0"/>
              <w:right w:val="single" w:color="auto" w:sz="4" w:space="0"/>
            </w:tcBorders>
            <w:noWrap w:val="0"/>
            <w:vAlign w:val="top"/>
          </w:tcPr>
          <w:p w14:paraId="2AD46EF8">
            <w:pPr>
              <w:snapToGrid w:val="0"/>
              <w:spacing w:before="50" w:after="120" w:afterLines="50" w:line="400" w:lineRule="exact"/>
              <w:jc w:val="left"/>
              <w:rPr>
                <w:rFonts w:hint="eastAsia" w:ascii="宋体" w:hAnsi="宋体" w:eastAsia="宋体" w:cs="宋体"/>
                <w:color w:val="auto"/>
                <w:szCs w:val="21"/>
                <w:highlight w:val="none"/>
              </w:rPr>
            </w:pPr>
          </w:p>
        </w:tc>
        <w:tc>
          <w:tcPr>
            <w:tcW w:w="1200" w:type="dxa"/>
            <w:tcBorders>
              <w:top w:val="single" w:color="auto" w:sz="4" w:space="0"/>
              <w:left w:val="single" w:color="auto" w:sz="4" w:space="0"/>
              <w:bottom w:val="single" w:color="auto" w:sz="4" w:space="0"/>
              <w:right w:val="single" w:color="auto" w:sz="4" w:space="0"/>
            </w:tcBorders>
            <w:noWrap w:val="0"/>
            <w:vAlign w:val="top"/>
          </w:tcPr>
          <w:p w14:paraId="20AAFD34">
            <w:pPr>
              <w:snapToGrid w:val="0"/>
              <w:spacing w:before="50" w:after="120" w:afterLines="50" w:line="400" w:lineRule="exact"/>
              <w:jc w:val="left"/>
              <w:rPr>
                <w:rFonts w:hint="eastAsia" w:ascii="宋体" w:hAnsi="宋体" w:eastAsia="宋体" w:cs="宋体"/>
                <w:color w:val="auto"/>
                <w:szCs w:val="21"/>
                <w:highlight w:val="none"/>
              </w:rPr>
            </w:pPr>
          </w:p>
        </w:tc>
        <w:tc>
          <w:tcPr>
            <w:tcW w:w="1335" w:type="dxa"/>
            <w:tcBorders>
              <w:top w:val="single" w:color="auto" w:sz="4" w:space="0"/>
              <w:left w:val="single" w:color="auto" w:sz="4" w:space="0"/>
              <w:bottom w:val="single" w:color="auto" w:sz="4" w:space="0"/>
              <w:right w:val="single" w:color="auto" w:sz="4" w:space="0"/>
            </w:tcBorders>
            <w:noWrap w:val="0"/>
            <w:vAlign w:val="top"/>
          </w:tcPr>
          <w:p w14:paraId="4681E7DC">
            <w:pPr>
              <w:snapToGrid w:val="0"/>
              <w:spacing w:before="50" w:after="120" w:afterLines="50" w:line="400" w:lineRule="exact"/>
              <w:jc w:val="left"/>
              <w:rPr>
                <w:rFonts w:hint="eastAsia" w:ascii="宋体" w:hAnsi="宋体" w:eastAsia="宋体" w:cs="宋体"/>
                <w:color w:val="auto"/>
                <w:szCs w:val="21"/>
                <w:highlight w:val="none"/>
              </w:rPr>
            </w:pPr>
          </w:p>
        </w:tc>
        <w:tc>
          <w:tcPr>
            <w:tcW w:w="2790" w:type="dxa"/>
            <w:tcBorders>
              <w:top w:val="single" w:color="auto" w:sz="4" w:space="0"/>
              <w:left w:val="single" w:color="auto" w:sz="4" w:space="0"/>
              <w:bottom w:val="single" w:color="auto" w:sz="4" w:space="0"/>
              <w:right w:val="single" w:color="auto" w:sz="4" w:space="0"/>
            </w:tcBorders>
            <w:noWrap w:val="0"/>
            <w:vAlign w:val="top"/>
          </w:tcPr>
          <w:p w14:paraId="5F1AF309">
            <w:pPr>
              <w:snapToGrid w:val="0"/>
              <w:spacing w:before="50" w:after="120" w:afterLines="50" w:line="400" w:lineRule="exact"/>
              <w:jc w:val="left"/>
              <w:rPr>
                <w:rFonts w:hint="eastAsia" w:ascii="宋体" w:hAnsi="宋体" w:eastAsia="宋体" w:cs="宋体"/>
                <w:color w:val="auto"/>
                <w:szCs w:val="21"/>
                <w:highlight w:val="none"/>
              </w:rPr>
            </w:pPr>
          </w:p>
        </w:tc>
      </w:tr>
      <w:tr w14:paraId="391BEDB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71" w:hRule="atLeast"/>
        </w:trPr>
        <w:tc>
          <w:tcPr>
            <w:tcW w:w="486" w:type="dxa"/>
            <w:tcBorders>
              <w:top w:val="single" w:color="auto" w:sz="4" w:space="0"/>
              <w:left w:val="single" w:color="auto" w:sz="4" w:space="0"/>
              <w:bottom w:val="single" w:color="auto" w:sz="4" w:space="0"/>
              <w:right w:val="single" w:color="auto" w:sz="4" w:space="0"/>
            </w:tcBorders>
            <w:noWrap w:val="0"/>
            <w:vAlign w:val="top"/>
          </w:tcPr>
          <w:p w14:paraId="0EEC5D0D">
            <w:pPr>
              <w:snapToGrid w:val="0"/>
              <w:spacing w:before="50" w:after="120" w:afterLines="50" w:line="400" w:lineRule="exact"/>
              <w:jc w:val="left"/>
              <w:rPr>
                <w:rFonts w:hint="eastAsia" w:ascii="宋体" w:hAnsi="宋体" w:eastAsia="宋体" w:cs="宋体"/>
                <w:color w:val="auto"/>
                <w:szCs w:val="21"/>
                <w:highlight w:val="none"/>
              </w:rPr>
            </w:pPr>
          </w:p>
        </w:tc>
        <w:tc>
          <w:tcPr>
            <w:tcW w:w="2820" w:type="dxa"/>
            <w:tcBorders>
              <w:top w:val="single" w:color="auto" w:sz="4" w:space="0"/>
              <w:left w:val="single" w:color="auto" w:sz="4" w:space="0"/>
              <w:bottom w:val="single" w:color="auto" w:sz="4" w:space="0"/>
              <w:right w:val="single" w:color="auto" w:sz="4" w:space="0"/>
            </w:tcBorders>
            <w:noWrap w:val="0"/>
            <w:vAlign w:val="top"/>
          </w:tcPr>
          <w:p w14:paraId="6D9F73B6">
            <w:pPr>
              <w:snapToGrid w:val="0"/>
              <w:spacing w:before="50" w:after="120" w:afterLines="50" w:line="400" w:lineRule="exact"/>
              <w:jc w:val="left"/>
              <w:rPr>
                <w:rFonts w:hint="eastAsia" w:ascii="宋体" w:hAnsi="宋体" w:eastAsia="宋体" w:cs="宋体"/>
                <w:color w:val="auto"/>
                <w:szCs w:val="21"/>
                <w:highlight w:val="none"/>
              </w:rPr>
            </w:pPr>
          </w:p>
        </w:tc>
        <w:tc>
          <w:tcPr>
            <w:tcW w:w="4095" w:type="dxa"/>
            <w:tcBorders>
              <w:top w:val="single" w:color="auto" w:sz="4" w:space="0"/>
              <w:left w:val="single" w:color="auto" w:sz="4" w:space="0"/>
              <w:bottom w:val="single" w:color="auto" w:sz="4" w:space="0"/>
              <w:right w:val="single" w:color="auto" w:sz="4" w:space="0"/>
            </w:tcBorders>
            <w:noWrap w:val="0"/>
            <w:vAlign w:val="top"/>
          </w:tcPr>
          <w:p w14:paraId="232A80DE">
            <w:pPr>
              <w:snapToGrid w:val="0"/>
              <w:spacing w:before="50" w:after="120" w:afterLines="50" w:line="400" w:lineRule="exact"/>
              <w:jc w:val="left"/>
              <w:rPr>
                <w:rFonts w:hint="eastAsia" w:ascii="宋体" w:hAnsi="宋体" w:eastAsia="宋体" w:cs="宋体"/>
                <w:color w:val="auto"/>
                <w:szCs w:val="21"/>
                <w:highlight w:val="none"/>
              </w:rPr>
            </w:pPr>
          </w:p>
        </w:tc>
        <w:tc>
          <w:tcPr>
            <w:tcW w:w="1965" w:type="dxa"/>
            <w:tcBorders>
              <w:top w:val="single" w:color="auto" w:sz="4" w:space="0"/>
              <w:left w:val="single" w:color="auto" w:sz="4" w:space="0"/>
              <w:bottom w:val="single" w:color="auto" w:sz="4" w:space="0"/>
              <w:right w:val="single" w:color="auto" w:sz="4" w:space="0"/>
            </w:tcBorders>
            <w:noWrap w:val="0"/>
            <w:vAlign w:val="top"/>
          </w:tcPr>
          <w:p w14:paraId="07DAABB6">
            <w:pPr>
              <w:snapToGrid w:val="0"/>
              <w:spacing w:before="50" w:after="120" w:afterLines="50" w:line="400" w:lineRule="exact"/>
              <w:jc w:val="left"/>
              <w:rPr>
                <w:rFonts w:hint="eastAsia" w:ascii="宋体" w:hAnsi="宋体" w:eastAsia="宋体" w:cs="宋体"/>
                <w:color w:val="auto"/>
                <w:szCs w:val="21"/>
                <w:highlight w:val="none"/>
              </w:rPr>
            </w:pPr>
          </w:p>
        </w:tc>
        <w:tc>
          <w:tcPr>
            <w:tcW w:w="1200" w:type="dxa"/>
            <w:tcBorders>
              <w:top w:val="single" w:color="auto" w:sz="4" w:space="0"/>
              <w:left w:val="single" w:color="auto" w:sz="4" w:space="0"/>
              <w:bottom w:val="single" w:color="auto" w:sz="4" w:space="0"/>
              <w:right w:val="single" w:color="auto" w:sz="4" w:space="0"/>
            </w:tcBorders>
            <w:noWrap w:val="0"/>
            <w:vAlign w:val="top"/>
          </w:tcPr>
          <w:p w14:paraId="4C768011">
            <w:pPr>
              <w:snapToGrid w:val="0"/>
              <w:spacing w:before="50" w:after="120" w:afterLines="50" w:line="400" w:lineRule="exact"/>
              <w:jc w:val="left"/>
              <w:rPr>
                <w:rFonts w:hint="eastAsia" w:ascii="宋体" w:hAnsi="宋体" w:eastAsia="宋体" w:cs="宋体"/>
                <w:color w:val="auto"/>
                <w:szCs w:val="21"/>
                <w:highlight w:val="none"/>
              </w:rPr>
            </w:pPr>
          </w:p>
        </w:tc>
        <w:tc>
          <w:tcPr>
            <w:tcW w:w="1335" w:type="dxa"/>
            <w:tcBorders>
              <w:top w:val="single" w:color="auto" w:sz="4" w:space="0"/>
              <w:left w:val="single" w:color="auto" w:sz="4" w:space="0"/>
              <w:bottom w:val="single" w:color="auto" w:sz="4" w:space="0"/>
              <w:right w:val="single" w:color="auto" w:sz="4" w:space="0"/>
            </w:tcBorders>
            <w:noWrap w:val="0"/>
            <w:vAlign w:val="top"/>
          </w:tcPr>
          <w:p w14:paraId="219FC250">
            <w:pPr>
              <w:snapToGrid w:val="0"/>
              <w:spacing w:before="50" w:after="120" w:afterLines="50" w:line="400" w:lineRule="exact"/>
              <w:jc w:val="left"/>
              <w:rPr>
                <w:rFonts w:hint="eastAsia" w:ascii="宋体" w:hAnsi="宋体" w:eastAsia="宋体" w:cs="宋体"/>
                <w:color w:val="auto"/>
                <w:szCs w:val="21"/>
                <w:highlight w:val="none"/>
              </w:rPr>
            </w:pPr>
          </w:p>
        </w:tc>
        <w:tc>
          <w:tcPr>
            <w:tcW w:w="2790" w:type="dxa"/>
            <w:tcBorders>
              <w:top w:val="single" w:color="auto" w:sz="4" w:space="0"/>
              <w:left w:val="single" w:color="auto" w:sz="4" w:space="0"/>
              <w:bottom w:val="single" w:color="auto" w:sz="4" w:space="0"/>
              <w:right w:val="single" w:color="auto" w:sz="4" w:space="0"/>
            </w:tcBorders>
            <w:noWrap w:val="0"/>
            <w:vAlign w:val="top"/>
          </w:tcPr>
          <w:p w14:paraId="4D57A5FB">
            <w:pPr>
              <w:snapToGrid w:val="0"/>
              <w:spacing w:before="50" w:after="120" w:afterLines="50" w:line="400" w:lineRule="exact"/>
              <w:jc w:val="left"/>
              <w:rPr>
                <w:rFonts w:hint="eastAsia" w:ascii="宋体" w:hAnsi="宋体" w:eastAsia="宋体" w:cs="宋体"/>
                <w:color w:val="auto"/>
                <w:szCs w:val="21"/>
                <w:highlight w:val="none"/>
              </w:rPr>
            </w:pPr>
          </w:p>
        </w:tc>
      </w:tr>
    </w:tbl>
    <w:p w14:paraId="13C5F2B4">
      <w:pPr>
        <w:pStyle w:val="15"/>
        <w:spacing w:before="0" w:after="0" w:line="360" w:lineRule="auto"/>
        <w:contextualSpacing/>
        <w:rPr>
          <w:rFonts w:hint="eastAsia" w:ascii="宋体" w:hAnsi="宋体" w:eastAsia="宋体" w:cs="宋体"/>
          <w:color w:val="auto"/>
          <w:sz w:val="24"/>
          <w:szCs w:val="24"/>
          <w:highlight w:val="none"/>
        </w:rPr>
      </w:pPr>
    </w:p>
    <w:p w14:paraId="057623E1">
      <w:pPr>
        <w:pStyle w:val="15"/>
        <w:spacing w:before="0" w:after="0" w:line="360" w:lineRule="auto"/>
        <w:contextualSpacing/>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注：</w:t>
      </w:r>
      <w:r>
        <w:rPr>
          <w:rFonts w:hint="eastAsia" w:ascii="宋体" w:hAnsi="宋体" w:eastAsia="宋体" w:cs="宋体"/>
          <w:color w:val="auto"/>
          <w:sz w:val="24"/>
          <w:highlight w:val="none"/>
        </w:rPr>
        <w:t>投标人根据评标标准具体要求附业绩证明材料。</w:t>
      </w:r>
    </w:p>
    <w:p w14:paraId="0CCE8135">
      <w:pPr>
        <w:pStyle w:val="15"/>
        <w:spacing w:before="0" w:after="0" w:line="360" w:lineRule="auto"/>
        <w:contextualSpacing/>
        <w:jc w:val="left"/>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法定代表人或者委托代理人（签字）：</w:t>
      </w:r>
      <w:r>
        <w:rPr>
          <w:rFonts w:hint="eastAsia" w:ascii="宋体" w:hAnsi="宋体" w:eastAsia="宋体" w:cs="宋体"/>
          <w:color w:val="auto"/>
          <w:sz w:val="24"/>
          <w:szCs w:val="24"/>
          <w:highlight w:val="none"/>
          <w:u w:val="single"/>
        </w:rPr>
        <w:t>　　　　　</w:t>
      </w:r>
    </w:p>
    <w:p w14:paraId="277DC435">
      <w:pPr>
        <w:spacing w:line="360" w:lineRule="auto"/>
        <w:ind w:right="480"/>
        <w:contextualSpacing/>
        <w:jc w:val="left"/>
        <w:rPr>
          <w:rFonts w:hint="eastAsia" w:ascii="宋体" w:hAnsi="宋体" w:eastAsia="宋体" w:cs="宋体"/>
          <w:color w:val="auto"/>
          <w:sz w:val="24"/>
          <w:szCs w:val="20"/>
          <w:highlight w:val="none"/>
        </w:rPr>
      </w:pPr>
      <w:r>
        <w:rPr>
          <w:rFonts w:hint="eastAsia" w:ascii="宋体" w:hAnsi="宋体" w:eastAsia="宋体" w:cs="宋体"/>
          <w:color w:val="auto"/>
          <w:sz w:val="24"/>
          <w:highlight w:val="none"/>
        </w:rPr>
        <w:t xml:space="preserve">投标人（盖公章）： </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 xml:space="preserve">                                                              年    月    日</w:t>
      </w:r>
    </w:p>
    <w:p w14:paraId="06B57F1D">
      <w:pPr>
        <w:snapToGrid w:val="0"/>
        <w:spacing w:before="50"/>
        <w:ind w:firstLine="480" w:firstLineChars="200"/>
        <w:jc w:val="left"/>
        <w:rPr>
          <w:rFonts w:hint="eastAsia" w:ascii="宋体" w:hAnsi="宋体" w:eastAsia="宋体" w:cs="宋体"/>
          <w:color w:val="auto"/>
          <w:sz w:val="24"/>
          <w:szCs w:val="20"/>
          <w:highlight w:val="none"/>
        </w:rPr>
      </w:pPr>
    </w:p>
    <w:p w14:paraId="204B04B5">
      <w:pPr>
        <w:snapToGrid w:val="0"/>
        <w:spacing w:before="50"/>
        <w:jc w:val="left"/>
        <w:rPr>
          <w:rFonts w:hint="eastAsia" w:ascii="宋体" w:hAnsi="宋体" w:eastAsia="宋体" w:cs="宋体"/>
          <w:color w:val="auto"/>
          <w:sz w:val="24"/>
          <w:highlight w:val="none"/>
        </w:rPr>
      </w:pPr>
    </w:p>
    <w:p w14:paraId="0044111A">
      <w:pPr>
        <w:snapToGrid w:val="0"/>
        <w:spacing w:before="159" w:beforeLines="50"/>
        <w:rPr>
          <w:rFonts w:hint="eastAsia" w:ascii="宋体" w:hAnsi="宋体" w:eastAsia="宋体" w:cs="宋体"/>
          <w:color w:val="auto"/>
          <w:sz w:val="24"/>
          <w:szCs w:val="20"/>
          <w:highlight w:val="none"/>
        </w:rPr>
        <w:sectPr>
          <w:pgSz w:w="11906" w:h="16838"/>
          <w:pgMar w:top="1440" w:right="1803" w:bottom="1440" w:left="1803" w:header="851" w:footer="992" w:gutter="0"/>
          <w:pgNumType w:fmt="decimal"/>
          <w:cols w:space="720" w:num="1"/>
          <w:docGrid w:type="lines" w:linePitch="319" w:charSpace="0"/>
        </w:sectPr>
      </w:pPr>
    </w:p>
    <w:p w14:paraId="058C4104">
      <w:pPr>
        <w:rPr>
          <w:rFonts w:hint="eastAsia" w:ascii="宋体" w:hAnsi="宋体" w:eastAsia="宋体" w:cs="宋体"/>
          <w:b/>
          <w:color w:val="auto"/>
          <w:sz w:val="28"/>
          <w:szCs w:val="28"/>
          <w:highlight w:val="none"/>
        </w:rPr>
      </w:pPr>
      <w:r>
        <w:rPr>
          <w:rFonts w:hint="eastAsia" w:ascii="宋体" w:hAnsi="宋体" w:eastAsia="宋体" w:cs="宋体"/>
          <w:b/>
          <w:color w:val="auto"/>
          <w:sz w:val="28"/>
          <w:szCs w:val="28"/>
          <w:highlight w:val="none"/>
        </w:rPr>
        <w:t>四、技术文件格式</w:t>
      </w:r>
    </w:p>
    <w:p w14:paraId="71F7D2F5">
      <w:pPr>
        <w:snapToGrid w:val="0"/>
        <w:spacing w:before="159" w:beforeLines="50" w:after="50"/>
        <w:ind w:left="142"/>
        <w:jc w:val="left"/>
        <w:rPr>
          <w:rFonts w:hint="eastAsia" w:ascii="宋体" w:hAnsi="宋体" w:eastAsia="宋体" w:cs="宋体"/>
          <w:b/>
          <w:color w:val="auto"/>
          <w:sz w:val="24"/>
          <w:highlight w:val="none"/>
        </w:rPr>
      </w:pPr>
      <w:r>
        <w:rPr>
          <w:rFonts w:hint="eastAsia" w:ascii="宋体" w:hAnsi="宋体" w:eastAsia="宋体" w:cs="宋体"/>
          <w:b/>
          <w:color w:val="auto"/>
          <w:sz w:val="24"/>
          <w:highlight w:val="none"/>
        </w:rPr>
        <w:t xml:space="preserve">1. 技术文件封面格式： </w:t>
      </w:r>
    </w:p>
    <w:p w14:paraId="561245C7">
      <w:pPr>
        <w:snapToGrid w:val="0"/>
        <w:spacing w:before="159" w:beforeLines="50" w:after="50"/>
        <w:rPr>
          <w:rFonts w:hint="eastAsia" w:ascii="宋体" w:hAnsi="宋体" w:eastAsia="宋体" w:cs="宋体"/>
          <w:b/>
          <w:bCs/>
          <w:color w:val="auto"/>
          <w:sz w:val="32"/>
          <w:szCs w:val="20"/>
          <w:highlight w:val="none"/>
        </w:rPr>
      </w:pPr>
      <w:r>
        <w:rPr>
          <w:rFonts w:hint="eastAsia" w:ascii="宋体" w:hAnsi="宋体" w:eastAsia="宋体" w:cs="宋体"/>
          <w:color w:val="auto"/>
          <w:sz w:val="24"/>
          <w:highlight w:val="none"/>
        </w:rPr>
        <w:t xml:space="preserve">                                                   </w:t>
      </w:r>
    </w:p>
    <w:p w14:paraId="1C46B610">
      <w:pPr>
        <w:snapToGrid w:val="0"/>
        <w:spacing w:before="159" w:beforeLines="50" w:after="50"/>
        <w:rPr>
          <w:rFonts w:hint="eastAsia" w:ascii="宋体" w:hAnsi="宋体" w:eastAsia="宋体" w:cs="宋体"/>
          <w:color w:val="auto"/>
          <w:sz w:val="24"/>
          <w:szCs w:val="20"/>
          <w:highlight w:val="none"/>
        </w:rPr>
      </w:pPr>
    </w:p>
    <w:p w14:paraId="70BA1037">
      <w:pPr>
        <w:snapToGrid w:val="0"/>
        <w:spacing w:before="159" w:beforeLines="50" w:after="50"/>
        <w:rPr>
          <w:rFonts w:hint="eastAsia" w:ascii="宋体" w:hAnsi="宋体" w:eastAsia="宋体" w:cs="宋体"/>
          <w:color w:val="auto"/>
          <w:sz w:val="24"/>
          <w:szCs w:val="20"/>
          <w:highlight w:val="none"/>
        </w:rPr>
      </w:pPr>
    </w:p>
    <w:p w14:paraId="5E5105DF">
      <w:pPr>
        <w:snapToGrid w:val="0"/>
        <w:spacing w:before="159" w:beforeLines="50" w:after="50"/>
        <w:jc w:val="center"/>
        <w:rPr>
          <w:rFonts w:hint="eastAsia" w:ascii="宋体" w:hAnsi="宋体" w:eastAsia="宋体" w:cs="宋体"/>
          <w:color w:val="auto"/>
          <w:sz w:val="84"/>
          <w:szCs w:val="84"/>
          <w:highlight w:val="none"/>
        </w:rPr>
      </w:pPr>
      <w:r>
        <w:rPr>
          <w:rFonts w:hint="eastAsia" w:ascii="宋体" w:hAnsi="宋体" w:eastAsia="宋体" w:cs="宋体"/>
          <w:color w:val="auto"/>
          <w:sz w:val="84"/>
          <w:szCs w:val="84"/>
          <w:highlight w:val="none"/>
        </w:rPr>
        <w:t>投  标  文  件</w:t>
      </w:r>
    </w:p>
    <w:p w14:paraId="70D25B24">
      <w:pPr>
        <w:snapToGrid w:val="0"/>
        <w:spacing w:before="159" w:beforeLines="50" w:after="50"/>
        <w:rPr>
          <w:rFonts w:hint="eastAsia" w:ascii="宋体" w:hAnsi="宋体" w:eastAsia="宋体" w:cs="宋体"/>
          <w:color w:val="auto"/>
          <w:sz w:val="24"/>
          <w:szCs w:val="20"/>
          <w:highlight w:val="none"/>
        </w:rPr>
      </w:pPr>
    </w:p>
    <w:p w14:paraId="38D34A5C">
      <w:pPr>
        <w:snapToGrid w:val="0"/>
        <w:spacing w:before="159" w:beforeLines="50" w:after="50"/>
        <w:rPr>
          <w:rFonts w:hint="eastAsia" w:ascii="宋体" w:hAnsi="宋体" w:eastAsia="宋体" w:cs="宋体"/>
          <w:color w:val="auto"/>
          <w:sz w:val="24"/>
          <w:szCs w:val="20"/>
          <w:highlight w:val="none"/>
        </w:rPr>
      </w:pPr>
    </w:p>
    <w:p w14:paraId="51BF8400">
      <w:pPr>
        <w:snapToGrid w:val="0"/>
        <w:spacing w:before="159" w:beforeLines="50" w:after="50"/>
        <w:jc w:val="center"/>
        <w:outlineLvl w:val="0"/>
        <w:rPr>
          <w:rFonts w:hint="eastAsia" w:ascii="宋体" w:hAnsi="宋体" w:eastAsia="宋体" w:cs="宋体"/>
          <w:b/>
          <w:bCs/>
          <w:color w:val="auto"/>
          <w:sz w:val="32"/>
          <w:szCs w:val="32"/>
          <w:highlight w:val="none"/>
        </w:rPr>
      </w:pPr>
      <w:r>
        <w:rPr>
          <w:rFonts w:hint="eastAsia" w:ascii="宋体" w:hAnsi="宋体" w:eastAsia="宋体" w:cs="宋体"/>
          <w:b/>
          <w:bCs/>
          <w:color w:val="auto"/>
          <w:sz w:val="32"/>
          <w:szCs w:val="32"/>
          <w:highlight w:val="none"/>
        </w:rPr>
        <w:t>技  术  文  件</w:t>
      </w:r>
    </w:p>
    <w:p w14:paraId="72B9D6A9">
      <w:pPr>
        <w:snapToGrid w:val="0"/>
        <w:spacing w:before="159" w:beforeLines="50" w:after="50"/>
        <w:rPr>
          <w:rFonts w:hint="eastAsia" w:ascii="宋体" w:hAnsi="宋体" w:eastAsia="宋体" w:cs="宋体"/>
          <w:bCs/>
          <w:color w:val="auto"/>
          <w:sz w:val="24"/>
          <w:szCs w:val="20"/>
          <w:highlight w:val="none"/>
        </w:rPr>
      </w:pPr>
    </w:p>
    <w:p w14:paraId="1603B953">
      <w:pPr>
        <w:snapToGrid w:val="0"/>
        <w:spacing w:before="159" w:beforeLines="50" w:after="50"/>
        <w:rPr>
          <w:rFonts w:hint="eastAsia" w:ascii="宋体" w:hAnsi="宋体" w:eastAsia="宋体" w:cs="宋体"/>
          <w:bCs/>
          <w:color w:val="auto"/>
          <w:sz w:val="24"/>
          <w:szCs w:val="20"/>
          <w:highlight w:val="none"/>
        </w:rPr>
      </w:pPr>
    </w:p>
    <w:p w14:paraId="129800B4">
      <w:pPr>
        <w:snapToGrid w:val="0"/>
        <w:spacing w:before="159" w:beforeLines="50" w:after="50" w:line="400" w:lineRule="exact"/>
        <w:ind w:firstLine="360" w:firstLineChars="150"/>
        <w:rPr>
          <w:rFonts w:hint="eastAsia" w:ascii="宋体" w:hAnsi="宋体" w:eastAsia="宋体" w:cs="宋体"/>
          <w:bCs/>
          <w:color w:val="auto"/>
          <w:sz w:val="24"/>
          <w:highlight w:val="none"/>
        </w:rPr>
      </w:pPr>
      <w:r>
        <w:rPr>
          <w:rFonts w:hint="eastAsia" w:ascii="宋体" w:hAnsi="宋体" w:eastAsia="宋体" w:cs="宋体"/>
          <w:bCs/>
          <w:color w:val="auto"/>
          <w:sz w:val="24"/>
          <w:highlight w:val="none"/>
        </w:rPr>
        <w:t xml:space="preserve">项目名称： </w:t>
      </w:r>
    </w:p>
    <w:p w14:paraId="207AF7F9">
      <w:pPr>
        <w:snapToGrid w:val="0"/>
        <w:spacing w:before="159" w:beforeLines="50" w:after="50" w:line="400" w:lineRule="exact"/>
        <w:ind w:firstLine="360" w:firstLineChars="150"/>
        <w:rPr>
          <w:rFonts w:hint="eastAsia" w:ascii="宋体" w:hAnsi="宋体" w:eastAsia="宋体" w:cs="宋体"/>
          <w:bCs/>
          <w:color w:val="auto"/>
          <w:sz w:val="24"/>
          <w:szCs w:val="20"/>
          <w:highlight w:val="none"/>
        </w:rPr>
      </w:pPr>
    </w:p>
    <w:p w14:paraId="5B649923">
      <w:pPr>
        <w:snapToGrid w:val="0"/>
        <w:spacing w:before="159" w:beforeLines="50" w:after="50" w:line="400" w:lineRule="exact"/>
        <w:ind w:firstLine="360" w:firstLineChars="150"/>
        <w:rPr>
          <w:rFonts w:hint="eastAsia" w:ascii="宋体" w:hAnsi="宋体" w:eastAsia="宋体" w:cs="宋体"/>
          <w:bCs/>
          <w:color w:val="auto"/>
          <w:sz w:val="24"/>
          <w:highlight w:val="none"/>
        </w:rPr>
      </w:pPr>
      <w:r>
        <w:rPr>
          <w:rFonts w:hint="eastAsia" w:ascii="宋体" w:hAnsi="宋体" w:eastAsia="宋体" w:cs="宋体"/>
          <w:bCs/>
          <w:color w:val="auto"/>
          <w:sz w:val="24"/>
          <w:highlight w:val="none"/>
        </w:rPr>
        <w:t xml:space="preserve">项目编号： </w:t>
      </w:r>
    </w:p>
    <w:p w14:paraId="25E0F45B">
      <w:pPr>
        <w:snapToGrid w:val="0"/>
        <w:spacing w:before="159" w:beforeLines="50" w:after="50" w:line="400" w:lineRule="exact"/>
        <w:ind w:firstLine="360" w:firstLineChars="150"/>
        <w:rPr>
          <w:rFonts w:hint="eastAsia" w:ascii="宋体" w:hAnsi="宋体" w:eastAsia="宋体" w:cs="宋体"/>
          <w:bCs/>
          <w:color w:val="auto"/>
          <w:sz w:val="24"/>
          <w:highlight w:val="none"/>
        </w:rPr>
      </w:pPr>
    </w:p>
    <w:p w14:paraId="39EBDFD2">
      <w:pPr>
        <w:snapToGrid w:val="0"/>
        <w:spacing w:before="159" w:beforeLines="50" w:after="50" w:line="400" w:lineRule="exact"/>
        <w:ind w:firstLine="360" w:firstLineChars="150"/>
        <w:rPr>
          <w:rFonts w:hint="eastAsia" w:ascii="宋体" w:hAnsi="宋体" w:eastAsia="宋体" w:cs="宋体"/>
          <w:bCs/>
          <w:color w:val="auto"/>
          <w:sz w:val="24"/>
          <w:highlight w:val="none"/>
        </w:rPr>
      </w:pPr>
      <w:r>
        <w:rPr>
          <w:rFonts w:hint="eastAsia" w:ascii="宋体" w:hAnsi="宋体" w:eastAsia="宋体" w:cs="宋体"/>
          <w:bCs/>
          <w:color w:val="auto"/>
          <w:sz w:val="24"/>
          <w:highlight w:val="none"/>
        </w:rPr>
        <w:t>所投分标：</w:t>
      </w:r>
    </w:p>
    <w:p w14:paraId="1BE26EB9">
      <w:pPr>
        <w:snapToGrid w:val="0"/>
        <w:spacing w:before="159" w:beforeLines="50" w:after="50" w:line="400" w:lineRule="exact"/>
        <w:ind w:firstLine="360" w:firstLineChars="150"/>
        <w:rPr>
          <w:rFonts w:hint="eastAsia" w:ascii="宋体" w:hAnsi="宋体" w:eastAsia="宋体" w:cs="宋体"/>
          <w:bCs/>
          <w:color w:val="auto"/>
          <w:sz w:val="24"/>
          <w:highlight w:val="none"/>
        </w:rPr>
      </w:pPr>
    </w:p>
    <w:p w14:paraId="64E823E4">
      <w:pPr>
        <w:snapToGrid w:val="0"/>
        <w:spacing w:before="159" w:beforeLines="50" w:after="50" w:line="400" w:lineRule="exact"/>
        <w:ind w:firstLine="360" w:firstLineChars="150"/>
        <w:rPr>
          <w:rFonts w:hint="eastAsia" w:ascii="宋体" w:hAnsi="宋体" w:eastAsia="宋体" w:cs="宋体"/>
          <w:bCs/>
          <w:color w:val="auto"/>
          <w:sz w:val="24"/>
          <w:highlight w:val="none"/>
        </w:rPr>
      </w:pPr>
      <w:r>
        <w:rPr>
          <w:rFonts w:hint="eastAsia" w:ascii="宋体" w:hAnsi="宋体" w:eastAsia="宋体" w:cs="宋体"/>
          <w:bCs/>
          <w:color w:val="auto"/>
          <w:sz w:val="24"/>
          <w:highlight w:val="none"/>
        </w:rPr>
        <w:t>投标人名称：</w:t>
      </w:r>
    </w:p>
    <w:p w14:paraId="1CF09379">
      <w:pPr>
        <w:snapToGrid w:val="0"/>
        <w:spacing w:before="159" w:beforeLines="50" w:after="50" w:line="400" w:lineRule="exact"/>
        <w:ind w:firstLine="360" w:firstLineChars="150"/>
        <w:rPr>
          <w:rFonts w:hint="eastAsia" w:ascii="宋体" w:hAnsi="宋体" w:eastAsia="宋体" w:cs="宋体"/>
          <w:bCs/>
          <w:color w:val="auto"/>
          <w:sz w:val="24"/>
          <w:highlight w:val="none"/>
        </w:rPr>
      </w:pPr>
    </w:p>
    <w:p w14:paraId="7050D70D">
      <w:pPr>
        <w:snapToGrid w:val="0"/>
        <w:spacing w:before="159" w:beforeLines="50" w:after="50" w:line="400" w:lineRule="exact"/>
        <w:ind w:firstLine="360" w:firstLineChars="150"/>
        <w:rPr>
          <w:rFonts w:hint="eastAsia" w:ascii="宋体" w:hAnsi="宋体" w:eastAsia="宋体" w:cs="宋体"/>
          <w:bCs/>
          <w:color w:val="auto"/>
          <w:sz w:val="24"/>
          <w:highlight w:val="none"/>
        </w:rPr>
      </w:pPr>
      <w:r>
        <w:rPr>
          <w:rFonts w:hint="eastAsia" w:ascii="宋体" w:hAnsi="宋体" w:eastAsia="宋体" w:cs="宋体"/>
          <w:bCs/>
          <w:color w:val="auto"/>
          <w:sz w:val="24"/>
          <w:highlight w:val="none"/>
        </w:rPr>
        <w:t>投标人地址：</w:t>
      </w:r>
    </w:p>
    <w:p w14:paraId="1AF28648">
      <w:pPr>
        <w:snapToGrid w:val="0"/>
        <w:spacing w:before="159" w:beforeLines="50" w:after="50" w:line="400" w:lineRule="exact"/>
        <w:ind w:firstLine="360" w:firstLineChars="150"/>
        <w:rPr>
          <w:rFonts w:hint="eastAsia" w:ascii="宋体" w:hAnsi="宋体" w:eastAsia="宋体" w:cs="宋体"/>
          <w:bCs/>
          <w:color w:val="auto"/>
          <w:sz w:val="24"/>
          <w:highlight w:val="none"/>
        </w:rPr>
      </w:pPr>
    </w:p>
    <w:p w14:paraId="49793835">
      <w:pPr>
        <w:snapToGrid w:val="0"/>
        <w:spacing w:before="159" w:beforeLines="50" w:after="50"/>
        <w:ind w:firstLine="645"/>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               </w:t>
      </w:r>
    </w:p>
    <w:p w14:paraId="3F71AE52">
      <w:pPr>
        <w:snapToGrid w:val="0"/>
        <w:spacing w:before="159" w:beforeLines="50" w:after="50"/>
        <w:ind w:firstLine="645"/>
        <w:jc w:val="center"/>
        <w:rPr>
          <w:rFonts w:hint="eastAsia" w:ascii="宋体" w:hAnsi="宋体" w:eastAsia="宋体" w:cs="宋体"/>
          <w:color w:val="auto"/>
          <w:sz w:val="24"/>
          <w:highlight w:val="none"/>
        </w:rPr>
      </w:pPr>
    </w:p>
    <w:p w14:paraId="6772DD6C">
      <w:pPr>
        <w:snapToGrid w:val="0"/>
        <w:spacing w:before="159" w:beforeLines="50" w:after="50"/>
        <w:ind w:firstLine="645"/>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年    月    日</w:t>
      </w:r>
    </w:p>
    <w:p w14:paraId="056E53AB">
      <w:pPr>
        <w:snapToGrid w:val="0"/>
        <w:spacing w:before="159" w:beforeLines="50" w:after="50"/>
        <w:ind w:left="142"/>
        <w:jc w:val="left"/>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br w:type="page"/>
      </w:r>
      <w:r>
        <w:rPr>
          <w:rFonts w:hint="eastAsia" w:ascii="宋体" w:hAnsi="宋体" w:eastAsia="宋体" w:cs="宋体"/>
          <w:b/>
          <w:bCs/>
          <w:color w:val="auto"/>
          <w:sz w:val="24"/>
          <w:highlight w:val="none"/>
        </w:rPr>
        <w:t>2.技术文件目录</w:t>
      </w:r>
    </w:p>
    <w:p w14:paraId="04233253">
      <w:pPr>
        <w:snapToGrid w:val="0"/>
        <w:spacing w:before="50" w:after="159" w:afterLines="50" w:line="360" w:lineRule="auto"/>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根据招标文件规定及投标人提供的材料自行编写目录。</w:t>
      </w:r>
    </w:p>
    <w:p w14:paraId="64CEBC0B">
      <w:pPr>
        <w:snapToGrid w:val="0"/>
        <w:spacing w:before="159" w:beforeLines="50" w:after="50"/>
        <w:ind w:left="142"/>
        <w:jc w:val="left"/>
        <w:rPr>
          <w:rFonts w:hint="eastAsia" w:ascii="宋体" w:hAnsi="宋体" w:eastAsia="宋体" w:cs="宋体"/>
          <w:b/>
          <w:color w:val="auto"/>
          <w:sz w:val="24"/>
          <w:highlight w:val="none"/>
        </w:rPr>
      </w:pPr>
      <w:r>
        <w:rPr>
          <w:rFonts w:hint="eastAsia" w:ascii="宋体" w:hAnsi="宋体" w:eastAsia="宋体" w:cs="宋体"/>
          <w:b/>
          <w:color w:val="auto"/>
          <w:sz w:val="24"/>
          <w:highlight w:val="none"/>
        </w:rPr>
        <w:br w:type="page"/>
      </w:r>
      <w:r>
        <w:rPr>
          <w:rFonts w:hint="eastAsia" w:ascii="宋体" w:hAnsi="宋体" w:eastAsia="宋体" w:cs="宋体"/>
          <w:b/>
          <w:color w:val="auto"/>
          <w:sz w:val="24"/>
          <w:highlight w:val="none"/>
        </w:rPr>
        <w:t>3. 技术要求偏离表格式</w:t>
      </w:r>
    </w:p>
    <w:p w14:paraId="1A0BF87C">
      <w:pPr>
        <w:snapToGrid w:val="0"/>
        <w:spacing w:before="159" w:beforeLines="50" w:after="50"/>
        <w:ind w:left="142"/>
        <w:jc w:val="left"/>
        <w:rPr>
          <w:rFonts w:hint="eastAsia" w:ascii="宋体" w:hAnsi="宋体" w:eastAsia="宋体" w:cs="宋体"/>
          <w:b/>
          <w:color w:val="auto"/>
          <w:sz w:val="24"/>
          <w:highlight w:val="none"/>
        </w:rPr>
      </w:pPr>
    </w:p>
    <w:p w14:paraId="5B158F38">
      <w:pPr>
        <w:snapToGrid w:val="0"/>
        <w:spacing w:before="159" w:beforeLines="50" w:after="50"/>
        <w:ind w:left="142"/>
        <w:jc w:val="center"/>
        <w:rPr>
          <w:rFonts w:hint="eastAsia" w:ascii="宋体" w:hAnsi="宋体" w:eastAsia="宋体" w:cs="宋体"/>
          <w:b/>
          <w:color w:val="auto"/>
          <w:sz w:val="32"/>
          <w:szCs w:val="32"/>
          <w:highlight w:val="none"/>
        </w:rPr>
      </w:pPr>
      <w:r>
        <w:rPr>
          <w:rFonts w:hint="eastAsia" w:ascii="宋体" w:hAnsi="宋体" w:eastAsia="宋体" w:cs="宋体"/>
          <w:b/>
          <w:color w:val="auto"/>
          <w:sz w:val="32"/>
          <w:szCs w:val="32"/>
          <w:highlight w:val="none"/>
        </w:rPr>
        <w:t>技术要求偏离表</w:t>
      </w:r>
    </w:p>
    <w:p w14:paraId="2918E3F7">
      <w:pPr>
        <w:pStyle w:val="24"/>
        <w:rPr>
          <w:rFonts w:hint="eastAsia" w:hAnsi="宋体" w:eastAsia="宋体" w:cs="宋体"/>
          <w:color w:val="auto"/>
          <w:sz w:val="24"/>
          <w:szCs w:val="24"/>
          <w:highlight w:val="none"/>
        </w:rPr>
      </w:pPr>
      <w:r>
        <w:rPr>
          <w:rFonts w:hint="eastAsia" w:hAnsi="宋体" w:eastAsia="宋体" w:cs="宋体"/>
          <w:color w:val="auto"/>
          <w:sz w:val="24"/>
          <w:szCs w:val="24"/>
          <w:highlight w:val="none"/>
        </w:rPr>
        <w:t>所投分标：</w:t>
      </w:r>
      <w:r>
        <w:rPr>
          <w:rFonts w:hint="eastAsia" w:hAnsi="宋体" w:eastAsia="宋体" w:cs="宋体"/>
          <w:color w:val="auto"/>
          <w:sz w:val="24"/>
          <w:szCs w:val="24"/>
          <w:highlight w:val="none"/>
          <w:u w:val="single"/>
        </w:rPr>
        <w:t xml:space="preserve">     </w:t>
      </w:r>
      <w:r>
        <w:rPr>
          <w:rFonts w:hint="eastAsia" w:hAnsi="宋体" w:eastAsia="宋体" w:cs="宋体"/>
          <w:color w:val="auto"/>
          <w:sz w:val="24"/>
          <w:szCs w:val="24"/>
          <w:highlight w:val="none"/>
        </w:rPr>
        <w:t>分标</w:t>
      </w:r>
    </w:p>
    <w:tbl>
      <w:tblPr>
        <w:tblStyle w:val="45"/>
        <w:tblW w:w="894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
        <w:gridCol w:w="2143"/>
        <w:gridCol w:w="1834"/>
        <w:gridCol w:w="2181"/>
        <w:gridCol w:w="1934"/>
      </w:tblGrid>
      <w:tr w14:paraId="756792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3" w:hRule="atLeast"/>
          <w:jc w:val="center"/>
        </w:trPr>
        <w:tc>
          <w:tcPr>
            <w:tcW w:w="852" w:type="dxa"/>
            <w:noWrap w:val="0"/>
            <w:vAlign w:val="center"/>
          </w:tcPr>
          <w:p w14:paraId="4E00A50C">
            <w:pPr>
              <w:pStyle w:val="24"/>
              <w:spacing w:line="400" w:lineRule="exact"/>
              <w:jc w:val="center"/>
              <w:rPr>
                <w:rFonts w:hint="eastAsia" w:hAnsi="宋体" w:eastAsia="宋体" w:cs="宋体"/>
                <w:color w:val="auto"/>
                <w:kern w:val="2"/>
                <w:sz w:val="24"/>
                <w:szCs w:val="24"/>
                <w:highlight w:val="none"/>
                <w:lang w:val="en-US" w:eastAsia="zh-CN"/>
              </w:rPr>
            </w:pPr>
            <w:r>
              <w:rPr>
                <w:rFonts w:hint="eastAsia" w:hAnsi="宋体" w:eastAsia="宋体" w:cs="宋体"/>
                <w:color w:val="auto"/>
                <w:kern w:val="2"/>
                <w:sz w:val="24"/>
                <w:szCs w:val="24"/>
                <w:highlight w:val="none"/>
                <w:lang w:val="en-US" w:eastAsia="zh-CN"/>
              </w:rPr>
              <w:t>项号</w:t>
            </w:r>
          </w:p>
        </w:tc>
        <w:tc>
          <w:tcPr>
            <w:tcW w:w="2143" w:type="dxa"/>
            <w:noWrap w:val="0"/>
            <w:vAlign w:val="center"/>
          </w:tcPr>
          <w:p w14:paraId="74842BDB">
            <w:pPr>
              <w:pStyle w:val="24"/>
              <w:spacing w:line="400" w:lineRule="exact"/>
              <w:jc w:val="center"/>
              <w:rPr>
                <w:rFonts w:hint="eastAsia" w:hAnsi="宋体" w:eastAsia="宋体" w:cs="宋体"/>
                <w:color w:val="auto"/>
                <w:kern w:val="2"/>
                <w:sz w:val="24"/>
                <w:szCs w:val="24"/>
                <w:highlight w:val="none"/>
                <w:lang w:val="en-US" w:eastAsia="zh-CN"/>
              </w:rPr>
            </w:pPr>
            <w:r>
              <w:rPr>
                <w:rFonts w:hint="eastAsia" w:hAnsi="宋体" w:eastAsia="宋体" w:cs="宋体"/>
                <w:color w:val="auto"/>
                <w:kern w:val="2"/>
                <w:sz w:val="24"/>
                <w:szCs w:val="24"/>
                <w:highlight w:val="none"/>
                <w:lang w:val="en-US" w:eastAsia="zh-CN"/>
              </w:rPr>
              <w:t>标的名称</w:t>
            </w:r>
          </w:p>
        </w:tc>
        <w:tc>
          <w:tcPr>
            <w:tcW w:w="1834" w:type="dxa"/>
            <w:noWrap w:val="0"/>
            <w:vAlign w:val="center"/>
          </w:tcPr>
          <w:p w14:paraId="61A5CDEA">
            <w:pPr>
              <w:pStyle w:val="24"/>
              <w:spacing w:line="400" w:lineRule="exact"/>
              <w:jc w:val="center"/>
              <w:rPr>
                <w:rFonts w:hint="eastAsia" w:hAnsi="宋体" w:eastAsia="宋体" w:cs="宋体"/>
                <w:color w:val="auto"/>
                <w:kern w:val="2"/>
                <w:sz w:val="24"/>
                <w:szCs w:val="24"/>
                <w:highlight w:val="none"/>
                <w:lang w:val="en-US" w:eastAsia="zh-CN"/>
              </w:rPr>
            </w:pPr>
            <w:r>
              <w:rPr>
                <w:rFonts w:hint="eastAsia" w:hAnsi="宋体" w:eastAsia="宋体" w:cs="宋体"/>
                <w:color w:val="auto"/>
                <w:kern w:val="2"/>
                <w:sz w:val="24"/>
                <w:szCs w:val="24"/>
                <w:highlight w:val="none"/>
                <w:lang w:val="en-US" w:eastAsia="zh-CN"/>
              </w:rPr>
              <w:t>技术要求</w:t>
            </w:r>
          </w:p>
        </w:tc>
        <w:tc>
          <w:tcPr>
            <w:tcW w:w="2181" w:type="dxa"/>
            <w:noWrap w:val="0"/>
            <w:vAlign w:val="center"/>
          </w:tcPr>
          <w:p w14:paraId="53E8C334">
            <w:pPr>
              <w:pStyle w:val="24"/>
              <w:spacing w:line="400" w:lineRule="exact"/>
              <w:jc w:val="center"/>
              <w:rPr>
                <w:rFonts w:hint="eastAsia" w:hAnsi="宋体" w:eastAsia="宋体" w:cs="宋体"/>
                <w:color w:val="auto"/>
                <w:kern w:val="2"/>
                <w:sz w:val="24"/>
                <w:szCs w:val="24"/>
                <w:highlight w:val="none"/>
                <w:lang w:val="en-US" w:eastAsia="zh-CN"/>
              </w:rPr>
            </w:pPr>
            <w:r>
              <w:rPr>
                <w:rFonts w:hint="eastAsia" w:hAnsi="宋体" w:eastAsia="宋体" w:cs="宋体"/>
                <w:color w:val="auto"/>
                <w:kern w:val="2"/>
                <w:sz w:val="24"/>
                <w:szCs w:val="24"/>
                <w:highlight w:val="none"/>
                <w:lang w:val="en-US" w:eastAsia="zh-CN"/>
              </w:rPr>
              <w:t>投标响应</w:t>
            </w:r>
          </w:p>
        </w:tc>
        <w:tc>
          <w:tcPr>
            <w:tcW w:w="1934" w:type="dxa"/>
            <w:noWrap w:val="0"/>
            <w:vAlign w:val="center"/>
          </w:tcPr>
          <w:p w14:paraId="56424115">
            <w:pPr>
              <w:pStyle w:val="24"/>
              <w:spacing w:line="400" w:lineRule="exact"/>
              <w:jc w:val="center"/>
              <w:rPr>
                <w:rFonts w:hint="eastAsia" w:hAnsi="宋体" w:eastAsia="宋体" w:cs="宋体"/>
                <w:color w:val="auto"/>
                <w:kern w:val="2"/>
                <w:sz w:val="24"/>
                <w:szCs w:val="24"/>
                <w:highlight w:val="none"/>
                <w:lang w:val="en-US" w:eastAsia="zh-CN"/>
              </w:rPr>
            </w:pPr>
            <w:r>
              <w:rPr>
                <w:rFonts w:hint="eastAsia" w:hAnsi="宋体" w:eastAsia="宋体" w:cs="宋体"/>
                <w:color w:val="auto"/>
                <w:kern w:val="2"/>
                <w:sz w:val="24"/>
                <w:szCs w:val="24"/>
                <w:highlight w:val="none"/>
                <w:lang w:val="en-US" w:eastAsia="zh-CN"/>
              </w:rPr>
              <w:t>偏离说明</w:t>
            </w:r>
          </w:p>
        </w:tc>
      </w:tr>
      <w:tr w14:paraId="7A1EFE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 w:type="dxa"/>
            <w:noWrap w:val="0"/>
            <w:vAlign w:val="top"/>
          </w:tcPr>
          <w:p w14:paraId="1A25D4BC">
            <w:pPr>
              <w:pStyle w:val="24"/>
              <w:spacing w:line="600" w:lineRule="exact"/>
              <w:jc w:val="center"/>
              <w:rPr>
                <w:rFonts w:hint="eastAsia" w:hAnsi="宋体" w:eastAsia="宋体" w:cs="宋体"/>
                <w:color w:val="auto"/>
                <w:kern w:val="2"/>
                <w:sz w:val="24"/>
                <w:szCs w:val="24"/>
                <w:highlight w:val="none"/>
                <w:lang w:val="en-US" w:eastAsia="zh-CN"/>
              </w:rPr>
            </w:pPr>
          </w:p>
        </w:tc>
        <w:tc>
          <w:tcPr>
            <w:tcW w:w="2143" w:type="dxa"/>
            <w:noWrap w:val="0"/>
            <w:vAlign w:val="center"/>
          </w:tcPr>
          <w:p w14:paraId="7DA79207">
            <w:pPr>
              <w:pStyle w:val="24"/>
              <w:spacing w:line="600" w:lineRule="exact"/>
              <w:jc w:val="center"/>
              <w:rPr>
                <w:rFonts w:hint="eastAsia" w:hAnsi="宋体" w:eastAsia="宋体" w:cs="宋体"/>
                <w:color w:val="auto"/>
                <w:kern w:val="2"/>
                <w:sz w:val="24"/>
                <w:szCs w:val="24"/>
                <w:highlight w:val="none"/>
                <w:lang w:val="en-US" w:eastAsia="zh-CN"/>
              </w:rPr>
            </w:pPr>
          </w:p>
        </w:tc>
        <w:tc>
          <w:tcPr>
            <w:tcW w:w="1834" w:type="dxa"/>
            <w:noWrap w:val="0"/>
            <w:vAlign w:val="center"/>
          </w:tcPr>
          <w:p w14:paraId="63447274">
            <w:pPr>
              <w:pStyle w:val="24"/>
              <w:spacing w:line="600" w:lineRule="exact"/>
              <w:jc w:val="center"/>
              <w:rPr>
                <w:rFonts w:hint="eastAsia" w:hAnsi="宋体" w:eastAsia="宋体" w:cs="宋体"/>
                <w:color w:val="auto"/>
                <w:kern w:val="2"/>
                <w:sz w:val="24"/>
                <w:szCs w:val="24"/>
                <w:highlight w:val="none"/>
                <w:lang w:val="en-US" w:eastAsia="zh-CN"/>
              </w:rPr>
            </w:pPr>
          </w:p>
        </w:tc>
        <w:tc>
          <w:tcPr>
            <w:tcW w:w="2181" w:type="dxa"/>
            <w:noWrap w:val="0"/>
            <w:vAlign w:val="center"/>
          </w:tcPr>
          <w:p w14:paraId="760D92D5">
            <w:pPr>
              <w:pStyle w:val="24"/>
              <w:spacing w:line="600" w:lineRule="exact"/>
              <w:jc w:val="center"/>
              <w:rPr>
                <w:rFonts w:hint="eastAsia" w:hAnsi="宋体" w:eastAsia="宋体" w:cs="宋体"/>
                <w:color w:val="auto"/>
                <w:kern w:val="2"/>
                <w:sz w:val="24"/>
                <w:szCs w:val="24"/>
                <w:highlight w:val="none"/>
                <w:lang w:val="en-US" w:eastAsia="zh-CN"/>
              </w:rPr>
            </w:pPr>
          </w:p>
        </w:tc>
        <w:tc>
          <w:tcPr>
            <w:tcW w:w="1934" w:type="dxa"/>
            <w:noWrap w:val="0"/>
            <w:vAlign w:val="center"/>
          </w:tcPr>
          <w:p w14:paraId="7B76441C">
            <w:pPr>
              <w:pStyle w:val="24"/>
              <w:spacing w:line="600" w:lineRule="exact"/>
              <w:jc w:val="center"/>
              <w:rPr>
                <w:rFonts w:hint="eastAsia" w:hAnsi="宋体" w:eastAsia="宋体" w:cs="宋体"/>
                <w:color w:val="auto"/>
                <w:kern w:val="2"/>
                <w:sz w:val="24"/>
                <w:szCs w:val="24"/>
                <w:highlight w:val="none"/>
                <w:lang w:val="en-US" w:eastAsia="zh-CN"/>
              </w:rPr>
            </w:pPr>
          </w:p>
        </w:tc>
      </w:tr>
      <w:tr w14:paraId="58B8BB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 w:type="dxa"/>
            <w:noWrap w:val="0"/>
            <w:vAlign w:val="top"/>
          </w:tcPr>
          <w:p w14:paraId="31DEC68D">
            <w:pPr>
              <w:pStyle w:val="24"/>
              <w:spacing w:line="600" w:lineRule="exact"/>
              <w:rPr>
                <w:rFonts w:hint="eastAsia" w:hAnsi="宋体" w:eastAsia="宋体" w:cs="宋体"/>
                <w:color w:val="auto"/>
                <w:kern w:val="2"/>
                <w:sz w:val="24"/>
                <w:szCs w:val="24"/>
                <w:highlight w:val="none"/>
                <w:lang w:val="en-US" w:eastAsia="zh-CN"/>
              </w:rPr>
            </w:pPr>
          </w:p>
        </w:tc>
        <w:tc>
          <w:tcPr>
            <w:tcW w:w="2143" w:type="dxa"/>
            <w:noWrap w:val="0"/>
            <w:vAlign w:val="top"/>
          </w:tcPr>
          <w:p w14:paraId="57B62C54">
            <w:pPr>
              <w:pStyle w:val="24"/>
              <w:spacing w:line="600" w:lineRule="exact"/>
              <w:rPr>
                <w:rFonts w:hint="eastAsia" w:hAnsi="宋体" w:eastAsia="宋体" w:cs="宋体"/>
                <w:color w:val="auto"/>
                <w:kern w:val="2"/>
                <w:sz w:val="24"/>
                <w:szCs w:val="24"/>
                <w:highlight w:val="none"/>
                <w:lang w:val="en-US" w:eastAsia="zh-CN"/>
              </w:rPr>
            </w:pPr>
          </w:p>
        </w:tc>
        <w:tc>
          <w:tcPr>
            <w:tcW w:w="1834" w:type="dxa"/>
            <w:noWrap w:val="0"/>
            <w:vAlign w:val="top"/>
          </w:tcPr>
          <w:p w14:paraId="417633B2">
            <w:pPr>
              <w:pStyle w:val="24"/>
              <w:spacing w:line="600" w:lineRule="exact"/>
              <w:rPr>
                <w:rFonts w:hint="eastAsia" w:hAnsi="宋体" w:eastAsia="宋体" w:cs="宋体"/>
                <w:color w:val="auto"/>
                <w:kern w:val="2"/>
                <w:sz w:val="24"/>
                <w:szCs w:val="24"/>
                <w:highlight w:val="none"/>
                <w:lang w:val="en-US" w:eastAsia="zh-CN"/>
              </w:rPr>
            </w:pPr>
          </w:p>
        </w:tc>
        <w:tc>
          <w:tcPr>
            <w:tcW w:w="2181" w:type="dxa"/>
            <w:noWrap w:val="0"/>
            <w:vAlign w:val="top"/>
          </w:tcPr>
          <w:p w14:paraId="2C19579E">
            <w:pPr>
              <w:pStyle w:val="24"/>
              <w:spacing w:line="600" w:lineRule="exact"/>
              <w:rPr>
                <w:rFonts w:hint="eastAsia" w:hAnsi="宋体" w:eastAsia="宋体" w:cs="宋体"/>
                <w:color w:val="auto"/>
                <w:kern w:val="2"/>
                <w:sz w:val="24"/>
                <w:szCs w:val="24"/>
                <w:highlight w:val="none"/>
                <w:lang w:val="en-US" w:eastAsia="zh-CN"/>
              </w:rPr>
            </w:pPr>
          </w:p>
        </w:tc>
        <w:tc>
          <w:tcPr>
            <w:tcW w:w="1934" w:type="dxa"/>
            <w:noWrap w:val="0"/>
            <w:vAlign w:val="top"/>
          </w:tcPr>
          <w:p w14:paraId="520A291A">
            <w:pPr>
              <w:pStyle w:val="24"/>
              <w:spacing w:line="600" w:lineRule="exact"/>
              <w:rPr>
                <w:rFonts w:hint="eastAsia" w:hAnsi="宋体" w:eastAsia="宋体" w:cs="宋体"/>
                <w:color w:val="auto"/>
                <w:kern w:val="2"/>
                <w:sz w:val="24"/>
                <w:szCs w:val="24"/>
                <w:highlight w:val="none"/>
                <w:lang w:val="en-US" w:eastAsia="zh-CN"/>
              </w:rPr>
            </w:pPr>
          </w:p>
        </w:tc>
      </w:tr>
      <w:tr w14:paraId="2848B5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 w:type="dxa"/>
            <w:noWrap w:val="0"/>
            <w:vAlign w:val="top"/>
          </w:tcPr>
          <w:p w14:paraId="47B1A8E4">
            <w:pPr>
              <w:pStyle w:val="24"/>
              <w:spacing w:line="600" w:lineRule="exact"/>
              <w:rPr>
                <w:rFonts w:hint="eastAsia" w:hAnsi="宋体" w:eastAsia="宋体" w:cs="宋体"/>
                <w:color w:val="auto"/>
                <w:kern w:val="2"/>
                <w:sz w:val="24"/>
                <w:szCs w:val="24"/>
                <w:highlight w:val="none"/>
                <w:lang w:val="en-US" w:eastAsia="zh-CN"/>
              </w:rPr>
            </w:pPr>
          </w:p>
        </w:tc>
        <w:tc>
          <w:tcPr>
            <w:tcW w:w="2143" w:type="dxa"/>
            <w:noWrap w:val="0"/>
            <w:vAlign w:val="top"/>
          </w:tcPr>
          <w:p w14:paraId="014369BF">
            <w:pPr>
              <w:pStyle w:val="24"/>
              <w:spacing w:line="600" w:lineRule="exact"/>
              <w:rPr>
                <w:rFonts w:hint="eastAsia" w:hAnsi="宋体" w:eastAsia="宋体" w:cs="宋体"/>
                <w:color w:val="auto"/>
                <w:kern w:val="2"/>
                <w:sz w:val="24"/>
                <w:szCs w:val="24"/>
                <w:highlight w:val="none"/>
                <w:lang w:val="en-US" w:eastAsia="zh-CN"/>
              </w:rPr>
            </w:pPr>
          </w:p>
        </w:tc>
        <w:tc>
          <w:tcPr>
            <w:tcW w:w="1834" w:type="dxa"/>
            <w:noWrap w:val="0"/>
            <w:vAlign w:val="top"/>
          </w:tcPr>
          <w:p w14:paraId="7E71A029">
            <w:pPr>
              <w:pStyle w:val="24"/>
              <w:spacing w:line="600" w:lineRule="exact"/>
              <w:rPr>
                <w:rFonts w:hint="eastAsia" w:hAnsi="宋体" w:eastAsia="宋体" w:cs="宋体"/>
                <w:color w:val="auto"/>
                <w:kern w:val="2"/>
                <w:sz w:val="24"/>
                <w:szCs w:val="24"/>
                <w:highlight w:val="none"/>
                <w:lang w:val="en-US" w:eastAsia="zh-CN"/>
              </w:rPr>
            </w:pPr>
          </w:p>
        </w:tc>
        <w:tc>
          <w:tcPr>
            <w:tcW w:w="2181" w:type="dxa"/>
            <w:noWrap w:val="0"/>
            <w:vAlign w:val="top"/>
          </w:tcPr>
          <w:p w14:paraId="1D1A8802">
            <w:pPr>
              <w:pStyle w:val="24"/>
              <w:spacing w:line="600" w:lineRule="exact"/>
              <w:rPr>
                <w:rFonts w:hint="eastAsia" w:hAnsi="宋体" w:eastAsia="宋体" w:cs="宋体"/>
                <w:color w:val="auto"/>
                <w:kern w:val="2"/>
                <w:sz w:val="24"/>
                <w:szCs w:val="24"/>
                <w:highlight w:val="none"/>
                <w:lang w:val="en-US" w:eastAsia="zh-CN"/>
              </w:rPr>
            </w:pPr>
          </w:p>
        </w:tc>
        <w:tc>
          <w:tcPr>
            <w:tcW w:w="1934" w:type="dxa"/>
            <w:noWrap w:val="0"/>
            <w:vAlign w:val="top"/>
          </w:tcPr>
          <w:p w14:paraId="0FC34B29">
            <w:pPr>
              <w:pStyle w:val="24"/>
              <w:spacing w:line="600" w:lineRule="exact"/>
              <w:rPr>
                <w:rFonts w:hint="eastAsia" w:hAnsi="宋体" w:eastAsia="宋体" w:cs="宋体"/>
                <w:color w:val="auto"/>
                <w:kern w:val="2"/>
                <w:sz w:val="24"/>
                <w:szCs w:val="24"/>
                <w:highlight w:val="none"/>
                <w:lang w:val="en-US" w:eastAsia="zh-CN"/>
              </w:rPr>
            </w:pPr>
          </w:p>
        </w:tc>
      </w:tr>
      <w:tr w14:paraId="3CC43A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 w:type="dxa"/>
            <w:noWrap w:val="0"/>
            <w:vAlign w:val="top"/>
          </w:tcPr>
          <w:p w14:paraId="756699D8">
            <w:pPr>
              <w:pStyle w:val="24"/>
              <w:spacing w:line="600" w:lineRule="exact"/>
              <w:rPr>
                <w:rFonts w:hint="eastAsia" w:hAnsi="宋体" w:eastAsia="宋体" w:cs="宋体"/>
                <w:color w:val="auto"/>
                <w:kern w:val="2"/>
                <w:sz w:val="24"/>
                <w:szCs w:val="24"/>
                <w:highlight w:val="none"/>
                <w:lang w:val="en-US" w:eastAsia="zh-CN"/>
              </w:rPr>
            </w:pPr>
          </w:p>
        </w:tc>
        <w:tc>
          <w:tcPr>
            <w:tcW w:w="2143" w:type="dxa"/>
            <w:noWrap w:val="0"/>
            <w:vAlign w:val="top"/>
          </w:tcPr>
          <w:p w14:paraId="042DA4C4">
            <w:pPr>
              <w:pStyle w:val="24"/>
              <w:spacing w:line="600" w:lineRule="exact"/>
              <w:rPr>
                <w:rFonts w:hint="eastAsia" w:hAnsi="宋体" w:eastAsia="宋体" w:cs="宋体"/>
                <w:color w:val="auto"/>
                <w:kern w:val="2"/>
                <w:sz w:val="24"/>
                <w:szCs w:val="24"/>
                <w:highlight w:val="none"/>
                <w:lang w:val="en-US" w:eastAsia="zh-CN"/>
              </w:rPr>
            </w:pPr>
          </w:p>
        </w:tc>
        <w:tc>
          <w:tcPr>
            <w:tcW w:w="1834" w:type="dxa"/>
            <w:noWrap w:val="0"/>
            <w:vAlign w:val="top"/>
          </w:tcPr>
          <w:p w14:paraId="6483C24A">
            <w:pPr>
              <w:pStyle w:val="24"/>
              <w:spacing w:line="600" w:lineRule="exact"/>
              <w:rPr>
                <w:rFonts w:hint="eastAsia" w:hAnsi="宋体" w:eastAsia="宋体" w:cs="宋体"/>
                <w:color w:val="auto"/>
                <w:kern w:val="2"/>
                <w:sz w:val="24"/>
                <w:szCs w:val="24"/>
                <w:highlight w:val="none"/>
                <w:lang w:val="en-US" w:eastAsia="zh-CN"/>
              </w:rPr>
            </w:pPr>
          </w:p>
        </w:tc>
        <w:tc>
          <w:tcPr>
            <w:tcW w:w="2181" w:type="dxa"/>
            <w:noWrap w:val="0"/>
            <w:vAlign w:val="top"/>
          </w:tcPr>
          <w:p w14:paraId="14A8C597">
            <w:pPr>
              <w:pStyle w:val="24"/>
              <w:spacing w:line="600" w:lineRule="exact"/>
              <w:rPr>
                <w:rFonts w:hint="eastAsia" w:hAnsi="宋体" w:eastAsia="宋体" w:cs="宋体"/>
                <w:color w:val="auto"/>
                <w:kern w:val="2"/>
                <w:sz w:val="24"/>
                <w:szCs w:val="24"/>
                <w:highlight w:val="none"/>
                <w:lang w:val="en-US" w:eastAsia="zh-CN"/>
              </w:rPr>
            </w:pPr>
          </w:p>
        </w:tc>
        <w:tc>
          <w:tcPr>
            <w:tcW w:w="1934" w:type="dxa"/>
            <w:noWrap w:val="0"/>
            <w:vAlign w:val="top"/>
          </w:tcPr>
          <w:p w14:paraId="269FD1BA">
            <w:pPr>
              <w:pStyle w:val="24"/>
              <w:spacing w:line="600" w:lineRule="exact"/>
              <w:rPr>
                <w:rFonts w:hint="eastAsia" w:hAnsi="宋体" w:eastAsia="宋体" w:cs="宋体"/>
                <w:color w:val="auto"/>
                <w:kern w:val="2"/>
                <w:sz w:val="24"/>
                <w:szCs w:val="24"/>
                <w:highlight w:val="none"/>
                <w:lang w:val="en-US" w:eastAsia="zh-CN"/>
              </w:rPr>
            </w:pPr>
          </w:p>
        </w:tc>
      </w:tr>
      <w:tr w14:paraId="2091F4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 w:type="dxa"/>
            <w:noWrap w:val="0"/>
            <w:vAlign w:val="top"/>
          </w:tcPr>
          <w:p w14:paraId="585505D4">
            <w:pPr>
              <w:pStyle w:val="24"/>
              <w:spacing w:line="600" w:lineRule="exact"/>
              <w:rPr>
                <w:rFonts w:hint="eastAsia" w:hAnsi="宋体" w:eastAsia="宋体" w:cs="宋体"/>
                <w:color w:val="auto"/>
                <w:kern w:val="2"/>
                <w:sz w:val="24"/>
                <w:szCs w:val="24"/>
                <w:highlight w:val="none"/>
                <w:lang w:val="en-US" w:eastAsia="zh-CN"/>
              </w:rPr>
            </w:pPr>
          </w:p>
        </w:tc>
        <w:tc>
          <w:tcPr>
            <w:tcW w:w="2143" w:type="dxa"/>
            <w:noWrap w:val="0"/>
            <w:vAlign w:val="top"/>
          </w:tcPr>
          <w:p w14:paraId="6D72ABE4">
            <w:pPr>
              <w:pStyle w:val="24"/>
              <w:spacing w:line="600" w:lineRule="exact"/>
              <w:rPr>
                <w:rFonts w:hint="eastAsia" w:hAnsi="宋体" w:eastAsia="宋体" w:cs="宋体"/>
                <w:color w:val="auto"/>
                <w:kern w:val="2"/>
                <w:sz w:val="24"/>
                <w:szCs w:val="24"/>
                <w:highlight w:val="none"/>
                <w:lang w:val="en-US" w:eastAsia="zh-CN"/>
              </w:rPr>
            </w:pPr>
          </w:p>
        </w:tc>
        <w:tc>
          <w:tcPr>
            <w:tcW w:w="1834" w:type="dxa"/>
            <w:noWrap w:val="0"/>
            <w:vAlign w:val="top"/>
          </w:tcPr>
          <w:p w14:paraId="26D79D73">
            <w:pPr>
              <w:pStyle w:val="24"/>
              <w:spacing w:line="600" w:lineRule="exact"/>
              <w:rPr>
                <w:rFonts w:hint="eastAsia" w:hAnsi="宋体" w:eastAsia="宋体" w:cs="宋体"/>
                <w:color w:val="auto"/>
                <w:kern w:val="2"/>
                <w:sz w:val="24"/>
                <w:szCs w:val="24"/>
                <w:highlight w:val="none"/>
                <w:lang w:val="en-US" w:eastAsia="zh-CN"/>
              </w:rPr>
            </w:pPr>
          </w:p>
        </w:tc>
        <w:tc>
          <w:tcPr>
            <w:tcW w:w="2181" w:type="dxa"/>
            <w:noWrap w:val="0"/>
            <w:vAlign w:val="top"/>
          </w:tcPr>
          <w:p w14:paraId="7F29AC51">
            <w:pPr>
              <w:pStyle w:val="24"/>
              <w:spacing w:line="600" w:lineRule="exact"/>
              <w:rPr>
                <w:rFonts w:hint="eastAsia" w:hAnsi="宋体" w:eastAsia="宋体" w:cs="宋体"/>
                <w:color w:val="auto"/>
                <w:kern w:val="2"/>
                <w:sz w:val="24"/>
                <w:szCs w:val="24"/>
                <w:highlight w:val="none"/>
                <w:lang w:val="en-US" w:eastAsia="zh-CN"/>
              </w:rPr>
            </w:pPr>
          </w:p>
        </w:tc>
        <w:tc>
          <w:tcPr>
            <w:tcW w:w="1934" w:type="dxa"/>
            <w:noWrap w:val="0"/>
            <w:vAlign w:val="top"/>
          </w:tcPr>
          <w:p w14:paraId="4E0E943B">
            <w:pPr>
              <w:pStyle w:val="24"/>
              <w:spacing w:line="600" w:lineRule="exact"/>
              <w:rPr>
                <w:rFonts w:hint="eastAsia" w:hAnsi="宋体" w:eastAsia="宋体" w:cs="宋体"/>
                <w:color w:val="auto"/>
                <w:kern w:val="2"/>
                <w:sz w:val="24"/>
                <w:szCs w:val="24"/>
                <w:highlight w:val="none"/>
                <w:lang w:val="en-US" w:eastAsia="zh-CN"/>
              </w:rPr>
            </w:pPr>
          </w:p>
        </w:tc>
      </w:tr>
      <w:tr w14:paraId="3BD0BF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 w:type="dxa"/>
            <w:noWrap w:val="0"/>
            <w:vAlign w:val="top"/>
          </w:tcPr>
          <w:p w14:paraId="7891A432">
            <w:pPr>
              <w:pStyle w:val="24"/>
              <w:spacing w:line="600" w:lineRule="exact"/>
              <w:rPr>
                <w:rFonts w:hint="eastAsia" w:hAnsi="宋体" w:eastAsia="宋体" w:cs="宋体"/>
                <w:color w:val="auto"/>
                <w:kern w:val="2"/>
                <w:sz w:val="24"/>
                <w:szCs w:val="24"/>
                <w:highlight w:val="none"/>
                <w:lang w:val="en-US" w:eastAsia="zh-CN"/>
              </w:rPr>
            </w:pPr>
          </w:p>
        </w:tc>
        <w:tc>
          <w:tcPr>
            <w:tcW w:w="2143" w:type="dxa"/>
            <w:noWrap w:val="0"/>
            <w:vAlign w:val="top"/>
          </w:tcPr>
          <w:p w14:paraId="2226C5F6">
            <w:pPr>
              <w:pStyle w:val="24"/>
              <w:spacing w:line="600" w:lineRule="exact"/>
              <w:rPr>
                <w:rFonts w:hint="eastAsia" w:hAnsi="宋体" w:eastAsia="宋体" w:cs="宋体"/>
                <w:color w:val="auto"/>
                <w:kern w:val="2"/>
                <w:sz w:val="24"/>
                <w:szCs w:val="24"/>
                <w:highlight w:val="none"/>
                <w:lang w:val="en-US" w:eastAsia="zh-CN"/>
              </w:rPr>
            </w:pPr>
          </w:p>
        </w:tc>
        <w:tc>
          <w:tcPr>
            <w:tcW w:w="1834" w:type="dxa"/>
            <w:noWrap w:val="0"/>
            <w:vAlign w:val="top"/>
          </w:tcPr>
          <w:p w14:paraId="72A0F5A4">
            <w:pPr>
              <w:pStyle w:val="24"/>
              <w:spacing w:line="600" w:lineRule="exact"/>
              <w:rPr>
                <w:rFonts w:hint="eastAsia" w:hAnsi="宋体" w:eastAsia="宋体" w:cs="宋体"/>
                <w:color w:val="auto"/>
                <w:kern w:val="2"/>
                <w:sz w:val="24"/>
                <w:szCs w:val="24"/>
                <w:highlight w:val="none"/>
                <w:lang w:val="en-US" w:eastAsia="zh-CN"/>
              </w:rPr>
            </w:pPr>
          </w:p>
        </w:tc>
        <w:tc>
          <w:tcPr>
            <w:tcW w:w="2181" w:type="dxa"/>
            <w:noWrap w:val="0"/>
            <w:vAlign w:val="top"/>
          </w:tcPr>
          <w:p w14:paraId="68D7C7BF">
            <w:pPr>
              <w:pStyle w:val="24"/>
              <w:spacing w:line="600" w:lineRule="exact"/>
              <w:rPr>
                <w:rFonts w:hint="eastAsia" w:hAnsi="宋体" w:eastAsia="宋体" w:cs="宋体"/>
                <w:color w:val="auto"/>
                <w:kern w:val="2"/>
                <w:sz w:val="24"/>
                <w:szCs w:val="24"/>
                <w:highlight w:val="none"/>
                <w:lang w:val="en-US" w:eastAsia="zh-CN"/>
              </w:rPr>
            </w:pPr>
          </w:p>
        </w:tc>
        <w:tc>
          <w:tcPr>
            <w:tcW w:w="1934" w:type="dxa"/>
            <w:noWrap w:val="0"/>
            <w:vAlign w:val="top"/>
          </w:tcPr>
          <w:p w14:paraId="0087E7BF">
            <w:pPr>
              <w:pStyle w:val="24"/>
              <w:spacing w:line="600" w:lineRule="exact"/>
              <w:rPr>
                <w:rFonts w:hint="eastAsia" w:hAnsi="宋体" w:eastAsia="宋体" w:cs="宋体"/>
                <w:color w:val="auto"/>
                <w:kern w:val="2"/>
                <w:sz w:val="24"/>
                <w:szCs w:val="24"/>
                <w:highlight w:val="none"/>
                <w:lang w:val="en-US" w:eastAsia="zh-CN"/>
              </w:rPr>
            </w:pPr>
          </w:p>
        </w:tc>
      </w:tr>
    </w:tbl>
    <w:p w14:paraId="2D74F0FB">
      <w:pPr>
        <w:pStyle w:val="18"/>
        <w:rPr>
          <w:rFonts w:hint="eastAsia" w:ascii="宋体" w:hAnsi="宋体" w:eastAsia="宋体" w:cs="宋体"/>
          <w:color w:val="auto"/>
          <w:highlight w:val="none"/>
        </w:rPr>
      </w:pPr>
      <w:r>
        <w:rPr>
          <w:rFonts w:hint="eastAsia" w:ascii="宋体" w:hAnsi="宋体" w:eastAsia="宋体" w:cs="宋体"/>
          <w:color w:val="auto"/>
          <w:highlight w:val="none"/>
        </w:rPr>
        <w:t>注：</w:t>
      </w:r>
    </w:p>
    <w:p w14:paraId="62858AE1">
      <w:pPr>
        <w:pStyle w:val="19"/>
        <w:spacing w:line="360" w:lineRule="auto"/>
        <w:ind w:firstLine="0" w:firstLineChars="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 上表“标的名称”填写服务名称，“技术要求”应复制招标文件“第二章 采购需求”中的技术要求，“投标响应”应填写投标人对相应条款的承诺，“偏离说明”应注明“正偏离”、“负偏离”或者“无偏离”。（正偏离即优于招标文件要求，负偏离即低于招标文件要求，无偏离即与招标文件要求一致。）</w:t>
      </w:r>
    </w:p>
    <w:p w14:paraId="3E4C39C6">
      <w:pPr>
        <w:pStyle w:val="18"/>
        <w:spacing w:line="360" w:lineRule="auto"/>
        <w:contextualSpacing/>
        <w:rPr>
          <w:rFonts w:hint="eastAsia" w:ascii="宋体" w:hAnsi="宋体" w:eastAsia="宋体" w:cs="宋体"/>
          <w:color w:val="auto"/>
          <w:highlight w:val="none"/>
        </w:rPr>
      </w:pPr>
      <w:r>
        <w:rPr>
          <w:rFonts w:hint="eastAsia" w:ascii="宋体" w:hAnsi="宋体" w:eastAsia="宋体" w:cs="宋体"/>
          <w:color w:val="auto"/>
          <w:highlight w:val="none"/>
        </w:rPr>
        <w:t>2. 投标人应根据自身实际情况对招标文件技术要求逐条作出明确承诺，并对偏离情况作出说明。</w:t>
      </w:r>
    </w:p>
    <w:p w14:paraId="1DB56330">
      <w:pPr>
        <w:snapToGrid w:val="0"/>
        <w:spacing w:before="50" w:after="50" w:line="360" w:lineRule="auto"/>
        <w:rPr>
          <w:rFonts w:hint="eastAsia" w:ascii="宋体" w:hAnsi="宋体" w:eastAsia="宋体" w:cs="宋体"/>
          <w:color w:val="auto"/>
          <w:sz w:val="24"/>
          <w:highlight w:val="none"/>
        </w:rPr>
      </w:pPr>
    </w:p>
    <w:p w14:paraId="48095D95">
      <w:pPr>
        <w:snapToGrid w:val="0"/>
        <w:spacing w:before="50" w:after="50" w:line="360" w:lineRule="auto"/>
        <w:rPr>
          <w:rFonts w:hint="eastAsia" w:ascii="宋体" w:hAnsi="宋体" w:eastAsia="宋体" w:cs="宋体"/>
          <w:color w:val="auto"/>
          <w:sz w:val="24"/>
          <w:highlight w:val="none"/>
        </w:rPr>
      </w:pPr>
    </w:p>
    <w:p w14:paraId="3C4A5C7C">
      <w:pPr>
        <w:snapToGrid w:val="0"/>
        <w:spacing w:before="50" w:after="50" w:line="360" w:lineRule="auto"/>
        <w:rPr>
          <w:rFonts w:hint="eastAsia" w:ascii="宋体" w:hAnsi="宋体" w:eastAsia="宋体" w:cs="宋体"/>
          <w:color w:val="auto"/>
          <w:sz w:val="24"/>
          <w:highlight w:val="none"/>
        </w:rPr>
      </w:pPr>
    </w:p>
    <w:p w14:paraId="4D496874">
      <w:pPr>
        <w:snapToGrid w:val="0"/>
        <w:spacing w:before="50" w:after="50" w:line="360" w:lineRule="auto"/>
        <w:rPr>
          <w:rFonts w:hint="eastAsia" w:ascii="宋体" w:hAnsi="宋体" w:eastAsia="宋体" w:cs="宋体"/>
          <w:color w:val="auto"/>
          <w:spacing w:val="20"/>
          <w:sz w:val="24"/>
          <w:highlight w:val="none"/>
          <w:u w:val="single"/>
        </w:rPr>
      </w:pPr>
      <w:r>
        <w:rPr>
          <w:rFonts w:hint="eastAsia" w:ascii="宋体" w:hAnsi="宋体" w:eastAsia="宋体" w:cs="宋体"/>
          <w:color w:val="auto"/>
          <w:sz w:val="24"/>
          <w:highlight w:val="none"/>
        </w:rPr>
        <w:t>法定代表人或者委托代理人</w:t>
      </w:r>
      <w:r>
        <w:rPr>
          <w:rFonts w:hint="eastAsia" w:ascii="宋体" w:hAnsi="宋体" w:eastAsia="宋体" w:cs="宋体"/>
          <w:color w:val="auto"/>
          <w:spacing w:val="20"/>
          <w:sz w:val="24"/>
          <w:highlight w:val="none"/>
        </w:rPr>
        <w:t>（签字）：</w:t>
      </w:r>
      <w:r>
        <w:rPr>
          <w:rFonts w:hint="eastAsia" w:ascii="宋体" w:hAnsi="宋体" w:eastAsia="宋体" w:cs="宋体"/>
          <w:color w:val="auto"/>
          <w:spacing w:val="20"/>
          <w:sz w:val="24"/>
          <w:highlight w:val="none"/>
          <w:u w:val="single"/>
        </w:rPr>
        <w:t xml:space="preserve">        </w:t>
      </w:r>
    </w:p>
    <w:p w14:paraId="081CC284">
      <w:pPr>
        <w:snapToGrid w:val="0"/>
        <w:spacing w:before="50" w:after="50" w:line="360" w:lineRule="auto"/>
        <w:rPr>
          <w:rFonts w:hint="eastAsia" w:ascii="宋体" w:hAnsi="宋体" w:eastAsia="宋体" w:cs="宋体"/>
          <w:color w:val="auto"/>
          <w:spacing w:val="20"/>
          <w:sz w:val="24"/>
          <w:highlight w:val="none"/>
          <w:u w:val="single"/>
        </w:rPr>
      </w:pPr>
      <w:r>
        <w:rPr>
          <w:rFonts w:hint="eastAsia" w:ascii="宋体" w:hAnsi="宋体" w:eastAsia="宋体" w:cs="宋体"/>
          <w:color w:val="auto"/>
          <w:spacing w:val="20"/>
          <w:sz w:val="24"/>
          <w:highlight w:val="none"/>
        </w:rPr>
        <w:t>投标人（盖公章）：</w:t>
      </w:r>
      <w:r>
        <w:rPr>
          <w:rFonts w:hint="eastAsia" w:ascii="宋体" w:hAnsi="宋体" w:eastAsia="宋体" w:cs="宋体"/>
          <w:color w:val="auto"/>
          <w:spacing w:val="20"/>
          <w:sz w:val="24"/>
          <w:highlight w:val="none"/>
          <w:u w:val="single"/>
        </w:rPr>
        <w:t xml:space="preserve">            </w:t>
      </w:r>
      <w:r>
        <w:rPr>
          <w:rFonts w:hint="eastAsia" w:ascii="宋体" w:hAnsi="宋体" w:eastAsia="宋体" w:cs="宋体"/>
          <w:color w:val="auto"/>
          <w:spacing w:val="20"/>
          <w:sz w:val="24"/>
          <w:highlight w:val="none"/>
        </w:rPr>
        <w:t xml:space="preserve">              日 期：</w:t>
      </w:r>
      <w:r>
        <w:rPr>
          <w:rFonts w:hint="eastAsia" w:ascii="宋体" w:hAnsi="宋体" w:eastAsia="宋体" w:cs="宋体"/>
          <w:color w:val="auto"/>
          <w:spacing w:val="20"/>
          <w:sz w:val="24"/>
          <w:highlight w:val="none"/>
          <w:u w:val="single"/>
        </w:rPr>
        <w:t xml:space="preserve">        </w:t>
      </w:r>
    </w:p>
    <w:p w14:paraId="5EBA0CB7">
      <w:pPr>
        <w:snapToGrid w:val="0"/>
        <w:spacing w:before="50" w:after="50" w:line="360" w:lineRule="auto"/>
        <w:rPr>
          <w:rFonts w:hint="eastAsia" w:ascii="宋体" w:hAnsi="宋体" w:eastAsia="宋体" w:cs="宋体"/>
          <w:color w:val="auto"/>
          <w:sz w:val="24"/>
          <w:szCs w:val="20"/>
          <w:highlight w:val="none"/>
        </w:rPr>
      </w:pPr>
    </w:p>
    <w:p w14:paraId="53530ED4">
      <w:pPr>
        <w:snapToGrid w:val="0"/>
        <w:spacing w:before="159" w:beforeLines="50" w:after="50"/>
        <w:ind w:left="142"/>
        <w:jc w:val="left"/>
        <w:rPr>
          <w:rFonts w:hint="eastAsia" w:ascii="宋体" w:hAnsi="宋体" w:eastAsia="宋体" w:cs="宋体"/>
          <w:b/>
          <w:color w:val="auto"/>
          <w:sz w:val="24"/>
          <w:highlight w:val="none"/>
        </w:rPr>
      </w:pPr>
      <w:r>
        <w:rPr>
          <w:rFonts w:hint="eastAsia" w:ascii="宋体" w:hAnsi="宋体" w:eastAsia="宋体" w:cs="宋体"/>
          <w:b/>
          <w:color w:val="auto"/>
          <w:sz w:val="24"/>
          <w:highlight w:val="none"/>
        </w:rPr>
        <w:br w:type="page"/>
      </w:r>
      <w:r>
        <w:rPr>
          <w:rFonts w:hint="eastAsia" w:ascii="宋体" w:hAnsi="宋体" w:eastAsia="宋体" w:cs="宋体"/>
          <w:b/>
          <w:color w:val="auto"/>
          <w:sz w:val="24"/>
          <w:highlight w:val="none"/>
        </w:rPr>
        <w:t>4. 项目实施人员一览表格式</w:t>
      </w:r>
    </w:p>
    <w:p w14:paraId="72525628">
      <w:pPr>
        <w:snapToGrid w:val="0"/>
        <w:spacing w:before="159" w:beforeLines="50" w:after="50"/>
        <w:ind w:left="142"/>
        <w:jc w:val="left"/>
        <w:rPr>
          <w:rFonts w:hint="eastAsia" w:ascii="宋体" w:hAnsi="宋体" w:eastAsia="宋体" w:cs="宋体"/>
          <w:b/>
          <w:color w:val="auto"/>
          <w:sz w:val="24"/>
          <w:highlight w:val="none"/>
        </w:rPr>
      </w:pPr>
    </w:p>
    <w:p w14:paraId="1D7763A0">
      <w:pPr>
        <w:snapToGrid w:val="0"/>
        <w:spacing w:before="159" w:beforeLines="50" w:after="50"/>
        <w:ind w:left="142"/>
        <w:jc w:val="center"/>
        <w:rPr>
          <w:rFonts w:hint="eastAsia" w:ascii="宋体" w:hAnsi="宋体" w:eastAsia="宋体" w:cs="宋体"/>
          <w:b/>
          <w:color w:val="auto"/>
          <w:sz w:val="32"/>
          <w:szCs w:val="32"/>
          <w:highlight w:val="none"/>
        </w:rPr>
      </w:pPr>
      <w:r>
        <w:rPr>
          <w:rFonts w:hint="eastAsia" w:ascii="宋体" w:hAnsi="宋体" w:eastAsia="宋体" w:cs="宋体"/>
          <w:b/>
          <w:color w:val="auto"/>
          <w:sz w:val="32"/>
          <w:szCs w:val="32"/>
          <w:highlight w:val="none"/>
        </w:rPr>
        <w:t>项目实施人员一览表</w:t>
      </w:r>
    </w:p>
    <w:p w14:paraId="44A77B52">
      <w:pPr>
        <w:pStyle w:val="24"/>
        <w:rPr>
          <w:rFonts w:hint="eastAsia" w:hAnsi="宋体" w:eastAsia="宋体" w:cs="宋体"/>
          <w:color w:val="auto"/>
          <w:sz w:val="24"/>
          <w:szCs w:val="24"/>
          <w:highlight w:val="none"/>
        </w:rPr>
      </w:pPr>
      <w:r>
        <w:rPr>
          <w:rFonts w:hint="eastAsia" w:hAnsi="宋体" w:eastAsia="宋体" w:cs="宋体"/>
          <w:color w:val="auto"/>
          <w:sz w:val="24"/>
          <w:szCs w:val="24"/>
          <w:highlight w:val="none"/>
        </w:rPr>
        <w:t>所投分标：</w:t>
      </w:r>
      <w:r>
        <w:rPr>
          <w:rFonts w:hint="eastAsia" w:hAnsi="宋体" w:eastAsia="宋体" w:cs="宋体"/>
          <w:color w:val="auto"/>
          <w:sz w:val="24"/>
          <w:szCs w:val="24"/>
          <w:highlight w:val="none"/>
          <w:u w:val="single"/>
        </w:rPr>
        <w:t xml:space="preserve">     </w:t>
      </w:r>
      <w:r>
        <w:rPr>
          <w:rFonts w:hint="eastAsia" w:hAnsi="宋体" w:eastAsia="宋体" w:cs="宋体"/>
          <w:color w:val="auto"/>
          <w:sz w:val="24"/>
          <w:szCs w:val="24"/>
          <w:highlight w:val="none"/>
        </w:rPr>
        <w:t>分标</w:t>
      </w:r>
    </w:p>
    <w:tbl>
      <w:tblPr>
        <w:tblStyle w:val="4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7"/>
        <w:gridCol w:w="709"/>
        <w:gridCol w:w="1701"/>
        <w:gridCol w:w="1420"/>
        <w:gridCol w:w="1698"/>
        <w:gridCol w:w="1843"/>
      </w:tblGrid>
      <w:tr w14:paraId="1698EF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noWrap w:val="0"/>
            <w:vAlign w:val="center"/>
          </w:tcPr>
          <w:p w14:paraId="3336F01F">
            <w:pPr>
              <w:snapToGrid w:val="0"/>
              <w:spacing w:before="50" w:after="159" w:afterLines="50"/>
              <w:jc w:val="center"/>
              <w:rPr>
                <w:rFonts w:hint="eastAsia" w:ascii="宋体" w:hAnsi="宋体" w:eastAsia="宋体" w:cs="宋体"/>
                <w:color w:val="auto"/>
                <w:sz w:val="24"/>
                <w:szCs w:val="20"/>
                <w:highlight w:val="none"/>
              </w:rPr>
            </w:pPr>
            <w:r>
              <w:rPr>
                <w:rFonts w:hint="eastAsia" w:ascii="宋体" w:hAnsi="宋体" w:eastAsia="宋体" w:cs="宋体"/>
                <w:color w:val="auto"/>
                <w:sz w:val="24"/>
                <w:szCs w:val="20"/>
                <w:highlight w:val="none"/>
              </w:rPr>
              <w:t>姓名</w:t>
            </w:r>
          </w:p>
        </w:tc>
        <w:tc>
          <w:tcPr>
            <w:tcW w:w="709" w:type="dxa"/>
            <w:noWrap w:val="0"/>
            <w:vAlign w:val="center"/>
          </w:tcPr>
          <w:p w14:paraId="18BB03D5">
            <w:pPr>
              <w:snapToGrid w:val="0"/>
              <w:spacing w:before="50" w:after="159" w:afterLines="50"/>
              <w:jc w:val="center"/>
              <w:rPr>
                <w:rFonts w:hint="eastAsia" w:ascii="宋体" w:hAnsi="宋体" w:eastAsia="宋体" w:cs="宋体"/>
                <w:color w:val="auto"/>
                <w:sz w:val="24"/>
                <w:szCs w:val="20"/>
                <w:highlight w:val="none"/>
              </w:rPr>
            </w:pPr>
            <w:r>
              <w:rPr>
                <w:rFonts w:hint="eastAsia" w:ascii="宋体" w:hAnsi="宋体" w:eastAsia="宋体" w:cs="宋体"/>
                <w:color w:val="auto"/>
                <w:sz w:val="24"/>
                <w:szCs w:val="20"/>
                <w:highlight w:val="none"/>
              </w:rPr>
              <w:t>职务</w:t>
            </w:r>
          </w:p>
        </w:tc>
        <w:tc>
          <w:tcPr>
            <w:tcW w:w="1701" w:type="dxa"/>
            <w:noWrap w:val="0"/>
            <w:vAlign w:val="center"/>
          </w:tcPr>
          <w:p w14:paraId="7813C06C">
            <w:pPr>
              <w:snapToGrid w:val="0"/>
              <w:spacing w:before="50" w:after="159" w:afterLines="50"/>
              <w:jc w:val="center"/>
              <w:rPr>
                <w:rFonts w:hint="eastAsia" w:ascii="宋体" w:hAnsi="宋体" w:eastAsia="宋体" w:cs="宋体"/>
                <w:color w:val="auto"/>
                <w:sz w:val="24"/>
                <w:szCs w:val="20"/>
                <w:highlight w:val="none"/>
              </w:rPr>
            </w:pPr>
            <w:r>
              <w:rPr>
                <w:rFonts w:hint="eastAsia" w:ascii="宋体" w:hAnsi="宋体" w:eastAsia="宋体" w:cs="宋体"/>
                <w:color w:val="auto"/>
                <w:sz w:val="24"/>
                <w:szCs w:val="20"/>
                <w:highlight w:val="none"/>
              </w:rPr>
              <w:t>专业技术资格（职称）或者职业资格或者执业资格证或者其他证书</w:t>
            </w:r>
          </w:p>
        </w:tc>
        <w:tc>
          <w:tcPr>
            <w:tcW w:w="1420" w:type="dxa"/>
            <w:noWrap w:val="0"/>
            <w:vAlign w:val="center"/>
          </w:tcPr>
          <w:p w14:paraId="43A7379F">
            <w:pPr>
              <w:snapToGrid w:val="0"/>
              <w:spacing w:before="50" w:after="159" w:afterLines="50"/>
              <w:jc w:val="center"/>
              <w:rPr>
                <w:rFonts w:hint="eastAsia" w:ascii="宋体" w:hAnsi="宋体" w:eastAsia="宋体" w:cs="宋体"/>
                <w:color w:val="auto"/>
                <w:sz w:val="24"/>
                <w:szCs w:val="20"/>
                <w:highlight w:val="none"/>
              </w:rPr>
            </w:pPr>
            <w:r>
              <w:rPr>
                <w:rFonts w:hint="eastAsia" w:ascii="宋体" w:hAnsi="宋体" w:eastAsia="宋体" w:cs="宋体"/>
                <w:color w:val="auto"/>
                <w:sz w:val="24"/>
                <w:szCs w:val="20"/>
                <w:highlight w:val="none"/>
              </w:rPr>
              <w:t>证书编号</w:t>
            </w:r>
          </w:p>
        </w:tc>
        <w:tc>
          <w:tcPr>
            <w:tcW w:w="1698" w:type="dxa"/>
            <w:noWrap w:val="0"/>
            <w:vAlign w:val="center"/>
          </w:tcPr>
          <w:p w14:paraId="21DC2A18">
            <w:pPr>
              <w:snapToGrid w:val="0"/>
              <w:spacing w:before="50" w:after="159" w:afterLines="50"/>
              <w:jc w:val="center"/>
              <w:rPr>
                <w:rFonts w:hint="eastAsia" w:ascii="宋体" w:hAnsi="宋体" w:eastAsia="宋体" w:cs="宋体"/>
                <w:color w:val="auto"/>
                <w:sz w:val="24"/>
                <w:szCs w:val="20"/>
                <w:highlight w:val="none"/>
              </w:rPr>
            </w:pPr>
            <w:r>
              <w:rPr>
                <w:rFonts w:hint="eastAsia" w:ascii="宋体" w:hAnsi="宋体" w:eastAsia="宋体" w:cs="宋体"/>
                <w:color w:val="auto"/>
                <w:sz w:val="24"/>
                <w:szCs w:val="20"/>
                <w:highlight w:val="none"/>
              </w:rPr>
              <w:t>参加本单位</w:t>
            </w:r>
          </w:p>
          <w:p w14:paraId="69B04AC9">
            <w:pPr>
              <w:snapToGrid w:val="0"/>
              <w:spacing w:before="50" w:after="159" w:afterLines="50"/>
              <w:jc w:val="center"/>
              <w:rPr>
                <w:rFonts w:hint="eastAsia" w:ascii="宋体" w:hAnsi="宋体" w:eastAsia="宋体" w:cs="宋体"/>
                <w:color w:val="auto"/>
                <w:sz w:val="24"/>
                <w:szCs w:val="20"/>
                <w:highlight w:val="none"/>
              </w:rPr>
            </w:pPr>
            <w:r>
              <w:rPr>
                <w:rFonts w:hint="eastAsia" w:ascii="宋体" w:hAnsi="宋体" w:eastAsia="宋体" w:cs="宋体"/>
                <w:color w:val="auto"/>
                <w:sz w:val="24"/>
                <w:szCs w:val="20"/>
                <w:highlight w:val="none"/>
              </w:rPr>
              <w:t>工作时间</w:t>
            </w:r>
          </w:p>
        </w:tc>
        <w:tc>
          <w:tcPr>
            <w:tcW w:w="1843" w:type="dxa"/>
            <w:noWrap w:val="0"/>
            <w:vAlign w:val="center"/>
          </w:tcPr>
          <w:p w14:paraId="60DB6E0E">
            <w:pPr>
              <w:snapToGrid w:val="0"/>
              <w:spacing w:before="50" w:after="159" w:afterLines="50"/>
              <w:jc w:val="center"/>
              <w:rPr>
                <w:rFonts w:hint="eastAsia" w:ascii="宋体" w:hAnsi="宋体" w:eastAsia="宋体" w:cs="宋体"/>
                <w:color w:val="auto"/>
                <w:sz w:val="24"/>
                <w:szCs w:val="20"/>
                <w:highlight w:val="none"/>
              </w:rPr>
            </w:pPr>
            <w:r>
              <w:rPr>
                <w:rFonts w:hint="eastAsia" w:ascii="宋体" w:hAnsi="宋体" w:eastAsia="宋体" w:cs="宋体"/>
                <w:color w:val="auto"/>
                <w:sz w:val="24"/>
                <w:szCs w:val="20"/>
                <w:highlight w:val="none"/>
              </w:rPr>
              <w:t>劳动合同编号</w:t>
            </w:r>
          </w:p>
        </w:tc>
      </w:tr>
      <w:tr w14:paraId="3E86DA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noWrap w:val="0"/>
            <w:vAlign w:val="center"/>
          </w:tcPr>
          <w:p w14:paraId="5BB7D55E">
            <w:pPr>
              <w:snapToGrid w:val="0"/>
              <w:spacing w:before="50" w:after="159" w:afterLines="50"/>
              <w:jc w:val="center"/>
              <w:rPr>
                <w:rFonts w:hint="eastAsia" w:ascii="宋体" w:hAnsi="宋体" w:eastAsia="宋体" w:cs="宋体"/>
                <w:color w:val="auto"/>
                <w:sz w:val="24"/>
                <w:szCs w:val="20"/>
                <w:highlight w:val="none"/>
              </w:rPr>
            </w:pPr>
          </w:p>
        </w:tc>
        <w:tc>
          <w:tcPr>
            <w:tcW w:w="709" w:type="dxa"/>
            <w:noWrap w:val="0"/>
            <w:vAlign w:val="center"/>
          </w:tcPr>
          <w:p w14:paraId="16FF6F08">
            <w:pPr>
              <w:snapToGrid w:val="0"/>
              <w:spacing w:before="50" w:after="159" w:afterLines="50"/>
              <w:jc w:val="center"/>
              <w:rPr>
                <w:rFonts w:hint="eastAsia" w:ascii="宋体" w:hAnsi="宋体" w:eastAsia="宋体" w:cs="宋体"/>
                <w:color w:val="auto"/>
                <w:sz w:val="24"/>
                <w:szCs w:val="20"/>
                <w:highlight w:val="none"/>
              </w:rPr>
            </w:pPr>
          </w:p>
        </w:tc>
        <w:tc>
          <w:tcPr>
            <w:tcW w:w="1701" w:type="dxa"/>
            <w:noWrap w:val="0"/>
            <w:vAlign w:val="center"/>
          </w:tcPr>
          <w:p w14:paraId="25B56339">
            <w:pPr>
              <w:snapToGrid w:val="0"/>
              <w:spacing w:before="50" w:after="159" w:afterLines="50"/>
              <w:jc w:val="center"/>
              <w:rPr>
                <w:rFonts w:hint="eastAsia" w:ascii="宋体" w:hAnsi="宋体" w:eastAsia="宋体" w:cs="宋体"/>
                <w:color w:val="auto"/>
                <w:sz w:val="24"/>
                <w:szCs w:val="20"/>
                <w:highlight w:val="none"/>
              </w:rPr>
            </w:pPr>
          </w:p>
        </w:tc>
        <w:tc>
          <w:tcPr>
            <w:tcW w:w="1420" w:type="dxa"/>
            <w:noWrap w:val="0"/>
            <w:vAlign w:val="center"/>
          </w:tcPr>
          <w:p w14:paraId="411371FA">
            <w:pPr>
              <w:snapToGrid w:val="0"/>
              <w:spacing w:before="50" w:after="159" w:afterLines="50"/>
              <w:jc w:val="center"/>
              <w:rPr>
                <w:rFonts w:hint="eastAsia" w:ascii="宋体" w:hAnsi="宋体" w:eastAsia="宋体" w:cs="宋体"/>
                <w:color w:val="auto"/>
                <w:sz w:val="24"/>
                <w:szCs w:val="20"/>
                <w:highlight w:val="none"/>
              </w:rPr>
            </w:pPr>
          </w:p>
        </w:tc>
        <w:tc>
          <w:tcPr>
            <w:tcW w:w="1698" w:type="dxa"/>
            <w:noWrap w:val="0"/>
            <w:vAlign w:val="center"/>
          </w:tcPr>
          <w:p w14:paraId="137ECBFD">
            <w:pPr>
              <w:snapToGrid w:val="0"/>
              <w:spacing w:before="50" w:after="159" w:afterLines="50"/>
              <w:jc w:val="center"/>
              <w:rPr>
                <w:rFonts w:hint="eastAsia" w:ascii="宋体" w:hAnsi="宋体" w:eastAsia="宋体" w:cs="宋体"/>
                <w:color w:val="auto"/>
                <w:sz w:val="24"/>
                <w:szCs w:val="20"/>
                <w:highlight w:val="none"/>
              </w:rPr>
            </w:pPr>
          </w:p>
        </w:tc>
        <w:tc>
          <w:tcPr>
            <w:tcW w:w="1843" w:type="dxa"/>
            <w:noWrap w:val="0"/>
            <w:vAlign w:val="center"/>
          </w:tcPr>
          <w:p w14:paraId="21417BFB">
            <w:pPr>
              <w:snapToGrid w:val="0"/>
              <w:spacing w:before="50" w:after="159" w:afterLines="50"/>
              <w:jc w:val="center"/>
              <w:rPr>
                <w:rFonts w:hint="eastAsia" w:ascii="宋体" w:hAnsi="宋体" w:eastAsia="宋体" w:cs="宋体"/>
                <w:color w:val="auto"/>
                <w:sz w:val="24"/>
                <w:szCs w:val="20"/>
                <w:highlight w:val="none"/>
              </w:rPr>
            </w:pPr>
          </w:p>
        </w:tc>
      </w:tr>
      <w:tr w14:paraId="175BB7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noWrap w:val="0"/>
            <w:vAlign w:val="center"/>
          </w:tcPr>
          <w:p w14:paraId="277B2124">
            <w:pPr>
              <w:snapToGrid w:val="0"/>
              <w:spacing w:before="50" w:after="159" w:afterLines="50"/>
              <w:jc w:val="center"/>
              <w:rPr>
                <w:rFonts w:hint="eastAsia" w:ascii="宋体" w:hAnsi="宋体" w:eastAsia="宋体" w:cs="宋体"/>
                <w:color w:val="auto"/>
                <w:sz w:val="24"/>
                <w:szCs w:val="20"/>
                <w:highlight w:val="none"/>
              </w:rPr>
            </w:pPr>
          </w:p>
        </w:tc>
        <w:tc>
          <w:tcPr>
            <w:tcW w:w="709" w:type="dxa"/>
            <w:noWrap w:val="0"/>
            <w:vAlign w:val="center"/>
          </w:tcPr>
          <w:p w14:paraId="1C351FAC">
            <w:pPr>
              <w:snapToGrid w:val="0"/>
              <w:spacing w:before="50" w:after="159" w:afterLines="50"/>
              <w:jc w:val="center"/>
              <w:rPr>
                <w:rFonts w:hint="eastAsia" w:ascii="宋体" w:hAnsi="宋体" w:eastAsia="宋体" w:cs="宋体"/>
                <w:color w:val="auto"/>
                <w:sz w:val="24"/>
                <w:szCs w:val="20"/>
                <w:highlight w:val="none"/>
              </w:rPr>
            </w:pPr>
          </w:p>
        </w:tc>
        <w:tc>
          <w:tcPr>
            <w:tcW w:w="1701" w:type="dxa"/>
            <w:noWrap w:val="0"/>
            <w:vAlign w:val="center"/>
          </w:tcPr>
          <w:p w14:paraId="7C76919C">
            <w:pPr>
              <w:snapToGrid w:val="0"/>
              <w:spacing w:before="50" w:after="159" w:afterLines="50"/>
              <w:jc w:val="center"/>
              <w:rPr>
                <w:rFonts w:hint="eastAsia" w:ascii="宋体" w:hAnsi="宋体" w:eastAsia="宋体" w:cs="宋体"/>
                <w:color w:val="auto"/>
                <w:sz w:val="24"/>
                <w:szCs w:val="20"/>
                <w:highlight w:val="none"/>
              </w:rPr>
            </w:pPr>
          </w:p>
        </w:tc>
        <w:tc>
          <w:tcPr>
            <w:tcW w:w="1420" w:type="dxa"/>
            <w:noWrap w:val="0"/>
            <w:vAlign w:val="center"/>
          </w:tcPr>
          <w:p w14:paraId="5EB5888A">
            <w:pPr>
              <w:snapToGrid w:val="0"/>
              <w:spacing w:before="50" w:after="159" w:afterLines="50"/>
              <w:jc w:val="center"/>
              <w:rPr>
                <w:rFonts w:hint="eastAsia" w:ascii="宋体" w:hAnsi="宋体" w:eastAsia="宋体" w:cs="宋体"/>
                <w:color w:val="auto"/>
                <w:sz w:val="24"/>
                <w:szCs w:val="20"/>
                <w:highlight w:val="none"/>
              </w:rPr>
            </w:pPr>
          </w:p>
        </w:tc>
        <w:tc>
          <w:tcPr>
            <w:tcW w:w="1698" w:type="dxa"/>
            <w:noWrap w:val="0"/>
            <w:vAlign w:val="center"/>
          </w:tcPr>
          <w:p w14:paraId="4498F792">
            <w:pPr>
              <w:snapToGrid w:val="0"/>
              <w:spacing w:before="50" w:after="159" w:afterLines="50"/>
              <w:jc w:val="center"/>
              <w:rPr>
                <w:rFonts w:hint="eastAsia" w:ascii="宋体" w:hAnsi="宋体" w:eastAsia="宋体" w:cs="宋体"/>
                <w:color w:val="auto"/>
                <w:sz w:val="24"/>
                <w:szCs w:val="20"/>
                <w:highlight w:val="none"/>
              </w:rPr>
            </w:pPr>
          </w:p>
        </w:tc>
        <w:tc>
          <w:tcPr>
            <w:tcW w:w="1843" w:type="dxa"/>
            <w:noWrap w:val="0"/>
            <w:vAlign w:val="center"/>
          </w:tcPr>
          <w:p w14:paraId="75A46C07">
            <w:pPr>
              <w:snapToGrid w:val="0"/>
              <w:spacing w:before="50" w:after="159" w:afterLines="50"/>
              <w:jc w:val="center"/>
              <w:rPr>
                <w:rFonts w:hint="eastAsia" w:ascii="宋体" w:hAnsi="宋体" w:eastAsia="宋体" w:cs="宋体"/>
                <w:color w:val="auto"/>
                <w:sz w:val="24"/>
                <w:szCs w:val="20"/>
                <w:highlight w:val="none"/>
              </w:rPr>
            </w:pPr>
          </w:p>
        </w:tc>
      </w:tr>
      <w:tr w14:paraId="10AE3B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noWrap w:val="0"/>
            <w:vAlign w:val="center"/>
          </w:tcPr>
          <w:p w14:paraId="20EEE593">
            <w:pPr>
              <w:snapToGrid w:val="0"/>
              <w:spacing w:before="50" w:after="159" w:afterLines="50"/>
              <w:jc w:val="center"/>
              <w:rPr>
                <w:rFonts w:hint="eastAsia" w:ascii="宋体" w:hAnsi="宋体" w:eastAsia="宋体" w:cs="宋体"/>
                <w:color w:val="auto"/>
                <w:sz w:val="24"/>
                <w:szCs w:val="20"/>
                <w:highlight w:val="none"/>
              </w:rPr>
            </w:pPr>
          </w:p>
        </w:tc>
        <w:tc>
          <w:tcPr>
            <w:tcW w:w="709" w:type="dxa"/>
            <w:noWrap w:val="0"/>
            <w:vAlign w:val="center"/>
          </w:tcPr>
          <w:p w14:paraId="3AB726C3">
            <w:pPr>
              <w:snapToGrid w:val="0"/>
              <w:spacing w:before="50" w:after="159" w:afterLines="50"/>
              <w:jc w:val="center"/>
              <w:rPr>
                <w:rFonts w:hint="eastAsia" w:ascii="宋体" w:hAnsi="宋体" w:eastAsia="宋体" w:cs="宋体"/>
                <w:color w:val="auto"/>
                <w:sz w:val="24"/>
                <w:szCs w:val="20"/>
                <w:highlight w:val="none"/>
              </w:rPr>
            </w:pPr>
          </w:p>
        </w:tc>
        <w:tc>
          <w:tcPr>
            <w:tcW w:w="1701" w:type="dxa"/>
            <w:noWrap w:val="0"/>
            <w:vAlign w:val="center"/>
          </w:tcPr>
          <w:p w14:paraId="498506D4">
            <w:pPr>
              <w:snapToGrid w:val="0"/>
              <w:spacing w:before="50" w:after="159" w:afterLines="50"/>
              <w:jc w:val="center"/>
              <w:rPr>
                <w:rFonts w:hint="eastAsia" w:ascii="宋体" w:hAnsi="宋体" w:eastAsia="宋体" w:cs="宋体"/>
                <w:color w:val="auto"/>
                <w:sz w:val="24"/>
                <w:szCs w:val="20"/>
                <w:highlight w:val="none"/>
              </w:rPr>
            </w:pPr>
          </w:p>
        </w:tc>
        <w:tc>
          <w:tcPr>
            <w:tcW w:w="1420" w:type="dxa"/>
            <w:noWrap w:val="0"/>
            <w:vAlign w:val="center"/>
          </w:tcPr>
          <w:p w14:paraId="6C12245D">
            <w:pPr>
              <w:snapToGrid w:val="0"/>
              <w:spacing w:before="50" w:after="159" w:afterLines="50"/>
              <w:jc w:val="center"/>
              <w:rPr>
                <w:rFonts w:hint="eastAsia" w:ascii="宋体" w:hAnsi="宋体" w:eastAsia="宋体" w:cs="宋体"/>
                <w:color w:val="auto"/>
                <w:sz w:val="24"/>
                <w:szCs w:val="20"/>
                <w:highlight w:val="none"/>
              </w:rPr>
            </w:pPr>
          </w:p>
        </w:tc>
        <w:tc>
          <w:tcPr>
            <w:tcW w:w="1698" w:type="dxa"/>
            <w:noWrap w:val="0"/>
            <w:vAlign w:val="center"/>
          </w:tcPr>
          <w:p w14:paraId="6882DDFA">
            <w:pPr>
              <w:snapToGrid w:val="0"/>
              <w:spacing w:before="50" w:after="159" w:afterLines="50"/>
              <w:jc w:val="center"/>
              <w:rPr>
                <w:rFonts w:hint="eastAsia" w:ascii="宋体" w:hAnsi="宋体" w:eastAsia="宋体" w:cs="宋体"/>
                <w:color w:val="auto"/>
                <w:sz w:val="24"/>
                <w:szCs w:val="20"/>
                <w:highlight w:val="none"/>
              </w:rPr>
            </w:pPr>
          </w:p>
        </w:tc>
        <w:tc>
          <w:tcPr>
            <w:tcW w:w="1843" w:type="dxa"/>
            <w:noWrap w:val="0"/>
            <w:vAlign w:val="center"/>
          </w:tcPr>
          <w:p w14:paraId="07F54D49">
            <w:pPr>
              <w:snapToGrid w:val="0"/>
              <w:spacing w:before="50" w:after="159" w:afterLines="50"/>
              <w:jc w:val="center"/>
              <w:rPr>
                <w:rFonts w:hint="eastAsia" w:ascii="宋体" w:hAnsi="宋体" w:eastAsia="宋体" w:cs="宋体"/>
                <w:color w:val="auto"/>
                <w:sz w:val="24"/>
                <w:szCs w:val="20"/>
                <w:highlight w:val="none"/>
              </w:rPr>
            </w:pPr>
          </w:p>
        </w:tc>
      </w:tr>
    </w:tbl>
    <w:p w14:paraId="5E2B5F59">
      <w:pPr>
        <w:snapToGrid w:val="0"/>
        <w:spacing w:before="50" w:after="159" w:afterLines="50"/>
        <w:jc w:val="left"/>
        <w:rPr>
          <w:rFonts w:hint="eastAsia" w:ascii="宋体" w:hAnsi="宋体" w:eastAsia="宋体" w:cs="宋体"/>
          <w:color w:val="auto"/>
          <w:sz w:val="24"/>
          <w:szCs w:val="20"/>
          <w:highlight w:val="none"/>
        </w:rPr>
      </w:pPr>
    </w:p>
    <w:p w14:paraId="1C5EF66D">
      <w:pPr>
        <w:spacing w:line="360" w:lineRule="auto"/>
        <w:contextualSpacing/>
        <w:jc w:val="left"/>
        <w:rPr>
          <w:rFonts w:hint="eastAsia" w:ascii="宋体" w:hAnsi="宋体" w:eastAsia="宋体" w:cs="宋体"/>
          <w:color w:val="auto"/>
          <w:sz w:val="24"/>
          <w:szCs w:val="20"/>
          <w:highlight w:val="none"/>
        </w:rPr>
      </w:pPr>
      <w:r>
        <w:rPr>
          <w:rFonts w:hint="eastAsia" w:ascii="宋体" w:hAnsi="宋体" w:eastAsia="宋体" w:cs="宋体"/>
          <w:color w:val="auto"/>
          <w:sz w:val="24"/>
          <w:szCs w:val="20"/>
          <w:highlight w:val="none"/>
        </w:rPr>
        <w:t>注：</w:t>
      </w:r>
    </w:p>
    <w:p w14:paraId="4E609398">
      <w:pPr>
        <w:spacing w:line="360" w:lineRule="auto"/>
        <w:contextualSpacing/>
        <w:jc w:val="left"/>
        <w:rPr>
          <w:rFonts w:hint="eastAsia" w:ascii="宋体" w:hAnsi="宋体" w:eastAsia="宋体" w:cs="宋体"/>
          <w:color w:val="auto"/>
          <w:sz w:val="24"/>
          <w:szCs w:val="20"/>
          <w:highlight w:val="none"/>
        </w:rPr>
      </w:pPr>
      <w:r>
        <w:rPr>
          <w:rFonts w:hint="eastAsia" w:ascii="宋体" w:hAnsi="宋体" w:eastAsia="宋体" w:cs="宋体"/>
          <w:color w:val="auto"/>
          <w:sz w:val="24"/>
          <w:szCs w:val="20"/>
          <w:highlight w:val="none"/>
        </w:rPr>
        <w:t>1.在填写时，如本表格不适合投标单位的实际情况，可根据本表格式自行制表填写。</w:t>
      </w:r>
    </w:p>
    <w:p w14:paraId="6802E977">
      <w:pPr>
        <w:spacing w:line="360" w:lineRule="auto"/>
        <w:contextualSpacing/>
        <w:jc w:val="left"/>
        <w:rPr>
          <w:rFonts w:hint="eastAsia" w:ascii="宋体" w:hAnsi="宋体" w:eastAsia="宋体" w:cs="宋体"/>
          <w:color w:val="auto"/>
          <w:sz w:val="24"/>
          <w:szCs w:val="20"/>
          <w:highlight w:val="none"/>
        </w:rPr>
      </w:pPr>
      <w:r>
        <w:rPr>
          <w:rFonts w:hint="eastAsia" w:ascii="宋体" w:hAnsi="宋体" w:eastAsia="宋体" w:cs="宋体"/>
          <w:color w:val="auto"/>
          <w:sz w:val="24"/>
          <w:szCs w:val="20"/>
          <w:highlight w:val="none"/>
        </w:rPr>
        <w:t>2.投标人应当附本表所列证书的复印件并加盖投标人公章。</w:t>
      </w:r>
    </w:p>
    <w:p w14:paraId="37027474">
      <w:pPr>
        <w:spacing w:line="360" w:lineRule="auto"/>
        <w:contextualSpacing/>
        <w:rPr>
          <w:rFonts w:hint="eastAsia" w:ascii="宋体" w:hAnsi="宋体" w:eastAsia="宋体" w:cs="宋体"/>
          <w:color w:val="auto"/>
          <w:spacing w:val="20"/>
          <w:sz w:val="24"/>
          <w:szCs w:val="20"/>
          <w:highlight w:val="none"/>
          <w:u w:val="single"/>
        </w:rPr>
      </w:pPr>
      <w:r>
        <w:rPr>
          <w:rFonts w:hint="eastAsia" w:ascii="宋体" w:hAnsi="宋体" w:eastAsia="宋体" w:cs="宋体"/>
          <w:color w:val="auto"/>
          <w:sz w:val="24"/>
          <w:highlight w:val="none"/>
        </w:rPr>
        <w:t>法定代表人或者委托代理人</w:t>
      </w:r>
      <w:r>
        <w:rPr>
          <w:rFonts w:hint="eastAsia" w:ascii="宋体" w:hAnsi="宋体" w:eastAsia="宋体" w:cs="宋体"/>
          <w:color w:val="auto"/>
          <w:spacing w:val="20"/>
          <w:sz w:val="24"/>
          <w:highlight w:val="none"/>
        </w:rPr>
        <w:t>（签字）：</w:t>
      </w:r>
      <w:r>
        <w:rPr>
          <w:rFonts w:hint="eastAsia" w:ascii="宋体" w:hAnsi="宋体" w:eastAsia="宋体" w:cs="宋体"/>
          <w:color w:val="auto"/>
          <w:spacing w:val="20"/>
          <w:sz w:val="24"/>
          <w:highlight w:val="none"/>
          <w:u w:val="single"/>
        </w:rPr>
        <w:t xml:space="preserve">        </w:t>
      </w:r>
    </w:p>
    <w:p w14:paraId="55BCAC0F">
      <w:pPr>
        <w:spacing w:line="360" w:lineRule="auto"/>
        <w:contextualSpacing/>
        <w:jc w:val="left"/>
        <w:rPr>
          <w:rFonts w:hint="eastAsia" w:ascii="宋体" w:hAnsi="宋体" w:eastAsia="宋体" w:cs="宋体"/>
          <w:color w:val="auto"/>
          <w:sz w:val="24"/>
          <w:szCs w:val="20"/>
          <w:highlight w:val="none"/>
        </w:rPr>
      </w:pPr>
      <w:r>
        <w:rPr>
          <w:rFonts w:hint="eastAsia" w:ascii="宋体" w:hAnsi="宋体" w:eastAsia="宋体" w:cs="宋体"/>
          <w:color w:val="auto"/>
          <w:spacing w:val="20"/>
          <w:sz w:val="24"/>
          <w:highlight w:val="none"/>
        </w:rPr>
        <w:t>投标人（盖公章）：</w:t>
      </w:r>
      <w:r>
        <w:rPr>
          <w:rFonts w:hint="eastAsia" w:ascii="宋体" w:hAnsi="宋体" w:eastAsia="宋体" w:cs="宋体"/>
          <w:color w:val="auto"/>
          <w:spacing w:val="20"/>
          <w:sz w:val="24"/>
          <w:highlight w:val="none"/>
          <w:u w:val="single"/>
        </w:rPr>
        <w:t xml:space="preserve">            </w:t>
      </w:r>
      <w:r>
        <w:rPr>
          <w:rFonts w:hint="eastAsia" w:ascii="宋体" w:hAnsi="宋体" w:eastAsia="宋体" w:cs="宋体"/>
          <w:color w:val="auto"/>
          <w:spacing w:val="20"/>
          <w:sz w:val="24"/>
          <w:highlight w:val="none"/>
        </w:rPr>
        <w:t xml:space="preserve">              日 期：</w:t>
      </w:r>
      <w:r>
        <w:rPr>
          <w:rFonts w:hint="eastAsia" w:ascii="宋体" w:hAnsi="宋体" w:eastAsia="宋体" w:cs="宋体"/>
          <w:color w:val="auto"/>
          <w:spacing w:val="20"/>
          <w:sz w:val="24"/>
          <w:highlight w:val="none"/>
          <w:u w:val="single"/>
        </w:rPr>
        <w:t xml:space="preserve">         </w:t>
      </w:r>
    </w:p>
    <w:p w14:paraId="559D02AD">
      <w:pPr>
        <w:snapToGrid w:val="0"/>
        <w:spacing w:before="50" w:after="159" w:afterLines="50"/>
        <w:jc w:val="left"/>
        <w:rPr>
          <w:rFonts w:hint="eastAsia" w:ascii="宋体" w:hAnsi="宋体" w:eastAsia="宋体" w:cs="宋体"/>
          <w:color w:val="auto"/>
          <w:sz w:val="24"/>
          <w:szCs w:val="20"/>
          <w:highlight w:val="none"/>
        </w:rPr>
      </w:pPr>
    </w:p>
    <w:p w14:paraId="0D8F4D66">
      <w:pPr>
        <w:snapToGrid w:val="0"/>
        <w:spacing w:before="159" w:beforeLines="50" w:after="50"/>
        <w:ind w:left="142"/>
        <w:jc w:val="left"/>
        <w:rPr>
          <w:rFonts w:hint="eastAsia" w:ascii="宋体" w:hAnsi="宋体" w:eastAsia="宋体" w:cs="宋体"/>
          <w:b/>
          <w:color w:val="auto"/>
          <w:sz w:val="28"/>
          <w:szCs w:val="28"/>
          <w:highlight w:val="none"/>
        </w:rPr>
      </w:pPr>
      <w:r>
        <w:rPr>
          <w:rFonts w:hint="eastAsia" w:ascii="宋体" w:hAnsi="宋体" w:eastAsia="宋体" w:cs="宋体"/>
          <w:b/>
          <w:color w:val="auto"/>
          <w:sz w:val="24"/>
          <w:highlight w:val="none"/>
        </w:rPr>
        <w:br w:type="page"/>
      </w:r>
      <w:r>
        <w:rPr>
          <w:rFonts w:hint="eastAsia" w:ascii="宋体" w:hAnsi="宋体" w:eastAsia="宋体" w:cs="宋体"/>
          <w:b/>
          <w:color w:val="auto"/>
          <w:sz w:val="28"/>
          <w:szCs w:val="28"/>
          <w:highlight w:val="none"/>
        </w:rPr>
        <w:t>五、其他文书、文件格式</w:t>
      </w:r>
    </w:p>
    <w:p w14:paraId="7E533E35">
      <w:pPr>
        <w:snapToGrid w:val="0"/>
        <w:spacing w:before="159" w:beforeLines="50" w:after="50"/>
        <w:jc w:val="left"/>
        <w:rPr>
          <w:rFonts w:hint="eastAsia" w:ascii="宋体" w:hAnsi="宋体" w:eastAsia="宋体" w:cs="宋体"/>
          <w:color w:val="auto"/>
          <w:highlight w:val="none"/>
        </w:rPr>
      </w:pPr>
      <w:r>
        <w:rPr>
          <w:rFonts w:hint="eastAsia" w:ascii="宋体" w:hAnsi="宋体" w:eastAsia="宋体" w:cs="宋体"/>
          <w:b/>
          <w:color w:val="auto"/>
          <w:sz w:val="24"/>
          <w:highlight w:val="none"/>
          <w:lang w:val="en-US" w:eastAsia="zh-CN"/>
        </w:rPr>
        <w:t>1.</w:t>
      </w:r>
      <w:r>
        <w:rPr>
          <w:rFonts w:hint="eastAsia" w:ascii="宋体" w:hAnsi="宋体" w:eastAsia="宋体" w:cs="宋体"/>
          <w:b/>
          <w:color w:val="auto"/>
          <w:sz w:val="24"/>
          <w:highlight w:val="none"/>
        </w:rPr>
        <w:t>中小企业声明函格式</w:t>
      </w:r>
    </w:p>
    <w:p w14:paraId="03E23CF1">
      <w:pPr>
        <w:rPr>
          <w:rFonts w:hint="eastAsia" w:ascii="宋体" w:hAnsi="宋体" w:eastAsia="宋体" w:cs="宋体"/>
          <w:color w:val="auto"/>
          <w:highlight w:val="none"/>
        </w:rPr>
      </w:pPr>
    </w:p>
    <w:p w14:paraId="4142BA6B">
      <w:pPr>
        <w:jc w:val="center"/>
        <w:rPr>
          <w:rFonts w:hint="eastAsia" w:ascii="宋体" w:hAnsi="宋体" w:eastAsia="宋体" w:cs="宋体"/>
          <w:color w:val="auto"/>
          <w:sz w:val="44"/>
          <w:szCs w:val="44"/>
          <w:highlight w:val="none"/>
        </w:rPr>
      </w:pPr>
      <w:r>
        <w:rPr>
          <w:rFonts w:hint="eastAsia" w:ascii="宋体" w:hAnsi="宋体" w:eastAsia="宋体" w:cs="宋体"/>
          <w:color w:val="auto"/>
          <w:sz w:val="44"/>
          <w:szCs w:val="44"/>
          <w:highlight w:val="none"/>
        </w:rPr>
        <w:t>中小企业声明函（服务）</w:t>
      </w:r>
    </w:p>
    <w:p w14:paraId="2F10A0C3">
      <w:pPr>
        <w:spacing w:before="2" w:line="500" w:lineRule="exact"/>
        <w:rPr>
          <w:rFonts w:hint="eastAsia" w:ascii="宋体" w:hAnsi="宋体" w:eastAsia="宋体" w:cs="宋体"/>
          <w:b/>
          <w:bCs/>
          <w:color w:val="auto"/>
          <w:sz w:val="27"/>
          <w:szCs w:val="27"/>
          <w:highlight w:val="none"/>
        </w:rPr>
      </w:pPr>
    </w:p>
    <w:p w14:paraId="3785EC5E">
      <w:pPr>
        <w:pStyle w:val="2"/>
        <w:spacing w:line="360" w:lineRule="auto"/>
        <w:ind w:left="-426" w:leftChars="-203" w:right="142" w:firstLine="480" w:firstLineChars="200"/>
        <w:contextualSpacing/>
        <w:rPr>
          <w:rFonts w:hint="eastAsia" w:ascii="宋体" w:hAnsi="宋体" w:eastAsia="宋体" w:cs="宋体"/>
          <w:color w:val="auto"/>
          <w:kern w:val="24"/>
          <w:highlight w:val="none"/>
        </w:rPr>
      </w:pPr>
      <w:r>
        <w:rPr>
          <w:rFonts w:hint="eastAsia" w:ascii="宋体" w:hAnsi="宋体" w:eastAsia="宋体" w:cs="宋体"/>
          <w:color w:val="auto"/>
          <w:highlight w:val="none"/>
        </w:rPr>
        <w:t>本公司（联合体）郑重声明，根据《政府采购促进中小企业发展管理办法》（财库﹝2020﹞46号）的规定，本公司（联合体）参加</w:t>
      </w:r>
      <w:r>
        <w:rPr>
          <w:rFonts w:hint="eastAsia" w:ascii="宋体" w:hAnsi="宋体" w:eastAsia="宋体" w:cs="宋体"/>
          <w:color w:val="auto"/>
          <w:highlight w:val="none"/>
          <w:u w:val="single"/>
        </w:rPr>
        <w:t>（单位名称）</w:t>
      </w:r>
      <w:r>
        <w:rPr>
          <w:rFonts w:hint="eastAsia" w:ascii="宋体" w:hAnsi="宋体" w:eastAsia="宋体" w:cs="宋体"/>
          <w:color w:val="auto"/>
          <w:highlight w:val="none"/>
        </w:rPr>
        <w:t>的</w:t>
      </w:r>
      <w:r>
        <w:rPr>
          <w:rFonts w:hint="eastAsia" w:ascii="宋体" w:hAnsi="宋体" w:eastAsia="宋体" w:cs="宋体"/>
          <w:color w:val="auto"/>
          <w:highlight w:val="none"/>
          <w:u w:val="single"/>
        </w:rPr>
        <w:t>（项目名称）</w:t>
      </w:r>
      <w:r>
        <w:rPr>
          <w:rFonts w:hint="eastAsia" w:ascii="宋体" w:hAnsi="宋体" w:eastAsia="宋体" w:cs="宋体"/>
          <w:color w:val="auto"/>
          <w:highlight w:val="none"/>
        </w:rPr>
        <w:t>采购活动，服务全部由符合政策要求的中小企业承接。相关企业（含联合体中的中小企业、签订分包意向协议的中小企业）的具体情况如下：</w:t>
      </w:r>
    </w:p>
    <w:p w14:paraId="11AF3DAA">
      <w:pPr>
        <w:tabs>
          <w:tab w:val="left" w:pos="1384"/>
          <w:tab w:val="left" w:pos="4562"/>
          <w:tab w:val="left" w:pos="6803"/>
        </w:tabs>
        <w:spacing w:line="360" w:lineRule="auto"/>
        <w:ind w:left="-426" w:right="-58" w:firstLine="655"/>
        <w:contextualSpacing/>
        <w:rPr>
          <w:rFonts w:hint="eastAsia" w:ascii="宋体" w:hAnsi="宋体" w:eastAsia="宋体" w:cs="宋体"/>
          <w:color w:val="auto"/>
          <w:kern w:val="24"/>
          <w:sz w:val="24"/>
          <w:highlight w:val="none"/>
        </w:rPr>
      </w:pPr>
      <w:r>
        <w:rPr>
          <w:rFonts w:hint="eastAsia" w:ascii="宋体" w:hAnsi="宋体" w:eastAsia="宋体" w:cs="宋体"/>
          <w:color w:val="auto"/>
          <w:kern w:val="24"/>
          <w:sz w:val="24"/>
          <w:highlight w:val="none"/>
        </w:rPr>
        <w:t>1.</w:t>
      </w:r>
      <w:r>
        <w:rPr>
          <w:rFonts w:hint="eastAsia" w:ascii="宋体" w:hAnsi="宋体" w:eastAsia="宋体" w:cs="宋体"/>
          <w:color w:val="auto"/>
          <w:kern w:val="24"/>
          <w:sz w:val="24"/>
          <w:highlight w:val="none"/>
          <w:u w:val="single"/>
        </w:rPr>
        <w:t>（标的名称）</w:t>
      </w:r>
      <w:r>
        <w:rPr>
          <w:rFonts w:hint="eastAsia" w:ascii="宋体" w:hAnsi="宋体" w:eastAsia="宋体" w:cs="宋体"/>
          <w:color w:val="auto"/>
          <w:kern w:val="24"/>
          <w:sz w:val="24"/>
          <w:highlight w:val="none"/>
        </w:rPr>
        <w:t>，属于</w:t>
      </w:r>
      <w:r>
        <w:rPr>
          <w:rFonts w:hint="eastAsia" w:ascii="宋体" w:hAnsi="宋体" w:eastAsia="宋体" w:cs="宋体"/>
          <w:color w:val="auto"/>
          <w:kern w:val="24"/>
          <w:sz w:val="24"/>
          <w:highlight w:val="none"/>
          <w:u w:val="single"/>
        </w:rPr>
        <w:t>（采购文件中明确的所属行业）</w:t>
      </w:r>
      <w:r>
        <w:rPr>
          <w:rFonts w:hint="eastAsia" w:ascii="宋体" w:hAnsi="宋体" w:eastAsia="宋体" w:cs="宋体"/>
          <w:color w:val="auto"/>
          <w:kern w:val="24"/>
          <w:sz w:val="24"/>
          <w:highlight w:val="none"/>
        </w:rPr>
        <w:t>行业；承接企业为</w:t>
      </w:r>
      <w:r>
        <w:rPr>
          <w:rFonts w:hint="eastAsia" w:ascii="宋体" w:hAnsi="宋体" w:eastAsia="宋体" w:cs="宋体"/>
          <w:color w:val="auto"/>
          <w:kern w:val="24"/>
          <w:sz w:val="24"/>
          <w:highlight w:val="none"/>
          <w:u w:val="single"/>
        </w:rPr>
        <w:t>（企业名称）</w:t>
      </w:r>
      <w:r>
        <w:rPr>
          <w:rFonts w:hint="eastAsia" w:ascii="宋体" w:hAnsi="宋体" w:eastAsia="宋体" w:cs="宋体"/>
          <w:color w:val="auto"/>
          <w:kern w:val="24"/>
          <w:sz w:val="24"/>
          <w:highlight w:val="none"/>
        </w:rPr>
        <w:t>，从业人员</w:t>
      </w:r>
      <w:r>
        <w:rPr>
          <w:rFonts w:hint="eastAsia" w:ascii="宋体" w:hAnsi="宋体" w:eastAsia="宋体" w:cs="宋体"/>
          <w:color w:val="auto"/>
          <w:kern w:val="24"/>
          <w:sz w:val="24"/>
          <w:highlight w:val="none"/>
          <w:u w:val="single"/>
        </w:rPr>
        <w:t xml:space="preserve">      </w:t>
      </w:r>
      <w:r>
        <w:rPr>
          <w:rFonts w:hint="eastAsia" w:ascii="宋体" w:hAnsi="宋体" w:eastAsia="宋体" w:cs="宋体"/>
          <w:color w:val="auto"/>
          <w:kern w:val="24"/>
          <w:sz w:val="24"/>
          <w:highlight w:val="none"/>
        </w:rPr>
        <w:t>人，营业收入为</w:t>
      </w:r>
      <w:r>
        <w:rPr>
          <w:rFonts w:hint="eastAsia" w:ascii="宋体" w:hAnsi="宋体" w:eastAsia="宋体" w:cs="宋体"/>
          <w:color w:val="auto"/>
          <w:kern w:val="24"/>
          <w:sz w:val="24"/>
          <w:highlight w:val="none"/>
          <w:u w:val="single"/>
        </w:rPr>
        <w:t xml:space="preserve">      </w:t>
      </w:r>
      <w:r>
        <w:rPr>
          <w:rFonts w:hint="eastAsia" w:ascii="宋体" w:hAnsi="宋体" w:eastAsia="宋体" w:cs="宋体"/>
          <w:color w:val="auto"/>
          <w:kern w:val="24"/>
          <w:sz w:val="24"/>
          <w:highlight w:val="none"/>
        </w:rPr>
        <w:t>万元，资产总额为</w:t>
      </w:r>
      <w:r>
        <w:rPr>
          <w:rFonts w:hint="eastAsia" w:ascii="宋体" w:hAnsi="宋体" w:eastAsia="宋体" w:cs="宋体"/>
          <w:color w:val="auto"/>
          <w:kern w:val="24"/>
          <w:sz w:val="24"/>
          <w:highlight w:val="none"/>
          <w:u w:val="single"/>
        </w:rPr>
        <w:t xml:space="preserve">      </w:t>
      </w:r>
      <w:r>
        <w:rPr>
          <w:rFonts w:hint="eastAsia" w:ascii="宋体" w:hAnsi="宋体" w:eastAsia="宋体" w:cs="宋体"/>
          <w:color w:val="auto"/>
          <w:kern w:val="24"/>
          <w:sz w:val="24"/>
          <w:highlight w:val="none"/>
        </w:rPr>
        <w:t>万元，属于</w:t>
      </w:r>
      <w:r>
        <w:rPr>
          <w:rFonts w:hint="eastAsia" w:ascii="宋体" w:hAnsi="宋体" w:eastAsia="宋体" w:cs="宋体"/>
          <w:color w:val="auto"/>
          <w:kern w:val="24"/>
          <w:sz w:val="24"/>
          <w:highlight w:val="none"/>
          <w:u w:val="single"/>
        </w:rPr>
        <w:t>（中型企业、小型企业、微型企业）</w:t>
      </w:r>
      <w:r>
        <w:rPr>
          <w:rFonts w:hint="eastAsia" w:ascii="宋体" w:hAnsi="宋体" w:eastAsia="宋体" w:cs="宋体"/>
          <w:color w:val="auto"/>
          <w:kern w:val="24"/>
          <w:sz w:val="24"/>
          <w:highlight w:val="none"/>
        </w:rPr>
        <w:t>；</w:t>
      </w:r>
    </w:p>
    <w:p w14:paraId="5BF81E81">
      <w:pPr>
        <w:tabs>
          <w:tab w:val="left" w:pos="1065"/>
          <w:tab w:val="left" w:pos="6477"/>
        </w:tabs>
        <w:spacing w:line="360" w:lineRule="auto"/>
        <w:ind w:left="-426" w:right="-58" w:firstLine="655"/>
        <w:contextualSpacing/>
        <w:rPr>
          <w:rFonts w:hint="eastAsia" w:ascii="宋体" w:hAnsi="宋体" w:eastAsia="宋体" w:cs="宋体"/>
          <w:color w:val="auto"/>
          <w:kern w:val="24"/>
          <w:sz w:val="24"/>
          <w:highlight w:val="none"/>
        </w:rPr>
      </w:pPr>
      <w:r>
        <w:rPr>
          <w:rFonts w:hint="eastAsia" w:ascii="宋体" w:hAnsi="宋体" w:eastAsia="宋体" w:cs="宋体"/>
          <w:color w:val="auto"/>
          <w:kern w:val="24"/>
          <w:sz w:val="24"/>
          <w:highlight w:val="none"/>
        </w:rPr>
        <w:t>2.</w:t>
      </w:r>
      <w:r>
        <w:rPr>
          <w:rFonts w:hint="eastAsia" w:ascii="宋体" w:hAnsi="宋体" w:eastAsia="宋体" w:cs="宋体"/>
          <w:color w:val="auto"/>
          <w:kern w:val="24"/>
          <w:sz w:val="24"/>
          <w:highlight w:val="none"/>
          <w:u w:val="single"/>
        </w:rPr>
        <w:t>（标的名称）</w:t>
      </w:r>
      <w:r>
        <w:rPr>
          <w:rFonts w:hint="eastAsia" w:ascii="宋体" w:hAnsi="宋体" w:eastAsia="宋体" w:cs="宋体"/>
          <w:color w:val="auto"/>
          <w:kern w:val="24"/>
          <w:sz w:val="24"/>
          <w:highlight w:val="none"/>
        </w:rPr>
        <w:t>，属于</w:t>
      </w:r>
      <w:r>
        <w:rPr>
          <w:rFonts w:hint="eastAsia" w:ascii="宋体" w:hAnsi="宋体" w:eastAsia="宋体" w:cs="宋体"/>
          <w:color w:val="auto"/>
          <w:kern w:val="24"/>
          <w:sz w:val="24"/>
          <w:highlight w:val="none"/>
          <w:u w:val="single"/>
        </w:rPr>
        <w:t>（采购文件中明确的所属行业）</w:t>
      </w:r>
      <w:r>
        <w:rPr>
          <w:rFonts w:hint="eastAsia" w:ascii="宋体" w:hAnsi="宋体" w:eastAsia="宋体" w:cs="宋体"/>
          <w:color w:val="auto"/>
          <w:kern w:val="24"/>
          <w:sz w:val="24"/>
          <w:highlight w:val="none"/>
        </w:rPr>
        <w:t>行业；承接企业为</w:t>
      </w:r>
      <w:r>
        <w:rPr>
          <w:rFonts w:hint="eastAsia" w:ascii="宋体" w:hAnsi="宋体" w:eastAsia="宋体" w:cs="宋体"/>
          <w:color w:val="auto"/>
          <w:kern w:val="24"/>
          <w:sz w:val="24"/>
          <w:highlight w:val="none"/>
          <w:u w:val="single"/>
        </w:rPr>
        <w:t>（企业名称）</w:t>
      </w:r>
      <w:r>
        <w:rPr>
          <w:rFonts w:hint="eastAsia" w:ascii="宋体" w:hAnsi="宋体" w:eastAsia="宋体" w:cs="宋体"/>
          <w:color w:val="auto"/>
          <w:kern w:val="24"/>
          <w:sz w:val="24"/>
          <w:highlight w:val="none"/>
        </w:rPr>
        <w:t>，从业人员</w:t>
      </w:r>
      <w:r>
        <w:rPr>
          <w:rFonts w:hint="eastAsia" w:ascii="宋体" w:hAnsi="宋体" w:eastAsia="宋体" w:cs="宋体"/>
          <w:color w:val="auto"/>
          <w:kern w:val="24"/>
          <w:sz w:val="24"/>
          <w:highlight w:val="none"/>
          <w:u w:val="single"/>
        </w:rPr>
        <w:t xml:space="preserve">      </w:t>
      </w:r>
      <w:r>
        <w:rPr>
          <w:rFonts w:hint="eastAsia" w:ascii="宋体" w:hAnsi="宋体" w:eastAsia="宋体" w:cs="宋体"/>
          <w:color w:val="auto"/>
          <w:kern w:val="24"/>
          <w:sz w:val="24"/>
          <w:highlight w:val="none"/>
        </w:rPr>
        <w:t>人，营业收入为</w:t>
      </w:r>
      <w:r>
        <w:rPr>
          <w:rFonts w:hint="eastAsia" w:ascii="宋体" w:hAnsi="宋体" w:eastAsia="宋体" w:cs="宋体"/>
          <w:color w:val="auto"/>
          <w:kern w:val="24"/>
          <w:sz w:val="24"/>
          <w:highlight w:val="none"/>
          <w:u w:val="single"/>
        </w:rPr>
        <w:t xml:space="preserve">      </w:t>
      </w:r>
      <w:r>
        <w:rPr>
          <w:rFonts w:hint="eastAsia" w:ascii="宋体" w:hAnsi="宋体" w:eastAsia="宋体" w:cs="宋体"/>
          <w:color w:val="auto"/>
          <w:kern w:val="24"/>
          <w:sz w:val="24"/>
          <w:highlight w:val="none"/>
        </w:rPr>
        <w:t>万元，资产总额为</w:t>
      </w:r>
      <w:r>
        <w:rPr>
          <w:rFonts w:hint="eastAsia" w:ascii="宋体" w:hAnsi="宋体" w:eastAsia="宋体" w:cs="宋体"/>
          <w:color w:val="auto"/>
          <w:kern w:val="24"/>
          <w:sz w:val="24"/>
          <w:highlight w:val="none"/>
          <w:u w:val="single"/>
        </w:rPr>
        <w:t xml:space="preserve">      </w:t>
      </w:r>
      <w:r>
        <w:rPr>
          <w:rFonts w:hint="eastAsia" w:ascii="宋体" w:hAnsi="宋体" w:eastAsia="宋体" w:cs="宋体"/>
          <w:color w:val="auto"/>
          <w:kern w:val="24"/>
          <w:sz w:val="24"/>
          <w:highlight w:val="none"/>
        </w:rPr>
        <w:t>万元，属于</w:t>
      </w:r>
      <w:r>
        <w:rPr>
          <w:rFonts w:hint="eastAsia" w:ascii="宋体" w:hAnsi="宋体" w:eastAsia="宋体" w:cs="宋体"/>
          <w:color w:val="auto"/>
          <w:kern w:val="24"/>
          <w:sz w:val="24"/>
          <w:highlight w:val="none"/>
          <w:u w:val="single"/>
        </w:rPr>
        <w:t>（中型企业、小型企业、微型企业）</w:t>
      </w:r>
      <w:r>
        <w:rPr>
          <w:rFonts w:hint="eastAsia" w:ascii="宋体" w:hAnsi="宋体" w:eastAsia="宋体" w:cs="宋体"/>
          <w:color w:val="auto"/>
          <w:kern w:val="24"/>
          <w:sz w:val="24"/>
          <w:highlight w:val="none"/>
        </w:rPr>
        <w:t>；</w:t>
      </w:r>
    </w:p>
    <w:p w14:paraId="19A494C4">
      <w:pPr>
        <w:pStyle w:val="2"/>
        <w:spacing w:line="360" w:lineRule="auto"/>
        <w:ind w:left="142" w:right="142"/>
        <w:contextualSpacing/>
        <w:rPr>
          <w:rFonts w:hint="eastAsia" w:ascii="宋体" w:hAnsi="宋体" w:eastAsia="宋体" w:cs="宋体"/>
          <w:color w:val="auto"/>
          <w:kern w:val="24"/>
          <w:highlight w:val="none"/>
        </w:rPr>
      </w:pPr>
      <w:r>
        <w:rPr>
          <w:rFonts w:hint="eastAsia" w:ascii="宋体" w:hAnsi="宋体" w:eastAsia="宋体" w:cs="宋体"/>
          <w:color w:val="auto"/>
          <w:kern w:val="24"/>
          <w:highlight w:val="none"/>
        </w:rPr>
        <w:t xml:space="preserve">…… </w:t>
      </w:r>
    </w:p>
    <w:p w14:paraId="3CE156AD">
      <w:pPr>
        <w:pStyle w:val="2"/>
        <w:spacing w:line="360" w:lineRule="auto"/>
        <w:ind w:left="-405" w:leftChars="-193" w:right="142" w:firstLine="453" w:firstLineChars="189"/>
        <w:contextualSpacing/>
        <w:rPr>
          <w:rFonts w:hint="eastAsia" w:ascii="宋体" w:hAnsi="宋体" w:eastAsia="宋体" w:cs="宋体"/>
          <w:color w:val="auto"/>
          <w:kern w:val="24"/>
          <w:highlight w:val="none"/>
        </w:rPr>
      </w:pPr>
      <w:r>
        <w:rPr>
          <w:rFonts w:hint="eastAsia" w:ascii="宋体" w:hAnsi="宋体" w:eastAsia="宋体" w:cs="宋体"/>
          <w:color w:val="auto"/>
          <w:kern w:val="24"/>
          <w:highlight w:val="none"/>
        </w:rPr>
        <w:t>以上企业，不属于大企业的分支机构，不存在控股股东为大企业的情形，也不存在与大企业的负责人为同一人的情形。</w:t>
      </w:r>
    </w:p>
    <w:p w14:paraId="40D77700">
      <w:pPr>
        <w:pStyle w:val="2"/>
        <w:spacing w:line="360" w:lineRule="auto"/>
        <w:ind w:left="-426" w:right="142" w:firstLine="567"/>
        <w:contextualSpacing/>
        <w:rPr>
          <w:rFonts w:hint="eastAsia" w:ascii="宋体" w:hAnsi="宋体" w:eastAsia="宋体" w:cs="宋体"/>
          <w:color w:val="auto"/>
          <w:kern w:val="24"/>
          <w:highlight w:val="none"/>
        </w:rPr>
      </w:pPr>
      <w:r>
        <w:rPr>
          <w:rFonts w:hint="eastAsia" w:ascii="宋体" w:hAnsi="宋体" w:eastAsia="宋体" w:cs="宋体"/>
          <w:color w:val="auto"/>
          <w:kern w:val="24"/>
          <w:highlight w:val="none"/>
        </w:rPr>
        <w:t>本企业对上述声明内容的真实性负责。如有虚假，将依法承担相应责任。</w:t>
      </w:r>
    </w:p>
    <w:p w14:paraId="4F552419">
      <w:pPr>
        <w:pStyle w:val="2"/>
        <w:spacing w:line="360" w:lineRule="auto"/>
        <w:ind w:left="3960" w:right="1808"/>
        <w:contextualSpacing/>
        <w:rPr>
          <w:rFonts w:hint="eastAsia" w:ascii="宋体" w:hAnsi="宋体" w:eastAsia="宋体" w:cs="宋体"/>
          <w:color w:val="auto"/>
          <w:kern w:val="24"/>
          <w:highlight w:val="none"/>
        </w:rPr>
      </w:pPr>
    </w:p>
    <w:p w14:paraId="26B2578D">
      <w:pPr>
        <w:pStyle w:val="2"/>
        <w:spacing w:line="360" w:lineRule="auto"/>
        <w:ind w:left="3960" w:right="1808"/>
        <w:contextualSpacing/>
        <w:rPr>
          <w:rFonts w:hint="eastAsia" w:ascii="宋体" w:hAnsi="宋体" w:eastAsia="宋体" w:cs="宋体"/>
          <w:color w:val="auto"/>
          <w:kern w:val="24"/>
          <w:highlight w:val="none"/>
        </w:rPr>
      </w:pPr>
      <w:r>
        <w:rPr>
          <w:rFonts w:hint="eastAsia" w:ascii="宋体" w:hAnsi="宋体" w:eastAsia="宋体" w:cs="宋体"/>
          <w:color w:val="auto"/>
          <w:kern w:val="24"/>
          <w:highlight w:val="none"/>
        </w:rPr>
        <w:t xml:space="preserve">企业名称（章）： </w:t>
      </w:r>
    </w:p>
    <w:p w14:paraId="2D8DA5DE">
      <w:pPr>
        <w:pStyle w:val="2"/>
        <w:spacing w:line="360" w:lineRule="auto"/>
        <w:ind w:left="3960" w:right="1808"/>
        <w:contextualSpacing/>
        <w:rPr>
          <w:rFonts w:hint="eastAsia" w:ascii="宋体" w:hAnsi="宋体" w:eastAsia="宋体" w:cs="宋体"/>
          <w:color w:val="auto"/>
          <w:kern w:val="24"/>
          <w:highlight w:val="none"/>
        </w:rPr>
      </w:pPr>
      <w:r>
        <w:rPr>
          <w:rFonts w:hint="eastAsia" w:ascii="宋体" w:hAnsi="宋体" w:eastAsia="宋体" w:cs="宋体"/>
          <w:color w:val="auto"/>
          <w:kern w:val="24"/>
          <w:highlight w:val="none"/>
        </w:rPr>
        <w:t>日 期：</w:t>
      </w:r>
    </w:p>
    <w:p w14:paraId="6E25E362">
      <w:pPr>
        <w:pStyle w:val="2"/>
        <w:spacing w:line="360" w:lineRule="auto"/>
        <w:ind w:left="3960" w:right="1808"/>
        <w:contextualSpacing/>
        <w:rPr>
          <w:rFonts w:hint="eastAsia" w:ascii="宋体" w:hAnsi="宋体" w:eastAsia="宋体" w:cs="宋体"/>
          <w:color w:val="auto"/>
          <w:kern w:val="24"/>
          <w:highlight w:val="none"/>
        </w:rPr>
      </w:pPr>
    </w:p>
    <w:p w14:paraId="309F4999">
      <w:pPr>
        <w:pStyle w:val="2"/>
        <w:spacing w:line="360" w:lineRule="auto"/>
        <w:ind w:left="3960" w:right="1808"/>
        <w:contextualSpacing/>
        <w:rPr>
          <w:rFonts w:hint="eastAsia" w:ascii="宋体" w:hAnsi="宋体" w:eastAsia="宋体" w:cs="宋体"/>
          <w:color w:val="auto"/>
          <w:kern w:val="24"/>
          <w:highlight w:val="none"/>
        </w:rPr>
      </w:pPr>
    </w:p>
    <w:p w14:paraId="53D8C670">
      <w:pPr>
        <w:pStyle w:val="2"/>
        <w:spacing w:line="360" w:lineRule="auto"/>
        <w:ind w:left="-426" w:right="142" w:firstLine="567"/>
        <w:contextualSpacing/>
        <w:rPr>
          <w:rFonts w:hint="eastAsia" w:ascii="宋体" w:hAnsi="宋体" w:eastAsia="宋体" w:cs="宋体"/>
          <w:color w:val="auto"/>
          <w:sz w:val="32"/>
          <w:szCs w:val="32"/>
          <w:highlight w:val="none"/>
        </w:rPr>
      </w:pPr>
      <w:r>
        <w:rPr>
          <w:rFonts w:hint="eastAsia" w:ascii="宋体" w:hAnsi="宋体" w:eastAsia="宋体" w:cs="宋体"/>
          <w:color w:val="auto"/>
          <w:kern w:val="24"/>
          <w:highlight w:val="none"/>
        </w:rPr>
        <w:t>注：享受《政府采购促进中小企业发展管理办法》（财库〔2020〕46号）规定的中小企业扶持政策的，采购人、采购代理机构应当随中标结果公开中标供应商的《中小企业声明函》。从业人员、营业收入、资产总额填报上一年度数据，无上一年度数据的新成立企业可不填报。</w:t>
      </w:r>
      <w:r>
        <w:rPr>
          <w:rFonts w:hint="eastAsia" w:ascii="宋体" w:hAnsi="宋体" w:eastAsia="宋体" w:cs="宋体"/>
          <w:color w:val="auto"/>
          <w:sz w:val="32"/>
          <w:szCs w:val="32"/>
          <w:highlight w:val="none"/>
        </w:rPr>
        <w:br w:type="page"/>
      </w:r>
      <w:r>
        <w:rPr>
          <w:rFonts w:hint="eastAsia" w:ascii="宋体" w:hAnsi="宋体" w:eastAsia="宋体" w:cs="宋体"/>
          <w:color w:val="auto"/>
          <w:sz w:val="32"/>
          <w:szCs w:val="32"/>
          <w:highlight w:val="none"/>
        </w:rPr>
        <w:t>附：</w:t>
      </w:r>
    </w:p>
    <w:p w14:paraId="245CA363">
      <w:pPr>
        <w:jc w:val="center"/>
        <w:rPr>
          <w:rFonts w:hint="eastAsia" w:ascii="宋体" w:hAnsi="宋体" w:eastAsia="宋体" w:cs="宋体"/>
          <w:color w:val="auto"/>
          <w:sz w:val="44"/>
          <w:szCs w:val="44"/>
          <w:highlight w:val="none"/>
        </w:rPr>
      </w:pPr>
      <w:r>
        <w:rPr>
          <w:rFonts w:hint="eastAsia" w:ascii="宋体" w:hAnsi="宋体" w:eastAsia="宋体" w:cs="宋体"/>
          <w:color w:val="auto"/>
          <w:sz w:val="44"/>
          <w:szCs w:val="44"/>
          <w:highlight w:val="none"/>
        </w:rPr>
        <w:t>中小微企业划型标准</w:t>
      </w:r>
    </w:p>
    <w:p w14:paraId="720D87F0">
      <w:pPr>
        <w:ind w:left="1871"/>
        <w:rPr>
          <w:rFonts w:hint="eastAsia" w:ascii="宋体" w:hAnsi="宋体" w:eastAsia="宋体" w:cs="宋体"/>
          <w:color w:val="auto"/>
          <w:szCs w:val="21"/>
          <w:highlight w:val="none"/>
        </w:rPr>
      </w:pPr>
    </w:p>
    <w:tbl>
      <w:tblPr>
        <w:tblStyle w:val="45"/>
        <w:tblW w:w="7983" w:type="dxa"/>
        <w:tblInd w:w="250" w:type="dxa"/>
        <w:tblLayout w:type="fixed"/>
        <w:tblCellMar>
          <w:top w:w="0" w:type="dxa"/>
          <w:left w:w="108" w:type="dxa"/>
          <w:bottom w:w="0" w:type="dxa"/>
          <w:right w:w="108" w:type="dxa"/>
        </w:tblCellMar>
      </w:tblPr>
      <w:tblGrid>
        <w:gridCol w:w="1701"/>
        <w:gridCol w:w="1384"/>
        <w:gridCol w:w="913"/>
        <w:gridCol w:w="1620"/>
        <w:gridCol w:w="1440"/>
        <w:gridCol w:w="925"/>
      </w:tblGrid>
      <w:tr w14:paraId="1948FF04">
        <w:tblPrEx>
          <w:tblCellMar>
            <w:top w:w="0" w:type="dxa"/>
            <w:left w:w="108" w:type="dxa"/>
            <w:bottom w:w="0" w:type="dxa"/>
            <w:right w:w="108" w:type="dxa"/>
          </w:tblCellMar>
        </w:tblPrEx>
        <w:trPr>
          <w:trHeight w:val="285" w:hRule="atLeast"/>
        </w:trPr>
        <w:tc>
          <w:tcPr>
            <w:tcW w:w="1701" w:type="dxa"/>
            <w:tcBorders>
              <w:top w:val="single" w:color="auto" w:sz="4" w:space="0"/>
              <w:left w:val="single" w:color="auto" w:sz="4" w:space="0"/>
              <w:bottom w:val="single" w:color="auto" w:sz="4" w:space="0"/>
              <w:right w:val="single" w:color="auto" w:sz="4" w:space="0"/>
            </w:tcBorders>
            <w:noWrap w:val="0"/>
            <w:vAlign w:val="center"/>
          </w:tcPr>
          <w:p w14:paraId="3794D3EF">
            <w:pPr>
              <w:widowControl/>
              <w:jc w:val="left"/>
              <w:rPr>
                <w:rFonts w:hint="eastAsia" w:ascii="宋体" w:hAnsi="宋体" w:eastAsia="宋体" w:cs="宋体"/>
                <w:b/>
                <w:color w:val="auto"/>
                <w:kern w:val="0"/>
                <w:sz w:val="24"/>
                <w:highlight w:val="none"/>
              </w:rPr>
            </w:pPr>
            <w:r>
              <w:rPr>
                <w:rFonts w:hint="eastAsia" w:ascii="宋体" w:hAnsi="宋体" w:eastAsia="宋体" w:cs="宋体"/>
                <w:b/>
                <w:color w:val="auto"/>
                <w:kern w:val="0"/>
                <w:sz w:val="24"/>
                <w:highlight w:val="none"/>
              </w:rPr>
              <w:t>行业名称</w:t>
            </w:r>
          </w:p>
        </w:tc>
        <w:tc>
          <w:tcPr>
            <w:tcW w:w="1384" w:type="dxa"/>
            <w:tcBorders>
              <w:top w:val="single" w:color="auto" w:sz="4" w:space="0"/>
              <w:left w:val="nil"/>
              <w:bottom w:val="single" w:color="auto" w:sz="4" w:space="0"/>
              <w:right w:val="single" w:color="auto" w:sz="4" w:space="0"/>
            </w:tcBorders>
            <w:noWrap w:val="0"/>
            <w:vAlign w:val="center"/>
          </w:tcPr>
          <w:p w14:paraId="3C283539">
            <w:pPr>
              <w:widowControl/>
              <w:jc w:val="left"/>
              <w:rPr>
                <w:rFonts w:hint="eastAsia" w:ascii="宋体" w:hAnsi="宋体" w:eastAsia="宋体" w:cs="宋体"/>
                <w:b/>
                <w:color w:val="auto"/>
                <w:kern w:val="0"/>
                <w:sz w:val="24"/>
                <w:highlight w:val="none"/>
              </w:rPr>
            </w:pPr>
            <w:r>
              <w:rPr>
                <w:rFonts w:hint="eastAsia" w:ascii="宋体" w:hAnsi="宋体" w:eastAsia="宋体" w:cs="宋体"/>
                <w:b/>
                <w:color w:val="auto"/>
                <w:kern w:val="0"/>
                <w:sz w:val="24"/>
                <w:highlight w:val="none"/>
              </w:rPr>
              <w:t>指标名称</w:t>
            </w:r>
          </w:p>
        </w:tc>
        <w:tc>
          <w:tcPr>
            <w:tcW w:w="913" w:type="dxa"/>
            <w:tcBorders>
              <w:top w:val="single" w:color="auto" w:sz="4" w:space="0"/>
              <w:left w:val="nil"/>
              <w:bottom w:val="single" w:color="auto" w:sz="4" w:space="0"/>
              <w:right w:val="single" w:color="auto" w:sz="4" w:space="0"/>
            </w:tcBorders>
            <w:noWrap w:val="0"/>
            <w:vAlign w:val="center"/>
          </w:tcPr>
          <w:p w14:paraId="6FD782D8">
            <w:pPr>
              <w:widowControl/>
              <w:jc w:val="left"/>
              <w:rPr>
                <w:rFonts w:hint="eastAsia" w:ascii="宋体" w:hAnsi="宋体" w:eastAsia="宋体" w:cs="宋体"/>
                <w:b/>
                <w:color w:val="auto"/>
                <w:kern w:val="0"/>
                <w:sz w:val="24"/>
                <w:highlight w:val="none"/>
              </w:rPr>
            </w:pPr>
            <w:r>
              <w:rPr>
                <w:rFonts w:hint="eastAsia" w:ascii="宋体" w:hAnsi="宋体" w:eastAsia="宋体" w:cs="宋体"/>
                <w:b/>
                <w:color w:val="auto"/>
                <w:kern w:val="0"/>
                <w:sz w:val="24"/>
                <w:highlight w:val="none"/>
              </w:rPr>
              <w:t>计量单位</w:t>
            </w:r>
          </w:p>
        </w:tc>
        <w:tc>
          <w:tcPr>
            <w:tcW w:w="1620" w:type="dxa"/>
            <w:tcBorders>
              <w:top w:val="single" w:color="auto" w:sz="4" w:space="0"/>
              <w:left w:val="nil"/>
              <w:bottom w:val="single" w:color="auto" w:sz="4" w:space="0"/>
              <w:right w:val="single" w:color="auto" w:sz="4" w:space="0"/>
            </w:tcBorders>
            <w:noWrap w:val="0"/>
            <w:vAlign w:val="center"/>
          </w:tcPr>
          <w:p w14:paraId="7DF18678">
            <w:pPr>
              <w:widowControl/>
              <w:jc w:val="left"/>
              <w:rPr>
                <w:rFonts w:hint="eastAsia" w:ascii="宋体" w:hAnsi="宋体" w:eastAsia="宋体" w:cs="宋体"/>
                <w:b/>
                <w:color w:val="auto"/>
                <w:kern w:val="0"/>
                <w:sz w:val="24"/>
                <w:highlight w:val="none"/>
              </w:rPr>
            </w:pPr>
            <w:r>
              <w:rPr>
                <w:rFonts w:hint="eastAsia" w:ascii="宋体" w:hAnsi="宋体" w:eastAsia="宋体" w:cs="宋体"/>
                <w:b/>
                <w:color w:val="auto"/>
                <w:kern w:val="0"/>
                <w:sz w:val="24"/>
                <w:highlight w:val="none"/>
              </w:rPr>
              <w:t>中型</w:t>
            </w:r>
          </w:p>
        </w:tc>
        <w:tc>
          <w:tcPr>
            <w:tcW w:w="1440" w:type="dxa"/>
            <w:tcBorders>
              <w:top w:val="single" w:color="auto" w:sz="4" w:space="0"/>
              <w:left w:val="nil"/>
              <w:bottom w:val="single" w:color="auto" w:sz="4" w:space="0"/>
              <w:right w:val="single" w:color="auto" w:sz="4" w:space="0"/>
            </w:tcBorders>
            <w:noWrap w:val="0"/>
            <w:vAlign w:val="center"/>
          </w:tcPr>
          <w:p w14:paraId="656DDD0F">
            <w:pPr>
              <w:widowControl/>
              <w:jc w:val="left"/>
              <w:rPr>
                <w:rFonts w:hint="eastAsia" w:ascii="宋体" w:hAnsi="宋体" w:eastAsia="宋体" w:cs="宋体"/>
                <w:b/>
                <w:color w:val="auto"/>
                <w:kern w:val="0"/>
                <w:sz w:val="24"/>
                <w:highlight w:val="none"/>
              </w:rPr>
            </w:pPr>
            <w:r>
              <w:rPr>
                <w:rFonts w:hint="eastAsia" w:ascii="宋体" w:hAnsi="宋体" w:eastAsia="宋体" w:cs="宋体"/>
                <w:b/>
                <w:color w:val="auto"/>
                <w:kern w:val="0"/>
                <w:sz w:val="24"/>
                <w:highlight w:val="none"/>
              </w:rPr>
              <w:t>小型</w:t>
            </w:r>
          </w:p>
        </w:tc>
        <w:tc>
          <w:tcPr>
            <w:tcW w:w="925" w:type="dxa"/>
            <w:tcBorders>
              <w:top w:val="single" w:color="auto" w:sz="4" w:space="0"/>
              <w:left w:val="nil"/>
              <w:bottom w:val="single" w:color="auto" w:sz="4" w:space="0"/>
              <w:right w:val="single" w:color="auto" w:sz="4" w:space="0"/>
            </w:tcBorders>
            <w:noWrap w:val="0"/>
            <w:vAlign w:val="center"/>
          </w:tcPr>
          <w:p w14:paraId="57A85BC7">
            <w:pPr>
              <w:widowControl/>
              <w:jc w:val="left"/>
              <w:rPr>
                <w:rFonts w:hint="eastAsia" w:ascii="宋体" w:hAnsi="宋体" w:eastAsia="宋体" w:cs="宋体"/>
                <w:b/>
                <w:color w:val="auto"/>
                <w:kern w:val="0"/>
                <w:sz w:val="24"/>
                <w:highlight w:val="none"/>
              </w:rPr>
            </w:pPr>
            <w:r>
              <w:rPr>
                <w:rFonts w:hint="eastAsia" w:ascii="宋体" w:hAnsi="宋体" w:eastAsia="宋体" w:cs="宋体"/>
                <w:b/>
                <w:color w:val="auto"/>
                <w:kern w:val="0"/>
                <w:sz w:val="24"/>
                <w:highlight w:val="none"/>
              </w:rPr>
              <w:t>微型</w:t>
            </w:r>
          </w:p>
        </w:tc>
      </w:tr>
      <w:tr w14:paraId="647CDF1D">
        <w:tblPrEx>
          <w:tblCellMar>
            <w:top w:w="0" w:type="dxa"/>
            <w:left w:w="108" w:type="dxa"/>
            <w:bottom w:w="0" w:type="dxa"/>
            <w:right w:w="108" w:type="dxa"/>
          </w:tblCellMar>
        </w:tblPrEx>
        <w:trPr>
          <w:trHeight w:val="225" w:hRule="atLeast"/>
        </w:trPr>
        <w:tc>
          <w:tcPr>
            <w:tcW w:w="1701" w:type="dxa"/>
            <w:tcBorders>
              <w:top w:val="nil"/>
              <w:left w:val="single" w:color="auto" w:sz="4" w:space="0"/>
              <w:bottom w:val="single" w:color="auto" w:sz="4" w:space="0"/>
              <w:right w:val="single" w:color="auto" w:sz="4" w:space="0"/>
            </w:tcBorders>
            <w:noWrap w:val="0"/>
            <w:vAlign w:val="bottom"/>
          </w:tcPr>
          <w:p w14:paraId="67D18598">
            <w:pPr>
              <w:widowControl/>
              <w:jc w:val="center"/>
              <w:rPr>
                <w:rFonts w:hint="eastAsia" w:ascii="宋体" w:hAnsi="宋体" w:eastAsia="宋体" w:cs="宋体"/>
                <w:b/>
                <w:bCs/>
                <w:color w:val="auto"/>
                <w:kern w:val="0"/>
                <w:sz w:val="18"/>
                <w:szCs w:val="18"/>
                <w:highlight w:val="none"/>
              </w:rPr>
            </w:pPr>
            <w:r>
              <w:rPr>
                <w:rFonts w:hint="eastAsia" w:ascii="宋体" w:hAnsi="宋体" w:eastAsia="宋体" w:cs="宋体"/>
                <w:b/>
                <w:bCs/>
                <w:color w:val="auto"/>
                <w:kern w:val="0"/>
                <w:sz w:val="18"/>
                <w:szCs w:val="18"/>
                <w:highlight w:val="none"/>
              </w:rPr>
              <w:t>农、林、牧、渔</w:t>
            </w:r>
          </w:p>
        </w:tc>
        <w:tc>
          <w:tcPr>
            <w:tcW w:w="1384" w:type="dxa"/>
            <w:tcBorders>
              <w:top w:val="nil"/>
              <w:left w:val="nil"/>
              <w:bottom w:val="single" w:color="auto" w:sz="4" w:space="0"/>
              <w:right w:val="single" w:color="auto" w:sz="4" w:space="0"/>
            </w:tcBorders>
            <w:noWrap w:val="0"/>
            <w:vAlign w:val="center"/>
          </w:tcPr>
          <w:p w14:paraId="6946EBD1">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营业收入（Y）</w:t>
            </w:r>
          </w:p>
        </w:tc>
        <w:tc>
          <w:tcPr>
            <w:tcW w:w="913" w:type="dxa"/>
            <w:tcBorders>
              <w:top w:val="nil"/>
              <w:left w:val="nil"/>
              <w:bottom w:val="single" w:color="auto" w:sz="4" w:space="0"/>
              <w:right w:val="single" w:color="auto" w:sz="4" w:space="0"/>
            </w:tcBorders>
            <w:noWrap w:val="0"/>
            <w:vAlign w:val="center"/>
          </w:tcPr>
          <w:p w14:paraId="0AFE7D47">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万元</w:t>
            </w:r>
          </w:p>
        </w:tc>
        <w:tc>
          <w:tcPr>
            <w:tcW w:w="1620" w:type="dxa"/>
            <w:tcBorders>
              <w:top w:val="nil"/>
              <w:left w:val="nil"/>
              <w:bottom w:val="single" w:color="auto" w:sz="4" w:space="0"/>
              <w:right w:val="single" w:color="auto" w:sz="4" w:space="0"/>
            </w:tcBorders>
            <w:noWrap w:val="0"/>
            <w:vAlign w:val="center"/>
          </w:tcPr>
          <w:p w14:paraId="2DBCC7CF">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500≤Y＜20000</w:t>
            </w:r>
          </w:p>
        </w:tc>
        <w:tc>
          <w:tcPr>
            <w:tcW w:w="1440" w:type="dxa"/>
            <w:tcBorders>
              <w:top w:val="nil"/>
              <w:left w:val="nil"/>
              <w:bottom w:val="single" w:color="auto" w:sz="4" w:space="0"/>
              <w:right w:val="single" w:color="auto" w:sz="4" w:space="0"/>
            </w:tcBorders>
            <w:noWrap w:val="0"/>
            <w:vAlign w:val="center"/>
          </w:tcPr>
          <w:p w14:paraId="0B6B1312">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50≤Y＜500</w:t>
            </w:r>
          </w:p>
        </w:tc>
        <w:tc>
          <w:tcPr>
            <w:tcW w:w="925" w:type="dxa"/>
            <w:tcBorders>
              <w:top w:val="nil"/>
              <w:left w:val="nil"/>
              <w:bottom w:val="single" w:color="auto" w:sz="4" w:space="0"/>
              <w:right w:val="single" w:color="auto" w:sz="4" w:space="0"/>
            </w:tcBorders>
            <w:noWrap w:val="0"/>
            <w:vAlign w:val="center"/>
          </w:tcPr>
          <w:p w14:paraId="6CE4E686">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Y＜50</w:t>
            </w:r>
          </w:p>
        </w:tc>
      </w:tr>
      <w:tr w14:paraId="702F400C">
        <w:tblPrEx>
          <w:tblCellMar>
            <w:top w:w="0" w:type="dxa"/>
            <w:left w:w="108" w:type="dxa"/>
            <w:bottom w:w="0" w:type="dxa"/>
            <w:right w:w="108" w:type="dxa"/>
          </w:tblCellMar>
        </w:tblPrEx>
        <w:trPr>
          <w:trHeight w:val="225" w:hRule="atLeast"/>
        </w:trPr>
        <w:tc>
          <w:tcPr>
            <w:tcW w:w="1701" w:type="dxa"/>
            <w:vMerge w:val="restart"/>
            <w:tcBorders>
              <w:top w:val="nil"/>
              <w:left w:val="single" w:color="auto" w:sz="4" w:space="0"/>
              <w:bottom w:val="single" w:color="auto" w:sz="4" w:space="0"/>
              <w:right w:val="single" w:color="auto" w:sz="4" w:space="0"/>
            </w:tcBorders>
            <w:noWrap w:val="0"/>
            <w:vAlign w:val="bottom"/>
          </w:tcPr>
          <w:p w14:paraId="6654BF4A">
            <w:pPr>
              <w:widowControl/>
              <w:jc w:val="center"/>
              <w:rPr>
                <w:rFonts w:hint="eastAsia" w:ascii="宋体" w:hAnsi="宋体" w:eastAsia="宋体" w:cs="宋体"/>
                <w:b/>
                <w:bCs/>
                <w:color w:val="auto"/>
                <w:kern w:val="0"/>
                <w:sz w:val="18"/>
                <w:szCs w:val="18"/>
                <w:highlight w:val="none"/>
              </w:rPr>
            </w:pPr>
            <w:r>
              <w:rPr>
                <w:rFonts w:hint="eastAsia" w:ascii="宋体" w:hAnsi="宋体" w:eastAsia="宋体" w:cs="宋体"/>
                <w:b/>
                <w:bCs/>
                <w:color w:val="auto"/>
                <w:kern w:val="0"/>
                <w:sz w:val="18"/>
                <w:szCs w:val="18"/>
                <w:highlight w:val="none"/>
              </w:rPr>
              <w:t>工业</w:t>
            </w:r>
          </w:p>
        </w:tc>
        <w:tc>
          <w:tcPr>
            <w:tcW w:w="1384" w:type="dxa"/>
            <w:tcBorders>
              <w:top w:val="nil"/>
              <w:left w:val="nil"/>
              <w:bottom w:val="single" w:color="auto" w:sz="4" w:space="0"/>
              <w:right w:val="single" w:color="auto" w:sz="4" w:space="0"/>
            </w:tcBorders>
            <w:noWrap w:val="0"/>
            <w:vAlign w:val="center"/>
          </w:tcPr>
          <w:p w14:paraId="037E19B4">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从业人员（X）</w:t>
            </w:r>
          </w:p>
        </w:tc>
        <w:tc>
          <w:tcPr>
            <w:tcW w:w="913" w:type="dxa"/>
            <w:tcBorders>
              <w:top w:val="nil"/>
              <w:left w:val="nil"/>
              <w:bottom w:val="single" w:color="auto" w:sz="4" w:space="0"/>
              <w:right w:val="single" w:color="auto" w:sz="4" w:space="0"/>
            </w:tcBorders>
            <w:noWrap w:val="0"/>
            <w:vAlign w:val="center"/>
          </w:tcPr>
          <w:p w14:paraId="0D33D1A6">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人</w:t>
            </w:r>
          </w:p>
        </w:tc>
        <w:tc>
          <w:tcPr>
            <w:tcW w:w="1620" w:type="dxa"/>
            <w:tcBorders>
              <w:top w:val="nil"/>
              <w:left w:val="nil"/>
              <w:bottom w:val="single" w:color="auto" w:sz="4" w:space="0"/>
              <w:right w:val="single" w:color="auto" w:sz="4" w:space="0"/>
            </w:tcBorders>
            <w:noWrap w:val="0"/>
            <w:vAlign w:val="center"/>
          </w:tcPr>
          <w:p w14:paraId="2A1811C3">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300≤X＜1000</w:t>
            </w:r>
          </w:p>
        </w:tc>
        <w:tc>
          <w:tcPr>
            <w:tcW w:w="1440" w:type="dxa"/>
            <w:tcBorders>
              <w:top w:val="nil"/>
              <w:left w:val="nil"/>
              <w:bottom w:val="single" w:color="auto" w:sz="4" w:space="0"/>
              <w:right w:val="single" w:color="auto" w:sz="4" w:space="0"/>
            </w:tcBorders>
            <w:noWrap w:val="0"/>
            <w:vAlign w:val="center"/>
          </w:tcPr>
          <w:p w14:paraId="2F0B6292">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20≤X＜300</w:t>
            </w:r>
          </w:p>
        </w:tc>
        <w:tc>
          <w:tcPr>
            <w:tcW w:w="925" w:type="dxa"/>
            <w:tcBorders>
              <w:top w:val="nil"/>
              <w:left w:val="nil"/>
              <w:bottom w:val="single" w:color="auto" w:sz="4" w:space="0"/>
              <w:right w:val="single" w:color="auto" w:sz="4" w:space="0"/>
            </w:tcBorders>
            <w:noWrap w:val="0"/>
            <w:vAlign w:val="center"/>
          </w:tcPr>
          <w:p w14:paraId="12F157E1">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X＜20</w:t>
            </w:r>
          </w:p>
        </w:tc>
      </w:tr>
      <w:tr w14:paraId="70A40014">
        <w:tblPrEx>
          <w:tblCellMar>
            <w:top w:w="0" w:type="dxa"/>
            <w:left w:w="108" w:type="dxa"/>
            <w:bottom w:w="0" w:type="dxa"/>
            <w:right w:w="108" w:type="dxa"/>
          </w:tblCellMar>
        </w:tblPrEx>
        <w:trPr>
          <w:trHeight w:val="225" w:hRule="atLeast"/>
        </w:trPr>
        <w:tc>
          <w:tcPr>
            <w:tcW w:w="1701" w:type="dxa"/>
            <w:vMerge w:val="continue"/>
            <w:tcBorders>
              <w:top w:val="nil"/>
              <w:left w:val="single" w:color="auto" w:sz="4" w:space="0"/>
              <w:bottom w:val="single" w:color="auto" w:sz="4" w:space="0"/>
              <w:right w:val="single" w:color="auto" w:sz="4" w:space="0"/>
            </w:tcBorders>
            <w:noWrap w:val="0"/>
            <w:vAlign w:val="center"/>
          </w:tcPr>
          <w:p w14:paraId="0CABFFE6">
            <w:pPr>
              <w:widowControl/>
              <w:jc w:val="left"/>
              <w:rPr>
                <w:rFonts w:hint="eastAsia" w:ascii="宋体" w:hAnsi="宋体" w:eastAsia="宋体" w:cs="宋体"/>
                <w:b/>
                <w:bCs/>
                <w:color w:val="auto"/>
                <w:kern w:val="0"/>
                <w:sz w:val="18"/>
                <w:szCs w:val="18"/>
                <w:highlight w:val="none"/>
              </w:rPr>
            </w:pPr>
          </w:p>
        </w:tc>
        <w:tc>
          <w:tcPr>
            <w:tcW w:w="1384" w:type="dxa"/>
            <w:tcBorders>
              <w:top w:val="nil"/>
              <w:left w:val="nil"/>
              <w:bottom w:val="single" w:color="auto" w:sz="4" w:space="0"/>
              <w:right w:val="single" w:color="auto" w:sz="4" w:space="0"/>
            </w:tcBorders>
            <w:noWrap w:val="0"/>
            <w:vAlign w:val="center"/>
          </w:tcPr>
          <w:p w14:paraId="44D4C3CB">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营业收入（Y）</w:t>
            </w:r>
          </w:p>
        </w:tc>
        <w:tc>
          <w:tcPr>
            <w:tcW w:w="913" w:type="dxa"/>
            <w:tcBorders>
              <w:top w:val="nil"/>
              <w:left w:val="nil"/>
              <w:bottom w:val="single" w:color="auto" w:sz="4" w:space="0"/>
              <w:right w:val="single" w:color="auto" w:sz="4" w:space="0"/>
            </w:tcBorders>
            <w:noWrap w:val="0"/>
            <w:vAlign w:val="center"/>
          </w:tcPr>
          <w:p w14:paraId="1E71BCD2">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万元</w:t>
            </w:r>
          </w:p>
        </w:tc>
        <w:tc>
          <w:tcPr>
            <w:tcW w:w="1620" w:type="dxa"/>
            <w:tcBorders>
              <w:top w:val="nil"/>
              <w:left w:val="nil"/>
              <w:bottom w:val="single" w:color="auto" w:sz="4" w:space="0"/>
              <w:right w:val="single" w:color="auto" w:sz="4" w:space="0"/>
            </w:tcBorders>
            <w:noWrap w:val="0"/>
            <w:vAlign w:val="center"/>
          </w:tcPr>
          <w:p w14:paraId="4F58F35C">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2000≤Y＜40000</w:t>
            </w:r>
          </w:p>
        </w:tc>
        <w:tc>
          <w:tcPr>
            <w:tcW w:w="1440" w:type="dxa"/>
            <w:tcBorders>
              <w:top w:val="nil"/>
              <w:left w:val="nil"/>
              <w:bottom w:val="single" w:color="auto" w:sz="4" w:space="0"/>
              <w:right w:val="single" w:color="auto" w:sz="4" w:space="0"/>
            </w:tcBorders>
            <w:noWrap w:val="0"/>
            <w:vAlign w:val="center"/>
          </w:tcPr>
          <w:p w14:paraId="52A54674">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300≤Y＜2000</w:t>
            </w:r>
          </w:p>
        </w:tc>
        <w:tc>
          <w:tcPr>
            <w:tcW w:w="925" w:type="dxa"/>
            <w:tcBorders>
              <w:top w:val="nil"/>
              <w:left w:val="nil"/>
              <w:bottom w:val="single" w:color="auto" w:sz="4" w:space="0"/>
              <w:right w:val="single" w:color="auto" w:sz="4" w:space="0"/>
            </w:tcBorders>
            <w:noWrap w:val="0"/>
            <w:vAlign w:val="center"/>
          </w:tcPr>
          <w:p w14:paraId="0235CE02">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Y＜300</w:t>
            </w:r>
          </w:p>
        </w:tc>
      </w:tr>
      <w:tr w14:paraId="6F8E37EA">
        <w:tblPrEx>
          <w:tblCellMar>
            <w:top w:w="0" w:type="dxa"/>
            <w:left w:w="108" w:type="dxa"/>
            <w:bottom w:w="0" w:type="dxa"/>
            <w:right w:w="108" w:type="dxa"/>
          </w:tblCellMar>
        </w:tblPrEx>
        <w:trPr>
          <w:trHeight w:val="225" w:hRule="atLeast"/>
        </w:trPr>
        <w:tc>
          <w:tcPr>
            <w:tcW w:w="1701" w:type="dxa"/>
            <w:vMerge w:val="restart"/>
            <w:tcBorders>
              <w:top w:val="nil"/>
              <w:left w:val="single" w:color="auto" w:sz="4" w:space="0"/>
              <w:bottom w:val="single" w:color="auto" w:sz="4" w:space="0"/>
              <w:right w:val="single" w:color="auto" w:sz="4" w:space="0"/>
            </w:tcBorders>
            <w:noWrap w:val="0"/>
            <w:vAlign w:val="bottom"/>
          </w:tcPr>
          <w:p w14:paraId="07706EE9">
            <w:pPr>
              <w:widowControl/>
              <w:jc w:val="center"/>
              <w:rPr>
                <w:rFonts w:hint="eastAsia" w:ascii="宋体" w:hAnsi="宋体" w:eastAsia="宋体" w:cs="宋体"/>
                <w:b/>
                <w:bCs/>
                <w:color w:val="auto"/>
                <w:kern w:val="0"/>
                <w:sz w:val="18"/>
                <w:szCs w:val="18"/>
                <w:highlight w:val="none"/>
              </w:rPr>
            </w:pPr>
            <w:r>
              <w:rPr>
                <w:rFonts w:hint="eastAsia" w:ascii="宋体" w:hAnsi="宋体" w:eastAsia="宋体" w:cs="宋体"/>
                <w:b/>
                <w:bCs/>
                <w:color w:val="auto"/>
                <w:kern w:val="0"/>
                <w:sz w:val="18"/>
                <w:szCs w:val="18"/>
                <w:highlight w:val="none"/>
              </w:rPr>
              <w:t>建筑业</w:t>
            </w:r>
          </w:p>
        </w:tc>
        <w:tc>
          <w:tcPr>
            <w:tcW w:w="1384" w:type="dxa"/>
            <w:tcBorders>
              <w:top w:val="nil"/>
              <w:left w:val="nil"/>
              <w:bottom w:val="single" w:color="auto" w:sz="4" w:space="0"/>
              <w:right w:val="single" w:color="auto" w:sz="4" w:space="0"/>
            </w:tcBorders>
            <w:noWrap w:val="0"/>
            <w:vAlign w:val="center"/>
          </w:tcPr>
          <w:p w14:paraId="18F71E6B">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营业收入（Y）</w:t>
            </w:r>
          </w:p>
        </w:tc>
        <w:tc>
          <w:tcPr>
            <w:tcW w:w="913" w:type="dxa"/>
            <w:tcBorders>
              <w:top w:val="nil"/>
              <w:left w:val="nil"/>
              <w:bottom w:val="single" w:color="auto" w:sz="4" w:space="0"/>
              <w:right w:val="single" w:color="auto" w:sz="4" w:space="0"/>
            </w:tcBorders>
            <w:noWrap w:val="0"/>
            <w:vAlign w:val="center"/>
          </w:tcPr>
          <w:p w14:paraId="7608E917">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万元</w:t>
            </w:r>
          </w:p>
        </w:tc>
        <w:tc>
          <w:tcPr>
            <w:tcW w:w="1620" w:type="dxa"/>
            <w:tcBorders>
              <w:top w:val="nil"/>
              <w:left w:val="nil"/>
              <w:bottom w:val="single" w:color="auto" w:sz="4" w:space="0"/>
              <w:right w:val="single" w:color="auto" w:sz="4" w:space="0"/>
            </w:tcBorders>
            <w:noWrap w:val="0"/>
            <w:vAlign w:val="center"/>
          </w:tcPr>
          <w:p w14:paraId="0978A018">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6000≤Y＜80000</w:t>
            </w:r>
          </w:p>
        </w:tc>
        <w:tc>
          <w:tcPr>
            <w:tcW w:w="1440" w:type="dxa"/>
            <w:tcBorders>
              <w:top w:val="nil"/>
              <w:left w:val="nil"/>
              <w:bottom w:val="single" w:color="auto" w:sz="4" w:space="0"/>
              <w:right w:val="single" w:color="auto" w:sz="4" w:space="0"/>
            </w:tcBorders>
            <w:noWrap w:val="0"/>
            <w:vAlign w:val="center"/>
          </w:tcPr>
          <w:p w14:paraId="0C48E4A9">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300≤Y＜6000</w:t>
            </w:r>
          </w:p>
        </w:tc>
        <w:tc>
          <w:tcPr>
            <w:tcW w:w="925" w:type="dxa"/>
            <w:tcBorders>
              <w:top w:val="nil"/>
              <w:left w:val="nil"/>
              <w:bottom w:val="single" w:color="auto" w:sz="4" w:space="0"/>
              <w:right w:val="single" w:color="auto" w:sz="4" w:space="0"/>
            </w:tcBorders>
            <w:noWrap w:val="0"/>
            <w:vAlign w:val="center"/>
          </w:tcPr>
          <w:p w14:paraId="25FF2709">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Y＜300</w:t>
            </w:r>
          </w:p>
        </w:tc>
      </w:tr>
      <w:tr w14:paraId="1170E13B">
        <w:tblPrEx>
          <w:tblCellMar>
            <w:top w:w="0" w:type="dxa"/>
            <w:left w:w="108" w:type="dxa"/>
            <w:bottom w:w="0" w:type="dxa"/>
            <w:right w:w="108" w:type="dxa"/>
          </w:tblCellMar>
        </w:tblPrEx>
        <w:trPr>
          <w:trHeight w:val="225" w:hRule="atLeast"/>
        </w:trPr>
        <w:tc>
          <w:tcPr>
            <w:tcW w:w="1701" w:type="dxa"/>
            <w:vMerge w:val="continue"/>
            <w:tcBorders>
              <w:top w:val="nil"/>
              <w:left w:val="single" w:color="auto" w:sz="4" w:space="0"/>
              <w:bottom w:val="single" w:color="auto" w:sz="4" w:space="0"/>
              <w:right w:val="single" w:color="auto" w:sz="4" w:space="0"/>
            </w:tcBorders>
            <w:noWrap w:val="0"/>
            <w:vAlign w:val="center"/>
          </w:tcPr>
          <w:p w14:paraId="2B676DF3">
            <w:pPr>
              <w:widowControl/>
              <w:jc w:val="left"/>
              <w:rPr>
                <w:rFonts w:hint="eastAsia" w:ascii="宋体" w:hAnsi="宋体" w:eastAsia="宋体" w:cs="宋体"/>
                <w:b/>
                <w:bCs/>
                <w:color w:val="auto"/>
                <w:kern w:val="0"/>
                <w:sz w:val="18"/>
                <w:szCs w:val="18"/>
                <w:highlight w:val="none"/>
              </w:rPr>
            </w:pPr>
          </w:p>
        </w:tc>
        <w:tc>
          <w:tcPr>
            <w:tcW w:w="1384" w:type="dxa"/>
            <w:tcBorders>
              <w:top w:val="nil"/>
              <w:left w:val="nil"/>
              <w:bottom w:val="single" w:color="auto" w:sz="4" w:space="0"/>
              <w:right w:val="single" w:color="auto" w:sz="4" w:space="0"/>
            </w:tcBorders>
            <w:noWrap w:val="0"/>
            <w:vAlign w:val="center"/>
          </w:tcPr>
          <w:p w14:paraId="62A4D30B">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资产总额（Z）</w:t>
            </w:r>
          </w:p>
        </w:tc>
        <w:tc>
          <w:tcPr>
            <w:tcW w:w="913" w:type="dxa"/>
            <w:tcBorders>
              <w:top w:val="nil"/>
              <w:left w:val="nil"/>
              <w:bottom w:val="single" w:color="auto" w:sz="4" w:space="0"/>
              <w:right w:val="single" w:color="auto" w:sz="4" w:space="0"/>
            </w:tcBorders>
            <w:noWrap w:val="0"/>
            <w:vAlign w:val="center"/>
          </w:tcPr>
          <w:p w14:paraId="7F5A9C4D">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万元</w:t>
            </w:r>
          </w:p>
        </w:tc>
        <w:tc>
          <w:tcPr>
            <w:tcW w:w="1620" w:type="dxa"/>
            <w:tcBorders>
              <w:top w:val="nil"/>
              <w:left w:val="nil"/>
              <w:bottom w:val="single" w:color="auto" w:sz="4" w:space="0"/>
              <w:right w:val="single" w:color="auto" w:sz="4" w:space="0"/>
            </w:tcBorders>
            <w:noWrap w:val="0"/>
            <w:vAlign w:val="center"/>
          </w:tcPr>
          <w:p w14:paraId="6B52DD49">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5000≤Z＜80000</w:t>
            </w:r>
          </w:p>
        </w:tc>
        <w:tc>
          <w:tcPr>
            <w:tcW w:w="1440" w:type="dxa"/>
            <w:tcBorders>
              <w:top w:val="nil"/>
              <w:left w:val="nil"/>
              <w:bottom w:val="single" w:color="auto" w:sz="4" w:space="0"/>
              <w:right w:val="single" w:color="auto" w:sz="4" w:space="0"/>
            </w:tcBorders>
            <w:noWrap w:val="0"/>
            <w:vAlign w:val="center"/>
          </w:tcPr>
          <w:p w14:paraId="3F1A9189">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300≤Z＜5000</w:t>
            </w:r>
          </w:p>
        </w:tc>
        <w:tc>
          <w:tcPr>
            <w:tcW w:w="925" w:type="dxa"/>
            <w:tcBorders>
              <w:top w:val="nil"/>
              <w:left w:val="nil"/>
              <w:bottom w:val="single" w:color="auto" w:sz="4" w:space="0"/>
              <w:right w:val="single" w:color="auto" w:sz="4" w:space="0"/>
            </w:tcBorders>
            <w:noWrap w:val="0"/>
            <w:vAlign w:val="center"/>
          </w:tcPr>
          <w:p w14:paraId="42D1BFA5">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Z＜300</w:t>
            </w:r>
          </w:p>
        </w:tc>
      </w:tr>
      <w:tr w14:paraId="29EB9370">
        <w:tblPrEx>
          <w:tblCellMar>
            <w:top w:w="0" w:type="dxa"/>
            <w:left w:w="108" w:type="dxa"/>
            <w:bottom w:w="0" w:type="dxa"/>
            <w:right w:w="108" w:type="dxa"/>
          </w:tblCellMar>
        </w:tblPrEx>
        <w:trPr>
          <w:trHeight w:val="225" w:hRule="atLeast"/>
        </w:trPr>
        <w:tc>
          <w:tcPr>
            <w:tcW w:w="1701" w:type="dxa"/>
            <w:vMerge w:val="restart"/>
            <w:tcBorders>
              <w:top w:val="nil"/>
              <w:left w:val="single" w:color="auto" w:sz="4" w:space="0"/>
              <w:bottom w:val="single" w:color="auto" w:sz="4" w:space="0"/>
              <w:right w:val="single" w:color="auto" w:sz="4" w:space="0"/>
            </w:tcBorders>
            <w:noWrap w:val="0"/>
            <w:vAlign w:val="bottom"/>
          </w:tcPr>
          <w:p w14:paraId="5F49F75B">
            <w:pPr>
              <w:widowControl/>
              <w:jc w:val="center"/>
              <w:rPr>
                <w:rFonts w:hint="eastAsia" w:ascii="宋体" w:hAnsi="宋体" w:eastAsia="宋体" w:cs="宋体"/>
                <w:b/>
                <w:bCs/>
                <w:color w:val="auto"/>
                <w:kern w:val="0"/>
                <w:sz w:val="18"/>
                <w:szCs w:val="18"/>
                <w:highlight w:val="none"/>
              </w:rPr>
            </w:pPr>
            <w:r>
              <w:rPr>
                <w:rFonts w:hint="eastAsia" w:ascii="宋体" w:hAnsi="宋体" w:eastAsia="宋体" w:cs="宋体"/>
                <w:b/>
                <w:bCs/>
                <w:color w:val="auto"/>
                <w:kern w:val="0"/>
                <w:sz w:val="18"/>
                <w:szCs w:val="18"/>
                <w:highlight w:val="none"/>
              </w:rPr>
              <w:t>批发业</w:t>
            </w:r>
          </w:p>
        </w:tc>
        <w:tc>
          <w:tcPr>
            <w:tcW w:w="1384" w:type="dxa"/>
            <w:tcBorders>
              <w:top w:val="nil"/>
              <w:left w:val="nil"/>
              <w:bottom w:val="single" w:color="auto" w:sz="4" w:space="0"/>
              <w:right w:val="single" w:color="auto" w:sz="4" w:space="0"/>
            </w:tcBorders>
            <w:noWrap w:val="0"/>
            <w:vAlign w:val="center"/>
          </w:tcPr>
          <w:p w14:paraId="667F97DA">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从业人员（X）</w:t>
            </w:r>
          </w:p>
        </w:tc>
        <w:tc>
          <w:tcPr>
            <w:tcW w:w="913" w:type="dxa"/>
            <w:tcBorders>
              <w:top w:val="nil"/>
              <w:left w:val="nil"/>
              <w:bottom w:val="single" w:color="auto" w:sz="4" w:space="0"/>
              <w:right w:val="single" w:color="auto" w:sz="4" w:space="0"/>
            </w:tcBorders>
            <w:noWrap w:val="0"/>
            <w:vAlign w:val="center"/>
          </w:tcPr>
          <w:p w14:paraId="133EF03F">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人</w:t>
            </w:r>
          </w:p>
        </w:tc>
        <w:tc>
          <w:tcPr>
            <w:tcW w:w="1620" w:type="dxa"/>
            <w:tcBorders>
              <w:top w:val="nil"/>
              <w:left w:val="nil"/>
              <w:bottom w:val="single" w:color="auto" w:sz="4" w:space="0"/>
              <w:right w:val="single" w:color="auto" w:sz="4" w:space="0"/>
            </w:tcBorders>
            <w:noWrap w:val="0"/>
            <w:vAlign w:val="center"/>
          </w:tcPr>
          <w:p w14:paraId="43A0FDE2">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20≤X＜200</w:t>
            </w:r>
          </w:p>
        </w:tc>
        <w:tc>
          <w:tcPr>
            <w:tcW w:w="1440" w:type="dxa"/>
            <w:tcBorders>
              <w:top w:val="nil"/>
              <w:left w:val="nil"/>
              <w:bottom w:val="single" w:color="auto" w:sz="4" w:space="0"/>
              <w:right w:val="single" w:color="auto" w:sz="4" w:space="0"/>
            </w:tcBorders>
            <w:noWrap w:val="0"/>
            <w:vAlign w:val="center"/>
          </w:tcPr>
          <w:p w14:paraId="653DF254">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5≤X＜20</w:t>
            </w:r>
          </w:p>
        </w:tc>
        <w:tc>
          <w:tcPr>
            <w:tcW w:w="925" w:type="dxa"/>
            <w:tcBorders>
              <w:top w:val="nil"/>
              <w:left w:val="nil"/>
              <w:bottom w:val="single" w:color="auto" w:sz="4" w:space="0"/>
              <w:right w:val="single" w:color="auto" w:sz="4" w:space="0"/>
            </w:tcBorders>
            <w:noWrap w:val="0"/>
            <w:vAlign w:val="center"/>
          </w:tcPr>
          <w:p w14:paraId="3CB330D3">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X＜5</w:t>
            </w:r>
          </w:p>
        </w:tc>
      </w:tr>
      <w:tr w14:paraId="69F96429">
        <w:tblPrEx>
          <w:tblCellMar>
            <w:top w:w="0" w:type="dxa"/>
            <w:left w:w="108" w:type="dxa"/>
            <w:bottom w:w="0" w:type="dxa"/>
            <w:right w:w="108" w:type="dxa"/>
          </w:tblCellMar>
        </w:tblPrEx>
        <w:trPr>
          <w:trHeight w:val="225" w:hRule="atLeast"/>
        </w:trPr>
        <w:tc>
          <w:tcPr>
            <w:tcW w:w="1701" w:type="dxa"/>
            <w:vMerge w:val="continue"/>
            <w:tcBorders>
              <w:top w:val="nil"/>
              <w:left w:val="single" w:color="auto" w:sz="4" w:space="0"/>
              <w:bottom w:val="single" w:color="auto" w:sz="4" w:space="0"/>
              <w:right w:val="single" w:color="auto" w:sz="4" w:space="0"/>
            </w:tcBorders>
            <w:noWrap w:val="0"/>
            <w:vAlign w:val="center"/>
          </w:tcPr>
          <w:p w14:paraId="369F86FE">
            <w:pPr>
              <w:widowControl/>
              <w:jc w:val="left"/>
              <w:rPr>
                <w:rFonts w:hint="eastAsia" w:ascii="宋体" w:hAnsi="宋体" w:eastAsia="宋体" w:cs="宋体"/>
                <w:b/>
                <w:bCs/>
                <w:color w:val="auto"/>
                <w:kern w:val="0"/>
                <w:sz w:val="18"/>
                <w:szCs w:val="18"/>
                <w:highlight w:val="none"/>
              </w:rPr>
            </w:pPr>
          </w:p>
        </w:tc>
        <w:tc>
          <w:tcPr>
            <w:tcW w:w="1384" w:type="dxa"/>
            <w:tcBorders>
              <w:top w:val="nil"/>
              <w:left w:val="nil"/>
              <w:bottom w:val="single" w:color="auto" w:sz="4" w:space="0"/>
              <w:right w:val="single" w:color="auto" w:sz="4" w:space="0"/>
            </w:tcBorders>
            <w:noWrap w:val="0"/>
            <w:vAlign w:val="center"/>
          </w:tcPr>
          <w:p w14:paraId="0FEBBF2C">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营业收入（Y）</w:t>
            </w:r>
          </w:p>
        </w:tc>
        <w:tc>
          <w:tcPr>
            <w:tcW w:w="913" w:type="dxa"/>
            <w:tcBorders>
              <w:top w:val="nil"/>
              <w:left w:val="nil"/>
              <w:bottom w:val="single" w:color="auto" w:sz="4" w:space="0"/>
              <w:right w:val="single" w:color="auto" w:sz="4" w:space="0"/>
            </w:tcBorders>
            <w:noWrap w:val="0"/>
            <w:vAlign w:val="center"/>
          </w:tcPr>
          <w:p w14:paraId="10946FA7">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万元</w:t>
            </w:r>
          </w:p>
        </w:tc>
        <w:tc>
          <w:tcPr>
            <w:tcW w:w="1620" w:type="dxa"/>
            <w:tcBorders>
              <w:top w:val="nil"/>
              <w:left w:val="nil"/>
              <w:bottom w:val="single" w:color="auto" w:sz="4" w:space="0"/>
              <w:right w:val="single" w:color="auto" w:sz="4" w:space="0"/>
            </w:tcBorders>
            <w:noWrap w:val="0"/>
            <w:vAlign w:val="center"/>
          </w:tcPr>
          <w:p w14:paraId="1713E9E1">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5000≤Y＜40000</w:t>
            </w:r>
          </w:p>
        </w:tc>
        <w:tc>
          <w:tcPr>
            <w:tcW w:w="1440" w:type="dxa"/>
            <w:tcBorders>
              <w:top w:val="nil"/>
              <w:left w:val="nil"/>
              <w:bottom w:val="single" w:color="auto" w:sz="4" w:space="0"/>
              <w:right w:val="single" w:color="auto" w:sz="4" w:space="0"/>
            </w:tcBorders>
            <w:noWrap w:val="0"/>
            <w:vAlign w:val="center"/>
          </w:tcPr>
          <w:p w14:paraId="663DB510">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1000≤Y＜5000</w:t>
            </w:r>
          </w:p>
        </w:tc>
        <w:tc>
          <w:tcPr>
            <w:tcW w:w="925" w:type="dxa"/>
            <w:tcBorders>
              <w:top w:val="nil"/>
              <w:left w:val="nil"/>
              <w:bottom w:val="single" w:color="auto" w:sz="4" w:space="0"/>
              <w:right w:val="single" w:color="auto" w:sz="4" w:space="0"/>
            </w:tcBorders>
            <w:noWrap w:val="0"/>
            <w:vAlign w:val="center"/>
          </w:tcPr>
          <w:p w14:paraId="2463C45A">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Y＜1000</w:t>
            </w:r>
          </w:p>
        </w:tc>
      </w:tr>
      <w:tr w14:paraId="75D6A319">
        <w:tblPrEx>
          <w:tblCellMar>
            <w:top w:w="0" w:type="dxa"/>
            <w:left w:w="108" w:type="dxa"/>
            <w:bottom w:w="0" w:type="dxa"/>
            <w:right w:w="108" w:type="dxa"/>
          </w:tblCellMar>
        </w:tblPrEx>
        <w:trPr>
          <w:trHeight w:val="225" w:hRule="atLeast"/>
        </w:trPr>
        <w:tc>
          <w:tcPr>
            <w:tcW w:w="1701" w:type="dxa"/>
            <w:vMerge w:val="restart"/>
            <w:tcBorders>
              <w:top w:val="nil"/>
              <w:left w:val="single" w:color="auto" w:sz="4" w:space="0"/>
              <w:bottom w:val="single" w:color="auto" w:sz="4" w:space="0"/>
              <w:right w:val="single" w:color="auto" w:sz="4" w:space="0"/>
            </w:tcBorders>
            <w:noWrap w:val="0"/>
            <w:vAlign w:val="bottom"/>
          </w:tcPr>
          <w:p w14:paraId="7F49FF61">
            <w:pPr>
              <w:widowControl/>
              <w:jc w:val="center"/>
              <w:rPr>
                <w:rFonts w:hint="eastAsia" w:ascii="宋体" w:hAnsi="宋体" w:eastAsia="宋体" w:cs="宋体"/>
                <w:b/>
                <w:bCs/>
                <w:color w:val="auto"/>
                <w:kern w:val="0"/>
                <w:sz w:val="18"/>
                <w:szCs w:val="18"/>
                <w:highlight w:val="none"/>
              </w:rPr>
            </w:pPr>
            <w:r>
              <w:rPr>
                <w:rFonts w:hint="eastAsia" w:ascii="宋体" w:hAnsi="宋体" w:eastAsia="宋体" w:cs="宋体"/>
                <w:b/>
                <w:bCs/>
                <w:color w:val="auto"/>
                <w:kern w:val="0"/>
                <w:sz w:val="18"/>
                <w:szCs w:val="18"/>
                <w:highlight w:val="none"/>
              </w:rPr>
              <w:t>零售业</w:t>
            </w:r>
          </w:p>
        </w:tc>
        <w:tc>
          <w:tcPr>
            <w:tcW w:w="1384" w:type="dxa"/>
            <w:tcBorders>
              <w:top w:val="nil"/>
              <w:left w:val="nil"/>
              <w:bottom w:val="single" w:color="auto" w:sz="4" w:space="0"/>
              <w:right w:val="single" w:color="auto" w:sz="4" w:space="0"/>
            </w:tcBorders>
            <w:noWrap w:val="0"/>
            <w:vAlign w:val="center"/>
          </w:tcPr>
          <w:p w14:paraId="4E173332">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从业人员（X）</w:t>
            </w:r>
          </w:p>
        </w:tc>
        <w:tc>
          <w:tcPr>
            <w:tcW w:w="913" w:type="dxa"/>
            <w:tcBorders>
              <w:top w:val="nil"/>
              <w:left w:val="nil"/>
              <w:bottom w:val="single" w:color="auto" w:sz="4" w:space="0"/>
              <w:right w:val="single" w:color="auto" w:sz="4" w:space="0"/>
            </w:tcBorders>
            <w:noWrap w:val="0"/>
            <w:vAlign w:val="center"/>
          </w:tcPr>
          <w:p w14:paraId="0D1468F2">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人</w:t>
            </w:r>
          </w:p>
        </w:tc>
        <w:tc>
          <w:tcPr>
            <w:tcW w:w="1620" w:type="dxa"/>
            <w:tcBorders>
              <w:top w:val="nil"/>
              <w:left w:val="nil"/>
              <w:bottom w:val="single" w:color="auto" w:sz="4" w:space="0"/>
              <w:right w:val="single" w:color="auto" w:sz="4" w:space="0"/>
            </w:tcBorders>
            <w:noWrap w:val="0"/>
            <w:vAlign w:val="center"/>
          </w:tcPr>
          <w:p w14:paraId="06C8F139">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50≤X＜300</w:t>
            </w:r>
          </w:p>
        </w:tc>
        <w:tc>
          <w:tcPr>
            <w:tcW w:w="1440" w:type="dxa"/>
            <w:tcBorders>
              <w:top w:val="nil"/>
              <w:left w:val="nil"/>
              <w:bottom w:val="single" w:color="auto" w:sz="4" w:space="0"/>
              <w:right w:val="single" w:color="auto" w:sz="4" w:space="0"/>
            </w:tcBorders>
            <w:noWrap w:val="0"/>
            <w:vAlign w:val="center"/>
          </w:tcPr>
          <w:p w14:paraId="0B6A0D8B">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10≤X＜50</w:t>
            </w:r>
          </w:p>
        </w:tc>
        <w:tc>
          <w:tcPr>
            <w:tcW w:w="925" w:type="dxa"/>
            <w:tcBorders>
              <w:top w:val="nil"/>
              <w:left w:val="nil"/>
              <w:bottom w:val="single" w:color="auto" w:sz="4" w:space="0"/>
              <w:right w:val="single" w:color="auto" w:sz="4" w:space="0"/>
            </w:tcBorders>
            <w:noWrap w:val="0"/>
            <w:vAlign w:val="center"/>
          </w:tcPr>
          <w:p w14:paraId="56F54576">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X＜10</w:t>
            </w:r>
          </w:p>
        </w:tc>
      </w:tr>
      <w:tr w14:paraId="79FCBE23">
        <w:tblPrEx>
          <w:tblCellMar>
            <w:top w:w="0" w:type="dxa"/>
            <w:left w:w="108" w:type="dxa"/>
            <w:bottom w:w="0" w:type="dxa"/>
            <w:right w:w="108" w:type="dxa"/>
          </w:tblCellMar>
        </w:tblPrEx>
        <w:trPr>
          <w:trHeight w:val="225" w:hRule="atLeast"/>
        </w:trPr>
        <w:tc>
          <w:tcPr>
            <w:tcW w:w="1701" w:type="dxa"/>
            <w:vMerge w:val="continue"/>
            <w:tcBorders>
              <w:top w:val="nil"/>
              <w:left w:val="single" w:color="auto" w:sz="4" w:space="0"/>
              <w:bottom w:val="single" w:color="auto" w:sz="4" w:space="0"/>
              <w:right w:val="single" w:color="auto" w:sz="4" w:space="0"/>
            </w:tcBorders>
            <w:noWrap w:val="0"/>
            <w:vAlign w:val="center"/>
          </w:tcPr>
          <w:p w14:paraId="732BD127">
            <w:pPr>
              <w:widowControl/>
              <w:jc w:val="left"/>
              <w:rPr>
                <w:rFonts w:hint="eastAsia" w:ascii="宋体" w:hAnsi="宋体" w:eastAsia="宋体" w:cs="宋体"/>
                <w:b/>
                <w:bCs/>
                <w:color w:val="auto"/>
                <w:kern w:val="0"/>
                <w:sz w:val="18"/>
                <w:szCs w:val="18"/>
                <w:highlight w:val="none"/>
              </w:rPr>
            </w:pPr>
          </w:p>
        </w:tc>
        <w:tc>
          <w:tcPr>
            <w:tcW w:w="1384" w:type="dxa"/>
            <w:tcBorders>
              <w:top w:val="nil"/>
              <w:left w:val="nil"/>
              <w:bottom w:val="single" w:color="auto" w:sz="4" w:space="0"/>
              <w:right w:val="single" w:color="auto" w:sz="4" w:space="0"/>
            </w:tcBorders>
            <w:noWrap w:val="0"/>
            <w:vAlign w:val="center"/>
          </w:tcPr>
          <w:p w14:paraId="7B31E611">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营业收入（Y）</w:t>
            </w:r>
          </w:p>
        </w:tc>
        <w:tc>
          <w:tcPr>
            <w:tcW w:w="913" w:type="dxa"/>
            <w:tcBorders>
              <w:top w:val="nil"/>
              <w:left w:val="nil"/>
              <w:bottom w:val="single" w:color="auto" w:sz="4" w:space="0"/>
              <w:right w:val="single" w:color="auto" w:sz="4" w:space="0"/>
            </w:tcBorders>
            <w:noWrap w:val="0"/>
            <w:vAlign w:val="center"/>
          </w:tcPr>
          <w:p w14:paraId="5D70CBDC">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万元</w:t>
            </w:r>
          </w:p>
        </w:tc>
        <w:tc>
          <w:tcPr>
            <w:tcW w:w="1620" w:type="dxa"/>
            <w:tcBorders>
              <w:top w:val="nil"/>
              <w:left w:val="nil"/>
              <w:bottom w:val="single" w:color="auto" w:sz="4" w:space="0"/>
              <w:right w:val="single" w:color="auto" w:sz="4" w:space="0"/>
            </w:tcBorders>
            <w:noWrap w:val="0"/>
            <w:vAlign w:val="center"/>
          </w:tcPr>
          <w:p w14:paraId="676EA127">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500≤Y＜20000</w:t>
            </w:r>
          </w:p>
        </w:tc>
        <w:tc>
          <w:tcPr>
            <w:tcW w:w="1440" w:type="dxa"/>
            <w:tcBorders>
              <w:top w:val="nil"/>
              <w:left w:val="nil"/>
              <w:bottom w:val="single" w:color="auto" w:sz="4" w:space="0"/>
              <w:right w:val="single" w:color="auto" w:sz="4" w:space="0"/>
            </w:tcBorders>
            <w:noWrap w:val="0"/>
            <w:vAlign w:val="center"/>
          </w:tcPr>
          <w:p w14:paraId="240BD0D1">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100≤Y＜500</w:t>
            </w:r>
          </w:p>
        </w:tc>
        <w:tc>
          <w:tcPr>
            <w:tcW w:w="925" w:type="dxa"/>
            <w:tcBorders>
              <w:top w:val="nil"/>
              <w:left w:val="nil"/>
              <w:bottom w:val="single" w:color="auto" w:sz="4" w:space="0"/>
              <w:right w:val="single" w:color="auto" w:sz="4" w:space="0"/>
            </w:tcBorders>
            <w:noWrap w:val="0"/>
            <w:vAlign w:val="center"/>
          </w:tcPr>
          <w:p w14:paraId="400F063E">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Y＜100</w:t>
            </w:r>
          </w:p>
        </w:tc>
      </w:tr>
      <w:tr w14:paraId="5A5955E9">
        <w:tblPrEx>
          <w:tblCellMar>
            <w:top w:w="0" w:type="dxa"/>
            <w:left w:w="108" w:type="dxa"/>
            <w:bottom w:w="0" w:type="dxa"/>
            <w:right w:w="108" w:type="dxa"/>
          </w:tblCellMar>
        </w:tblPrEx>
        <w:trPr>
          <w:trHeight w:val="225" w:hRule="atLeast"/>
        </w:trPr>
        <w:tc>
          <w:tcPr>
            <w:tcW w:w="1701" w:type="dxa"/>
            <w:vMerge w:val="restart"/>
            <w:tcBorders>
              <w:top w:val="nil"/>
              <w:left w:val="single" w:color="auto" w:sz="4" w:space="0"/>
              <w:bottom w:val="single" w:color="auto" w:sz="4" w:space="0"/>
              <w:right w:val="single" w:color="auto" w:sz="4" w:space="0"/>
            </w:tcBorders>
            <w:noWrap w:val="0"/>
            <w:vAlign w:val="bottom"/>
          </w:tcPr>
          <w:p w14:paraId="23EFA723">
            <w:pPr>
              <w:widowControl/>
              <w:jc w:val="center"/>
              <w:rPr>
                <w:rFonts w:hint="eastAsia" w:ascii="宋体" w:hAnsi="宋体" w:eastAsia="宋体" w:cs="宋体"/>
                <w:b/>
                <w:bCs/>
                <w:color w:val="auto"/>
                <w:kern w:val="0"/>
                <w:sz w:val="18"/>
                <w:szCs w:val="18"/>
                <w:highlight w:val="none"/>
              </w:rPr>
            </w:pPr>
            <w:r>
              <w:rPr>
                <w:rFonts w:hint="eastAsia" w:ascii="宋体" w:hAnsi="宋体" w:eastAsia="宋体" w:cs="宋体"/>
                <w:b/>
                <w:bCs/>
                <w:color w:val="auto"/>
                <w:kern w:val="0"/>
                <w:sz w:val="18"/>
                <w:szCs w:val="18"/>
                <w:highlight w:val="none"/>
              </w:rPr>
              <w:t>交通运输业</w:t>
            </w:r>
          </w:p>
        </w:tc>
        <w:tc>
          <w:tcPr>
            <w:tcW w:w="1384" w:type="dxa"/>
            <w:tcBorders>
              <w:top w:val="nil"/>
              <w:left w:val="nil"/>
              <w:bottom w:val="single" w:color="auto" w:sz="4" w:space="0"/>
              <w:right w:val="single" w:color="auto" w:sz="4" w:space="0"/>
            </w:tcBorders>
            <w:noWrap w:val="0"/>
            <w:vAlign w:val="center"/>
          </w:tcPr>
          <w:p w14:paraId="0830E140">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从业人员（X）</w:t>
            </w:r>
          </w:p>
        </w:tc>
        <w:tc>
          <w:tcPr>
            <w:tcW w:w="913" w:type="dxa"/>
            <w:tcBorders>
              <w:top w:val="nil"/>
              <w:left w:val="nil"/>
              <w:bottom w:val="single" w:color="auto" w:sz="4" w:space="0"/>
              <w:right w:val="single" w:color="auto" w:sz="4" w:space="0"/>
            </w:tcBorders>
            <w:noWrap w:val="0"/>
            <w:vAlign w:val="center"/>
          </w:tcPr>
          <w:p w14:paraId="09BAF24D">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人</w:t>
            </w:r>
          </w:p>
        </w:tc>
        <w:tc>
          <w:tcPr>
            <w:tcW w:w="1620" w:type="dxa"/>
            <w:tcBorders>
              <w:top w:val="nil"/>
              <w:left w:val="nil"/>
              <w:bottom w:val="single" w:color="auto" w:sz="4" w:space="0"/>
              <w:right w:val="single" w:color="auto" w:sz="4" w:space="0"/>
            </w:tcBorders>
            <w:noWrap w:val="0"/>
            <w:vAlign w:val="center"/>
          </w:tcPr>
          <w:p w14:paraId="4B04D2B6">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300≤X＜1000</w:t>
            </w:r>
          </w:p>
        </w:tc>
        <w:tc>
          <w:tcPr>
            <w:tcW w:w="1440" w:type="dxa"/>
            <w:tcBorders>
              <w:top w:val="nil"/>
              <w:left w:val="nil"/>
              <w:bottom w:val="single" w:color="auto" w:sz="4" w:space="0"/>
              <w:right w:val="single" w:color="auto" w:sz="4" w:space="0"/>
            </w:tcBorders>
            <w:noWrap w:val="0"/>
            <w:vAlign w:val="center"/>
          </w:tcPr>
          <w:p w14:paraId="51BCD520">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20≤X＜300</w:t>
            </w:r>
          </w:p>
        </w:tc>
        <w:tc>
          <w:tcPr>
            <w:tcW w:w="925" w:type="dxa"/>
            <w:tcBorders>
              <w:top w:val="nil"/>
              <w:left w:val="nil"/>
              <w:bottom w:val="single" w:color="auto" w:sz="4" w:space="0"/>
              <w:right w:val="single" w:color="auto" w:sz="4" w:space="0"/>
            </w:tcBorders>
            <w:noWrap w:val="0"/>
            <w:vAlign w:val="center"/>
          </w:tcPr>
          <w:p w14:paraId="3806F642">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X＜20</w:t>
            </w:r>
          </w:p>
        </w:tc>
      </w:tr>
      <w:tr w14:paraId="1C564D2E">
        <w:tblPrEx>
          <w:tblCellMar>
            <w:top w:w="0" w:type="dxa"/>
            <w:left w:w="108" w:type="dxa"/>
            <w:bottom w:w="0" w:type="dxa"/>
            <w:right w:w="108" w:type="dxa"/>
          </w:tblCellMar>
        </w:tblPrEx>
        <w:trPr>
          <w:trHeight w:val="225" w:hRule="atLeast"/>
        </w:trPr>
        <w:tc>
          <w:tcPr>
            <w:tcW w:w="1701" w:type="dxa"/>
            <w:vMerge w:val="continue"/>
            <w:tcBorders>
              <w:top w:val="nil"/>
              <w:left w:val="single" w:color="auto" w:sz="4" w:space="0"/>
              <w:bottom w:val="single" w:color="auto" w:sz="4" w:space="0"/>
              <w:right w:val="single" w:color="auto" w:sz="4" w:space="0"/>
            </w:tcBorders>
            <w:noWrap w:val="0"/>
            <w:vAlign w:val="center"/>
          </w:tcPr>
          <w:p w14:paraId="2499ED46">
            <w:pPr>
              <w:widowControl/>
              <w:jc w:val="left"/>
              <w:rPr>
                <w:rFonts w:hint="eastAsia" w:ascii="宋体" w:hAnsi="宋体" w:eastAsia="宋体" w:cs="宋体"/>
                <w:b/>
                <w:bCs/>
                <w:color w:val="auto"/>
                <w:kern w:val="0"/>
                <w:sz w:val="18"/>
                <w:szCs w:val="18"/>
                <w:highlight w:val="none"/>
              </w:rPr>
            </w:pPr>
          </w:p>
        </w:tc>
        <w:tc>
          <w:tcPr>
            <w:tcW w:w="1384" w:type="dxa"/>
            <w:tcBorders>
              <w:top w:val="nil"/>
              <w:left w:val="nil"/>
              <w:bottom w:val="single" w:color="auto" w:sz="4" w:space="0"/>
              <w:right w:val="single" w:color="auto" w:sz="4" w:space="0"/>
            </w:tcBorders>
            <w:noWrap w:val="0"/>
            <w:vAlign w:val="center"/>
          </w:tcPr>
          <w:p w14:paraId="616C6C91">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营业收入（Y）</w:t>
            </w:r>
          </w:p>
        </w:tc>
        <w:tc>
          <w:tcPr>
            <w:tcW w:w="913" w:type="dxa"/>
            <w:tcBorders>
              <w:top w:val="nil"/>
              <w:left w:val="nil"/>
              <w:bottom w:val="single" w:color="auto" w:sz="4" w:space="0"/>
              <w:right w:val="single" w:color="auto" w:sz="4" w:space="0"/>
            </w:tcBorders>
            <w:noWrap w:val="0"/>
            <w:vAlign w:val="center"/>
          </w:tcPr>
          <w:p w14:paraId="3622BB12">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万元</w:t>
            </w:r>
          </w:p>
        </w:tc>
        <w:tc>
          <w:tcPr>
            <w:tcW w:w="1620" w:type="dxa"/>
            <w:tcBorders>
              <w:top w:val="nil"/>
              <w:left w:val="nil"/>
              <w:bottom w:val="single" w:color="auto" w:sz="4" w:space="0"/>
              <w:right w:val="single" w:color="auto" w:sz="4" w:space="0"/>
            </w:tcBorders>
            <w:noWrap w:val="0"/>
            <w:vAlign w:val="center"/>
          </w:tcPr>
          <w:p w14:paraId="59C34059">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3000≤Y＜30000</w:t>
            </w:r>
          </w:p>
        </w:tc>
        <w:tc>
          <w:tcPr>
            <w:tcW w:w="1440" w:type="dxa"/>
            <w:tcBorders>
              <w:top w:val="nil"/>
              <w:left w:val="nil"/>
              <w:bottom w:val="single" w:color="auto" w:sz="4" w:space="0"/>
              <w:right w:val="single" w:color="auto" w:sz="4" w:space="0"/>
            </w:tcBorders>
            <w:noWrap w:val="0"/>
            <w:vAlign w:val="center"/>
          </w:tcPr>
          <w:p w14:paraId="7E612839">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200≤Y＜3000</w:t>
            </w:r>
          </w:p>
        </w:tc>
        <w:tc>
          <w:tcPr>
            <w:tcW w:w="925" w:type="dxa"/>
            <w:tcBorders>
              <w:top w:val="nil"/>
              <w:left w:val="nil"/>
              <w:bottom w:val="single" w:color="auto" w:sz="4" w:space="0"/>
              <w:right w:val="single" w:color="auto" w:sz="4" w:space="0"/>
            </w:tcBorders>
            <w:noWrap w:val="0"/>
            <w:vAlign w:val="center"/>
          </w:tcPr>
          <w:p w14:paraId="6B07573D">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Y＜200</w:t>
            </w:r>
          </w:p>
        </w:tc>
      </w:tr>
      <w:tr w14:paraId="2545ACBB">
        <w:tblPrEx>
          <w:tblCellMar>
            <w:top w:w="0" w:type="dxa"/>
            <w:left w:w="108" w:type="dxa"/>
            <w:bottom w:w="0" w:type="dxa"/>
            <w:right w:w="108" w:type="dxa"/>
          </w:tblCellMar>
        </w:tblPrEx>
        <w:trPr>
          <w:trHeight w:val="225" w:hRule="atLeast"/>
        </w:trPr>
        <w:tc>
          <w:tcPr>
            <w:tcW w:w="1701" w:type="dxa"/>
            <w:vMerge w:val="restart"/>
            <w:tcBorders>
              <w:top w:val="nil"/>
              <w:left w:val="single" w:color="auto" w:sz="4" w:space="0"/>
              <w:bottom w:val="single" w:color="auto" w:sz="4" w:space="0"/>
              <w:right w:val="single" w:color="auto" w:sz="4" w:space="0"/>
            </w:tcBorders>
            <w:noWrap w:val="0"/>
            <w:vAlign w:val="bottom"/>
          </w:tcPr>
          <w:p w14:paraId="0BB1170A">
            <w:pPr>
              <w:widowControl/>
              <w:jc w:val="center"/>
              <w:rPr>
                <w:rFonts w:hint="eastAsia" w:ascii="宋体" w:hAnsi="宋体" w:eastAsia="宋体" w:cs="宋体"/>
                <w:b/>
                <w:bCs/>
                <w:color w:val="auto"/>
                <w:kern w:val="0"/>
                <w:sz w:val="18"/>
                <w:szCs w:val="18"/>
                <w:highlight w:val="none"/>
              </w:rPr>
            </w:pPr>
            <w:r>
              <w:rPr>
                <w:rFonts w:hint="eastAsia" w:ascii="宋体" w:hAnsi="宋体" w:eastAsia="宋体" w:cs="宋体"/>
                <w:b/>
                <w:bCs/>
                <w:color w:val="auto"/>
                <w:kern w:val="0"/>
                <w:sz w:val="18"/>
                <w:szCs w:val="18"/>
                <w:highlight w:val="none"/>
              </w:rPr>
              <w:t>仓储业</w:t>
            </w:r>
          </w:p>
        </w:tc>
        <w:tc>
          <w:tcPr>
            <w:tcW w:w="1384" w:type="dxa"/>
            <w:tcBorders>
              <w:top w:val="nil"/>
              <w:left w:val="nil"/>
              <w:bottom w:val="single" w:color="auto" w:sz="4" w:space="0"/>
              <w:right w:val="single" w:color="auto" w:sz="4" w:space="0"/>
            </w:tcBorders>
            <w:noWrap w:val="0"/>
            <w:vAlign w:val="center"/>
          </w:tcPr>
          <w:p w14:paraId="2B4EC4A0">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从业人员（X）</w:t>
            </w:r>
          </w:p>
        </w:tc>
        <w:tc>
          <w:tcPr>
            <w:tcW w:w="913" w:type="dxa"/>
            <w:tcBorders>
              <w:top w:val="nil"/>
              <w:left w:val="nil"/>
              <w:bottom w:val="single" w:color="auto" w:sz="4" w:space="0"/>
              <w:right w:val="single" w:color="auto" w:sz="4" w:space="0"/>
            </w:tcBorders>
            <w:noWrap w:val="0"/>
            <w:vAlign w:val="center"/>
          </w:tcPr>
          <w:p w14:paraId="40AD9AB8">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人</w:t>
            </w:r>
          </w:p>
        </w:tc>
        <w:tc>
          <w:tcPr>
            <w:tcW w:w="1620" w:type="dxa"/>
            <w:tcBorders>
              <w:top w:val="nil"/>
              <w:left w:val="nil"/>
              <w:bottom w:val="single" w:color="auto" w:sz="4" w:space="0"/>
              <w:right w:val="single" w:color="auto" w:sz="4" w:space="0"/>
            </w:tcBorders>
            <w:noWrap w:val="0"/>
            <w:vAlign w:val="center"/>
          </w:tcPr>
          <w:p w14:paraId="54E4628C">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100≤X＜200</w:t>
            </w:r>
          </w:p>
        </w:tc>
        <w:tc>
          <w:tcPr>
            <w:tcW w:w="1440" w:type="dxa"/>
            <w:tcBorders>
              <w:top w:val="nil"/>
              <w:left w:val="nil"/>
              <w:bottom w:val="single" w:color="auto" w:sz="4" w:space="0"/>
              <w:right w:val="single" w:color="auto" w:sz="4" w:space="0"/>
            </w:tcBorders>
            <w:noWrap w:val="0"/>
            <w:vAlign w:val="center"/>
          </w:tcPr>
          <w:p w14:paraId="2106D19F">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20≤X＜100</w:t>
            </w:r>
          </w:p>
        </w:tc>
        <w:tc>
          <w:tcPr>
            <w:tcW w:w="925" w:type="dxa"/>
            <w:tcBorders>
              <w:top w:val="nil"/>
              <w:left w:val="nil"/>
              <w:bottom w:val="single" w:color="auto" w:sz="4" w:space="0"/>
              <w:right w:val="single" w:color="auto" w:sz="4" w:space="0"/>
            </w:tcBorders>
            <w:noWrap w:val="0"/>
            <w:vAlign w:val="center"/>
          </w:tcPr>
          <w:p w14:paraId="610C9185">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X＜20</w:t>
            </w:r>
          </w:p>
        </w:tc>
      </w:tr>
      <w:tr w14:paraId="1441AFA5">
        <w:tblPrEx>
          <w:tblCellMar>
            <w:top w:w="0" w:type="dxa"/>
            <w:left w:w="108" w:type="dxa"/>
            <w:bottom w:w="0" w:type="dxa"/>
            <w:right w:w="108" w:type="dxa"/>
          </w:tblCellMar>
        </w:tblPrEx>
        <w:trPr>
          <w:trHeight w:val="225" w:hRule="atLeast"/>
        </w:trPr>
        <w:tc>
          <w:tcPr>
            <w:tcW w:w="1701" w:type="dxa"/>
            <w:vMerge w:val="continue"/>
            <w:tcBorders>
              <w:top w:val="nil"/>
              <w:left w:val="single" w:color="auto" w:sz="4" w:space="0"/>
              <w:bottom w:val="single" w:color="auto" w:sz="4" w:space="0"/>
              <w:right w:val="single" w:color="auto" w:sz="4" w:space="0"/>
            </w:tcBorders>
            <w:noWrap w:val="0"/>
            <w:vAlign w:val="center"/>
          </w:tcPr>
          <w:p w14:paraId="2C8CFEF7">
            <w:pPr>
              <w:widowControl/>
              <w:jc w:val="left"/>
              <w:rPr>
                <w:rFonts w:hint="eastAsia" w:ascii="宋体" w:hAnsi="宋体" w:eastAsia="宋体" w:cs="宋体"/>
                <w:b/>
                <w:bCs/>
                <w:color w:val="auto"/>
                <w:kern w:val="0"/>
                <w:sz w:val="18"/>
                <w:szCs w:val="18"/>
                <w:highlight w:val="none"/>
              </w:rPr>
            </w:pPr>
          </w:p>
        </w:tc>
        <w:tc>
          <w:tcPr>
            <w:tcW w:w="1384" w:type="dxa"/>
            <w:tcBorders>
              <w:top w:val="nil"/>
              <w:left w:val="nil"/>
              <w:bottom w:val="single" w:color="auto" w:sz="4" w:space="0"/>
              <w:right w:val="single" w:color="auto" w:sz="4" w:space="0"/>
            </w:tcBorders>
            <w:noWrap w:val="0"/>
            <w:vAlign w:val="center"/>
          </w:tcPr>
          <w:p w14:paraId="26CE7183">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营业收入（Y）</w:t>
            </w:r>
          </w:p>
        </w:tc>
        <w:tc>
          <w:tcPr>
            <w:tcW w:w="913" w:type="dxa"/>
            <w:tcBorders>
              <w:top w:val="nil"/>
              <w:left w:val="nil"/>
              <w:bottom w:val="single" w:color="auto" w:sz="4" w:space="0"/>
              <w:right w:val="single" w:color="auto" w:sz="4" w:space="0"/>
            </w:tcBorders>
            <w:noWrap w:val="0"/>
            <w:vAlign w:val="center"/>
          </w:tcPr>
          <w:p w14:paraId="2436FD1F">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万元</w:t>
            </w:r>
          </w:p>
        </w:tc>
        <w:tc>
          <w:tcPr>
            <w:tcW w:w="1620" w:type="dxa"/>
            <w:tcBorders>
              <w:top w:val="nil"/>
              <w:left w:val="nil"/>
              <w:bottom w:val="single" w:color="auto" w:sz="4" w:space="0"/>
              <w:right w:val="single" w:color="auto" w:sz="4" w:space="0"/>
            </w:tcBorders>
            <w:noWrap w:val="0"/>
            <w:vAlign w:val="center"/>
          </w:tcPr>
          <w:p w14:paraId="4AD096D9">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1000≤Y＜30000</w:t>
            </w:r>
          </w:p>
        </w:tc>
        <w:tc>
          <w:tcPr>
            <w:tcW w:w="1440" w:type="dxa"/>
            <w:tcBorders>
              <w:top w:val="nil"/>
              <w:left w:val="nil"/>
              <w:bottom w:val="single" w:color="auto" w:sz="4" w:space="0"/>
              <w:right w:val="single" w:color="auto" w:sz="4" w:space="0"/>
            </w:tcBorders>
            <w:noWrap w:val="0"/>
            <w:vAlign w:val="center"/>
          </w:tcPr>
          <w:p w14:paraId="422F2082">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100≤Y＜1000</w:t>
            </w:r>
          </w:p>
        </w:tc>
        <w:tc>
          <w:tcPr>
            <w:tcW w:w="925" w:type="dxa"/>
            <w:tcBorders>
              <w:top w:val="nil"/>
              <w:left w:val="nil"/>
              <w:bottom w:val="single" w:color="auto" w:sz="4" w:space="0"/>
              <w:right w:val="single" w:color="auto" w:sz="4" w:space="0"/>
            </w:tcBorders>
            <w:noWrap w:val="0"/>
            <w:vAlign w:val="center"/>
          </w:tcPr>
          <w:p w14:paraId="687BACF9">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Y＜100</w:t>
            </w:r>
          </w:p>
        </w:tc>
      </w:tr>
      <w:tr w14:paraId="015EE6CB">
        <w:tblPrEx>
          <w:tblCellMar>
            <w:top w:w="0" w:type="dxa"/>
            <w:left w:w="108" w:type="dxa"/>
            <w:bottom w:w="0" w:type="dxa"/>
            <w:right w:w="108" w:type="dxa"/>
          </w:tblCellMar>
        </w:tblPrEx>
        <w:trPr>
          <w:trHeight w:val="225" w:hRule="atLeast"/>
        </w:trPr>
        <w:tc>
          <w:tcPr>
            <w:tcW w:w="1701" w:type="dxa"/>
            <w:vMerge w:val="restart"/>
            <w:tcBorders>
              <w:top w:val="nil"/>
              <w:left w:val="single" w:color="auto" w:sz="4" w:space="0"/>
              <w:bottom w:val="single" w:color="auto" w:sz="4" w:space="0"/>
              <w:right w:val="single" w:color="auto" w:sz="4" w:space="0"/>
            </w:tcBorders>
            <w:noWrap w:val="0"/>
            <w:vAlign w:val="bottom"/>
          </w:tcPr>
          <w:p w14:paraId="2D32B607">
            <w:pPr>
              <w:widowControl/>
              <w:jc w:val="center"/>
              <w:rPr>
                <w:rFonts w:hint="eastAsia" w:ascii="宋体" w:hAnsi="宋体" w:eastAsia="宋体" w:cs="宋体"/>
                <w:b/>
                <w:bCs/>
                <w:color w:val="auto"/>
                <w:kern w:val="0"/>
                <w:sz w:val="18"/>
                <w:szCs w:val="18"/>
                <w:highlight w:val="none"/>
              </w:rPr>
            </w:pPr>
            <w:r>
              <w:rPr>
                <w:rFonts w:hint="eastAsia" w:ascii="宋体" w:hAnsi="宋体" w:eastAsia="宋体" w:cs="宋体"/>
                <w:b/>
                <w:bCs/>
                <w:color w:val="auto"/>
                <w:kern w:val="0"/>
                <w:sz w:val="18"/>
                <w:szCs w:val="18"/>
                <w:highlight w:val="none"/>
              </w:rPr>
              <w:t>邮政业</w:t>
            </w:r>
          </w:p>
        </w:tc>
        <w:tc>
          <w:tcPr>
            <w:tcW w:w="1384" w:type="dxa"/>
            <w:tcBorders>
              <w:top w:val="nil"/>
              <w:left w:val="nil"/>
              <w:bottom w:val="single" w:color="auto" w:sz="4" w:space="0"/>
              <w:right w:val="single" w:color="auto" w:sz="4" w:space="0"/>
            </w:tcBorders>
            <w:noWrap w:val="0"/>
            <w:vAlign w:val="center"/>
          </w:tcPr>
          <w:p w14:paraId="0A171423">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从业人员（X）</w:t>
            </w:r>
          </w:p>
        </w:tc>
        <w:tc>
          <w:tcPr>
            <w:tcW w:w="913" w:type="dxa"/>
            <w:tcBorders>
              <w:top w:val="nil"/>
              <w:left w:val="nil"/>
              <w:bottom w:val="single" w:color="auto" w:sz="4" w:space="0"/>
              <w:right w:val="single" w:color="auto" w:sz="4" w:space="0"/>
            </w:tcBorders>
            <w:noWrap w:val="0"/>
            <w:vAlign w:val="center"/>
          </w:tcPr>
          <w:p w14:paraId="66F51F96">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人</w:t>
            </w:r>
          </w:p>
        </w:tc>
        <w:tc>
          <w:tcPr>
            <w:tcW w:w="1620" w:type="dxa"/>
            <w:tcBorders>
              <w:top w:val="nil"/>
              <w:left w:val="nil"/>
              <w:bottom w:val="single" w:color="auto" w:sz="4" w:space="0"/>
              <w:right w:val="single" w:color="auto" w:sz="4" w:space="0"/>
            </w:tcBorders>
            <w:noWrap w:val="0"/>
            <w:vAlign w:val="center"/>
          </w:tcPr>
          <w:p w14:paraId="12A481AD">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300≤X＜1000</w:t>
            </w:r>
          </w:p>
        </w:tc>
        <w:tc>
          <w:tcPr>
            <w:tcW w:w="1440" w:type="dxa"/>
            <w:tcBorders>
              <w:top w:val="nil"/>
              <w:left w:val="nil"/>
              <w:bottom w:val="single" w:color="auto" w:sz="4" w:space="0"/>
              <w:right w:val="single" w:color="auto" w:sz="4" w:space="0"/>
            </w:tcBorders>
            <w:noWrap w:val="0"/>
            <w:vAlign w:val="center"/>
          </w:tcPr>
          <w:p w14:paraId="5F64461A">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20≤X＜300</w:t>
            </w:r>
          </w:p>
        </w:tc>
        <w:tc>
          <w:tcPr>
            <w:tcW w:w="925" w:type="dxa"/>
            <w:tcBorders>
              <w:top w:val="nil"/>
              <w:left w:val="nil"/>
              <w:bottom w:val="single" w:color="auto" w:sz="4" w:space="0"/>
              <w:right w:val="single" w:color="auto" w:sz="4" w:space="0"/>
            </w:tcBorders>
            <w:noWrap w:val="0"/>
            <w:vAlign w:val="center"/>
          </w:tcPr>
          <w:p w14:paraId="070DF758">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X＜20</w:t>
            </w:r>
          </w:p>
        </w:tc>
      </w:tr>
      <w:tr w14:paraId="58FBB6BB">
        <w:tblPrEx>
          <w:tblCellMar>
            <w:top w:w="0" w:type="dxa"/>
            <w:left w:w="108" w:type="dxa"/>
            <w:bottom w:w="0" w:type="dxa"/>
            <w:right w:w="108" w:type="dxa"/>
          </w:tblCellMar>
        </w:tblPrEx>
        <w:trPr>
          <w:trHeight w:val="225" w:hRule="atLeast"/>
        </w:trPr>
        <w:tc>
          <w:tcPr>
            <w:tcW w:w="1701" w:type="dxa"/>
            <w:vMerge w:val="continue"/>
            <w:tcBorders>
              <w:top w:val="nil"/>
              <w:left w:val="single" w:color="auto" w:sz="4" w:space="0"/>
              <w:bottom w:val="single" w:color="auto" w:sz="4" w:space="0"/>
              <w:right w:val="single" w:color="auto" w:sz="4" w:space="0"/>
            </w:tcBorders>
            <w:noWrap w:val="0"/>
            <w:vAlign w:val="center"/>
          </w:tcPr>
          <w:p w14:paraId="13C27305">
            <w:pPr>
              <w:widowControl/>
              <w:jc w:val="left"/>
              <w:rPr>
                <w:rFonts w:hint="eastAsia" w:ascii="宋体" w:hAnsi="宋体" w:eastAsia="宋体" w:cs="宋体"/>
                <w:b/>
                <w:bCs/>
                <w:color w:val="auto"/>
                <w:kern w:val="0"/>
                <w:sz w:val="18"/>
                <w:szCs w:val="18"/>
                <w:highlight w:val="none"/>
              </w:rPr>
            </w:pPr>
          </w:p>
        </w:tc>
        <w:tc>
          <w:tcPr>
            <w:tcW w:w="1384" w:type="dxa"/>
            <w:tcBorders>
              <w:top w:val="nil"/>
              <w:left w:val="nil"/>
              <w:bottom w:val="single" w:color="auto" w:sz="4" w:space="0"/>
              <w:right w:val="single" w:color="auto" w:sz="4" w:space="0"/>
            </w:tcBorders>
            <w:noWrap w:val="0"/>
            <w:vAlign w:val="center"/>
          </w:tcPr>
          <w:p w14:paraId="5E848244">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营业收入（Y）</w:t>
            </w:r>
          </w:p>
        </w:tc>
        <w:tc>
          <w:tcPr>
            <w:tcW w:w="913" w:type="dxa"/>
            <w:tcBorders>
              <w:top w:val="nil"/>
              <w:left w:val="nil"/>
              <w:bottom w:val="single" w:color="auto" w:sz="4" w:space="0"/>
              <w:right w:val="single" w:color="auto" w:sz="4" w:space="0"/>
            </w:tcBorders>
            <w:noWrap w:val="0"/>
            <w:vAlign w:val="center"/>
          </w:tcPr>
          <w:p w14:paraId="00B14622">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万元</w:t>
            </w:r>
          </w:p>
        </w:tc>
        <w:tc>
          <w:tcPr>
            <w:tcW w:w="1620" w:type="dxa"/>
            <w:tcBorders>
              <w:top w:val="nil"/>
              <w:left w:val="nil"/>
              <w:bottom w:val="single" w:color="auto" w:sz="4" w:space="0"/>
              <w:right w:val="single" w:color="auto" w:sz="4" w:space="0"/>
            </w:tcBorders>
            <w:noWrap w:val="0"/>
            <w:vAlign w:val="center"/>
          </w:tcPr>
          <w:p w14:paraId="4AD1D724">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2000≤Y＜30000</w:t>
            </w:r>
          </w:p>
        </w:tc>
        <w:tc>
          <w:tcPr>
            <w:tcW w:w="1440" w:type="dxa"/>
            <w:tcBorders>
              <w:top w:val="nil"/>
              <w:left w:val="nil"/>
              <w:bottom w:val="single" w:color="auto" w:sz="4" w:space="0"/>
              <w:right w:val="single" w:color="auto" w:sz="4" w:space="0"/>
            </w:tcBorders>
            <w:noWrap w:val="0"/>
            <w:vAlign w:val="center"/>
          </w:tcPr>
          <w:p w14:paraId="3AEBF6FB">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100≤Y＜2000</w:t>
            </w:r>
          </w:p>
        </w:tc>
        <w:tc>
          <w:tcPr>
            <w:tcW w:w="925" w:type="dxa"/>
            <w:tcBorders>
              <w:top w:val="nil"/>
              <w:left w:val="nil"/>
              <w:bottom w:val="single" w:color="auto" w:sz="4" w:space="0"/>
              <w:right w:val="single" w:color="auto" w:sz="4" w:space="0"/>
            </w:tcBorders>
            <w:noWrap w:val="0"/>
            <w:vAlign w:val="center"/>
          </w:tcPr>
          <w:p w14:paraId="0640456C">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Y＜100</w:t>
            </w:r>
          </w:p>
        </w:tc>
      </w:tr>
      <w:tr w14:paraId="4F868540">
        <w:tblPrEx>
          <w:tblCellMar>
            <w:top w:w="0" w:type="dxa"/>
            <w:left w:w="108" w:type="dxa"/>
            <w:bottom w:w="0" w:type="dxa"/>
            <w:right w:w="108" w:type="dxa"/>
          </w:tblCellMar>
        </w:tblPrEx>
        <w:trPr>
          <w:trHeight w:val="225" w:hRule="atLeast"/>
        </w:trPr>
        <w:tc>
          <w:tcPr>
            <w:tcW w:w="1701" w:type="dxa"/>
            <w:vMerge w:val="restart"/>
            <w:tcBorders>
              <w:top w:val="nil"/>
              <w:left w:val="single" w:color="auto" w:sz="4" w:space="0"/>
              <w:bottom w:val="single" w:color="auto" w:sz="4" w:space="0"/>
              <w:right w:val="single" w:color="auto" w:sz="4" w:space="0"/>
            </w:tcBorders>
            <w:noWrap w:val="0"/>
            <w:vAlign w:val="bottom"/>
          </w:tcPr>
          <w:p w14:paraId="4DDC72E3">
            <w:pPr>
              <w:widowControl/>
              <w:jc w:val="center"/>
              <w:rPr>
                <w:rFonts w:hint="eastAsia" w:ascii="宋体" w:hAnsi="宋体" w:eastAsia="宋体" w:cs="宋体"/>
                <w:b/>
                <w:bCs/>
                <w:color w:val="auto"/>
                <w:kern w:val="0"/>
                <w:sz w:val="18"/>
                <w:szCs w:val="18"/>
                <w:highlight w:val="none"/>
              </w:rPr>
            </w:pPr>
            <w:r>
              <w:rPr>
                <w:rFonts w:hint="eastAsia" w:ascii="宋体" w:hAnsi="宋体" w:eastAsia="宋体" w:cs="宋体"/>
                <w:b/>
                <w:bCs/>
                <w:color w:val="auto"/>
                <w:kern w:val="0"/>
                <w:sz w:val="18"/>
                <w:szCs w:val="18"/>
                <w:highlight w:val="none"/>
              </w:rPr>
              <w:t>住宿业</w:t>
            </w:r>
          </w:p>
        </w:tc>
        <w:tc>
          <w:tcPr>
            <w:tcW w:w="1384" w:type="dxa"/>
            <w:tcBorders>
              <w:top w:val="nil"/>
              <w:left w:val="nil"/>
              <w:bottom w:val="single" w:color="auto" w:sz="4" w:space="0"/>
              <w:right w:val="single" w:color="auto" w:sz="4" w:space="0"/>
            </w:tcBorders>
            <w:noWrap w:val="0"/>
            <w:vAlign w:val="center"/>
          </w:tcPr>
          <w:p w14:paraId="670F31A2">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从业人员（X）</w:t>
            </w:r>
          </w:p>
        </w:tc>
        <w:tc>
          <w:tcPr>
            <w:tcW w:w="913" w:type="dxa"/>
            <w:tcBorders>
              <w:top w:val="nil"/>
              <w:left w:val="nil"/>
              <w:bottom w:val="single" w:color="auto" w:sz="4" w:space="0"/>
              <w:right w:val="single" w:color="auto" w:sz="4" w:space="0"/>
            </w:tcBorders>
            <w:noWrap w:val="0"/>
            <w:vAlign w:val="center"/>
          </w:tcPr>
          <w:p w14:paraId="42A38DD0">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人</w:t>
            </w:r>
          </w:p>
        </w:tc>
        <w:tc>
          <w:tcPr>
            <w:tcW w:w="1620" w:type="dxa"/>
            <w:tcBorders>
              <w:top w:val="nil"/>
              <w:left w:val="nil"/>
              <w:bottom w:val="single" w:color="auto" w:sz="4" w:space="0"/>
              <w:right w:val="single" w:color="auto" w:sz="4" w:space="0"/>
            </w:tcBorders>
            <w:noWrap w:val="0"/>
            <w:vAlign w:val="center"/>
          </w:tcPr>
          <w:p w14:paraId="7AF7E8D3">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100≤X＜300</w:t>
            </w:r>
          </w:p>
        </w:tc>
        <w:tc>
          <w:tcPr>
            <w:tcW w:w="1440" w:type="dxa"/>
            <w:tcBorders>
              <w:top w:val="nil"/>
              <w:left w:val="nil"/>
              <w:bottom w:val="single" w:color="auto" w:sz="4" w:space="0"/>
              <w:right w:val="single" w:color="auto" w:sz="4" w:space="0"/>
            </w:tcBorders>
            <w:noWrap w:val="0"/>
            <w:vAlign w:val="center"/>
          </w:tcPr>
          <w:p w14:paraId="487619F0">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10≤X＜100</w:t>
            </w:r>
          </w:p>
        </w:tc>
        <w:tc>
          <w:tcPr>
            <w:tcW w:w="925" w:type="dxa"/>
            <w:tcBorders>
              <w:top w:val="nil"/>
              <w:left w:val="nil"/>
              <w:bottom w:val="single" w:color="auto" w:sz="4" w:space="0"/>
              <w:right w:val="single" w:color="auto" w:sz="4" w:space="0"/>
            </w:tcBorders>
            <w:noWrap w:val="0"/>
            <w:vAlign w:val="center"/>
          </w:tcPr>
          <w:p w14:paraId="239B765B">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X＜10</w:t>
            </w:r>
          </w:p>
        </w:tc>
      </w:tr>
      <w:tr w14:paraId="0097CE39">
        <w:tblPrEx>
          <w:tblCellMar>
            <w:top w:w="0" w:type="dxa"/>
            <w:left w:w="108" w:type="dxa"/>
            <w:bottom w:w="0" w:type="dxa"/>
            <w:right w:w="108" w:type="dxa"/>
          </w:tblCellMar>
        </w:tblPrEx>
        <w:trPr>
          <w:trHeight w:val="225" w:hRule="atLeast"/>
        </w:trPr>
        <w:tc>
          <w:tcPr>
            <w:tcW w:w="1701" w:type="dxa"/>
            <w:vMerge w:val="continue"/>
            <w:tcBorders>
              <w:top w:val="nil"/>
              <w:left w:val="single" w:color="auto" w:sz="4" w:space="0"/>
              <w:bottom w:val="single" w:color="auto" w:sz="4" w:space="0"/>
              <w:right w:val="single" w:color="auto" w:sz="4" w:space="0"/>
            </w:tcBorders>
            <w:noWrap w:val="0"/>
            <w:vAlign w:val="center"/>
          </w:tcPr>
          <w:p w14:paraId="3ADF7170">
            <w:pPr>
              <w:widowControl/>
              <w:jc w:val="left"/>
              <w:rPr>
                <w:rFonts w:hint="eastAsia" w:ascii="宋体" w:hAnsi="宋体" w:eastAsia="宋体" w:cs="宋体"/>
                <w:b/>
                <w:bCs/>
                <w:color w:val="auto"/>
                <w:kern w:val="0"/>
                <w:sz w:val="18"/>
                <w:szCs w:val="18"/>
                <w:highlight w:val="none"/>
              </w:rPr>
            </w:pPr>
          </w:p>
        </w:tc>
        <w:tc>
          <w:tcPr>
            <w:tcW w:w="1384" w:type="dxa"/>
            <w:tcBorders>
              <w:top w:val="nil"/>
              <w:left w:val="nil"/>
              <w:bottom w:val="single" w:color="auto" w:sz="4" w:space="0"/>
              <w:right w:val="single" w:color="auto" w:sz="4" w:space="0"/>
            </w:tcBorders>
            <w:noWrap w:val="0"/>
            <w:vAlign w:val="center"/>
          </w:tcPr>
          <w:p w14:paraId="019006AB">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营业收入（Y）</w:t>
            </w:r>
          </w:p>
        </w:tc>
        <w:tc>
          <w:tcPr>
            <w:tcW w:w="913" w:type="dxa"/>
            <w:tcBorders>
              <w:top w:val="nil"/>
              <w:left w:val="nil"/>
              <w:bottom w:val="single" w:color="auto" w:sz="4" w:space="0"/>
              <w:right w:val="single" w:color="auto" w:sz="4" w:space="0"/>
            </w:tcBorders>
            <w:noWrap w:val="0"/>
            <w:vAlign w:val="center"/>
          </w:tcPr>
          <w:p w14:paraId="2D70B5E0">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万元</w:t>
            </w:r>
          </w:p>
        </w:tc>
        <w:tc>
          <w:tcPr>
            <w:tcW w:w="1620" w:type="dxa"/>
            <w:tcBorders>
              <w:top w:val="nil"/>
              <w:left w:val="nil"/>
              <w:bottom w:val="single" w:color="auto" w:sz="4" w:space="0"/>
              <w:right w:val="single" w:color="auto" w:sz="4" w:space="0"/>
            </w:tcBorders>
            <w:noWrap w:val="0"/>
            <w:vAlign w:val="center"/>
          </w:tcPr>
          <w:p w14:paraId="294558CF">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2000≤Y＜10000</w:t>
            </w:r>
          </w:p>
        </w:tc>
        <w:tc>
          <w:tcPr>
            <w:tcW w:w="1440" w:type="dxa"/>
            <w:tcBorders>
              <w:top w:val="nil"/>
              <w:left w:val="nil"/>
              <w:bottom w:val="single" w:color="auto" w:sz="4" w:space="0"/>
              <w:right w:val="single" w:color="auto" w:sz="4" w:space="0"/>
            </w:tcBorders>
            <w:noWrap w:val="0"/>
            <w:vAlign w:val="center"/>
          </w:tcPr>
          <w:p w14:paraId="566EEC8C">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100≤Y＜2000</w:t>
            </w:r>
          </w:p>
        </w:tc>
        <w:tc>
          <w:tcPr>
            <w:tcW w:w="925" w:type="dxa"/>
            <w:tcBorders>
              <w:top w:val="nil"/>
              <w:left w:val="nil"/>
              <w:bottom w:val="single" w:color="auto" w:sz="4" w:space="0"/>
              <w:right w:val="single" w:color="auto" w:sz="4" w:space="0"/>
            </w:tcBorders>
            <w:noWrap w:val="0"/>
            <w:vAlign w:val="center"/>
          </w:tcPr>
          <w:p w14:paraId="281B47B2">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Y＜100</w:t>
            </w:r>
          </w:p>
        </w:tc>
      </w:tr>
      <w:tr w14:paraId="5889B9E6">
        <w:tblPrEx>
          <w:tblCellMar>
            <w:top w:w="0" w:type="dxa"/>
            <w:left w:w="108" w:type="dxa"/>
            <w:bottom w:w="0" w:type="dxa"/>
            <w:right w:w="108" w:type="dxa"/>
          </w:tblCellMar>
        </w:tblPrEx>
        <w:trPr>
          <w:trHeight w:val="225" w:hRule="atLeast"/>
        </w:trPr>
        <w:tc>
          <w:tcPr>
            <w:tcW w:w="1701" w:type="dxa"/>
            <w:vMerge w:val="restart"/>
            <w:tcBorders>
              <w:top w:val="nil"/>
              <w:left w:val="single" w:color="auto" w:sz="4" w:space="0"/>
              <w:bottom w:val="single" w:color="auto" w:sz="4" w:space="0"/>
              <w:right w:val="single" w:color="auto" w:sz="4" w:space="0"/>
            </w:tcBorders>
            <w:noWrap w:val="0"/>
            <w:vAlign w:val="bottom"/>
          </w:tcPr>
          <w:p w14:paraId="3F1BEED1">
            <w:pPr>
              <w:widowControl/>
              <w:jc w:val="center"/>
              <w:rPr>
                <w:rFonts w:hint="eastAsia" w:ascii="宋体" w:hAnsi="宋体" w:eastAsia="宋体" w:cs="宋体"/>
                <w:b/>
                <w:bCs/>
                <w:color w:val="auto"/>
                <w:kern w:val="0"/>
                <w:sz w:val="18"/>
                <w:szCs w:val="18"/>
                <w:highlight w:val="none"/>
              </w:rPr>
            </w:pPr>
            <w:r>
              <w:rPr>
                <w:rFonts w:hint="eastAsia" w:ascii="宋体" w:hAnsi="宋体" w:eastAsia="宋体" w:cs="宋体"/>
                <w:b/>
                <w:bCs/>
                <w:color w:val="auto"/>
                <w:kern w:val="0"/>
                <w:sz w:val="18"/>
                <w:szCs w:val="18"/>
                <w:highlight w:val="none"/>
              </w:rPr>
              <w:t>餐饮业</w:t>
            </w:r>
          </w:p>
        </w:tc>
        <w:tc>
          <w:tcPr>
            <w:tcW w:w="1384" w:type="dxa"/>
            <w:tcBorders>
              <w:top w:val="nil"/>
              <w:left w:val="nil"/>
              <w:bottom w:val="single" w:color="auto" w:sz="4" w:space="0"/>
              <w:right w:val="single" w:color="auto" w:sz="4" w:space="0"/>
            </w:tcBorders>
            <w:noWrap w:val="0"/>
            <w:vAlign w:val="center"/>
          </w:tcPr>
          <w:p w14:paraId="7FE45454">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从业人员（X）</w:t>
            </w:r>
          </w:p>
        </w:tc>
        <w:tc>
          <w:tcPr>
            <w:tcW w:w="913" w:type="dxa"/>
            <w:tcBorders>
              <w:top w:val="nil"/>
              <w:left w:val="nil"/>
              <w:bottom w:val="single" w:color="auto" w:sz="4" w:space="0"/>
              <w:right w:val="single" w:color="auto" w:sz="4" w:space="0"/>
            </w:tcBorders>
            <w:noWrap w:val="0"/>
            <w:vAlign w:val="center"/>
          </w:tcPr>
          <w:p w14:paraId="2F357C5A">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人</w:t>
            </w:r>
          </w:p>
        </w:tc>
        <w:tc>
          <w:tcPr>
            <w:tcW w:w="1620" w:type="dxa"/>
            <w:tcBorders>
              <w:top w:val="nil"/>
              <w:left w:val="nil"/>
              <w:bottom w:val="single" w:color="auto" w:sz="4" w:space="0"/>
              <w:right w:val="single" w:color="auto" w:sz="4" w:space="0"/>
            </w:tcBorders>
            <w:noWrap w:val="0"/>
            <w:vAlign w:val="center"/>
          </w:tcPr>
          <w:p w14:paraId="7CFA5885">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100≤X＜300</w:t>
            </w:r>
          </w:p>
        </w:tc>
        <w:tc>
          <w:tcPr>
            <w:tcW w:w="1440" w:type="dxa"/>
            <w:tcBorders>
              <w:top w:val="nil"/>
              <w:left w:val="nil"/>
              <w:bottom w:val="single" w:color="auto" w:sz="4" w:space="0"/>
              <w:right w:val="single" w:color="auto" w:sz="4" w:space="0"/>
            </w:tcBorders>
            <w:noWrap w:val="0"/>
            <w:vAlign w:val="center"/>
          </w:tcPr>
          <w:p w14:paraId="2C9DFA54">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10≤X＜100</w:t>
            </w:r>
          </w:p>
        </w:tc>
        <w:tc>
          <w:tcPr>
            <w:tcW w:w="925" w:type="dxa"/>
            <w:tcBorders>
              <w:top w:val="nil"/>
              <w:left w:val="nil"/>
              <w:bottom w:val="single" w:color="auto" w:sz="4" w:space="0"/>
              <w:right w:val="single" w:color="auto" w:sz="4" w:space="0"/>
            </w:tcBorders>
            <w:noWrap w:val="0"/>
            <w:vAlign w:val="center"/>
          </w:tcPr>
          <w:p w14:paraId="0D7EE1DD">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X＜10</w:t>
            </w:r>
          </w:p>
        </w:tc>
      </w:tr>
      <w:tr w14:paraId="20456439">
        <w:tblPrEx>
          <w:tblCellMar>
            <w:top w:w="0" w:type="dxa"/>
            <w:left w:w="108" w:type="dxa"/>
            <w:bottom w:w="0" w:type="dxa"/>
            <w:right w:w="108" w:type="dxa"/>
          </w:tblCellMar>
        </w:tblPrEx>
        <w:trPr>
          <w:trHeight w:val="225" w:hRule="atLeast"/>
        </w:trPr>
        <w:tc>
          <w:tcPr>
            <w:tcW w:w="1701" w:type="dxa"/>
            <w:vMerge w:val="continue"/>
            <w:tcBorders>
              <w:top w:val="nil"/>
              <w:left w:val="single" w:color="auto" w:sz="4" w:space="0"/>
              <w:bottom w:val="single" w:color="auto" w:sz="4" w:space="0"/>
              <w:right w:val="single" w:color="auto" w:sz="4" w:space="0"/>
            </w:tcBorders>
            <w:noWrap w:val="0"/>
            <w:vAlign w:val="center"/>
          </w:tcPr>
          <w:p w14:paraId="5D736EF8">
            <w:pPr>
              <w:widowControl/>
              <w:jc w:val="left"/>
              <w:rPr>
                <w:rFonts w:hint="eastAsia" w:ascii="宋体" w:hAnsi="宋体" w:eastAsia="宋体" w:cs="宋体"/>
                <w:b/>
                <w:bCs/>
                <w:color w:val="auto"/>
                <w:kern w:val="0"/>
                <w:sz w:val="18"/>
                <w:szCs w:val="18"/>
                <w:highlight w:val="none"/>
              </w:rPr>
            </w:pPr>
          </w:p>
        </w:tc>
        <w:tc>
          <w:tcPr>
            <w:tcW w:w="1384" w:type="dxa"/>
            <w:tcBorders>
              <w:top w:val="nil"/>
              <w:left w:val="nil"/>
              <w:bottom w:val="single" w:color="auto" w:sz="4" w:space="0"/>
              <w:right w:val="single" w:color="auto" w:sz="4" w:space="0"/>
            </w:tcBorders>
            <w:noWrap w:val="0"/>
            <w:vAlign w:val="center"/>
          </w:tcPr>
          <w:p w14:paraId="3568E5DC">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营业收入（Y）</w:t>
            </w:r>
          </w:p>
        </w:tc>
        <w:tc>
          <w:tcPr>
            <w:tcW w:w="913" w:type="dxa"/>
            <w:tcBorders>
              <w:top w:val="nil"/>
              <w:left w:val="nil"/>
              <w:bottom w:val="single" w:color="auto" w:sz="4" w:space="0"/>
              <w:right w:val="single" w:color="auto" w:sz="4" w:space="0"/>
            </w:tcBorders>
            <w:noWrap w:val="0"/>
            <w:vAlign w:val="center"/>
          </w:tcPr>
          <w:p w14:paraId="676226B8">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万元</w:t>
            </w:r>
          </w:p>
        </w:tc>
        <w:tc>
          <w:tcPr>
            <w:tcW w:w="1620" w:type="dxa"/>
            <w:tcBorders>
              <w:top w:val="nil"/>
              <w:left w:val="nil"/>
              <w:bottom w:val="single" w:color="auto" w:sz="4" w:space="0"/>
              <w:right w:val="single" w:color="auto" w:sz="4" w:space="0"/>
            </w:tcBorders>
            <w:noWrap w:val="0"/>
            <w:vAlign w:val="center"/>
          </w:tcPr>
          <w:p w14:paraId="6EDDFE48">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2000≤Y＜10000</w:t>
            </w:r>
          </w:p>
        </w:tc>
        <w:tc>
          <w:tcPr>
            <w:tcW w:w="1440" w:type="dxa"/>
            <w:tcBorders>
              <w:top w:val="nil"/>
              <w:left w:val="nil"/>
              <w:bottom w:val="single" w:color="auto" w:sz="4" w:space="0"/>
              <w:right w:val="single" w:color="auto" w:sz="4" w:space="0"/>
            </w:tcBorders>
            <w:noWrap w:val="0"/>
            <w:vAlign w:val="center"/>
          </w:tcPr>
          <w:p w14:paraId="22A37CF7">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100≤Y＜2000</w:t>
            </w:r>
          </w:p>
        </w:tc>
        <w:tc>
          <w:tcPr>
            <w:tcW w:w="925" w:type="dxa"/>
            <w:tcBorders>
              <w:top w:val="nil"/>
              <w:left w:val="nil"/>
              <w:bottom w:val="single" w:color="auto" w:sz="4" w:space="0"/>
              <w:right w:val="single" w:color="auto" w:sz="4" w:space="0"/>
            </w:tcBorders>
            <w:noWrap w:val="0"/>
            <w:vAlign w:val="center"/>
          </w:tcPr>
          <w:p w14:paraId="0D5C6733">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Y＜100</w:t>
            </w:r>
          </w:p>
        </w:tc>
      </w:tr>
      <w:tr w14:paraId="605D485B">
        <w:tblPrEx>
          <w:tblCellMar>
            <w:top w:w="0" w:type="dxa"/>
            <w:left w:w="108" w:type="dxa"/>
            <w:bottom w:w="0" w:type="dxa"/>
            <w:right w:w="108" w:type="dxa"/>
          </w:tblCellMar>
        </w:tblPrEx>
        <w:trPr>
          <w:trHeight w:val="225" w:hRule="atLeast"/>
        </w:trPr>
        <w:tc>
          <w:tcPr>
            <w:tcW w:w="1701" w:type="dxa"/>
            <w:vMerge w:val="restart"/>
            <w:tcBorders>
              <w:top w:val="nil"/>
              <w:left w:val="single" w:color="auto" w:sz="4" w:space="0"/>
              <w:bottom w:val="single" w:color="auto" w:sz="4" w:space="0"/>
              <w:right w:val="single" w:color="auto" w:sz="4" w:space="0"/>
            </w:tcBorders>
            <w:noWrap w:val="0"/>
            <w:vAlign w:val="bottom"/>
          </w:tcPr>
          <w:p w14:paraId="04C55997">
            <w:pPr>
              <w:widowControl/>
              <w:jc w:val="center"/>
              <w:rPr>
                <w:rFonts w:hint="eastAsia" w:ascii="宋体" w:hAnsi="宋体" w:eastAsia="宋体" w:cs="宋体"/>
                <w:b/>
                <w:bCs/>
                <w:color w:val="auto"/>
                <w:kern w:val="0"/>
                <w:sz w:val="18"/>
                <w:szCs w:val="18"/>
                <w:highlight w:val="none"/>
              </w:rPr>
            </w:pPr>
            <w:r>
              <w:rPr>
                <w:rFonts w:hint="eastAsia" w:ascii="宋体" w:hAnsi="宋体" w:eastAsia="宋体" w:cs="宋体"/>
                <w:b/>
                <w:bCs/>
                <w:color w:val="auto"/>
                <w:kern w:val="0"/>
                <w:sz w:val="18"/>
                <w:szCs w:val="18"/>
                <w:highlight w:val="none"/>
              </w:rPr>
              <w:t>信息传输业</w:t>
            </w:r>
          </w:p>
        </w:tc>
        <w:tc>
          <w:tcPr>
            <w:tcW w:w="1384" w:type="dxa"/>
            <w:tcBorders>
              <w:top w:val="nil"/>
              <w:left w:val="nil"/>
              <w:bottom w:val="single" w:color="auto" w:sz="4" w:space="0"/>
              <w:right w:val="single" w:color="auto" w:sz="4" w:space="0"/>
            </w:tcBorders>
            <w:noWrap w:val="0"/>
            <w:vAlign w:val="center"/>
          </w:tcPr>
          <w:p w14:paraId="1FE8F263">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从业人员（X）</w:t>
            </w:r>
          </w:p>
        </w:tc>
        <w:tc>
          <w:tcPr>
            <w:tcW w:w="913" w:type="dxa"/>
            <w:tcBorders>
              <w:top w:val="nil"/>
              <w:left w:val="nil"/>
              <w:bottom w:val="single" w:color="auto" w:sz="4" w:space="0"/>
              <w:right w:val="single" w:color="auto" w:sz="4" w:space="0"/>
            </w:tcBorders>
            <w:noWrap w:val="0"/>
            <w:vAlign w:val="center"/>
          </w:tcPr>
          <w:p w14:paraId="5ACE9916">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人</w:t>
            </w:r>
          </w:p>
        </w:tc>
        <w:tc>
          <w:tcPr>
            <w:tcW w:w="1620" w:type="dxa"/>
            <w:tcBorders>
              <w:top w:val="nil"/>
              <w:left w:val="nil"/>
              <w:bottom w:val="single" w:color="auto" w:sz="4" w:space="0"/>
              <w:right w:val="single" w:color="auto" w:sz="4" w:space="0"/>
            </w:tcBorders>
            <w:noWrap w:val="0"/>
            <w:vAlign w:val="center"/>
          </w:tcPr>
          <w:p w14:paraId="018625A1">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100≤X＜2000</w:t>
            </w:r>
          </w:p>
        </w:tc>
        <w:tc>
          <w:tcPr>
            <w:tcW w:w="1440" w:type="dxa"/>
            <w:tcBorders>
              <w:top w:val="nil"/>
              <w:left w:val="nil"/>
              <w:bottom w:val="single" w:color="auto" w:sz="4" w:space="0"/>
              <w:right w:val="single" w:color="auto" w:sz="4" w:space="0"/>
            </w:tcBorders>
            <w:noWrap w:val="0"/>
            <w:vAlign w:val="center"/>
          </w:tcPr>
          <w:p w14:paraId="4A0E4998">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10≤X＜100</w:t>
            </w:r>
          </w:p>
        </w:tc>
        <w:tc>
          <w:tcPr>
            <w:tcW w:w="925" w:type="dxa"/>
            <w:tcBorders>
              <w:top w:val="nil"/>
              <w:left w:val="nil"/>
              <w:bottom w:val="single" w:color="auto" w:sz="4" w:space="0"/>
              <w:right w:val="single" w:color="auto" w:sz="4" w:space="0"/>
            </w:tcBorders>
            <w:noWrap w:val="0"/>
            <w:vAlign w:val="center"/>
          </w:tcPr>
          <w:p w14:paraId="757253EE">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X＜10</w:t>
            </w:r>
          </w:p>
        </w:tc>
      </w:tr>
      <w:tr w14:paraId="5BE54FA5">
        <w:tblPrEx>
          <w:tblCellMar>
            <w:top w:w="0" w:type="dxa"/>
            <w:left w:w="108" w:type="dxa"/>
            <w:bottom w:w="0" w:type="dxa"/>
            <w:right w:w="108" w:type="dxa"/>
          </w:tblCellMar>
        </w:tblPrEx>
        <w:trPr>
          <w:trHeight w:val="225" w:hRule="atLeast"/>
        </w:trPr>
        <w:tc>
          <w:tcPr>
            <w:tcW w:w="1701" w:type="dxa"/>
            <w:vMerge w:val="continue"/>
            <w:tcBorders>
              <w:top w:val="nil"/>
              <w:left w:val="single" w:color="auto" w:sz="4" w:space="0"/>
              <w:bottom w:val="single" w:color="auto" w:sz="4" w:space="0"/>
              <w:right w:val="single" w:color="auto" w:sz="4" w:space="0"/>
            </w:tcBorders>
            <w:noWrap w:val="0"/>
            <w:vAlign w:val="center"/>
          </w:tcPr>
          <w:p w14:paraId="24D0144F">
            <w:pPr>
              <w:widowControl/>
              <w:jc w:val="left"/>
              <w:rPr>
                <w:rFonts w:hint="eastAsia" w:ascii="宋体" w:hAnsi="宋体" w:eastAsia="宋体" w:cs="宋体"/>
                <w:b/>
                <w:bCs/>
                <w:color w:val="auto"/>
                <w:kern w:val="0"/>
                <w:sz w:val="18"/>
                <w:szCs w:val="18"/>
                <w:highlight w:val="none"/>
              </w:rPr>
            </w:pPr>
          </w:p>
        </w:tc>
        <w:tc>
          <w:tcPr>
            <w:tcW w:w="1384" w:type="dxa"/>
            <w:tcBorders>
              <w:top w:val="nil"/>
              <w:left w:val="nil"/>
              <w:bottom w:val="single" w:color="auto" w:sz="4" w:space="0"/>
              <w:right w:val="single" w:color="auto" w:sz="4" w:space="0"/>
            </w:tcBorders>
            <w:noWrap w:val="0"/>
            <w:vAlign w:val="center"/>
          </w:tcPr>
          <w:p w14:paraId="50AE1512">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营业收入（Y）</w:t>
            </w:r>
          </w:p>
        </w:tc>
        <w:tc>
          <w:tcPr>
            <w:tcW w:w="913" w:type="dxa"/>
            <w:tcBorders>
              <w:top w:val="nil"/>
              <w:left w:val="nil"/>
              <w:bottom w:val="single" w:color="auto" w:sz="4" w:space="0"/>
              <w:right w:val="single" w:color="auto" w:sz="4" w:space="0"/>
            </w:tcBorders>
            <w:noWrap w:val="0"/>
            <w:vAlign w:val="center"/>
          </w:tcPr>
          <w:p w14:paraId="10D77125">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万元</w:t>
            </w:r>
          </w:p>
        </w:tc>
        <w:tc>
          <w:tcPr>
            <w:tcW w:w="1620" w:type="dxa"/>
            <w:tcBorders>
              <w:top w:val="nil"/>
              <w:left w:val="nil"/>
              <w:bottom w:val="single" w:color="auto" w:sz="4" w:space="0"/>
              <w:right w:val="single" w:color="auto" w:sz="4" w:space="0"/>
            </w:tcBorders>
            <w:noWrap w:val="0"/>
            <w:vAlign w:val="center"/>
          </w:tcPr>
          <w:p w14:paraId="58694F9E">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1000≤Y＜100000</w:t>
            </w:r>
          </w:p>
        </w:tc>
        <w:tc>
          <w:tcPr>
            <w:tcW w:w="1440" w:type="dxa"/>
            <w:tcBorders>
              <w:top w:val="nil"/>
              <w:left w:val="nil"/>
              <w:bottom w:val="single" w:color="auto" w:sz="4" w:space="0"/>
              <w:right w:val="single" w:color="auto" w:sz="4" w:space="0"/>
            </w:tcBorders>
            <w:noWrap w:val="0"/>
            <w:vAlign w:val="center"/>
          </w:tcPr>
          <w:p w14:paraId="2E293B7B">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100≤Y＜1000</w:t>
            </w:r>
          </w:p>
        </w:tc>
        <w:tc>
          <w:tcPr>
            <w:tcW w:w="925" w:type="dxa"/>
            <w:tcBorders>
              <w:top w:val="nil"/>
              <w:left w:val="nil"/>
              <w:bottom w:val="single" w:color="auto" w:sz="4" w:space="0"/>
              <w:right w:val="single" w:color="auto" w:sz="4" w:space="0"/>
            </w:tcBorders>
            <w:noWrap w:val="0"/>
            <w:vAlign w:val="center"/>
          </w:tcPr>
          <w:p w14:paraId="185168F5">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Y＜100</w:t>
            </w:r>
          </w:p>
        </w:tc>
      </w:tr>
      <w:tr w14:paraId="690A42F0">
        <w:tblPrEx>
          <w:tblCellMar>
            <w:top w:w="0" w:type="dxa"/>
            <w:left w:w="108" w:type="dxa"/>
            <w:bottom w:w="0" w:type="dxa"/>
            <w:right w:w="108" w:type="dxa"/>
          </w:tblCellMar>
        </w:tblPrEx>
        <w:trPr>
          <w:trHeight w:val="225" w:hRule="atLeast"/>
        </w:trPr>
        <w:tc>
          <w:tcPr>
            <w:tcW w:w="1701" w:type="dxa"/>
            <w:vMerge w:val="restart"/>
            <w:tcBorders>
              <w:top w:val="nil"/>
              <w:left w:val="single" w:color="auto" w:sz="4" w:space="0"/>
              <w:bottom w:val="single" w:color="auto" w:sz="4" w:space="0"/>
              <w:right w:val="single" w:color="auto" w:sz="4" w:space="0"/>
            </w:tcBorders>
            <w:noWrap w:val="0"/>
            <w:vAlign w:val="bottom"/>
          </w:tcPr>
          <w:p w14:paraId="79E0BD42">
            <w:pPr>
              <w:widowControl/>
              <w:jc w:val="center"/>
              <w:rPr>
                <w:rFonts w:hint="eastAsia" w:ascii="宋体" w:hAnsi="宋体" w:eastAsia="宋体" w:cs="宋体"/>
                <w:b/>
                <w:bCs/>
                <w:color w:val="auto"/>
                <w:kern w:val="0"/>
                <w:sz w:val="18"/>
                <w:szCs w:val="18"/>
                <w:highlight w:val="none"/>
              </w:rPr>
            </w:pPr>
            <w:r>
              <w:rPr>
                <w:rFonts w:hint="eastAsia" w:ascii="宋体" w:hAnsi="宋体" w:eastAsia="宋体" w:cs="宋体"/>
                <w:b/>
                <w:bCs/>
                <w:color w:val="auto"/>
                <w:kern w:val="0"/>
                <w:sz w:val="18"/>
                <w:szCs w:val="18"/>
                <w:highlight w:val="none"/>
              </w:rPr>
              <w:t>软件和信息技术服务业</w:t>
            </w:r>
          </w:p>
        </w:tc>
        <w:tc>
          <w:tcPr>
            <w:tcW w:w="1384" w:type="dxa"/>
            <w:tcBorders>
              <w:top w:val="nil"/>
              <w:left w:val="nil"/>
              <w:bottom w:val="single" w:color="auto" w:sz="4" w:space="0"/>
              <w:right w:val="single" w:color="auto" w:sz="4" w:space="0"/>
            </w:tcBorders>
            <w:noWrap w:val="0"/>
            <w:vAlign w:val="center"/>
          </w:tcPr>
          <w:p w14:paraId="35D55EC6">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从业人员（X）</w:t>
            </w:r>
          </w:p>
        </w:tc>
        <w:tc>
          <w:tcPr>
            <w:tcW w:w="913" w:type="dxa"/>
            <w:tcBorders>
              <w:top w:val="nil"/>
              <w:left w:val="nil"/>
              <w:bottom w:val="single" w:color="auto" w:sz="4" w:space="0"/>
              <w:right w:val="single" w:color="auto" w:sz="4" w:space="0"/>
            </w:tcBorders>
            <w:noWrap w:val="0"/>
            <w:vAlign w:val="center"/>
          </w:tcPr>
          <w:p w14:paraId="06E8BC54">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人</w:t>
            </w:r>
          </w:p>
        </w:tc>
        <w:tc>
          <w:tcPr>
            <w:tcW w:w="1620" w:type="dxa"/>
            <w:tcBorders>
              <w:top w:val="nil"/>
              <w:left w:val="nil"/>
              <w:bottom w:val="single" w:color="auto" w:sz="4" w:space="0"/>
              <w:right w:val="single" w:color="auto" w:sz="4" w:space="0"/>
            </w:tcBorders>
            <w:noWrap w:val="0"/>
            <w:vAlign w:val="center"/>
          </w:tcPr>
          <w:p w14:paraId="223C96EE">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100≤X＜300</w:t>
            </w:r>
          </w:p>
        </w:tc>
        <w:tc>
          <w:tcPr>
            <w:tcW w:w="1440" w:type="dxa"/>
            <w:tcBorders>
              <w:top w:val="nil"/>
              <w:left w:val="nil"/>
              <w:bottom w:val="single" w:color="auto" w:sz="4" w:space="0"/>
              <w:right w:val="single" w:color="auto" w:sz="4" w:space="0"/>
            </w:tcBorders>
            <w:noWrap w:val="0"/>
            <w:vAlign w:val="center"/>
          </w:tcPr>
          <w:p w14:paraId="1242EB0A">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10≤X＜100</w:t>
            </w:r>
          </w:p>
        </w:tc>
        <w:tc>
          <w:tcPr>
            <w:tcW w:w="925" w:type="dxa"/>
            <w:tcBorders>
              <w:top w:val="nil"/>
              <w:left w:val="nil"/>
              <w:bottom w:val="single" w:color="auto" w:sz="4" w:space="0"/>
              <w:right w:val="single" w:color="auto" w:sz="4" w:space="0"/>
            </w:tcBorders>
            <w:noWrap w:val="0"/>
            <w:vAlign w:val="center"/>
          </w:tcPr>
          <w:p w14:paraId="4E92601F">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X＜10</w:t>
            </w:r>
          </w:p>
        </w:tc>
      </w:tr>
      <w:tr w14:paraId="6C889467">
        <w:tblPrEx>
          <w:tblCellMar>
            <w:top w:w="0" w:type="dxa"/>
            <w:left w:w="108" w:type="dxa"/>
            <w:bottom w:w="0" w:type="dxa"/>
            <w:right w:w="108" w:type="dxa"/>
          </w:tblCellMar>
        </w:tblPrEx>
        <w:trPr>
          <w:trHeight w:val="225" w:hRule="atLeast"/>
        </w:trPr>
        <w:tc>
          <w:tcPr>
            <w:tcW w:w="1701" w:type="dxa"/>
            <w:vMerge w:val="continue"/>
            <w:tcBorders>
              <w:top w:val="nil"/>
              <w:left w:val="single" w:color="auto" w:sz="4" w:space="0"/>
              <w:bottom w:val="single" w:color="auto" w:sz="4" w:space="0"/>
              <w:right w:val="single" w:color="auto" w:sz="4" w:space="0"/>
            </w:tcBorders>
            <w:noWrap w:val="0"/>
            <w:vAlign w:val="center"/>
          </w:tcPr>
          <w:p w14:paraId="24A5E99E">
            <w:pPr>
              <w:widowControl/>
              <w:jc w:val="left"/>
              <w:rPr>
                <w:rFonts w:hint="eastAsia" w:ascii="宋体" w:hAnsi="宋体" w:eastAsia="宋体" w:cs="宋体"/>
                <w:b/>
                <w:bCs/>
                <w:color w:val="auto"/>
                <w:kern w:val="0"/>
                <w:sz w:val="18"/>
                <w:szCs w:val="18"/>
                <w:highlight w:val="none"/>
              </w:rPr>
            </w:pPr>
          </w:p>
        </w:tc>
        <w:tc>
          <w:tcPr>
            <w:tcW w:w="1384" w:type="dxa"/>
            <w:tcBorders>
              <w:top w:val="nil"/>
              <w:left w:val="nil"/>
              <w:bottom w:val="single" w:color="auto" w:sz="4" w:space="0"/>
              <w:right w:val="single" w:color="auto" w:sz="4" w:space="0"/>
            </w:tcBorders>
            <w:noWrap w:val="0"/>
            <w:vAlign w:val="center"/>
          </w:tcPr>
          <w:p w14:paraId="21066C63">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营业收入（Y）</w:t>
            </w:r>
          </w:p>
        </w:tc>
        <w:tc>
          <w:tcPr>
            <w:tcW w:w="913" w:type="dxa"/>
            <w:tcBorders>
              <w:top w:val="nil"/>
              <w:left w:val="nil"/>
              <w:bottom w:val="single" w:color="auto" w:sz="4" w:space="0"/>
              <w:right w:val="single" w:color="auto" w:sz="4" w:space="0"/>
            </w:tcBorders>
            <w:noWrap w:val="0"/>
            <w:vAlign w:val="center"/>
          </w:tcPr>
          <w:p w14:paraId="7A3E7C84">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万元</w:t>
            </w:r>
          </w:p>
        </w:tc>
        <w:tc>
          <w:tcPr>
            <w:tcW w:w="1620" w:type="dxa"/>
            <w:tcBorders>
              <w:top w:val="nil"/>
              <w:left w:val="nil"/>
              <w:bottom w:val="single" w:color="auto" w:sz="4" w:space="0"/>
              <w:right w:val="single" w:color="auto" w:sz="4" w:space="0"/>
            </w:tcBorders>
            <w:noWrap w:val="0"/>
            <w:vAlign w:val="center"/>
          </w:tcPr>
          <w:p w14:paraId="38F59932">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1000≤Y＜10000</w:t>
            </w:r>
          </w:p>
        </w:tc>
        <w:tc>
          <w:tcPr>
            <w:tcW w:w="1440" w:type="dxa"/>
            <w:tcBorders>
              <w:top w:val="nil"/>
              <w:left w:val="nil"/>
              <w:bottom w:val="single" w:color="auto" w:sz="4" w:space="0"/>
              <w:right w:val="single" w:color="auto" w:sz="4" w:space="0"/>
            </w:tcBorders>
            <w:noWrap w:val="0"/>
            <w:vAlign w:val="center"/>
          </w:tcPr>
          <w:p w14:paraId="5FBEBB99">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50≤Y＜1000</w:t>
            </w:r>
          </w:p>
        </w:tc>
        <w:tc>
          <w:tcPr>
            <w:tcW w:w="925" w:type="dxa"/>
            <w:tcBorders>
              <w:top w:val="nil"/>
              <w:left w:val="nil"/>
              <w:bottom w:val="single" w:color="auto" w:sz="4" w:space="0"/>
              <w:right w:val="single" w:color="auto" w:sz="4" w:space="0"/>
            </w:tcBorders>
            <w:noWrap w:val="0"/>
            <w:vAlign w:val="center"/>
          </w:tcPr>
          <w:p w14:paraId="7B6E5420">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Y＜50</w:t>
            </w:r>
          </w:p>
        </w:tc>
      </w:tr>
      <w:tr w14:paraId="14508DFF">
        <w:tblPrEx>
          <w:tblCellMar>
            <w:top w:w="0" w:type="dxa"/>
            <w:left w:w="108" w:type="dxa"/>
            <w:bottom w:w="0" w:type="dxa"/>
            <w:right w:w="108" w:type="dxa"/>
          </w:tblCellMar>
        </w:tblPrEx>
        <w:trPr>
          <w:trHeight w:val="225" w:hRule="atLeast"/>
        </w:trPr>
        <w:tc>
          <w:tcPr>
            <w:tcW w:w="1701" w:type="dxa"/>
            <w:vMerge w:val="restart"/>
            <w:tcBorders>
              <w:top w:val="nil"/>
              <w:left w:val="single" w:color="auto" w:sz="4" w:space="0"/>
              <w:bottom w:val="single" w:color="auto" w:sz="4" w:space="0"/>
              <w:right w:val="single" w:color="auto" w:sz="4" w:space="0"/>
            </w:tcBorders>
            <w:noWrap w:val="0"/>
            <w:vAlign w:val="bottom"/>
          </w:tcPr>
          <w:p w14:paraId="6495BE88">
            <w:pPr>
              <w:widowControl/>
              <w:jc w:val="center"/>
              <w:rPr>
                <w:rFonts w:hint="eastAsia" w:ascii="宋体" w:hAnsi="宋体" w:eastAsia="宋体" w:cs="宋体"/>
                <w:b/>
                <w:bCs/>
                <w:color w:val="auto"/>
                <w:kern w:val="0"/>
                <w:sz w:val="18"/>
                <w:szCs w:val="18"/>
                <w:highlight w:val="none"/>
              </w:rPr>
            </w:pPr>
            <w:r>
              <w:rPr>
                <w:rFonts w:hint="eastAsia" w:ascii="宋体" w:hAnsi="宋体" w:eastAsia="宋体" w:cs="宋体"/>
                <w:b/>
                <w:bCs/>
                <w:color w:val="auto"/>
                <w:kern w:val="0"/>
                <w:sz w:val="18"/>
                <w:szCs w:val="18"/>
                <w:highlight w:val="none"/>
              </w:rPr>
              <w:t>房地产开发经营</w:t>
            </w:r>
          </w:p>
        </w:tc>
        <w:tc>
          <w:tcPr>
            <w:tcW w:w="1384" w:type="dxa"/>
            <w:tcBorders>
              <w:top w:val="nil"/>
              <w:left w:val="nil"/>
              <w:bottom w:val="single" w:color="auto" w:sz="4" w:space="0"/>
              <w:right w:val="single" w:color="auto" w:sz="4" w:space="0"/>
            </w:tcBorders>
            <w:noWrap w:val="0"/>
            <w:vAlign w:val="center"/>
          </w:tcPr>
          <w:p w14:paraId="57466258">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营业收入（Y）</w:t>
            </w:r>
          </w:p>
        </w:tc>
        <w:tc>
          <w:tcPr>
            <w:tcW w:w="913" w:type="dxa"/>
            <w:tcBorders>
              <w:top w:val="nil"/>
              <w:left w:val="nil"/>
              <w:bottom w:val="single" w:color="auto" w:sz="4" w:space="0"/>
              <w:right w:val="single" w:color="auto" w:sz="4" w:space="0"/>
            </w:tcBorders>
            <w:noWrap w:val="0"/>
            <w:vAlign w:val="center"/>
          </w:tcPr>
          <w:p w14:paraId="323C6CF9">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万元</w:t>
            </w:r>
          </w:p>
        </w:tc>
        <w:tc>
          <w:tcPr>
            <w:tcW w:w="1620" w:type="dxa"/>
            <w:tcBorders>
              <w:top w:val="nil"/>
              <w:left w:val="nil"/>
              <w:bottom w:val="single" w:color="auto" w:sz="4" w:space="0"/>
              <w:right w:val="single" w:color="auto" w:sz="4" w:space="0"/>
            </w:tcBorders>
            <w:noWrap w:val="0"/>
            <w:vAlign w:val="center"/>
          </w:tcPr>
          <w:p w14:paraId="09C241E8">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1000≤Y＜200000</w:t>
            </w:r>
          </w:p>
        </w:tc>
        <w:tc>
          <w:tcPr>
            <w:tcW w:w="1440" w:type="dxa"/>
            <w:tcBorders>
              <w:top w:val="nil"/>
              <w:left w:val="nil"/>
              <w:bottom w:val="single" w:color="auto" w:sz="4" w:space="0"/>
              <w:right w:val="single" w:color="auto" w:sz="4" w:space="0"/>
            </w:tcBorders>
            <w:noWrap w:val="0"/>
            <w:vAlign w:val="center"/>
          </w:tcPr>
          <w:p w14:paraId="2EAACD21">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100≤X＜1000</w:t>
            </w:r>
          </w:p>
        </w:tc>
        <w:tc>
          <w:tcPr>
            <w:tcW w:w="925" w:type="dxa"/>
            <w:tcBorders>
              <w:top w:val="nil"/>
              <w:left w:val="nil"/>
              <w:bottom w:val="single" w:color="auto" w:sz="4" w:space="0"/>
              <w:right w:val="single" w:color="auto" w:sz="4" w:space="0"/>
            </w:tcBorders>
            <w:noWrap w:val="0"/>
            <w:vAlign w:val="center"/>
          </w:tcPr>
          <w:p w14:paraId="12B95AFE">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X＜100</w:t>
            </w:r>
          </w:p>
        </w:tc>
      </w:tr>
      <w:tr w14:paraId="1A9555C8">
        <w:tblPrEx>
          <w:tblCellMar>
            <w:top w:w="0" w:type="dxa"/>
            <w:left w:w="108" w:type="dxa"/>
            <w:bottom w:w="0" w:type="dxa"/>
            <w:right w:w="108" w:type="dxa"/>
          </w:tblCellMar>
        </w:tblPrEx>
        <w:trPr>
          <w:trHeight w:val="225" w:hRule="atLeast"/>
        </w:trPr>
        <w:tc>
          <w:tcPr>
            <w:tcW w:w="1701" w:type="dxa"/>
            <w:vMerge w:val="continue"/>
            <w:tcBorders>
              <w:top w:val="nil"/>
              <w:left w:val="single" w:color="auto" w:sz="4" w:space="0"/>
              <w:bottom w:val="single" w:color="auto" w:sz="4" w:space="0"/>
              <w:right w:val="single" w:color="auto" w:sz="4" w:space="0"/>
            </w:tcBorders>
            <w:noWrap w:val="0"/>
            <w:vAlign w:val="center"/>
          </w:tcPr>
          <w:p w14:paraId="49345CA1">
            <w:pPr>
              <w:widowControl/>
              <w:jc w:val="left"/>
              <w:rPr>
                <w:rFonts w:hint="eastAsia" w:ascii="宋体" w:hAnsi="宋体" w:eastAsia="宋体" w:cs="宋体"/>
                <w:b/>
                <w:bCs/>
                <w:color w:val="auto"/>
                <w:kern w:val="0"/>
                <w:sz w:val="18"/>
                <w:szCs w:val="18"/>
                <w:highlight w:val="none"/>
              </w:rPr>
            </w:pPr>
          </w:p>
        </w:tc>
        <w:tc>
          <w:tcPr>
            <w:tcW w:w="1384" w:type="dxa"/>
            <w:tcBorders>
              <w:top w:val="nil"/>
              <w:left w:val="nil"/>
              <w:bottom w:val="single" w:color="auto" w:sz="4" w:space="0"/>
              <w:right w:val="single" w:color="auto" w:sz="4" w:space="0"/>
            </w:tcBorders>
            <w:noWrap w:val="0"/>
            <w:vAlign w:val="center"/>
          </w:tcPr>
          <w:p w14:paraId="750C2F5E">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资产总额（Z）</w:t>
            </w:r>
          </w:p>
        </w:tc>
        <w:tc>
          <w:tcPr>
            <w:tcW w:w="913" w:type="dxa"/>
            <w:tcBorders>
              <w:top w:val="nil"/>
              <w:left w:val="nil"/>
              <w:bottom w:val="single" w:color="auto" w:sz="4" w:space="0"/>
              <w:right w:val="single" w:color="auto" w:sz="4" w:space="0"/>
            </w:tcBorders>
            <w:noWrap w:val="0"/>
            <w:vAlign w:val="center"/>
          </w:tcPr>
          <w:p w14:paraId="06D426AF">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万元</w:t>
            </w:r>
          </w:p>
        </w:tc>
        <w:tc>
          <w:tcPr>
            <w:tcW w:w="1620" w:type="dxa"/>
            <w:tcBorders>
              <w:top w:val="nil"/>
              <w:left w:val="nil"/>
              <w:bottom w:val="single" w:color="auto" w:sz="4" w:space="0"/>
              <w:right w:val="single" w:color="auto" w:sz="4" w:space="0"/>
            </w:tcBorders>
            <w:noWrap w:val="0"/>
            <w:vAlign w:val="center"/>
          </w:tcPr>
          <w:p w14:paraId="6C8A59DD">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5000≤Z＜10000</w:t>
            </w:r>
          </w:p>
        </w:tc>
        <w:tc>
          <w:tcPr>
            <w:tcW w:w="1440" w:type="dxa"/>
            <w:tcBorders>
              <w:top w:val="nil"/>
              <w:left w:val="nil"/>
              <w:bottom w:val="single" w:color="auto" w:sz="4" w:space="0"/>
              <w:right w:val="single" w:color="auto" w:sz="4" w:space="0"/>
            </w:tcBorders>
            <w:noWrap w:val="0"/>
            <w:vAlign w:val="center"/>
          </w:tcPr>
          <w:p w14:paraId="051FA910">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2000≤Y＜5000</w:t>
            </w:r>
          </w:p>
        </w:tc>
        <w:tc>
          <w:tcPr>
            <w:tcW w:w="925" w:type="dxa"/>
            <w:tcBorders>
              <w:top w:val="nil"/>
              <w:left w:val="nil"/>
              <w:bottom w:val="single" w:color="auto" w:sz="4" w:space="0"/>
              <w:right w:val="single" w:color="auto" w:sz="4" w:space="0"/>
            </w:tcBorders>
            <w:noWrap w:val="0"/>
            <w:vAlign w:val="center"/>
          </w:tcPr>
          <w:p w14:paraId="4DA8E37C">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Y＜2000</w:t>
            </w:r>
          </w:p>
        </w:tc>
      </w:tr>
      <w:tr w14:paraId="3C23CAE4">
        <w:tblPrEx>
          <w:tblCellMar>
            <w:top w:w="0" w:type="dxa"/>
            <w:left w:w="108" w:type="dxa"/>
            <w:bottom w:w="0" w:type="dxa"/>
            <w:right w:w="108" w:type="dxa"/>
          </w:tblCellMar>
        </w:tblPrEx>
        <w:trPr>
          <w:trHeight w:val="225" w:hRule="atLeast"/>
        </w:trPr>
        <w:tc>
          <w:tcPr>
            <w:tcW w:w="1701" w:type="dxa"/>
            <w:vMerge w:val="restart"/>
            <w:tcBorders>
              <w:top w:val="nil"/>
              <w:left w:val="single" w:color="auto" w:sz="4" w:space="0"/>
              <w:bottom w:val="single" w:color="auto" w:sz="4" w:space="0"/>
              <w:right w:val="single" w:color="auto" w:sz="4" w:space="0"/>
            </w:tcBorders>
            <w:noWrap w:val="0"/>
            <w:vAlign w:val="bottom"/>
          </w:tcPr>
          <w:p w14:paraId="5F52C496">
            <w:pPr>
              <w:widowControl/>
              <w:jc w:val="center"/>
              <w:rPr>
                <w:rFonts w:hint="eastAsia" w:ascii="宋体" w:hAnsi="宋体" w:eastAsia="宋体" w:cs="宋体"/>
                <w:b/>
                <w:bCs/>
                <w:color w:val="auto"/>
                <w:kern w:val="0"/>
                <w:sz w:val="18"/>
                <w:szCs w:val="18"/>
                <w:highlight w:val="none"/>
              </w:rPr>
            </w:pPr>
            <w:r>
              <w:rPr>
                <w:rFonts w:hint="eastAsia" w:ascii="宋体" w:hAnsi="宋体" w:eastAsia="宋体" w:cs="宋体"/>
                <w:b/>
                <w:bCs/>
                <w:color w:val="auto"/>
                <w:kern w:val="0"/>
                <w:sz w:val="18"/>
                <w:szCs w:val="18"/>
                <w:highlight w:val="none"/>
              </w:rPr>
              <w:t>物业管理</w:t>
            </w:r>
          </w:p>
        </w:tc>
        <w:tc>
          <w:tcPr>
            <w:tcW w:w="1384" w:type="dxa"/>
            <w:tcBorders>
              <w:top w:val="nil"/>
              <w:left w:val="nil"/>
              <w:bottom w:val="single" w:color="auto" w:sz="4" w:space="0"/>
              <w:right w:val="single" w:color="auto" w:sz="4" w:space="0"/>
            </w:tcBorders>
            <w:noWrap w:val="0"/>
            <w:vAlign w:val="center"/>
          </w:tcPr>
          <w:p w14:paraId="79F6382C">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从业人员（X）</w:t>
            </w:r>
          </w:p>
        </w:tc>
        <w:tc>
          <w:tcPr>
            <w:tcW w:w="913" w:type="dxa"/>
            <w:tcBorders>
              <w:top w:val="nil"/>
              <w:left w:val="nil"/>
              <w:bottom w:val="single" w:color="auto" w:sz="4" w:space="0"/>
              <w:right w:val="single" w:color="auto" w:sz="4" w:space="0"/>
            </w:tcBorders>
            <w:noWrap w:val="0"/>
            <w:vAlign w:val="center"/>
          </w:tcPr>
          <w:p w14:paraId="540CF47A">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人</w:t>
            </w:r>
          </w:p>
        </w:tc>
        <w:tc>
          <w:tcPr>
            <w:tcW w:w="1620" w:type="dxa"/>
            <w:tcBorders>
              <w:top w:val="nil"/>
              <w:left w:val="nil"/>
              <w:bottom w:val="single" w:color="auto" w:sz="4" w:space="0"/>
              <w:right w:val="single" w:color="auto" w:sz="4" w:space="0"/>
            </w:tcBorders>
            <w:noWrap w:val="0"/>
            <w:vAlign w:val="center"/>
          </w:tcPr>
          <w:p w14:paraId="7D91579E">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300≤X＜1000</w:t>
            </w:r>
          </w:p>
        </w:tc>
        <w:tc>
          <w:tcPr>
            <w:tcW w:w="1440" w:type="dxa"/>
            <w:tcBorders>
              <w:top w:val="nil"/>
              <w:left w:val="nil"/>
              <w:bottom w:val="single" w:color="auto" w:sz="4" w:space="0"/>
              <w:right w:val="single" w:color="auto" w:sz="4" w:space="0"/>
            </w:tcBorders>
            <w:noWrap w:val="0"/>
            <w:vAlign w:val="center"/>
          </w:tcPr>
          <w:p w14:paraId="266CDC8D">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100≤X＜300</w:t>
            </w:r>
          </w:p>
        </w:tc>
        <w:tc>
          <w:tcPr>
            <w:tcW w:w="925" w:type="dxa"/>
            <w:tcBorders>
              <w:top w:val="nil"/>
              <w:left w:val="nil"/>
              <w:bottom w:val="single" w:color="auto" w:sz="4" w:space="0"/>
              <w:right w:val="single" w:color="auto" w:sz="4" w:space="0"/>
            </w:tcBorders>
            <w:noWrap w:val="0"/>
            <w:vAlign w:val="center"/>
          </w:tcPr>
          <w:p w14:paraId="7F6935AE">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X＜100</w:t>
            </w:r>
          </w:p>
        </w:tc>
      </w:tr>
      <w:tr w14:paraId="12E95565">
        <w:tblPrEx>
          <w:tblCellMar>
            <w:top w:w="0" w:type="dxa"/>
            <w:left w:w="108" w:type="dxa"/>
            <w:bottom w:w="0" w:type="dxa"/>
            <w:right w:w="108" w:type="dxa"/>
          </w:tblCellMar>
        </w:tblPrEx>
        <w:trPr>
          <w:trHeight w:val="225" w:hRule="atLeast"/>
        </w:trPr>
        <w:tc>
          <w:tcPr>
            <w:tcW w:w="1701" w:type="dxa"/>
            <w:vMerge w:val="continue"/>
            <w:tcBorders>
              <w:top w:val="nil"/>
              <w:left w:val="single" w:color="auto" w:sz="4" w:space="0"/>
              <w:bottom w:val="single" w:color="auto" w:sz="4" w:space="0"/>
              <w:right w:val="single" w:color="auto" w:sz="4" w:space="0"/>
            </w:tcBorders>
            <w:noWrap w:val="0"/>
            <w:vAlign w:val="center"/>
          </w:tcPr>
          <w:p w14:paraId="44C705C1">
            <w:pPr>
              <w:widowControl/>
              <w:jc w:val="left"/>
              <w:rPr>
                <w:rFonts w:hint="eastAsia" w:ascii="宋体" w:hAnsi="宋体" w:eastAsia="宋体" w:cs="宋体"/>
                <w:b/>
                <w:bCs/>
                <w:color w:val="auto"/>
                <w:kern w:val="0"/>
                <w:sz w:val="18"/>
                <w:szCs w:val="18"/>
                <w:highlight w:val="none"/>
              </w:rPr>
            </w:pPr>
          </w:p>
        </w:tc>
        <w:tc>
          <w:tcPr>
            <w:tcW w:w="1384" w:type="dxa"/>
            <w:tcBorders>
              <w:top w:val="nil"/>
              <w:left w:val="nil"/>
              <w:bottom w:val="single" w:color="auto" w:sz="4" w:space="0"/>
              <w:right w:val="single" w:color="auto" w:sz="4" w:space="0"/>
            </w:tcBorders>
            <w:noWrap w:val="0"/>
            <w:vAlign w:val="center"/>
          </w:tcPr>
          <w:p w14:paraId="039F6C66">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营业收入（Y）</w:t>
            </w:r>
          </w:p>
        </w:tc>
        <w:tc>
          <w:tcPr>
            <w:tcW w:w="913" w:type="dxa"/>
            <w:tcBorders>
              <w:top w:val="nil"/>
              <w:left w:val="nil"/>
              <w:bottom w:val="single" w:color="auto" w:sz="4" w:space="0"/>
              <w:right w:val="single" w:color="auto" w:sz="4" w:space="0"/>
            </w:tcBorders>
            <w:noWrap w:val="0"/>
            <w:vAlign w:val="center"/>
          </w:tcPr>
          <w:p w14:paraId="721F1A83">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万元</w:t>
            </w:r>
          </w:p>
        </w:tc>
        <w:tc>
          <w:tcPr>
            <w:tcW w:w="1620" w:type="dxa"/>
            <w:tcBorders>
              <w:top w:val="nil"/>
              <w:left w:val="nil"/>
              <w:bottom w:val="single" w:color="auto" w:sz="4" w:space="0"/>
              <w:right w:val="single" w:color="auto" w:sz="4" w:space="0"/>
            </w:tcBorders>
            <w:noWrap w:val="0"/>
            <w:vAlign w:val="center"/>
          </w:tcPr>
          <w:p w14:paraId="55821051">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1000≤Y＜5000</w:t>
            </w:r>
          </w:p>
        </w:tc>
        <w:tc>
          <w:tcPr>
            <w:tcW w:w="1440" w:type="dxa"/>
            <w:tcBorders>
              <w:top w:val="nil"/>
              <w:left w:val="nil"/>
              <w:bottom w:val="single" w:color="auto" w:sz="4" w:space="0"/>
              <w:right w:val="single" w:color="auto" w:sz="4" w:space="0"/>
            </w:tcBorders>
            <w:noWrap w:val="0"/>
            <w:vAlign w:val="center"/>
          </w:tcPr>
          <w:p w14:paraId="205411CF">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500≤Y＜1000</w:t>
            </w:r>
          </w:p>
        </w:tc>
        <w:tc>
          <w:tcPr>
            <w:tcW w:w="925" w:type="dxa"/>
            <w:tcBorders>
              <w:top w:val="nil"/>
              <w:left w:val="nil"/>
              <w:bottom w:val="single" w:color="auto" w:sz="4" w:space="0"/>
              <w:right w:val="single" w:color="auto" w:sz="4" w:space="0"/>
            </w:tcBorders>
            <w:noWrap w:val="0"/>
            <w:vAlign w:val="center"/>
          </w:tcPr>
          <w:p w14:paraId="5378C5C9">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Y＜500</w:t>
            </w:r>
          </w:p>
        </w:tc>
      </w:tr>
      <w:tr w14:paraId="003C8D32">
        <w:tblPrEx>
          <w:tblCellMar>
            <w:top w:w="0" w:type="dxa"/>
            <w:left w:w="108" w:type="dxa"/>
            <w:bottom w:w="0" w:type="dxa"/>
            <w:right w:w="108" w:type="dxa"/>
          </w:tblCellMar>
        </w:tblPrEx>
        <w:trPr>
          <w:trHeight w:val="225" w:hRule="atLeast"/>
        </w:trPr>
        <w:tc>
          <w:tcPr>
            <w:tcW w:w="1701" w:type="dxa"/>
            <w:vMerge w:val="restart"/>
            <w:tcBorders>
              <w:top w:val="nil"/>
              <w:left w:val="single" w:color="auto" w:sz="4" w:space="0"/>
              <w:bottom w:val="single" w:color="auto" w:sz="4" w:space="0"/>
              <w:right w:val="single" w:color="auto" w:sz="4" w:space="0"/>
            </w:tcBorders>
            <w:noWrap w:val="0"/>
            <w:vAlign w:val="bottom"/>
          </w:tcPr>
          <w:p w14:paraId="0046D63A">
            <w:pPr>
              <w:widowControl/>
              <w:jc w:val="center"/>
              <w:rPr>
                <w:rFonts w:hint="eastAsia" w:ascii="宋体" w:hAnsi="宋体" w:eastAsia="宋体" w:cs="宋体"/>
                <w:b/>
                <w:bCs/>
                <w:color w:val="auto"/>
                <w:kern w:val="0"/>
                <w:sz w:val="18"/>
                <w:szCs w:val="18"/>
                <w:highlight w:val="none"/>
              </w:rPr>
            </w:pPr>
            <w:r>
              <w:rPr>
                <w:rFonts w:hint="eastAsia" w:ascii="宋体" w:hAnsi="宋体" w:eastAsia="宋体" w:cs="宋体"/>
                <w:b/>
                <w:bCs/>
                <w:color w:val="auto"/>
                <w:kern w:val="0"/>
                <w:sz w:val="18"/>
                <w:szCs w:val="18"/>
                <w:highlight w:val="none"/>
              </w:rPr>
              <w:t>租赁和商务服务业</w:t>
            </w:r>
          </w:p>
        </w:tc>
        <w:tc>
          <w:tcPr>
            <w:tcW w:w="1384" w:type="dxa"/>
            <w:tcBorders>
              <w:top w:val="nil"/>
              <w:left w:val="nil"/>
              <w:bottom w:val="single" w:color="auto" w:sz="4" w:space="0"/>
              <w:right w:val="single" w:color="auto" w:sz="4" w:space="0"/>
            </w:tcBorders>
            <w:noWrap w:val="0"/>
            <w:vAlign w:val="center"/>
          </w:tcPr>
          <w:p w14:paraId="67DE1D01">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从业人员（X）</w:t>
            </w:r>
          </w:p>
        </w:tc>
        <w:tc>
          <w:tcPr>
            <w:tcW w:w="913" w:type="dxa"/>
            <w:tcBorders>
              <w:top w:val="nil"/>
              <w:left w:val="nil"/>
              <w:bottom w:val="single" w:color="auto" w:sz="4" w:space="0"/>
              <w:right w:val="single" w:color="auto" w:sz="4" w:space="0"/>
            </w:tcBorders>
            <w:noWrap w:val="0"/>
            <w:vAlign w:val="center"/>
          </w:tcPr>
          <w:p w14:paraId="00F35708">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人</w:t>
            </w:r>
          </w:p>
        </w:tc>
        <w:tc>
          <w:tcPr>
            <w:tcW w:w="1620" w:type="dxa"/>
            <w:tcBorders>
              <w:top w:val="nil"/>
              <w:left w:val="nil"/>
              <w:bottom w:val="single" w:color="auto" w:sz="4" w:space="0"/>
              <w:right w:val="single" w:color="auto" w:sz="4" w:space="0"/>
            </w:tcBorders>
            <w:noWrap w:val="0"/>
            <w:vAlign w:val="center"/>
          </w:tcPr>
          <w:p w14:paraId="7CC1CB57">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100≤X＜300</w:t>
            </w:r>
          </w:p>
        </w:tc>
        <w:tc>
          <w:tcPr>
            <w:tcW w:w="1440" w:type="dxa"/>
            <w:tcBorders>
              <w:top w:val="nil"/>
              <w:left w:val="nil"/>
              <w:bottom w:val="single" w:color="auto" w:sz="4" w:space="0"/>
              <w:right w:val="single" w:color="auto" w:sz="4" w:space="0"/>
            </w:tcBorders>
            <w:noWrap w:val="0"/>
            <w:vAlign w:val="center"/>
          </w:tcPr>
          <w:p w14:paraId="09BC7981">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10≤X＜100</w:t>
            </w:r>
          </w:p>
        </w:tc>
        <w:tc>
          <w:tcPr>
            <w:tcW w:w="925" w:type="dxa"/>
            <w:tcBorders>
              <w:top w:val="nil"/>
              <w:left w:val="nil"/>
              <w:bottom w:val="single" w:color="auto" w:sz="4" w:space="0"/>
              <w:right w:val="single" w:color="auto" w:sz="4" w:space="0"/>
            </w:tcBorders>
            <w:noWrap w:val="0"/>
            <w:vAlign w:val="center"/>
          </w:tcPr>
          <w:p w14:paraId="58ED01EE">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X＜10</w:t>
            </w:r>
          </w:p>
        </w:tc>
      </w:tr>
      <w:tr w14:paraId="06B69125">
        <w:tblPrEx>
          <w:tblCellMar>
            <w:top w:w="0" w:type="dxa"/>
            <w:left w:w="108" w:type="dxa"/>
            <w:bottom w:w="0" w:type="dxa"/>
            <w:right w:w="108" w:type="dxa"/>
          </w:tblCellMar>
        </w:tblPrEx>
        <w:trPr>
          <w:trHeight w:val="225" w:hRule="atLeast"/>
        </w:trPr>
        <w:tc>
          <w:tcPr>
            <w:tcW w:w="1701" w:type="dxa"/>
            <w:vMerge w:val="continue"/>
            <w:tcBorders>
              <w:top w:val="nil"/>
              <w:left w:val="single" w:color="auto" w:sz="4" w:space="0"/>
              <w:bottom w:val="single" w:color="auto" w:sz="4" w:space="0"/>
              <w:right w:val="single" w:color="auto" w:sz="4" w:space="0"/>
            </w:tcBorders>
            <w:noWrap w:val="0"/>
            <w:vAlign w:val="center"/>
          </w:tcPr>
          <w:p w14:paraId="51A7753F">
            <w:pPr>
              <w:widowControl/>
              <w:jc w:val="left"/>
              <w:rPr>
                <w:rFonts w:hint="eastAsia" w:ascii="宋体" w:hAnsi="宋体" w:eastAsia="宋体" w:cs="宋体"/>
                <w:b/>
                <w:bCs/>
                <w:color w:val="auto"/>
                <w:kern w:val="0"/>
                <w:sz w:val="18"/>
                <w:szCs w:val="18"/>
                <w:highlight w:val="none"/>
              </w:rPr>
            </w:pPr>
          </w:p>
        </w:tc>
        <w:tc>
          <w:tcPr>
            <w:tcW w:w="1384" w:type="dxa"/>
            <w:tcBorders>
              <w:top w:val="nil"/>
              <w:left w:val="nil"/>
              <w:bottom w:val="single" w:color="auto" w:sz="4" w:space="0"/>
              <w:right w:val="single" w:color="auto" w:sz="4" w:space="0"/>
            </w:tcBorders>
            <w:noWrap w:val="0"/>
            <w:vAlign w:val="center"/>
          </w:tcPr>
          <w:p w14:paraId="72EE8DFD">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资产总额（Z）</w:t>
            </w:r>
          </w:p>
        </w:tc>
        <w:tc>
          <w:tcPr>
            <w:tcW w:w="913" w:type="dxa"/>
            <w:tcBorders>
              <w:top w:val="nil"/>
              <w:left w:val="nil"/>
              <w:bottom w:val="single" w:color="auto" w:sz="4" w:space="0"/>
              <w:right w:val="single" w:color="auto" w:sz="4" w:space="0"/>
            </w:tcBorders>
            <w:noWrap w:val="0"/>
            <w:vAlign w:val="center"/>
          </w:tcPr>
          <w:p w14:paraId="0E551BE9">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万元</w:t>
            </w:r>
          </w:p>
        </w:tc>
        <w:tc>
          <w:tcPr>
            <w:tcW w:w="1620" w:type="dxa"/>
            <w:tcBorders>
              <w:top w:val="nil"/>
              <w:left w:val="nil"/>
              <w:bottom w:val="single" w:color="auto" w:sz="4" w:space="0"/>
              <w:right w:val="single" w:color="auto" w:sz="4" w:space="0"/>
            </w:tcBorders>
            <w:noWrap w:val="0"/>
            <w:vAlign w:val="center"/>
          </w:tcPr>
          <w:p w14:paraId="380477ED">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8000≤Z＜120000</w:t>
            </w:r>
          </w:p>
        </w:tc>
        <w:tc>
          <w:tcPr>
            <w:tcW w:w="1440" w:type="dxa"/>
            <w:tcBorders>
              <w:top w:val="nil"/>
              <w:left w:val="nil"/>
              <w:bottom w:val="single" w:color="auto" w:sz="4" w:space="0"/>
              <w:right w:val="single" w:color="auto" w:sz="4" w:space="0"/>
            </w:tcBorders>
            <w:noWrap w:val="0"/>
            <w:vAlign w:val="center"/>
          </w:tcPr>
          <w:p w14:paraId="0B9259D2">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100≤Z＜8000</w:t>
            </w:r>
          </w:p>
        </w:tc>
        <w:tc>
          <w:tcPr>
            <w:tcW w:w="925" w:type="dxa"/>
            <w:tcBorders>
              <w:top w:val="nil"/>
              <w:left w:val="nil"/>
              <w:bottom w:val="single" w:color="auto" w:sz="4" w:space="0"/>
              <w:right w:val="single" w:color="auto" w:sz="4" w:space="0"/>
            </w:tcBorders>
            <w:noWrap w:val="0"/>
            <w:vAlign w:val="center"/>
          </w:tcPr>
          <w:p w14:paraId="07DBB752">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Y＜100</w:t>
            </w:r>
          </w:p>
        </w:tc>
      </w:tr>
      <w:tr w14:paraId="5B12C6E7">
        <w:tblPrEx>
          <w:tblCellMar>
            <w:top w:w="0" w:type="dxa"/>
            <w:left w:w="108" w:type="dxa"/>
            <w:bottom w:w="0" w:type="dxa"/>
            <w:right w:w="108" w:type="dxa"/>
          </w:tblCellMar>
        </w:tblPrEx>
        <w:trPr>
          <w:trHeight w:val="225" w:hRule="atLeast"/>
        </w:trPr>
        <w:tc>
          <w:tcPr>
            <w:tcW w:w="1701" w:type="dxa"/>
            <w:tcBorders>
              <w:top w:val="nil"/>
              <w:left w:val="single" w:color="auto" w:sz="4" w:space="0"/>
              <w:bottom w:val="single" w:color="auto" w:sz="4" w:space="0"/>
              <w:right w:val="single" w:color="auto" w:sz="4" w:space="0"/>
            </w:tcBorders>
            <w:noWrap w:val="0"/>
            <w:vAlign w:val="bottom"/>
          </w:tcPr>
          <w:p w14:paraId="4DE01A00">
            <w:pPr>
              <w:widowControl/>
              <w:jc w:val="center"/>
              <w:rPr>
                <w:rFonts w:hint="eastAsia" w:ascii="宋体" w:hAnsi="宋体" w:eastAsia="宋体" w:cs="宋体"/>
                <w:b/>
                <w:bCs/>
                <w:color w:val="auto"/>
                <w:kern w:val="0"/>
                <w:sz w:val="18"/>
                <w:szCs w:val="18"/>
                <w:highlight w:val="none"/>
              </w:rPr>
            </w:pPr>
            <w:r>
              <w:rPr>
                <w:rFonts w:hint="eastAsia" w:ascii="宋体" w:hAnsi="宋体" w:eastAsia="宋体" w:cs="宋体"/>
                <w:b/>
                <w:bCs/>
                <w:color w:val="auto"/>
                <w:kern w:val="0"/>
                <w:sz w:val="18"/>
                <w:szCs w:val="18"/>
                <w:highlight w:val="none"/>
              </w:rPr>
              <w:t>其他未列明行业</w:t>
            </w:r>
          </w:p>
        </w:tc>
        <w:tc>
          <w:tcPr>
            <w:tcW w:w="1384" w:type="dxa"/>
            <w:tcBorders>
              <w:top w:val="nil"/>
              <w:left w:val="nil"/>
              <w:bottom w:val="single" w:color="auto" w:sz="4" w:space="0"/>
              <w:right w:val="single" w:color="auto" w:sz="4" w:space="0"/>
            </w:tcBorders>
            <w:noWrap w:val="0"/>
            <w:vAlign w:val="center"/>
          </w:tcPr>
          <w:p w14:paraId="7F3D560E">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从业人员（X）</w:t>
            </w:r>
          </w:p>
        </w:tc>
        <w:tc>
          <w:tcPr>
            <w:tcW w:w="913" w:type="dxa"/>
            <w:tcBorders>
              <w:top w:val="nil"/>
              <w:left w:val="nil"/>
              <w:bottom w:val="single" w:color="auto" w:sz="4" w:space="0"/>
              <w:right w:val="single" w:color="auto" w:sz="4" w:space="0"/>
            </w:tcBorders>
            <w:noWrap w:val="0"/>
            <w:vAlign w:val="center"/>
          </w:tcPr>
          <w:p w14:paraId="2860C9FF">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人</w:t>
            </w:r>
          </w:p>
        </w:tc>
        <w:tc>
          <w:tcPr>
            <w:tcW w:w="1620" w:type="dxa"/>
            <w:tcBorders>
              <w:top w:val="nil"/>
              <w:left w:val="nil"/>
              <w:bottom w:val="single" w:color="auto" w:sz="4" w:space="0"/>
              <w:right w:val="single" w:color="auto" w:sz="4" w:space="0"/>
            </w:tcBorders>
            <w:noWrap w:val="0"/>
            <w:vAlign w:val="center"/>
          </w:tcPr>
          <w:p w14:paraId="1B347A43">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100≤X＜300</w:t>
            </w:r>
          </w:p>
        </w:tc>
        <w:tc>
          <w:tcPr>
            <w:tcW w:w="1440" w:type="dxa"/>
            <w:tcBorders>
              <w:top w:val="nil"/>
              <w:left w:val="nil"/>
              <w:bottom w:val="single" w:color="auto" w:sz="4" w:space="0"/>
              <w:right w:val="single" w:color="auto" w:sz="4" w:space="0"/>
            </w:tcBorders>
            <w:noWrap w:val="0"/>
            <w:vAlign w:val="center"/>
          </w:tcPr>
          <w:p w14:paraId="1C1C4F5C">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10≤X＜100</w:t>
            </w:r>
          </w:p>
        </w:tc>
        <w:tc>
          <w:tcPr>
            <w:tcW w:w="925" w:type="dxa"/>
            <w:tcBorders>
              <w:top w:val="nil"/>
              <w:left w:val="nil"/>
              <w:bottom w:val="single" w:color="auto" w:sz="4" w:space="0"/>
              <w:right w:val="single" w:color="auto" w:sz="4" w:space="0"/>
            </w:tcBorders>
            <w:noWrap w:val="0"/>
            <w:vAlign w:val="center"/>
          </w:tcPr>
          <w:p w14:paraId="7F448570">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X＜10</w:t>
            </w:r>
          </w:p>
        </w:tc>
      </w:tr>
    </w:tbl>
    <w:p w14:paraId="394B47D8">
      <w:pPr>
        <w:spacing w:line="360" w:lineRule="auto"/>
        <w:ind w:firstLine="525" w:firstLineChars="250"/>
        <w:rPr>
          <w:rFonts w:hint="eastAsia" w:ascii="宋体" w:hAnsi="宋体" w:eastAsia="宋体" w:cs="宋体"/>
          <w:color w:val="auto"/>
          <w:szCs w:val="21"/>
          <w:highlight w:val="none"/>
        </w:rPr>
      </w:pPr>
    </w:p>
    <w:p w14:paraId="55A0B738">
      <w:pPr>
        <w:spacing w:line="360" w:lineRule="auto"/>
        <w:ind w:firstLine="525" w:firstLineChars="250"/>
        <w:rPr>
          <w:rFonts w:hint="eastAsia" w:ascii="宋体" w:hAnsi="宋体" w:eastAsia="宋体" w:cs="宋体"/>
          <w:b/>
          <w:color w:val="auto"/>
          <w:sz w:val="24"/>
          <w:highlight w:val="none"/>
        </w:rPr>
      </w:pPr>
      <w:r>
        <w:rPr>
          <w:rFonts w:hint="eastAsia" w:ascii="宋体" w:hAnsi="宋体" w:eastAsia="宋体" w:cs="宋体"/>
          <w:color w:val="auto"/>
          <w:szCs w:val="21"/>
          <w:highlight w:val="none"/>
        </w:rPr>
        <w:t>说明：上述标准参照《关于印发中小企业划型标准规定的通知》（工信部联企业〔2011〕300号），大型、中型和小型企业须同时满足所列指标的下限，否则下划一档；微型企业只须满足所列指标中的一项即可。</w:t>
      </w:r>
      <w:r>
        <w:rPr>
          <w:rFonts w:hint="eastAsia" w:ascii="宋体" w:hAnsi="宋体" w:eastAsia="宋体" w:cs="宋体"/>
          <w:b/>
          <w:color w:val="auto"/>
          <w:sz w:val="24"/>
          <w:highlight w:val="none"/>
        </w:rPr>
        <w:br w:type="page"/>
      </w:r>
      <w:r>
        <w:rPr>
          <w:rFonts w:hint="eastAsia" w:ascii="宋体" w:hAnsi="宋体" w:eastAsia="宋体" w:cs="宋体"/>
          <w:b/>
          <w:color w:val="auto"/>
          <w:sz w:val="24"/>
          <w:highlight w:val="none"/>
          <w:lang w:val="en-US" w:eastAsia="zh-CN"/>
        </w:rPr>
        <w:t>2</w:t>
      </w:r>
      <w:r>
        <w:rPr>
          <w:rFonts w:hint="eastAsia" w:ascii="宋体" w:hAnsi="宋体" w:eastAsia="宋体" w:cs="宋体"/>
          <w:b/>
          <w:color w:val="auto"/>
          <w:sz w:val="24"/>
          <w:highlight w:val="none"/>
        </w:rPr>
        <w:t>.残疾人福利性单位声明函格式</w:t>
      </w:r>
    </w:p>
    <w:p w14:paraId="64F7DB3F">
      <w:pPr>
        <w:spacing w:line="588" w:lineRule="exact"/>
        <w:jc w:val="center"/>
        <w:rPr>
          <w:rFonts w:hint="eastAsia" w:ascii="宋体" w:hAnsi="宋体" w:eastAsia="宋体" w:cs="宋体"/>
          <w:b/>
          <w:color w:val="auto"/>
          <w:spacing w:val="6"/>
          <w:sz w:val="32"/>
          <w:szCs w:val="32"/>
          <w:highlight w:val="none"/>
        </w:rPr>
      </w:pPr>
    </w:p>
    <w:p w14:paraId="27A9AAFD">
      <w:pPr>
        <w:spacing w:line="588" w:lineRule="exact"/>
        <w:jc w:val="center"/>
        <w:rPr>
          <w:rFonts w:hint="eastAsia" w:ascii="宋体" w:hAnsi="宋体" w:eastAsia="宋体" w:cs="宋体"/>
          <w:bCs/>
          <w:color w:val="auto"/>
          <w:spacing w:val="6"/>
          <w:sz w:val="44"/>
          <w:szCs w:val="44"/>
          <w:highlight w:val="none"/>
        </w:rPr>
      </w:pPr>
      <w:r>
        <w:rPr>
          <w:rFonts w:hint="eastAsia" w:ascii="宋体" w:hAnsi="宋体" w:eastAsia="宋体" w:cs="宋体"/>
          <w:bCs/>
          <w:color w:val="auto"/>
          <w:spacing w:val="6"/>
          <w:sz w:val="44"/>
          <w:szCs w:val="44"/>
          <w:highlight w:val="none"/>
        </w:rPr>
        <w:t>残疾人福利性单位声明函</w:t>
      </w:r>
    </w:p>
    <w:p w14:paraId="5C556977">
      <w:pPr>
        <w:spacing w:line="360" w:lineRule="auto"/>
        <w:contextualSpacing/>
        <w:rPr>
          <w:rFonts w:hint="eastAsia" w:ascii="宋体" w:hAnsi="宋体" w:eastAsia="宋体" w:cs="宋体"/>
          <w:bCs/>
          <w:color w:val="auto"/>
          <w:spacing w:val="6"/>
          <w:sz w:val="30"/>
          <w:szCs w:val="30"/>
          <w:highlight w:val="none"/>
        </w:rPr>
      </w:pPr>
    </w:p>
    <w:p w14:paraId="1949470A">
      <w:pPr>
        <w:spacing w:line="360" w:lineRule="auto"/>
        <w:ind w:firstLine="504" w:firstLineChars="200"/>
        <w:contextualSpacing/>
        <w:rPr>
          <w:rFonts w:hint="eastAsia" w:ascii="宋体" w:hAnsi="宋体" w:eastAsia="宋体" w:cs="宋体"/>
          <w:color w:val="auto"/>
          <w:spacing w:val="6"/>
          <w:sz w:val="24"/>
          <w:highlight w:val="none"/>
        </w:rPr>
      </w:pPr>
      <w:r>
        <w:rPr>
          <w:rFonts w:hint="eastAsia" w:ascii="宋体" w:hAnsi="宋体" w:eastAsia="宋体" w:cs="宋体"/>
          <w:color w:val="auto"/>
          <w:spacing w:val="6"/>
          <w:sz w:val="24"/>
          <w:highlight w:val="none"/>
        </w:rPr>
        <w:t>本单位郑重声明，根据《财政部 民政部 中国残疾人联合会关于促进残疾人就业政府采购政策的通知》（财库〔2017〕141号）的规定，本单位为符合条件的残疾人福利性单位，且本单位参加______单位的______项目采购活动提供本单位制造的货物（由本单位承担工程/提供服务），或者提供其他残</w:t>
      </w:r>
      <w:r>
        <w:rPr>
          <w:rFonts w:hint="eastAsia" w:ascii="宋体" w:hAnsi="宋体" w:eastAsia="宋体" w:cs="宋体"/>
          <w:color w:val="auto"/>
          <w:spacing w:val="-6"/>
          <w:sz w:val="24"/>
          <w:highlight w:val="none"/>
        </w:rPr>
        <w:t>疾人福利性单位制造的货物（不包括使用非残疾人福利性单位注册商标的货物）。</w:t>
      </w:r>
    </w:p>
    <w:p w14:paraId="689B8D54">
      <w:pPr>
        <w:spacing w:line="360" w:lineRule="auto"/>
        <w:ind w:firstLine="504" w:firstLineChars="200"/>
        <w:contextualSpacing/>
        <w:rPr>
          <w:rFonts w:hint="eastAsia" w:ascii="宋体" w:hAnsi="宋体" w:eastAsia="宋体" w:cs="宋体"/>
          <w:color w:val="auto"/>
          <w:spacing w:val="6"/>
          <w:sz w:val="24"/>
          <w:highlight w:val="none"/>
        </w:rPr>
      </w:pPr>
      <w:r>
        <w:rPr>
          <w:rFonts w:hint="eastAsia" w:ascii="宋体" w:hAnsi="宋体" w:eastAsia="宋体" w:cs="宋体"/>
          <w:color w:val="auto"/>
          <w:spacing w:val="6"/>
          <w:sz w:val="24"/>
          <w:highlight w:val="none"/>
        </w:rPr>
        <w:t>本单位对上述声明的真实性负责。如有虚假，将依法承担相应责任。</w:t>
      </w:r>
    </w:p>
    <w:p w14:paraId="35D1B31B">
      <w:pPr>
        <w:spacing w:line="360" w:lineRule="auto"/>
        <w:ind w:firstLine="504" w:firstLineChars="200"/>
        <w:contextualSpacing/>
        <w:rPr>
          <w:rFonts w:hint="eastAsia" w:ascii="宋体" w:hAnsi="宋体" w:eastAsia="宋体" w:cs="宋体"/>
          <w:color w:val="auto"/>
          <w:spacing w:val="6"/>
          <w:sz w:val="24"/>
          <w:highlight w:val="none"/>
        </w:rPr>
      </w:pPr>
    </w:p>
    <w:p w14:paraId="326554CC">
      <w:pPr>
        <w:spacing w:line="360" w:lineRule="auto"/>
        <w:ind w:firstLine="504" w:firstLineChars="200"/>
        <w:contextualSpacing/>
        <w:rPr>
          <w:rFonts w:hint="eastAsia" w:ascii="宋体" w:hAnsi="宋体" w:eastAsia="宋体" w:cs="宋体"/>
          <w:color w:val="auto"/>
          <w:spacing w:val="6"/>
          <w:sz w:val="24"/>
          <w:highlight w:val="none"/>
        </w:rPr>
      </w:pPr>
    </w:p>
    <w:p w14:paraId="0D904E4F">
      <w:pPr>
        <w:tabs>
          <w:tab w:val="left" w:pos="4860"/>
        </w:tabs>
        <w:spacing w:line="360" w:lineRule="auto"/>
        <w:ind w:right="1560" w:firstLine="504" w:firstLineChars="200"/>
        <w:contextualSpacing/>
        <w:jc w:val="center"/>
        <w:rPr>
          <w:rFonts w:hint="eastAsia" w:ascii="宋体" w:hAnsi="宋体" w:eastAsia="宋体" w:cs="宋体"/>
          <w:color w:val="auto"/>
          <w:spacing w:val="6"/>
          <w:sz w:val="24"/>
          <w:highlight w:val="none"/>
        </w:rPr>
      </w:pPr>
      <w:r>
        <w:rPr>
          <w:rFonts w:hint="eastAsia" w:ascii="宋体" w:hAnsi="宋体" w:eastAsia="宋体" w:cs="宋体"/>
          <w:color w:val="auto"/>
          <w:spacing w:val="6"/>
          <w:sz w:val="24"/>
          <w:highlight w:val="none"/>
        </w:rPr>
        <w:t>单位名称（盖公章）：</w:t>
      </w:r>
    </w:p>
    <w:p w14:paraId="6C5A4B3A">
      <w:pPr>
        <w:tabs>
          <w:tab w:val="left" w:pos="4860"/>
        </w:tabs>
        <w:spacing w:line="360" w:lineRule="auto"/>
        <w:ind w:right="1560" w:firstLine="504" w:firstLineChars="200"/>
        <w:contextualSpacing/>
        <w:jc w:val="center"/>
        <w:rPr>
          <w:rFonts w:hint="eastAsia" w:ascii="宋体" w:hAnsi="宋体" w:eastAsia="宋体" w:cs="宋体"/>
          <w:color w:val="auto"/>
          <w:spacing w:val="6"/>
          <w:sz w:val="24"/>
          <w:highlight w:val="none"/>
        </w:rPr>
      </w:pPr>
      <w:r>
        <w:rPr>
          <w:rFonts w:hint="eastAsia" w:ascii="宋体" w:hAnsi="宋体" w:eastAsia="宋体" w:cs="宋体"/>
          <w:color w:val="auto"/>
          <w:spacing w:val="6"/>
          <w:sz w:val="24"/>
          <w:highlight w:val="none"/>
        </w:rPr>
        <w:t>日  期：</w:t>
      </w:r>
    </w:p>
    <w:p w14:paraId="1639B17E">
      <w:pPr>
        <w:spacing w:line="360" w:lineRule="auto"/>
        <w:contextualSpacing/>
        <w:rPr>
          <w:rFonts w:hint="eastAsia" w:ascii="宋体" w:hAnsi="宋体" w:eastAsia="宋体" w:cs="宋体"/>
          <w:color w:val="auto"/>
          <w:sz w:val="24"/>
          <w:highlight w:val="none"/>
        </w:rPr>
      </w:pPr>
    </w:p>
    <w:p w14:paraId="14E15CEC">
      <w:pPr>
        <w:spacing w:line="360" w:lineRule="auto"/>
        <w:contextualSpacing/>
        <w:rPr>
          <w:rFonts w:hint="eastAsia" w:ascii="宋体" w:hAnsi="宋体" w:eastAsia="宋体" w:cs="宋体"/>
          <w:color w:val="auto"/>
          <w:sz w:val="24"/>
          <w:highlight w:val="none"/>
        </w:rPr>
      </w:pPr>
    </w:p>
    <w:p w14:paraId="3F4A9A3F">
      <w:pPr>
        <w:spacing w:line="360" w:lineRule="auto"/>
        <w:contextualSpacing/>
        <w:rPr>
          <w:rFonts w:hint="eastAsia" w:ascii="宋体" w:hAnsi="宋体" w:eastAsia="宋体" w:cs="宋体"/>
          <w:color w:val="auto"/>
          <w:sz w:val="24"/>
          <w:highlight w:val="none"/>
        </w:rPr>
      </w:pPr>
    </w:p>
    <w:p w14:paraId="15EFCC75">
      <w:pPr>
        <w:spacing w:line="360" w:lineRule="auto"/>
        <w:contextualSpacing/>
        <w:rPr>
          <w:rFonts w:hint="eastAsia" w:ascii="宋体" w:hAnsi="宋体" w:eastAsia="宋体" w:cs="宋体"/>
          <w:color w:val="auto"/>
          <w:sz w:val="24"/>
          <w:highlight w:val="none"/>
        </w:rPr>
      </w:pPr>
      <w:r>
        <w:rPr>
          <w:rFonts w:hint="eastAsia" w:ascii="宋体" w:hAnsi="宋体" w:eastAsia="宋体" w:cs="宋体"/>
          <w:color w:val="auto"/>
          <w:sz w:val="24"/>
          <w:highlight w:val="none"/>
        </w:rPr>
        <w:t>注：请根据自己的真实情况出具《残疾人福利性单位声明函》。依法享受中小企业优惠政策的，采购人或者采购代理机构在公告中标结果时，同时公告其《残疾人福利性单位声明函》，接受社会监督。</w:t>
      </w:r>
    </w:p>
    <w:p w14:paraId="13EE49F3">
      <w:pPr>
        <w:spacing w:line="360" w:lineRule="auto"/>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br w:type="page"/>
      </w:r>
      <w:r>
        <w:rPr>
          <w:rFonts w:hint="eastAsia" w:ascii="宋体" w:hAnsi="宋体" w:eastAsia="宋体" w:cs="宋体"/>
          <w:b/>
          <w:color w:val="auto"/>
          <w:sz w:val="24"/>
          <w:highlight w:val="none"/>
          <w:lang w:val="en-US" w:eastAsia="zh-CN"/>
        </w:rPr>
        <w:t>3</w:t>
      </w:r>
      <w:r>
        <w:rPr>
          <w:rFonts w:hint="eastAsia" w:ascii="宋体" w:hAnsi="宋体" w:eastAsia="宋体" w:cs="宋体"/>
          <w:b/>
          <w:color w:val="auto"/>
          <w:sz w:val="24"/>
          <w:highlight w:val="none"/>
        </w:rPr>
        <w:t>.质疑函格式</w:t>
      </w:r>
    </w:p>
    <w:p w14:paraId="6D812956">
      <w:pPr>
        <w:spacing w:line="360" w:lineRule="auto"/>
        <w:jc w:val="center"/>
        <w:rPr>
          <w:rFonts w:hint="eastAsia" w:ascii="宋体" w:hAnsi="宋体" w:eastAsia="宋体" w:cs="宋体"/>
          <w:color w:val="auto"/>
          <w:sz w:val="44"/>
          <w:szCs w:val="44"/>
          <w:highlight w:val="none"/>
        </w:rPr>
      </w:pPr>
      <w:r>
        <w:rPr>
          <w:rFonts w:hint="eastAsia" w:ascii="宋体" w:hAnsi="宋体" w:eastAsia="宋体" w:cs="宋体"/>
          <w:color w:val="auto"/>
          <w:sz w:val="44"/>
          <w:szCs w:val="44"/>
          <w:highlight w:val="none"/>
        </w:rPr>
        <w:t>质疑函</w:t>
      </w:r>
    </w:p>
    <w:p w14:paraId="26930F6B">
      <w:pPr>
        <w:pStyle w:val="24"/>
        <w:snapToGrid w:val="0"/>
        <w:spacing w:line="360" w:lineRule="auto"/>
        <w:ind w:firstLine="482" w:firstLineChars="200"/>
        <w:rPr>
          <w:rFonts w:hint="eastAsia" w:hAnsi="宋体" w:eastAsia="宋体" w:cs="宋体"/>
          <w:b/>
          <w:bCs/>
          <w:color w:val="auto"/>
          <w:sz w:val="24"/>
          <w:szCs w:val="24"/>
          <w:highlight w:val="none"/>
        </w:rPr>
      </w:pPr>
      <w:r>
        <w:rPr>
          <w:rFonts w:hint="eastAsia" w:hAnsi="宋体" w:eastAsia="宋体" w:cs="宋体"/>
          <w:b/>
          <w:bCs/>
          <w:color w:val="auto"/>
          <w:sz w:val="24"/>
          <w:szCs w:val="24"/>
          <w:highlight w:val="none"/>
        </w:rPr>
        <w:t>一、质疑供应商基本信息：</w:t>
      </w:r>
    </w:p>
    <w:p w14:paraId="206ECAAB">
      <w:pPr>
        <w:pStyle w:val="24"/>
        <w:snapToGrid w:val="0"/>
        <w:spacing w:line="360" w:lineRule="auto"/>
        <w:ind w:firstLine="480" w:firstLineChars="200"/>
        <w:rPr>
          <w:rFonts w:hint="eastAsia" w:hAnsi="宋体" w:eastAsia="宋体" w:cs="宋体"/>
          <w:bCs/>
          <w:color w:val="auto"/>
          <w:sz w:val="24"/>
          <w:szCs w:val="24"/>
          <w:highlight w:val="none"/>
          <w:u w:val="single"/>
        </w:rPr>
      </w:pPr>
      <w:r>
        <w:rPr>
          <w:rFonts w:hint="eastAsia" w:hAnsi="宋体" w:eastAsia="宋体" w:cs="宋体"/>
          <w:bCs/>
          <w:color w:val="auto"/>
          <w:sz w:val="24"/>
          <w:szCs w:val="24"/>
          <w:highlight w:val="none"/>
        </w:rPr>
        <w:t>质疑供应商：</w:t>
      </w:r>
      <w:r>
        <w:rPr>
          <w:rFonts w:hint="eastAsia" w:hAnsi="宋体" w:eastAsia="宋体" w:cs="宋体"/>
          <w:bCs/>
          <w:color w:val="auto"/>
          <w:sz w:val="24"/>
          <w:szCs w:val="24"/>
          <w:highlight w:val="none"/>
          <w:u w:val="single"/>
        </w:rPr>
        <w:t xml:space="preserve">                                       </w:t>
      </w:r>
      <w:r>
        <w:rPr>
          <w:rFonts w:hint="eastAsia" w:hAnsi="宋体" w:eastAsia="宋体" w:cs="宋体"/>
          <w:bCs/>
          <w:color w:val="auto"/>
          <w:sz w:val="24"/>
          <w:szCs w:val="24"/>
          <w:highlight w:val="none"/>
        </w:rPr>
        <w:t xml:space="preserve">                 </w:t>
      </w:r>
    </w:p>
    <w:p w14:paraId="48D4A37B">
      <w:pPr>
        <w:pStyle w:val="24"/>
        <w:snapToGrid w:val="0"/>
        <w:spacing w:line="360" w:lineRule="auto"/>
        <w:ind w:firstLine="480" w:firstLineChars="200"/>
        <w:rPr>
          <w:rFonts w:hint="eastAsia" w:hAnsi="宋体" w:eastAsia="宋体" w:cs="宋体"/>
          <w:bCs/>
          <w:color w:val="auto"/>
          <w:sz w:val="24"/>
          <w:szCs w:val="24"/>
          <w:highlight w:val="none"/>
        </w:rPr>
      </w:pPr>
      <w:r>
        <w:rPr>
          <w:rFonts w:hint="eastAsia" w:hAnsi="宋体" w:eastAsia="宋体" w:cs="宋体"/>
          <w:bCs/>
          <w:color w:val="auto"/>
          <w:sz w:val="24"/>
          <w:szCs w:val="24"/>
          <w:highlight w:val="none"/>
        </w:rPr>
        <w:t>地址：</w:t>
      </w:r>
      <w:r>
        <w:rPr>
          <w:rFonts w:hint="eastAsia" w:hAnsi="宋体" w:eastAsia="宋体" w:cs="宋体"/>
          <w:bCs/>
          <w:color w:val="auto"/>
          <w:sz w:val="24"/>
          <w:szCs w:val="24"/>
          <w:highlight w:val="none"/>
          <w:u w:val="single"/>
        </w:rPr>
        <w:t xml:space="preserve">                                          </w:t>
      </w:r>
      <w:r>
        <w:rPr>
          <w:rFonts w:hint="eastAsia" w:hAnsi="宋体" w:eastAsia="宋体" w:cs="宋体"/>
          <w:bCs/>
          <w:color w:val="auto"/>
          <w:sz w:val="24"/>
          <w:szCs w:val="24"/>
          <w:highlight w:val="none"/>
        </w:rPr>
        <w:t>邮编：</w:t>
      </w:r>
      <w:r>
        <w:rPr>
          <w:rFonts w:hint="eastAsia" w:hAnsi="宋体" w:eastAsia="宋体" w:cs="宋体"/>
          <w:bCs/>
          <w:color w:val="auto"/>
          <w:sz w:val="24"/>
          <w:szCs w:val="24"/>
          <w:highlight w:val="none"/>
          <w:u w:val="single"/>
        </w:rPr>
        <w:t xml:space="preserve">                  </w:t>
      </w:r>
      <w:r>
        <w:rPr>
          <w:rFonts w:hint="eastAsia" w:hAnsi="宋体" w:eastAsia="宋体" w:cs="宋体"/>
          <w:bCs/>
          <w:color w:val="auto"/>
          <w:sz w:val="24"/>
          <w:szCs w:val="24"/>
          <w:highlight w:val="none"/>
        </w:rPr>
        <w:t xml:space="preserve">                 </w:t>
      </w:r>
    </w:p>
    <w:p w14:paraId="761E8A33">
      <w:pPr>
        <w:pStyle w:val="24"/>
        <w:snapToGrid w:val="0"/>
        <w:spacing w:line="360" w:lineRule="auto"/>
        <w:ind w:firstLine="480" w:firstLineChars="200"/>
        <w:rPr>
          <w:rFonts w:hint="eastAsia" w:hAnsi="宋体" w:eastAsia="宋体" w:cs="宋体"/>
          <w:bCs/>
          <w:color w:val="auto"/>
          <w:sz w:val="24"/>
          <w:szCs w:val="24"/>
          <w:highlight w:val="none"/>
        </w:rPr>
      </w:pPr>
      <w:r>
        <w:rPr>
          <w:rFonts w:hint="eastAsia" w:hAnsi="宋体" w:eastAsia="宋体" w:cs="宋体"/>
          <w:bCs/>
          <w:color w:val="auto"/>
          <w:sz w:val="24"/>
          <w:szCs w:val="24"/>
          <w:highlight w:val="none"/>
        </w:rPr>
        <w:t>联系人：</w:t>
      </w:r>
      <w:r>
        <w:rPr>
          <w:rFonts w:hint="eastAsia" w:hAnsi="宋体" w:eastAsia="宋体" w:cs="宋体"/>
          <w:bCs/>
          <w:color w:val="auto"/>
          <w:sz w:val="24"/>
          <w:szCs w:val="24"/>
          <w:highlight w:val="none"/>
          <w:u w:val="single"/>
        </w:rPr>
        <w:t xml:space="preserve">                     </w:t>
      </w:r>
      <w:r>
        <w:rPr>
          <w:rFonts w:hint="eastAsia" w:hAnsi="宋体" w:eastAsia="宋体" w:cs="宋体"/>
          <w:bCs/>
          <w:color w:val="auto"/>
          <w:sz w:val="24"/>
          <w:szCs w:val="24"/>
          <w:highlight w:val="none"/>
        </w:rPr>
        <w:t>联系电话：</w:t>
      </w:r>
      <w:r>
        <w:rPr>
          <w:rFonts w:hint="eastAsia" w:hAnsi="宋体" w:eastAsia="宋体" w:cs="宋体"/>
          <w:bCs/>
          <w:color w:val="auto"/>
          <w:sz w:val="24"/>
          <w:szCs w:val="24"/>
          <w:highlight w:val="none"/>
          <w:u w:val="single"/>
        </w:rPr>
        <w:t xml:space="preserve">                 </w:t>
      </w:r>
    </w:p>
    <w:p w14:paraId="52C6687C">
      <w:pPr>
        <w:pStyle w:val="24"/>
        <w:snapToGrid w:val="0"/>
        <w:spacing w:line="360" w:lineRule="auto"/>
        <w:ind w:firstLine="480" w:firstLineChars="200"/>
        <w:rPr>
          <w:rFonts w:hint="eastAsia" w:hAnsi="宋体" w:eastAsia="宋体" w:cs="宋体"/>
          <w:bCs/>
          <w:color w:val="auto"/>
          <w:sz w:val="24"/>
          <w:szCs w:val="24"/>
          <w:highlight w:val="none"/>
        </w:rPr>
      </w:pPr>
      <w:r>
        <w:rPr>
          <w:rFonts w:hint="eastAsia" w:hAnsi="宋体" w:eastAsia="宋体" w:cs="宋体"/>
          <w:bCs/>
          <w:color w:val="auto"/>
          <w:sz w:val="24"/>
          <w:szCs w:val="24"/>
          <w:highlight w:val="none"/>
        </w:rPr>
        <w:t>授权代表：</w:t>
      </w:r>
      <w:r>
        <w:rPr>
          <w:rFonts w:hint="eastAsia" w:hAnsi="宋体" w:eastAsia="宋体" w:cs="宋体"/>
          <w:bCs/>
          <w:color w:val="auto"/>
          <w:sz w:val="24"/>
          <w:szCs w:val="24"/>
          <w:highlight w:val="none"/>
          <w:u w:val="single"/>
        </w:rPr>
        <w:t xml:space="preserve">                      </w:t>
      </w:r>
    </w:p>
    <w:p w14:paraId="1FB45657">
      <w:pPr>
        <w:pStyle w:val="24"/>
        <w:snapToGrid w:val="0"/>
        <w:spacing w:line="360" w:lineRule="auto"/>
        <w:ind w:firstLine="480" w:firstLineChars="200"/>
        <w:rPr>
          <w:rFonts w:hint="eastAsia" w:hAnsi="宋体" w:eastAsia="宋体" w:cs="宋体"/>
          <w:bCs/>
          <w:color w:val="auto"/>
          <w:sz w:val="24"/>
          <w:szCs w:val="24"/>
          <w:highlight w:val="none"/>
          <w:u w:val="single"/>
        </w:rPr>
      </w:pPr>
      <w:r>
        <w:rPr>
          <w:rFonts w:hint="eastAsia" w:hAnsi="宋体" w:eastAsia="宋体" w:cs="宋体"/>
          <w:bCs/>
          <w:color w:val="auto"/>
          <w:sz w:val="24"/>
          <w:szCs w:val="24"/>
          <w:highlight w:val="none"/>
        </w:rPr>
        <w:t>联系电话：</w:t>
      </w:r>
      <w:r>
        <w:rPr>
          <w:rFonts w:hint="eastAsia" w:hAnsi="宋体" w:eastAsia="宋体" w:cs="宋体"/>
          <w:bCs/>
          <w:color w:val="auto"/>
          <w:sz w:val="24"/>
          <w:szCs w:val="24"/>
          <w:highlight w:val="none"/>
          <w:u w:val="single"/>
        </w:rPr>
        <w:t xml:space="preserve">                      </w:t>
      </w:r>
    </w:p>
    <w:p w14:paraId="3806D839">
      <w:pPr>
        <w:pStyle w:val="24"/>
        <w:snapToGrid w:val="0"/>
        <w:spacing w:line="360" w:lineRule="auto"/>
        <w:ind w:firstLine="480" w:firstLineChars="200"/>
        <w:rPr>
          <w:rFonts w:hint="eastAsia" w:hAnsi="宋体" w:eastAsia="宋体" w:cs="宋体"/>
          <w:bCs/>
          <w:color w:val="auto"/>
          <w:sz w:val="24"/>
          <w:szCs w:val="24"/>
          <w:highlight w:val="none"/>
        </w:rPr>
      </w:pPr>
      <w:r>
        <w:rPr>
          <w:rFonts w:hint="eastAsia" w:hAnsi="宋体" w:eastAsia="宋体" w:cs="宋体"/>
          <w:bCs/>
          <w:color w:val="auto"/>
          <w:sz w:val="24"/>
          <w:szCs w:val="24"/>
          <w:highlight w:val="none"/>
        </w:rPr>
        <w:t>地址：</w:t>
      </w:r>
      <w:r>
        <w:rPr>
          <w:rFonts w:hint="eastAsia" w:hAnsi="宋体" w:eastAsia="宋体" w:cs="宋体"/>
          <w:bCs/>
          <w:color w:val="auto"/>
          <w:sz w:val="24"/>
          <w:szCs w:val="24"/>
          <w:highlight w:val="none"/>
          <w:u w:val="single"/>
        </w:rPr>
        <w:t xml:space="preserve">                 </w:t>
      </w:r>
      <w:r>
        <w:rPr>
          <w:rFonts w:hint="eastAsia" w:hAnsi="宋体" w:eastAsia="宋体" w:cs="宋体"/>
          <w:bCs/>
          <w:color w:val="auto"/>
          <w:sz w:val="24"/>
          <w:szCs w:val="24"/>
          <w:highlight w:val="none"/>
        </w:rPr>
        <w:t>邮编：</w:t>
      </w:r>
      <w:r>
        <w:rPr>
          <w:rFonts w:hint="eastAsia" w:hAnsi="宋体" w:eastAsia="宋体" w:cs="宋体"/>
          <w:bCs/>
          <w:color w:val="auto"/>
          <w:sz w:val="24"/>
          <w:szCs w:val="24"/>
          <w:highlight w:val="none"/>
          <w:u w:val="single"/>
        </w:rPr>
        <w:t xml:space="preserve">                  </w:t>
      </w:r>
      <w:r>
        <w:rPr>
          <w:rFonts w:hint="eastAsia" w:hAnsi="宋体" w:eastAsia="宋体" w:cs="宋体"/>
          <w:bCs/>
          <w:color w:val="auto"/>
          <w:sz w:val="24"/>
          <w:szCs w:val="24"/>
          <w:highlight w:val="none"/>
        </w:rPr>
        <w:t xml:space="preserve">     </w:t>
      </w:r>
    </w:p>
    <w:p w14:paraId="6B4D5196">
      <w:pPr>
        <w:pStyle w:val="24"/>
        <w:snapToGrid w:val="0"/>
        <w:spacing w:line="360" w:lineRule="auto"/>
        <w:ind w:firstLine="482" w:firstLineChars="200"/>
        <w:rPr>
          <w:rFonts w:hint="eastAsia" w:hAnsi="宋体" w:eastAsia="宋体" w:cs="宋体"/>
          <w:b/>
          <w:bCs/>
          <w:color w:val="auto"/>
          <w:sz w:val="24"/>
          <w:szCs w:val="24"/>
          <w:highlight w:val="none"/>
        </w:rPr>
      </w:pPr>
      <w:r>
        <w:rPr>
          <w:rFonts w:hint="eastAsia" w:hAnsi="宋体" w:eastAsia="宋体" w:cs="宋体"/>
          <w:b/>
          <w:bCs/>
          <w:color w:val="auto"/>
          <w:sz w:val="24"/>
          <w:szCs w:val="24"/>
          <w:highlight w:val="none"/>
        </w:rPr>
        <w:t>二、质疑项目基本情况：</w:t>
      </w:r>
    </w:p>
    <w:p w14:paraId="72AAA2C2">
      <w:pPr>
        <w:pStyle w:val="24"/>
        <w:spacing w:line="360" w:lineRule="auto"/>
        <w:ind w:left="25" w:leftChars="12" w:firstLine="472" w:firstLineChars="197"/>
        <w:rPr>
          <w:rFonts w:hint="eastAsia" w:hAnsi="宋体" w:eastAsia="宋体" w:cs="宋体"/>
          <w:color w:val="auto"/>
          <w:sz w:val="24"/>
          <w:szCs w:val="24"/>
          <w:highlight w:val="none"/>
        </w:rPr>
      </w:pPr>
      <w:r>
        <w:rPr>
          <w:rFonts w:hint="eastAsia" w:hAnsi="宋体" w:eastAsia="宋体" w:cs="宋体"/>
          <w:bCs/>
          <w:color w:val="auto"/>
          <w:sz w:val="24"/>
          <w:szCs w:val="24"/>
          <w:highlight w:val="none"/>
        </w:rPr>
        <w:t>质疑</w:t>
      </w:r>
      <w:r>
        <w:rPr>
          <w:rFonts w:hint="eastAsia" w:hAnsi="宋体" w:eastAsia="宋体" w:cs="宋体"/>
          <w:color w:val="auto"/>
          <w:sz w:val="24"/>
          <w:szCs w:val="24"/>
          <w:highlight w:val="none"/>
        </w:rPr>
        <w:t>项目的名称：</w:t>
      </w:r>
      <w:r>
        <w:rPr>
          <w:rFonts w:hint="eastAsia" w:hAnsi="宋体" w:eastAsia="宋体" w:cs="宋体"/>
          <w:bCs/>
          <w:color w:val="auto"/>
          <w:sz w:val="24"/>
          <w:szCs w:val="24"/>
          <w:highlight w:val="none"/>
          <w:u w:val="single"/>
        </w:rPr>
        <w:t xml:space="preserve">                                     </w:t>
      </w:r>
    </w:p>
    <w:p w14:paraId="02FE2FE9">
      <w:pPr>
        <w:pStyle w:val="24"/>
        <w:spacing w:line="360" w:lineRule="auto"/>
        <w:ind w:left="25" w:leftChars="12" w:firstLine="472" w:firstLineChars="197"/>
        <w:rPr>
          <w:rFonts w:hint="eastAsia" w:hAnsi="宋体" w:eastAsia="宋体" w:cs="宋体"/>
          <w:color w:val="auto"/>
          <w:sz w:val="24"/>
          <w:szCs w:val="24"/>
          <w:highlight w:val="none"/>
        </w:rPr>
      </w:pPr>
      <w:r>
        <w:rPr>
          <w:rFonts w:hint="eastAsia" w:hAnsi="宋体" w:eastAsia="宋体" w:cs="宋体"/>
          <w:bCs/>
          <w:color w:val="auto"/>
          <w:sz w:val="24"/>
          <w:szCs w:val="24"/>
          <w:highlight w:val="none"/>
        </w:rPr>
        <w:t>质疑</w:t>
      </w:r>
      <w:r>
        <w:rPr>
          <w:rFonts w:hint="eastAsia" w:hAnsi="宋体" w:eastAsia="宋体" w:cs="宋体"/>
          <w:color w:val="auto"/>
          <w:sz w:val="24"/>
          <w:szCs w:val="24"/>
          <w:highlight w:val="none"/>
        </w:rPr>
        <w:t>项目的编号：</w:t>
      </w:r>
      <w:r>
        <w:rPr>
          <w:rFonts w:hint="eastAsia" w:hAnsi="宋体" w:eastAsia="宋体" w:cs="宋体"/>
          <w:bCs/>
          <w:color w:val="auto"/>
          <w:sz w:val="24"/>
          <w:szCs w:val="24"/>
          <w:highlight w:val="none"/>
          <w:u w:val="single"/>
        </w:rPr>
        <w:t xml:space="preserve">                                     </w:t>
      </w:r>
    </w:p>
    <w:p w14:paraId="5C422D29">
      <w:pPr>
        <w:pStyle w:val="24"/>
        <w:spacing w:line="360" w:lineRule="auto"/>
        <w:ind w:left="25" w:leftChars="12" w:firstLine="472" w:firstLineChars="197"/>
        <w:rPr>
          <w:rFonts w:hint="eastAsia" w:hAnsi="宋体" w:eastAsia="宋体" w:cs="宋体"/>
          <w:color w:val="auto"/>
          <w:sz w:val="24"/>
          <w:szCs w:val="24"/>
          <w:highlight w:val="none"/>
        </w:rPr>
      </w:pPr>
      <w:r>
        <w:rPr>
          <w:rFonts w:hint="eastAsia" w:hAnsi="宋体" w:eastAsia="宋体" w:cs="宋体"/>
          <w:color w:val="auto"/>
          <w:sz w:val="24"/>
          <w:szCs w:val="24"/>
          <w:highlight w:val="none"/>
        </w:rPr>
        <w:t>采购人名称：</w:t>
      </w:r>
      <w:r>
        <w:rPr>
          <w:rFonts w:hint="eastAsia" w:hAnsi="宋体" w:eastAsia="宋体" w:cs="宋体"/>
          <w:bCs/>
          <w:color w:val="auto"/>
          <w:sz w:val="24"/>
          <w:szCs w:val="24"/>
          <w:highlight w:val="none"/>
          <w:u w:val="single"/>
        </w:rPr>
        <w:t xml:space="preserve">                                         </w:t>
      </w:r>
    </w:p>
    <w:p w14:paraId="1BF39D6F">
      <w:pPr>
        <w:pStyle w:val="24"/>
        <w:spacing w:line="360" w:lineRule="auto"/>
        <w:ind w:left="25" w:leftChars="12" w:firstLine="472" w:firstLineChars="197"/>
        <w:rPr>
          <w:rFonts w:hint="eastAsia" w:hAnsi="宋体" w:eastAsia="宋体" w:cs="宋体"/>
          <w:color w:val="auto"/>
          <w:sz w:val="24"/>
          <w:szCs w:val="24"/>
          <w:highlight w:val="none"/>
        </w:rPr>
      </w:pPr>
      <w:r>
        <w:rPr>
          <w:rFonts w:hint="eastAsia" w:hAnsi="宋体" w:eastAsia="宋体" w:cs="宋体"/>
          <w:color w:val="auto"/>
          <w:sz w:val="24"/>
          <w:szCs w:val="24"/>
          <w:highlight w:val="none"/>
        </w:rPr>
        <w:t>质疑事项：</w:t>
      </w:r>
    </w:p>
    <w:p w14:paraId="49E8CA42">
      <w:pPr>
        <w:pStyle w:val="24"/>
        <w:spacing w:line="360" w:lineRule="auto"/>
        <w:ind w:left="25" w:leftChars="12" w:firstLine="352" w:firstLineChars="147"/>
        <w:rPr>
          <w:rFonts w:hint="eastAsia" w:hAnsi="宋体" w:eastAsia="宋体" w:cs="宋体"/>
          <w:color w:val="auto"/>
          <w:sz w:val="24"/>
          <w:szCs w:val="24"/>
          <w:highlight w:val="none"/>
        </w:rPr>
      </w:pPr>
      <w:r>
        <w:rPr>
          <w:rFonts w:hint="eastAsia" w:hAnsi="宋体" w:eastAsia="宋体" w:cs="宋体"/>
          <w:color w:val="auto"/>
          <w:sz w:val="24"/>
          <w:szCs w:val="24"/>
          <w:highlight w:val="none"/>
        </w:rPr>
        <w:t>□招标文件   招标文件获取日期：</w:t>
      </w:r>
      <w:r>
        <w:rPr>
          <w:rFonts w:hint="eastAsia" w:hAnsi="宋体" w:eastAsia="宋体" w:cs="宋体"/>
          <w:bCs/>
          <w:color w:val="auto"/>
          <w:sz w:val="24"/>
          <w:szCs w:val="24"/>
          <w:highlight w:val="none"/>
          <w:u w:val="single"/>
        </w:rPr>
        <w:t xml:space="preserve">                                   </w:t>
      </w:r>
    </w:p>
    <w:p w14:paraId="4D5DE794">
      <w:pPr>
        <w:pStyle w:val="24"/>
        <w:spacing w:line="360" w:lineRule="auto"/>
        <w:ind w:left="25" w:leftChars="12" w:firstLine="352" w:firstLineChars="147"/>
        <w:rPr>
          <w:rFonts w:hint="eastAsia" w:hAnsi="宋体" w:eastAsia="宋体" w:cs="宋体"/>
          <w:color w:val="auto"/>
          <w:sz w:val="24"/>
          <w:szCs w:val="24"/>
          <w:highlight w:val="none"/>
        </w:rPr>
      </w:pPr>
      <w:r>
        <w:rPr>
          <w:rFonts w:hint="eastAsia" w:hAnsi="宋体" w:eastAsia="宋体" w:cs="宋体"/>
          <w:color w:val="auto"/>
          <w:sz w:val="24"/>
          <w:szCs w:val="24"/>
          <w:highlight w:val="none"/>
        </w:rPr>
        <w:t xml:space="preserve">□采购过程   </w:t>
      </w:r>
    </w:p>
    <w:p w14:paraId="22724CA0">
      <w:pPr>
        <w:pStyle w:val="24"/>
        <w:spacing w:line="360" w:lineRule="auto"/>
        <w:ind w:left="25" w:leftChars="12" w:firstLine="352" w:firstLineChars="147"/>
        <w:rPr>
          <w:rFonts w:hint="eastAsia" w:hAnsi="宋体" w:eastAsia="宋体" w:cs="宋体"/>
          <w:bCs/>
          <w:color w:val="auto"/>
          <w:sz w:val="24"/>
          <w:szCs w:val="24"/>
          <w:highlight w:val="none"/>
          <w:u w:val="single"/>
        </w:rPr>
      </w:pPr>
      <w:r>
        <w:rPr>
          <w:rFonts w:hint="eastAsia" w:hAnsi="宋体" w:eastAsia="宋体" w:cs="宋体"/>
          <w:color w:val="auto"/>
          <w:sz w:val="24"/>
          <w:szCs w:val="24"/>
          <w:highlight w:val="none"/>
        </w:rPr>
        <w:t xml:space="preserve">□中标结果   </w:t>
      </w:r>
    </w:p>
    <w:p w14:paraId="7866E2CC">
      <w:pPr>
        <w:pStyle w:val="24"/>
        <w:spacing w:line="360" w:lineRule="auto"/>
        <w:ind w:left="25" w:leftChars="12" w:firstLine="472" w:firstLineChars="196"/>
        <w:rPr>
          <w:rFonts w:hint="eastAsia" w:hAnsi="宋体" w:eastAsia="宋体" w:cs="宋体"/>
          <w:b/>
          <w:color w:val="auto"/>
          <w:sz w:val="24"/>
          <w:szCs w:val="24"/>
          <w:highlight w:val="none"/>
        </w:rPr>
      </w:pPr>
      <w:r>
        <w:rPr>
          <w:rFonts w:hint="eastAsia" w:hAnsi="宋体" w:eastAsia="宋体" w:cs="宋体"/>
          <w:b/>
          <w:color w:val="auto"/>
          <w:sz w:val="24"/>
          <w:szCs w:val="24"/>
          <w:highlight w:val="none"/>
        </w:rPr>
        <w:t>三、质疑事项具体内容</w:t>
      </w:r>
    </w:p>
    <w:p w14:paraId="6BFB0E85">
      <w:pPr>
        <w:pStyle w:val="24"/>
        <w:spacing w:line="360" w:lineRule="auto"/>
        <w:ind w:left="25" w:leftChars="12" w:firstLine="472" w:firstLineChars="197"/>
        <w:rPr>
          <w:rFonts w:hint="eastAsia" w:hAnsi="宋体" w:eastAsia="宋体" w:cs="宋体"/>
          <w:color w:val="auto"/>
          <w:sz w:val="24"/>
          <w:szCs w:val="24"/>
          <w:highlight w:val="none"/>
        </w:rPr>
      </w:pPr>
      <w:r>
        <w:rPr>
          <w:rFonts w:hint="eastAsia" w:hAnsi="宋体" w:eastAsia="宋体" w:cs="宋体"/>
          <w:color w:val="auto"/>
          <w:sz w:val="24"/>
          <w:szCs w:val="24"/>
          <w:highlight w:val="none"/>
        </w:rPr>
        <w:t>质疑事项1：</w:t>
      </w:r>
      <w:r>
        <w:rPr>
          <w:rFonts w:hint="eastAsia" w:hAnsi="宋体" w:eastAsia="宋体" w:cs="宋体"/>
          <w:bCs/>
          <w:color w:val="auto"/>
          <w:sz w:val="24"/>
          <w:szCs w:val="24"/>
          <w:highlight w:val="none"/>
          <w:u w:val="single"/>
        </w:rPr>
        <w:t xml:space="preserve">                                                                    </w:t>
      </w:r>
    </w:p>
    <w:p w14:paraId="2BF4C7DB">
      <w:pPr>
        <w:pStyle w:val="24"/>
        <w:spacing w:line="360" w:lineRule="auto"/>
        <w:ind w:left="25" w:leftChars="12" w:firstLine="472" w:firstLineChars="197"/>
        <w:rPr>
          <w:rFonts w:hint="eastAsia" w:hAnsi="宋体" w:eastAsia="宋体" w:cs="宋体"/>
          <w:color w:val="auto"/>
          <w:sz w:val="24"/>
          <w:szCs w:val="24"/>
          <w:highlight w:val="none"/>
        </w:rPr>
      </w:pPr>
      <w:r>
        <w:rPr>
          <w:rFonts w:hint="eastAsia" w:hAnsi="宋体" w:eastAsia="宋体" w:cs="宋体"/>
          <w:color w:val="auto"/>
          <w:sz w:val="24"/>
          <w:szCs w:val="24"/>
          <w:highlight w:val="none"/>
        </w:rPr>
        <w:t>事实依据：</w:t>
      </w:r>
      <w:r>
        <w:rPr>
          <w:rFonts w:hint="eastAsia" w:hAnsi="宋体" w:eastAsia="宋体" w:cs="宋体"/>
          <w:bCs/>
          <w:color w:val="auto"/>
          <w:sz w:val="24"/>
          <w:szCs w:val="24"/>
          <w:highlight w:val="none"/>
          <w:u w:val="single"/>
        </w:rPr>
        <w:t xml:space="preserve">                                                                      </w:t>
      </w:r>
    </w:p>
    <w:p w14:paraId="0D7C37F6">
      <w:pPr>
        <w:pStyle w:val="24"/>
        <w:spacing w:line="360" w:lineRule="auto"/>
        <w:ind w:left="25" w:leftChars="12" w:firstLine="472" w:firstLineChars="197"/>
        <w:rPr>
          <w:rFonts w:hint="eastAsia" w:hAnsi="宋体" w:eastAsia="宋体" w:cs="宋体"/>
          <w:color w:val="auto"/>
          <w:sz w:val="24"/>
          <w:szCs w:val="24"/>
          <w:highlight w:val="none"/>
        </w:rPr>
      </w:pPr>
      <w:r>
        <w:rPr>
          <w:rFonts w:hint="eastAsia" w:hAnsi="宋体" w:eastAsia="宋体" w:cs="宋体"/>
          <w:color w:val="auto"/>
          <w:sz w:val="24"/>
          <w:szCs w:val="24"/>
          <w:highlight w:val="none"/>
        </w:rPr>
        <w:t>法律依据：</w:t>
      </w:r>
      <w:r>
        <w:rPr>
          <w:rFonts w:hint="eastAsia" w:hAnsi="宋体" w:eastAsia="宋体" w:cs="宋体"/>
          <w:color w:val="auto"/>
          <w:sz w:val="24"/>
          <w:szCs w:val="24"/>
          <w:highlight w:val="none"/>
          <w:u w:val="single"/>
        </w:rPr>
        <w:t xml:space="preserve">                                                        </w:t>
      </w:r>
      <w:r>
        <w:rPr>
          <w:rFonts w:hint="eastAsia" w:hAnsi="宋体" w:eastAsia="宋体" w:cs="宋体"/>
          <w:bCs/>
          <w:color w:val="auto"/>
          <w:sz w:val="24"/>
          <w:szCs w:val="24"/>
          <w:highlight w:val="none"/>
          <w:u w:val="single"/>
        </w:rPr>
        <w:t xml:space="preserve">               </w:t>
      </w:r>
    </w:p>
    <w:p w14:paraId="68C43FF9">
      <w:pPr>
        <w:pStyle w:val="24"/>
        <w:spacing w:line="360" w:lineRule="auto"/>
        <w:ind w:left="25" w:leftChars="12" w:firstLine="472" w:firstLineChars="197"/>
        <w:rPr>
          <w:rFonts w:hint="eastAsia" w:hAnsi="宋体" w:eastAsia="宋体" w:cs="宋体"/>
          <w:color w:val="auto"/>
          <w:sz w:val="24"/>
          <w:szCs w:val="24"/>
          <w:highlight w:val="none"/>
        </w:rPr>
      </w:pPr>
      <w:r>
        <w:rPr>
          <w:rFonts w:hint="eastAsia" w:hAnsi="宋体" w:eastAsia="宋体" w:cs="宋体"/>
          <w:color w:val="auto"/>
          <w:sz w:val="24"/>
          <w:szCs w:val="24"/>
          <w:highlight w:val="none"/>
        </w:rPr>
        <w:t>质疑事项2</w:t>
      </w:r>
    </w:p>
    <w:p w14:paraId="0240D810">
      <w:pPr>
        <w:pStyle w:val="24"/>
        <w:spacing w:line="360" w:lineRule="auto"/>
        <w:ind w:left="25" w:leftChars="12" w:firstLine="472" w:firstLineChars="197"/>
        <w:rPr>
          <w:rFonts w:hint="eastAsia" w:hAnsi="宋体" w:eastAsia="宋体" w:cs="宋体"/>
          <w:color w:val="auto"/>
          <w:sz w:val="24"/>
          <w:szCs w:val="24"/>
          <w:highlight w:val="none"/>
        </w:rPr>
      </w:pPr>
      <w:r>
        <w:rPr>
          <w:rFonts w:hint="eastAsia" w:hAnsi="宋体" w:eastAsia="宋体" w:cs="宋体"/>
          <w:color w:val="auto"/>
          <w:sz w:val="24"/>
          <w:szCs w:val="24"/>
          <w:highlight w:val="none"/>
        </w:rPr>
        <w:t>……</w:t>
      </w:r>
    </w:p>
    <w:p w14:paraId="33FEB3F4">
      <w:pPr>
        <w:pStyle w:val="24"/>
        <w:spacing w:line="360" w:lineRule="auto"/>
        <w:ind w:left="25" w:leftChars="12" w:firstLine="472" w:firstLineChars="197"/>
        <w:rPr>
          <w:rFonts w:hint="eastAsia" w:hAnsi="宋体" w:eastAsia="宋体" w:cs="宋体"/>
          <w:color w:val="auto"/>
          <w:sz w:val="24"/>
          <w:szCs w:val="24"/>
          <w:highlight w:val="none"/>
        </w:rPr>
      </w:pPr>
      <w:r>
        <w:rPr>
          <w:rFonts w:hint="eastAsia" w:hAnsi="宋体" w:eastAsia="宋体" w:cs="宋体"/>
          <w:color w:val="auto"/>
          <w:sz w:val="24"/>
          <w:szCs w:val="24"/>
          <w:highlight w:val="none"/>
        </w:rPr>
        <w:t>四、与质疑事项相关的质疑请求：</w:t>
      </w:r>
    </w:p>
    <w:p w14:paraId="4E24E8E6">
      <w:pPr>
        <w:pStyle w:val="24"/>
        <w:spacing w:line="360" w:lineRule="auto"/>
        <w:ind w:left="25" w:leftChars="12" w:firstLine="472" w:firstLineChars="197"/>
        <w:rPr>
          <w:rFonts w:hint="eastAsia" w:hAnsi="宋体" w:eastAsia="宋体" w:cs="宋体"/>
          <w:color w:val="auto"/>
          <w:sz w:val="24"/>
          <w:szCs w:val="24"/>
          <w:highlight w:val="none"/>
        </w:rPr>
      </w:pPr>
      <w:r>
        <w:rPr>
          <w:rFonts w:hint="eastAsia" w:hAnsi="宋体" w:eastAsia="宋体" w:cs="宋体"/>
          <w:color w:val="auto"/>
          <w:sz w:val="24"/>
          <w:szCs w:val="24"/>
          <w:highlight w:val="none"/>
        </w:rPr>
        <w:t>请求：</w:t>
      </w:r>
      <w:r>
        <w:rPr>
          <w:rFonts w:hint="eastAsia" w:hAnsi="宋体" w:eastAsia="宋体" w:cs="宋体"/>
          <w:bCs/>
          <w:color w:val="auto"/>
          <w:sz w:val="24"/>
          <w:szCs w:val="24"/>
          <w:highlight w:val="none"/>
          <w:u w:val="single"/>
        </w:rPr>
        <w:t xml:space="preserve">                                                                </w:t>
      </w:r>
    </w:p>
    <w:p w14:paraId="6B12EFF6">
      <w:pPr>
        <w:pStyle w:val="24"/>
        <w:spacing w:line="360" w:lineRule="auto"/>
        <w:ind w:left="25" w:leftChars="12" w:firstLine="352" w:firstLineChars="147"/>
        <w:rPr>
          <w:rFonts w:hint="eastAsia" w:hAnsi="宋体" w:eastAsia="宋体" w:cs="宋体"/>
          <w:color w:val="auto"/>
          <w:sz w:val="24"/>
          <w:szCs w:val="24"/>
          <w:highlight w:val="none"/>
        </w:rPr>
      </w:pPr>
    </w:p>
    <w:p w14:paraId="0B5CE022">
      <w:pPr>
        <w:pStyle w:val="24"/>
        <w:spacing w:line="360" w:lineRule="auto"/>
        <w:ind w:left="25" w:leftChars="12" w:firstLine="472" w:firstLineChars="197"/>
        <w:rPr>
          <w:rFonts w:hint="eastAsia" w:hAnsi="宋体" w:eastAsia="宋体" w:cs="宋体"/>
          <w:color w:val="auto"/>
          <w:sz w:val="24"/>
          <w:szCs w:val="24"/>
          <w:highlight w:val="none"/>
        </w:rPr>
      </w:pPr>
      <w:r>
        <w:rPr>
          <w:rFonts w:hint="eastAsia" w:hAnsi="宋体" w:eastAsia="宋体" w:cs="宋体"/>
          <w:color w:val="auto"/>
          <w:sz w:val="24"/>
          <w:szCs w:val="24"/>
          <w:highlight w:val="none"/>
        </w:rPr>
        <w:t>签字（签章）：                                       公章：</w:t>
      </w:r>
    </w:p>
    <w:p w14:paraId="4F13A0B3">
      <w:pPr>
        <w:pStyle w:val="24"/>
        <w:spacing w:line="360" w:lineRule="auto"/>
        <w:ind w:left="25" w:leftChars="12" w:firstLine="352" w:firstLineChars="147"/>
        <w:rPr>
          <w:rFonts w:hint="eastAsia" w:hAnsi="宋体" w:eastAsia="宋体" w:cs="宋体"/>
          <w:color w:val="auto"/>
          <w:sz w:val="24"/>
          <w:szCs w:val="24"/>
          <w:highlight w:val="none"/>
        </w:rPr>
      </w:pPr>
    </w:p>
    <w:p w14:paraId="518D8535">
      <w:pPr>
        <w:pStyle w:val="24"/>
        <w:spacing w:line="360" w:lineRule="auto"/>
        <w:ind w:left="25" w:leftChars="12" w:firstLine="472" w:firstLineChars="197"/>
        <w:rPr>
          <w:rFonts w:hint="eastAsia" w:hAnsi="宋体" w:eastAsia="宋体" w:cs="宋体"/>
          <w:color w:val="auto"/>
          <w:sz w:val="24"/>
          <w:szCs w:val="24"/>
          <w:highlight w:val="none"/>
        </w:rPr>
      </w:pPr>
      <w:r>
        <w:rPr>
          <w:rFonts w:hint="eastAsia" w:hAnsi="宋体" w:eastAsia="宋体" w:cs="宋体"/>
          <w:color w:val="auto"/>
          <w:sz w:val="24"/>
          <w:szCs w:val="24"/>
          <w:highlight w:val="none"/>
        </w:rPr>
        <w:t>日期：</w:t>
      </w:r>
    </w:p>
    <w:p w14:paraId="210BB5AE">
      <w:pPr>
        <w:pStyle w:val="24"/>
        <w:snapToGrid w:val="0"/>
        <w:spacing w:line="360" w:lineRule="auto"/>
        <w:rPr>
          <w:rFonts w:hint="eastAsia" w:hAnsi="宋体" w:eastAsia="宋体" w:cs="宋体"/>
          <w:b/>
          <w:color w:val="auto"/>
          <w:sz w:val="24"/>
          <w:szCs w:val="24"/>
          <w:highlight w:val="none"/>
        </w:rPr>
      </w:pPr>
    </w:p>
    <w:p w14:paraId="1218BD37">
      <w:pPr>
        <w:pStyle w:val="24"/>
        <w:snapToGrid w:val="0"/>
        <w:spacing w:line="360" w:lineRule="auto"/>
        <w:rPr>
          <w:rFonts w:hint="eastAsia" w:hAnsi="宋体" w:eastAsia="宋体" w:cs="宋体"/>
          <w:b/>
          <w:color w:val="auto"/>
          <w:sz w:val="24"/>
          <w:szCs w:val="24"/>
          <w:highlight w:val="none"/>
        </w:rPr>
      </w:pPr>
      <w:r>
        <w:rPr>
          <w:rFonts w:hint="eastAsia" w:hAnsi="宋体" w:eastAsia="宋体" w:cs="宋体"/>
          <w:b/>
          <w:color w:val="auto"/>
          <w:sz w:val="24"/>
          <w:szCs w:val="24"/>
          <w:highlight w:val="none"/>
        </w:rPr>
        <w:t>说明：</w:t>
      </w:r>
    </w:p>
    <w:p w14:paraId="2F06463F">
      <w:pPr>
        <w:pStyle w:val="24"/>
        <w:spacing w:line="360" w:lineRule="auto"/>
        <w:ind w:left="25" w:leftChars="12" w:firstLine="354" w:firstLineChars="147"/>
        <w:rPr>
          <w:rFonts w:hint="eastAsia" w:hAnsi="宋体" w:eastAsia="宋体" w:cs="宋体"/>
          <w:b/>
          <w:bCs/>
          <w:color w:val="auto"/>
          <w:sz w:val="24"/>
          <w:szCs w:val="24"/>
          <w:highlight w:val="none"/>
        </w:rPr>
      </w:pPr>
      <w:r>
        <w:rPr>
          <w:rFonts w:hint="eastAsia" w:hAnsi="宋体" w:eastAsia="宋体" w:cs="宋体"/>
          <w:b/>
          <w:color w:val="auto"/>
          <w:sz w:val="24"/>
          <w:szCs w:val="24"/>
          <w:highlight w:val="none"/>
        </w:rPr>
        <w:t>1.供应商提出质疑时，应提交质疑函和必要的证明材料</w:t>
      </w:r>
      <w:r>
        <w:rPr>
          <w:rFonts w:hint="eastAsia" w:hAnsi="宋体" w:eastAsia="宋体" w:cs="宋体"/>
          <w:b/>
          <w:bCs/>
          <w:color w:val="auto"/>
          <w:sz w:val="24"/>
          <w:szCs w:val="24"/>
          <w:highlight w:val="none"/>
        </w:rPr>
        <w:t>。</w:t>
      </w:r>
    </w:p>
    <w:p w14:paraId="1800A0FD">
      <w:pPr>
        <w:pStyle w:val="24"/>
        <w:spacing w:line="360" w:lineRule="auto"/>
        <w:ind w:left="25" w:leftChars="12" w:firstLine="354" w:firstLineChars="147"/>
        <w:rPr>
          <w:rFonts w:hint="eastAsia" w:hAnsi="宋体" w:eastAsia="宋体" w:cs="宋体"/>
          <w:b/>
          <w:color w:val="auto"/>
          <w:sz w:val="24"/>
          <w:szCs w:val="24"/>
          <w:highlight w:val="none"/>
        </w:rPr>
      </w:pPr>
      <w:r>
        <w:rPr>
          <w:rFonts w:hint="eastAsia" w:hAnsi="宋体" w:eastAsia="宋体" w:cs="宋体"/>
          <w:b/>
          <w:color w:val="auto"/>
          <w:sz w:val="24"/>
          <w:szCs w:val="24"/>
          <w:highlight w:val="none"/>
        </w:rPr>
        <w:t>2.质疑供应商若委托代理人进行质疑的，质疑函应按要求列明“授权代表”的有关内容，并在附件中提交由质疑供应商签署的授权委托书。授权委托书应载明代理人的姓名或者名称、代理事项、具体权限、期限和相关事项。</w:t>
      </w:r>
    </w:p>
    <w:p w14:paraId="7DEDD4BF">
      <w:pPr>
        <w:pStyle w:val="24"/>
        <w:spacing w:line="360" w:lineRule="auto"/>
        <w:ind w:left="25" w:leftChars="12" w:firstLine="354" w:firstLineChars="147"/>
        <w:rPr>
          <w:rFonts w:hint="eastAsia" w:hAnsi="宋体" w:eastAsia="宋体" w:cs="宋体"/>
          <w:b/>
          <w:color w:val="auto"/>
          <w:sz w:val="24"/>
          <w:szCs w:val="24"/>
          <w:highlight w:val="none"/>
        </w:rPr>
      </w:pPr>
      <w:r>
        <w:rPr>
          <w:rFonts w:hint="eastAsia" w:hAnsi="宋体" w:eastAsia="宋体" w:cs="宋体"/>
          <w:b/>
          <w:color w:val="auto"/>
          <w:sz w:val="24"/>
          <w:szCs w:val="24"/>
          <w:highlight w:val="none"/>
        </w:rPr>
        <w:t>3.质疑函的质疑事项应具体、明确，并有必要的事实依据和法律依据。</w:t>
      </w:r>
    </w:p>
    <w:p w14:paraId="6D96FB95">
      <w:pPr>
        <w:pStyle w:val="24"/>
        <w:spacing w:line="360" w:lineRule="auto"/>
        <w:ind w:left="25" w:leftChars="12" w:firstLine="354" w:firstLineChars="147"/>
        <w:rPr>
          <w:rFonts w:hint="eastAsia" w:hAnsi="宋体" w:eastAsia="宋体" w:cs="宋体"/>
          <w:b/>
          <w:color w:val="auto"/>
          <w:sz w:val="24"/>
          <w:szCs w:val="24"/>
          <w:highlight w:val="none"/>
        </w:rPr>
      </w:pPr>
      <w:r>
        <w:rPr>
          <w:rFonts w:hint="eastAsia" w:hAnsi="宋体" w:eastAsia="宋体" w:cs="宋体"/>
          <w:b/>
          <w:color w:val="auto"/>
          <w:sz w:val="24"/>
          <w:szCs w:val="24"/>
          <w:highlight w:val="none"/>
        </w:rPr>
        <w:t>4.质疑函的质疑请求应与质疑事项相关。</w:t>
      </w:r>
    </w:p>
    <w:p w14:paraId="147EDEF8">
      <w:pPr>
        <w:pStyle w:val="24"/>
        <w:spacing w:line="360" w:lineRule="auto"/>
        <w:ind w:left="25" w:leftChars="12" w:firstLine="354" w:firstLineChars="147"/>
        <w:rPr>
          <w:rFonts w:hint="eastAsia" w:hAnsi="宋体" w:eastAsia="宋体" w:cs="宋体"/>
          <w:b/>
          <w:color w:val="auto"/>
          <w:highlight w:val="none"/>
        </w:rPr>
      </w:pPr>
      <w:r>
        <w:rPr>
          <w:rFonts w:hint="eastAsia" w:hAnsi="宋体" w:eastAsia="宋体" w:cs="宋体"/>
          <w:b/>
          <w:color w:val="auto"/>
          <w:sz w:val="24"/>
          <w:szCs w:val="24"/>
          <w:highlight w:val="none"/>
        </w:rPr>
        <w:t>5.质疑供应商为法人或者其他组织的，质疑函应由法定代表人、主要负责人，或者其授权代表签字或者盖章，并加盖公章。</w:t>
      </w:r>
    </w:p>
    <w:p w14:paraId="07C58272">
      <w:pPr>
        <w:pStyle w:val="24"/>
        <w:snapToGrid w:val="0"/>
        <w:rPr>
          <w:rFonts w:hint="eastAsia" w:hAnsi="宋体" w:eastAsia="宋体" w:cs="宋体"/>
          <w:b/>
          <w:color w:val="auto"/>
          <w:sz w:val="24"/>
          <w:szCs w:val="24"/>
          <w:highlight w:val="none"/>
        </w:rPr>
      </w:pPr>
    </w:p>
    <w:p w14:paraId="7F6D20B5">
      <w:pPr>
        <w:spacing w:line="360" w:lineRule="auto"/>
        <w:jc w:val="left"/>
        <w:rPr>
          <w:rFonts w:hint="eastAsia" w:ascii="宋体" w:hAnsi="宋体" w:eastAsia="宋体" w:cs="宋体"/>
          <w:b/>
          <w:bCs/>
          <w:color w:val="auto"/>
          <w:sz w:val="32"/>
          <w:szCs w:val="32"/>
          <w:highlight w:val="none"/>
        </w:rPr>
      </w:pPr>
      <w:r>
        <w:rPr>
          <w:rFonts w:hint="eastAsia" w:ascii="宋体" w:hAnsi="宋体" w:eastAsia="宋体" w:cs="宋体"/>
          <w:color w:val="auto"/>
          <w:sz w:val="44"/>
          <w:highlight w:val="none"/>
        </w:rPr>
        <w:br w:type="page"/>
      </w:r>
      <w:r>
        <w:rPr>
          <w:rFonts w:hint="eastAsia" w:ascii="宋体" w:hAnsi="宋体" w:eastAsia="宋体" w:cs="宋体"/>
          <w:b/>
          <w:color w:val="auto"/>
          <w:sz w:val="24"/>
          <w:highlight w:val="none"/>
          <w:lang w:val="en-US" w:eastAsia="zh-CN"/>
        </w:rPr>
        <w:t>4</w:t>
      </w:r>
      <w:r>
        <w:rPr>
          <w:rFonts w:hint="eastAsia" w:ascii="宋体" w:hAnsi="宋体" w:eastAsia="宋体" w:cs="宋体"/>
          <w:b/>
          <w:color w:val="auto"/>
          <w:sz w:val="24"/>
          <w:highlight w:val="none"/>
        </w:rPr>
        <w:t>.投诉书格式</w:t>
      </w:r>
    </w:p>
    <w:p w14:paraId="6F27E067">
      <w:pPr>
        <w:jc w:val="center"/>
        <w:rPr>
          <w:rFonts w:hint="eastAsia" w:ascii="宋体" w:hAnsi="宋体" w:eastAsia="宋体" w:cs="宋体"/>
          <w:color w:val="auto"/>
          <w:sz w:val="44"/>
          <w:szCs w:val="44"/>
          <w:highlight w:val="none"/>
        </w:rPr>
      </w:pPr>
      <w:r>
        <w:rPr>
          <w:rFonts w:hint="eastAsia" w:ascii="宋体" w:hAnsi="宋体" w:eastAsia="宋体" w:cs="宋体"/>
          <w:color w:val="auto"/>
          <w:sz w:val="44"/>
          <w:szCs w:val="44"/>
          <w:highlight w:val="none"/>
        </w:rPr>
        <w:t>投诉书</w:t>
      </w:r>
    </w:p>
    <w:p w14:paraId="78F94918">
      <w:pPr>
        <w:pStyle w:val="24"/>
        <w:snapToGrid w:val="0"/>
        <w:spacing w:line="440" w:lineRule="exact"/>
        <w:ind w:firstLine="482" w:firstLineChars="200"/>
        <w:rPr>
          <w:rFonts w:hint="eastAsia" w:hAnsi="宋体" w:eastAsia="宋体" w:cs="宋体"/>
          <w:b/>
          <w:bCs/>
          <w:color w:val="auto"/>
          <w:sz w:val="24"/>
          <w:szCs w:val="24"/>
          <w:highlight w:val="none"/>
        </w:rPr>
      </w:pPr>
    </w:p>
    <w:p w14:paraId="7C454EDC">
      <w:pPr>
        <w:pStyle w:val="24"/>
        <w:snapToGrid w:val="0"/>
        <w:spacing w:line="440" w:lineRule="exact"/>
        <w:ind w:firstLine="482" w:firstLineChars="200"/>
        <w:rPr>
          <w:rFonts w:hint="eastAsia" w:hAnsi="宋体" w:eastAsia="宋体" w:cs="宋体"/>
          <w:b/>
          <w:bCs/>
          <w:color w:val="auto"/>
          <w:sz w:val="24"/>
          <w:szCs w:val="24"/>
          <w:highlight w:val="none"/>
        </w:rPr>
      </w:pPr>
      <w:r>
        <w:rPr>
          <w:rFonts w:hint="eastAsia" w:hAnsi="宋体" w:eastAsia="宋体" w:cs="宋体"/>
          <w:b/>
          <w:bCs/>
          <w:color w:val="auto"/>
          <w:sz w:val="24"/>
          <w:szCs w:val="24"/>
          <w:highlight w:val="none"/>
        </w:rPr>
        <w:t>一、投诉相关主体基本情况：</w:t>
      </w:r>
    </w:p>
    <w:p w14:paraId="7B1FA8F5">
      <w:pPr>
        <w:pStyle w:val="24"/>
        <w:snapToGrid w:val="0"/>
        <w:spacing w:line="440" w:lineRule="exact"/>
        <w:ind w:firstLine="480" w:firstLineChars="200"/>
        <w:jc w:val="left"/>
        <w:rPr>
          <w:rFonts w:hint="eastAsia" w:hAnsi="宋体" w:eastAsia="宋体" w:cs="宋体"/>
          <w:bCs/>
          <w:color w:val="auto"/>
          <w:sz w:val="24"/>
          <w:szCs w:val="24"/>
          <w:highlight w:val="none"/>
          <w:u w:val="single"/>
        </w:rPr>
      </w:pPr>
      <w:r>
        <w:rPr>
          <w:rFonts w:hint="eastAsia" w:hAnsi="宋体" w:eastAsia="宋体" w:cs="宋体"/>
          <w:bCs/>
          <w:color w:val="auto"/>
          <w:sz w:val="24"/>
          <w:szCs w:val="24"/>
          <w:highlight w:val="none"/>
        </w:rPr>
        <w:t>投标人：</w:t>
      </w:r>
      <w:r>
        <w:rPr>
          <w:rFonts w:hint="eastAsia" w:hAnsi="宋体" w:eastAsia="宋体" w:cs="宋体"/>
          <w:bCs/>
          <w:color w:val="auto"/>
          <w:sz w:val="24"/>
          <w:szCs w:val="24"/>
          <w:highlight w:val="none"/>
          <w:u w:val="single"/>
        </w:rPr>
        <w:t xml:space="preserve">                                                                        </w:t>
      </w:r>
      <w:r>
        <w:rPr>
          <w:rFonts w:hint="eastAsia" w:hAnsi="宋体" w:eastAsia="宋体" w:cs="宋体"/>
          <w:bCs/>
          <w:color w:val="auto"/>
          <w:sz w:val="24"/>
          <w:szCs w:val="24"/>
          <w:highlight w:val="none"/>
        </w:rPr>
        <w:t xml:space="preserve">                 </w:t>
      </w:r>
    </w:p>
    <w:p w14:paraId="49A29B75">
      <w:pPr>
        <w:pStyle w:val="24"/>
        <w:snapToGrid w:val="0"/>
        <w:spacing w:line="440" w:lineRule="exact"/>
        <w:ind w:firstLine="480" w:firstLineChars="200"/>
        <w:jc w:val="left"/>
        <w:rPr>
          <w:rFonts w:hint="eastAsia" w:hAnsi="宋体" w:eastAsia="宋体" w:cs="宋体"/>
          <w:bCs/>
          <w:color w:val="auto"/>
          <w:sz w:val="24"/>
          <w:szCs w:val="24"/>
          <w:highlight w:val="none"/>
        </w:rPr>
      </w:pPr>
      <w:r>
        <w:rPr>
          <w:rFonts w:hint="eastAsia" w:hAnsi="宋体" w:eastAsia="宋体" w:cs="宋体"/>
          <w:bCs/>
          <w:color w:val="auto"/>
          <w:sz w:val="24"/>
          <w:szCs w:val="24"/>
          <w:highlight w:val="none"/>
        </w:rPr>
        <w:t>地址：</w:t>
      </w:r>
      <w:r>
        <w:rPr>
          <w:rFonts w:hint="eastAsia" w:hAnsi="宋体" w:eastAsia="宋体" w:cs="宋体"/>
          <w:bCs/>
          <w:color w:val="auto"/>
          <w:sz w:val="24"/>
          <w:szCs w:val="24"/>
          <w:highlight w:val="none"/>
          <w:u w:val="single"/>
        </w:rPr>
        <w:t xml:space="preserve">                                          </w:t>
      </w:r>
      <w:r>
        <w:rPr>
          <w:rFonts w:hint="eastAsia" w:hAnsi="宋体" w:eastAsia="宋体" w:cs="宋体"/>
          <w:bCs/>
          <w:color w:val="auto"/>
          <w:sz w:val="24"/>
          <w:szCs w:val="24"/>
          <w:highlight w:val="none"/>
        </w:rPr>
        <w:t>邮编：</w:t>
      </w:r>
      <w:r>
        <w:rPr>
          <w:rFonts w:hint="eastAsia" w:hAnsi="宋体" w:eastAsia="宋体" w:cs="宋体"/>
          <w:bCs/>
          <w:color w:val="auto"/>
          <w:sz w:val="24"/>
          <w:szCs w:val="24"/>
          <w:highlight w:val="none"/>
          <w:u w:val="single"/>
        </w:rPr>
        <w:t xml:space="preserve">                          </w:t>
      </w:r>
      <w:r>
        <w:rPr>
          <w:rFonts w:hint="eastAsia" w:hAnsi="宋体" w:eastAsia="宋体" w:cs="宋体"/>
          <w:bCs/>
          <w:color w:val="auto"/>
          <w:sz w:val="24"/>
          <w:szCs w:val="24"/>
          <w:highlight w:val="none"/>
        </w:rPr>
        <w:t xml:space="preserve">                 </w:t>
      </w:r>
    </w:p>
    <w:p w14:paraId="5DA5BF8E">
      <w:pPr>
        <w:pStyle w:val="24"/>
        <w:snapToGrid w:val="0"/>
        <w:spacing w:line="440" w:lineRule="exact"/>
        <w:ind w:firstLine="480" w:firstLineChars="200"/>
        <w:jc w:val="left"/>
        <w:rPr>
          <w:rFonts w:hint="eastAsia" w:hAnsi="宋体" w:eastAsia="宋体" w:cs="宋体"/>
          <w:bCs/>
          <w:color w:val="auto"/>
          <w:sz w:val="24"/>
          <w:szCs w:val="24"/>
          <w:highlight w:val="none"/>
          <w:u w:val="single"/>
        </w:rPr>
      </w:pPr>
      <w:r>
        <w:rPr>
          <w:rFonts w:hint="eastAsia" w:hAnsi="宋体" w:eastAsia="宋体" w:cs="宋体"/>
          <w:bCs/>
          <w:color w:val="auto"/>
          <w:sz w:val="24"/>
          <w:szCs w:val="24"/>
          <w:highlight w:val="none"/>
        </w:rPr>
        <w:t>法定代表人/主要负责人：</w:t>
      </w:r>
      <w:r>
        <w:rPr>
          <w:rFonts w:hint="eastAsia" w:hAnsi="宋体" w:eastAsia="宋体" w:cs="宋体"/>
          <w:bCs/>
          <w:color w:val="auto"/>
          <w:sz w:val="24"/>
          <w:szCs w:val="24"/>
          <w:highlight w:val="none"/>
          <w:u w:val="single"/>
        </w:rPr>
        <w:t xml:space="preserve">                                                         </w:t>
      </w:r>
    </w:p>
    <w:p w14:paraId="6B536EF3">
      <w:pPr>
        <w:pStyle w:val="24"/>
        <w:snapToGrid w:val="0"/>
        <w:spacing w:line="440" w:lineRule="exact"/>
        <w:ind w:firstLine="480" w:firstLineChars="200"/>
        <w:jc w:val="left"/>
        <w:rPr>
          <w:rFonts w:hint="eastAsia" w:hAnsi="宋体" w:eastAsia="宋体" w:cs="宋体"/>
          <w:bCs/>
          <w:color w:val="auto"/>
          <w:sz w:val="24"/>
          <w:szCs w:val="24"/>
          <w:highlight w:val="none"/>
        </w:rPr>
      </w:pPr>
      <w:r>
        <w:rPr>
          <w:rFonts w:hint="eastAsia" w:hAnsi="宋体" w:eastAsia="宋体" w:cs="宋体"/>
          <w:bCs/>
          <w:color w:val="auto"/>
          <w:sz w:val="24"/>
          <w:szCs w:val="24"/>
          <w:highlight w:val="none"/>
        </w:rPr>
        <w:t>联系电话：</w:t>
      </w:r>
      <w:r>
        <w:rPr>
          <w:rFonts w:hint="eastAsia" w:hAnsi="宋体" w:eastAsia="宋体" w:cs="宋体"/>
          <w:bCs/>
          <w:color w:val="auto"/>
          <w:sz w:val="24"/>
          <w:szCs w:val="24"/>
          <w:highlight w:val="none"/>
          <w:u w:val="single"/>
        </w:rPr>
        <w:t xml:space="preserve">                                         </w:t>
      </w:r>
    </w:p>
    <w:p w14:paraId="12342BA5">
      <w:pPr>
        <w:pStyle w:val="24"/>
        <w:snapToGrid w:val="0"/>
        <w:spacing w:line="440" w:lineRule="exact"/>
        <w:ind w:firstLine="480" w:firstLineChars="200"/>
        <w:jc w:val="left"/>
        <w:rPr>
          <w:rFonts w:hint="eastAsia" w:hAnsi="宋体" w:eastAsia="宋体" w:cs="宋体"/>
          <w:bCs/>
          <w:color w:val="auto"/>
          <w:sz w:val="24"/>
          <w:szCs w:val="24"/>
          <w:highlight w:val="none"/>
          <w:u w:val="single"/>
        </w:rPr>
      </w:pPr>
      <w:r>
        <w:rPr>
          <w:rFonts w:hint="eastAsia" w:hAnsi="宋体" w:eastAsia="宋体" w:cs="宋体"/>
          <w:bCs/>
          <w:color w:val="auto"/>
          <w:sz w:val="24"/>
          <w:szCs w:val="24"/>
          <w:highlight w:val="none"/>
        </w:rPr>
        <w:t>授权代表：</w:t>
      </w:r>
      <w:r>
        <w:rPr>
          <w:rFonts w:hint="eastAsia" w:hAnsi="宋体" w:eastAsia="宋体" w:cs="宋体"/>
          <w:bCs/>
          <w:color w:val="auto"/>
          <w:sz w:val="24"/>
          <w:szCs w:val="24"/>
          <w:highlight w:val="none"/>
          <w:u w:val="single"/>
        </w:rPr>
        <w:t xml:space="preserve">                                         </w:t>
      </w:r>
      <w:r>
        <w:rPr>
          <w:rFonts w:hint="eastAsia" w:hAnsi="宋体" w:eastAsia="宋体" w:cs="宋体"/>
          <w:bCs/>
          <w:color w:val="auto"/>
          <w:sz w:val="24"/>
          <w:szCs w:val="24"/>
          <w:highlight w:val="none"/>
        </w:rPr>
        <w:t>联系电话：</w:t>
      </w:r>
      <w:r>
        <w:rPr>
          <w:rFonts w:hint="eastAsia" w:hAnsi="宋体" w:eastAsia="宋体" w:cs="宋体"/>
          <w:bCs/>
          <w:color w:val="auto"/>
          <w:sz w:val="24"/>
          <w:szCs w:val="24"/>
          <w:highlight w:val="none"/>
          <w:u w:val="single"/>
        </w:rPr>
        <w:t xml:space="preserve">                   </w:t>
      </w:r>
    </w:p>
    <w:p w14:paraId="7F33DDEB">
      <w:pPr>
        <w:pStyle w:val="24"/>
        <w:snapToGrid w:val="0"/>
        <w:spacing w:line="440" w:lineRule="exact"/>
        <w:ind w:firstLine="480" w:firstLineChars="200"/>
        <w:jc w:val="left"/>
        <w:rPr>
          <w:rFonts w:hint="eastAsia" w:hAnsi="宋体" w:eastAsia="宋体" w:cs="宋体"/>
          <w:bCs/>
          <w:color w:val="auto"/>
          <w:sz w:val="24"/>
          <w:szCs w:val="24"/>
          <w:highlight w:val="none"/>
          <w:u w:val="single"/>
        </w:rPr>
      </w:pPr>
      <w:r>
        <w:rPr>
          <w:rFonts w:hint="eastAsia" w:hAnsi="宋体" w:eastAsia="宋体" w:cs="宋体"/>
          <w:bCs/>
          <w:color w:val="auto"/>
          <w:sz w:val="24"/>
          <w:szCs w:val="24"/>
          <w:highlight w:val="none"/>
        </w:rPr>
        <w:t>地址：</w:t>
      </w:r>
      <w:r>
        <w:rPr>
          <w:rFonts w:hint="eastAsia" w:hAnsi="宋体" w:eastAsia="宋体" w:cs="宋体"/>
          <w:bCs/>
          <w:color w:val="auto"/>
          <w:sz w:val="24"/>
          <w:szCs w:val="24"/>
          <w:highlight w:val="none"/>
          <w:u w:val="single"/>
        </w:rPr>
        <w:t xml:space="preserve">                                                            </w:t>
      </w:r>
    </w:p>
    <w:p w14:paraId="6DC4F8EF">
      <w:pPr>
        <w:pStyle w:val="24"/>
        <w:snapToGrid w:val="0"/>
        <w:spacing w:line="440" w:lineRule="exact"/>
        <w:ind w:firstLine="480" w:firstLineChars="200"/>
        <w:jc w:val="left"/>
        <w:rPr>
          <w:rFonts w:hint="eastAsia" w:hAnsi="宋体" w:eastAsia="宋体" w:cs="宋体"/>
          <w:bCs/>
          <w:color w:val="auto"/>
          <w:sz w:val="24"/>
          <w:szCs w:val="24"/>
          <w:highlight w:val="none"/>
        </w:rPr>
      </w:pPr>
      <w:r>
        <w:rPr>
          <w:rFonts w:hint="eastAsia" w:hAnsi="宋体" w:eastAsia="宋体" w:cs="宋体"/>
          <w:bCs/>
          <w:color w:val="auto"/>
          <w:sz w:val="24"/>
          <w:szCs w:val="24"/>
          <w:highlight w:val="none"/>
        </w:rPr>
        <w:t>邮编：</w:t>
      </w:r>
      <w:r>
        <w:rPr>
          <w:rFonts w:hint="eastAsia" w:hAnsi="宋体" w:eastAsia="宋体" w:cs="宋体"/>
          <w:bCs/>
          <w:color w:val="auto"/>
          <w:sz w:val="24"/>
          <w:szCs w:val="24"/>
          <w:highlight w:val="none"/>
          <w:u w:val="single"/>
        </w:rPr>
        <w:t xml:space="preserve">         </w:t>
      </w:r>
      <w:r>
        <w:rPr>
          <w:rFonts w:hint="eastAsia" w:hAnsi="宋体" w:eastAsia="宋体" w:cs="宋体"/>
          <w:bCs/>
          <w:color w:val="auto"/>
          <w:sz w:val="24"/>
          <w:szCs w:val="24"/>
          <w:highlight w:val="none"/>
        </w:rPr>
        <w:t xml:space="preserve">   </w:t>
      </w:r>
    </w:p>
    <w:p w14:paraId="7C91CEAB">
      <w:pPr>
        <w:pStyle w:val="24"/>
        <w:snapToGrid w:val="0"/>
        <w:spacing w:line="440" w:lineRule="exact"/>
        <w:ind w:firstLine="480" w:firstLineChars="200"/>
        <w:jc w:val="left"/>
        <w:rPr>
          <w:rFonts w:hint="eastAsia" w:hAnsi="宋体" w:eastAsia="宋体" w:cs="宋体"/>
          <w:bCs/>
          <w:color w:val="auto"/>
          <w:sz w:val="24"/>
          <w:szCs w:val="24"/>
          <w:highlight w:val="none"/>
        </w:rPr>
      </w:pPr>
      <w:r>
        <w:rPr>
          <w:rFonts w:hint="eastAsia" w:hAnsi="宋体" w:eastAsia="宋体" w:cs="宋体"/>
          <w:bCs/>
          <w:color w:val="auto"/>
          <w:sz w:val="24"/>
          <w:szCs w:val="24"/>
          <w:highlight w:val="none"/>
        </w:rPr>
        <w:t>被投诉人1：</w:t>
      </w:r>
    </w:p>
    <w:p w14:paraId="59A87767">
      <w:pPr>
        <w:pStyle w:val="24"/>
        <w:snapToGrid w:val="0"/>
        <w:spacing w:line="440" w:lineRule="exact"/>
        <w:ind w:firstLine="480" w:firstLineChars="200"/>
        <w:jc w:val="left"/>
        <w:rPr>
          <w:rFonts w:hint="eastAsia" w:hAnsi="宋体" w:eastAsia="宋体" w:cs="宋体"/>
          <w:bCs/>
          <w:color w:val="auto"/>
          <w:sz w:val="24"/>
          <w:szCs w:val="24"/>
          <w:highlight w:val="none"/>
          <w:u w:val="single"/>
        </w:rPr>
      </w:pPr>
      <w:r>
        <w:rPr>
          <w:rFonts w:hint="eastAsia" w:hAnsi="宋体" w:eastAsia="宋体" w:cs="宋体"/>
          <w:bCs/>
          <w:color w:val="auto"/>
          <w:sz w:val="24"/>
          <w:szCs w:val="24"/>
          <w:highlight w:val="none"/>
        </w:rPr>
        <w:t>地址：</w:t>
      </w:r>
      <w:r>
        <w:rPr>
          <w:rFonts w:hint="eastAsia" w:hAnsi="宋体" w:eastAsia="宋体" w:cs="宋体"/>
          <w:bCs/>
          <w:color w:val="auto"/>
          <w:sz w:val="24"/>
          <w:szCs w:val="24"/>
          <w:highlight w:val="none"/>
          <w:u w:val="single"/>
        </w:rPr>
        <w:t xml:space="preserve">                                                            </w:t>
      </w:r>
    </w:p>
    <w:p w14:paraId="38BD7079">
      <w:pPr>
        <w:pStyle w:val="24"/>
        <w:snapToGrid w:val="0"/>
        <w:spacing w:line="440" w:lineRule="exact"/>
        <w:ind w:firstLine="480" w:firstLineChars="200"/>
        <w:jc w:val="left"/>
        <w:rPr>
          <w:rFonts w:hint="eastAsia" w:hAnsi="宋体" w:eastAsia="宋体" w:cs="宋体"/>
          <w:bCs/>
          <w:color w:val="auto"/>
          <w:sz w:val="24"/>
          <w:szCs w:val="24"/>
          <w:highlight w:val="none"/>
        </w:rPr>
      </w:pPr>
      <w:r>
        <w:rPr>
          <w:rFonts w:hint="eastAsia" w:hAnsi="宋体" w:eastAsia="宋体" w:cs="宋体"/>
          <w:bCs/>
          <w:color w:val="auto"/>
          <w:sz w:val="24"/>
          <w:szCs w:val="24"/>
          <w:highlight w:val="none"/>
        </w:rPr>
        <w:t>邮编：</w:t>
      </w:r>
      <w:r>
        <w:rPr>
          <w:rFonts w:hint="eastAsia" w:hAnsi="宋体" w:eastAsia="宋体" w:cs="宋体"/>
          <w:bCs/>
          <w:color w:val="auto"/>
          <w:sz w:val="24"/>
          <w:szCs w:val="24"/>
          <w:highlight w:val="none"/>
          <w:u w:val="single"/>
        </w:rPr>
        <w:t xml:space="preserve">         </w:t>
      </w:r>
      <w:r>
        <w:rPr>
          <w:rFonts w:hint="eastAsia" w:hAnsi="宋体" w:eastAsia="宋体" w:cs="宋体"/>
          <w:bCs/>
          <w:color w:val="auto"/>
          <w:sz w:val="24"/>
          <w:szCs w:val="24"/>
          <w:highlight w:val="none"/>
        </w:rPr>
        <w:t xml:space="preserve">  </w:t>
      </w:r>
    </w:p>
    <w:p w14:paraId="2CE453DB">
      <w:pPr>
        <w:pStyle w:val="24"/>
        <w:snapToGrid w:val="0"/>
        <w:spacing w:line="440" w:lineRule="exact"/>
        <w:ind w:firstLine="480" w:firstLineChars="200"/>
        <w:jc w:val="left"/>
        <w:rPr>
          <w:rFonts w:hint="eastAsia" w:hAnsi="宋体" w:eastAsia="宋体" w:cs="宋体"/>
          <w:bCs/>
          <w:color w:val="auto"/>
          <w:sz w:val="24"/>
          <w:szCs w:val="24"/>
          <w:highlight w:val="none"/>
          <w:u w:val="single"/>
        </w:rPr>
      </w:pPr>
      <w:r>
        <w:rPr>
          <w:rFonts w:hint="eastAsia" w:hAnsi="宋体" w:eastAsia="宋体" w:cs="宋体"/>
          <w:bCs/>
          <w:color w:val="auto"/>
          <w:sz w:val="24"/>
          <w:szCs w:val="24"/>
          <w:highlight w:val="none"/>
        </w:rPr>
        <w:t>联系人：</w:t>
      </w:r>
      <w:r>
        <w:rPr>
          <w:rFonts w:hint="eastAsia" w:hAnsi="宋体" w:eastAsia="宋体" w:cs="宋体"/>
          <w:bCs/>
          <w:color w:val="auto"/>
          <w:sz w:val="24"/>
          <w:szCs w:val="24"/>
          <w:highlight w:val="none"/>
          <w:u w:val="single"/>
        </w:rPr>
        <w:t xml:space="preserve">                            </w:t>
      </w:r>
      <w:r>
        <w:rPr>
          <w:rFonts w:hint="eastAsia" w:hAnsi="宋体" w:eastAsia="宋体" w:cs="宋体"/>
          <w:bCs/>
          <w:color w:val="auto"/>
          <w:sz w:val="24"/>
          <w:szCs w:val="24"/>
          <w:highlight w:val="none"/>
        </w:rPr>
        <w:t>联系电话：</w:t>
      </w:r>
      <w:r>
        <w:rPr>
          <w:rFonts w:hint="eastAsia" w:hAnsi="宋体" w:eastAsia="宋体" w:cs="宋体"/>
          <w:bCs/>
          <w:color w:val="auto"/>
          <w:sz w:val="24"/>
          <w:szCs w:val="24"/>
          <w:highlight w:val="none"/>
          <w:u w:val="single"/>
        </w:rPr>
        <w:t xml:space="preserve">                </w:t>
      </w:r>
    </w:p>
    <w:p w14:paraId="28B02F41">
      <w:pPr>
        <w:pStyle w:val="24"/>
        <w:snapToGrid w:val="0"/>
        <w:spacing w:line="440" w:lineRule="exact"/>
        <w:ind w:firstLine="480" w:firstLineChars="200"/>
        <w:jc w:val="left"/>
        <w:rPr>
          <w:rFonts w:hint="eastAsia" w:hAnsi="宋体" w:eastAsia="宋体" w:cs="宋体"/>
          <w:bCs/>
          <w:color w:val="auto"/>
          <w:sz w:val="24"/>
          <w:szCs w:val="24"/>
          <w:highlight w:val="none"/>
        </w:rPr>
      </w:pPr>
      <w:r>
        <w:rPr>
          <w:rFonts w:hint="eastAsia" w:hAnsi="宋体" w:eastAsia="宋体" w:cs="宋体"/>
          <w:bCs/>
          <w:color w:val="auto"/>
          <w:sz w:val="24"/>
          <w:szCs w:val="24"/>
          <w:highlight w:val="none"/>
        </w:rPr>
        <w:t>被投诉人2：</w:t>
      </w:r>
    </w:p>
    <w:p w14:paraId="29418249">
      <w:pPr>
        <w:pStyle w:val="24"/>
        <w:snapToGrid w:val="0"/>
        <w:spacing w:line="440" w:lineRule="exact"/>
        <w:ind w:firstLine="480" w:firstLineChars="200"/>
        <w:jc w:val="left"/>
        <w:rPr>
          <w:rFonts w:hint="eastAsia" w:hAnsi="宋体" w:eastAsia="宋体" w:cs="宋体"/>
          <w:bCs/>
          <w:color w:val="auto"/>
          <w:sz w:val="24"/>
          <w:szCs w:val="24"/>
          <w:highlight w:val="none"/>
        </w:rPr>
      </w:pPr>
      <w:r>
        <w:rPr>
          <w:rFonts w:hint="eastAsia" w:hAnsi="宋体" w:eastAsia="宋体" w:cs="宋体"/>
          <w:bCs/>
          <w:color w:val="auto"/>
          <w:sz w:val="24"/>
          <w:szCs w:val="24"/>
          <w:highlight w:val="none"/>
        </w:rPr>
        <w:t>……</w:t>
      </w:r>
    </w:p>
    <w:p w14:paraId="197174C0">
      <w:pPr>
        <w:pStyle w:val="24"/>
        <w:snapToGrid w:val="0"/>
        <w:spacing w:line="440" w:lineRule="exact"/>
        <w:ind w:firstLine="480" w:firstLineChars="200"/>
        <w:jc w:val="left"/>
        <w:rPr>
          <w:rFonts w:hint="eastAsia" w:hAnsi="宋体" w:eastAsia="宋体" w:cs="宋体"/>
          <w:bCs/>
          <w:color w:val="auto"/>
          <w:sz w:val="24"/>
          <w:szCs w:val="24"/>
          <w:highlight w:val="none"/>
          <w:u w:val="single"/>
        </w:rPr>
      </w:pPr>
      <w:r>
        <w:rPr>
          <w:rFonts w:hint="eastAsia" w:hAnsi="宋体" w:eastAsia="宋体" w:cs="宋体"/>
          <w:bCs/>
          <w:color w:val="auto"/>
          <w:sz w:val="24"/>
          <w:szCs w:val="24"/>
          <w:highlight w:val="none"/>
        </w:rPr>
        <w:t>相关供应商：</w:t>
      </w:r>
      <w:r>
        <w:rPr>
          <w:rFonts w:hint="eastAsia" w:hAnsi="宋体" w:eastAsia="宋体" w:cs="宋体"/>
          <w:bCs/>
          <w:color w:val="auto"/>
          <w:sz w:val="24"/>
          <w:szCs w:val="24"/>
          <w:highlight w:val="none"/>
          <w:u w:val="single"/>
        </w:rPr>
        <w:t xml:space="preserve">                                                                       </w:t>
      </w:r>
    </w:p>
    <w:p w14:paraId="2549A568">
      <w:pPr>
        <w:pStyle w:val="24"/>
        <w:snapToGrid w:val="0"/>
        <w:spacing w:line="440" w:lineRule="exact"/>
        <w:ind w:firstLine="480" w:firstLineChars="200"/>
        <w:jc w:val="left"/>
        <w:rPr>
          <w:rFonts w:hint="eastAsia" w:hAnsi="宋体" w:eastAsia="宋体" w:cs="宋体"/>
          <w:bCs/>
          <w:color w:val="auto"/>
          <w:sz w:val="24"/>
          <w:szCs w:val="24"/>
          <w:highlight w:val="none"/>
          <w:u w:val="single"/>
        </w:rPr>
      </w:pPr>
      <w:r>
        <w:rPr>
          <w:rFonts w:hint="eastAsia" w:hAnsi="宋体" w:eastAsia="宋体" w:cs="宋体"/>
          <w:bCs/>
          <w:color w:val="auto"/>
          <w:sz w:val="24"/>
          <w:szCs w:val="24"/>
          <w:highlight w:val="none"/>
        </w:rPr>
        <w:t>地址：</w:t>
      </w:r>
      <w:r>
        <w:rPr>
          <w:rFonts w:hint="eastAsia" w:hAnsi="宋体" w:eastAsia="宋体" w:cs="宋体"/>
          <w:bCs/>
          <w:color w:val="auto"/>
          <w:sz w:val="24"/>
          <w:szCs w:val="24"/>
          <w:highlight w:val="none"/>
          <w:u w:val="single"/>
        </w:rPr>
        <w:t xml:space="preserve">                                              </w:t>
      </w:r>
      <w:r>
        <w:rPr>
          <w:rFonts w:hint="eastAsia" w:hAnsi="宋体" w:eastAsia="宋体" w:cs="宋体"/>
          <w:bCs/>
          <w:color w:val="auto"/>
          <w:sz w:val="24"/>
          <w:szCs w:val="24"/>
          <w:highlight w:val="none"/>
        </w:rPr>
        <w:t>邮编：</w:t>
      </w:r>
      <w:r>
        <w:rPr>
          <w:rFonts w:hint="eastAsia" w:hAnsi="宋体" w:eastAsia="宋体" w:cs="宋体"/>
          <w:bCs/>
          <w:color w:val="auto"/>
          <w:sz w:val="24"/>
          <w:szCs w:val="24"/>
          <w:highlight w:val="none"/>
          <w:u w:val="single"/>
        </w:rPr>
        <w:t xml:space="preserve">                         </w:t>
      </w:r>
    </w:p>
    <w:p w14:paraId="08CB412F">
      <w:pPr>
        <w:pStyle w:val="24"/>
        <w:snapToGrid w:val="0"/>
        <w:spacing w:line="440" w:lineRule="exact"/>
        <w:ind w:firstLine="480" w:firstLineChars="200"/>
        <w:jc w:val="left"/>
        <w:rPr>
          <w:rFonts w:hint="eastAsia" w:hAnsi="宋体" w:eastAsia="宋体" w:cs="宋体"/>
          <w:bCs/>
          <w:color w:val="auto"/>
          <w:sz w:val="24"/>
          <w:szCs w:val="24"/>
          <w:highlight w:val="none"/>
        </w:rPr>
      </w:pPr>
      <w:r>
        <w:rPr>
          <w:rFonts w:hint="eastAsia" w:hAnsi="宋体" w:eastAsia="宋体" w:cs="宋体"/>
          <w:bCs/>
          <w:color w:val="auto"/>
          <w:sz w:val="24"/>
          <w:szCs w:val="24"/>
          <w:highlight w:val="none"/>
        </w:rPr>
        <w:t>联系人：</w:t>
      </w:r>
      <w:r>
        <w:rPr>
          <w:rFonts w:hint="eastAsia" w:hAnsi="宋体" w:eastAsia="宋体" w:cs="宋体"/>
          <w:bCs/>
          <w:color w:val="auto"/>
          <w:sz w:val="24"/>
          <w:szCs w:val="24"/>
          <w:highlight w:val="none"/>
          <w:u w:val="single"/>
        </w:rPr>
        <w:t xml:space="preserve">                                            </w:t>
      </w:r>
      <w:r>
        <w:rPr>
          <w:rFonts w:hint="eastAsia" w:hAnsi="宋体" w:eastAsia="宋体" w:cs="宋体"/>
          <w:bCs/>
          <w:color w:val="auto"/>
          <w:sz w:val="24"/>
          <w:szCs w:val="24"/>
          <w:highlight w:val="none"/>
        </w:rPr>
        <w:t>联系电话：</w:t>
      </w:r>
      <w:r>
        <w:rPr>
          <w:rFonts w:hint="eastAsia" w:hAnsi="宋体" w:eastAsia="宋体" w:cs="宋体"/>
          <w:bCs/>
          <w:color w:val="auto"/>
          <w:sz w:val="24"/>
          <w:szCs w:val="24"/>
          <w:highlight w:val="none"/>
          <w:u w:val="single"/>
        </w:rPr>
        <w:t xml:space="preserve">                     </w:t>
      </w:r>
      <w:r>
        <w:rPr>
          <w:rFonts w:hint="eastAsia" w:hAnsi="宋体" w:eastAsia="宋体" w:cs="宋体"/>
          <w:bCs/>
          <w:color w:val="auto"/>
          <w:sz w:val="24"/>
          <w:szCs w:val="24"/>
          <w:highlight w:val="none"/>
        </w:rPr>
        <w:t xml:space="preserve">                </w:t>
      </w:r>
    </w:p>
    <w:p w14:paraId="5B0C029F">
      <w:pPr>
        <w:pStyle w:val="24"/>
        <w:snapToGrid w:val="0"/>
        <w:spacing w:line="440" w:lineRule="exact"/>
        <w:ind w:firstLine="482" w:firstLineChars="200"/>
        <w:rPr>
          <w:rFonts w:hint="eastAsia" w:hAnsi="宋体" w:eastAsia="宋体" w:cs="宋体"/>
          <w:b/>
          <w:bCs/>
          <w:color w:val="auto"/>
          <w:sz w:val="24"/>
          <w:szCs w:val="24"/>
          <w:highlight w:val="none"/>
        </w:rPr>
      </w:pPr>
      <w:r>
        <w:rPr>
          <w:rFonts w:hint="eastAsia" w:hAnsi="宋体" w:eastAsia="宋体" w:cs="宋体"/>
          <w:b/>
          <w:bCs/>
          <w:color w:val="auto"/>
          <w:sz w:val="24"/>
          <w:szCs w:val="24"/>
          <w:highlight w:val="none"/>
        </w:rPr>
        <w:t>二、投诉项目基本情况：</w:t>
      </w:r>
    </w:p>
    <w:p w14:paraId="3A14C9B4">
      <w:pPr>
        <w:pStyle w:val="24"/>
        <w:spacing w:line="440" w:lineRule="exact"/>
        <w:ind w:left="25" w:leftChars="12" w:firstLine="472" w:firstLineChars="197"/>
        <w:rPr>
          <w:rFonts w:hint="eastAsia" w:hAnsi="宋体" w:eastAsia="宋体" w:cs="宋体"/>
          <w:color w:val="auto"/>
          <w:sz w:val="24"/>
          <w:szCs w:val="24"/>
          <w:highlight w:val="none"/>
        </w:rPr>
      </w:pPr>
      <w:r>
        <w:rPr>
          <w:rFonts w:hint="eastAsia" w:hAnsi="宋体" w:eastAsia="宋体" w:cs="宋体"/>
          <w:bCs/>
          <w:color w:val="auto"/>
          <w:sz w:val="24"/>
          <w:szCs w:val="24"/>
          <w:highlight w:val="none"/>
        </w:rPr>
        <w:t>采购</w:t>
      </w:r>
      <w:r>
        <w:rPr>
          <w:rFonts w:hint="eastAsia" w:hAnsi="宋体" w:eastAsia="宋体" w:cs="宋体"/>
          <w:color w:val="auto"/>
          <w:sz w:val="24"/>
          <w:szCs w:val="24"/>
          <w:highlight w:val="none"/>
        </w:rPr>
        <w:t>项目的名称：</w:t>
      </w:r>
      <w:r>
        <w:rPr>
          <w:rFonts w:hint="eastAsia" w:hAnsi="宋体" w:eastAsia="宋体" w:cs="宋体"/>
          <w:bCs/>
          <w:color w:val="auto"/>
          <w:sz w:val="24"/>
          <w:szCs w:val="24"/>
          <w:highlight w:val="none"/>
          <w:u w:val="single"/>
        </w:rPr>
        <w:t xml:space="preserve">                                                                   </w:t>
      </w:r>
    </w:p>
    <w:p w14:paraId="40F6F3EE">
      <w:pPr>
        <w:pStyle w:val="24"/>
        <w:spacing w:line="440" w:lineRule="exact"/>
        <w:ind w:left="25" w:leftChars="12" w:firstLine="472" w:firstLineChars="197"/>
        <w:rPr>
          <w:rFonts w:hint="eastAsia" w:hAnsi="宋体" w:eastAsia="宋体" w:cs="宋体"/>
          <w:color w:val="auto"/>
          <w:sz w:val="24"/>
          <w:szCs w:val="24"/>
          <w:highlight w:val="none"/>
        </w:rPr>
      </w:pPr>
      <w:r>
        <w:rPr>
          <w:rFonts w:hint="eastAsia" w:hAnsi="宋体" w:eastAsia="宋体" w:cs="宋体"/>
          <w:bCs/>
          <w:color w:val="auto"/>
          <w:sz w:val="24"/>
          <w:szCs w:val="24"/>
          <w:highlight w:val="none"/>
        </w:rPr>
        <w:t>采购</w:t>
      </w:r>
      <w:r>
        <w:rPr>
          <w:rFonts w:hint="eastAsia" w:hAnsi="宋体" w:eastAsia="宋体" w:cs="宋体"/>
          <w:color w:val="auto"/>
          <w:sz w:val="24"/>
          <w:szCs w:val="24"/>
          <w:highlight w:val="none"/>
        </w:rPr>
        <w:t>项目的编号：</w:t>
      </w:r>
      <w:r>
        <w:rPr>
          <w:rFonts w:hint="eastAsia" w:hAnsi="宋体" w:eastAsia="宋体" w:cs="宋体"/>
          <w:bCs/>
          <w:color w:val="auto"/>
          <w:sz w:val="24"/>
          <w:szCs w:val="24"/>
          <w:highlight w:val="none"/>
          <w:u w:val="single"/>
        </w:rPr>
        <w:t xml:space="preserve">                                          </w:t>
      </w:r>
    </w:p>
    <w:p w14:paraId="2809C161">
      <w:pPr>
        <w:pStyle w:val="24"/>
        <w:spacing w:line="440" w:lineRule="exact"/>
        <w:ind w:left="25" w:leftChars="12" w:firstLine="472" w:firstLineChars="197"/>
        <w:rPr>
          <w:rFonts w:hint="eastAsia" w:hAnsi="宋体" w:eastAsia="宋体" w:cs="宋体"/>
          <w:bCs/>
          <w:color w:val="auto"/>
          <w:sz w:val="24"/>
          <w:szCs w:val="24"/>
          <w:highlight w:val="none"/>
          <w:u w:val="single"/>
        </w:rPr>
      </w:pPr>
      <w:r>
        <w:rPr>
          <w:rFonts w:hint="eastAsia" w:hAnsi="宋体" w:eastAsia="宋体" w:cs="宋体"/>
          <w:color w:val="auto"/>
          <w:sz w:val="24"/>
          <w:szCs w:val="24"/>
          <w:highlight w:val="none"/>
        </w:rPr>
        <w:t>采购人名称：</w:t>
      </w:r>
      <w:r>
        <w:rPr>
          <w:rFonts w:hint="eastAsia" w:hAnsi="宋体" w:eastAsia="宋体" w:cs="宋体"/>
          <w:bCs/>
          <w:color w:val="auto"/>
          <w:sz w:val="24"/>
          <w:szCs w:val="24"/>
          <w:highlight w:val="none"/>
          <w:u w:val="single"/>
        </w:rPr>
        <w:t xml:space="preserve">                                                                        </w:t>
      </w:r>
    </w:p>
    <w:p w14:paraId="25740571">
      <w:pPr>
        <w:pStyle w:val="24"/>
        <w:spacing w:line="440" w:lineRule="exact"/>
        <w:ind w:left="25" w:leftChars="12" w:firstLine="472" w:firstLineChars="197"/>
        <w:rPr>
          <w:rFonts w:hint="eastAsia" w:hAnsi="宋体" w:eastAsia="宋体" w:cs="宋体"/>
          <w:bCs/>
          <w:color w:val="auto"/>
          <w:sz w:val="24"/>
          <w:szCs w:val="24"/>
          <w:highlight w:val="none"/>
          <w:u w:val="single"/>
        </w:rPr>
      </w:pPr>
      <w:r>
        <w:rPr>
          <w:rFonts w:hint="eastAsia" w:hAnsi="宋体" w:eastAsia="宋体" w:cs="宋体"/>
          <w:color w:val="auto"/>
          <w:sz w:val="24"/>
          <w:szCs w:val="24"/>
          <w:highlight w:val="none"/>
        </w:rPr>
        <w:t>代理机构名称：</w:t>
      </w:r>
      <w:r>
        <w:rPr>
          <w:rFonts w:hint="eastAsia" w:hAnsi="宋体" w:eastAsia="宋体" w:cs="宋体"/>
          <w:bCs/>
          <w:color w:val="auto"/>
          <w:sz w:val="24"/>
          <w:szCs w:val="24"/>
          <w:highlight w:val="none"/>
          <w:u w:val="single"/>
        </w:rPr>
        <w:t xml:space="preserve">                                                                      </w:t>
      </w:r>
    </w:p>
    <w:p w14:paraId="2020EE33">
      <w:pPr>
        <w:pStyle w:val="24"/>
        <w:spacing w:line="440" w:lineRule="exact"/>
        <w:ind w:left="25" w:leftChars="12" w:firstLine="472" w:firstLineChars="197"/>
        <w:rPr>
          <w:rFonts w:hint="eastAsia" w:hAnsi="宋体" w:eastAsia="宋体" w:cs="宋体"/>
          <w:bCs/>
          <w:color w:val="auto"/>
          <w:sz w:val="24"/>
          <w:szCs w:val="24"/>
          <w:highlight w:val="none"/>
          <w:u w:val="single"/>
        </w:rPr>
      </w:pPr>
      <w:r>
        <w:rPr>
          <w:rFonts w:hint="eastAsia" w:hAnsi="宋体" w:eastAsia="宋体" w:cs="宋体"/>
          <w:bCs/>
          <w:color w:val="auto"/>
          <w:sz w:val="24"/>
          <w:szCs w:val="24"/>
          <w:highlight w:val="none"/>
        </w:rPr>
        <w:t>招标文件公告：</w:t>
      </w:r>
      <w:r>
        <w:rPr>
          <w:rFonts w:hint="eastAsia" w:hAnsi="宋体" w:eastAsia="宋体" w:cs="宋体"/>
          <w:bCs/>
          <w:color w:val="auto"/>
          <w:sz w:val="24"/>
          <w:szCs w:val="24"/>
          <w:highlight w:val="none"/>
          <w:u w:val="single"/>
        </w:rPr>
        <w:t>是/否</w:t>
      </w:r>
      <w:r>
        <w:rPr>
          <w:rFonts w:hint="eastAsia" w:hAnsi="宋体" w:eastAsia="宋体" w:cs="宋体"/>
          <w:bCs/>
          <w:color w:val="auto"/>
          <w:sz w:val="24"/>
          <w:szCs w:val="24"/>
          <w:highlight w:val="none"/>
        </w:rPr>
        <w:t>公告期限：</w:t>
      </w:r>
      <w:r>
        <w:rPr>
          <w:rFonts w:hint="eastAsia" w:hAnsi="宋体" w:eastAsia="宋体" w:cs="宋体"/>
          <w:bCs/>
          <w:color w:val="auto"/>
          <w:sz w:val="24"/>
          <w:szCs w:val="24"/>
          <w:highlight w:val="none"/>
          <w:u w:val="single"/>
        </w:rPr>
        <w:t xml:space="preserve">                                                       </w:t>
      </w:r>
    </w:p>
    <w:p w14:paraId="56523362">
      <w:pPr>
        <w:pStyle w:val="24"/>
        <w:spacing w:line="440" w:lineRule="exact"/>
        <w:ind w:left="25" w:leftChars="12" w:firstLine="472" w:firstLineChars="197"/>
        <w:rPr>
          <w:rFonts w:hint="eastAsia" w:hAnsi="宋体" w:eastAsia="宋体" w:cs="宋体"/>
          <w:b/>
          <w:color w:val="auto"/>
          <w:sz w:val="24"/>
          <w:szCs w:val="24"/>
          <w:highlight w:val="none"/>
        </w:rPr>
      </w:pPr>
      <w:r>
        <w:rPr>
          <w:rFonts w:hint="eastAsia" w:hAnsi="宋体" w:eastAsia="宋体" w:cs="宋体"/>
          <w:bCs/>
          <w:color w:val="auto"/>
          <w:sz w:val="24"/>
          <w:szCs w:val="24"/>
          <w:highlight w:val="none"/>
        </w:rPr>
        <w:t>采购结果公告：</w:t>
      </w:r>
      <w:r>
        <w:rPr>
          <w:rFonts w:hint="eastAsia" w:hAnsi="宋体" w:eastAsia="宋体" w:cs="宋体"/>
          <w:bCs/>
          <w:color w:val="auto"/>
          <w:sz w:val="24"/>
          <w:szCs w:val="24"/>
          <w:highlight w:val="none"/>
          <w:u w:val="single"/>
        </w:rPr>
        <w:t>是/否</w:t>
      </w:r>
      <w:r>
        <w:rPr>
          <w:rFonts w:hint="eastAsia" w:hAnsi="宋体" w:eastAsia="宋体" w:cs="宋体"/>
          <w:bCs/>
          <w:color w:val="auto"/>
          <w:sz w:val="24"/>
          <w:szCs w:val="24"/>
          <w:highlight w:val="none"/>
        </w:rPr>
        <w:t>公告期限：</w:t>
      </w:r>
      <w:r>
        <w:rPr>
          <w:rFonts w:hint="eastAsia" w:hAnsi="宋体" w:eastAsia="宋体" w:cs="宋体"/>
          <w:bCs/>
          <w:color w:val="auto"/>
          <w:sz w:val="24"/>
          <w:szCs w:val="24"/>
          <w:highlight w:val="none"/>
          <w:u w:val="single"/>
        </w:rPr>
        <w:t xml:space="preserve">                                                       </w:t>
      </w:r>
    </w:p>
    <w:p w14:paraId="4982C7A0">
      <w:pPr>
        <w:pStyle w:val="24"/>
        <w:spacing w:line="440" w:lineRule="exact"/>
        <w:ind w:left="25" w:leftChars="12" w:firstLine="472" w:firstLineChars="196"/>
        <w:rPr>
          <w:rFonts w:hint="eastAsia" w:hAnsi="宋体" w:eastAsia="宋体" w:cs="宋体"/>
          <w:b/>
          <w:color w:val="auto"/>
          <w:sz w:val="24"/>
          <w:szCs w:val="24"/>
          <w:highlight w:val="none"/>
        </w:rPr>
      </w:pPr>
      <w:r>
        <w:rPr>
          <w:rFonts w:hint="eastAsia" w:hAnsi="宋体" w:eastAsia="宋体" w:cs="宋体"/>
          <w:b/>
          <w:color w:val="auto"/>
          <w:sz w:val="24"/>
          <w:szCs w:val="24"/>
          <w:highlight w:val="none"/>
        </w:rPr>
        <w:t>三、质疑基本情况</w:t>
      </w:r>
    </w:p>
    <w:p w14:paraId="68540003">
      <w:pPr>
        <w:pStyle w:val="24"/>
        <w:spacing w:line="440" w:lineRule="exact"/>
        <w:ind w:left="25" w:leftChars="12" w:firstLine="480" w:firstLineChars="200"/>
        <w:rPr>
          <w:rFonts w:hint="eastAsia" w:hAnsi="宋体" w:eastAsia="宋体" w:cs="宋体"/>
          <w:color w:val="auto"/>
          <w:sz w:val="24"/>
          <w:szCs w:val="24"/>
          <w:highlight w:val="none"/>
        </w:rPr>
      </w:pPr>
      <w:r>
        <w:rPr>
          <w:rFonts w:hint="eastAsia" w:hAnsi="宋体" w:eastAsia="宋体" w:cs="宋体"/>
          <w:color w:val="auto"/>
          <w:sz w:val="24"/>
          <w:szCs w:val="24"/>
          <w:highlight w:val="none"/>
        </w:rPr>
        <w:t>投诉人于</w:t>
      </w:r>
      <w:r>
        <w:rPr>
          <w:rFonts w:hint="eastAsia" w:hAnsi="宋体" w:eastAsia="宋体" w:cs="宋体"/>
          <w:color w:val="auto"/>
          <w:sz w:val="24"/>
          <w:szCs w:val="24"/>
          <w:highlight w:val="none"/>
          <w:u w:val="single"/>
        </w:rPr>
        <w:t xml:space="preserve">      </w:t>
      </w:r>
      <w:r>
        <w:rPr>
          <w:rFonts w:hint="eastAsia" w:hAnsi="宋体" w:eastAsia="宋体" w:cs="宋体"/>
          <w:color w:val="auto"/>
          <w:sz w:val="24"/>
          <w:szCs w:val="24"/>
          <w:highlight w:val="none"/>
        </w:rPr>
        <w:t>年</w:t>
      </w:r>
      <w:r>
        <w:rPr>
          <w:rFonts w:hint="eastAsia" w:hAnsi="宋体" w:eastAsia="宋体" w:cs="宋体"/>
          <w:color w:val="auto"/>
          <w:sz w:val="24"/>
          <w:szCs w:val="24"/>
          <w:highlight w:val="none"/>
          <w:u w:val="single"/>
        </w:rPr>
        <w:t xml:space="preserve">   </w:t>
      </w:r>
      <w:r>
        <w:rPr>
          <w:rFonts w:hint="eastAsia" w:hAnsi="宋体" w:eastAsia="宋体" w:cs="宋体"/>
          <w:color w:val="auto"/>
          <w:sz w:val="24"/>
          <w:szCs w:val="24"/>
          <w:highlight w:val="none"/>
        </w:rPr>
        <w:t>月</w:t>
      </w:r>
      <w:r>
        <w:rPr>
          <w:rFonts w:hint="eastAsia" w:hAnsi="宋体" w:eastAsia="宋体" w:cs="宋体"/>
          <w:color w:val="auto"/>
          <w:sz w:val="24"/>
          <w:szCs w:val="24"/>
          <w:highlight w:val="none"/>
          <w:u w:val="single"/>
        </w:rPr>
        <w:t xml:space="preserve">   </w:t>
      </w:r>
      <w:r>
        <w:rPr>
          <w:rFonts w:hint="eastAsia" w:hAnsi="宋体" w:eastAsia="宋体" w:cs="宋体"/>
          <w:color w:val="auto"/>
          <w:sz w:val="24"/>
          <w:szCs w:val="24"/>
          <w:highlight w:val="none"/>
        </w:rPr>
        <w:t>日，向</w:t>
      </w:r>
      <w:r>
        <w:rPr>
          <w:rFonts w:hint="eastAsia" w:hAnsi="宋体" w:eastAsia="宋体" w:cs="宋体"/>
          <w:color w:val="auto"/>
          <w:sz w:val="24"/>
          <w:szCs w:val="24"/>
          <w:highlight w:val="none"/>
          <w:u w:val="single"/>
        </w:rPr>
        <w:t xml:space="preserve">                                </w:t>
      </w:r>
      <w:r>
        <w:rPr>
          <w:rFonts w:hint="eastAsia" w:hAnsi="宋体" w:eastAsia="宋体" w:cs="宋体"/>
          <w:color w:val="auto"/>
          <w:sz w:val="24"/>
          <w:szCs w:val="24"/>
          <w:highlight w:val="none"/>
        </w:rPr>
        <w:t>提出质疑，质疑事项为：</w:t>
      </w:r>
    </w:p>
    <w:p w14:paraId="67F99EDB">
      <w:pPr>
        <w:pStyle w:val="24"/>
        <w:spacing w:line="440" w:lineRule="exact"/>
        <w:ind w:firstLine="241"/>
        <w:rPr>
          <w:rFonts w:hint="eastAsia" w:hAnsi="宋体" w:eastAsia="宋体" w:cs="宋体"/>
          <w:bCs/>
          <w:color w:val="auto"/>
          <w:sz w:val="24"/>
          <w:szCs w:val="24"/>
          <w:highlight w:val="none"/>
          <w:u w:val="single"/>
        </w:rPr>
      </w:pPr>
      <w:r>
        <w:rPr>
          <w:rFonts w:hint="eastAsia" w:hAnsi="宋体" w:eastAsia="宋体" w:cs="宋体"/>
          <w:color w:val="auto"/>
          <w:sz w:val="24"/>
          <w:szCs w:val="24"/>
          <w:highlight w:val="none"/>
        </w:rPr>
        <w:t xml:space="preserve">    </w:t>
      </w:r>
      <w:r>
        <w:rPr>
          <w:rFonts w:hint="eastAsia" w:hAnsi="宋体" w:eastAsia="宋体" w:cs="宋体"/>
          <w:bCs/>
          <w:color w:val="auto"/>
          <w:sz w:val="24"/>
          <w:szCs w:val="24"/>
          <w:highlight w:val="none"/>
          <w:u w:val="single"/>
        </w:rPr>
        <w:t xml:space="preserve">                                                                                      </w:t>
      </w:r>
    </w:p>
    <w:p w14:paraId="1EA60B55">
      <w:pPr>
        <w:pStyle w:val="24"/>
        <w:spacing w:line="440" w:lineRule="exact"/>
        <w:ind w:firstLine="241"/>
        <w:rPr>
          <w:rFonts w:hint="eastAsia" w:hAnsi="宋体" w:eastAsia="宋体" w:cs="宋体"/>
          <w:bCs/>
          <w:color w:val="auto"/>
          <w:sz w:val="24"/>
          <w:szCs w:val="24"/>
          <w:highlight w:val="none"/>
          <w:u w:val="single"/>
        </w:rPr>
      </w:pPr>
      <w:r>
        <w:rPr>
          <w:rFonts w:hint="eastAsia" w:hAnsi="宋体" w:eastAsia="宋体" w:cs="宋体"/>
          <w:bCs/>
          <w:color w:val="auto"/>
          <w:sz w:val="24"/>
          <w:szCs w:val="24"/>
          <w:highlight w:val="none"/>
        </w:rPr>
        <w:t xml:space="preserve">    </w:t>
      </w:r>
      <w:r>
        <w:rPr>
          <w:rFonts w:hint="eastAsia" w:hAnsi="宋体" w:eastAsia="宋体" w:cs="宋体"/>
          <w:bCs/>
          <w:color w:val="auto"/>
          <w:sz w:val="24"/>
          <w:szCs w:val="24"/>
          <w:highlight w:val="none"/>
          <w:u w:val="single"/>
        </w:rPr>
        <w:t xml:space="preserve">                                                                                      </w:t>
      </w:r>
    </w:p>
    <w:p w14:paraId="68EC6FBE">
      <w:pPr>
        <w:pStyle w:val="24"/>
        <w:spacing w:line="440" w:lineRule="exact"/>
        <w:ind w:firstLine="480" w:firstLineChars="200"/>
        <w:rPr>
          <w:rFonts w:hint="eastAsia" w:hAnsi="宋体" w:eastAsia="宋体" w:cs="宋体"/>
          <w:color w:val="auto"/>
          <w:sz w:val="24"/>
          <w:szCs w:val="24"/>
          <w:highlight w:val="none"/>
        </w:rPr>
      </w:pPr>
      <w:r>
        <w:rPr>
          <w:rFonts w:hint="eastAsia" w:hAnsi="宋体" w:eastAsia="宋体" w:cs="宋体"/>
          <w:bCs/>
          <w:color w:val="auto"/>
          <w:sz w:val="24"/>
          <w:szCs w:val="24"/>
          <w:highlight w:val="none"/>
          <w:u w:val="single"/>
        </w:rPr>
        <w:t>采购人/代理机构</w:t>
      </w:r>
      <w:r>
        <w:rPr>
          <w:rFonts w:hint="eastAsia" w:hAnsi="宋体" w:eastAsia="宋体" w:cs="宋体"/>
          <w:bCs/>
          <w:color w:val="auto"/>
          <w:sz w:val="24"/>
          <w:szCs w:val="24"/>
          <w:highlight w:val="none"/>
        </w:rPr>
        <w:t>于</w:t>
      </w:r>
      <w:r>
        <w:rPr>
          <w:rFonts w:hint="eastAsia" w:hAnsi="宋体" w:eastAsia="宋体" w:cs="宋体"/>
          <w:color w:val="auto"/>
          <w:sz w:val="24"/>
          <w:szCs w:val="24"/>
          <w:highlight w:val="none"/>
          <w:u w:val="single"/>
        </w:rPr>
        <w:t xml:space="preserve">      </w:t>
      </w:r>
      <w:r>
        <w:rPr>
          <w:rFonts w:hint="eastAsia" w:hAnsi="宋体" w:eastAsia="宋体" w:cs="宋体"/>
          <w:color w:val="auto"/>
          <w:sz w:val="24"/>
          <w:szCs w:val="24"/>
          <w:highlight w:val="none"/>
        </w:rPr>
        <w:t>年</w:t>
      </w:r>
      <w:r>
        <w:rPr>
          <w:rFonts w:hint="eastAsia" w:hAnsi="宋体" w:eastAsia="宋体" w:cs="宋体"/>
          <w:color w:val="auto"/>
          <w:sz w:val="24"/>
          <w:szCs w:val="24"/>
          <w:highlight w:val="none"/>
          <w:u w:val="single"/>
        </w:rPr>
        <w:t xml:space="preserve">   </w:t>
      </w:r>
      <w:r>
        <w:rPr>
          <w:rFonts w:hint="eastAsia" w:hAnsi="宋体" w:eastAsia="宋体" w:cs="宋体"/>
          <w:color w:val="auto"/>
          <w:sz w:val="24"/>
          <w:szCs w:val="24"/>
          <w:highlight w:val="none"/>
        </w:rPr>
        <w:t>月</w:t>
      </w:r>
      <w:r>
        <w:rPr>
          <w:rFonts w:hint="eastAsia" w:hAnsi="宋体" w:eastAsia="宋体" w:cs="宋体"/>
          <w:color w:val="auto"/>
          <w:sz w:val="24"/>
          <w:szCs w:val="24"/>
          <w:highlight w:val="none"/>
          <w:u w:val="single"/>
        </w:rPr>
        <w:t xml:space="preserve">   </w:t>
      </w:r>
      <w:r>
        <w:rPr>
          <w:rFonts w:hint="eastAsia" w:hAnsi="宋体" w:eastAsia="宋体" w:cs="宋体"/>
          <w:color w:val="auto"/>
          <w:sz w:val="24"/>
          <w:szCs w:val="24"/>
          <w:highlight w:val="none"/>
        </w:rPr>
        <w:t>日，</w:t>
      </w:r>
      <w:r>
        <w:rPr>
          <w:rFonts w:hint="eastAsia" w:hAnsi="宋体" w:eastAsia="宋体" w:cs="宋体"/>
          <w:bCs/>
          <w:color w:val="auto"/>
          <w:sz w:val="24"/>
          <w:szCs w:val="24"/>
          <w:highlight w:val="none"/>
        </w:rPr>
        <w:t xml:space="preserve">就质疑事项作出了答复/没有在法定期限内作出答复。                                                                                             </w:t>
      </w:r>
    </w:p>
    <w:p w14:paraId="15BF09B1">
      <w:pPr>
        <w:pStyle w:val="24"/>
        <w:spacing w:line="440" w:lineRule="exact"/>
        <w:ind w:left="25" w:leftChars="12" w:firstLine="472" w:firstLineChars="196"/>
        <w:rPr>
          <w:rFonts w:hint="eastAsia" w:hAnsi="宋体" w:eastAsia="宋体" w:cs="宋体"/>
          <w:b/>
          <w:color w:val="auto"/>
          <w:sz w:val="24"/>
          <w:szCs w:val="24"/>
          <w:highlight w:val="none"/>
        </w:rPr>
      </w:pPr>
      <w:r>
        <w:rPr>
          <w:rFonts w:hint="eastAsia" w:hAnsi="宋体" w:eastAsia="宋体" w:cs="宋体"/>
          <w:b/>
          <w:color w:val="auto"/>
          <w:sz w:val="24"/>
          <w:szCs w:val="24"/>
          <w:highlight w:val="none"/>
        </w:rPr>
        <w:t>四、投诉事项具体内容</w:t>
      </w:r>
    </w:p>
    <w:p w14:paraId="6FD7187F">
      <w:pPr>
        <w:pStyle w:val="24"/>
        <w:spacing w:line="440" w:lineRule="exact"/>
        <w:ind w:left="25" w:leftChars="12" w:firstLine="472" w:firstLineChars="197"/>
        <w:rPr>
          <w:rFonts w:hint="eastAsia" w:hAnsi="宋体" w:eastAsia="宋体" w:cs="宋体"/>
          <w:bCs/>
          <w:color w:val="auto"/>
          <w:sz w:val="24"/>
          <w:szCs w:val="24"/>
          <w:highlight w:val="none"/>
          <w:u w:val="single"/>
        </w:rPr>
      </w:pPr>
      <w:r>
        <w:rPr>
          <w:rFonts w:hint="eastAsia" w:hAnsi="宋体" w:eastAsia="宋体" w:cs="宋体"/>
          <w:color w:val="auto"/>
          <w:sz w:val="24"/>
          <w:szCs w:val="24"/>
          <w:highlight w:val="none"/>
        </w:rPr>
        <w:t>投诉事项1：</w:t>
      </w:r>
      <w:r>
        <w:rPr>
          <w:rFonts w:hint="eastAsia" w:hAnsi="宋体" w:eastAsia="宋体" w:cs="宋体"/>
          <w:bCs/>
          <w:color w:val="auto"/>
          <w:sz w:val="24"/>
          <w:szCs w:val="24"/>
          <w:highlight w:val="none"/>
          <w:u w:val="single"/>
        </w:rPr>
        <w:t xml:space="preserve">                                                                           </w:t>
      </w:r>
    </w:p>
    <w:p w14:paraId="4B51AE3E">
      <w:pPr>
        <w:pStyle w:val="24"/>
        <w:spacing w:line="440" w:lineRule="exact"/>
        <w:ind w:firstLine="480" w:firstLineChars="200"/>
        <w:rPr>
          <w:rFonts w:hint="eastAsia" w:hAnsi="宋体" w:eastAsia="宋体" w:cs="宋体"/>
          <w:bCs/>
          <w:color w:val="auto"/>
          <w:sz w:val="24"/>
          <w:szCs w:val="24"/>
          <w:highlight w:val="none"/>
          <w:u w:val="single"/>
        </w:rPr>
      </w:pPr>
      <w:r>
        <w:rPr>
          <w:rFonts w:hint="eastAsia" w:hAnsi="宋体" w:eastAsia="宋体" w:cs="宋体"/>
          <w:bCs/>
          <w:color w:val="auto"/>
          <w:sz w:val="24"/>
          <w:szCs w:val="24"/>
          <w:highlight w:val="none"/>
        </w:rPr>
        <w:t>事实依据：</w:t>
      </w:r>
      <w:r>
        <w:rPr>
          <w:rFonts w:hint="eastAsia" w:hAnsi="宋体" w:eastAsia="宋体" w:cs="宋体"/>
          <w:color w:val="auto"/>
          <w:sz w:val="24"/>
          <w:szCs w:val="24"/>
          <w:highlight w:val="none"/>
        </w:rPr>
        <w:t xml:space="preserve"> </w:t>
      </w:r>
      <w:r>
        <w:rPr>
          <w:rFonts w:hint="eastAsia" w:hAnsi="宋体" w:eastAsia="宋体" w:cs="宋体"/>
          <w:bCs/>
          <w:color w:val="auto"/>
          <w:sz w:val="24"/>
          <w:szCs w:val="24"/>
          <w:highlight w:val="none"/>
          <w:u w:val="single"/>
        </w:rPr>
        <w:t xml:space="preserve">                                                                                      </w:t>
      </w:r>
    </w:p>
    <w:p w14:paraId="40A6D1E7">
      <w:pPr>
        <w:pStyle w:val="24"/>
        <w:spacing w:line="440" w:lineRule="exact"/>
        <w:ind w:left="25" w:leftChars="12" w:firstLine="472" w:firstLineChars="197"/>
        <w:rPr>
          <w:rFonts w:hint="eastAsia" w:hAnsi="宋体" w:eastAsia="宋体" w:cs="宋体"/>
          <w:color w:val="auto"/>
          <w:sz w:val="24"/>
          <w:szCs w:val="24"/>
          <w:highlight w:val="none"/>
        </w:rPr>
      </w:pPr>
      <w:r>
        <w:rPr>
          <w:rFonts w:hint="eastAsia" w:hAnsi="宋体" w:eastAsia="宋体" w:cs="宋体"/>
          <w:bCs/>
          <w:color w:val="auto"/>
          <w:sz w:val="24"/>
          <w:szCs w:val="24"/>
          <w:highlight w:val="none"/>
          <w:u w:val="single"/>
        </w:rPr>
        <w:t xml:space="preserve">                                                                                        </w:t>
      </w:r>
    </w:p>
    <w:p w14:paraId="248EFE45">
      <w:pPr>
        <w:pStyle w:val="24"/>
        <w:spacing w:line="440" w:lineRule="exact"/>
        <w:ind w:firstLine="480" w:firstLineChars="200"/>
        <w:rPr>
          <w:rFonts w:hint="eastAsia" w:hAnsi="宋体" w:eastAsia="宋体" w:cs="宋体"/>
          <w:bCs/>
          <w:color w:val="auto"/>
          <w:sz w:val="24"/>
          <w:szCs w:val="24"/>
          <w:highlight w:val="none"/>
          <w:u w:val="single"/>
        </w:rPr>
      </w:pPr>
      <w:r>
        <w:rPr>
          <w:rFonts w:hint="eastAsia" w:hAnsi="宋体" w:eastAsia="宋体" w:cs="宋体"/>
          <w:bCs/>
          <w:color w:val="auto"/>
          <w:sz w:val="24"/>
          <w:szCs w:val="24"/>
          <w:highlight w:val="none"/>
        </w:rPr>
        <w:t>法律依据：</w:t>
      </w:r>
      <w:r>
        <w:rPr>
          <w:rFonts w:hint="eastAsia" w:hAnsi="宋体" w:eastAsia="宋体" w:cs="宋体"/>
          <w:color w:val="auto"/>
          <w:sz w:val="24"/>
          <w:szCs w:val="24"/>
          <w:highlight w:val="none"/>
        </w:rPr>
        <w:t xml:space="preserve"> </w:t>
      </w:r>
      <w:r>
        <w:rPr>
          <w:rFonts w:hint="eastAsia" w:hAnsi="宋体" w:eastAsia="宋体" w:cs="宋体"/>
          <w:bCs/>
          <w:color w:val="auto"/>
          <w:sz w:val="24"/>
          <w:szCs w:val="24"/>
          <w:highlight w:val="none"/>
          <w:u w:val="single"/>
        </w:rPr>
        <w:t xml:space="preserve">                                                                                      </w:t>
      </w:r>
    </w:p>
    <w:p w14:paraId="36F78343">
      <w:pPr>
        <w:pStyle w:val="24"/>
        <w:spacing w:line="440" w:lineRule="exact"/>
        <w:ind w:left="25" w:leftChars="12" w:firstLine="352" w:firstLineChars="147"/>
        <w:rPr>
          <w:rFonts w:hint="eastAsia" w:hAnsi="宋体" w:eastAsia="宋体" w:cs="宋体"/>
          <w:bCs/>
          <w:color w:val="auto"/>
          <w:sz w:val="24"/>
          <w:szCs w:val="24"/>
          <w:highlight w:val="none"/>
          <w:u w:val="single"/>
        </w:rPr>
      </w:pPr>
      <w:r>
        <w:rPr>
          <w:rFonts w:hint="eastAsia" w:hAnsi="宋体" w:eastAsia="宋体" w:cs="宋体"/>
          <w:bCs/>
          <w:color w:val="auto"/>
          <w:sz w:val="24"/>
          <w:szCs w:val="24"/>
          <w:highlight w:val="none"/>
        </w:rPr>
        <w:t xml:space="preserve"> </w:t>
      </w:r>
      <w:r>
        <w:rPr>
          <w:rFonts w:hint="eastAsia" w:hAnsi="宋体" w:eastAsia="宋体" w:cs="宋体"/>
          <w:bCs/>
          <w:color w:val="auto"/>
          <w:sz w:val="24"/>
          <w:szCs w:val="24"/>
          <w:highlight w:val="none"/>
          <w:u w:val="single"/>
        </w:rPr>
        <w:t xml:space="preserve">                                                                                        </w:t>
      </w:r>
    </w:p>
    <w:p w14:paraId="1250F908">
      <w:pPr>
        <w:pStyle w:val="24"/>
        <w:spacing w:line="440" w:lineRule="exact"/>
        <w:ind w:left="25" w:leftChars="12" w:firstLine="472" w:firstLineChars="197"/>
        <w:rPr>
          <w:rFonts w:hint="eastAsia" w:hAnsi="宋体" w:eastAsia="宋体" w:cs="宋体"/>
          <w:bCs/>
          <w:color w:val="auto"/>
          <w:sz w:val="24"/>
          <w:szCs w:val="24"/>
          <w:highlight w:val="none"/>
        </w:rPr>
      </w:pPr>
      <w:r>
        <w:rPr>
          <w:rFonts w:hint="eastAsia" w:hAnsi="宋体" w:eastAsia="宋体" w:cs="宋体"/>
          <w:color w:val="auto"/>
          <w:sz w:val="24"/>
          <w:szCs w:val="24"/>
          <w:highlight w:val="none"/>
        </w:rPr>
        <w:t xml:space="preserve">投诉事项2  </w:t>
      </w:r>
      <w:r>
        <w:rPr>
          <w:rFonts w:hint="eastAsia" w:hAnsi="宋体" w:eastAsia="宋体" w:cs="宋体"/>
          <w:bCs/>
          <w:color w:val="auto"/>
          <w:sz w:val="24"/>
          <w:szCs w:val="24"/>
          <w:highlight w:val="none"/>
        </w:rPr>
        <w:t xml:space="preserve">   </w:t>
      </w:r>
    </w:p>
    <w:p w14:paraId="33ECB57C">
      <w:pPr>
        <w:pStyle w:val="24"/>
        <w:spacing w:line="440" w:lineRule="exact"/>
        <w:ind w:left="25" w:leftChars="12" w:firstLine="472" w:firstLineChars="197"/>
        <w:rPr>
          <w:rFonts w:hint="eastAsia" w:hAnsi="宋体" w:eastAsia="宋体" w:cs="宋体"/>
          <w:bCs/>
          <w:color w:val="auto"/>
          <w:sz w:val="24"/>
          <w:szCs w:val="24"/>
          <w:highlight w:val="none"/>
        </w:rPr>
      </w:pPr>
      <w:r>
        <w:rPr>
          <w:rFonts w:hint="eastAsia" w:hAnsi="宋体" w:eastAsia="宋体" w:cs="宋体"/>
          <w:bCs/>
          <w:color w:val="auto"/>
          <w:sz w:val="24"/>
          <w:szCs w:val="24"/>
          <w:highlight w:val="none"/>
        </w:rPr>
        <w:t>……</w:t>
      </w:r>
    </w:p>
    <w:p w14:paraId="4CD7416F">
      <w:pPr>
        <w:pStyle w:val="24"/>
        <w:spacing w:line="440" w:lineRule="exact"/>
        <w:ind w:left="25" w:leftChars="12" w:firstLine="472" w:firstLineChars="196"/>
        <w:rPr>
          <w:rFonts w:hint="eastAsia" w:hAnsi="宋体" w:eastAsia="宋体" w:cs="宋体"/>
          <w:b/>
          <w:color w:val="auto"/>
          <w:sz w:val="24"/>
          <w:szCs w:val="24"/>
          <w:highlight w:val="none"/>
        </w:rPr>
      </w:pPr>
      <w:r>
        <w:rPr>
          <w:rFonts w:hint="eastAsia" w:hAnsi="宋体" w:eastAsia="宋体" w:cs="宋体"/>
          <w:b/>
          <w:color w:val="auto"/>
          <w:sz w:val="24"/>
          <w:szCs w:val="24"/>
          <w:highlight w:val="none"/>
        </w:rPr>
        <w:t>五、与投诉事项相关的投诉请求：</w:t>
      </w:r>
    </w:p>
    <w:p w14:paraId="07C10C75">
      <w:pPr>
        <w:pStyle w:val="24"/>
        <w:spacing w:line="440" w:lineRule="exact"/>
        <w:ind w:left="25" w:leftChars="12" w:firstLine="472" w:firstLineChars="197"/>
        <w:rPr>
          <w:rFonts w:hint="eastAsia" w:hAnsi="宋体" w:eastAsia="宋体" w:cs="宋体"/>
          <w:color w:val="auto"/>
          <w:sz w:val="24"/>
          <w:szCs w:val="24"/>
          <w:highlight w:val="none"/>
        </w:rPr>
      </w:pPr>
      <w:r>
        <w:rPr>
          <w:rFonts w:hint="eastAsia" w:hAnsi="宋体" w:eastAsia="宋体" w:cs="宋体"/>
          <w:color w:val="auto"/>
          <w:sz w:val="24"/>
          <w:szCs w:val="24"/>
          <w:highlight w:val="none"/>
        </w:rPr>
        <w:t>请求：</w:t>
      </w:r>
      <w:r>
        <w:rPr>
          <w:rFonts w:hint="eastAsia" w:hAnsi="宋体" w:eastAsia="宋体" w:cs="宋体"/>
          <w:bCs/>
          <w:color w:val="auto"/>
          <w:sz w:val="24"/>
          <w:szCs w:val="24"/>
          <w:highlight w:val="none"/>
          <w:u w:val="single"/>
        </w:rPr>
        <w:t xml:space="preserve">                                                                                 </w:t>
      </w:r>
    </w:p>
    <w:p w14:paraId="781289A0">
      <w:pPr>
        <w:pStyle w:val="24"/>
        <w:spacing w:line="440" w:lineRule="exact"/>
        <w:ind w:left="25" w:leftChars="12" w:firstLine="352" w:firstLineChars="147"/>
        <w:rPr>
          <w:rFonts w:hint="eastAsia" w:hAnsi="宋体" w:eastAsia="宋体" w:cs="宋体"/>
          <w:color w:val="auto"/>
          <w:sz w:val="24"/>
          <w:szCs w:val="24"/>
          <w:highlight w:val="none"/>
        </w:rPr>
      </w:pPr>
    </w:p>
    <w:p w14:paraId="25BF4D66">
      <w:pPr>
        <w:pStyle w:val="24"/>
        <w:spacing w:line="440" w:lineRule="exact"/>
        <w:ind w:left="25" w:leftChars="12" w:firstLine="472" w:firstLineChars="197"/>
        <w:rPr>
          <w:rFonts w:hint="eastAsia" w:hAnsi="宋体" w:eastAsia="宋体" w:cs="宋体"/>
          <w:color w:val="auto"/>
          <w:sz w:val="24"/>
          <w:szCs w:val="24"/>
          <w:highlight w:val="none"/>
        </w:rPr>
      </w:pPr>
      <w:r>
        <w:rPr>
          <w:rFonts w:hint="eastAsia" w:hAnsi="宋体" w:eastAsia="宋体" w:cs="宋体"/>
          <w:color w:val="auto"/>
          <w:sz w:val="24"/>
          <w:szCs w:val="24"/>
          <w:highlight w:val="none"/>
        </w:rPr>
        <w:t>签字（签章）：                                       公章：</w:t>
      </w:r>
    </w:p>
    <w:p w14:paraId="704DF998">
      <w:pPr>
        <w:pStyle w:val="24"/>
        <w:spacing w:line="440" w:lineRule="exact"/>
        <w:ind w:left="25" w:leftChars="12" w:firstLine="352" w:firstLineChars="147"/>
        <w:rPr>
          <w:rFonts w:hint="eastAsia" w:hAnsi="宋体" w:eastAsia="宋体" w:cs="宋体"/>
          <w:color w:val="auto"/>
          <w:sz w:val="24"/>
          <w:szCs w:val="24"/>
          <w:highlight w:val="none"/>
        </w:rPr>
      </w:pPr>
    </w:p>
    <w:p w14:paraId="387A040A">
      <w:pPr>
        <w:pStyle w:val="24"/>
        <w:spacing w:line="440" w:lineRule="exact"/>
        <w:ind w:left="25" w:leftChars="12" w:firstLine="472" w:firstLineChars="197"/>
        <w:rPr>
          <w:rFonts w:hint="eastAsia" w:hAnsi="宋体" w:eastAsia="宋体" w:cs="宋体"/>
          <w:color w:val="auto"/>
          <w:sz w:val="24"/>
          <w:szCs w:val="24"/>
          <w:highlight w:val="none"/>
        </w:rPr>
      </w:pPr>
      <w:r>
        <w:rPr>
          <w:rFonts w:hint="eastAsia" w:hAnsi="宋体" w:eastAsia="宋体" w:cs="宋体"/>
          <w:color w:val="auto"/>
          <w:sz w:val="24"/>
          <w:szCs w:val="24"/>
          <w:highlight w:val="none"/>
        </w:rPr>
        <w:t>日期：</w:t>
      </w:r>
    </w:p>
    <w:p w14:paraId="5BD9582A">
      <w:pPr>
        <w:pStyle w:val="24"/>
        <w:spacing w:line="440" w:lineRule="exact"/>
        <w:ind w:left="25" w:leftChars="12" w:firstLine="472" w:firstLineChars="197"/>
        <w:rPr>
          <w:rFonts w:hint="eastAsia" w:hAnsi="宋体" w:eastAsia="宋体" w:cs="宋体"/>
          <w:color w:val="auto"/>
          <w:sz w:val="24"/>
          <w:szCs w:val="24"/>
          <w:highlight w:val="none"/>
        </w:rPr>
      </w:pPr>
      <w:r>
        <w:rPr>
          <w:rFonts w:hint="eastAsia" w:hAnsi="宋体" w:eastAsia="宋体" w:cs="宋体"/>
          <w:bCs/>
          <w:color w:val="auto"/>
          <w:sz w:val="24"/>
          <w:szCs w:val="24"/>
          <w:highlight w:val="none"/>
        </w:rPr>
        <w:t xml:space="preserve">                                                                              </w:t>
      </w:r>
    </w:p>
    <w:p w14:paraId="531D14DB">
      <w:pPr>
        <w:pStyle w:val="24"/>
        <w:snapToGrid w:val="0"/>
        <w:spacing w:line="440" w:lineRule="exact"/>
        <w:rPr>
          <w:rFonts w:hint="eastAsia" w:hAnsi="宋体" w:eastAsia="宋体" w:cs="宋体"/>
          <w:b/>
          <w:color w:val="auto"/>
          <w:sz w:val="24"/>
          <w:szCs w:val="24"/>
          <w:highlight w:val="none"/>
        </w:rPr>
      </w:pPr>
      <w:r>
        <w:rPr>
          <w:rFonts w:hint="eastAsia" w:hAnsi="宋体" w:eastAsia="宋体" w:cs="宋体"/>
          <w:b/>
          <w:color w:val="auto"/>
          <w:sz w:val="24"/>
          <w:szCs w:val="24"/>
          <w:highlight w:val="none"/>
        </w:rPr>
        <w:t>说明：</w:t>
      </w:r>
    </w:p>
    <w:p w14:paraId="2075CE8E">
      <w:pPr>
        <w:pStyle w:val="24"/>
        <w:spacing w:line="440" w:lineRule="exact"/>
        <w:ind w:left="25" w:leftChars="12" w:firstLine="354" w:firstLineChars="147"/>
        <w:rPr>
          <w:rFonts w:hint="eastAsia" w:hAnsi="宋体" w:eastAsia="宋体" w:cs="宋体"/>
          <w:b/>
          <w:bCs/>
          <w:color w:val="auto"/>
          <w:sz w:val="24"/>
          <w:szCs w:val="24"/>
          <w:highlight w:val="none"/>
        </w:rPr>
      </w:pPr>
      <w:r>
        <w:rPr>
          <w:rFonts w:hint="eastAsia" w:hAnsi="宋体" w:eastAsia="宋体" w:cs="宋体"/>
          <w:b/>
          <w:color w:val="auto"/>
          <w:sz w:val="24"/>
          <w:szCs w:val="24"/>
          <w:highlight w:val="none"/>
        </w:rPr>
        <w:t>1.投诉人提起投诉时，应当提交投诉书和必要的证明材料，并按照被投诉人和与投诉事项有关的供应商数量提供投诉书副本</w:t>
      </w:r>
      <w:r>
        <w:rPr>
          <w:rFonts w:hint="eastAsia" w:hAnsi="宋体" w:eastAsia="宋体" w:cs="宋体"/>
          <w:b/>
          <w:bCs/>
          <w:color w:val="auto"/>
          <w:sz w:val="24"/>
          <w:szCs w:val="24"/>
          <w:highlight w:val="none"/>
        </w:rPr>
        <w:t>。</w:t>
      </w:r>
    </w:p>
    <w:p w14:paraId="61E2D076">
      <w:pPr>
        <w:pStyle w:val="24"/>
        <w:spacing w:line="440" w:lineRule="exact"/>
        <w:ind w:left="25" w:leftChars="12" w:firstLine="354" w:firstLineChars="147"/>
        <w:rPr>
          <w:rFonts w:hint="eastAsia" w:hAnsi="宋体" w:eastAsia="宋体" w:cs="宋体"/>
          <w:b/>
          <w:color w:val="auto"/>
          <w:sz w:val="24"/>
          <w:szCs w:val="24"/>
          <w:highlight w:val="none"/>
        </w:rPr>
      </w:pPr>
      <w:r>
        <w:rPr>
          <w:rFonts w:hint="eastAsia" w:hAnsi="宋体" w:eastAsia="宋体" w:cs="宋体"/>
          <w:b/>
          <w:color w:val="auto"/>
          <w:sz w:val="24"/>
          <w:szCs w:val="24"/>
          <w:highlight w:val="none"/>
        </w:rPr>
        <w:t>2.投诉人若委托代理人进行投诉的，投诉书应按要求列明“授权代表”的有关内容，并在附件中提交由投诉人签署的授权委托书。授权委托书应当载明代理人的姓名或者名称、代理事项、具体权限、期限和相关事项。</w:t>
      </w:r>
    </w:p>
    <w:p w14:paraId="4852FC29">
      <w:pPr>
        <w:pStyle w:val="24"/>
        <w:spacing w:line="440" w:lineRule="exact"/>
        <w:ind w:left="25" w:leftChars="12" w:firstLine="354" w:firstLineChars="147"/>
        <w:rPr>
          <w:rFonts w:hint="eastAsia" w:hAnsi="宋体" w:eastAsia="宋体" w:cs="宋体"/>
          <w:b/>
          <w:color w:val="auto"/>
          <w:sz w:val="24"/>
          <w:szCs w:val="24"/>
          <w:highlight w:val="none"/>
        </w:rPr>
      </w:pPr>
      <w:r>
        <w:rPr>
          <w:rFonts w:hint="eastAsia" w:hAnsi="宋体" w:eastAsia="宋体" w:cs="宋体"/>
          <w:b/>
          <w:color w:val="auto"/>
          <w:sz w:val="24"/>
          <w:szCs w:val="24"/>
          <w:highlight w:val="none"/>
        </w:rPr>
        <w:t>3.投诉书应简要列明质疑事项，质疑函、质疑答复等作为附件材料提供。</w:t>
      </w:r>
    </w:p>
    <w:p w14:paraId="592940A2">
      <w:pPr>
        <w:pStyle w:val="24"/>
        <w:spacing w:line="440" w:lineRule="exact"/>
        <w:ind w:left="25" w:leftChars="12" w:firstLine="354" w:firstLineChars="147"/>
        <w:rPr>
          <w:rFonts w:hint="eastAsia" w:hAnsi="宋体" w:eastAsia="宋体" w:cs="宋体"/>
          <w:b/>
          <w:color w:val="auto"/>
          <w:sz w:val="24"/>
          <w:szCs w:val="24"/>
          <w:highlight w:val="none"/>
        </w:rPr>
      </w:pPr>
      <w:r>
        <w:rPr>
          <w:rFonts w:hint="eastAsia" w:hAnsi="宋体" w:eastAsia="宋体" w:cs="宋体"/>
          <w:b/>
          <w:color w:val="auto"/>
          <w:sz w:val="24"/>
          <w:szCs w:val="24"/>
          <w:highlight w:val="none"/>
        </w:rPr>
        <w:t>4.投诉书的投诉事项应具体、明确，并有必要的事实依据和法律依据。</w:t>
      </w:r>
    </w:p>
    <w:p w14:paraId="13CA0DFA">
      <w:pPr>
        <w:pStyle w:val="24"/>
        <w:spacing w:line="440" w:lineRule="exact"/>
        <w:ind w:left="25" w:leftChars="12" w:firstLine="354" w:firstLineChars="147"/>
        <w:rPr>
          <w:rFonts w:hint="eastAsia" w:hAnsi="宋体" w:eastAsia="宋体" w:cs="宋体"/>
          <w:b/>
          <w:color w:val="auto"/>
          <w:sz w:val="24"/>
          <w:szCs w:val="24"/>
          <w:highlight w:val="none"/>
        </w:rPr>
      </w:pPr>
      <w:r>
        <w:rPr>
          <w:rFonts w:hint="eastAsia" w:hAnsi="宋体" w:eastAsia="宋体" w:cs="宋体"/>
          <w:b/>
          <w:color w:val="auto"/>
          <w:sz w:val="24"/>
          <w:szCs w:val="24"/>
          <w:highlight w:val="none"/>
        </w:rPr>
        <w:t>5.投诉书的投诉请求应与投诉事项相关。</w:t>
      </w:r>
    </w:p>
    <w:p w14:paraId="108B0FC2">
      <w:pPr>
        <w:pStyle w:val="24"/>
        <w:spacing w:line="440" w:lineRule="exact"/>
        <w:ind w:left="25" w:leftChars="12" w:firstLine="354" w:firstLineChars="147"/>
        <w:rPr>
          <w:rFonts w:hint="eastAsia" w:hAnsi="宋体" w:eastAsia="宋体" w:cs="宋体"/>
          <w:b/>
          <w:color w:val="auto"/>
          <w:highlight w:val="none"/>
        </w:rPr>
      </w:pPr>
      <w:r>
        <w:rPr>
          <w:rFonts w:hint="eastAsia" w:hAnsi="宋体" w:eastAsia="宋体" w:cs="宋体"/>
          <w:b/>
          <w:color w:val="auto"/>
          <w:sz w:val="24"/>
          <w:szCs w:val="24"/>
          <w:highlight w:val="none"/>
        </w:rPr>
        <w:t>6.投诉人为法人或者其他组织的，投诉书应由法定代表人、主要负责人，或者其授权代表签字或者盖章，并加盖公章。</w:t>
      </w:r>
    </w:p>
    <w:p w14:paraId="178FCFE5">
      <w:pPr>
        <w:pStyle w:val="24"/>
        <w:spacing w:line="440" w:lineRule="exact"/>
        <w:ind w:left="25" w:leftChars="12" w:firstLine="295" w:firstLineChars="147"/>
        <w:rPr>
          <w:rFonts w:hint="eastAsia" w:ascii="宋体" w:hAnsi="宋体" w:eastAsia="宋体" w:cs="宋体"/>
          <w:b/>
          <w:color w:val="auto"/>
          <w:highlight w:val="none"/>
        </w:rPr>
      </w:pPr>
    </w:p>
    <w:sectPr>
      <w:footerReference r:id="rId8" w:type="first"/>
      <w:headerReference r:id="rId5" w:type="default"/>
      <w:footerReference r:id="rId6" w:type="default"/>
      <w:footerReference r:id="rId7" w:type="even"/>
      <w:pgSz w:w="11906" w:h="16838"/>
      <w:pgMar w:top="1440" w:right="1803" w:bottom="1440" w:left="1803" w:header="851" w:footer="992" w:gutter="0"/>
      <w:pgNumType w:fmt="decimal"/>
      <w:cols w:space="720" w:num="1"/>
      <w:docGrid w:type="lines" w:linePitch="31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34"/>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_x000B__x000C_">
    <w:altName w:val="Times New Roman"/>
    <w:panose1 w:val="00000000000000000000"/>
    <w:charset w:val="00"/>
    <w:family w:val="roman"/>
    <w:pitch w:val="default"/>
    <w:sig w:usb0="00000000" w:usb1="00000000" w:usb2="00000000" w:usb3="00000000" w:csb0="00040001" w:csb1="00000000"/>
  </w:font>
  <w:font w:name="Tahoma">
    <w:panose1 w:val="020B0604030504040204"/>
    <w:charset w:val="00"/>
    <w:family w:val="swiss"/>
    <w:pitch w:val="default"/>
    <w:sig w:usb0="E1002EFF" w:usb1="C000605B" w:usb2="00000029" w:usb3="00000000" w:csb0="200101FF" w:csb1="20280000"/>
  </w:font>
  <w:font w:name="Century">
    <w:altName w:val="Times New Roman"/>
    <w:panose1 w:val="02040604050505020304"/>
    <w:charset w:val="00"/>
    <w:family w:val="roman"/>
    <w:pitch w:val="default"/>
    <w:sig w:usb0="00000000" w:usb1="00000000" w:usb2="00000000" w:usb3="00000000" w:csb0="2000009F" w:csb1="DFD70000"/>
  </w:font>
  <w:font w:name="Arial Unicode MS">
    <w:altName w:val="宋体"/>
    <w:panose1 w:val="020B0604020202020204"/>
    <w:charset w:val="86"/>
    <w:family w:val="swiss"/>
    <w:pitch w:val="default"/>
    <w:sig w:usb0="00000000" w:usb1="00000000" w:usb2="0000003F" w:usb3="00000000" w:csb0="603F01FF" w:csb1="FFFF0000"/>
  </w:font>
  <w:font w:name="方正书宋_GBK">
    <w:altName w:val="微软雅黑"/>
    <w:panose1 w:val="02000000000000000000"/>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等线">
    <w:panose1 w:val="02010600030101010101"/>
    <w:charset w:val="86"/>
    <w:family w:val="auto"/>
    <w:pitch w:val="default"/>
    <w:sig w:usb0="A00002BF" w:usb1="38CF7CFA" w:usb2="00000016" w:usb3="00000000" w:csb0="0004000F" w:csb1="00000000"/>
  </w:font>
  <w:font w:name="Wingdings 2">
    <w:altName w:val="Wingdings"/>
    <w:panose1 w:val="05020102010507070707"/>
    <w:charset w:val="02"/>
    <w:family w:val="roman"/>
    <w:pitch w:val="default"/>
    <w:sig w:usb0="00000000" w:usb1="00000000" w:usb2="00000000" w:usb3="00000000" w:csb0="80000000" w:csb1="00000000"/>
  </w:font>
  <w:font w:name="KSOFE44F9426">
    <w:panose1 w:val="02010609060101010101"/>
    <w:charset w:val="86"/>
    <w:family w:val="auto"/>
    <w:pitch w:val="default"/>
    <w:sig w:usb0="00000001" w:usb1="00000000" w:usb2="00000000" w:usb3="00000000" w:csb0="00040001" w:csb1="00000000"/>
  </w:font>
  <w:font w:name="Kingsoft U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4B904E">
    <w:pPr>
      <w:pStyle w:val="30"/>
      <w:wordWrap w:val="0"/>
      <w:rPr>
        <w:rFonts w:ascii="宋体" w:hAnsi="宋体"/>
        <w:sz w:val="28"/>
        <w:szCs w:val="2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67EE16">
    <w:pPr>
      <w:pStyle w:val="30"/>
      <w:wordWrap w:val="0"/>
      <w:rPr>
        <w:rFonts w:ascii="宋体" w:hAnsi="宋体"/>
        <w:sz w:val="28"/>
        <w:szCs w:val="28"/>
      </w:rPr>
    </w:pPr>
    <w:r>
      <w:rPr>
        <w:sz w:val="2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6D676CF3">
                          <w:pPr>
                            <w:pStyle w:val="30"/>
                          </w:pPr>
                          <w:r>
                            <w:fldChar w:fldCharType="begin"/>
                          </w:r>
                          <w:r>
                            <w:instrText xml:space="preserve"> PAGE  \* MERGEFORMAT </w:instrText>
                          </w:r>
                          <w:r>
                            <w:fldChar w:fldCharType="separate"/>
                          </w:r>
                          <w:r>
                            <w:t>3</w:t>
                          </w:r>
                          <w:r>
                            <w:fldChar w:fldCharType="end"/>
                          </w:r>
                        </w:p>
                      </w:txbxContent>
                    </wps:txbx>
                    <wps:bodyPr vert="horz" wrap="none" lIns="0" tIns="0" rIns="0" bIns="0" anchor="t" anchorCtr="0" upright="0">
                      <a:spAutoFit/>
                    </wps:bodyPr>
                  </wps:wsp>
                </a:graphicData>
              </a:graphic>
            </wp:anchor>
          </w:drawing>
        </mc:Choice>
        <mc:Fallback>
          <w:pict>
            <v:shape id="文本框 11"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">
              <v:fill on="f" focussize="0,0"/>
              <v:stroke on="f"/>
              <v:imagedata o:title=""/>
              <o:lock v:ext="edit" aspectratio="f"/>
              <v:textbox inset="0mm,0mm,0mm,0mm" style="mso-fit-shape-to-text:t;">
                <w:txbxContent>
                  <w:p w14:paraId="6D676CF3">
                    <w:pPr>
                      <w:pStyle w:val="30"/>
                    </w:pPr>
                    <w:r>
                      <w:fldChar w:fldCharType="begin"/>
                    </w:r>
                    <w:r>
                      <w:instrText xml:space="preserve"> PAGE  \* MERGEFORMAT </w:instrText>
                    </w:r>
                    <w:r>
                      <w:fldChar w:fldCharType="separate"/>
                    </w:r>
                    <w:r>
                      <w:t>3</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B558CD">
    <w:pPr>
      <w:pStyle w:val="30"/>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1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192A0713">
                          <w:pPr>
                            <w:pStyle w:val="30"/>
                          </w:pPr>
                          <w:r>
                            <w:fldChar w:fldCharType="begin"/>
                          </w:r>
                          <w:r>
                            <w:instrText xml:space="preserve"> PAGE  \* MERGEFORMAT </w:instrText>
                          </w:r>
                          <w:r>
                            <w:fldChar w:fldCharType="separate"/>
                          </w:r>
                          <w:r>
                            <w:t>104</w:t>
                          </w:r>
                          <w:r>
                            <w:fldChar w:fldCharType="end"/>
                          </w:r>
                        </w:p>
                      </w:txbxContent>
                    </wps:txbx>
                    <wps:bodyPr vert="horz" wrap="none" lIns="0" tIns="0" rIns="0" bIns="0" anchor="t" anchorCtr="0" upright="0">
                      <a:spAutoFit/>
                    </wps:bodyPr>
                  </wps:wsp>
                </a:graphicData>
              </a:graphic>
            </wp:anchor>
          </w:drawing>
        </mc:Choice>
        <mc:Fallback>
          <w:pict>
            <v:shape id="文本框 12"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">
              <v:fill on="f" focussize="0,0"/>
              <v:stroke on="f"/>
              <v:imagedata o:title=""/>
              <o:lock v:ext="edit" aspectratio="f"/>
              <v:textbox inset="0mm,0mm,0mm,0mm" style="mso-fit-shape-to-text:t;">
                <w:txbxContent>
                  <w:p w14:paraId="192A0713">
                    <w:pPr>
                      <w:pStyle w:val="30"/>
                    </w:pPr>
                    <w:r>
                      <w:fldChar w:fldCharType="begin"/>
                    </w:r>
                    <w:r>
                      <w:instrText xml:space="preserve"> PAGE  \* MERGEFORMAT </w:instrText>
                    </w:r>
                    <w:r>
                      <w:fldChar w:fldCharType="separate"/>
                    </w:r>
                    <w:r>
                      <w:t>104</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86E270">
    <w:pPr>
      <w:pStyle w:val="30"/>
      <w:framePr w:wrap="around" w:vAnchor="text" w:hAnchor="margin" w:xAlign="center" w:y="1"/>
      <w:rPr>
        <w:rStyle w:val="50"/>
      </w:rPr>
    </w:pPr>
    <w:r>
      <w:fldChar w:fldCharType="begin"/>
    </w:r>
    <w:r>
      <w:rPr>
        <w:rStyle w:val="50"/>
      </w:rPr>
      <w:instrText xml:space="preserve">PAGE  </w:instrText>
    </w:r>
    <w:r>
      <w:fldChar w:fldCharType="end"/>
    </w:r>
  </w:p>
  <w:p w14:paraId="39FF954E">
    <w:pPr>
      <w:pStyle w:val="3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75DAF1E">
    <w:pPr>
      <w:pStyle w:val="30"/>
      <w:ind w:right="360"/>
      <w:jc w:val="both"/>
      <w:rPr>
        <w:rFonts w:hint="eastAsia"/>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73F1B0">
    <w:pPr>
      <w:pStyle w:val="31"/>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2CA6F32"/>
    <w:multiLevelType w:val="singleLevel"/>
    <w:tmpl w:val="A2CA6F32"/>
    <w:lvl w:ilvl="0" w:tentative="0">
      <w:start w:val="1"/>
      <w:numFmt w:val="decimal"/>
      <w:lvlText w:val="%1."/>
      <w:lvlJc w:val="left"/>
      <w:pPr>
        <w:tabs>
          <w:tab w:val="left" w:pos="312"/>
        </w:tabs>
      </w:pPr>
    </w:lvl>
  </w:abstractNum>
  <w:abstractNum w:abstractNumId="1">
    <w:nsid w:val="FFFFFF7E"/>
    <w:multiLevelType w:val="singleLevel"/>
    <w:tmpl w:val="FFFFFF7E"/>
    <w:lvl w:ilvl="0" w:tentative="0">
      <w:start w:val="1"/>
      <w:numFmt w:val="decimal"/>
      <w:pStyle w:val="20"/>
      <w:lvlText w:val="%1."/>
      <w:lvlJc w:val="left"/>
      <w:pPr>
        <w:tabs>
          <w:tab w:val="left" w:pos="1200"/>
        </w:tabs>
        <w:ind w:left="1200" w:hanging="360"/>
      </w:pPr>
    </w:lvl>
  </w:abstractNum>
  <w:abstractNum w:abstractNumId="2">
    <w:nsid w:val="32714F5E"/>
    <w:multiLevelType w:val="multilevel"/>
    <w:tmpl w:val="32714F5E"/>
    <w:lvl w:ilvl="0" w:tentative="0">
      <w:start w:val="1"/>
      <w:numFmt w:val="chineseCountingThousand"/>
      <w:suff w:val="nothing"/>
      <w:lvlText w:val="第%1章"/>
      <w:lvlJc w:val="left"/>
      <w:pPr>
        <w:ind w:left="0" w:firstLine="0"/>
      </w:pPr>
      <w:rPr>
        <w:rFonts w:hint="eastAsia" w:ascii="仿宋_GB2312" w:eastAsia="仿宋_GB2312"/>
        <w:sz w:val="44"/>
      </w:rPr>
    </w:lvl>
    <w:lvl w:ilvl="1" w:tentative="0">
      <w:start w:val="1"/>
      <w:numFmt w:val="none"/>
      <w:suff w:val="nothing"/>
      <w:lvlText w:val=""/>
      <w:lvlJc w:val="left"/>
      <w:pPr>
        <w:ind w:left="0" w:firstLine="0"/>
      </w:pPr>
      <w:rPr>
        <w:rFonts w:hint="eastAsia"/>
      </w:rPr>
    </w:lvl>
    <w:lvl w:ilvl="2" w:tentative="0">
      <w:start w:val="1"/>
      <w:numFmt w:val="none"/>
      <w:suff w:val="nothing"/>
      <w:lvlText w:val=""/>
      <w:lvlJc w:val="left"/>
      <w:pPr>
        <w:ind w:left="0" w:firstLine="0"/>
      </w:pPr>
      <w:rPr>
        <w:rFonts w:hint="eastAsia"/>
      </w:rPr>
    </w:lvl>
    <w:lvl w:ilvl="3" w:tentative="0">
      <w:start w:val="1"/>
      <w:numFmt w:val="none"/>
      <w:suff w:val="nothing"/>
      <w:lvlText w:val=""/>
      <w:lvlJc w:val="left"/>
      <w:pPr>
        <w:ind w:left="0" w:firstLine="0"/>
      </w:pPr>
      <w:rPr>
        <w:rFonts w:hint="eastAsia"/>
      </w:rPr>
    </w:lvl>
    <w:lvl w:ilvl="4" w:tentative="0">
      <w:start w:val="1"/>
      <w:numFmt w:val="none"/>
      <w:pStyle w:val="7"/>
      <w:suff w:val="nothing"/>
      <w:lvlText w:val=""/>
      <w:lvlJc w:val="left"/>
      <w:pPr>
        <w:ind w:left="0" w:firstLine="0"/>
      </w:pPr>
      <w:rPr>
        <w:rFonts w:hint="eastAsia"/>
      </w:rPr>
    </w:lvl>
    <w:lvl w:ilvl="5" w:tentative="0">
      <w:start w:val="1"/>
      <w:numFmt w:val="none"/>
      <w:pStyle w:val="9"/>
      <w:suff w:val="nothing"/>
      <w:lvlText w:val=""/>
      <w:lvlJc w:val="left"/>
      <w:pPr>
        <w:ind w:left="0" w:firstLine="0"/>
      </w:pPr>
      <w:rPr>
        <w:rFonts w:hint="eastAsia"/>
      </w:rPr>
    </w:lvl>
    <w:lvl w:ilvl="6" w:tentative="0">
      <w:start w:val="1"/>
      <w:numFmt w:val="none"/>
      <w:pStyle w:val="10"/>
      <w:suff w:val="nothing"/>
      <w:lvlText w:val=""/>
      <w:lvlJc w:val="left"/>
      <w:pPr>
        <w:ind w:left="0" w:firstLine="0"/>
      </w:pPr>
      <w:rPr>
        <w:rFonts w:hint="eastAsia"/>
      </w:rPr>
    </w:lvl>
    <w:lvl w:ilvl="7" w:tentative="0">
      <w:start w:val="1"/>
      <w:numFmt w:val="none"/>
      <w:pStyle w:val="11"/>
      <w:suff w:val="nothing"/>
      <w:lvlText w:val=""/>
      <w:lvlJc w:val="left"/>
      <w:pPr>
        <w:ind w:left="0" w:firstLine="0"/>
      </w:pPr>
      <w:rPr>
        <w:rFonts w:hint="eastAsia"/>
      </w:rPr>
    </w:lvl>
    <w:lvl w:ilvl="8" w:tentative="0">
      <w:start w:val="1"/>
      <w:numFmt w:val="none"/>
      <w:pStyle w:val="12"/>
      <w:suff w:val="nothing"/>
      <w:lvlText w:val=""/>
      <w:lvlJc w:val="left"/>
      <w:pPr>
        <w:ind w:left="0" w:firstLine="0"/>
      </w:pPr>
      <w:rPr>
        <w:rFonts w:hint="eastAsia"/>
      </w:rPr>
    </w:lvl>
  </w:abstractNum>
  <w:abstractNum w:abstractNumId="3">
    <w:nsid w:val="4C601917"/>
    <w:multiLevelType w:val="singleLevel"/>
    <w:tmpl w:val="4C601917"/>
    <w:lvl w:ilvl="0" w:tentative="0">
      <w:start w:val="1"/>
      <w:numFmt w:val="decimal"/>
      <w:suff w:val="nothing"/>
      <w:lvlText w:val="（%1）"/>
      <w:lvlJc w:val="left"/>
      <w:pPr>
        <w:ind w:left="-2"/>
      </w:pPr>
    </w:lvl>
  </w:abstractNum>
  <w:abstractNum w:abstractNumId="4">
    <w:nsid w:val="5FABD14B"/>
    <w:multiLevelType w:val="singleLevel"/>
    <w:tmpl w:val="5FABD14B"/>
    <w:lvl w:ilvl="0" w:tentative="0">
      <w:start w:val="1"/>
      <w:numFmt w:val="decimal"/>
      <w:suff w:val="nothing"/>
      <w:lvlText w:val="（%1）"/>
      <w:lvlJc w:val="left"/>
    </w:lvl>
  </w:abstractNum>
  <w:abstractNum w:abstractNumId="5">
    <w:nsid w:val="763060DB"/>
    <w:multiLevelType w:val="multilevel"/>
    <w:tmpl w:val="763060DB"/>
    <w:lvl w:ilvl="0" w:tentative="0">
      <w:start w:val="1"/>
      <w:numFmt w:val="japaneseCounting"/>
      <w:lvlText w:val="第%1章"/>
      <w:lvlJc w:val="left"/>
      <w:pPr>
        <w:tabs>
          <w:tab w:val="left" w:pos="1815"/>
        </w:tabs>
        <w:ind w:left="1815" w:hanging="1275"/>
      </w:pPr>
      <w:rPr>
        <w:rFonts w:hint="eastAsia"/>
        <w:lang w:val="en-US"/>
      </w:rPr>
    </w:lvl>
    <w:lvl w:ilvl="1" w:tentative="0">
      <w:start w:val="1"/>
      <w:numFmt w:val="japaneseCounting"/>
      <w:lvlText w:val="%2、"/>
      <w:lvlJc w:val="left"/>
      <w:pPr>
        <w:tabs>
          <w:tab w:val="left" w:pos="1680"/>
        </w:tabs>
        <w:ind w:left="1680" w:hanging="720"/>
      </w:pPr>
      <w:rPr>
        <w:rFonts w:hint="eastAsia"/>
      </w:rPr>
    </w:lvl>
    <w:lvl w:ilvl="2" w:tentative="0">
      <w:start w:val="1"/>
      <w:numFmt w:val="decimal"/>
      <w:lvlText w:val="%3."/>
      <w:lvlJc w:val="left"/>
      <w:pPr>
        <w:ind w:left="502" w:hanging="360"/>
      </w:pPr>
      <w:rPr>
        <w:rFonts w:hint="default"/>
        <w:sz w:val="24"/>
        <w:szCs w:val="24"/>
      </w:rPr>
    </w:lvl>
    <w:lvl w:ilvl="3" w:tentative="0">
      <w:start w:val="1"/>
      <w:numFmt w:val="decimal"/>
      <w:lvlText w:val="%4."/>
      <w:lvlJc w:val="left"/>
      <w:pPr>
        <w:tabs>
          <w:tab w:val="left" w:pos="2220"/>
        </w:tabs>
        <w:ind w:left="2220" w:hanging="420"/>
      </w:pPr>
    </w:lvl>
    <w:lvl w:ilvl="4" w:tentative="0">
      <w:start w:val="1"/>
      <w:numFmt w:val="lowerLetter"/>
      <w:lvlText w:val="%5)"/>
      <w:lvlJc w:val="left"/>
      <w:pPr>
        <w:tabs>
          <w:tab w:val="left" w:pos="2640"/>
        </w:tabs>
        <w:ind w:left="2640" w:hanging="420"/>
      </w:pPr>
    </w:lvl>
    <w:lvl w:ilvl="5" w:tentative="0">
      <w:start w:val="1"/>
      <w:numFmt w:val="lowerRoman"/>
      <w:lvlText w:val="%6."/>
      <w:lvlJc w:val="right"/>
      <w:pPr>
        <w:tabs>
          <w:tab w:val="left" w:pos="3060"/>
        </w:tabs>
        <w:ind w:left="3060" w:hanging="420"/>
      </w:pPr>
    </w:lvl>
    <w:lvl w:ilvl="6" w:tentative="0">
      <w:start w:val="1"/>
      <w:numFmt w:val="decimal"/>
      <w:lvlText w:val="%7."/>
      <w:lvlJc w:val="left"/>
      <w:pPr>
        <w:tabs>
          <w:tab w:val="left" w:pos="3480"/>
        </w:tabs>
        <w:ind w:left="3480" w:hanging="420"/>
      </w:pPr>
    </w:lvl>
    <w:lvl w:ilvl="7" w:tentative="0">
      <w:start w:val="1"/>
      <w:numFmt w:val="lowerLetter"/>
      <w:lvlText w:val="%8)"/>
      <w:lvlJc w:val="left"/>
      <w:pPr>
        <w:tabs>
          <w:tab w:val="left" w:pos="3900"/>
        </w:tabs>
        <w:ind w:left="3900" w:hanging="420"/>
      </w:pPr>
    </w:lvl>
    <w:lvl w:ilvl="8" w:tentative="0">
      <w:start w:val="1"/>
      <w:numFmt w:val="lowerRoman"/>
      <w:lvlText w:val="%9."/>
      <w:lvlJc w:val="right"/>
      <w:pPr>
        <w:tabs>
          <w:tab w:val="left" w:pos="4320"/>
        </w:tabs>
        <w:ind w:left="4320" w:hanging="420"/>
      </w:pPr>
    </w:lvl>
  </w:abstractNum>
  <w:num w:numId="1">
    <w:abstractNumId w:val="2"/>
  </w:num>
  <w:num w:numId="2">
    <w:abstractNumId w:val="1"/>
  </w:num>
  <w:num w:numId="3">
    <w:abstractNumId w:val="3"/>
  </w:num>
  <w:num w:numId="4">
    <w:abstractNumId w:val="4"/>
  </w:num>
  <w:num w:numId="5">
    <w:abstractNumId w:val="0"/>
  </w:num>
  <w:num w:numId="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3"/>
  <w:bordersDoNotSurroundHeader w:val="0"/>
  <w:bordersDoNotSurroundFooter w:val="0"/>
  <w:stylePaneFormatFilter w:val="3D01" w:allStyles="1" w:customStyles="0" w:latentStyles="0" w:stylesInUse="0" w:headingStyles="0" w:numberingStyles="0" w:tableStyles="0" w:directFormattingOnRuns="1" w:directFormattingOnParagraphs="0" w:directFormattingOnNumbering="1" w:directFormattingOnTables="1" w:clearFormatting="1" w:top3HeadingStyles="1" w:visibleStyles="0" w:alternateStyleNames="0"/>
  <w:documentProtection w:enforcement="0"/>
  <w:defaultTabStop w:val="420"/>
  <w:hyphenationZone w:val="360"/>
  <w:drawingGridHorizontalSpacing w:val="210"/>
  <w:drawingGridVerticalSpacing w:val="159"/>
  <w:displayHorizontalDrawingGridEvery w:val="1"/>
  <w:displayVerticalDrawingGridEvery w:val="1"/>
  <w:noPunctuationKerning w:val="1"/>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g4OGM0MTMxMGY3ZTNhMjg4OGNiZTQ0YjQzYWVjZjIifQ=="/>
  </w:docVars>
  <w:rsids>
    <w:rsidRoot w:val="00172A27"/>
    <w:rsid w:val="0000010C"/>
    <w:rsid w:val="000004FE"/>
    <w:rsid w:val="00000FE0"/>
    <w:rsid w:val="00001068"/>
    <w:rsid w:val="0000114A"/>
    <w:rsid w:val="00001731"/>
    <w:rsid w:val="00001C2D"/>
    <w:rsid w:val="00001C55"/>
    <w:rsid w:val="00001CA8"/>
    <w:rsid w:val="00001FAE"/>
    <w:rsid w:val="00002291"/>
    <w:rsid w:val="00002DBF"/>
    <w:rsid w:val="00002EC0"/>
    <w:rsid w:val="00003224"/>
    <w:rsid w:val="000033B9"/>
    <w:rsid w:val="000033F5"/>
    <w:rsid w:val="0000358C"/>
    <w:rsid w:val="0000361D"/>
    <w:rsid w:val="00003BEF"/>
    <w:rsid w:val="00004130"/>
    <w:rsid w:val="0000431F"/>
    <w:rsid w:val="00004634"/>
    <w:rsid w:val="00004D8B"/>
    <w:rsid w:val="000059E2"/>
    <w:rsid w:val="000061EA"/>
    <w:rsid w:val="00006AE7"/>
    <w:rsid w:val="00006B9B"/>
    <w:rsid w:val="00006BCA"/>
    <w:rsid w:val="00006C35"/>
    <w:rsid w:val="000072B1"/>
    <w:rsid w:val="00007329"/>
    <w:rsid w:val="00007D86"/>
    <w:rsid w:val="00007E28"/>
    <w:rsid w:val="00007E84"/>
    <w:rsid w:val="00007F72"/>
    <w:rsid w:val="00010401"/>
    <w:rsid w:val="000105A1"/>
    <w:rsid w:val="000107AD"/>
    <w:rsid w:val="00010835"/>
    <w:rsid w:val="00011046"/>
    <w:rsid w:val="000117D5"/>
    <w:rsid w:val="00011842"/>
    <w:rsid w:val="00012137"/>
    <w:rsid w:val="000121FF"/>
    <w:rsid w:val="00012456"/>
    <w:rsid w:val="000125B8"/>
    <w:rsid w:val="00012692"/>
    <w:rsid w:val="00012705"/>
    <w:rsid w:val="00013446"/>
    <w:rsid w:val="00013509"/>
    <w:rsid w:val="000135BC"/>
    <w:rsid w:val="000135DC"/>
    <w:rsid w:val="000136D6"/>
    <w:rsid w:val="00014085"/>
    <w:rsid w:val="00014D89"/>
    <w:rsid w:val="00014DD9"/>
    <w:rsid w:val="00014EE0"/>
    <w:rsid w:val="000151E4"/>
    <w:rsid w:val="00015577"/>
    <w:rsid w:val="000156E4"/>
    <w:rsid w:val="000159A7"/>
    <w:rsid w:val="00015FB8"/>
    <w:rsid w:val="0001609F"/>
    <w:rsid w:val="0001635B"/>
    <w:rsid w:val="00016549"/>
    <w:rsid w:val="0001668A"/>
    <w:rsid w:val="0001668F"/>
    <w:rsid w:val="00016814"/>
    <w:rsid w:val="00016BF7"/>
    <w:rsid w:val="0001720C"/>
    <w:rsid w:val="0001767E"/>
    <w:rsid w:val="0001776D"/>
    <w:rsid w:val="00017F31"/>
    <w:rsid w:val="00020607"/>
    <w:rsid w:val="0002103A"/>
    <w:rsid w:val="00021715"/>
    <w:rsid w:val="000217E4"/>
    <w:rsid w:val="00021852"/>
    <w:rsid w:val="00021A12"/>
    <w:rsid w:val="000223BF"/>
    <w:rsid w:val="00022622"/>
    <w:rsid w:val="00023363"/>
    <w:rsid w:val="000235F3"/>
    <w:rsid w:val="00023644"/>
    <w:rsid w:val="00023712"/>
    <w:rsid w:val="00024E3C"/>
    <w:rsid w:val="00024EB0"/>
    <w:rsid w:val="00025604"/>
    <w:rsid w:val="00025DAF"/>
    <w:rsid w:val="0002646A"/>
    <w:rsid w:val="0002651D"/>
    <w:rsid w:val="00026CFD"/>
    <w:rsid w:val="00027C8B"/>
    <w:rsid w:val="00027CD9"/>
    <w:rsid w:val="00030242"/>
    <w:rsid w:val="00030B06"/>
    <w:rsid w:val="0003183A"/>
    <w:rsid w:val="00031CDC"/>
    <w:rsid w:val="00032461"/>
    <w:rsid w:val="0003263B"/>
    <w:rsid w:val="0003282C"/>
    <w:rsid w:val="00032F6D"/>
    <w:rsid w:val="0003304A"/>
    <w:rsid w:val="0003317E"/>
    <w:rsid w:val="00033413"/>
    <w:rsid w:val="000335D5"/>
    <w:rsid w:val="000337F3"/>
    <w:rsid w:val="00033DDB"/>
    <w:rsid w:val="00034B24"/>
    <w:rsid w:val="00034C27"/>
    <w:rsid w:val="00034E2A"/>
    <w:rsid w:val="00035134"/>
    <w:rsid w:val="0003577F"/>
    <w:rsid w:val="00035B29"/>
    <w:rsid w:val="00036140"/>
    <w:rsid w:val="00036466"/>
    <w:rsid w:val="0003675E"/>
    <w:rsid w:val="00037F87"/>
    <w:rsid w:val="00037FA2"/>
    <w:rsid w:val="000400D0"/>
    <w:rsid w:val="00040343"/>
    <w:rsid w:val="000424B8"/>
    <w:rsid w:val="000425AC"/>
    <w:rsid w:val="000427B8"/>
    <w:rsid w:val="00042D07"/>
    <w:rsid w:val="00042F4A"/>
    <w:rsid w:val="00043AC8"/>
    <w:rsid w:val="00043BE5"/>
    <w:rsid w:val="00043C80"/>
    <w:rsid w:val="00044003"/>
    <w:rsid w:val="00044527"/>
    <w:rsid w:val="000447E8"/>
    <w:rsid w:val="00044897"/>
    <w:rsid w:val="00044ACF"/>
    <w:rsid w:val="000454F4"/>
    <w:rsid w:val="00045D1E"/>
    <w:rsid w:val="00045E69"/>
    <w:rsid w:val="00045E97"/>
    <w:rsid w:val="00045EF4"/>
    <w:rsid w:val="00046547"/>
    <w:rsid w:val="000466D7"/>
    <w:rsid w:val="00046753"/>
    <w:rsid w:val="00047254"/>
    <w:rsid w:val="00047E41"/>
    <w:rsid w:val="0005022B"/>
    <w:rsid w:val="00050253"/>
    <w:rsid w:val="00050450"/>
    <w:rsid w:val="00050771"/>
    <w:rsid w:val="000509BA"/>
    <w:rsid w:val="000513F3"/>
    <w:rsid w:val="00052287"/>
    <w:rsid w:val="000522E0"/>
    <w:rsid w:val="000532F4"/>
    <w:rsid w:val="000535A9"/>
    <w:rsid w:val="000536AE"/>
    <w:rsid w:val="00054C2F"/>
    <w:rsid w:val="00054CD5"/>
    <w:rsid w:val="00054D03"/>
    <w:rsid w:val="000550AC"/>
    <w:rsid w:val="0005584D"/>
    <w:rsid w:val="00055CC3"/>
    <w:rsid w:val="00055CEE"/>
    <w:rsid w:val="00055FB7"/>
    <w:rsid w:val="000566FA"/>
    <w:rsid w:val="00056A2B"/>
    <w:rsid w:val="00056DA8"/>
    <w:rsid w:val="00056E37"/>
    <w:rsid w:val="00056EE2"/>
    <w:rsid w:val="00056FE2"/>
    <w:rsid w:val="000570FB"/>
    <w:rsid w:val="000575B8"/>
    <w:rsid w:val="00060131"/>
    <w:rsid w:val="0006026B"/>
    <w:rsid w:val="00060293"/>
    <w:rsid w:val="00061341"/>
    <w:rsid w:val="00061AA1"/>
    <w:rsid w:val="00061BD3"/>
    <w:rsid w:val="00061BDA"/>
    <w:rsid w:val="000621FE"/>
    <w:rsid w:val="00062B90"/>
    <w:rsid w:val="00062C70"/>
    <w:rsid w:val="00062DD0"/>
    <w:rsid w:val="00062E6F"/>
    <w:rsid w:val="000630C7"/>
    <w:rsid w:val="0006400F"/>
    <w:rsid w:val="000645DD"/>
    <w:rsid w:val="00064D7E"/>
    <w:rsid w:val="00064F65"/>
    <w:rsid w:val="00064FD0"/>
    <w:rsid w:val="0006534A"/>
    <w:rsid w:val="00065A5D"/>
    <w:rsid w:val="00065BA2"/>
    <w:rsid w:val="000661CA"/>
    <w:rsid w:val="0006668D"/>
    <w:rsid w:val="00066896"/>
    <w:rsid w:val="00067002"/>
    <w:rsid w:val="00067993"/>
    <w:rsid w:val="00067B1C"/>
    <w:rsid w:val="00067CED"/>
    <w:rsid w:val="00067F66"/>
    <w:rsid w:val="0007041A"/>
    <w:rsid w:val="00070634"/>
    <w:rsid w:val="00070883"/>
    <w:rsid w:val="00070C3F"/>
    <w:rsid w:val="00070FA0"/>
    <w:rsid w:val="0007102C"/>
    <w:rsid w:val="00071D68"/>
    <w:rsid w:val="00071FCE"/>
    <w:rsid w:val="00072661"/>
    <w:rsid w:val="00072CCC"/>
    <w:rsid w:val="0007315D"/>
    <w:rsid w:val="00073549"/>
    <w:rsid w:val="0007483E"/>
    <w:rsid w:val="000751DB"/>
    <w:rsid w:val="0007542D"/>
    <w:rsid w:val="0007578F"/>
    <w:rsid w:val="00075D4B"/>
    <w:rsid w:val="00075E43"/>
    <w:rsid w:val="00077128"/>
    <w:rsid w:val="00077706"/>
    <w:rsid w:val="00077878"/>
    <w:rsid w:val="000804EF"/>
    <w:rsid w:val="00080558"/>
    <w:rsid w:val="00080D9F"/>
    <w:rsid w:val="00081230"/>
    <w:rsid w:val="000814E2"/>
    <w:rsid w:val="000818C9"/>
    <w:rsid w:val="00081CBB"/>
    <w:rsid w:val="00081D42"/>
    <w:rsid w:val="000822EF"/>
    <w:rsid w:val="0008241E"/>
    <w:rsid w:val="000826F5"/>
    <w:rsid w:val="000829B1"/>
    <w:rsid w:val="00082AAB"/>
    <w:rsid w:val="0008307D"/>
    <w:rsid w:val="000831E9"/>
    <w:rsid w:val="000833BB"/>
    <w:rsid w:val="00083DA1"/>
    <w:rsid w:val="0008452D"/>
    <w:rsid w:val="0008467B"/>
    <w:rsid w:val="000850FA"/>
    <w:rsid w:val="000857A6"/>
    <w:rsid w:val="00085C12"/>
    <w:rsid w:val="00085CE5"/>
    <w:rsid w:val="00085DA0"/>
    <w:rsid w:val="00085F82"/>
    <w:rsid w:val="00086506"/>
    <w:rsid w:val="00086B6E"/>
    <w:rsid w:val="00086C2F"/>
    <w:rsid w:val="00086C64"/>
    <w:rsid w:val="000874BB"/>
    <w:rsid w:val="0008781A"/>
    <w:rsid w:val="00090951"/>
    <w:rsid w:val="00090A61"/>
    <w:rsid w:val="000918F5"/>
    <w:rsid w:val="000919B5"/>
    <w:rsid w:val="00091C1D"/>
    <w:rsid w:val="00091E08"/>
    <w:rsid w:val="00092100"/>
    <w:rsid w:val="000922D8"/>
    <w:rsid w:val="000932E7"/>
    <w:rsid w:val="0009333A"/>
    <w:rsid w:val="000933C3"/>
    <w:rsid w:val="00093459"/>
    <w:rsid w:val="00093B8B"/>
    <w:rsid w:val="000951E7"/>
    <w:rsid w:val="00095B82"/>
    <w:rsid w:val="00096098"/>
    <w:rsid w:val="000961B2"/>
    <w:rsid w:val="000969D9"/>
    <w:rsid w:val="00096F37"/>
    <w:rsid w:val="00097FE5"/>
    <w:rsid w:val="000A0354"/>
    <w:rsid w:val="000A091F"/>
    <w:rsid w:val="000A0958"/>
    <w:rsid w:val="000A0FCC"/>
    <w:rsid w:val="000A1033"/>
    <w:rsid w:val="000A2712"/>
    <w:rsid w:val="000A2877"/>
    <w:rsid w:val="000A355D"/>
    <w:rsid w:val="000A35DA"/>
    <w:rsid w:val="000A371E"/>
    <w:rsid w:val="000A3DE5"/>
    <w:rsid w:val="000A4011"/>
    <w:rsid w:val="000A45D5"/>
    <w:rsid w:val="000A46CD"/>
    <w:rsid w:val="000A490E"/>
    <w:rsid w:val="000A529E"/>
    <w:rsid w:val="000A5B49"/>
    <w:rsid w:val="000A5FE5"/>
    <w:rsid w:val="000A6684"/>
    <w:rsid w:val="000A7194"/>
    <w:rsid w:val="000A7218"/>
    <w:rsid w:val="000A740A"/>
    <w:rsid w:val="000A7446"/>
    <w:rsid w:val="000A7E7F"/>
    <w:rsid w:val="000A7ECD"/>
    <w:rsid w:val="000B04DD"/>
    <w:rsid w:val="000B0F01"/>
    <w:rsid w:val="000B1346"/>
    <w:rsid w:val="000B1914"/>
    <w:rsid w:val="000B19DC"/>
    <w:rsid w:val="000B1B44"/>
    <w:rsid w:val="000B1CA2"/>
    <w:rsid w:val="000B202E"/>
    <w:rsid w:val="000B2293"/>
    <w:rsid w:val="000B24A4"/>
    <w:rsid w:val="000B255C"/>
    <w:rsid w:val="000B25C3"/>
    <w:rsid w:val="000B395E"/>
    <w:rsid w:val="000B39C3"/>
    <w:rsid w:val="000B3A00"/>
    <w:rsid w:val="000B4840"/>
    <w:rsid w:val="000B4D79"/>
    <w:rsid w:val="000B5627"/>
    <w:rsid w:val="000B5671"/>
    <w:rsid w:val="000B6441"/>
    <w:rsid w:val="000B6BF0"/>
    <w:rsid w:val="000B6CE8"/>
    <w:rsid w:val="000B7DAF"/>
    <w:rsid w:val="000C006F"/>
    <w:rsid w:val="000C071C"/>
    <w:rsid w:val="000C0931"/>
    <w:rsid w:val="000C0BB4"/>
    <w:rsid w:val="000C0BEE"/>
    <w:rsid w:val="000C11BE"/>
    <w:rsid w:val="000C1765"/>
    <w:rsid w:val="000C1CB9"/>
    <w:rsid w:val="000C2159"/>
    <w:rsid w:val="000C21BB"/>
    <w:rsid w:val="000C289B"/>
    <w:rsid w:val="000C2EB4"/>
    <w:rsid w:val="000C352F"/>
    <w:rsid w:val="000C3F01"/>
    <w:rsid w:val="000C410D"/>
    <w:rsid w:val="000C420D"/>
    <w:rsid w:val="000C4773"/>
    <w:rsid w:val="000C4944"/>
    <w:rsid w:val="000C4E24"/>
    <w:rsid w:val="000C5851"/>
    <w:rsid w:val="000C5C4A"/>
    <w:rsid w:val="000C5F01"/>
    <w:rsid w:val="000C63C4"/>
    <w:rsid w:val="000C66C1"/>
    <w:rsid w:val="000C68C8"/>
    <w:rsid w:val="000C6F0B"/>
    <w:rsid w:val="000C6F32"/>
    <w:rsid w:val="000C6FEF"/>
    <w:rsid w:val="000C7324"/>
    <w:rsid w:val="000C778C"/>
    <w:rsid w:val="000C7833"/>
    <w:rsid w:val="000C7E1B"/>
    <w:rsid w:val="000C7E73"/>
    <w:rsid w:val="000D001B"/>
    <w:rsid w:val="000D0A45"/>
    <w:rsid w:val="000D136E"/>
    <w:rsid w:val="000D14AC"/>
    <w:rsid w:val="000D15BA"/>
    <w:rsid w:val="000D15BE"/>
    <w:rsid w:val="000D252B"/>
    <w:rsid w:val="000D2BCC"/>
    <w:rsid w:val="000D2C9B"/>
    <w:rsid w:val="000D2CCB"/>
    <w:rsid w:val="000D35FD"/>
    <w:rsid w:val="000D3D2D"/>
    <w:rsid w:val="000D3D99"/>
    <w:rsid w:val="000D451B"/>
    <w:rsid w:val="000D4653"/>
    <w:rsid w:val="000D4696"/>
    <w:rsid w:val="000D4817"/>
    <w:rsid w:val="000D4D0C"/>
    <w:rsid w:val="000D4FB9"/>
    <w:rsid w:val="000D511B"/>
    <w:rsid w:val="000D54B4"/>
    <w:rsid w:val="000D584B"/>
    <w:rsid w:val="000D5EE9"/>
    <w:rsid w:val="000D5F55"/>
    <w:rsid w:val="000D6372"/>
    <w:rsid w:val="000D6979"/>
    <w:rsid w:val="000D6CE7"/>
    <w:rsid w:val="000D6E38"/>
    <w:rsid w:val="000D6E63"/>
    <w:rsid w:val="000D711C"/>
    <w:rsid w:val="000D7B6E"/>
    <w:rsid w:val="000E0644"/>
    <w:rsid w:val="000E076D"/>
    <w:rsid w:val="000E087C"/>
    <w:rsid w:val="000E187C"/>
    <w:rsid w:val="000E1B28"/>
    <w:rsid w:val="000E1E8D"/>
    <w:rsid w:val="000E1EBC"/>
    <w:rsid w:val="000E2173"/>
    <w:rsid w:val="000E220B"/>
    <w:rsid w:val="000E2266"/>
    <w:rsid w:val="000E2A50"/>
    <w:rsid w:val="000E30F2"/>
    <w:rsid w:val="000E316B"/>
    <w:rsid w:val="000E372D"/>
    <w:rsid w:val="000E3D08"/>
    <w:rsid w:val="000E4728"/>
    <w:rsid w:val="000E4D1F"/>
    <w:rsid w:val="000E5658"/>
    <w:rsid w:val="000E5698"/>
    <w:rsid w:val="000E5723"/>
    <w:rsid w:val="000E581B"/>
    <w:rsid w:val="000E64B2"/>
    <w:rsid w:val="000E65D2"/>
    <w:rsid w:val="000E6919"/>
    <w:rsid w:val="000E6B1B"/>
    <w:rsid w:val="000E6F0C"/>
    <w:rsid w:val="000E732D"/>
    <w:rsid w:val="000F07ED"/>
    <w:rsid w:val="000F0CF2"/>
    <w:rsid w:val="000F1401"/>
    <w:rsid w:val="000F1A32"/>
    <w:rsid w:val="000F1CC2"/>
    <w:rsid w:val="000F1D15"/>
    <w:rsid w:val="000F270A"/>
    <w:rsid w:val="000F2FA3"/>
    <w:rsid w:val="000F34C8"/>
    <w:rsid w:val="000F38BC"/>
    <w:rsid w:val="000F3E2A"/>
    <w:rsid w:val="000F4D26"/>
    <w:rsid w:val="000F5639"/>
    <w:rsid w:val="000F58A4"/>
    <w:rsid w:val="000F5F99"/>
    <w:rsid w:val="000F65D7"/>
    <w:rsid w:val="000F6833"/>
    <w:rsid w:val="000F6A24"/>
    <w:rsid w:val="000F7502"/>
    <w:rsid w:val="000F7616"/>
    <w:rsid w:val="000F7DE9"/>
    <w:rsid w:val="000F7F7A"/>
    <w:rsid w:val="001002F4"/>
    <w:rsid w:val="0010050C"/>
    <w:rsid w:val="001006CB"/>
    <w:rsid w:val="00100DD2"/>
    <w:rsid w:val="001011FC"/>
    <w:rsid w:val="0010165F"/>
    <w:rsid w:val="00101E7C"/>
    <w:rsid w:val="001023DC"/>
    <w:rsid w:val="00102572"/>
    <w:rsid w:val="00102946"/>
    <w:rsid w:val="00102FBF"/>
    <w:rsid w:val="0010333D"/>
    <w:rsid w:val="0010372A"/>
    <w:rsid w:val="00103F41"/>
    <w:rsid w:val="00104662"/>
    <w:rsid w:val="00104F34"/>
    <w:rsid w:val="001053C5"/>
    <w:rsid w:val="001055AD"/>
    <w:rsid w:val="00105C14"/>
    <w:rsid w:val="001065A3"/>
    <w:rsid w:val="00106610"/>
    <w:rsid w:val="00106831"/>
    <w:rsid w:val="0010683E"/>
    <w:rsid w:val="001068A1"/>
    <w:rsid w:val="0010691D"/>
    <w:rsid w:val="00106B33"/>
    <w:rsid w:val="00106E69"/>
    <w:rsid w:val="001071CA"/>
    <w:rsid w:val="00110AC5"/>
    <w:rsid w:val="00110F0B"/>
    <w:rsid w:val="0011108B"/>
    <w:rsid w:val="00111136"/>
    <w:rsid w:val="00111164"/>
    <w:rsid w:val="00111761"/>
    <w:rsid w:val="00112164"/>
    <w:rsid w:val="0011241F"/>
    <w:rsid w:val="001128BF"/>
    <w:rsid w:val="00112D09"/>
    <w:rsid w:val="00112E8F"/>
    <w:rsid w:val="00112F03"/>
    <w:rsid w:val="00112F38"/>
    <w:rsid w:val="00113821"/>
    <w:rsid w:val="00114058"/>
    <w:rsid w:val="0011449E"/>
    <w:rsid w:val="001153EF"/>
    <w:rsid w:val="00115D55"/>
    <w:rsid w:val="00115E45"/>
    <w:rsid w:val="00115F85"/>
    <w:rsid w:val="0011688E"/>
    <w:rsid w:val="00116ACD"/>
    <w:rsid w:val="00116E19"/>
    <w:rsid w:val="0011718F"/>
    <w:rsid w:val="00117B7D"/>
    <w:rsid w:val="00117C3F"/>
    <w:rsid w:val="00117EFC"/>
    <w:rsid w:val="001205A8"/>
    <w:rsid w:val="00121766"/>
    <w:rsid w:val="00122451"/>
    <w:rsid w:val="0012291C"/>
    <w:rsid w:val="00122A64"/>
    <w:rsid w:val="00123694"/>
    <w:rsid w:val="0012388A"/>
    <w:rsid w:val="0012388C"/>
    <w:rsid w:val="00123AFA"/>
    <w:rsid w:val="00123C8C"/>
    <w:rsid w:val="00123E8B"/>
    <w:rsid w:val="00124405"/>
    <w:rsid w:val="00124B43"/>
    <w:rsid w:val="00124CF6"/>
    <w:rsid w:val="00124DF8"/>
    <w:rsid w:val="001253EA"/>
    <w:rsid w:val="00125B99"/>
    <w:rsid w:val="00126160"/>
    <w:rsid w:val="00126AEC"/>
    <w:rsid w:val="00126DB5"/>
    <w:rsid w:val="0012711C"/>
    <w:rsid w:val="00127178"/>
    <w:rsid w:val="00127A0C"/>
    <w:rsid w:val="00127F09"/>
    <w:rsid w:val="0013002A"/>
    <w:rsid w:val="0013085D"/>
    <w:rsid w:val="0013089C"/>
    <w:rsid w:val="00130A2D"/>
    <w:rsid w:val="00130F54"/>
    <w:rsid w:val="00131888"/>
    <w:rsid w:val="00131F17"/>
    <w:rsid w:val="0013212F"/>
    <w:rsid w:val="00132284"/>
    <w:rsid w:val="001323F9"/>
    <w:rsid w:val="0013251F"/>
    <w:rsid w:val="00133088"/>
    <w:rsid w:val="00133346"/>
    <w:rsid w:val="001335B1"/>
    <w:rsid w:val="00133B4E"/>
    <w:rsid w:val="0013410F"/>
    <w:rsid w:val="001346AF"/>
    <w:rsid w:val="00134990"/>
    <w:rsid w:val="001354D1"/>
    <w:rsid w:val="00135840"/>
    <w:rsid w:val="00135A0A"/>
    <w:rsid w:val="00135BB9"/>
    <w:rsid w:val="0013621D"/>
    <w:rsid w:val="00136354"/>
    <w:rsid w:val="00136674"/>
    <w:rsid w:val="00136B0E"/>
    <w:rsid w:val="00136C3B"/>
    <w:rsid w:val="001376AB"/>
    <w:rsid w:val="0013777C"/>
    <w:rsid w:val="00137D5F"/>
    <w:rsid w:val="00140082"/>
    <w:rsid w:val="001400C5"/>
    <w:rsid w:val="00140175"/>
    <w:rsid w:val="00140757"/>
    <w:rsid w:val="00140D07"/>
    <w:rsid w:val="00141A3A"/>
    <w:rsid w:val="00141FD4"/>
    <w:rsid w:val="001423FA"/>
    <w:rsid w:val="001427B5"/>
    <w:rsid w:val="001428CF"/>
    <w:rsid w:val="00142D0C"/>
    <w:rsid w:val="00142E3C"/>
    <w:rsid w:val="00143387"/>
    <w:rsid w:val="001439BA"/>
    <w:rsid w:val="00144013"/>
    <w:rsid w:val="0014445B"/>
    <w:rsid w:val="001455C3"/>
    <w:rsid w:val="00145A17"/>
    <w:rsid w:val="00145BBE"/>
    <w:rsid w:val="001460B5"/>
    <w:rsid w:val="0014641F"/>
    <w:rsid w:val="001464A8"/>
    <w:rsid w:val="001467BB"/>
    <w:rsid w:val="00146CA8"/>
    <w:rsid w:val="00147198"/>
    <w:rsid w:val="00147884"/>
    <w:rsid w:val="00147FC6"/>
    <w:rsid w:val="00150827"/>
    <w:rsid w:val="00150B0D"/>
    <w:rsid w:val="00150E10"/>
    <w:rsid w:val="00151A32"/>
    <w:rsid w:val="00151B2C"/>
    <w:rsid w:val="00151E31"/>
    <w:rsid w:val="00151F9B"/>
    <w:rsid w:val="00152289"/>
    <w:rsid w:val="00152425"/>
    <w:rsid w:val="00152BAD"/>
    <w:rsid w:val="00152CE3"/>
    <w:rsid w:val="0015308C"/>
    <w:rsid w:val="00153652"/>
    <w:rsid w:val="00153697"/>
    <w:rsid w:val="00153956"/>
    <w:rsid w:val="00153B95"/>
    <w:rsid w:val="00154146"/>
    <w:rsid w:val="00154190"/>
    <w:rsid w:val="00154508"/>
    <w:rsid w:val="001545EA"/>
    <w:rsid w:val="001549BA"/>
    <w:rsid w:val="00154BBF"/>
    <w:rsid w:val="00155099"/>
    <w:rsid w:val="0015582A"/>
    <w:rsid w:val="00155C85"/>
    <w:rsid w:val="00156592"/>
    <w:rsid w:val="00156A6C"/>
    <w:rsid w:val="00156B10"/>
    <w:rsid w:val="00156D73"/>
    <w:rsid w:val="001576FE"/>
    <w:rsid w:val="00157823"/>
    <w:rsid w:val="0015790D"/>
    <w:rsid w:val="00157C5E"/>
    <w:rsid w:val="00157DD3"/>
    <w:rsid w:val="0016015A"/>
    <w:rsid w:val="0016020E"/>
    <w:rsid w:val="00160503"/>
    <w:rsid w:val="00160BF6"/>
    <w:rsid w:val="00160D7C"/>
    <w:rsid w:val="00160E30"/>
    <w:rsid w:val="0016106D"/>
    <w:rsid w:val="001612E1"/>
    <w:rsid w:val="001614DB"/>
    <w:rsid w:val="0016175A"/>
    <w:rsid w:val="0016194E"/>
    <w:rsid w:val="0016236C"/>
    <w:rsid w:val="00162625"/>
    <w:rsid w:val="001630A8"/>
    <w:rsid w:val="00163826"/>
    <w:rsid w:val="00163943"/>
    <w:rsid w:val="00163BA1"/>
    <w:rsid w:val="00163F22"/>
    <w:rsid w:val="0016417B"/>
    <w:rsid w:val="001643A6"/>
    <w:rsid w:val="0016470E"/>
    <w:rsid w:val="001649D3"/>
    <w:rsid w:val="00164E0A"/>
    <w:rsid w:val="001652D7"/>
    <w:rsid w:val="00165A5F"/>
    <w:rsid w:val="00166223"/>
    <w:rsid w:val="0016793E"/>
    <w:rsid w:val="00167D4D"/>
    <w:rsid w:val="0017054C"/>
    <w:rsid w:val="00170635"/>
    <w:rsid w:val="0017070D"/>
    <w:rsid w:val="00170837"/>
    <w:rsid w:val="00171035"/>
    <w:rsid w:val="001713B7"/>
    <w:rsid w:val="00171ADB"/>
    <w:rsid w:val="00171E2C"/>
    <w:rsid w:val="00172029"/>
    <w:rsid w:val="001733A4"/>
    <w:rsid w:val="00173AB9"/>
    <w:rsid w:val="00173EED"/>
    <w:rsid w:val="00174368"/>
    <w:rsid w:val="001744EA"/>
    <w:rsid w:val="00174731"/>
    <w:rsid w:val="00174D82"/>
    <w:rsid w:val="00174E44"/>
    <w:rsid w:val="00175053"/>
    <w:rsid w:val="001753B7"/>
    <w:rsid w:val="001757E7"/>
    <w:rsid w:val="00175873"/>
    <w:rsid w:val="00175C59"/>
    <w:rsid w:val="001760BC"/>
    <w:rsid w:val="00176674"/>
    <w:rsid w:val="00176818"/>
    <w:rsid w:val="00176B82"/>
    <w:rsid w:val="00176E3B"/>
    <w:rsid w:val="00176ECB"/>
    <w:rsid w:val="0017752D"/>
    <w:rsid w:val="0017759F"/>
    <w:rsid w:val="00177832"/>
    <w:rsid w:val="00181178"/>
    <w:rsid w:val="0018119E"/>
    <w:rsid w:val="0018152C"/>
    <w:rsid w:val="00181DBA"/>
    <w:rsid w:val="00181EEF"/>
    <w:rsid w:val="00181F3E"/>
    <w:rsid w:val="00182FE0"/>
    <w:rsid w:val="00183911"/>
    <w:rsid w:val="001845FB"/>
    <w:rsid w:val="001857FB"/>
    <w:rsid w:val="00185DA6"/>
    <w:rsid w:val="00185F64"/>
    <w:rsid w:val="00186096"/>
    <w:rsid w:val="001862FE"/>
    <w:rsid w:val="001864AC"/>
    <w:rsid w:val="00187317"/>
    <w:rsid w:val="0018772E"/>
    <w:rsid w:val="00187A94"/>
    <w:rsid w:val="0019029E"/>
    <w:rsid w:val="00190804"/>
    <w:rsid w:val="0019088F"/>
    <w:rsid w:val="00190C51"/>
    <w:rsid w:val="00192F00"/>
    <w:rsid w:val="00193ACC"/>
    <w:rsid w:val="00193BFE"/>
    <w:rsid w:val="0019435E"/>
    <w:rsid w:val="00195322"/>
    <w:rsid w:val="0019560E"/>
    <w:rsid w:val="001958E3"/>
    <w:rsid w:val="00195FFA"/>
    <w:rsid w:val="0019601B"/>
    <w:rsid w:val="00196048"/>
    <w:rsid w:val="00196A82"/>
    <w:rsid w:val="0019769B"/>
    <w:rsid w:val="001979F9"/>
    <w:rsid w:val="00197FFE"/>
    <w:rsid w:val="001A0D25"/>
    <w:rsid w:val="001A0E14"/>
    <w:rsid w:val="001A1570"/>
    <w:rsid w:val="001A1917"/>
    <w:rsid w:val="001A1C64"/>
    <w:rsid w:val="001A1DFB"/>
    <w:rsid w:val="001A1E7F"/>
    <w:rsid w:val="001A2918"/>
    <w:rsid w:val="001A2D02"/>
    <w:rsid w:val="001A3076"/>
    <w:rsid w:val="001A3163"/>
    <w:rsid w:val="001A31A5"/>
    <w:rsid w:val="001A389C"/>
    <w:rsid w:val="001A3B75"/>
    <w:rsid w:val="001A42A3"/>
    <w:rsid w:val="001A46FB"/>
    <w:rsid w:val="001A4EC9"/>
    <w:rsid w:val="001A5944"/>
    <w:rsid w:val="001A5FB1"/>
    <w:rsid w:val="001A618F"/>
    <w:rsid w:val="001A6956"/>
    <w:rsid w:val="001A698A"/>
    <w:rsid w:val="001A6CCC"/>
    <w:rsid w:val="001A6E3B"/>
    <w:rsid w:val="001A70C8"/>
    <w:rsid w:val="001A71C9"/>
    <w:rsid w:val="001A7429"/>
    <w:rsid w:val="001A760C"/>
    <w:rsid w:val="001A76F0"/>
    <w:rsid w:val="001A7977"/>
    <w:rsid w:val="001A799B"/>
    <w:rsid w:val="001A7AC7"/>
    <w:rsid w:val="001A7C38"/>
    <w:rsid w:val="001B02F8"/>
    <w:rsid w:val="001B192A"/>
    <w:rsid w:val="001B2104"/>
    <w:rsid w:val="001B2279"/>
    <w:rsid w:val="001B2729"/>
    <w:rsid w:val="001B2866"/>
    <w:rsid w:val="001B2881"/>
    <w:rsid w:val="001B2B73"/>
    <w:rsid w:val="001B3675"/>
    <w:rsid w:val="001B37C8"/>
    <w:rsid w:val="001B48BA"/>
    <w:rsid w:val="001B4B2C"/>
    <w:rsid w:val="001B4F10"/>
    <w:rsid w:val="001B5154"/>
    <w:rsid w:val="001B6E30"/>
    <w:rsid w:val="001B7C83"/>
    <w:rsid w:val="001B7F9E"/>
    <w:rsid w:val="001C0206"/>
    <w:rsid w:val="001C0246"/>
    <w:rsid w:val="001C04D4"/>
    <w:rsid w:val="001C0B34"/>
    <w:rsid w:val="001C12A3"/>
    <w:rsid w:val="001C1419"/>
    <w:rsid w:val="001C17BB"/>
    <w:rsid w:val="001C187E"/>
    <w:rsid w:val="001C1A37"/>
    <w:rsid w:val="001C1C49"/>
    <w:rsid w:val="001C286F"/>
    <w:rsid w:val="001C2B86"/>
    <w:rsid w:val="001C2F54"/>
    <w:rsid w:val="001C3308"/>
    <w:rsid w:val="001C3BBB"/>
    <w:rsid w:val="001C40D1"/>
    <w:rsid w:val="001C468A"/>
    <w:rsid w:val="001C4A38"/>
    <w:rsid w:val="001C4A9E"/>
    <w:rsid w:val="001C5001"/>
    <w:rsid w:val="001C5103"/>
    <w:rsid w:val="001C52A8"/>
    <w:rsid w:val="001C5ADF"/>
    <w:rsid w:val="001C5E8E"/>
    <w:rsid w:val="001C6120"/>
    <w:rsid w:val="001C6516"/>
    <w:rsid w:val="001C6B5C"/>
    <w:rsid w:val="001C7155"/>
    <w:rsid w:val="001C7E48"/>
    <w:rsid w:val="001D039B"/>
    <w:rsid w:val="001D0849"/>
    <w:rsid w:val="001D1258"/>
    <w:rsid w:val="001D1868"/>
    <w:rsid w:val="001D1AB8"/>
    <w:rsid w:val="001D26F5"/>
    <w:rsid w:val="001D286F"/>
    <w:rsid w:val="001D2C94"/>
    <w:rsid w:val="001D33D9"/>
    <w:rsid w:val="001D36F6"/>
    <w:rsid w:val="001D4303"/>
    <w:rsid w:val="001D45E5"/>
    <w:rsid w:val="001D461A"/>
    <w:rsid w:val="001D4A9D"/>
    <w:rsid w:val="001D4AAD"/>
    <w:rsid w:val="001D4E16"/>
    <w:rsid w:val="001D5AFA"/>
    <w:rsid w:val="001D652D"/>
    <w:rsid w:val="001D72D9"/>
    <w:rsid w:val="001D784A"/>
    <w:rsid w:val="001E04A4"/>
    <w:rsid w:val="001E07C5"/>
    <w:rsid w:val="001E0B45"/>
    <w:rsid w:val="001E176D"/>
    <w:rsid w:val="001E1BCE"/>
    <w:rsid w:val="001E1E05"/>
    <w:rsid w:val="001E2086"/>
    <w:rsid w:val="001E339F"/>
    <w:rsid w:val="001E348B"/>
    <w:rsid w:val="001E3629"/>
    <w:rsid w:val="001E3E7D"/>
    <w:rsid w:val="001E40F0"/>
    <w:rsid w:val="001E4172"/>
    <w:rsid w:val="001E4F08"/>
    <w:rsid w:val="001E5490"/>
    <w:rsid w:val="001E5730"/>
    <w:rsid w:val="001E5E2E"/>
    <w:rsid w:val="001E6352"/>
    <w:rsid w:val="001E700A"/>
    <w:rsid w:val="001E70AD"/>
    <w:rsid w:val="001E7237"/>
    <w:rsid w:val="001E7AF6"/>
    <w:rsid w:val="001F01B8"/>
    <w:rsid w:val="001F0FC3"/>
    <w:rsid w:val="001F1188"/>
    <w:rsid w:val="001F1B8D"/>
    <w:rsid w:val="001F1C50"/>
    <w:rsid w:val="001F274F"/>
    <w:rsid w:val="001F289C"/>
    <w:rsid w:val="001F2BF9"/>
    <w:rsid w:val="001F3A99"/>
    <w:rsid w:val="001F3AF2"/>
    <w:rsid w:val="001F6008"/>
    <w:rsid w:val="001F604B"/>
    <w:rsid w:val="001F641B"/>
    <w:rsid w:val="001F6D4D"/>
    <w:rsid w:val="0020125C"/>
    <w:rsid w:val="0020130D"/>
    <w:rsid w:val="00201916"/>
    <w:rsid w:val="00201D06"/>
    <w:rsid w:val="00201E9F"/>
    <w:rsid w:val="00202F25"/>
    <w:rsid w:val="002035B3"/>
    <w:rsid w:val="00203929"/>
    <w:rsid w:val="00203CD6"/>
    <w:rsid w:val="00203D01"/>
    <w:rsid w:val="00204460"/>
    <w:rsid w:val="002050DB"/>
    <w:rsid w:val="002051EA"/>
    <w:rsid w:val="00205389"/>
    <w:rsid w:val="00205CBC"/>
    <w:rsid w:val="00206259"/>
    <w:rsid w:val="0020699B"/>
    <w:rsid w:val="002074B7"/>
    <w:rsid w:val="0020758D"/>
    <w:rsid w:val="00207C7B"/>
    <w:rsid w:val="00211470"/>
    <w:rsid w:val="00211922"/>
    <w:rsid w:val="0021213A"/>
    <w:rsid w:val="0021265F"/>
    <w:rsid w:val="002128C6"/>
    <w:rsid w:val="00213232"/>
    <w:rsid w:val="00213817"/>
    <w:rsid w:val="00214428"/>
    <w:rsid w:val="002145EB"/>
    <w:rsid w:val="00214F82"/>
    <w:rsid w:val="00214FE7"/>
    <w:rsid w:val="00215033"/>
    <w:rsid w:val="00215834"/>
    <w:rsid w:val="00215CC2"/>
    <w:rsid w:val="00215D2C"/>
    <w:rsid w:val="00215D95"/>
    <w:rsid w:val="00215ED8"/>
    <w:rsid w:val="00215FAF"/>
    <w:rsid w:val="00217700"/>
    <w:rsid w:val="002177E2"/>
    <w:rsid w:val="0021783B"/>
    <w:rsid w:val="00217B43"/>
    <w:rsid w:val="00217E71"/>
    <w:rsid w:val="002205F3"/>
    <w:rsid w:val="0022085B"/>
    <w:rsid w:val="002208E7"/>
    <w:rsid w:val="00220E53"/>
    <w:rsid w:val="0022176C"/>
    <w:rsid w:val="002225D1"/>
    <w:rsid w:val="002230FA"/>
    <w:rsid w:val="002232B9"/>
    <w:rsid w:val="00223DA5"/>
    <w:rsid w:val="00223DF2"/>
    <w:rsid w:val="002249A2"/>
    <w:rsid w:val="00224C0C"/>
    <w:rsid w:val="002256C2"/>
    <w:rsid w:val="002256D0"/>
    <w:rsid w:val="00225C8E"/>
    <w:rsid w:val="00226428"/>
    <w:rsid w:val="002265A9"/>
    <w:rsid w:val="002266CB"/>
    <w:rsid w:val="00227052"/>
    <w:rsid w:val="002272D5"/>
    <w:rsid w:val="0022738E"/>
    <w:rsid w:val="002274F4"/>
    <w:rsid w:val="00227906"/>
    <w:rsid w:val="00227934"/>
    <w:rsid w:val="00227E21"/>
    <w:rsid w:val="0023008A"/>
    <w:rsid w:val="002310B5"/>
    <w:rsid w:val="00231CB2"/>
    <w:rsid w:val="00231D05"/>
    <w:rsid w:val="0023241A"/>
    <w:rsid w:val="002336E2"/>
    <w:rsid w:val="00233AC2"/>
    <w:rsid w:val="00233BAF"/>
    <w:rsid w:val="00233F80"/>
    <w:rsid w:val="0023423A"/>
    <w:rsid w:val="00235420"/>
    <w:rsid w:val="00235700"/>
    <w:rsid w:val="0023788D"/>
    <w:rsid w:val="00240422"/>
    <w:rsid w:val="0024065B"/>
    <w:rsid w:val="002409A6"/>
    <w:rsid w:val="00240C63"/>
    <w:rsid w:val="00240D91"/>
    <w:rsid w:val="00240EA5"/>
    <w:rsid w:val="00241132"/>
    <w:rsid w:val="00241205"/>
    <w:rsid w:val="002418C5"/>
    <w:rsid w:val="0024261D"/>
    <w:rsid w:val="00242712"/>
    <w:rsid w:val="00242DFB"/>
    <w:rsid w:val="00243807"/>
    <w:rsid w:val="002440AC"/>
    <w:rsid w:val="00244365"/>
    <w:rsid w:val="0024459A"/>
    <w:rsid w:val="002446A3"/>
    <w:rsid w:val="00244771"/>
    <w:rsid w:val="00244903"/>
    <w:rsid w:val="00244AFB"/>
    <w:rsid w:val="002453DF"/>
    <w:rsid w:val="002455C7"/>
    <w:rsid w:val="00245A81"/>
    <w:rsid w:val="002462A5"/>
    <w:rsid w:val="00246B86"/>
    <w:rsid w:val="00247335"/>
    <w:rsid w:val="002473EF"/>
    <w:rsid w:val="00247493"/>
    <w:rsid w:val="002477B9"/>
    <w:rsid w:val="00247809"/>
    <w:rsid w:val="00247B69"/>
    <w:rsid w:val="00247CBE"/>
    <w:rsid w:val="00250A1F"/>
    <w:rsid w:val="00250ADA"/>
    <w:rsid w:val="00250F1D"/>
    <w:rsid w:val="00251FF1"/>
    <w:rsid w:val="002520BA"/>
    <w:rsid w:val="00252234"/>
    <w:rsid w:val="002528E3"/>
    <w:rsid w:val="00252944"/>
    <w:rsid w:val="00252D55"/>
    <w:rsid w:val="00252D82"/>
    <w:rsid w:val="00253006"/>
    <w:rsid w:val="00253165"/>
    <w:rsid w:val="002531EA"/>
    <w:rsid w:val="002533F5"/>
    <w:rsid w:val="00253C60"/>
    <w:rsid w:val="00253F21"/>
    <w:rsid w:val="0025429D"/>
    <w:rsid w:val="002549E9"/>
    <w:rsid w:val="00254FF6"/>
    <w:rsid w:val="00255099"/>
    <w:rsid w:val="002555C6"/>
    <w:rsid w:val="0025597E"/>
    <w:rsid w:val="00255E14"/>
    <w:rsid w:val="00255E45"/>
    <w:rsid w:val="00255FF9"/>
    <w:rsid w:val="00256590"/>
    <w:rsid w:val="00257059"/>
    <w:rsid w:val="0025712F"/>
    <w:rsid w:val="00257395"/>
    <w:rsid w:val="00257857"/>
    <w:rsid w:val="002578DA"/>
    <w:rsid w:val="00257CBC"/>
    <w:rsid w:val="002602C2"/>
    <w:rsid w:val="002602DA"/>
    <w:rsid w:val="0026040B"/>
    <w:rsid w:val="002604F2"/>
    <w:rsid w:val="00260802"/>
    <w:rsid w:val="002609E3"/>
    <w:rsid w:val="00261223"/>
    <w:rsid w:val="002617AB"/>
    <w:rsid w:val="00261D08"/>
    <w:rsid w:val="00261DCC"/>
    <w:rsid w:val="002624D0"/>
    <w:rsid w:val="00263EC7"/>
    <w:rsid w:val="0026491B"/>
    <w:rsid w:val="00264A36"/>
    <w:rsid w:val="00264B06"/>
    <w:rsid w:val="00264C1B"/>
    <w:rsid w:val="002657FB"/>
    <w:rsid w:val="00265D10"/>
    <w:rsid w:val="00265E2E"/>
    <w:rsid w:val="002661AB"/>
    <w:rsid w:val="002673CD"/>
    <w:rsid w:val="0026742B"/>
    <w:rsid w:val="002674FE"/>
    <w:rsid w:val="00267E59"/>
    <w:rsid w:val="002702F6"/>
    <w:rsid w:val="00270748"/>
    <w:rsid w:val="00270CAB"/>
    <w:rsid w:val="0027117F"/>
    <w:rsid w:val="002712DC"/>
    <w:rsid w:val="00271875"/>
    <w:rsid w:val="002718FF"/>
    <w:rsid w:val="00271955"/>
    <w:rsid w:val="00272278"/>
    <w:rsid w:val="00272432"/>
    <w:rsid w:val="00272633"/>
    <w:rsid w:val="00272D36"/>
    <w:rsid w:val="00272E48"/>
    <w:rsid w:val="00272FBF"/>
    <w:rsid w:val="00273A10"/>
    <w:rsid w:val="00273A58"/>
    <w:rsid w:val="00273B96"/>
    <w:rsid w:val="00274C6E"/>
    <w:rsid w:val="00274CAB"/>
    <w:rsid w:val="00274E8A"/>
    <w:rsid w:val="002755A8"/>
    <w:rsid w:val="00275FCE"/>
    <w:rsid w:val="002766B8"/>
    <w:rsid w:val="0027680F"/>
    <w:rsid w:val="002777C0"/>
    <w:rsid w:val="0028076D"/>
    <w:rsid w:val="00281006"/>
    <w:rsid w:val="002815B1"/>
    <w:rsid w:val="00281893"/>
    <w:rsid w:val="00281C1F"/>
    <w:rsid w:val="00281EEA"/>
    <w:rsid w:val="00281F88"/>
    <w:rsid w:val="0028240D"/>
    <w:rsid w:val="0028288D"/>
    <w:rsid w:val="002829B7"/>
    <w:rsid w:val="00282B82"/>
    <w:rsid w:val="00282C74"/>
    <w:rsid w:val="00282E5B"/>
    <w:rsid w:val="00282FDA"/>
    <w:rsid w:val="00283995"/>
    <w:rsid w:val="00283B11"/>
    <w:rsid w:val="00283DB4"/>
    <w:rsid w:val="002841A9"/>
    <w:rsid w:val="00284313"/>
    <w:rsid w:val="00284554"/>
    <w:rsid w:val="002848AD"/>
    <w:rsid w:val="00284DE4"/>
    <w:rsid w:val="00285154"/>
    <w:rsid w:val="00285BA4"/>
    <w:rsid w:val="00285BF2"/>
    <w:rsid w:val="00285C78"/>
    <w:rsid w:val="002863CE"/>
    <w:rsid w:val="00287E20"/>
    <w:rsid w:val="0029110F"/>
    <w:rsid w:val="00291492"/>
    <w:rsid w:val="00291527"/>
    <w:rsid w:val="002916B4"/>
    <w:rsid w:val="0029199A"/>
    <w:rsid w:val="00291BBE"/>
    <w:rsid w:val="00291FEB"/>
    <w:rsid w:val="00293146"/>
    <w:rsid w:val="0029361E"/>
    <w:rsid w:val="00293D68"/>
    <w:rsid w:val="0029408A"/>
    <w:rsid w:val="0029430F"/>
    <w:rsid w:val="00294352"/>
    <w:rsid w:val="002944A0"/>
    <w:rsid w:val="002946E4"/>
    <w:rsid w:val="0029495C"/>
    <w:rsid w:val="002957D9"/>
    <w:rsid w:val="00295B52"/>
    <w:rsid w:val="00295ED9"/>
    <w:rsid w:val="00296024"/>
    <w:rsid w:val="00296293"/>
    <w:rsid w:val="002969C7"/>
    <w:rsid w:val="00296AF7"/>
    <w:rsid w:val="00297021"/>
    <w:rsid w:val="002972F9"/>
    <w:rsid w:val="00297612"/>
    <w:rsid w:val="002977CA"/>
    <w:rsid w:val="00297ED7"/>
    <w:rsid w:val="002A0007"/>
    <w:rsid w:val="002A03AA"/>
    <w:rsid w:val="002A056D"/>
    <w:rsid w:val="002A07FE"/>
    <w:rsid w:val="002A094D"/>
    <w:rsid w:val="002A0CAF"/>
    <w:rsid w:val="002A0DDB"/>
    <w:rsid w:val="002A1565"/>
    <w:rsid w:val="002A16A9"/>
    <w:rsid w:val="002A2941"/>
    <w:rsid w:val="002A2DC4"/>
    <w:rsid w:val="002A2E42"/>
    <w:rsid w:val="002A3E69"/>
    <w:rsid w:val="002A44F9"/>
    <w:rsid w:val="002A4946"/>
    <w:rsid w:val="002A49EF"/>
    <w:rsid w:val="002A4B8B"/>
    <w:rsid w:val="002A5107"/>
    <w:rsid w:val="002A535E"/>
    <w:rsid w:val="002A5DBD"/>
    <w:rsid w:val="002A6406"/>
    <w:rsid w:val="002A6432"/>
    <w:rsid w:val="002A6CF0"/>
    <w:rsid w:val="002A6FFC"/>
    <w:rsid w:val="002A7010"/>
    <w:rsid w:val="002A70BA"/>
    <w:rsid w:val="002A7A57"/>
    <w:rsid w:val="002A7BB2"/>
    <w:rsid w:val="002A7CC1"/>
    <w:rsid w:val="002A7DCB"/>
    <w:rsid w:val="002B0685"/>
    <w:rsid w:val="002B0B53"/>
    <w:rsid w:val="002B0C16"/>
    <w:rsid w:val="002B1617"/>
    <w:rsid w:val="002B1A90"/>
    <w:rsid w:val="002B1D11"/>
    <w:rsid w:val="002B273B"/>
    <w:rsid w:val="002B29AA"/>
    <w:rsid w:val="002B2A7E"/>
    <w:rsid w:val="002B2F1B"/>
    <w:rsid w:val="002B2F40"/>
    <w:rsid w:val="002B3332"/>
    <w:rsid w:val="002B34C7"/>
    <w:rsid w:val="002B3F25"/>
    <w:rsid w:val="002B5AFB"/>
    <w:rsid w:val="002B6320"/>
    <w:rsid w:val="002B66AC"/>
    <w:rsid w:val="002B6852"/>
    <w:rsid w:val="002B77E1"/>
    <w:rsid w:val="002B7B19"/>
    <w:rsid w:val="002C0656"/>
    <w:rsid w:val="002C0714"/>
    <w:rsid w:val="002C0A96"/>
    <w:rsid w:val="002C13C6"/>
    <w:rsid w:val="002C1BF4"/>
    <w:rsid w:val="002C1E0D"/>
    <w:rsid w:val="002C2266"/>
    <w:rsid w:val="002C2356"/>
    <w:rsid w:val="002C238F"/>
    <w:rsid w:val="002C276F"/>
    <w:rsid w:val="002C28EB"/>
    <w:rsid w:val="002C316C"/>
    <w:rsid w:val="002C3265"/>
    <w:rsid w:val="002C3AED"/>
    <w:rsid w:val="002C3E56"/>
    <w:rsid w:val="002C414C"/>
    <w:rsid w:val="002C49F8"/>
    <w:rsid w:val="002C4C2F"/>
    <w:rsid w:val="002C5776"/>
    <w:rsid w:val="002C5EED"/>
    <w:rsid w:val="002C66DE"/>
    <w:rsid w:val="002C7193"/>
    <w:rsid w:val="002C7699"/>
    <w:rsid w:val="002C7A49"/>
    <w:rsid w:val="002D0128"/>
    <w:rsid w:val="002D0CC6"/>
    <w:rsid w:val="002D0E85"/>
    <w:rsid w:val="002D0FA7"/>
    <w:rsid w:val="002D12FB"/>
    <w:rsid w:val="002D19D1"/>
    <w:rsid w:val="002D1F35"/>
    <w:rsid w:val="002D1FA3"/>
    <w:rsid w:val="002D20CD"/>
    <w:rsid w:val="002D23C6"/>
    <w:rsid w:val="002D24F0"/>
    <w:rsid w:val="002D25EB"/>
    <w:rsid w:val="002D29F3"/>
    <w:rsid w:val="002D3126"/>
    <w:rsid w:val="002D3529"/>
    <w:rsid w:val="002D3ADD"/>
    <w:rsid w:val="002D3D0A"/>
    <w:rsid w:val="002D3EF0"/>
    <w:rsid w:val="002D478E"/>
    <w:rsid w:val="002D47AE"/>
    <w:rsid w:val="002D4A94"/>
    <w:rsid w:val="002D4AFE"/>
    <w:rsid w:val="002D65FF"/>
    <w:rsid w:val="002D678E"/>
    <w:rsid w:val="002D6D10"/>
    <w:rsid w:val="002D71E2"/>
    <w:rsid w:val="002D7B6A"/>
    <w:rsid w:val="002E0026"/>
    <w:rsid w:val="002E08E8"/>
    <w:rsid w:val="002E0918"/>
    <w:rsid w:val="002E0BAA"/>
    <w:rsid w:val="002E0D96"/>
    <w:rsid w:val="002E0EA5"/>
    <w:rsid w:val="002E0F1C"/>
    <w:rsid w:val="002E1E19"/>
    <w:rsid w:val="002E1FAC"/>
    <w:rsid w:val="002E22B8"/>
    <w:rsid w:val="002E283F"/>
    <w:rsid w:val="002E2854"/>
    <w:rsid w:val="002E2E74"/>
    <w:rsid w:val="002E32D2"/>
    <w:rsid w:val="002E361B"/>
    <w:rsid w:val="002E37AB"/>
    <w:rsid w:val="002E3A80"/>
    <w:rsid w:val="002E41C7"/>
    <w:rsid w:val="002E51DF"/>
    <w:rsid w:val="002E57B9"/>
    <w:rsid w:val="002E6127"/>
    <w:rsid w:val="002E6885"/>
    <w:rsid w:val="002E72E4"/>
    <w:rsid w:val="002E739D"/>
    <w:rsid w:val="002F0F36"/>
    <w:rsid w:val="002F1276"/>
    <w:rsid w:val="002F1986"/>
    <w:rsid w:val="002F1E5F"/>
    <w:rsid w:val="002F2A49"/>
    <w:rsid w:val="002F3550"/>
    <w:rsid w:val="002F3B63"/>
    <w:rsid w:val="002F3C56"/>
    <w:rsid w:val="002F4271"/>
    <w:rsid w:val="002F46B0"/>
    <w:rsid w:val="002F4B17"/>
    <w:rsid w:val="002F5150"/>
    <w:rsid w:val="002F5463"/>
    <w:rsid w:val="002F58C2"/>
    <w:rsid w:val="002F5932"/>
    <w:rsid w:val="002F5C85"/>
    <w:rsid w:val="002F603B"/>
    <w:rsid w:val="002F6201"/>
    <w:rsid w:val="002F6493"/>
    <w:rsid w:val="002F724B"/>
    <w:rsid w:val="002F72BA"/>
    <w:rsid w:val="00300267"/>
    <w:rsid w:val="003004D2"/>
    <w:rsid w:val="00300D6B"/>
    <w:rsid w:val="00301380"/>
    <w:rsid w:val="00301D6A"/>
    <w:rsid w:val="00301E89"/>
    <w:rsid w:val="00302052"/>
    <w:rsid w:val="00302142"/>
    <w:rsid w:val="00302169"/>
    <w:rsid w:val="00302612"/>
    <w:rsid w:val="00303254"/>
    <w:rsid w:val="0030348E"/>
    <w:rsid w:val="003044D9"/>
    <w:rsid w:val="00304D8A"/>
    <w:rsid w:val="00305216"/>
    <w:rsid w:val="003053DE"/>
    <w:rsid w:val="0030555B"/>
    <w:rsid w:val="003061F5"/>
    <w:rsid w:val="00306A49"/>
    <w:rsid w:val="00306D27"/>
    <w:rsid w:val="0030739C"/>
    <w:rsid w:val="00310D51"/>
    <w:rsid w:val="00311B36"/>
    <w:rsid w:val="00311C92"/>
    <w:rsid w:val="00313321"/>
    <w:rsid w:val="003133AE"/>
    <w:rsid w:val="0031371B"/>
    <w:rsid w:val="00314156"/>
    <w:rsid w:val="00314CF8"/>
    <w:rsid w:val="0031535B"/>
    <w:rsid w:val="003154DD"/>
    <w:rsid w:val="0031563E"/>
    <w:rsid w:val="00316F76"/>
    <w:rsid w:val="003170F4"/>
    <w:rsid w:val="0032035D"/>
    <w:rsid w:val="003205E9"/>
    <w:rsid w:val="00320B28"/>
    <w:rsid w:val="0032123E"/>
    <w:rsid w:val="003216D5"/>
    <w:rsid w:val="003216FF"/>
    <w:rsid w:val="00321866"/>
    <w:rsid w:val="00321A83"/>
    <w:rsid w:val="00321C1A"/>
    <w:rsid w:val="00321F6B"/>
    <w:rsid w:val="00322389"/>
    <w:rsid w:val="003223CA"/>
    <w:rsid w:val="00322BE5"/>
    <w:rsid w:val="00322E87"/>
    <w:rsid w:val="0032312D"/>
    <w:rsid w:val="00323AA5"/>
    <w:rsid w:val="003242E4"/>
    <w:rsid w:val="0032468D"/>
    <w:rsid w:val="00324709"/>
    <w:rsid w:val="00324887"/>
    <w:rsid w:val="00324926"/>
    <w:rsid w:val="00324B25"/>
    <w:rsid w:val="0032522F"/>
    <w:rsid w:val="003253C4"/>
    <w:rsid w:val="0032550F"/>
    <w:rsid w:val="00325992"/>
    <w:rsid w:val="00325B74"/>
    <w:rsid w:val="0032638F"/>
    <w:rsid w:val="003263EA"/>
    <w:rsid w:val="00326B59"/>
    <w:rsid w:val="00326BD4"/>
    <w:rsid w:val="003272C6"/>
    <w:rsid w:val="00327752"/>
    <w:rsid w:val="00327C7C"/>
    <w:rsid w:val="00330009"/>
    <w:rsid w:val="003301E6"/>
    <w:rsid w:val="003307E1"/>
    <w:rsid w:val="00330C9D"/>
    <w:rsid w:val="003310AB"/>
    <w:rsid w:val="003314D2"/>
    <w:rsid w:val="00331712"/>
    <w:rsid w:val="00331A3F"/>
    <w:rsid w:val="00332191"/>
    <w:rsid w:val="00332720"/>
    <w:rsid w:val="00332EED"/>
    <w:rsid w:val="003334A7"/>
    <w:rsid w:val="003337E8"/>
    <w:rsid w:val="00333A14"/>
    <w:rsid w:val="00333B2A"/>
    <w:rsid w:val="00333FD5"/>
    <w:rsid w:val="00334649"/>
    <w:rsid w:val="0033477B"/>
    <w:rsid w:val="003350E9"/>
    <w:rsid w:val="003351BA"/>
    <w:rsid w:val="0033520F"/>
    <w:rsid w:val="0033596B"/>
    <w:rsid w:val="00335A93"/>
    <w:rsid w:val="0033650E"/>
    <w:rsid w:val="00336907"/>
    <w:rsid w:val="003369DF"/>
    <w:rsid w:val="00336AD1"/>
    <w:rsid w:val="00336C71"/>
    <w:rsid w:val="00336D96"/>
    <w:rsid w:val="00336DFC"/>
    <w:rsid w:val="00337230"/>
    <w:rsid w:val="003377D0"/>
    <w:rsid w:val="00337D75"/>
    <w:rsid w:val="00340020"/>
    <w:rsid w:val="00340AFD"/>
    <w:rsid w:val="00341162"/>
    <w:rsid w:val="00341866"/>
    <w:rsid w:val="00341DAF"/>
    <w:rsid w:val="00342181"/>
    <w:rsid w:val="00342B37"/>
    <w:rsid w:val="00343560"/>
    <w:rsid w:val="00343A20"/>
    <w:rsid w:val="0034402B"/>
    <w:rsid w:val="0034449E"/>
    <w:rsid w:val="003449F4"/>
    <w:rsid w:val="00344D46"/>
    <w:rsid w:val="00345337"/>
    <w:rsid w:val="003456AB"/>
    <w:rsid w:val="003465A5"/>
    <w:rsid w:val="00346817"/>
    <w:rsid w:val="00347440"/>
    <w:rsid w:val="003475EA"/>
    <w:rsid w:val="00347A27"/>
    <w:rsid w:val="00347CD4"/>
    <w:rsid w:val="00347E2E"/>
    <w:rsid w:val="00350A55"/>
    <w:rsid w:val="00350DF8"/>
    <w:rsid w:val="00351A8A"/>
    <w:rsid w:val="0035266A"/>
    <w:rsid w:val="0035279C"/>
    <w:rsid w:val="003535D2"/>
    <w:rsid w:val="0035384D"/>
    <w:rsid w:val="00353C0B"/>
    <w:rsid w:val="00354472"/>
    <w:rsid w:val="00354AE4"/>
    <w:rsid w:val="00354B0A"/>
    <w:rsid w:val="00355106"/>
    <w:rsid w:val="0035551B"/>
    <w:rsid w:val="003555ED"/>
    <w:rsid w:val="00355911"/>
    <w:rsid w:val="00355BFC"/>
    <w:rsid w:val="0035636B"/>
    <w:rsid w:val="003564CC"/>
    <w:rsid w:val="00357424"/>
    <w:rsid w:val="00357BE9"/>
    <w:rsid w:val="003601A2"/>
    <w:rsid w:val="00360EAF"/>
    <w:rsid w:val="00361789"/>
    <w:rsid w:val="0036196D"/>
    <w:rsid w:val="00361A59"/>
    <w:rsid w:val="00362136"/>
    <w:rsid w:val="003627BD"/>
    <w:rsid w:val="00362997"/>
    <w:rsid w:val="00362C59"/>
    <w:rsid w:val="00363040"/>
    <w:rsid w:val="003630B7"/>
    <w:rsid w:val="00363786"/>
    <w:rsid w:val="003638A4"/>
    <w:rsid w:val="003639BF"/>
    <w:rsid w:val="00363E34"/>
    <w:rsid w:val="00363E41"/>
    <w:rsid w:val="00363FD2"/>
    <w:rsid w:val="00364653"/>
    <w:rsid w:val="0036572E"/>
    <w:rsid w:val="00366168"/>
    <w:rsid w:val="003663D9"/>
    <w:rsid w:val="003666BF"/>
    <w:rsid w:val="00366707"/>
    <w:rsid w:val="00366FA9"/>
    <w:rsid w:val="003671E7"/>
    <w:rsid w:val="00367B19"/>
    <w:rsid w:val="00367E49"/>
    <w:rsid w:val="003700E6"/>
    <w:rsid w:val="0037017C"/>
    <w:rsid w:val="00370490"/>
    <w:rsid w:val="003718D2"/>
    <w:rsid w:val="00371C86"/>
    <w:rsid w:val="0037236C"/>
    <w:rsid w:val="003729DE"/>
    <w:rsid w:val="00372EA2"/>
    <w:rsid w:val="00373399"/>
    <w:rsid w:val="003735D3"/>
    <w:rsid w:val="0037386D"/>
    <w:rsid w:val="00373956"/>
    <w:rsid w:val="00374153"/>
    <w:rsid w:val="00374671"/>
    <w:rsid w:val="003750E0"/>
    <w:rsid w:val="00375AF1"/>
    <w:rsid w:val="00375C2F"/>
    <w:rsid w:val="00375FC5"/>
    <w:rsid w:val="003769BA"/>
    <w:rsid w:val="00377871"/>
    <w:rsid w:val="003778B2"/>
    <w:rsid w:val="00377E58"/>
    <w:rsid w:val="003805E3"/>
    <w:rsid w:val="00380618"/>
    <w:rsid w:val="0038062E"/>
    <w:rsid w:val="003806D7"/>
    <w:rsid w:val="003807F7"/>
    <w:rsid w:val="00381610"/>
    <w:rsid w:val="00381C9E"/>
    <w:rsid w:val="00381CA8"/>
    <w:rsid w:val="00382106"/>
    <w:rsid w:val="00382657"/>
    <w:rsid w:val="00382708"/>
    <w:rsid w:val="00382B82"/>
    <w:rsid w:val="003831D8"/>
    <w:rsid w:val="003844BF"/>
    <w:rsid w:val="003854D5"/>
    <w:rsid w:val="0038552A"/>
    <w:rsid w:val="003859EA"/>
    <w:rsid w:val="0038606E"/>
    <w:rsid w:val="0038709E"/>
    <w:rsid w:val="00387D30"/>
    <w:rsid w:val="003915C9"/>
    <w:rsid w:val="00391753"/>
    <w:rsid w:val="00391C7F"/>
    <w:rsid w:val="00392454"/>
    <w:rsid w:val="00392C85"/>
    <w:rsid w:val="00392FD8"/>
    <w:rsid w:val="00393DF9"/>
    <w:rsid w:val="00393E11"/>
    <w:rsid w:val="00394475"/>
    <w:rsid w:val="0039517A"/>
    <w:rsid w:val="003954FE"/>
    <w:rsid w:val="00395B51"/>
    <w:rsid w:val="00396375"/>
    <w:rsid w:val="00396796"/>
    <w:rsid w:val="00396EC6"/>
    <w:rsid w:val="003970BA"/>
    <w:rsid w:val="0039746C"/>
    <w:rsid w:val="00397DC6"/>
    <w:rsid w:val="003A0E82"/>
    <w:rsid w:val="003A0FAC"/>
    <w:rsid w:val="003A184D"/>
    <w:rsid w:val="003A1FB7"/>
    <w:rsid w:val="003A2773"/>
    <w:rsid w:val="003A371E"/>
    <w:rsid w:val="003A3957"/>
    <w:rsid w:val="003A3E29"/>
    <w:rsid w:val="003A439B"/>
    <w:rsid w:val="003A462A"/>
    <w:rsid w:val="003A595F"/>
    <w:rsid w:val="003A5EEC"/>
    <w:rsid w:val="003A6B7A"/>
    <w:rsid w:val="003A748F"/>
    <w:rsid w:val="003A79AE"/>
    <w:rsid w:val="003A7CA3"/>
    <w:rsid w:val="003B00B6"/>
    <w:rsid w:val="003B01C4"/>
    <w:rsid w:val="003B0BB0"/>
    <w:rsid w:val="003B11A0"/>
    <w:rsid w:val="003B11EE"/>
    <w:rsid w:val="003B15F8"/>
    <w:rsid w:val="003B166F"/>
    <w:rsid w:val="003B1B60"/>
    <w:rsid w:val="003B207E"/>
    <w:rsid w:val="003B230B"/>
    <w:rsid w:val="003B23BC"/>
    <w:rsid w:val="003B28BA"/>
    <w:rsid w:val="003B28F6"/>
    <w:rsid w:val="003B2DB5"/>
    <w:rsid w:val="003B2F05"/>
    <w:rsid w:val="003B3966"/>
    <w:rsid w:val="003B39B7"/>
    <w:rsid w:val="003B4754"/>
    <w:rsid w:val="003B4EB0"/>
    <w:rsid w:val="003B5094"/>
    <w:rsid w:val="003B5770"/>
    <w:rsid w:val="003B5E19"/>
    <w:rsid w:val="003B5F6A"/>
    <w:rsid w:val="003B6B7F"/>
    <w:rsid w:val="003B7820"/>
    <w:rsid w:val="003C01A4"/>
    <w:rsid w:val="003C0219"/>
    <w:rsid w:val="003C0941"/>
    <w:rsid w:val="003C0C12"/>
    <w:rsid w:val="003C0DCD"/>
    <w:rsid w:val="003C0E6B"/>
    <w:rsid w:val="003C135A"/>
    <w:rsid w:val="003C16EE"/>
    <w:rsid w:val="003C1C87"/>
    <w:rsid w:val="003C1D4D"/>
    <w:rsid w:val="003C2927"/>
    <w:rsid w:val="003C2C85"/>
    <w:rsid w:val="003C2F61"/>
    <w:rsid w:val="003C345E"/>
    <w:rsid w:val="003C4409"/>
    <w:rsid w:val="003C4997"/>
    <w:rsid w:val="003C4DA5"/>
    <w:rsid w:val="003C502A"/>
    <w:rsid w:val="003C5354"/>
    <w:rsid w:val="003C5666"/>
    <w:rsid w:val="003C60CC"/>
    <w:rsid w:val="003C64F4"/>
    <w:rsid w:val="003C6D4E"/>
    <w:rsid w:val="003C724B"/>
    <w:rsid w:val="003C73DB"/>
    <w:rsid w:val="003D0185"/>
    <w:rsid w:val="003D02CB"/>
    <w:rsid w:val="003D0382"/>
    <w:rsid w:val="003D069C"/>
    <w:rsid w:val="003D18F6"/>
    <w:rsid w:val="003D191E"/>
    <w:rsid w:val="003D1A19"/>
    <w:rsid w:val="003D2027"/>
    <w:rsid w:val="003D22A5"/>
    <w:rsid w:val="003D23A4"/>
    <w:rsid w:val="003D3414"/>
    <w:rsid w:val="003D3426"/>
    <w:rsid w:val="003D3654"/>
    <w:rsid w:val="003D3721"/>
    <w:rsid w:val="003D413A"/>
    <w:rsid w:val="003D6722"/>
    <w:rsid w:val="003D7428"/>
    <w:rsid w:val="003D77F2"/>
    <w:rsid w:val="003D78CC"/>
    <w:rsid w:val="003D7D01"/>
    <w:rsid w:val="003D7ED8"/>
    <w:rsid w:val="003E0003"/>
    <w:rsid w:val="003E0099"/>
    <w:rsid w:val="003E08C7"/>
    <w:rsid w:val="003E122B"/>
    <w:rsid w:val="003E1427"/>
    <w:rsid w:val="003E1A72"/>
    <w:rsid w:val="003E27B8"/>
    <w:rsid w:val="003E2880"/>
    <w:rsid w:val="003E28FB"/>
    <w:rsid w:val="003E2A00"/>
    <w:rsid w:val="003E382C"/>
    <w:rsid w:val="003E3D00"/>
    <w:rsid w:val="003E4487"/>
    <w:rsid w:val="003E4531"/>
    <w:rsid w:val="003E4771"/>
    <w:rsid w:val="003E52E3"/>
    <w:rsid w:val="003E541C"/>
    <w:rsid w:val="003E54A8"/>
    <w:rsid w:val="003E5833"/>
    <w:rsid w:val="003E5DA8"/>
    <w:rsid w:val="003E7109"/>
    <w:rsid w:val="003E77DC"/>
    <w:rsid w:val="003E7BC1"/>
    <w:rsid w:val="003F0453"/>
    <w:rsid w:val="003F0C9F"/>
    <w:rsid w:val="003F144A"/>
    <w:rsid w:val="003F1B02"/>
    <w:rsid w:val="003F1EFE"/>
    <w:rsid w:val="003F2240"/>
    <w:rsid w:val="003F2460"/>
    <w:rsid w:val="003F28DA"/>
    <w:rsid w:val="003F2E7B"/>
    <w:rsid w:val="003F3CD5"/>
    <w:rsid w:val="003F4473"/>
    <w:rsid w:val="003F4CF5"/>
    <w:rsid w:val="003F4E31"/>
    <w:rsid w:val="003F51EE"/>
    <w:rsid w:val="003F574E"/>
    <w:rsid w:val="003F60D6"/>
    <w:rsid w:val="003F68E9"/>
    <w:rsid w:val="003F728C"/>
    <w:rsid w:val="003F7E15"/>
    <w:rsid w:val="003F7FDA"/>
    <w:rsid w:val="00400E65"/>
    <w:rsid w:val="004013AD"/>
    <w:rsid w:val="00401E20"/>
    <w:rsid w:val="004021C0"/>
    <w:rsid w:val="004024F9"/>
    <w:rsid w:val="004028CE"/>
    <w:rsid w:val="0040313D"/>
    <w:rsid w:val="004043FA"/>
    <w:rsid w:val="00404970"/>
    <w:rsid w:val="00405181"/>
    <w:rsid w:val="0040567F"/>
    <w:rsid w:val="00405727"/>
    <w:rsid w:val="00405873"/>
    <w:rsid w:val="00405F09"/>
    <w:rsid w:val="004066F4"/>
    <w:rsid w:val="00406A32"/>
    <w:rsid w:val="0040760B"/>
    <w:rsid w:val="00410117"/>
    <w:rsid w:val="00410C32"/>
    <w:rsid w:val="00411237"/>
    <w:rsid w:val="00411557"/>
    <w:rsid w:val="00411994"/>
    <w:rsid w:val="00411D74"/>
    <w:rsid w:val="00411DDE"/>
    <w:rsid w:val="00411F84"/>
    <w:rsid w:val="00412069"/>
    <w:rsid w:val="00412147"/>
    <w:rsid w:val="004121A1"/>
    <w:rsid w:val="00412477"/>
    <w:rsid w:val="00412570"/>
    <w:rsid w:val="004127A2"/>
    <w:rsid w:val="0041280A"/>
    <w:rsid w:val="00412A9D"/>
    <w:rsid w:val="00412CB1"/>
    <w:rsid w:val="004133A5"/>
    <w:rsid w:val="00413D45"/>
    <w:rsid w:val="00414197"/>
    <w:rsid w:val="004144D7"/>
    <w:rsid w:val="00414D68"/>
    <w:rsid w:val="00414FD9"/>
    <w:rsid w:val="00415773"/>
    <w:rsid w:val="00415CAE"/>
    <w:rsid w:val="00415EE7"/>
    <w:rsid w:val="00415FD6"/>
    <w:rsid w:val="00415FEB"/>
    <w:rsid w:val="004160FA"/>
    <w:rsid w:val="0041669E"/>
    <w:rsid w:val="00416ACA"/>
    <w:rsid w:val="00416C56"/>
    <w:rsid w:val="00417294"/>
    <w:rsid w:val="004176B8"/>
    <w:rsid w:val="00417724"/>
    <w:rsid w:val="00417B99"/>
    <w:rsid w:val="00417CE0"/>
    <w:rsid w:val="004209D5"/>
    <w:rsid w:val="00420FAF"/>
    <w:rsid w:val="00421184"/>
    <w:rsid w:val="004212C1"/>
    <w:rsid w:val="004214B7"/>
    <w:rsid w:val="00421510"/>
    <w:rsid w:val="00421FB5"/>
    <w:rsid w:val="004226ED"/>
    <w:rsid w:val="00422AF4"/>
    <w:rsid w:val="004235F4"/>
    <w:rsid w:val="004236C9"/>
    <w:rsid w:val="00423CF3"/>
    <w:rsid w:val="00423E18"/>
    <w:rsid w:val="004245E4"/>
    <w:rsid w:val="00424B7C"/>
    <w:rsid w:val="0042500C"/>
    <w:rsid w:val="00425514"/>
    <w:rsid w:val="004256BD"/>
    <w:rsid w:val="00425863"/>
    <w:rsid w:val="00425D02"/>
    <w:rsid w:val="00425EDC"/>
    <w:rsid w:val="00426C3E"/>
    <w:rsid w:val="00426CF3"/>
    <w:rsid w:val="004275CD"/>
    <w:rsid w:val="00427E74"/>
    <w:rsid w:val="00427FEB"/>
    <w:rsid w:val="00427FF2"/>
    <w:rsid w:val="0043013F"/>
    <w:rsid w:val="004305C0"/>
    <w:rsid w:val="00430B20"/>
    <w:rsid w:val="00430B6C"/>
    <w:rsid w:val="0043227C"/>
    <w:rsid w:val="004327E0"/>
    <w:rsid w:val="004330B1"/>
    <w:rsid w:val="004335C0"/>
    <w:rsid w:val="004337B7"/>
    <w:rsid w:val="00433B34"/>
    <w:rsid w:val="004346AA"/>
    <w:rsid w:val="00435121"/>
    <w:rsid w:val="00435715"/>
    <w:rsid w:val="0043571B"/>
    <w:rsid w:val="00435EE0"/>
    <w:rsid w:val="00435F29"/>
    <w:rsid w:val="0043610C"/>
    <w:rsid w:val="004366FF"/>
    <w:rsid w:val="00437D83"/>
    <w:rsid w:val="004401DD"/>
    <w:rsid w:val="00440344"/>
    <w:rsid w:val="00441264"/>
    <w:rsid w:val="00441B0F"/>
    <w:rsid w:val="00441F06"/>
    <w:rsid w:val="004420C4"/>
    <w:rsid w:val="004425C6"/>
    <w:rsid w:val="00443D5D"/>
    <w:rsid w:val="00445CBA"/>
    <w:rsid w:val="004463CB"/>
    <w:rsid w:val="004466F7"/>
    <w:rsid w:val="00446858"/>
    <w:rsid w:val="00447304"/>
    <w:rsid w:val="004476F6"/>
    <w:rsid w:val="00447CDD"/>
    <w:rsid w:val="00450127"/>
    <w:rsid w:val="0045075F"/>
    <w:rsid w:val="004516AD"/>
    <w:rsid w:val="00451E84"/>
    <w:rsid w:val="00451EA3"/>
    <w:rsid w:val="00451F01"/>
    <w:rsid w:val="00454660"/>
    <w:rsid w:val="004546A7"/>
    <w:rsid w:val="00454831"/>
    <w:rsid w:val="004548DF"/>
    <w:rsid w:val="00456CC0"/>
    <w:rsid w:val="00457933"/>
    <w:rsid w:val="00457C78"/>
    <w:rsid w:val="0046068D"/>
    <w:rsid w:val="00460735"/>
    <w:rsid w:val="00460AD5"/>
    <w:rsid w:val="00460EB8"/>
    <w:rsid w:val="00461090"/>
    <w:rsid w:val="00461991"/>
    <w:rsid w:val="00461ACB"/>
    <w:rsid w:val="00461C43"/>
    <w:rsid w:val="00462125"/>
    <w:rsid w:val="00463216"/>
    <w:rsid w:val="0046334D"/>
    <w:rsid w:val="00463911"/>
    <w:rsid w:val="00463C95"/>
    <w:rsid w:val="00463E1C"/>
    <w:rsid w:val="00464052"/>
    <w:rsid w:val="00465153"/>
    <w:rsid w:val="00465602"/>
    <w:rsid w:val="004656A4"/>
    <w:rsid w:val="00466A4A"/>
    <w:rsid w:val="00466AFD"/>
    <w:rsid w:val="00467191"/>
    <w:rsid w:val="00470696"/>
    <w:rsid w:val="0047113A"/>
    <w:rsid w:val="004713A5"/>
    <w:rsid w:val="0047162F"/>
    <w:rsid w:val="00472177"/>
    <w:rsid w:val="00472234"/>
    <w:rsid w:val="004724C9"/>
    <w:rsid w:val="00472585"/>
    <w:rsid w:val="00474130"/>
    <w:rsid w:val="00474EDD"/>
    <w:rsid w:val="00475A6C"/>
    <w:rsid w:val="004764AF"/>
    <w:rsid w:val="00476D04"/>
    <w:rsid w:val="00476F58"/>
    <w:rsid w:val="0047775E"/>
    <w:rsid w:val="00477AAE"/>
    <w:rsid w:val="00477AF6"/>
    <w:rsid w:val="00477B3B"/>
    <w:rsid w:val="00477BCB"/>
    <w:rsid w:val="004801A7"/>
    <w:rsid w:val="00480E47"/>
    <w:rsid w:val="00480F16"/>
    <w:rsid w:val="00481666"/>
    <w:rsid w:val="0048181B"/>
    <w:rsid w:val="00481F2B"/>
    <w:rsid w:val="004820C5"/>
    <w:rsid w:val="00482198"/>
    <w:rsid w:val="004823D8"/>
    <w:rsid w:val="00482F20"/>
    <w:rsid w:val="00483196"/>
    <w:rsid w:val="0048319F"/>
    <w:rsid w:val="0048340F"/>
    <w:rsid w:val="0048423C"/>
    <w:rsid w:val="00484449"/>
    <w:rsid w:val="004852CE"/>
    <w:rsid w:val="0048540C"/>
    <w:rsid w:val="00485F92"/>
    <w:rsid w:val="004860BD"/>
    <w:rsid w:val="004866E1"/>
    <w:rsid w:val="00486C72"/>
    <w:rsid w:val="00487406"/>
    <w:rsid w:val="00487D3A"/>
    <w:rsid w:val="0049087C"/>
    <w:rsid w:val="00490954"/>
    <w:rsid w:val="0049102F"/>
    <w:rsid w:val="0049277A"/>
    <w:rsid w:val="00492B38"/>
    <w:rsid w:val="00492FE4"/>
    <w:rsid w:val="00493035"/>
    <w:rsid w:val="0049330F"/>
    <w:rsid w:val="00493321"/>
    <w:rsid w:val="004936DE"/>
    <w:rsid w:val="004949B0"/>
    <w:rsid w:val="00494A50"/>
    <w:rsid w:val="0049544E"/>
    <w:rsid w:val="00495670"/>
    <w:rsid w:val="0049567B"/>
    <w:rsid w:val="00495F7D"/>
    <w:rsid w:val="0049604B"/>
    <w:rsid w:val="00496666"/>
    <w:rsid w:val="00496AC9"/>
    <w:rsid w:val="004A040E"/>
    <w:rsid w:val="004A042D"/>
    <w:rsid w:val="004A11E0"/>
    <w:rsid w:val="004A1953"/>
    <w:rsid w:val="004A1FC5"/>
    <w:rsid w:val="004A2158"/>
    <w:rsid w:val="004A29A5"/>
    <w:rsid w:val="004A3225"/>
    <w:rsid w:val="004A374A"/>
    <w:rsid w:val="004A395B"/>
    <w:rsid w:val="004A3C59"/>
    <w:rsid w:val="004A3FE2"/>
    <w:rsid w:val="004A4195"/>
    <w:rsid w:val="004A480D"/>
    <w:rsid w:val="004A4D76"/>
    <w:rsid w:val="004A5851"/>
    <w:rsid w:val="004A5A91"/>
    <w:rsid w:val="004A5B0F"/>
    <w:rsid w:val="004A5CF1"/>
    <w:rsid w:val="004A66E0"/>
    <w:rsid w:val="004A7AAE"/>
    <w:rsid w:val="004A7D49"/>
    <w:rsid w:val="004A7E52"/>
    <w:rsid w:val="004A7F21"/>
    <w:rsid w:val="004B08DB"/>
    <w:rsid w:val="004B1422"/>
    <w:rsid w:val="004B1DF2"/>
    <w:rsid w:val="004B24EB"/>
    <w:rsid w:val="004B29AC"/>
    <w:rsid w:val="004B3C8B"/>
    <w:rsid w:val="004B44A9"/>
    <w:rsid w:val="004B4509"/>
    <w:rsid w:val="004B452A"/>
    <w:rsid w:val="004B4871"/>
    <w:rsid w:val="004B4ADF"/>
    <w:rsid w:val="004B4C00"/>
    <w:rsid w:val="004B4E06"/>
    <w:rsid w:val="004B5493"/>
    <w:rsid w:val="004B5914"/>
    <w:rsid w:val="004B6C77"/>
    <w:rsid w:val="004B6D0A"/>
    <w:rsid w:val="004B6DA4"/>
    <w:rsid w:val="004B794C"/>
    <w:rsid w:val="004B7995"/>
    <w:rsid w:val="004C02B3"/>
    <w:rsid w:val="004C098E"/>
    <w:rsid w:val="004C0BBE"/>
    <w:rsid w:val="004C0E2F"/>
    <w:rsid w:val="004C1705"/>
    <w:rsid w:val="004C222E"/>
    <w:rsid w:val="004C2561"/>
    <w:rsid w:val="004C25B4"/>
    <w:rsid w:val="004C2806"/>
    <w:rsid w:val="004C3A7A"/>
    <w:rsid w:val="004C3ADD"/>
    <w:rsid w:val="004C428E"/>
    <w:rsid w:val="004C441A"/>
    <w:rsid w:val="004C4775"/>
    <w:rsid w:val="004C483D"/>
    <w:rsid w:val="004C48A9"/>
    <w:rsid w:val="004C49B3"/>
    <w:rsid w:val="004C4D05"/>
    <w:rsid w:val="004C4FF6"/>
    <w:rsid w:val="004C590B"/>
    <w:rsid w:val="004C6017"/>
    <w:rsid w:val="004C63C7"/>
    <w:rsid w:val="004C6D39"/>
    <w:rsid w:val="004C6D98"/>
    <w:rsid w:val="004C7217"/>
    <w:rsid w:val="004C7743"/>
    <w:rsid w:val="004C7786"/>
    <w:rsid w:val="004C77A7"/>
    <w:rsid w:val="004D018B"/>
    <w:rsid w:val="004D039E"/>
    <w:rsid w:val="004D04A3"/>
    <w:rsid w:val="004D0C9F"/>
    <w:rsid w:val="004D15FD"/>
    <w:rsid w:val="004D1A0A"/>
    <w:rsid w:val="004D2369"/>
    <w:rsid w:val="004D2485"/>
    <w:rsid w:val="004D25D5"/>
    <w:rsid w:val="004D2E02"/>
    <w:rsid w:val="004D3A57"/>
    <w:rsid w:val="004D47FF"/>
    <w:rsid w:val="004D4D35"/>
    <w:rsid w:val="004D518F"/>
    <w:rsid w:val="004D54D7"/>
    <w:rsid w:val="004D5BB7"/>
    <w:rsid w:val="004D6053"/>
    <w:rsid w:val="004D6FA4"/>
    <w:rsid w:val="004D7034"/>
    <w:rsid w:val="004D7C23"/>
    <w:rsid w:val="004E01C6"/>
    <w:rsid w:val="004E0212"/>
    <w:rsid w:val="004E0ADC"/>
    <w:rsid w:val="004E0FB1"/>
    <w:rsid w:val="004E1043"/>
    <w:rsid w:val="004E1D0A"/>
    <w:rsid w:val="004E1DCA"/>
    <w:rsid w:val="004E21B4"/>
    <w:rsid w:val="004E252B"/>
    <w:rsid w:val="004E2861"/>
    <w:rsid w:val="004E2A85"/>
    <w:rsid w:val="004E3159"/>
    <w:rsid w:val="004E3F72"/>
    <w:rsid w:val="004E4A78"/>
    <w:rsid w:val="004E551E"/>
    <w:rsid w:val="004E584D"/>
    <w:rsid w:val="004E58F6"/>
    <w:rsid w:val="004E5E37"/>
    <w:rsid w:val="004E5E4C"/>
    <w:rsid w:val="004E5F79"/>
    <w:rsid w:val="004E623E"/>
    <w:rsid w:val="004E6589"/>
    <w:rsid w:val="004E6CF9"/>
    <w:rsid w:val="004E7152"/>
    <w:rsid w:val="004E7157"/>
    <w:rsid w:val="004E734E"/>
    <w:rsid w:val="004E7EC0"/>
    <w:rsid w:val="004E7F48"/>
    <w:rsid w:val="004F014E"/>
    <w:rsid w:val="004F023B"/>
    <w:rsid w:val="004F0BC6"/>
    <w:rsid w:val="004F1123"/>
    <w:rsid w:val="004F12D3"/>
    <w:rsid w:val="004F1715"/>
    <w:rsid w:val="004F17DA"/>
    <w:rsid w:val="004F355B"/>
    <w:rsid w:val="004F3BD2"/>
    <w:rsid w:val="004F4372"/>
    <w:rsid w:val="004F43E0"/>
    <w:rsid w:val="004F45EB"/>
    <w:rsid w:val="004F49F4"/>
    <w:rsid w:val="004F5079"/>
    <w:rsid w:val="004F521B"/>
    <w:rsid w:val="004F52BB"/>
    <w:rsid w:val="004F5582"/>
    <w:rsid w:val="004F56B1"/>
    <w:rsid w:val="004F59B8"/>
    <w:rsid w:val="004F62A7"/>
    <w:rsid w:val="004F62F9"/>
    <w:rsid w:val="004F66B3"/>
    <w:rsid w:val="004F6FA7"/>
    <w:rsid w:val="004F72DA"/>
    <w:rsid w:val="004F7352"/>
    <w:rsid w:val="004F7889"/>
    <w:rsid w:val="0050015C"/>
    <w:rsid w:val="00500418"/>
    <w:rsid w:val="00500CCF"/>
    <w:rsid w:val="00500E62"/>
    <w:rsid w:val="00500FEC"/>
    <w:rsid w:val="005010DE"/>
    <w:rsid w:val="005011FD"/>
    <w:rsid w:val="0050164B"/>
    <w:rsid w:val="00501AA5"/>
    <w:rsid w:val="0050251A"/>
    <w:rsid w:val="00502958"/>
    <w:rsid w:val="00502BD2"/>
    <w:rsid w:val="00502DA4"/>
    <w:rsid w:val="00503790"/>
    <w:rsid w:val="005038F3"/>
    <w:rsid w:val="00503F83"/>
    <w:rsid w:val="0050421C"/>
    <w:rsid w:val="005048FF"/>
    <w:rsid w:val="00504A9B"/>
    <w:rsid w:val="00504E9A"/>
    <w:rsid w:val="00504F83"/>
    <w:rsid w:val="005059B9"/>
    <w:rsid w:val="00505F64"/>
    <w:rsid w:val="00506DCD"/>
    <w:rsid w:val="00507325"/>
    <w:rsid w:val="00507583"/>
    <w:rsid w:val="00507C56"/>
    <w:rsid w:val="00507F13"/>
    <w:rsid w:val="00510957"/>
    <w:rsid w:val="005109D4"/>
    <w:rsid w:val="00510CF4"/>
    <w:rsid w:val="0051160A"/>
    <w:rsid w:val="005118BA"/>
    <w:rsid w:val="00511C56"/>
    <w:rsid w:val="00512A4D"/>
    <w:rsid w:val="00512D87"/>
    <w:rsid w:val="005130DA"/>
    <w:rsid w:val="00513DDA"/>
    <w:rsid w:val="00513E19"/>
    <w:rsid w:val="00514222"/>
    <w:rsid w:val="005148B4"/>
    <w:rsid w:val="00514B29"/>
    <w:rsid w:val="00514E8C"/>
    <w:rsid w:val="005152B1"/>
    <w:rsid w:val="005152F0"/>
    <w:rsid w:val="0051532D"/>
    <w:rsid w:val="00515856"/>
    <w:rsid w:val="005163E6"/>
    <w:rsid w:val="00516D23"/>
    <w:rsid w:val="005172EC"/>
    <w:rsid w:val="0051740D"/>
    <w:rsid w:val="005178CE"/>
    <w:rsid w:val="00521356"/>
    <w:rsid w:val="00521CAB"/>
    <w:rsid w:val="00521DFB"/>
    <w:rsid w:val="005224EF"/>
    <w:rsid w:val="00522654"/>
    <w:rsid w:val="00522835"/>
    <w:rsid w:val="0052293D"/>
    <w:rsid w:val="00522AF4"/>
    <w:rsid w:val="00523499"/>
    <w:rsid w:val="00523BC7"/>
    <w:rsid w:val="00523C08"/>
    <w:rsid w:val="00523C10"/>
    <w:rsid w:val="00523E23"/>
    <w:rsid w:val="005245D5"/>
    <w:rsid w:val="005247FE"/>
    <w:rsid w:val="00524889"/>
    <w:rsid w:val="005252DC"/>
    <w:rsid w:val="0052575D"/>
    <w:rsid w:val="005259FC"/>
    <w:rsid w:val="00525A53"/>
    <w:rsid w:val="005260F1"/>
    <w:rsid w:val="00526569"/>
    <w:rsid w:val="00526726"/>
    <w:rsid w:val="00526F91"/>
    <w:rsid w:val="00527256"/>
    <w:rsid w:val="00527934"/>
    <w:rsid w:val="00527B57"/>
    <w:rsid w:val="00527C8D"/>
    <w:rsid w:val="00527C9C"/>
    <w:rsid w:val="00530AC4"/>
    <w:rsid w:val="00531F7B"/>
    <w:rsid w:val="00532064"/>
    <w:rsid w:val="0053268A"/>
    <w:rsid w:val="0053309E"/>
    <w:rsid w:val="00533169"/>
    <w:rsid w:val="00533194"/>
    <w:rsid w:val="005332C8"/>
    <w:rsid w:val="00534021"/>
    <w:rsid w:val="0053464E"/>
    <w:rsid w:val="00534CBD"/>
    <w:rsid w:val="005352C8"/>
    <w:rsid w:val="005354C1"/>
    <w:rsid w:val="00535F99"/>
    <w:rsid w:val="005361DE"/>
    <w:rsid w:val="00536356"/>
    <w:rsid w:val="00536CBB"/>
    <w:rsid w:val="00536DDD"/>
    <w:rsid w:val="00537033"/>
    <w:rsid w:val="0054004B"/>
    <w:rsid w:val="00540671"/>
    <w:rsid w:val="00540A37"/>
    <w:rsid w:val="00540B49"/>
    <w:rsid w:val="005418DB"/>
    <w:rsid w:val="0054230B"/>
    <w:rsid w:val="005434EA"/>
    <w:rsid w:val="00544ABA"/>
    <w:rsid w:val="00544CDE"/>
    <w:rsid w:val="00544F0B"/>
    <w:rsid w:val="00545D55"/>
    <w:rsid w:val="00545FE8"/>
    <w:rsid w:val="005461AB"/>
    <w:rsid w:val="005469E5"/>
    <w:rsid w:val="00546C6A"/>
    <w:rsid w:val="00546FBA"/>
    <w:rsid w:val="00547F04"/>
    <w:rsid w:val="00547F3A"/>
    <w:rsid w:val="00550709"/>
    <w:rsid w:val="00550924"/>
    <w:rsid w:val="00550D63"/>
    <w:rsid w:val="00550EF1"/>
    <w:rsid w:val="00551075"/>
    <w:rsid w:val="005513C8"/>
    <w:rsid w:val="0055236E"/>
    <w:rsid w:val="0055352C"/>
    <w:rsid w:val="005538A6"/>
    <w:rsid w:val="00554F94"/>
    <w:rsid w:val="00555161"/>
    <w:rsid w:val="005557E2"/>
    <w:rsid w:val="00555A59"/>
    <w:rsid w:val="00555DE6"/>
    <w:rsid w:val="00555EB3"/>
    <w:rsid w:val="005567F6"/>
    <w:rsid w:val="00556E29"/>
    <w:rsid w:val="00557474"/>
    <w:rsid w:val="00557DAA"/>
    <w:rsid w:val="00557DAD"/>
    <w:rsid w:val="00561138"/>
    <w:rsid w:val="00561699"/>
    <w:rsid w:val="0056194F"/>
    <w:rsid w:val="005619E1"/>
    <w:rsid w:val="00562629"/>
    <w:rsid w:val="005628FE"/>
    <w:rsid w:val="0056364B"/>
    <w:rsid w:val="00563D49"/>
    <w:rsid w:val="00564191"/>
    <w:rsid w:val="00564557"/>
    <w:rsid w:val="0056458C"/>
    <w:rsid w:val="00564628"/>
    <w:rsid w:val="005648B9"/>
    <w:rsid w:val="00564A3C"/>
    <w:rsid w:val="00564F82"/>
    <w:rsid w:val="00564FF6"/>
    <w:rsid w:val="00565270"/>
    <w:rsid w:val="005653AF"/>
    <w:rsid w:val="00565501"/>
    <w:rsid w:val="00565755"/>
    <w:rsid w:val="0056601E"/>
    <w:rsid w:val="00566406"/>
    <w:rsid w:val="005664A6"/>
    <w:rsid w:val="00566538"/>
    <w:rsid w:val="0056725A"/>
    <w:rsid w:val="0056741F"/>
    <w:rsid w:val="00567647"/>
    <w:rsid w:val="0056781B"/>
    <w:rsid w:val="00567BE2"/>
    <w:rsid w:val="00570102"/>
    <w:rsid w:val="00570505"/>
    <w:rsid w:val="005712E6"/>
    <w:rsid w:val="00572942"/>
    <w:rsid w:val="005730DB"/>
    <w:rsid w:val="00573251"/>
    <w:rsid w:val="005733A8"/>
    <w:rsid w:val="005734F9"/>
    <w:rsid w:val="00573B5B"/>
    <w:rsid w:val="00573F55"/>
    <w:rsid w:val="00574070"/>
    <w:rsid w:val="00575148"/>
    <w:rsid w:val="0057540E"/>
    <w:rsid w:val="005757B6"/>
    <w:rsid w:val="005761E2"/>
    <w:rsid w:val="0058000F"/>
    <w:rsid w:val="00580557"/>
    <w:rsid w:val="0058074F"/>
    <w:rsid w:val="00580A76"/>
    <w:rsid w:val="00581042"/>
    <w:rsid w:val="00581703"/>
    <w:rsid w:val="00581B15"/>
    <w:rsid w:val="005821DD"/>
    <w:rsid w:val="00583908"/>
    <w:rsid w:val="00583C9C"/>
    <w:rsid w:val="00584757"/>
    <w:rsid w:val="00584E21"/>
    <w:rsid w:val="0058608B"/>
    <w:rsid w:val="005863C1"/>
    <w:rsid w:val="0058654D"/>
    <w:rsid w:val="00586786"/>
    <w:rsid w:val="005869A9"/>
    <w:rsid w:val="00587729"/>
    <w:rsid w:val="00587886"/>
    <w:rsid w:val="00587A66"/>
    <w:rsid w:val="00590147"/>
    <w:rsid w:val="00590BD1"/>
    <w:rsid w:val="00590D26"/>
    <w:rsid w:val="00591276"/>
    <w:rsid w:val="00591490"/>
    <w:rsid w:val="0059151A"/>
    <w:rsid w:val="005916C9"/>
    <w:rsid w:val="00591C7E"/>
    <w:rsid w:val="00591DCF"/>
    <w:rsid w:val="005929B4"/>
    <w:rsid w:val="00592A3C"/>
    <w:rsid w:val="0059367F"/>
    <w:rsid w:val="00593720"/>
    <w:rsid w:val="00593909"/>
    <w:rsid w:val="00593A71"/>
    <w:rsid w:val="005941E1"/>
    <w:rsid w:val="005943E2"/>
    <w:rsid w:val="005946E1"/>
    <w:rsid w:val="00594B8A"/>
    <w:rsid w:val="00595009"/>
    <w:rsid w:val="005954B7"/>
    <w:rsid w:val="00595A05"/>
    <w:rsid w:val="00595AD1"/>
    <w:rsid w:val="00595F17"/>
    <w:rsid w:val="00595F3D"/>
    <w:rsid w:val="00595F89"/>
    <w:rsid w:val="005960C7"/>
    <w:rsid w:val="005963FB"/>
    <w:rsid w:val="00596873"/>
    <w:rsid w:val="00596BB3"/>
    <w:rsid w:val="00596BD4"/>
    <w:rsid w:val="00596FA8"/>
    <w:rsid w:val="005971A7"/>
    <w:rsid w:val="00597310"/>
    <w:rsid w:val="005977AB"/>
    <w:rsid w:val="005A01C5"/>
    <w:rsid w:val="005A02DD"/>
    <w:rsid w:val="005A0532"/>
    <w:rsid w:val="005A071C"/>
    <w:rsid w:val="005A07E7"/>
    <w:rsid w:val="005A0A57"/>
    <w:rsid w:val="005A0B9F"/>
    <w:rsid w:val="005A0DBB"/>
    <w:rsid w:val="005A0EBD"/>
    <w:rsid w:val="005A1270"/>
    <w:rsid w:val="005A1295"/>
    <w:rsid w:val="005A1FBF"/>
    <w:rsid w:val="005A1FD5"/>
    <w:rsid w:val="005A29B1"/>
    <w:rsid w:val="005A2EBF"/>
    <w:rsid w:val="005A3750"/>
    <w:rsid w:val="005A380B"/>
    <w:rsid w:val="005A4449"/>
    <w:rsid w:val="005A4890"/>
    <w:rsid w:val="005A49D4"/>
    <w:rsid w:val="005A4D7C"/>
    <w:rsid w:val="005A51C9"/>
    <w:rsid w:val="005A5A96"/>
    <w:rsid w:val="005A5D7F"/>
    <w:rsid w:val="005A5DC0"/>
    <w:rsid w:val="005A65C3"/>
    <w:rsid w:val="005A6B6D"/>
    <w:rsid w:val="005A6BA5"/>
    <w:rsid w:val="005A6ED5"/>
    <w:rsid w:val="005A6F0E"/>
    <w:rsid w:val="005A6F57"/>
    <w:rsid w:val="005A7235"/>
    <w:rsid w:val="005A795B"/>
    <w:rsid w:val="005A7BAF"/>
    <w:rsid w:val="005B05FA"/>
    <w:rsid w:val="005B0652"/>
    <w:rsid w:val="005B1213"/>
    <w:rsid w:val="005B1B55"/>
    <w:rsid w:val="005B1DBD"/>
    <w:rsid w:val="005B26B0"/>
    <w:rsid w:val="005B3EBD"/>
    <w:rsid w:val="005B3F0C"/>
    <w:rsid w:val="005B48E8"/>
    <w:rsid w:val="005B5464"/>
    <w:rsid w:val="005B564F"/>
    <w:rsid w:val="005B56D9"/>
    <w:rsid w:val="005B5BA3"/>
    <w:rsid w:val="005B5E62"/>
    <w:rsid w:val="005B6DBE"/>
    <w:rsid w:val="005B7C45"/>
    <w:rsid w:val="005B7E97"/>
    <w:rsid w:val="005B7F46"/>
    <w:rsid w:val="005C059E"/>
    <w:rsid w:val="005C07D2"/>
    <w:rsid w:val="005C09A7"/>
    <w:rsid w:val="005C0EA8"/>
    <w:rsid w:val="005C102D"/>
    <w:rsid w:val="005C132C"/>
    <w:rsid w:val="005C17FB"/>
    <w:rsid w:val="005C1833"/>
    <w:rsid w:val="005C1838"/>
    <w:rsid w:val="005C18C2"/>
    <w:rsid w:val="005C2063"/>
    <w:rsid w:val="005C244F"/>
    <w:rsid w:val="005C2767"/>
    <w:rsid w:val="005C2922"/>
    <w:rsid w:val="005C2989"/>
    <w:rsid w:val="005C2C01"/>
    <w:rsid w:val="005C2F60"/>
    <w:rsid w:val="005C323D"/>
    <w:rsid w:val="005C3772"/>
    <w:rsid w:val="005C39C3"/>
    <w:rsid w:val="005C4229"/>
    <w:rsid w:val="005C4580"/>
    <w:rsid w:val="005C5065"/>
    <w:rsid w:val="005C52F3"/>
    <w:rsid w:val="005C564C"/>
    <w:rsid w:val="005C6234"/>
    <w:rsid w:val="005C64DC"/>
    <w:rsid w:val="005C6605"/>
    <w:rsid w:val="005C67CF"/>
    <w:rsid w:val="005C6CCB"/>
    <w:rsid w:val="005C71A0"/>
    <w:rsid w:val="005C7802"/>
    <w:rsid w:val="005C7B50"/>
    <w:rsid w:val="005D029E"/>
    <w:rsid w:val="005D0427"/>
    <w:rsid w:val="005D0776"/>
    <w:rsid w:val="005D07AE"/>
    <w:rsid w:val="005D08FD"/>
    <w:rsid w:val="005D0C83"/>
    <w:rsid w:val="005D113B"/>
    <w:rsid w:val="005D1732"/>
    <w:rsid w:val="005D2D9A"/>
    <w:rsid w:val="005D3A6E"/>
    <w:rsid w:val="005D3B21"/>
    <w:rsid w:val="005D4019"/>
    <w:rsid w:val="005D41DC"/>
    <w:rsid w:val="005D460F"/>
    <w:rsid w:val="005D4DC5"/>
    <w:rsid w:val="005D5442"/>
    <w:rsid w:val="005D5C22"/>
    <w:rsid w:val="005D5E6C"/>
    <w:rsid w:val="005D63A9"/>
    <w:rsid w:val="005D65D5"/>
    <w:rsid w:val="005D69BD"/>
    <w:rsid w:val="005D6C56"/>
    <w:rsid w:val="005D6CED"/>
    <w:rsid w:val="005D6F49"/>
    <w:rsid w:val="005D7E8A"/>
    <w:rsid w:val="005E06FA"/>
    <w:rsid w:val="005E11A5"/>
    <w:rsid w:val="005E13D4"/>
    <w:rsid w:val="005E1435"/>
    <w:rsid w:val="005E21F3"/>
    <w:rsid w:val="005E235C"/>
    <w:rsid w:val="005E3078"/>
    <w:rsid w:val="005E34C0"/>
    <w:rsid w:val="005E45F3"/>
    <w:rsid w:val="005E49CA"/>
    <w:rsid w:val="005E5384"/>
    <w:rsid w:val="005E5427"/>
    <w:rsid w:val="005E5428"/>
    <w:rsid w:val="005E59D7"/>
    <w:rsid w:val="005E5A7C"/>
    <w:rsid w:val="005E5C33"/>
    <w:rsid w:val="005E5E74"/>
    <w:rsid w:val="005E6976"/>
    <w:rsid w:val="005E703B"/>
    <w:rsid w:val="005E721A"/>
    <w:rsid w:val="005E74EC"/>
    <w:rsid w:val="005E7917"/>
    <w:rsid w:val="005E7AB6"/>
    <w:rsid w:val="005E7B1E"/>
    <w:rsid w:val="005E7CBC"/>
    <w:rsid w:val="005E7DB0"/>
    <w:rsid w:val="005F0A62"/>
    <w:rsid w:val="005F0FA8"/>
    <w:rsid w:val="005F1424"/>
    <w:rsid w:val="005F1C5D"/>
    <w:rsid w:val="005F2317"/>
    <w:rsid w:val="005F2550"/>
    <w:rsid w:val="005F2B2D"/>
    <w:rsid w:val="005F2FD5"/>
    <w:rsid w:val="005F340A"/>
    <w:rsid w:val="005F359B"/>
    <w:rsid w:val="005F3869"/>
    <w:rsid w:val="005F3AE8"/>
    <w:rsid w:val="005F3B09"/>
    <w:rsid w:val="005F3B47"/>
    <w:rsid w:val="005F4565"/>
    <w:rsid w:val="005F47C1"/>
    <w:rsid w:val="005F4926"/>
    <w:rsid w:val="005F4B6F"/>
    <w:rsid w:val="005F5009"/>
    <w:rsid w:val="005F5054"/>
    <w:rsid w:val="005F530F"/>
    <w:rsid w:val="005F5D2A"/>
    <w:rsid w:val="005F65D9"/>
    <w:rsid w:val="005F6768"/>
    <w:rsid w:val="005F69CF"/>
    <w:rsid w:val="005F6E39"/>
    <w:rsid w:val="005F6E58"/>
    <w:rsid w:val="005F7031"/>
    <w:rsid w:val="005F704C"/>
    <w:rsid w:val="005F75C4"/>
    <w:rsid w:val="005F7A22"/>
    <w:rsid w:val="005F7B9D"/>
    <w:rsid w:val="00600501"/>
    <w:rsid w:val="00600B0C"/>
    <w:rsid w:val="00602DFA"/>
    <w:rsid w:val="006031D1"/>
    <w:rsid w:val="006033BF"/>
    <w:rsid w:val="00603702"/>
    <w:rsid w:val="00603B4B"/>
    <w:rsid w:val="00603F20"/>
    <w:rsid w:val="006046A9"/>
    <w:rsid w:val="0060471B"/>
    <w:rsid w:val="00604F37"/>
    <w:rsid w:val="0060508A"/>
    <w:rsid w:val="006055AF"/>
    <w:rsid w:val="00605942"/>
    <w:rsid w:val="00605C9F"/>
    <w:rsid w:val="006068E8"/>
    <w:rsid w:val="00606ADB"/>
    <w:rsid w:val="006072DE"/>
    <w:rsid w:val="006075F4"/>
    <w:rsid w:val="006078A8"/>
    <w:rsid w:val="00607BAD"/>
    <w:rsid w:val="00607EC7"/>
    <w:rsid w:val="0061048A"/>
    <w:rsid w:val="00610AE7"/>
    <w:rsid w:val="00611178"/>
    <w:rsid w:val="0061148D"/>
    <w:rsid w:val="0061155D"/>
    <w:rsid w:val="00611D01"/>
    <w:rsid w:val="006122EC"/>
    <w:rsid w:val="006124B3"/>
    <w:rsid w:val="00612611"/>
    <w:rsid w:val="00612699"/>
    <w:rsid w:val="0061279A"/>
    <w:rsid w:val="00612A10"/>
    <w:rsid w:val="00613009"/>
    <w:rsid w:val="006132EA"/>
    <w:rsid w:val="00613481"/>
    <w:rsid w:val="00613CA5"/>
    <w:rsid w:val="0061401C"/>
    <w:rsid w:val="0061420B"/>
    <w:rsid w:val="00614A59"/>
    <w:rsid w:val="00614BD4"/>
    <w:rsid w:val="00614D33"/>
    <w:rsid w:val="00614E7E"/>
    <w:rsid w:val="0061537D"/>
    <w:rsid w:val="0061537F"/>
    <w:rsid w:val="006156D7"/>
    <w:rsid w:val="00615CF1"/>
    <w:rsid w:val="00615DEA"/>
    <w:rsid w:val="006165A4"/>
    <w:rsid w:val="00616A60"/>
    <w:rsid w:val="00616D0C"/>
    <w:rsid w:val="00616EE6"/>
    <w:rsid w:val="006171FB"/>
    <w:rsid w:val="00617283"/>
    <w:rsid w:val="00617A2A"/>
    <w:rsid w:val="006207F4"/>
    <w:rsid w:val="00620C67"/>
    <w:rsid w:val="006214B8"/>
    <w:rsid w:val="00621646"/>
    <w:rsid w:val="00621803"/>
    <w:rsid w:val="00621A34"/>
    <w:rsid w:val="006220F1"/>
    <w:rsid w:val="00623E46"/>
    <w:rsid w:val="00624604"/>
    <w:rsid w:val="00624D2C"/>
    <w:rsid w:val="00624F7F"/>
    <w:rsid w:val="00625142"/>
    <w:rsid w:val="00625145"/>
    <w:rsid w:val="00626768"/>
    <w:rsid w:val="00626F9D"/>
    <w:rsid w:val="00627402"/>
    <w:rsid w:val="00627403"/>
    <w:rsid w:val="00627474"/>
    <w:rsid w:val="00627CEA"/>
    <w:rsid w:val="00627E37"/>
    <w:rsid w:val="00630480"/>
    <w:rsid w:val="0063058E"/>
    <w:rsid w:val="006305F8"/>
    <w:rsid w:val="0063197B"/>
    <w:rsid w:val="006319D0"/>
    <w:rsid w:val="00631DA7"/>
    <w:rsid w:val="006327BB"/>
    <w:rsid w:val="00632B9C"/>
    <w:rsid w:val="00632F18"/>
    <w:rsid w:val="006332D7"/>
    <w:rsid w:val="0063333D"/>
    <w:rsid w:val="00634225"/>
    <w:rsid w:val="00635003"/>
    <w:rsid w:val="006351CE"/>
    <w:rsid w:val="006352FD"/>
    <w:rsid w:val="00635846"/>
    <w:rsid w:val="00635B15"/>
    <w:rsid w:val="00636037"/>
    <w:rsid w:val="006362E1"/>
    <w:rsid w:val="006367DA"/>
    <w:rsid w:val="00636F62"/>
    <w:rsid w:val="006370E1"/>
    <w:rsid w:val="00637382"/>
    <w:rsid w:val="006375B2"/>
    <w:rsid w:val="006375BB"/>
    <w:rsid w:val="006409EE"/>
    <w:rsid w:val="00640BF7"/>
    <w:rsid w:val="00640FFF"/>
    <w:rsid w:val="00641761"/>
    <w:rsid w:val="006419AF"/>
    <w:rsid w:val="006425FC"/>
    <w:rsid w:val="00642631"/>
    <w:rsid w:val="00642DF5"/>
    <w:rsid w:val="0064304A"/>
    <w:rsid w:val="0064380B"/>
    <w:rsid w:val="00643A4F"/>
    <w:rsid w:val="00643FF5"/>
    <w:rsid w:val="006441FD"/>
    <w:rsid w:val="00644E5A"/>
    <w:rsid w:val="00644F2C"/>
    <w:rsid w:val="00644FA4"/>
    <w:rsid w:val="00645065"/>
    <w:rsid w:val="006450DD"/>
    <w:rsid w:val="00645141"/>
    <w:rsid w:val="00645AEE"/>
    <w:rsid w:val="00646428"/>
    <w:rsid w:val="00646AFD"/>
    <w:rsid w:val="0064707F"/>
    <w:rsid w:val="006471E8"/>
    <w:rsid w:val="00647E90"/>
    <w:rsid w:val="00647FA3"/>
    <w:rsid w:val="006500F7"/>
    <w:rsid w:val="00650769"/>
    <w:rsid w:val="0065106D"/>
    <w:rsid w:val="006516B7"/>
    <w:rsid w:val="006518E4"/>
    <w:rsid w:val="006519F4"/>
    <w:rsid w:val="00651FB8"/>
    <w:rsid w:val="0065203F"/>
    <w:rsid w:val="006520D5"/>
    <w:rsid w:val="0065239B"/>
    <w:rsid w:val="00652BA0"/>
    <w:rsid w:val="00653045"/>
    <w:rsid w:val="00653A25"/>
    <w:rsid w:val="00653D93"/>
    <w:rsid w:val="00653FDA"/>
    <w:rsid w:val="006541A0"/>
    <w:rsid w:val="00654E99"/>
    <w:rsid w:val="00655104"/>
    <w:rsid w:val="0065548F"/>
    <w:rsid w:val="00655633"/>
    <w:rsid w:val="006559BB"/>
    <w:rsid w:val="00655D93"/>
    <w:rsid w:val="00655E86"/>
    <w:rsid w:val="00656614"/>
    <w:rsid w:val="00656C4D"/>
    <w:rsid w:val="006577CD"/>
    <w:rsid w:val="006578D1"/>
    <w:rsid w:val="00657CCC"/>
    <w:rsid w:val="00660162"/>
    <w:rsid w:val="0066036D"/>
    <w:rsid w:val="006604FA"/>
    <w:rsid w:val="00660879"/>
    <w:rsid w:val="00660B3F"/>
    <w:rsid w:val="006610B1"/>
    <w:rsid w:val="00661639"/>
    <w:rsid w:val="00661655"/>
    <w:rsid w:val="0066174D"/>
    <w:rsid w:val="00661E36"/>
    <w:rsid w:val="0066288A"/>
    <w:rsid w:val="0066318A"/>
    <w:rsid w:val="006631D3"/>
    <w:rsid w:val="00663D0F"/>
    <w:rsid w:val="00664525"/>
    <w:rsid w:val="0066465B"/>
    <w:rsid w:val="00664C81"/>
    <w:rsid w:val="0066521A"/>
    <w:rsid w:val="0066540C"/>
    <w:rsid w:val="00665EAE"/>
    <w:rsid w:val="006661EA"/>
    <w:rsid w:val="00666909"/>
    <w:rsid w:val="00666EBC"/>
    <w:rsid w:val="00667189"/>
    <w:rsid w:val="0066749E"/>
    <w:rsid w:val="00667CCB"/>
    <w:rsid w:val="00667EFD"/>
    <w:rsid w:val="00670475"/>
    <w:rsid w:val="00670B8C"/>
    <w:rsid w:val="00670C4A"/>
    <w:rsid w:val="006712FE"/>
    <w:rsid w:val="00671F3E"/>
    <w:rsid w:val="00672482"/>
    <w:rsid w:val="00672A18"/>
    <w:rsid w:val="006735D0"/>
    <w:rsid w:val="006739E9"/>
    <w:rsid w:val="00674D52"/>
    <w:rsid w:val="00674F93"/>
    <w:rsid w:val="0067546F"/>
    <w:rsid w:val="00676287"/>
    <w:rsid w:val="00676CE4"/>
    <w:rsid w:val="00676EC2"/>
    <w:rsid w:val="00676F61"/>
    <w:rsid w:val="00676FA5"/>
    <w:rsid w:val="006771A4"/>
    <w:rsid w:val="006771AD"/>
    <w:rsid w:val="006774A8"/>
    <w:rsid w:val="00677572"/>
    <w:rsid w:val="00681156"/>
    <w:rsid w:val="00681229"/>
    <w:rsid w:val="00681514"/>
    <w:rsid w:val="0068185E"/>
    <w:rsid w:val="00681BE5"/>
    <w:rsid w:val="00681E30"/>
    <w:rsid w:val="0068379B"/>
    <w:rsid w:val="00683D98"/>
    <w:rsid w:val="00683D99"/>
    <w:rsid w:val="00684079"/>
    <w:rsid w:val="006848EE"/>
    <w:rsid w:val="0068629B"/>
    <w:rsid w:val="00686425"/>
    <w:rsid w:val="00686C12"/>
    <w:rsid w:val="00686D75"/>
    <w:rsid w:val="0068736A"/>
    <w:rsid w:val="00687D17"/>
    <w:rsid w:val="00690024"/>
    <w:rsid w:val="006903A4"/>
    <w:rsid w:val="00690CAA"/>
    <w:rsid w:val="00690EFB"/>
    <w:rsid w:val="0069137B"/>
    <w:rsid w:val="006913EC"/>
    <w:rsid w:val="006914B7"/>
    <w:rsid w:val="00691742"/>
    <w:rsid w:val="00691DEE"/>
    <w:rsid w:val="00692242"/>
    <w:rsid w:val="0069236E"/>
    <w:rsid w:val="00692704"/>
    <w:rsid w:val="00692E67"/>
    <w:rsid w:val="00693ACF"/>
    <w:rsid w:val="00693EE5"/>
    <w:rsid w:val="006944C5"/>
    <w:rsid w:val="00694B8D"/>
    <w:rsid w:val="0069532F"/>
    <w:rsid w:val="0069561C"/>
    <w:rsid w:val="00695634"/>
    <w:rsid w:val="0069600D"/>
    <w:rsid w:val="006963AE"/>
    <w:rsid w:val="00697053"/>
    <w:rsid w:val="006A066A"/>
    <w:rsid w:val="006A06CA"/>
    <w:rsid w:val="006A083E"/>
    <w:rsid w:val="006A0FFD"/>
    <w:rsid w:val="006A1170"/>
    <w:rsid w:val="006A14A3"/>
    <w:rsid w:val="006A159D"/>
    <w:rsid w:val="006A18BF"/>
    <w:rsid w:val="006A1F58"/>
    <w:rsid w:val="006A242E"/>
    <w:rsid w:val="006A26AB"/>
    <w:rsid w:val="006A298D"/>
    <w:rsid w:val="006A2F80"/>
    <w:rsid w:val="006A3A48"/>
    <w:rsid w:val="006A3FD6"/>
    <w:rsid w:val="006A4076"/>
    <w:rsid w:val="006A436F"/>
    <w:rsid w:val="006A4E5B"/>
    <w:rsid w:val="006A59D8"/>
    <w:rsid w:val="006A6B7B"/>
    <w:rsid w:val="006A78F8"/>
    <w:rsid w:val="006A7C26"/>
    <w:rsid w:val="006A7E27"/>
    <w:rsid w:val="006B010E"/>
    <w:rsid w:val="006B03CA"/>
    <w:rsid w:val="006B091F"/>
    <w:rsid w:val="006B0CAF"/>
    <w:rsid w:val="006B0ED0"/>
    <w:rsid w:val="006B0EED"/>
    <w:rsid w:val="006B147E"/>
    <w:rsid w:val="006B1DF6"/>
    <w:rsid w:val="006B233F"/>
    <w:rsid w:val="006B275E"/>
    <w:rsid w:val="006B28EA"/>
    <w:rsid w:val="006B2DA3"/>
    <w:rsid w:val="006B2FBB"/>
    <w:rsid w:val="006B378A"/>
    <w:rsid w:val="006B3BD5"/>
    <w:rsid w:val="006B4185"/>
    <w:rsid w:val="006B4224"/>
    <w:rsid w:val="006B4493"/>
    <w:rsid w:val="006B4B62"/>
    <w:rsid w:val="006B53DC"/>
    <w:rsid w:val="006B5423"/>
    <w:rsid w:val="006B5855"/>
    <w:rsid w:val="006B5AB2"/>
    <w:rsid w:val="006B5C67"/>
    <w:rsid w:val="006B6B5D"/>
    <w:rsid w:val="006B6BF6"/>
    <w:rsid w:val="006B6C0D"/>
    <w:rsid w:val="006B7657"/>
    <w:rsid w:val="006C166D"/>
    <w:rsid w:val="006C1818"/>
    <w:rsid w:val="006C1C4F"/>
    <w:rsid w:val="006C1F8B"/>
    <w:rsid w:val="006C2721"/>
    <w:rsid w:val="006C2BE5"/>
    <w:rsid w:val="006C377A"/>
    <w:rsid w:val="006C3868"/>
    <w:rsid w:val="006C38FF"/>
    <w:rsid w:val="006C3E6E"/>
    <w:rsid w:val="006C3EEA"/>
    <w:rsid w:val="006C3F92"/>
    <w:rsid w:val="006C43A6"/>
    <w:rsid w:val="006C45BE"/>
    <w:rsid w:val="006C4A4A"/>
    <w:rsid w:val="006C4E89"/>
    <w:rsid w:val="006C53EB"/>
    <w:rsid w:val="006C5434"/>
    <w:rsid w:val="006C5D29"/>
    <w:rsid w:val="006C650D"/>
    <w:rsid w:val="006C69A5"/>
    <w:rsid w:val="006C7740"/>
    <w:rsid w:val="006C77A2"/>
    <w:rsid w:val="006C7926"/>
    <w:rsid w:val="006D0389"/>
    <w:rsid w:val="006D0848"/>
    <w:rsid w:val="006D0BA5"/>
    <w:rsid w:val="006D0C15"/>
    <w:rsid w:val="006D0D8B"/>
    <w:rsid w:val="006D0FBF"/>
    <w:rsid w:val="006D10DC"/>
    <w:rsid w:val="006D1586"/>
    <w:rsid w:val="006D19C1"/>
    <w:rsid w:val="006D2827"/>
    <w:rsid w:val="006D2848"/>
    <w:rsid w:val="006D2B19"/>
    <w:rsid w:val="006D2EC9"/>
    <w:rsid w:val="006D3A05"/>
    <w:rsid w:val="006D3B62"/>
    <w:rsid w:val="006D3FDF"/>
    <w:rsid w:val="006D4527"/>
    <w:rsid w:val="006D4B05"/>
    <w:rsid w:val="006D4F86"/>
    <w:rsid w:val="006D5F98"/>
    <w:rsid w:val="006D6665"/>
    <w:rsid w:val="006D7098"/>
    <w:rsid w:val="006D740E"/>
    <w:rsid w:val="006D7F72"/>
    <w:rsid w:val="006E00B7"/>
    <w:rsid w:val="006E0E5B"/>
    <w:rsid w:val="006E0FED"/>
    <w:rsid w:val="006E2562"/>
    <w:rsid w:val="006E3023"/>
    <w:rsid w:val="006E3369"/>
    <w:rsid w:val="006E3D12"/>
    <w:rsid w:val="006E449C"/>
    <w:rsid w:val="006E4726"/>
    <w:rsid w:val="006E4CA2"/>
    <w:rsid w:val="006E4E72"/>
    <w:rsid w:val="006E50D0"/>
    <w:rsid w:val="006E663E"/>
    <w:rsid w:val="006E6EDF"/>
    <w:rsid w:val="006E7BA5"/>
    <w:rsid w:val="006F01E8"/>
    <w:rsid w:val="006F02D7"/>
    <w:rsid w:val="006F03EC"/>
    <w:rsid w:val="006F059F"/>
    <w:rsid w:val="006F0EBB"/>
    <w:rsid w:val="006F1E96"/>
    <w:rsid w:val="006F2D24"/>
    <w:rsid w:val="006F352A"/>
    <w:rsid w:val="006F37F7"/>
    <w:rsid w:val="006F3909"/>
    <w:rsid w:val="006F4036"/>
    <w:rsid w:val="006F428E"/>
    <w:rsid w:val="006F48E1"/>
    <w:rsid w:val="006F4FA0"/>
    <w:rsid w:val="006F5096"/>
    <w:rsid w:val="006F5160"/>
    <w:rsid w:val="006F5374"/>
    <w:rsid w:val="006F57D7"/>
    <w:rsid w:val="006F60DF"/>
    <w:rsid w:val="006F64DE"/>
    <w:rsid w:val="006F6766"/>
    <w:rsid w:val="006F68C1"/>
    <w:rsid w:val="006F6CE2"/>
    <w:rsid w:val="006F6E10"/>
    <w:rsid w:val="007014F8"/>
    <w:rsid w:val="0070150D"/>
    <w:rsid w:val="007016D2"/>
    <w:rsid w:val="007018D8"/>
    <w:rsid w:val="00701979"/>
    <w:rsid w:val="00701C6E"/>
    <w:rsid w:val="007029E8"/>
    <w:rsid w:val="00703107"/>
    <w:rsid w:val="00703138"/>
    <w:rsid w:val="00703277"/>
    <w:rsid w:val="0070356D"/>
    <w:rsid w:val="00703981"/>
    <w:rsid w:val="00703CDF"/>
    <w:rsid w:val="00703D7E"/>
    <w:rsid w:val="0070495F"/>
    <w:rsid w:val="00704B6E"/>
    <w:rsid w:val="00704F73"/>
    <w:rsid w:val="0070508D"/>
    <w:rsid w:val="0070542E"/>
    <w:rsid w:val="0070604A"/>
    <w:rsid w:val="007060D4"/>
    <w:rsid w:val="0070624C"/>
    <w:rsid w:val="00706451"/>
    <w:rsid w:val="00707E0F"/>
    <w:rsid w:val="0071068A"/>
    <w:rsid w:val="00710E19"/>
    <w:rsid w:val="00710E52"/>
    <w:rsid w:val="0071154B"/>
    <w:rsid w:val="0071174F"/>
    <w:rsid w:val="0071196A"/>
    <w:rsid w:val="00711B11"/>
    <w:rsid w:val="007131CF"/>
    <w:rsid w:val="007133C0"/>
    <w:rsid w:val="00713613"/>
    <w:rsid w:val="007137C6"/>
    <w:rsid w:val="007138FC"/>
    <w:rsid w:val="0071393D"/>
    <w:rsid w:val="00713CAA"/>
    <w:rsid w:val="00713E79"/>
    <w:rsid w:val="00714245"/>
    <w:rsid w:val="00714A14"/>
    <w:rsid w:val="00715441"/>
    <w:rsid w:val="00715739"/>
    <w:rsid w:val="0071576C"/>
    <w:rsid w:val="00715C94"/>
    <w:rsid w:val="007165F0"/>
    <w:rsid w:val="00716A09"/>
    <w:rsid w:val="007170DB"/>
    <w:rsid w:val="00717880"/>
    <w:rsid w:val="00717CA8"/>
    <w:rsid w:val="007205E7"/>
    <w:rsid w:val="007209C4"/>
    <w:rsid w:val="00720A9F"/>
    <w:rsid w:val="00721E9E"/>
    <w:rsid w:val="007227FE"/>
    <w:rsid w:val="007233C3"/>
    <w:rsid w:val="00723C95"/>
    <w:rsid w:val="007244E7"/>
    <w:rsid w:val="0072505F"/>
    <w:rsid w:val="00725B00"/>
    <w:rsid w:val="0072680C"/>
    <w:rsid w:val="00726B3D"/>
    <w:rsid w:val="00726C64"/>
    <w:rsid w:val="007310B7"/>
    <w:rsid w:val="00731237"/>
    <w:rsid w:val="007315A9"/>
    <w:rsid w:val="00731A22"/>
    <w:rsid w:val="0073207E"/>
    <w:rsid w:val="00732523"/>
    <w:rsid w:val="0073254B"/>
    <w:rsid w:val="00732664"/>
    <w:rsid w:val="00732BA7"/>
    <w:rsid w:val="007333EA"/>
    <w:rsid w:val="00733601"/>
    <w:rsid w:val="00733A57"/>
    <w:rsid w:val="00733F36"/>
    <w:rsid w:val="007340CE"/>
    <w:rsid w:val="00734684"/>
    <w:rsid w:val="00734781"/>
    <w:rsid w:val="007349FC"/>
    <w:rsid w:val="00734B6F"/>
    <w:rsid w:val="007351A5"/>
    <w:rsid w:val="00735293"/>
    <w:rsid w:val="00735376"/>
    <w:rsid w:val="007363EA"/>
    <w:rsid w:val="00736A02"/>
    <w:rsid w:val="00736E06"/>
    <w:rsid w:val="00736E37"/>
    <w:rsid w:val="00737071"/>
    <w:rsid w:val="00737286"/>
    <w:rsid w:val="007373DB"/>
    <w:rsid w:val="00737847"/>
    <w:rsid w:val="00737F27"/>
    <w:rsid w:val="00737FD3"/>
    <w:rsid w:val="00740240"/>
    <w:rsid w:val="007406CB"/>
    <w:rsid w:val="007407DB"/>
    <w:rsid w:val="00740BFC"/>
    <w:rsid w:val="00740F76"/>
    <w:rsid w:val="00741037"/>
    <w:rsid w:val="007422B3"/>
    <w:rsid w:val="007424BF"/>
    <w:rsid w:val="007433F6"/>
    <w:rsid w:val="007435F1"/>
    <w:rsid w:val="00743BC1"/>
    <w:rsid w:val="00743DDD"/>
    <w:rsid w:val="00744625"/>
    <w:rsid w:val="007446BB"/>
    <w:rsid w:val="00744AF1"/>
    <w:rsid w:val="00745882"/>
    <w:rsid w:val="00745A04"/>
    <w:rsid w:val="00745A0F"/>
    <w:rsid w:val="00745DFD"/>
    <w:rsid w:val="00746197"/>
    <w:rsid w:val="0074689C"/>
    <w:rsid w:val="00746B3F"/>
    <w:rsid w:val="00747117"/>
    <w:rsid w:val="007479C2"/>
    <w:rsid w:val="00747B0D"/>
    <w:rsid w:val="00751452"/>
    <w:rsid w:val="007521A5"/>
    <w:rsid w:val="00752E99"/>
    <w:rsid w:val="00753959"/>
    <w:rsid w:val="00753DD6"/>
    <w:rsid w:val="00754A4A"/>
    <w:rsid w:val="00755F9F"/>
    <w:rsid w:val="007566FB"/>
    <w:rsid w:val="007567A8"/>
    <w:rsid w:val="00756A46"/>
    <w:rsid w:val="00756D6A"/>
    <w:rsid w:val="00757EE2"/>
    <w:rsid w:val="0076043F"/>
    <w:rsid w:val="00760F66"/>
    <w:rsid w:val="007611F8"/>
    <w:rsid w:val="00761200"/>
    <w:rsid w:val="00761931"/>
    <w:rsid w:val="00761BD1"/>
    <w:rsid w:val="007627BA"/>
    <w:rsid w:val="0076291E"/>
    <w:rsid w:val="00762C76"/>
    <w:rsid w:val="00762D81"/>
    <w:rsid w:val="0076317B"/>
    <w:rsid w:val="007643D5"/>
    <w:rsid w:val="00765366"/>
    <w:rsid w:val="00765914"/>
    <w:rsid w:val="0076614D"/>
    <w:rsid w:val="0076624C"/>
    <w:rsid w:val="0076627D"/>
    <w:rsid w:val="00766304"/>
    <w:rsid w:val="00767A28"/>
    <w:rsid w:val="00767DD2"/>
    <w:rsid w:val="00770264"/>
    <w:rsid w:val="0077082B"/>
    <w:rsid w:val="00770E60"/>
    <w:rsid w:val="00771324"/>
    <w:rsid w:val="00771C8F"/>
    <w:rsid w:val="0077266E"/>
    <w:rsid w:val="0077292E"/>
    <w:rsid w:val="007737D4"/>
    <w:rsid w:val="007737D8"/>
    <w:rsid w:val="00773887"/>
    <w:rsid w:val="0077391C"/>
    <w:rsid w:val="00773D24"/>
    <w:rsid w:val="00774576"/>
    <w:rsid w:val="007745DA"/>
    <w:rsid w:val="0077508A"/>
    <w:rsid w:val="00775475"/>
    <w:rsid w:val="00775567"/>
    <w:rsid w:val="00775E0D"/>
    <w:rsid w:val="00776343"/>
    <w:rsid w:val="00776416"/>
    <w:rsid w:val="00776C7B"/>
    <w:rsid w:val="00776CEF"/>
    <w:rsid w:val="007774AE"/>
    <w:rsid w:val="00777E7E"/>
    <w:rsid w:val="00777EFA"/>
    <w:rsid w:val="007804DD"/>
    <w:rsid w:val="00780EC1"/>
    <w:rsid w:val="00780F3B"/>
    <w:rsid w:val="0078115B"/>
    <w:rsid w:val="007816EE"/>
    <w:rsid w:val="00782071"/>
    <w:rsid w:val="00782783"/>
    <w:rsid w:val="00782946"/>
    <w:rsid w:val="00782ECD"/>
    <w:rsid w:val="00782F44"/>
    <w:rsid w:val="00782F7A"/>
    <w:rsid w:val="0078363B"/>
    <w:rsid w:val="00783CCF"/>
    <w:rsid w:val="00783F5B"/>
    <w:rsid w:val="00784609"/>
    <w:rsid w:val="00784720"/>
    <w:rsid w:val="0078481D"/>
    <w:rsid w:val="00784CFF"/>
    <w:rsid w:val="00785847"/>
    <w:rsid w:val="007859FC"/>
    <w:rsid w:val="00785F1E"/>
    <w:rsid w:val="00785F4C"/>
    <w:rsid w:val="0078609C"/>
    <w:rsid w:val="00786355"/>
    <w:rsid w:val="00787370"/>
    <w:rsid w:val="007874AE"/>
    <w:rsid w:val="0078750B"/>
    <w:rsid w:val="00787F5E"/>
    <w:rsid w:val="0079024D"/>
    <w:rsid w:val="00791069"/>
    <w:rsid w:val="007911B8"/>
    <w:rsid w:val="00791DAE"/>
    <w:rsid w:val="007930E8"/>
    <w:rsid w:val="00793A57"/>
    <w:rsid w:val="00793A9C"/>
    <w:rsid w:val="00793F28"/>
    <w:rsid w:val="007944D2"/>
    <w:rsid w:val="007945AA"/>
    <w:rsid w:val="00794B19"/>
    <w:rsid w:val="00794FFA"/>
    <w:rsid w:val="00795B8D"/>
    <w:rsid w:val="00795E34"/>
    <w:rsid w:val="00795F0E"/>
    <w:rsid w:val="00796495"/>
    <w:rsid w:val="00797063"/>
    <w:rsid w:val="00797D37"/>
    <w:rsid w:val="00797D8F"/>
    <w:rsid w:val="007A0C00"/>
    <w:rsid w:val="007A0E15"/>
    <w:rsid w:val="007A176E"/>
    <w:rsid w:val="007A19BF"/>
    <w:rsid w:val="007A2A69"/>
    <w:rsid w:val="007A2CF1"/>
    <w:rsid w:val="007A384E"/>
    <w:rsid w:val="007A41B5"/>
    <w:rsid w:val="007A4486"/>
    <w:rsid w:val="007A4682"/>
    <w:rsid w:val="007A5879"/>
    <w:rsid w:val="007A58A8"/>
    <w:rsid w:val="007A5BDC"/>
    <w:rsid w:val="007A629D"/>
    <w:rsid w:val="007A6610"/>
    <w:rsid w:val="007A6D51"/>
    <w:rsid w:val="007A6DD3"/>
    <w:rsid w:val="007A6FF3"/>
    <w:rsid w:val="007A7169"/>
    <w:rsid w:val="007A71DC"/>
    <w:rsid w:val="007A7A04"/>
    <w:rsid w:val="007B04FF"/>
    <w:rsid w:val="007B0976"/>
    <w:rsid w:val="007B0CAC"/>
    <w:rsid w:val="007B15F3"/>
    <w:rsid w:val="007B1701"/>
    <w:rsid w:val="007B1C32"/>
    <w:rsid w:val="007B1DBB"/>
    <w:rsid w:val="007B2319"/>
    <w:rsid w:val="007B2FBF"/>
    <w:rsid w:val="007B3E13"/>
    <w:rsid w:val="007B4044"/>
    <w:rsid w:val="007B4046"/>
    <w:rsid w:val="007B4300"/>
    <w:rsid w:val="007B565C"/>
    <w:rsid w:val="007B595F"/>
    <w:rsid w:val="007B5B7E"/>
    <w:rsid w:val="007B5D75"/>
    <w:rsid w:val="007B6D5E"/>
    <w:rsid w:val="007B7115"/>
    <w:rsid w:val="007B736B"/>
    <w:rsid w:val="007C012E"/>
    <w:rsid w:val="007C055A"/>
    <w:rsid w:val="007C0853"/>
    <w:rsid w:val="007C0C90"/>
    <w:rsid w:val="007C0E07"/>
    <w:rsid w:val="007C0E86"/>
    <w:rsid w:val="007C192C"/>
    <w:rsid w:val="007C19FB"/>
    <w:rsid w:val="007C249E"/>
    <w:rsid w:val="007C26CF"/>
    <w:rsid w:val="007C271B"/>
    <w:rsid w:val="007C2C14"/>
    <w:rsid w:val="007C3A55"/>
    <w:rsid w:val="007C404B"/>
    <w:rsid w:val="007C4166"/>
    <w:rsid w:val="007C44E1"/>
    <w:rsid w:val="007C48DD"/>
    <w:rsid w:val="007C4A05"/>
    <w:rsid w:val="007C5711"/>
    <w:rsid w:val="007C57B9"/>
    <w:rsid w:val="007C6325"/>
    <w:rsid w:val="007C73A3"/>
    <w:rsid w:val="007C7975"/>
    <w:rsid w:val="007C7EF5"/>
    <w:rsid w:val="007D06AC"/>
    <w:rsid w:val="007D0741"/>
    <w:rsid w:val="007D0997"/>
    <w:rsid w:val="007D0A53"/>
    <w:rsid w:val="007D0FFC"/>
    <w:rsid w:val="007D1013"/>
    <w:rsid w:val="007D19EC"/>
    <w:rsid w:val="007D2608"/>
    <w:rsid w:val="007D30C3"/>
    <w:rsid w:val="007D35AC"/>
    <w:rsid w:val="007D36B1"/>
    <w:rsid w:val="007D36D7"/>
    <w:rsid w:val="007D3BA1"/>
    <w:rsid w:val="007D3EC8"/>
    <w:rsid w:val="007D40AC"/>
    <w:rsid w:val="007D4317"/>
    <w:rsid w:val="007D4C12"/>
    <w:rsid w:val="007D57E0"/>
    <w:rsid w:val="007D5946"/>
    <w:rsid w:val="007D5962"/>
    <w:rsid w:val="007D5A2B"/>
    <w:rsid w:val="007D6213"/>
    <w:rsid w:val="007D63B2"/>
    <w:rsid w:val="007D651D"/>
    <w:rsid w:val="007D6E65"/>
    <w:rsid w:val="007D71B7"/>
    <w:rsid w:val="007D72C1"/>
    <w:rsid w:val="007D7C66"/>
    <w:rsid w:val="007D7CF3"/>
    <w:rsid w:val="007E0274"/>
    <w:rsid w:val="007E02A7"/>
    <w:rsid w:val="007E0415"/>
    <w:rsid w:val="007E0991"/>
    <w:rsid w:val="007E0AFE"/>
    <w:rsid w:val="007E0B2C"/>
    <w:rsid w:val="007E0BD1"/>
    <w:rsid w:val="007E0CE0"/>
    <w:rsid w:val="007E107F"/>
    <w:rsid w:val="007E2FD7"/>
    <w:rsid w:val="007E310B"/>
    <w:rsid w:val="007E38DA"/>
    <w:rsid w:val="007E3D65"/>
    <w:rsid w:val="007E3EE2"/>
    <w:rsid w:val="007E47E7"/>
    <w:rsid w:val="007E4A68"/>
    <w:rsid w:val="007E4A98"/>
    <w:rsid w:val="007E4EB6"/>
    <w:rsid w:val="007E5DD7"/>
    <w:rsid w:val="007E6D1C"/>
    <w:rsid w:val="007E6FB9"/>
    <w:rsid w:val="007E7139"/>
    <w:rsid w:val="007E7366"/>
    <w:rsid w:val="007E7EA1"/>
    <w:rsid w:val="007E7EA4"/>
    <w:rsid w:val="007F03CE"/>
    <w:rsid w:val="007F04D3"/>
    <w:rsid w:val="007F137D"/>
    <w:rsid w:val="007F17B5"/>
    <w:rsid w:val="007F245F"/>
    <w:rsid w:val="007F2D8D"/>
    <w:rsid w:val="007F2EBF"/>
    <w:rsid w:val="007F3044"/>
    <w:rsid w:val="007F3249"/>
    <w:rsid w:val="007F3704"/>
    <w:rsid w:val="007F4657"/>
    <w:rsid w:val="007F5609"/>
    <w:rsid w:val="007F5625"/>
    <w:rsid w:val="007F568A"/>
    <w:rsid w:val="007F59F7"/>
    <w:rsid w:val="007F5E21"/>
    <w:rsid w:val="007F6413"/>
    <w:rsid w:val="007F6761"/>
    <w:rsid w:val="007F676E"/>
    <w:rsid w:val="007F6B11"/>
    <w:rsid w:val="007F6E2B"/>
    <w:rsid w:val="007F7D12"/>
    <w:rsid w:val="007F7F02"/>
    <w:rsid w:val="00800258"/>
    <w:rsid w:val="00800C97"/>
    <w:rsid w:val="0080153D"/>
    <w:rsid w:val="0080220F"/>
    <w:rsid w:val="008026A7"/>
    <w:rsid w:val="00802735"/>
    <w:rsid w:val="008028C2"/>
    <w:rsid w:val="00802DDB"/>
    <w:rsid w:val="0080379D"/>
    <w:rsid w:val="008037D8"/>
    <w:rsid w:val="00803B7E"/>
    <w:rsid w:val="00803DA6"/>
    <w:rsid w:val="00803EED"/>
    <w:rsid w:val="008040D9"/>
    <w:rsid w:val="0080436E"/>
    <w:rsid w:val="00804937"/>
    <w:rsid w:val="00804E1E"/>
    <w:rsid w:val="00804E43"/>
    <w:rsid w:val="008050F5"/>
    <w:rsid w:val="0080519C"/>
    <w:rsid w:val="0080553F"/>
    <w:rsid w:val="00805E48"/>
    <w:rsid w:val="00807ADD"/>
    <w:rsid w:val="00810BC2"/>
    <w:rsid w:val="00811683"/>
    <w:rsid w:val="00811AFF"/>
    <w:rsid w:val="00812373"/>
    <w:rsid w:val="00812D30"/>
    <w:rsid w:val="00813F3A"/>
    <w:rsid w:val="008140E8"/>
    <w:rsid w:val="008148D4"/>
    <w:rsid w:val="0081491F"/>
    <w:rsid w:val="00814941"/>
    <w:rsid w:val="00814A65"/>
    <w:rsid w:val="00814BD9"/>
    <w:rsid w:val="008158AC"/>
    <w:rsid w:val="00816755"/>
    <w:rsid w:val="00816805"/>
    <w:rsid w:val="00816B54"/>
    <w:rsid w:val="00816BE8"/>
    <w:rsid w:val="00816CD5"/>
    <w:rsid w:val="00816DBD"/>
    <w:rsid w:val="00816FE2"/>
    <w:rsid w:val="00817062"/>
    <w:rsid w:val="00817991"/>
    <w:rsid w:val="00817F58"/>
    <w:rsid w:val="008203C5"/>
    <w:rsid w:val="0082046A"/>
    <w:rsid w:val="00820B84"/>
    <w:rsid w:val="0082199B"/>
    <w:rsid w:val="00821C2A"/>
    <w:rsid w:val="00821FFF"/>
    <w:rsid w:val="008227B7"/>
    <w:rsid w:val="008243A8"/>
    <w:rsid w:val="00824925"/>
    <w:rsid w:val="00824C8B"/>
    <w:rsid w:val="008252E8"/>
    <w:rsid w:val="00825BA8"/>
    <w:rsid w:val="00825C14"/>
    <w:rsid w:val="0082641D"/>
    <w:rsid w:val="008267CA"/>
    <w:rsid w:val="00826E45"/>
    <w:rsid w:val="008270EE"/>
    <w:rsid w:val="0082722B"/>
    <w:rsid w:val="0082745B"/>
    <w:rsid w:val="00827C1B"/>
    <w:rsid w:val="0083016B"/>
    <w:rsid w:val="008301F1"/>
    <w:rsid w:val="00830486"/>
    <w:rsid w:val="00830C0E"/>
    <w:rsid w:val="008313E0"/>
    <w:rsid w:val="008317EC"/>
    <w:rsid w:val="0083195D"/>
    <w:rsid w:val="00831B7B"/>
    <w:rsid w:val="00831D90"/>
    <w:rsid w:val="008324F3"/>
    <w:rsid w:val="00832691"/>
    <w:rsid w:val="0083296B"/>
    <w:rsid w:val="00832B8A"/>
    <w:rsid w:val="00833547"/>
    <w:rsid w:val="00833852"/>
    <w:rsid w:val="00833AB9"/>
    <w:rsid w:val="00833B62"/>
    <w:rsid w:val="00834820"/>
    <w:rsid w:val="00834C82"/>
    <w:rsid w:val="00834DB6"/>
    <w:rsid w:val="00834F93"/>
    <w:rsid w:val="00835F6D"/>
    <w:rsid w:val="008375DA"/>
    <w:rsid w:val="00840874"/>
    <w:rsid w:val="00840C4A"/>
    <w:rsid w:val="008411B9"/>
    <w:rsid w:val="0084122F"/>
    <w:rsid w:val="00841573"/>
    <w:rsid w:val="00841D08"/>
    <w:rsid w:val="00842D43"/>
    <w:rsid w:val="00842F64"/>
    <w:rsid w:val="0084323E"/>
    <w:rsid w:val="00843401"/>
    <w:rsid w:val="00843D50"/>
    <w:rsid w:val="008441D9"/>
    <w:rsid w:val="0084464E"/>
    <w:rsid w:val="008455E6"/>
    <w:rsid w:val="008458BF"/>
    <w:rsid w:val="00846262"/>
    <w:rsid w:val="00846370"/>
    <w:rsid w:val="008463E8"/>
    <w:rsid w:val="00847665"/>
    <w:rsid w:val="00847BC5"/>
    <w:rsid w:val="00847F11"/>
    <w:rsid w:val="00850010"/>
    <w:rsid w:val="008503F4"/>
    <w:rsid w:val="008504A0"/>
    <w:rsid w:val="00850AC1"/>
    <w:rsid w:val="00850C2A"/>
    <w:rsid w:val="00850DFA"/>
    <w:rsid w:val="00851331"/>
    <w:rsid w:val="008516D1"/>
    <w:rsid w:val="00852003"/>
    <w:rsid w:val="0085212C"/>
    <w:rsid w:val="00852988"/>
    <w:rsid w:val="00852F9E"/>
    <w:rsid w:val="00854053"/>
    <w:rsid w:val="008543AC"/>
    <w:rsid w:val="008548B8"/>
    <w:rsid w:val="00854965"/>
    <w:rsid w:val="00855298"/>
    <w:rsid w:val="008554D1"/>
    <w:rsid w:val="008558E0"/>
    <w:rsid w:val="008569E0"/>
    <w:rsid w:val="00857AF7"/>
    <w:rsid w:val="00857BE5"/>
    <w:rsid w:val="00860109"/>
    <w:rsid w:val="008601BD"/>
    <w:rsid w:val="00860359"/>
    <w:rsid w:val="00860E43"/>
    <w:rsid w:val="00861252"/>
    <w:rsid w:val="0086171A"/>
    <w:rsid w:val="0086226C"/>
    <w:rsid w:val="00863237"/>
    <w:rsid w:val="00863C07"/>
    <w:rsid w:val="008640B7"/>
    <w:rsid w:val="008644A4"/>
    <w:rsid w:val="00864A6C"/>
    <w:rsid w:val="00864BB1"/>
    <w:rsid w:val="00864DF7"/>
    <w:rsid w:val="00865278"/>
    <w:rsid w:val="008654F9"/>
    <w:rsid w:val="008658C0"/>
    <w:rsid w:val="00866388"/>
    <w:rsid w:val="0086644B"/>
    <w:rsid w:val="00866FE3"/>
    <w:rsid w:val="0086722D"/>
    <w:rsid w:val="00867AD8"/>
    <w:rsid w:val="00867D56"/>
    <w:rsid w:val="00867D70"/>
    <w:rsid w:val="00870646"/>
    <w:rsid w:val="008706C3"/>
    <w:rsid w:val="00870BAA"/>
    <w:rsid w:val="00870D91"/>
    <w:rsid w:val="008716D1"/>
    <w:rsid w:val="008716ED"/>
    <w:rsid w:val="008718AD"/>
    <w:rsid w:val="0087193F"/>
    <w:rsid w:val="008724E6"/>
    <w:rsid w:val="008728C8"/>
    <w:rsid w:val="00873164"/>
    <w:rsid w:val="00873205"/>
    <w:rsid w:val="008735E8"/>
    <w:rsid w:val="00873626"/>
    <w:rsid w:val="0087377E"/>
    <w:rsid w:val="00874594"/>
    <w:rsid w:val="00874654"/>
    <w:rsid w:val="00874776"/>
    <w:rsid w:val="0087487C"/>
    <w:rsid w:val="00874A07"/>
    <w:rsid w:val="00874B75"/>
    <w:rsid w:val="00875007"/>
    <w:rsid w:val="008750DB"/>
    <w:rsid w:val="008751B4"/>
    <w:rsid w:val="0087527F"/>
    <w:rsid w:val="008754B5"/>
    <w:rsid w:val="00875AF3"/>
    <w:rsid w:val="008765E9"/>
    <w:rsid w:val="00876605"/>
    <w:rsid w:val="00876B13"/>
    <w:rsid w:val="00880017"/>
    <w:rsid w:val="00880305"/>
    <w:rsid w:val="0088088A"/>
    <w:rsid w:val="00880A3F"/>
    <w:rsid w:val="00880EDE"/>
    <w:rsid w:val="00880EE2"/>
    <w:rsid w:val="008813BC"/>
    <w:rsid w:val="00881732"/>
    <w:rsid w:val="008818A2"/>
    <w:rsid w:val="00881FF9"/>
    <w:rsid w:val="0088213D"/>
    <w:rsid w:val="008821C6"/>
    <w:rsid w:val="0088243D"/>
    <w:rsid w:val="0088251A"/>
    <w:rsid w:val="00882554"/>
    <w:rsid w:val="00882D28"/>
    <w:rsid w:val="00883A67"/>
    <w:rsid w:val="008848E9"/>
    <w:rsid w:val="00884FD8"/>
    <w:rsid w:val="00885244"/>
    <w:rsid w:val="008857C7"/>
    <w:rsid w:val="008858B3"/>
    <w:rsid w:val="00885BF6"/>
    <w:rsid w:val="008866CF"/>
    <w:rsid w:val="00886782"/>
    <w:rsid w:val="008869A1"/>
    <w:rsid w:val="00886B3F"/>
    <w:rsid w:val="0088727A"/>
    <w:rsid w:val="0089015D"/>
    <w:rsid w:val="0089021A"/>
    <w:rsid w:val="0089022E"/>
    <w:rsid w:val="00890475"/>
    <w:rsid w:val="00890A7C"/>
    <w:rsid w:val="00890D11"/>
    <w:rsid w:val="008910EE"/>
    <w:rsid w:val="00891A26"/>
    <w:rsid w:val="008923F8"/>
    <w:rsid w:val="008928F1"/>
    <w:rsid w:val="00892BBF"/>
    <w:rsid w:val="00892DB5"/>
    <w:rsid w:val="0089319B"/>
    <w:rsid w:val="00893F27"/>
    <w:rsid w:val="008942BD"/>
    <w:rsid w:val="0089478A"/>
    <w:rsid w:val="0089480A"/>
    <w:rsid w:val="00894FE5"/>
    <w:rsid w:val="00895658"/>
    <w:rsid w:val="008956DA"/>
    <w:rsid w:val="00895BA9"/>
    <w:rsid w:val="00895D79"/>
    <w:rsid w:val="0089601B"/>
    <w:rsid w:val="0089647F"/>
    <w:rsid w:val="0089655D"/>
    <w:rsid w:val="00896784"/>
    <w:rsid w:val="00896C56"/>
    <w:rsid w:val="00897051"/>
    <w:rsid w:val="00897824"/>
    <w:rsid w:val="00897BCB"/>
    <w:rsid w:val="00897C07"/>
    <w:rsid w:val="00897DBA"/>
    <w:rsid w:val="008A02FA"/>
    <w:rsid w:val="008A06A8"/>
    <w:rsid w:val="008A1AAC"/>
    <w:rsid w:val="008A20CA"/>
    <w:rsid w:val="008A239B"/>
    <w:rsid w:val="008A2505"/>
    <w:rsid w:val="008A2956"/>
    <w:rsid w:val="008A2EA1"/>
    <w:rsid w:val="008A2EF6"/>
    <w:rsid w:val="008A3480"/>
    <w:rsid w:val="008A3642"/>
    <w:rsid w:val="008A4F3C"/>
    <w:rsid w:val="008A51AD"/>
    <w:rsid w:val="008A53BA"/>
    <w:rsid w:val="008A551D"/>
    <w:rsid w:val="008A56BA"/>
    <w:rsid w:val="008A570A"/>
    <w:rsid w:val="008A58E4"/>
    <w:rsid w:val="008A58E7"/>
    <w:rsid w:val="008A5C1D"/>
    <w:rsid w:val="008A615A"/>
    <w:rsid w:val="008A6357"/>
    <w:rsid w:val="008A650C"/>
    <w:rsid w:val="008A6A36"/>
    <w:rsid w:val="008A6CB9"/>
    <w:rsid w:val="008A6DC1"/>
    <w:rsid w:val="008A7083"/>
    <w:rsid w:val="008A7100"/>
    <w:rsid w:val="008A7139"/>
    <w:rsid w:val="008A776D"/>
    <w:rsid w:val="008A7C74"/>
    <w:rsid w:val="008B02AC"/>
    <w:rsid w:val="008B03BD"/>
    <w:rsid w:val="008B04C0"/>
    <w:rsid w:val="008B09E1"/>
    <w:rsid w:val="008B0A83"/>
    <w:rsid w:val="008B0DCF"/>
    <w:rsid w:val="008B0E93"/>
    <w:rsid w:val="008B0F8D"/>
    <w:rsid w:val="008B198D"/>
    <w:rsid w:val="008B23A8"/>
    <w:rsid w:val="008B29A4"/>
    <w:rsid w:val="008B2BB4"/>
    <w:rsid w:val="008B2C30"/>
    <w:rsid w:val="008B383D"/>
    <w:rsid w:val="008B3C2B"/>
    <w:rsid w:val="008B4679"/>
    <w:rsid w:val="008B4D00"/>
    <w:rsid w:val="008B4D13"/>
    <w:rsid w:val="008B4E78"/>
    <w:rsid w:val="008B4FE2"/>
    <w:rsid w:val="008B61A1"/>
    <w:rsid w:val="008B66D8"/>
    <w:rsid w:val="008B66EE"/>
    <w:rsid w:val="008B6793"/>
    <w:rsid w:val="008B6E87"/>
    <w:rsid w:val="008B75C2"/>
    <w:rsid w:val="008B787A"/>
    <w:rsid w:val="008C0A89"/>
    <w:rsid w:val="008C0AA9"/>
    <w:rsid w:val="008C0E71"/>
    <w:rsid w:val="008C1852"/>
    <w:rsid w:val="008C2CFF"/>
    <w:rsid w:val="008C2E1E"/>
    <w:rsid w:val="008C2E22"/>
    <w:rsid w:val="008C2ED2"/>
    <w:rsid w:val="008C3612"/>
    <w:rsid w:val="008C3D4D"/>
    <w:rsid w:val="008C4026"/>
    <w:rsid w:val="008C417E"/>
    <w:rsid w:val="008C4E31"/>
    <w:rsid w:val="008C5B51"/>
    <w:rsid w:val="008C5F0A"/>
    <w:rsid w:val="008C6105"/>
    <w:rsid w:val="008C6124"/>
    <w:rsid w:val="008C6334"/>
    <w:rsid w:val="008C66BD"/>
    <w:rsid w:val="008C6968"/>
    <w:rsid w:val="008C742A"/>
    <w:rsid w:val="008C74C7"/>
    <w:rsid w:val="008C7714"/>
    <w:rsid w:val="008C7B32"/>
    <w:rsid w:val="008C7F4F"/>
    <w:rsid w:val="008D00F3"/>
    <w:rsid w:val="008D0241"/>
    <w:rsid w:val="008D0B34"/>
    <w:rsid w:val="008D0F27"/>
    <w:rsid w:val="008D11F0"/>
    <w:rsid w:val="008D15A2"/>
    <w:rsid w:val="008D18CD"/>
    <w:rsid w:val="008D1F86"/>
    <w:rsid w:val="008D20E0"/>
    <w:rsid w:val="008D2B6E"/>
    <w:rsid w:val="008D335C"/>
    <w:rsid w:val="008D35B7"/>
    <w:rsid w:val="008D4007"/>
    <w:rsid w:val="008D436A"/>
    <w:rsid w:val="008D4C72"/>
    <w:rsid w:val="008D4CF8"/>
    <w:rsid w:val="008D5246"/>
    <w:rsid w:val="008D5291"/>
    <w:rsid w:val="008D5368"/>
    <w:rsid w:val="008D561B"/>
    <w:rsid w:val="008D582B"/>
    <w:rsid w:val="008D5CF9"/>
    <w:rsid w:val="008D5D0A"/>
    <w:rsid w:val="008D6199"/>
    <w:rsid w:val="008D64B9"/>
    <w:rsid w:val="008D6794"/>
    <w:rsid w:val="008D7F65"/>
    <w:rsid w:val="008E0178"/>
    <w:rsid w:val="008E02F8"/>
    <w:rsid w:val="008E12AF"/>
    <w:rsid w:val="008E1342"/>
    <w:rsid w:val="008E1DC9"/>
    <w:rsid w:val="008E211C"/>
    <w:rsid w:val="008E28EC"/>
    <w:rsid w:val="008E2BB3"/>
    <w:rsid w:val="008E2BC5"/>
    <w:rsid w:val="008E2C79"/>
    <w:rsid w:val="008E3176"/>
    <w:rsid w:val="008E3564"/>
    <w:rsid w:val="008E3A0B"/>
    <w:rsid w:val="008E3A90"/>
    <w:rsid w:val="008E3AAB"/>
    <w:rsid w:val="008E3F34"/>
    <w:rsid w:val="008E4043"/>
    <w:rsid w:val="008E4520"/>
    <w:rsid w:val="008E54E8"/>
    <w:rsid w:val="008E5740"/>
    <w:rsid w:val="008E5868"/>
    <w:rsid w:val="008E5ADB"/>
    <w:rsid w:val="008E5DC8"/>
    <w:rsid w:val="008E6465"/>
    <w:rsid w:val="008E6C57"/>
    <w:rsid w:val="008E7082"/>
    <w:rsid w:val="008E72AF"/>
    <w:rsid w:val="008F0952"/>
    <w:rsid w:val="008F1154"/>
    <w:rsid w:val="008F1B84"/>
    <w:rsid w:val="008F1B9D"/>
    <w:rsid w:val="008F1DB6"/>
    <w:rsid w:val="008F337C"/>
    <w:rsid w:val="008F39C0"/>
    <w:rsid w:val="008F39E4"/>
    <w:rsid w:val="008F51F0"/>
    <w:rsid w:val="008F57CD"/>
    <w:rsid w:val="008F5960"/>
    <w:rsid w:val="008F5CD0"/>
    <w:rsid w:val="008F629A"/>
    <w:rsid w:val="008F6A9B"/>
    <w:rsid w:val="008F6F03"/>
    <w:rsid w:val="008F7603"/>
    <w:rsid w:val="008F769D"/>
    <w:rsid w:val="008F76B7"/>
    <w:rsid w:val="008F76DC"/>
    <w:rsid w:val="008F7D2F"/>
    <w:rsid w:val="009013C5"/>
    <w:rsid w:val="0090147B"/>
    <w:rsid w:val="00901649"/>
    <w:rsid w:val="00901CBA"/>
    <w:rsid w:val="00901DC6"/>
    <w:rsid w:val="009021DC"/>
    <w:rsid w:val="00902EFD"/>
    <w:rsid w:val="00903026"/>
    <w:rsid w:val="0090357B"/>
    <w:rsid w:val="00903832"/>
    <w:rsid w:val="009042D0"/>
    <w:rsid w:val="009044BE"/>
    <w:rsid w:val="009048EB"/>
    <w:rsid w:val="00904913"/>
    <w:rsid w:val="00904C15"/>
    <w:rsid w:val="009050B3"/>
    <w:rsid w:val="00905298"/>
    <w:rsid w:val="00905945"/>
    <w:rsid w:val="00905FEB"/>
    <w:rsid w:val="00906164"/>
    <w:rsid w:val="00906252"/>
    <w:rsid w:val="0090672E"/>
    <w:rsid w:val="00906A4F"/>
    <w:rsid w:val="00906BD6"/>
    <w:rsid w:val="00907074"/>
    <w:rsid w:val="009073C7"/>
    <w:rsid w:val="009078BA"/>
    <w:rsid w:val="009079C7"/>
    <w:rsid w:val="009079F7"/>
    <w:rsid w:val="00907B44"/>
    <w:rsid w:val="00907C33"/>
    <w:rsid w:val="0091042E"/>
    <w:rsid w:val="009108D2"/>
    <w:rsid w:val="00910C20"/>
    <w:rsid w:val="00910FE1"/>
    <w:rsid w:val="0091106A"/>
    <w:rsid w:val="009111DB"/>
    <w:rsid w:val="00911C09"/>
    <w:rsid w:val="00911D1C"/>
    <w:rsid w:val="00912F38"/>
    <w:rsid w:val="0091340D"/>
    <w:rsid w:val="00913C58"/>
    <w:rsid w:val="009140B4"/>
    <w:rsid w:val="00914174"/>
    <w:rsid w:val="0091428A"/>
    <w:rsid w:val="00914733"/>
    <w:rsid w:val="0091495E"/>
    <w:rsid w:val="00914AA5"/>
    <w:rsid w:val="00914E41"/>
    <w:rsid w:val="00915428"/>
    <w:rsid w:val="009162DD"/>
    <w:rsid w:val="009163E7"/>
    <w:rsid w:val="009165E4"/>
    <w:rsid w:val="0091670A"/>
    <w:rsid w:val="0091671A"/>
    <w:rsid w:val="009169F6"/>
    <w:rsid w:val="0091719D"/>
    <w:rsid w:val="00917903"/>
    <w:rsid w:val="00917BEA"/>
    <w:rsid w:val="00920189"/>
    <w:rsid w:val="00920203"/>
    <w:rsid w:val="00920997"/>
    <w:rsid w:val="00920B1E"/>
    <w:rsid w:val="00920DD5"/>
    <w:rsid w:val="00921161"/>
    <w:rsid w:val="00922492"/>
    <w:rsid w:val="009224EB"/>
    <w:rsid w:val="0092272F"/>
    <w:rsid w:val="00922BE2"/>
    <w:rsid w:val="00922EDE"/>
    <w:rsid w:val="009237D9"/>
    <w:rsid w:val="0092406C"/>
    <w:rsid w:val="00924096"/>
    <w:rsid w:val="009243BC"/>
    <w:rsid w:val="009244D5"/>
    <w:rsid w:val="0092523A"/>
    <w:rsid w:val="009252F1"/>
    <w:rsid w:val="00925588"/>
    <w:rsid w:val="00925733"/>
    <w:rsid w:val="00925AF5"/>
    <w:rsid w:val="00926268"/>
    <w:rsid w:val="009264A2"/>
    <w:rsid w:val="0092715D"/>
    <w:rsid w:val="00927299"/>
    <w:rsid w:val="00930081"/>
    <w:rsid w:val="00930632"/>
    <w:rsid w:val="009310BC"/>
    <w:rsid w:val="00931D3F"/>
    <w:rsid w:val="009324C4"/>
    <w:rsid w:val="00932671"/>
    <w:rsid w:val="00932A7A"/>
    <w:rsid w:val="00932D26"/>
    <w:rsid w:val="00932EAA"/>
    <w:rsid w:val="009330BF"/>
    <w:rsid w:val="00933817"/>
    <w:rsid w:val="009340EB"/>
    <w:rsid w:val="00934510"/>
    <w:rsid w:val="0093476C"/>
    <w:rsid w:val="00934C7D"/>
    <w:rsid w:val="00935A1E"/>
    <w:rsid w:val="00935AA3"/>
    <w:rsid w:val="00935B7C"/>
    <w:rsid w:val="00935E3A"/>
    <w:rsid w:val="00936005"/>
    <w:rsid w:val="0093607C"/>
    <w:rsid w:val="00940008"/>
    <w:rsid w:val="00940FFA"/>
    <w:rsid w:val="00941010"/>
    <w:rsid w:val="00941503"/>
    <w:rsid w:val="0094187D"/>
    <w:rsid w:val="009423ED"/>
    <w:rsid w:val="00942C90"/>
    <w:rsid w:val="00942F29"/>
    <w:rsid w:val="00942FB6"/>
    <w:rsid w:val="009430E1"/>
    <w:rsid w:val="009434EB"/>
    <w:rsid w:val="00943EA6"/>
    <w:rsid w:val="00944307"/>
    <w:rsid w:val="009443F2"/>
    <w:rsid w:val="009448F2"/>
    <w:rsid w:val="009451E0"/>
    <w:rsid w:val="0094524B"/>
    <w:rsid w:val="009456E3"/>
    <w:rsid w:val="00945759"/>
    <w:rsid w:val="00945925"/>
    <w:rsid w:val="009466E9"/>
    <w:rsid w:val="00946CB3"/>
    <w:rsid w:val="00946D20"/>
    <w:rsid w:val="00946E51"/>
    <w:rsid w:val="009473F4"/>
    <w:rsid w:val="0094767D"/>
    <w:rsid w:val="00947920"/>
    <w:rsid w:val="00950231"/>
    <w:rsid w:val="00950794"/>
    <w:rsid w:val="009507AA"/>
    <w:rsid w:val="009509EF"/>
    <w:rsid w:val="009515CA"/>
    <w:rsid w:val="00951691"/>
    <w:rsid w:val="00951FCE"/>
    <w:rsid w:val="009521CC"/>
    <w:rsid w:val="0095226C"/>
    <w:rsid w:val="0095269B"/>
    <w:rsid w:val="00952B80"/>
    <w:rsid w:val="00952C05"/>
    <w:rsid w:val="00952D52"/>
    <w:rsid w:val="009540B7"/>
    <w:rsid w:val="009543D0"/>
    <w:rsid w:val="00954AF9"/>
    <w:rsid w:val="00954DAE"/>
    <w:rsid w:val="00955410"/>
    <w:rsid w:val="009558EE"/>
    <w:rsid w:val="009559D5"/>
    <w:rsid w:val="00955C17"/>
    <w:rsid w:val="00955FFA"/>
    <w:rsid w:val="00956170"/>
    <w:rsid w:val="009561F8"/>
    <w:rsid w:val="00956BA1"/>
    <w:rsid w:val="00956D42"/>
    <w:rsid w:val="00956F0F"/>
    <w:rsid w:val="0095727F"/>
    <w:rsid w:val="009572AF"/>
    <w:rsid w:val="00957E41"/>
    <w:rsid w:val="0096016E"/>
    <w:rsid w:val="0096023A"/>
    <w:rsid w:val="009607AB"/>
    <w:rsid w:val="00961154"/>
    <w:rsid w:val="009615DB"/>
    <w:rsid w:val="00962683"/>
    <w:rsid w:val="00962ADC"/>
    <w:rsid w:val="00962E23"/>
    <w:rsid w:val="0096487C"/>
    <w:rsid w:val="00964BC2"/>
    <w:rsid w:val="00964D4A"/>
    <w:rsid w:val="00964EAE"/>
    <w:rsid w:val="00965023"/>
    <w:rsid w:val="009650B7"/>
    <w:rsid w:val="0096515D"/>
    <w:rsid w:val="0096554B"/>
    <w:rsid w:val="00965841"/>
    <w:rsid w:val="00965C45"/>
    <w:rsid w:val="00966623"/>
    <w:rsid w:val="009678DB"/>
    <w:rsid w:val="00970728"/>
    <w:rsid w:val="009707C9"/>
    <w:rsid w:val="00971303"/>
    <w:rsid w:val="00971E0B"/>
    <w:rsid w:val="00972101"/>
    <w:rsid w:val="00972285"/>
    <w:rsid w:val="00972FB5"/>
    <w:rsid w:val="00973607"/>
    <w:rsid w:val="009736FE"/>
    <w:rsid w:val="00973B96"/>
    <w:rsid w:val="00973E3C"/>
    <w:rsid w:val="00974763"/>
    <w:rsid w:val="009757CA"/>
    <w:rsid w:val="00976E76"/>
    <w:rsid w:val="009771D3"/>
    <w:rsid w:val="00977A14"/>
    <w:rsid w:val="00977E9B"/>
    <w:rsid w:val="009807BF"/>
    <w:rsid w:val="009809CE"/>
    <w:rsid w:val="00980F1B"/>
    <w:rsid w:val="0098131F"/>
    <w:rsid w:val="00981479"/>
    <w:rsid w:val="009814FE"/>
    <w:rsid w:val="00981F74"/>
    <w:rsid w:val="0098237C"/>
    <w:rsid w:val="009829B3"/>
    <w:rsid w:val="00982C31"/>
    <w:rsid w:val="00982D45"/>
    <w:rsid w:val="00983165"/>
    <w:rsid w:val="00983343"/>
    <w:rsid w:val="009833C4"/>
    <w:rsid w:val="009834E0"/>
    <w:rsid w:val="009838FF"/>
    <w:rsid w:val="00984149"/>
    <w:rsid w:val="00984788"/>
    <w:rsid w:val="00984909"/>
    <w:rsid w:val="00984FF3"/>
    <w:rsid w:val="00984FF9"/>
    <w:rsid w:val="009850C5"/>
    <w:rsid w:val="0098516C"/>
    <w:rsid w:val="00986326"/>
    <w:rsid w:val="00986849"/>
    <w:rsid w:val="00986BB7"/>
    <w:rsid w:val="00986D4B"/>
    <w:rsid w:val="00986F6D"/>
    <w:rsid w:val="0098727C"/>
    <w:rsid w:val="00987708"/>
    <w:rsid w:val="00987DF0"/>
    <w:rsid w:val="00987E2E"/>
    <w:rsid w:val="0099008B"/>
    <w:rsid w:val="00990E77"/>
    <w:rsid w:val="00991719"/>
    <w:rsid w:val="0099177B"/>
    <w:rsid w:val="00991B8C"/>
    <w:rsid w:val="0099367E"/>
    <w:rsid w:val="00993FE4"/>
    <w:rsid w:val="0099425E"/>
    <w:rsid w:val="00994CDC"/>
    <w:rsid w:val="009969CD"/>
    <w:rsid w:val="0099770A"/>
    <w:rsid w:val="00997769"/>
    <w:rsid w:val="00997A2E"/>
    <w:rsid w:val="00997E3F"/>
    <w:rsid w:val="009A048E"/>
    <w:rsid w:val="009A119F"/>
    <w:rsid w:val="009A1609"/>
    <w:rsid w:val="009A16A3"/>
    <w:rsid w:val="009A1A7E"/>
    <w:rsid w:val="009A1BD0"/>
    <w:rsid w:val="009A3480"/>
    <w:rsid w:val="009A3DB8"/>
    <w:rsid w:val="009A43B3"/>
    <w:rsid w:val="009A464D"/>
    <w:rsid w:val="009A496F"/>
    <w:rsid w:val="009A4B78"/>
    <w:rsid w:val="009A4D73"/>
    <w:rsid w:val="009A4E41"/>
    <w:rsid w:val="009A5297"/>
    <w:rsid w:val="009A5851"/>
    <w:rsid w:val="009A5C0C"/>
    <w:rsid w:val="009A5D40"/>
    <w:rsid w:val="009A5E10"/>
    <w:rsid w:val="009A6665"/>
    <w:rsid w:val="009A6C80"/>
    <w:rsid w:val="009A6EE2"/>
    <w:rsid w:val="009A743F"/>
    <w:rsid w:val="009A74F7"/>
    <w:rsid w:val="009B00F2"/>
    <w:rsid w:val="009B0E67"/>
    <w:rsid w:val="009B0FB2"/>
    <w:rsid w:val="009B1113"/>
    <w:rsid w:val="009B1C34"/>
    <w:rsid w:val="009B1D22"/>
    <w:rsid w:val="009B1E86"/>
    <w:rsid w:val="009B27C4"/>
    <w:rsid w:val="009B2BE6"/>
    <w:rsid w:val="009B2D92"/>
    <w:rsid w:val="009B31DE"/>
    <w:rsid w:val="009B3250"/>
    <w:rsid w:val="009B35A6"/>
    <w:rsid w:val="009B42A4"/>
    <w:rsid w:val="009B42D2"/>
    <w:rsid w:val="009B4A06"/>
    <w:rsid w:val="009B60EA"/>
    <w:rsid w:val="009B70C8"/>
    <w:rsid w:val="009B737C"/>
    <w:rsid w:val="009B742E"/>
    <w:rsid w:val="009C0AC6"/>
    <w:rsid w:val="009C11B2"/>
    <w:rsid w:val="009C1456"/>
    <w:rsid w:val="009C164F"/>
    <w:rsid w:val="009C1C30"/>
    <w:rsid w:val="009C22DD"/>
    <w:rsid w:val="009C29D5"/>
    <w:rsid w:val="009C30A0"/>
    <w:rsid w:val="009C359E"/>
    <w:rsid w:val="009C37FE"/>
    <w:rsid w:val="009C4082"/>
    <w:rsid w:val="009C4A38"/>
    <w:rsid w:val="009C4A72"/>
    <w:rsid w:val="009C4AD8"/>
    <w:rsid w:val="009C4D3D"/>
    <w:rsid w:val="009C55E2"/>
    <w:rsid w:val="009C5A4E"/>
    <w:rsid w:val="009C5EE5"/>
    <w:rsid w:val="009C61E3"/>
    <w:rsid w:val="009C6B56"/>
    <w:rsid w:val="009C7DB8"/>
    <w:rsid w:val="009C7FF0"/>
    <w:rsid w:val="009D010D"/>
    <w:rsid w:val="009D0244"/>
    <w:rsid w:val="009D0F71"/>
    <w:rsid w:val="009D111C"/>
    <w:rsid w:val="009D17A0"/>
    <w:rsid w:val="009D1F7A"/>
    <w:rsid w:val="009D2807"/>
    <w:rsid w:val="009D2873"/>
    <w:rsid w:val="009D2942"/>
    <w:rsid w:val="009D2BB8"/>
    <w:rsid w:val="009D316C"/>
    <w:rsid w:val="009D3A1A"/>
    <w:rsid w:val="009D426A"/>
    <w:rsid w:val="009D5BDB"/>
    <w:rsid w:val="009D6B03"/>
    <w:rsid w:val="009D6B3D"/>
    <w:rsid w:val="009D7422"/>
    <w:rsid w:val="009D78E7"/>
    <w:rsid w:val="009E0742"/>
    <w:rsid w:val="009E0B29"/>
    <w:rsid w:val="009E1291"/>
    <w:rsid w:val="009E12BC"/>
    <w:rsid w:val="009E139D"/>
    <w:rsid w:val="009E224D"/>
    <w:rsid w:val="009E26D5"/>
    <w:rsid w:val="009E2A07"/>
    <w:rsid w:val="009E3398"/>
    <w:rsid w:val="009E3577"/>
    <w:rsid w:val="009E37A5"/>
    <w:rsid w:val="009E395B"/>
    <w:rsid w:val="009E3D2B"/>
    <w:rsid w:val="009E3DC2"/>
    <w:rsid w:val="009E3E84"/>
    <w:rsid w:val="009E4053"/>
    <w:rsid w:val="009E4097"/>
    <w:rsid w:val="009E4664"/>
    <w:rsid w:val="009E4D8E"/>
    <w:rsid w:val="009E4E90"/>
    <w:rsid w:val="009E4EB7"/>
    <w:rsid w:val="009E5601"/>
    <w:rsid w:val="009E57C1"/>
    <w:rsid w:val="009E624A"/>
    <w:rsid w:val="009E6B32"/>
    <w:rsid w:val="009E6E16"/>
    <w:rsid w:val="009E7039"/>
    <w:rsid w:val="009E70F3"/>
    <w:rsid w:val="009E7E98"/>
    <w:rsid w:val="009F00EE"/>
    <w:rsid w:val="009F0827"/>
    <w:rsid w:val="009F0BED"/>
    <w:rsid w:val="009F1673"/>
    <w:rsid w:val="009F2F43"/>
    <w:rsid w:val="009F3255"/>
    <w:rsid w:val="009F341D"/>
    <w:rsid w:val="009F34AA"/>
    <w:rsid w:val="009F3DCE"/>
    <w:rsid w:val="009F44FF"/>
    <w:rsid w:val="009F46E8"/>
    <w:rsid w:val="009F472D"/>
    <w:rsid w:val="009F4CF0"/>
    <w:rsid w:val="009F4E88"/>
    <w:rsid w:val="009F50D1"/>
    <w:rsid w:val="009F573B"/>
    <w:rsid w:val="009F5918"/>
    <w:rsid w:val="009F596D"/>
    <w:rsid w:val="009F5DB1"/>
    <w:rsid w:val="009F6A91"/>
    <w:rsid w:val="009F71A6"/>
    <w:rsid w:val="009F71AA"/>
    <w:rsid w:val="009F754A"/>
    <w:rsid w:val="009F791F"/>
    <w:rsid w:val="009F7F86"/>
    <w:rsid w:val="00A0034D"/>
    <w:rsid w:val="00A00710"/>
    <w:rsid w:val="00A00BFB"/>
    <w:rsid w:val="00A00DCF"/>
    <w:rsid w:val="00A0126C"/>
    <w:rsid w:val="00A012A1"/>
    <w:rsid w:val="00A012DA"/>
    <w:rsid w:val="00A0187E"/>
    <w:rsid w:val="00A02543"/>
    <w:rsid w:val="00A026F0"/>
    <w:rsid w:val="00A02F2D"/>
    <w:rsid w:val="00A02F61"/>
    <w:rsid w:val="00A03529"/>
    <w:rsid w:val="00A03671"/>
    <w:rsid w:val="00A03E0E"/>
    <w:rsid w:val="00A040D1"/>
    <w:rsid w:val="00A044B7"/>
    <w:rsid w:val="00A04A0A"/>
    <w:rsid w:val="00A050A8"/>
    <w:rsid w:val="00A056A3"/>
    <w:rsid w:val="00A059AF"/>
    <w:rsid w:val="00A05A59"/>
    <w:rsid w:val="00A05B51"/>
    <w:rsid w:val="00A06286"/>
    <w:rsid w:val="00A06318"/>
    <w:rsid w:val="00A063BC"/>
    <w:rsid w:val="00A068E1"/>
    <w:rsid w:val="00A06A80"/>
    <w:rsid w:val="00A06D8A"/>
    <w:rsid w:val="00A0711F"/>
    <w:rsid w:val="00A07B0B"/>
    <w:rsid w:val="00A102A0"/>
    <w:rsid w:val="00A1065D"/>
    <w:rsid w:val="00A10860"/>
    <w:rsid w:val="00A114FA"/>
    <w:rsid w:val="00A11AF3"/>
    <w:rsid w:val="00A12ACF"/>
    <w:rsid w:val="00A12B42"/>
    <w:rsid w:val="00A12BD4"/>
    <w:rsid w:val="00A12C09"/>
    <w:rsid w:val="00A13084"/>
    <w:rsid w:val="00A1327F"/>
    <w:rsid w:val="00A13817"/>
    <w:rsid w:val="00A138D3"/>
    <w:rsid w:val="00A13E0F"/>
    <w:rsid w:val="00A144B7"/>
    <w:rsid w:val="00A149B4"/>
    <w:rsid w:val="00A152D3"/>
    <w:rsid w:val="00A15F4F"/>
    <w:rsid w:val="00A160AB"/>
    <w:rsid w:val="00A16745"/>
    <w:rsid w:val="00A16747"/>
    <w:rsid w:val="00A169A7"/>
    <w:rsid w:val="00A17E93"/>
    <w:rsid w:val="00A20013"/>
    <w:rsid w:val="00A2056F"/>
    <w:rsid w:val="00A20582"/>
    <w:rsid w:val="00A20C65"/>
    <w:rsid w:val="00A21767"/>
    <w:rsid w:val="00A21FD5"/>
    <w:rsid w:val="00A226DB"/>
    <w:rsid w:val="00A22751"/>
    <w:rsid w:val="00A22940"/>
    <w:rsid w:val="00A23102"/>
    <w:rsid w:val="00A233D8"/>
    <w:rsid w:val="00A2343F"/>
    <w:rsid w:val="00A23505"/>
    <w:rsid w:val="00A2428B"/>
    <w:rsid w:val="00A247E5"/>
    <w:rsid w:val="00A248BD"/>
    <w:rsid w:val="00A24D81"/>
    <w:rsid w:val="00A24EA5"/>
    <w:rsid w:val="00A25173"/>
    <w:rsid w:val="00A252F0"/>
    <w:rsid w:val="00A259F2"/>
    <w:rsid w:val="00A26463"/>
    <w:rsid w:val="00A2660E"/>
    <w:rsid w:val="00A26916"/>
    <w:rsid w:val="00A26B47"/>
    <w:rsid w:val="00A26FF1"/>
    <w:rsid w:val="00A27547"/>
    <w:rsid w:val="00A2770B"/>
    <w:rsid w:val="00A27806"/>
    <w:rsid w:val="00A3068C"/>
    <w:rsid w:val="00A3127F"/>
    <w:rsid w:val="00A31922"/>
    <w:rsid w:val="00A31BCC"/>
    <w:rsid w:val="00A31C70"/>
    <w:rsid w:val="00A31C87"/>
    <w:rsid w:val="00A31C9A"/>
    <w:rsid w:val="00A325BB"/>
    <w:rsid w:val="00A3297A"/>
    <w:rsid w:val="00A32A58"/>
    <w:rsid w:val="00A32EEC"/>
    <w:rsid w:val="00A336C5"/>
    <w:rsid w:val="00A339D9"/>
    <w:rsid w:val="00A33BD6"/>
    <w:rsid w:val="00A3510A"/>
    <w:rsid w:val="00A3515F"/>
    <w:rsid w:val="00A35751"/>
    <w:rsid w:val="00A3577F"/>
    <w:rsid w:val="00A35BBC"/>
    <w:rsid w:val="00A35DAB"/>
    <w:rsid w:val="00A36724"/>
    <w:rsid w:val="00A367AF"/>
    <w:rsid w:val="00A36C13"/>
    <w:rsid w:val="00A377C2"/>
    <w:rsid w:val="00A37A31"/>
    <w:rsid w:val="00A40B1F"/>
    <w:rsid w:val="00A40B4D"/>
    <w:rsid w:val="00A411E2"/>
    <w:rsid w:val="00A41373"/>
    <w:rsid w:val="00A41638"/>
    <w:rsid w:val="00A41B15"/>
    <w:rsid w:val="00A4224E"/>
    <w:rsid w:val="00A4229F"/>
    <w:rsid w:val="00A428A9"/>
    <w:rsid w:val="00A42ACA"/>
    <w:rsid w:val="00A4327C"/>
    <w:rsid w:val="00A43496"/>
    <w:rsid w:val="00A43665"/>
    <w:rsid w:val="00A43AAB"/>
    <w:rsid w:val="00A43AFE"/>
    <w:rsid w:val="00A441CC"/>
    <w:rsid w:val="00A447E3"/>
    <w:rsid w:val="00A44AAD"/>
    <w:rsid w:val="00A44D3B"/>
    <w:rsid w:val="00A45241"/>
    <w:rsid w:val="00A45280"/>
    <w:rsid w:val="00A452B8"/>
    <w:rsid w:val="00A45BF7"/>
    <w:rsid w:val="00A45EBC"/>
    <w:rsid w:val="00A463B5"/>
    <w:rsid w:val="00A463BA"/>
    <w:rsid w:val="00A46675"/>
    <w:rsid w:val="00A46A5F"/>
    <w:rsid w:val="00A471A3"/>
    <w:rsid w:val="00A47597"/>
    <w:rsid w:val="00A47E44"/>
    <w:rsid w:val="00A47F91"/>
    <w:rsid w:val="00A507D7"/>
    <w:rsid w:val="00A50A5C"/>
    <w:rsid w:val="00A50BE2"/>
    <w:rsid w:val="00A50CC6"/>
    <w:rsid w:val="00A50E40"/>
    <w:rsid w:val="00A51462"/>
    <w:rsid w:val="00A51946"/>
    <w:rsid w:val="00A51FF7"/>
    <w:rsid w:val="00A52079"/>
    <w:rsid w:val="00A52143"/>
    <w:rsid w:val="00A521E9"/>
    <w:rsid w:val="00A5298E"/>
    <w:rsid w:val="00A52B3E"/>
    <w:rsid w:val="00A5313B"/>
    <w:rsid w:val="00A5320E"/>
    <w:rsid w:val="00A53F7B"/>
    <w:rsid w:val="00A54090"/>
    <w:rsid w:val="00A541F3"/>
    <w:rsid w:val="00A54282"/>
    <w:rsid w:val="00A549D3"/>
    <w:rsid w:val="00A54DF0"/>
    <w:rsid w:val="00A57E98"/>
    <w:rsid w:val="00A60017"/>
    <w:rsid w:val="00A60849"/>
    <w:rsid w:val="00A6105B"/>
    <w:rsid w:val="00A61355"/>
    <w:rsid w:val="00A61668"/>
    <w:rsid w:val="00A621D3"/>
    <w:rsid w:val="00A628F8"/>
    <w:rsid w:val="00A62B7A"/>
    <w:rsid w:val="00A631A1"/>
    <w:rsid w:val="00A632EA"/>
    <w:rsid w:val="00A6339D"/>
    <w:rsid w:val="00A634BE"/>
    <w:rsid w:val="00A63AD7"/>
    <w:rsid w:val="00A63BFD"/>
    <w:rsid w:val="00A63E61"/>
    <w:rsid w:val="00A6491F"/>
    <w:rsid w:val="00A64A9E"/>
    <w:rsid w:val="00A64C72"/>
    <w:rsid w:val="00A64D1A"/>
    <w:rsid w:val="00A65320"/>
    <w:rsid w:val="00A65BA5"/>
    <w:rsid w:val="00A66354"/>
    <w:rsid w:val="00A66E37"/>
    <w:rsid w:val="00A66ECF"/>
    <w:rsid w:val="00A67681"/>
    <w:rsid w:val="00A67E38"/>
    <w:rsid w:val="00A703E4"/>
    <w:rsid w:val="00A704C9"/>
    <w:rsid w:val="00A70DC6"/>
    <w:rsid w:val="00A71080"/>
    <w:rsid w:val="00A71986"/>
    <w:rsid w:val="00A71E3D"/>
    <w:rsid w:val="00A71E73"/>
    <w:rsid w:val="00A72740"/>
    <w:rsid w:val="00A73A64"/>
    <w:rsid w:val="00A73B1F"/>
    <w:rsid w:val="00A742AD"/>
    <w:rsid w:val="00A746D7"/>
    <w:rsid w:val="00A74AB2"/>
    <w:rsid w:val="00A75A27"/>
    <w:rsid w:val="00A75A46"/>
    <w:rsid w:val="00A75B36"/>
    <w:rsid w:val="00A7623B"/>
    <w:rsid w:val="00A7640B"/>
    <w:rsid w:val="00A7660A"/>
    <w:rsid w:val="00A7663A"/>
    <w:rsid w:val="00A7696B"/>
    <w:rsid w:val="00A769D4"/>
    <w:rsid w:val="00A8008F"/>
    <w:rsid w:val="00A804C7"/>
    <w:rsid w:val="00A80857"/>
    <w:rsid w:val="00A80A39"/>
    <w:rsid w:val="00A80DF0"/>
    <w:rsid w:val="00A80E64"/>
    <w:rsid w:val="00A81A16"/>
    <w:rsid w:val="00A823A7"/>
    <w:rsid w:val="00A824D4"/>
    <w:rsid w:val="00A825C8"/>
    <w:rsid w:val="00A82742"/>
    <w:rsid w:val="00A82A29"/>
    <w:rsid w:val="00A83984"/>
    <w:rsid w:val="00A83A1E"/>
    <w:rsid w:val="00A83DA2"/>
    <w:rsid w:val="00A84198"/>
    <w:rsid w:val="00A841AB"/>
    <w:rsid w:val="00A849C5"/>
    <w:rsid w:val="00A84FFD"/>
    <w:rsid w:val="00A86104"/>
    <w:rsid w:val="00A8655A"/>
    <w:rsid w:val="00A87203"/>
    <w:rsid w:val="00A87744"/>
    <w:rsid w:val="00A87AE6"/>
    <w:rsid w:val="00A87B09"/>
    <w:rsid w:val="00A87C22"/>
    <w:rsid w:val="00A90590"/>
    <w:rsid w:val="00A90A97"/>
    <w:rsid w:val="00A90CB4"/>
    <w:rsid w:val="00A910DA"/>
    <w:rsid w:val="00A920E1"/>
    <w:rsid w:val="00A931BB"/>
    <w:rsid w:val="00A933AE"/>
    <w:rsid w:val="00A93863"/>
    <w:rsid w:val="00A93928"/>
    <w:rsid w:val="00A93F73"/>
    <w:rsid w:val="00A9415E"/>
    <w:rsid w:val="00A9423F"/>
    <w:rsid w:val="00A94EBD"/>
    <w:rsid w:val="00A9510D"/>
    <w:rsid w:val="00A95580"/>
    <w:rsid w:val="00A956AC"/>
    <w:rsid w:val="00A95D2A"/>
    <w:rsid w:val="00A961D6"/>
    <w:rsid w:val="00A96214"/>
    <w:rsid w:val="00A967E8"/>
    <w:rsid w:val="00A97F4B"/>
    <w:rsid w:val="00AA04C5"/>
    <w:rsid w:val="00AA10B1"/>
    <w:rsid w:val="00AA2803"/>
    <w:rsid w:val="00AA2BF2"/>
    <w:rsid w:val="00AA2D68"/>
    <w:rsid w:val="00AA2D6F"/>
    <w:rsid w:val="00AA2E92"/>
    <w:rsid w:val="00AA3987"/>
    <w:rsid w:val="00AA3B68"/>
    <w:rsid w:val="00AA3DAE"/>
    <w:rsid w:val="00AA3E79"/>
    <w:rsid w:val="00AA4FB4"/>
    <w:rsid w:val="00AA5C0B"/>
    <w:rsid w:val="00AA5E3B"/>
    <w:rsid w:val="00AA63AD"/>
    <w:rsid w:val="00AA65B4"/>
    <w:rsid w:val="00AA6A75"/>
    <w:rsid w:val="00AA745E"/>
    <w:rsid w:val="00AB04AB"/>
    <w:rsid w:val="00AB06E6"/>
    <w:rsid w:val="00AB0733"/>
    <w:rsid w:val="00AB09D2"/>
    <w:rsid w:val="00AB0B64"/>
    <w:rsid w:val="00AB0C30"/>
    <w:rsid w:val="00AB176B"/>
    <w:rsid w:val="00AB2C5F"/>
    <w:rsid w:val="00AB37E6"/>
    <w:rsid w:val="00AB3DBA"/>
    <w:rsid w:val="00AB431C"/>
    <w:rsid w:val="00AB470E"/>
    <w:rsid w:val="00AB4C80"/>
    <w:rsid w:val="00AB506B"/>
    <w:rsid w:val="00AB509C"/>
    <w:rsid w:val="00AB5467"/>
    <w:rsid w:val="00AB5883"/>
    <w:rsid w:val="00AB5A7E"/>
    <w:rsid w:val="00AB7538"/>
    <w:rsid w:val="00AB77F3"/>
    <w:rsid w:val="00AC0256"/>
    <w:rsid w:val="00AC0AAD"/>
    <w:rsid w:val="00AC1231"/>
    <w:rsid w:val="00AC1992"/>
    <w:rsid w:val="00AC1E14"/>
    <w:rsid w:val="00AC2CFA"/>
    <w:rsid w:val="00AC3263"/>
    <w:rsid w:val="00AC337E"/>
    <w:rsid w:val="00AC3E12"/>
    <w:rsid w:val="00AC406E"/>
    <w:rsid w:val="00AC417C"/>
    <w:rsid w:val="00AC430C"/>
    <w:rsid w:val="00AC4951"/>
    <w:rsid w:val="00AC49C9"/>
    <w:rsid w:val="00AC4A6B"/>
    <w:rsid w:val="00AC5C19"/>
    <w:rsid w:val="00AC60F0"/>
    <w:rsid w:val="00AC63C7"/>
    <w:rsid w:val="00AC6657"/>
    <w:rsid w:val="00AC6D7A"/>
    <w:rsid w:val="00AC7363"/>
    <w:rsid w:val="00AC7401"/>
    <w:rsid w:val="00AC7901"/>
    <w:rsid w:val="00AC79F3"/>
    <w:rsid w:val="00AC7FDD"/>
    <w:rsid w:val="00AD0949"/>
    <w:rsid w:val="00AD0F1D"/>
    <w:rsid w:val="00AD1179"/>
    <w:rsid w:val="00AD1359"/>
    <w:rsid w:val="00AD19F0"/>
    <w:rsid w:val="00AD1FCE"/>
    <w:rsid w:val="00AD26E1"/>
    <w:rsid w:val="00AD29CC"/>
    <w:rsid w:val="00AD3268"/>
    <w:rsid w:val="00AD3652"/>
    <w:rsid w:val="00AD3DE2"/>
    <w:rsid w:val="00AD4261"/>
    <w:rsid w:val="00AD46F5"/>
    <w:rsid w:val="00AD51A3"/>
    <w:rsid w:val="00AD598B"/>
    <w:rsid w:val="00AD7154"/>
    <w:rsid w:val="00AD797D"/>
    <w:rsid w:val="00AD7AF8"/>
    <w:rsid w:val="00AD7E02"/>
    <w:rsid w:val="00AE0034"/>
    <w:rsid w:val="00AE0483"/>
    <w:rsid w:val="00AE08DD"/>
    <w:rsid w:val="00AE13BD"/>
    <w:rsid w:val="00AE1ABF"/>
    <w:rsid w:val="00AE1AF9"/>
    <w:rsid w:val="00AE1E60"/>
    <w:rsid w:val="00AE2068"/>
    <w:rsid w:val="00AE2258"/>
    <w:rsid w:val="00AE277E"/>
    <w:rsid w:val="00AE2A36"/>
    <w:rsid w:val="00AE2BC6"/>
    <w:rsid w:val="00AE2DF3"/>
    <w:rsid w:val="00AE3251"/>
    <w:rsid w:val="00AE33DA"/>
    <w:rsid w:val="00AE3939"/>
    <w:rsid w:val="00AE3FE0"/>
    <w:rsid w:val="00AE5058"/>
    <w:rsid w:val="00AE51CD"/>
    <w:rsid w:val="00AE5471"/>
    <w:rsid w:val="00AE54AA"/>
    <w:rsid w:val="00AE5E9E"/>
    <w:rsid w:val="00AE60E4"/>
    <w:rsid w:val="00AE6872"/>
    <w:rsid w:val="00AE6C58"/>
    <w:rsid w:val="00AE72C4"/>
    <w:rsid w:val="00AE7F05"/>
    <w:rsid w:val="00AE7F38"/>
    <w:rsid w:val="00AF054D"/>
    <w:rsid w:val="00AF0939"/>
    <w:rsid w:val="00AF0981"/>
    <w:rsid w:val="00AF0F9C"/>
    <w:rsid w:val="00AF10F0"/>
    <w:rsid w:val="00AF117B"/>
    <w:rsid w:val="00AF18E2"/>
    <w:rsid w:val="00AF24E7"/>
    <w:rsid w:val="00AF272B"/>
    <w:rsid w:val="00AF291B"/>
    <w:rsid w:val="00AF2DAA"/>
    <w:rsid w:val="00AF2EBD"/>
    <w:rsid w:val="00AF33AE"/>
    <w:rsid w:val="00AF3CDC"/>
    <w:rsid w:val="00AF44B1"/>
    <w:rsid w:val="00AF5800"/>
    <w:rsid w:val="00AF61E2"/>
    <w:rsid w:val="00AF6986"/>
    <w:rsid w:val="00AF69FE"/>
    <w:rsid w:val="00AF6A77"/>
    <w:rsid w:val="00AF6D1B"/>
    <w:rsid w:val="00AF73ED"/>
    <w:rsid w:val="00AF7D69"/>
    <w:rsid w:val="00AF7ED2"/>
    <w:rsid w:val="00B004D8"/>
    <w:rsid w:val="00B00830"/>
    <w:rsid w:val="00B00CC5"/>
    <w:rsid w:val="00B016D2"/>
    <w:rsid w:val="00B02091"/>
    <w:rsid w:val="00B02B43"/>
    <w:rsid w:val="00B03697"/>
    <w:rsid w:val="00B03D36"/>
    <w:rsid w:val="00B04540"/>
    <w:rsid w:val="00B046F1"/>
    <w:rsid w:val="00B05116"/>
    <w:rsid w:val="00B051A7"/>
    <w:rsid w:val="00B05F1A"/>
    <w:rsid w:val="00B07B33"/>
    <w:rsid w:val="00B07FA2"/>
    <w:rsid w:val="00B100CF"/>
    <w:rsid w:val="00B1074F"/>
    <w:rsid w:val="00B109C3"/>
    <w:rsid w:val="00B10E82"/>
    <w:rsid w:val="00B111A6"/>
    <w:rsid w:val="00B115E5"/>
    <w:rsid w:val="00B118EE"/>
    <w:rsid w:val="00B11B03"/>
    <w:rsid w:val="00B11C5B"/>
    <w:rsid w:val="00B121CD"/>
    <w:rsid w:val="00B12343"/>
    <w:rsid w:val="00B12529"/>
    <w:rsid w:val="00B128C5"/>
    <w:rsid w:val="00B12B11"/>
    <w:rsid w:val="00B12C94"/>
    <w:rsid w:val="00B135AB"/>
    <w:rsid w:val="00B13797"/>
    <w:rsid w:val="00B137BF"/>
    <w:rsid w:val="00B13A1B"/>
    <w:rsid w:val="00B13A76"/>
    <w:rsid w:val="00B142D9"/>
    <w:rsid w:val="00B145D5"/>
    <w:rsid w:val="00B14BC4"/>
    <w:rsid w:val="00B15431"/>
    <w:rsid w:val="00B158A3"/>
    <w:rsid w:val="00B15B25"/>
    <w:rsid w:val="00B15C36"/>
    <w:rsid w:val="00B15E95"/>
    <w:rsid w:val="00B15EA0"/>
    <w:rsid w:val="00B16069"/>
    <w:rsid w:val="00B1745A"/>
    <w:rsid w:val="00B17785"/>
    <w:rsid w:val="00B17A4E"/>
    <w:rsid w:val="00B17B30"/>
    <w:rsid w:val="00B17C2F"/>
    <w:rsid w:val="00B17CDA"/>
    <w:rsid w:val="00B2153E"/>
    <w:rsid w:val="00B218CB"/>
    <w:rsid w:val="00B21FA7"/>
    <w:rsid w:val="00B22022"/>
    <w:rsid w:val="00B225E4"/>
    <w:rsid w:val="00B23223"/>
    <w:rsid w:val="00B23F7A"/>
    <w:rsid w:val="00B240B1"/>
    <w:rsid w:val="00B24208"/>
    <w:rsid w:val="00B24374"/>
    <w:rsid w:val="00B24728"/>
    <w:rsid w:val="00B248A9"/>
    <w:rsid w:val="00B2490A"/>
    <w:rsid w:val="00B24BE3"/>
    <w:rsid w:val="00B24D28"/>
    <w:rsid w:val="00B24F1C"/>
    <w:rsid w:val="00B25D76"/>
    <w:rsid w:val="00B27032"/>
    <w:rsid w:val="00B27085"/>
    <w:rsid w:val="00B27583"/>
    <w:rsid w:val="00B30003"/>
    <w:rsid w:val="00B3015C"/>
    <w:rsid w:val="00B30642"/>
    <w:rsid w:val="00B31201"/>
    <w:rsid w:val="00B317A8"/>
    <w:rsid w:val="00B31B4B"/>
    <w:rsid w:val="00B31E36"/>
    <w:rsid w:val="00B32741"/>
    <w:rsid w:val="00B32E26"/>
    <w:rsid w:val="00B338B7"/>
    <w:rsid w:val="00B34061"/>
    <w:rsid w:val="00B34376"/>
    <w:rsid w:val="00B3440A"/>
    <w:rsid w:val="00B34441"/>
    <w:rsid w:val="00B35533"/>
    <w:rsid w:val="00B35534"/>
    <w:rsid w:val="00B35A87"/>
    <w:rsid w:val="00B35AFD"/>
    <w:rsid w:val="00B35F9A"/>
    <w:rsid w:val="00B3609C"/>
    <w:rsid w:val="00B36236"/>
    <w:rsid w:val="00B3662E"/>
    <w:rsid w:val="00B36645"/>
    <w:rsid w:val="00B366D2"/>
    <w:rsid w:val="00B366FA"/>
    <w:rsid w:val="00B3692B"/>
    <w:rsid w:val="00B36E86"/>
    <w:rsid w:val="00B379BA"/>
    <w:rsid w:val="00B40B30"/>
    <w:rsid w:val="00B40E47"/>
    <w:rsid w:val="00B412FD"/>
    <w:rsid w:val="00B41E1C"/>
    <w:rsid w:val="00B422BE"/>
    <w:rsid w:val="00B4241D"/>
    <w:rsid w:val="00B426BB"/>
    <w:rsid w:val="00B4295A"/>
    <w:rsid w:val="00B42D99"/>
    <w:rsid w:val="00B42EB9"/>
    <w:rsid w:val="00B436F0"/>
    <w:rsid w:val="00B441FE"/>
    <w:rsid w:val="00B44821"/>
    <w:rsid w:val="00B44AD3"/>
    <w:rsid w:val="00B450EB"/>
    <w:rsid w:val="00B45152"/>
    <w:rsid w:val="00B454DD"/>
    <w:rsid w:val="00B45E2D"/>
    <w:rsid w:val="00B45E54"/>
    <w:rsid w:val="00B460B8"/>
    <w:rsid w:val="00B464E4"/>
    <w:rsid w:val="00B4689A"/>
    <w:rsid w:val="00B46D5F"/>
    <w:rsid w:val="00B46E7B"/>
    <w:rsid w:val="00B47DC5"/>
    <w:rsid w:val="00B50395"/>
    <w:rsid w:val="00B505B3"/>
    <w:rsid w:val="00B50882"/>
    <w:rsid w:val="00B50A74"/>
    <w:rsid w:val="00B5199C"/>
    <w:rsid w:val="00B520A0"/>
    <w:rsid w:val="00B5257E"/>
    <w:rsid w:val="00B525CE"/>
    <w:rsid w:val="00B52CFD"/>
    <w:rsid w:val="00B545A8"/>
    <w:rsid w:val="00B56527"/>
    <w:rsid w:val="00B56706"/>
    <w:rsid w:val="00B57019"/>
    <w:rsid w:val="00B576DA"/>
    <w:rsid w:val="00B57710"/>
    <w:rsid w:val="00B601C9"/>
    <w:rsid w:val="00B60D04"/>
    <w:rsid w:val="00B6158F"/>
    <w:rsid w:val="00B61EE8"/>
    <w:rsid w:val="00B633A3"/>
    <w:rsid w:val="00B63533"/>
    <w:rsid w:val="00B63BDB"/>
    <w:rsid w:val="00B64A0E"/>
    <w:rsid w:val="00B64DDF"/>
    <w:rsid w:val="00B6601E"/>
    <w:rsid w:val="00B663AA"/>
    <w:rsid w:val="00B66DD5"/>
    <w:rsid w:val="00B670D0"/>
    <w:rsid w:val="00B67722"/>
    <w:rsid w:val="00B67B97"/>
    <w:rsid w:val="00B67F01"/>
    <w:rsid w:val="00B70329"/>
    <w:rsid w:val="00B711AB"/>
    <w:rsid w:val="00B714F0"/>
    <w:rsid w:val="00B71A40"/>
    <w:rsid w:val="00B71C8C"/>
    <w:rsid w:val="00B71CB4"/>
    <w:rsid w:val="00B71FD7"/>
    <w:rsid w:val="00B725E7"/>
    <w:rsid w:val="00B72C07"/>
    <w:rsid w:val="00B72DF7"/>
    <w:rsid w:val="00B72F42"/>
    <w:rsid w:val="00B73E44"/>
    <w:rsid w:val="00B74290"/>
    <w:rsid w:val="00B74510"/>
    <w:rsid w:val="00B74BD4"/>
    <w:rsid w:val="00B74BF7"/>
    <w:rsid w:val="00B760FD"/>
    <w:rsid w:val="00B76185"/>
    <w:rsid w:val="00B76BCD"/>
    <w:rsid w:val="00B779E6"/>
    <w:rsid w:val="00B804E2"/>
    <w:rsid w:val="00B811B2"/>
    <w:rsid w:val="00B81BA3"/>
    <w:rsid w:val="00B82213"/>
    <w:rsid w:val="00B8276E"/>
    <w:rsid w:val="00B82912"/>
    <w:rsid w:val="00B839A9"/>
    <w:rsid w:val="00B83A62"/>
    <w:rsid w:val="00B83B59"/>
    <w:rsid w:val="00B84252"/>
    <w:rsid w:val="00B8468F"/>
    <w:rsid w:val="00B849F1"/>
    <w:rsid w:val="00B84FC6"/>
    <w:rsid w:val="00B857F5"/>
    <w:rsid w:val="00B86D6C"/>
    <w:rsid w:val="00B86EB5"/>
    <w:rsid w:val="00B86F47"/>
    <w:rsid w:val="00B874B4"/>
    <w:rsid w:val="00B8787A"/>
    <w:rsid w:val="00B87887"/>
    <w:rsid w:val="00B90123"/>
    <w:rsid w:val="00B90196"/>
    <w:rsid w:val="00B911C1"/>
    <w:rsid w:val="00B91374"/>
    <w:rsid w:val="00B922C3"/>
    <w:rsid w:val="00B9272E"/>
    <w:rsid w:val="00B927A7"/>
    <w:rsid w:val="00B92B9E"/>
    <w:rsid w:val="00B93315"/>
    <w:rsid w:val="00B93519"/>
    <w:rsid w:val="00B9372A"/>
    <w:rsid w:val="00B93B15"/>
    <w:rsid w:val="00B93CF1"/>
    <w:rsid w:val="00B9425C"/>
    <w:rsid w:val="00B94AAF"/>
    <w:rsid w:val="00B953FF"/>
    <w:rsid w:val="00B9622D"/>
    <w:rsid w:val="00B96263"/>
    <w:rsid w:val="00B968A5"/>
    <w:rsid w:val="00B972CD"/>
    <w:rsid w:val="00B97D02"/>
    <w:rsid w:val="00BA0304"/>
    <w:rsid w:val="00BA0557"/>
    <w:rsid w:val="00BA19C4"/>
    <w:rsid w:val="00BA3038"/>
    <w:rsid w:val="00BA370A"/>
    <w:rsid w:val="00BA48BC"/>
    <w:rsid w:val="00BA4A29"/>
    <w:rsid w:val="00BA4BE7"/>
    <w:rsid w:val="00BA5F20"/>
    <w:rsid w:val="00BA5F44"/>
    <w:rsid w:val="00BA68D9"/>
    <w:rsid w:val="00BA695F"/>
    <w:rsid w:val="00BA6FD8"/>
    <w:rsid w:val="00BA7172"/>
    <w:rsid w:val="00BA7B01"/>
    <w:rsid w:val="00BB02D7"/>
    <w:rsid w:val="00BB0D9F"/>
    <w:rsid w:val="00BB0DEE"/>
    <w:rsid w:val="00BB0F93"/>
    <w:rsid w:val="00BB1031"/>
    <w:rsid w:val="00BB1B33"/>
    <w:rsid w:val="00BB2480"/>
    <w:rsid w:val="00BB27FD"/>
    <w:rsid w:val="00BB2C4E"/>
    <w:rsid w:val="00BB2E29"/>
    <w:rsid w:val="00BB2F74"/>
    <w:rsid w:val="00BB3206"/>
    <w:rsid w:val="00BB3277"/>
    <w:rsid w:val="00BB32C2"/>
    <w:rsid w:val="00BB34D4"/>
    <w:rsid w:val="00BB3B0D"/>
    <w:rsid w:val="00BB524C"/>
    <w:rsid w:val="00BB5DAB"/>
    <w:rsid w:val="00BB6195"/>
    <w:rsid w:val="00BB61A3"/>
    <w:rsid w:val="00BB67EA"/>
    <w:rsid w:val="00BB707E"/>
    <w:rsid w:val="00BB7568"/>
    <w:rsid w:val="00BC007C"/>
    <w:rsid w:val="00BC0986"/>
    <w:rsid w:val="00BC0AB2"/>
    <w:rsid w:val="00BC1308"/>
    <w:rsid w:val="00BC1BF4"/>
    <w:rsid w:val="00BC2600"/>
    <w:rsid w:val="00BC2F24"/>
    <w:rsid w:val="00BC33BE"/>
    <w:rsid w:val="00BC3A47"/>
    <w:rsid w:val="00BC3EEB"/>
    <w:rsid w:val="00BC4780"/>
    <w:rsid w:val="00BC52C8"/>
    <w:rsid w:val="00BC5485"/>
    <w:rsid w:val="00BC549C"/>
    <w:rsid w:val="00BC570E"/>
    <w:rsid w:val="00BC5A6C"/>
    <w:rsid w:val="00BC5AF6"/>
    <w:rsid w:val="00BC5B4B"/>
    <w:rsid w:val="00BC5E93"/>
    <w:rsid w:val="00BC5EDB"/>
    <w:rsid w:val="00BC69A2"/>
    <w:rsid w:val="00BC6ED6"/>
    <w:rsid w:val="00BC6F03"/>
    <w:rsid w:val="00BC6FA1"/>
    <w:rsid w:val="00BC7487"/>
    <w:rsid w:val="00BD0570"/>
    <w:rsid w:val="00BD0853"/>
    <w:rsid w:val="00BD112D"/>
    <w:rsid w:val="00BD214E"/>
    <w:rsid w:val="00BD2395"/>
    <w:rsid w:val="00BD25B8"/>
    <w:rsid w:val="00BD2842"/>
    <w:rsid w:val="00BD3120"/>
    <w:rsid w:val="00BD3354"/>
    <w:rsid w:val="00BD384E"/>
    <w:rsid w:val="00BD3E76"/>
    <w:rsid w:val="00BD3EE2"/>
    <w:rsid w:val="00BD3FCF"/>
    <w:rsid w:val="00BD42D2"/>
    <w:rsid w:val="00BD47D7"/>
    <w:rsid w:val="00BD4EFB"/>
    <w:rsid w:val="00BD5076"/>
    <w:rsid w:val="00BD5551"/>
    <w:rsid w:val="00BD6D43"/>
    <w:rsid w:val="00BD7090"/>
    <w:rsid w:val="00BD7490"/>
    <w:rsid w:val="00BD767F"/>
    <w:rsid w:val="00BD7CB6"/>
    <w:rsid w:val="00BD7DA0"/>
    <w:rsid w:val="00BE096B"/>
    <w:rsid w:val="00BE09C3"/>
    <w:rsid w:val="00BE0C27"/>
    <w:rsid w:val="00BE0F9B"/>
    <w:rsid w:val="00BE15BB"/>
    <w:rsid w:val="00BE198F"/>
    <w:rsid w:val="00BE4875"/>
    <w:rsid w:val="00BE4CCF"/>
    <w:rsid w:val="00BE5964"/>
    <w:rsid w:val="00BE660B"/>
    <w:rsid w:val="00BE6AFE"/>
    <w:rsid w:val="00BE6BBE"/>
    <w:rsid w:val="00BE7021"/>
    <w:rsid w:val="00BE7300"/>
    <w:rsid w:val="00BE76F7"/>
    <w:rsid w:val="00BE784F"/>
    <w:rsid w:val="00BE79C6"/>
    <w:rsid w:val="00BF0238"/>
    <w:rsid w:val="00BF0717"/>
    <w:rsid w:val="00BF1750"/>
    <w:rsid w:val="00BF178E"/>
    <w:rsid w:val="00BF189F"/>
    <w:rsid w:val="00BF1B44"/>
    <w:rsid w:val="00BF1D88"/>
    <w:rsid w:val="00BF1F01"/>
    <w:rsid w:val="00BF1FC2"/>
    <w:rsid w:val="00BF23CC"/>
    <w:rsid w:val="00BF243F"/>
    <w:rsid w:val="00BF2708"/>
    <w:rsid w:val="00BF4C2B"/>
    <w:rsid w:val="00BF507A"/>
    <w:rsid w:val="00BF53F1"/>
    <w:rsid w:val="00BF5717"/>
    <w:rsid w:val="00BF5B9D"/>
    <w:rsid w:val="00BF5C45"/>
    <w:rsid w:val="00BF5FA3"/>
    <w:rsid w:val="00BF62F2"/>
    <w:rsid w:val="00BF63A5"/>
    <w:rsid w:val="00BF72A7"/>
    <w:rsid w:val="00BF7558"/>
    <w:rsid w:val="00BF7DD2"/>
    <w:rsid w:val="00C0111E"/>
    <w:rsid w:val="00C02676"/>
    <w:rsid w:val="00C029AB"/>
    <w:rsid w:val="00C02D74"/>
    <w:rsid w:val="00C03BD5"/>
    <w:rsid w:val="00C03C8B"/>
    <w:rsid w:val="00C03F3C"/>
    <w:rsid w:val="00C0425C"/>
    <w:rsid w:val="00C049BE"/>
    <w:rsid w:val="00C04A71"/>
    <w:rsid w:val="00C04DF0"/>
    <w:rsid w:val="00C05A4C"/>
    <w:rsid w:val="00C05A67"/>
    <w:rsid w:val="00C0632D"/>
    <w:rsid w:val="00C0641F"/>
    <w:rsid w:val="00C06C9A"/>
    <w:rsid w:val="00C06E6F"/>
    <w:rsid w:val="00C075DB"/>
    <w:rsid w:val="00C07EBA"/>
    <w:rsid w:val="00C07FBC"/>
    <w:rsid w:val="00C100E2"/>
    <w:rsid w:val="00C100E7"/>
    <w:rsid w:val="00C10813"/>
    <w:rsid w:val="00C11113"/>
    <w:rsid w:val="00C11687"/>
    <w:rsid w:val="00C11A7B"/>
    <w:rsid w:val="00C11E28"/>
    <w:rsid w:val="00C11F66"/>
    <w:rsid w:val="00C1225B"/>
    <w:rsid w:val="00C122F9"/>
    <w:rsid w:val="00C1253A"/>
    <w:rsid w:val="00C12730"/>
    <w:rsid w:val="00C128C9"/>
    <w:rsid w:val="00C12CF3"/>
    <w:rsid w:val="00C12F88"/>
    <w:rsid w:val="00C131A8"/>
    <w:rsid w:val="00C1322D"/>
    <w:rsid w:val="00C135A3"/>
    <w:rsid w:val="00C1455F"/>
    <w:rsid w:val="00C1477A"/>
    <w:rsid w:val="00C14A62"/>
    <w:rsid w:val="00C158EB"/>
    <w:rsid w:val="00C159B1"/>
    <w:rsid w:val="00C15D51"/>
    <w:rsid w:val="00C161F5"/>
    <w:rsid w:val="00C16C92"/>
    <w:rsid w:val="00C16ED6"/>
    <w:rsid w:val="00C1706B"/>
    <w:rsid w:val="00C17DB7"/>
    <w:rsid w:val="00C17E48"/>
    <w:rsid w:val="00C17F0B"/>
    <w:rsid w:val="00C201E7"/>
    <w:rsid w:val="00C20506"/>
    <w:rsid w:val="00C20AA2"/>
    <w:rsid w:val="00C20B91"/>
    <w:rsid w:val="00C21155"/>
    <w:rsid w:val="00C2146C"/>
    <w:rsid w:val="00C214D7"/>
    <w:rsid w:val="00C21561"/>
    <w:rsid w:val="00C217EE"/>
    <w:rsid w:val="00C22784"/>
    <w:rsid w:val="00C22FAA"/>
    <w:rsid w:val="00C2320F"/>
    <w:rsid w:val="00C23A4C"/>
    <w:rsid w:val="00C2419D"/>
    <w:rsid w:val="00C243A4"/>
    <w:rsid w:val="00C24416"/>
    <w:rsid w:val="00C245FB"/>
    <w:rsid w:val="00C248DB"/>
    <w:rsid w:val="00C26170"/>
    <w:rsid w:val="00C26734"/>
    <w:rsid w:val="00C26B5A"/>
    <w:rsid w:val="00C26BB1"/>
    <w:rsid w:val="00C26D52"/>
    <w:rsid w:val="00C303E4"/>
    <w:rsid w:val="00C30775"/>
    <w:rsid w:val="00C30B8D"/>
    <w:rsid w:val="00C30DBE"/>
    <w:rsid w:val="00C3134E"/>
    <w:rsid w:val="00C315D8"/>
    <w:rsid w:val="00C31C4A"/>
    <w:rsid w:val="00C31D2D"/>
    <w:rsid w:val="00C3209A"/>
    <w:rsid w:val="00C32639"/>
    <w:rsid w:val="00C32808"/>
    <w:rsid w:val="00C32AD2"/>
    <w:rsid w:val="00C33114"/>
    <w:rsid w:val="00C3415E"/>
    <w:rsid w:val="00C34193"/>
    <w:rsid w:val="00C347FD"/>
    <w:rsid w:val="00C34DAE"/>
    <w:rsid w:val="00C34E1E"/>
    <w:rsid w:val="00C34E5A"/>
    <w:rsid w:val="00C35553"/>
    <w:rsid w:val="00C35D9C"/>
    <w:rsid w:val="00C36219"/>
    <w:rsid w:val="00C36656"/>
    <w:rsid w:val="00C3698E"/>
    <w:rsid w:val="00C36CCA"/>
    <w:rsid w:val="00C36E1C"/>
    <w:rsid w:val="00C36F42"/>
    <w:rsid w:val="00C3718A"/>
    <w:rsid w:val="00C379C5"/>
    <w:rsid w:val="00C37EEE"/>
    <w:rsid w:val="00C40453"/>
    <w:rsid w:val="00C404A7"/>
    <w:rsid w:val="00C40E71"/>
    <w:rsid w:val="00C41879"/>
    <w:rsid w:val="00C41A7C"/>
    <w:rsid w:val="00C42CEF"/>
    <w:rsid w:val="00C42D55"/>
    <w:rsid w:val="00C43080"/>
    <w:rsid w:val="00C4370E"/>
    <w:rsid w:val="00C43823"/>
    <w:rsid w:val="00C4384B"/>
    <w:rsid w:val="00C4393C"/>
    <w:rsid w:val="00C43F2D"/>
    <w:rsid w:val="00C44068"/>
    <w:rsid w:val="00C442AE"/>
    <w:rsid w:val="00C44C2B"/>
    <w:rsid w:val="00C4518B"/>
    <w:rsid w:val="00C45780"/>
    <w:rsid w:val="00C458D6"/>
    <w:rsid w:val="00C45919"/>
    <w:rsid w:val="00C4655A"/>
    <w:rsid w:val="00C466BF"/>
    <w:rsid w:val="00C47385"/>
    <w:rsid w:val="00C474C0"/>
    <w:rsid w:val="00C47555"/>
    <w:rsid w:val="00C476AC"/>
    <w:rsid w:val="00C47E67"/>
    <w:rsid w:val="00C47FD9"/>
    <w:rsid w:val="00C50C1A"/>
    <w:rsid w:val="00C50E1E"/>
    <w:rsid w:val="00C51132"/>
    <w:rsid w:val="00C51508"/>
    <w:rsid w:val="00C51D73"/>
    <w:rsid w:val="00C52A05"/>
    <w:rsid w:val="00C52E97"/>
    <w:rsid w:val="00C52EAF"/>
    <w:rsid w:val="00C52FBA"/>
    <w:rsid w:val="00C53189"/>
    <w:rsid w:val="00C534E5"/>
    <w:rsid w:val="00C534F4"/>
    <w:rsid w:val="00C5375B"/>
    <w:rsid w:val="00C53AD3"/>
    <w:rsid w:val="00C53B15"/>
    <w:rsid w:val="00C53DA9"/>
    <w:rsid w:val="00C53EF7"/>
    <w:rsid w:val="00C54280"/>
    <w:rsid w:val="00C54929"/>
    <w:rsid w:val="00C550B6"/>
    <w:rsid w:val="00C556B1"/>
    <w:rsid w:val="00C55A05"/>
    <w:rsid w:val="00C55F8D"/>
    <w:rsid w:val="00C56101"/>
    <w:rsid w:val="00C565F2"/>
    <w:rsid w:val="00C567E3"/>
    <w:rsid w:val="00C56C45"/>
    <w:rsid w:val="00C573CC"/>
    <w:rsid w:val="00C5741B"/>
    <w:rsid w:val="00C57B81"/>
    <w:rsid w:val="00C57B9A"/>
    <w:rsid w:val="00C57FB9"/>
    <w:rsid w:val="00C6077B"/>
    <w:rsid w:val="00C60950"/>
    <w:rsid w:val="00C60DD1"/>
    <w:rsid w:val="00C61565"/>
    <w:rsid w:val="00C61574"/>
    <w:rsid w:val="00C615B4"/>
    <w:rsid w:val="00C6184A"/>
    <w:rsid w:val="00C61945"/>
    <w:rsid w:val="00C61AC6"/>
    <w:rsid w:val="00C61ACF"/>
    <w:rsid w:val="00C6211D"/>
    <w:rsid w:val="00C62B32"/>
    <w:rsid w:val="00C63DED"/>
    <w:rsid w:val="00C63E88"/>
    <w:rsid w:val="00C6436D"/>
    <w:rsid w:val="00C64F97"/>
    <w:rsid w:val="00C65585"/>
    <w:rsid w:val="00C656EB"/>
    <w:rsid w:val="00C65DF4"/>
    <w:rsid w:val="00C667F0"/>
    <w:rsid w:val="00C66AC8"/>
    <w:rsid w:val="00C67B49"/>
    <w:rsid w:val="00C711F5"/>
    <w:rsid w:val="00C713A1"/>
    <w:rsid w:val="00C71828"/>
    <w:rsid w:val="00C72105"/>
    <w:rsid w:val="00C74520"/>
    <w:rsid w:val="00C74954"/>
    <w:rsid w:val="00C76028"/>
    <w:rsid w:val="00C76184"/>
    <w:rsid w:val="00C76462"/>
    <w:rsid w:val="00C7673D"/>
    <w:rsid w:val="00C76A80"/>
    <w:rsid w:val="00C76C27"/>
    <w:rsid w:val="00C76E09"/>
    <w:rsid w:val="00C76F07"/>
    <w:rsid w:val="00C77EF6"/>
    <w:rsid w:val="00C80B4B"/>
    <w:rsid w:val="00C80D63"/>
    <w:rsid w:val="00C80E85"/>
    <w:rsid w:val="00C8129D"/>
    <w:rsid w:val="00C812D5"/>
    <w:rsid w:val="00C81BEA"/>
    <w:rsid w:val="00C81DF5"/>
    <w:rsid w:val="00C82188"/>
    <w:rsid w:val="00C8242B"/>
    <w:rsid w:val="00C82A50"/>
    <w:rsid w:val="00C83240"/>
    <w:rsid w:val="00C83381"/>
    <w:rsid w:val="00C83607"/>
    <w:rsid w:val="00C83768"/>
    <w:rsid w:val="00C83B18"/>
    <w:rsid w:val="00C840C3"/>
    <w:rsid w:val="00C841B4"/>
    <w:rsid w:val="00C84266"/>
    <w:rsid w:val="00C8466F"/>
    <w:rsid w:val="00C8489E"/>
    <w:rsid w:val="00C849E0"/>
    <w:rsid w:val="00C84B74"/>
    <w:rsid w:val="00C8512A"/>
    <w:rsid w:val="00C85378"/>
    <w:rsid w:val="00C85970"/>
    <w:rsid w:val="00C85E9B"/>
    <w:rsid w:val="00C85F3D"/>
    <w:rsid w:val="00C874C8"/>
    <w:rsid w:val="00C90165"/>
    <w:rsid w:val="00C902DA"/>
    <w:rsid w:val="00C90733"/>
    <w:rsid w:val="00C921C4"/>
    <w:rsid w:val="00C9235F"/>
    <w:rsid w:val="00C9257F"/>
    <w:rsid w:val="00C9319C"/>
    <w:rsid w:val="00C9330C"/>
    <w:rsid w:val="00C934F6"/>
    <w:rsid w:val="00C93874"/>
    <w:rsid w:val="00C93A4C"/>
    <w:rsid w:val="00C944EB"/>
    <w:rsid w:val="00C94FD2"/>
    <w:rsid w:val="00C95341"/>
    <w:rsid w:val="00C95B76"/>
    <w:rsid w:val="00C962CB"/>
    <w:rsid w:val="00C964C3"/>
    <w:rsid w:val="00C964D6"/>
    <w:rsid w:val="00C96635"/>
    <w:rsid w:val="00C966B7"/>
    <w:rsid w:val="00C969DB"/>
    <w:rsid w:val="00C96A6E"/>
    <w:rsid w:val="00C97A4A"/>
    <w:rsid w:val="00C97DC9"/>
    <w:rsid w:val="00C97EE3"/>
    <w:rsid w:val="00CA042A"/>
    <w:rsid w:val="00CA12BA"/>
    <w:rsid w:val="00CA165C"/>
    <w:rsid w:val="00CA1C0D"/>
    <w:rsid w:val="00CA1DAE"/>
    <w:rsid w:val="00CA1E62"/>
    <w:rsid w:val="00CA2267"/>
    <w:rsid w:val="00CA38AD"/>
    <w:rsid w:val="00CA3EEE"/>
    <w:rsid w:val="00CA5098"/>
    <w:rsid w:val="00CA5503"/>
    <w:rsid w:val="00CA612D"/>
    <w:rsid w:val="00CA66C3"/>
    <w:rsid w:val="00CA6CAD"/>
    <w:rsid w:val="00CA70A8"/>
    <w:rsid w:val="00CA70D0"/>
    <w:rsid w:val="00CA74A4"/>
    <w:rsid w:val="00CA7683"/>
    <w:rsid w:val="00CA77AE"/>
    <w:rsid w:val="00CA7EA1"/>
    <w:rsid w:val="00CA7EEB"/>
    <w:rsid w:val="00CB009B"/>
    <w:rsid w:val="00CB0231"/>
    <w:rsid w:val="00CB0838"/>
    <w:rsid w:val="00CB092E"/>
    <w:rsid w:val="00CB1AFD"/>
    <w:rsid w:val="00CB1EB3"/>
    <w:rsid w:val="00CB2126"/>
    <w:rsid w:val="00CB2308"/>
    <w:rsid w:val="00CB24AD"/>
    <w:rsid w:val="00CB2C59"/>
    <w:rsid w:val="00CB2D9C"/>
    <w:rsid w:val="00CB34AB"/>
    <w:rsid w:val="00CB3529"/>
    <w:rsid w:val="00CB38A9"/>
    <w:rsid w:val="00CB4728"/>
    <w:rsid w:val="00CB4966"/>
    <w:rsid w:val="00CB59E7"/>
    <w:rsid w:val="00CB5D27"/>
    <w:rsid w:val="00CB5E4A"/>
    <w:rsid w:val="00CB6FCA"/>
    <w:rsid w:val="00CB724D"/>
    <w:rsid w:val="00CB73EA"/>
    <w:rsid w:val="00CB76E3"/>
    <w:rsid w:val="00CB7D4E"/>
    <w:rsid w:val="00CB7F1F"/>
    <w:rsid w:val="00CC002B"/>
    <w:rsid w:val="00CC07E5"/>
    <w:rsid w:val="00CC09F0"/>
    <w:rsid w:val="00CC0C11"/>
    <w:rsid w:val="00CC1F52"/>
    <w:rsid w:val="00CC233F"/>
    <w:rsid w:val="00CC27FD"/>
    <w:rsid w:val="00CC29A4"/>
    <w:rsid w:val="00CC31E8"/>
    <w:rsid w:val="00CC3AB9"/>
    <w:rsid w:val="00CC3C9E"/>
    <w:rsid w:val="00CC41B7"/>
    <w:rsid w:val="00CC45E0"/>
    <w:rsid w:val="00CC4BBE"/>
    <w:rsid w:val="00CC4BC3"/>
    <w:rsid w:val="00CC50C7"/>
    <w:rsid w:val="00CC5198"/>
    <w:rsid w:val="00CC55AC"/>
    <w:rsid w:val="00CC5859"/>
    <w:rsid w:val="00CC5F68"/>
    <w:rsid w:val="00CC66CB"/>
    <w:rsid w:val="00CC6A0E"/>
    <w:rsid w:val="00CC6D1C"/>
    <w:rsid w:val="00CC71DD"/>
    <w:rsid w:val="00CC71F3"/>
    <w:rsid w:val="00CC72C0"/>
    <w:rsid w:val="00CC757D"/>
    <w:rsid w:val="00CC7C74"/>
    <w:rsid w:val="00CD00DB"/>
    <w:rsid w:val="00CD0119"/>
    <w:rsid w:val="00CD07FD"/>
    <w:rsid w:val="00CD0866"/>
    <w:rsid w:val="00CD1169"/>
    <w:rsid w:val="00CD15F1"/>
    <w:rsid w:val="00CD16C7"/>
    <w:rsid w:val="00CD1A40"/>
    <w:rsid w:val="00CD1B33"/>
    <w:rsid w:val="00CD25F3"/>
    <w:rsid w:val="00CD27FF"/>
    <w:rsid w:val="00CD2875"/>
    <w:rsid w:val="00CD2DF3"/>
    <w:rsid w:val="00CD305C"/>
    <w:rsid w:val="00CD3A6D"/>
    <w:rsid w:val="00CD3E5A"/>
    <w:rsid w:val="00CD3E63"/>
    <w:rsid w:val="00CD40A3"/>
    <w:rsid w:val="00CD457E"/>
    <w:rsid w:val="00CD4CD3"/>
    <w:rsid w:val="00CD589F"/>
    <w:rsid w:val="00CD60C9"/>
    <w:rsid w:val="00CD6345"/>
    <w:rsid w:val="00CD6835"/>
    <w:rsid w:val="00CD6BBB"/>
    <w:rsid w:val="00CD7482"/>
    <w:rsid w:val="00CE07C1"/>
    <w:rsid w:val="00CE1567"/>
    <w:rsid w:val="00CE1859"/>
    <w:rsid w:val="00CE186F"/>
    <w:rsid w:val="00CE20E3"/>
    <w:rsid w:val="00CE273A"/>
    <w:rsid w:val="00CE321C"/>
    <w:rsid w:val="00CE32E8"/>
    <w:rsid w:val="00CE353C"/>
    <w:rsid w:val="00CE3700"/>
    <w:rsid w:val="00CE3B69"/>
    <w:rsid w:val="00CE3C77"/>
    <w:rsid w:val="00CE4559"/>
    <w:rsid w:val="00CE5118"/>
    <w:rsid w:val="00CE5487"/>
    <w:rsid w:val="00CE59B5"/>
    <w:rsid w:val="00CE59DB"/>
    <w:rsid w:val="00CE5D3A"/>
    <w:rsid w:val="00CE67D8"/>
    <w:rsid w:val="00CE68EA"/>
    <w:rsid w:val="00CE7381"/>
    <w:rsid w:val="00CE7447"/>
    <w:rsid w:val="00CE74CE"/>
    <w:rsid w:val="00CE7510"/>
    <w:rsid w:val="00CE7A59"/>
    <w:rsid w:val="00CF0829"/>
    <w:rsid w:val="00CF0E74"/>
    <w:rsid w:val="00CF1036"/>
    <w:rsid w:val="00CF1833"/>
    <w:rsid w:val="00CF1AEA"/>
    <w:rsid w:val="00CF2091"/>
    <w:rsid w:val="00CF21F6"/>
    <w:rsid w:val="00CF2278"/>
    <w:rsid w:val="00CF2C62"/>
    <w:rsid w:val="00CF2F66"/>
    <w:rsid w:val="00CF337B"/>
    <w:rsid w:val="00CF3FE7"/>
    <w:rsid w:val="00CF4416"/>
    <w:rsid w:val="00CF5762"/>
    <w:rsid w:val="00CF65B4"/>
    <w:rsid w:val="00CF6806"/>
    <w:rsid w:val="00CF69B0"/>
    <w:rsid w:val="00CF6C05"/>
    <w:rsid w:val="00CF7485"/>
    <w:rsid w:val="00CF7E56"/>
    <w:rsid w:val="00D01744"/>
    <w:rsid w:val="00D01C03"/>
    <w:rsid w:val="00D025CE"/>
    <w:rsid w:val="00D025F2"/>
    <w:rsid w:val="00D026A3"/>
    <w:rsid w:val="00D02A0F"/>
    <w:rsid w:val="00D02CA6"/>
    <w:rsid w:val="00D02DF3"/>
    <w:rsid w:val="00D03181"/>
    <w:rsid w:val="00D037DC"/>
    <w:rsid w:val="00D0383B"/>
    <w:rsid w:val="00D03A8A"/>
    <w:rsid w:val="00D03DA5"/>
    <w:rsid w:val="00D03F27"/>
    <w:rsid w:val="00D043EE"/>
    <w:rsid w:val="00D0470D"/>
    <w:rsid w:val="00D05249"/>
    <w:rsid w:val="00D055CA"/>
    <w:rsid w:val="00D059FC"/>
    <w:rsid w:val="00D05DEF"/>
    <w:rsid w:val="00D06861"/>
    <w:rsid w:val="00D0688A"/>
    <w:rsid w:val="00D06F22"/>
    <w:rsid w:val="00D07A9C"/>
    <w:rsid w:val="00D07B44"/>
    <w:rsid w:val="00D10076"/>
    <w:rsid w:val="00D101FA"/>
    <w:rsid w:val="00D1033B"/>
    <w:rsid w:val="00D10477"/>
    <w:rsid w:val="00D107E2"/>
    <w:rsid w:val="00D112AA"/>
    <w:rsid w:val="00D11D76"/>
    <w:rsid w:val="00D121F5"/>
    <w:rsid w:val="00D126E4"/>
    <w:rsid w:val="00D131BF"/>
    <w:rsid w:val="00D13A90"/>
    <w:rsid w:val="00D140E6"/>
    <w:rsid w:val="00D14C7E"/>
    <w:rsid w:val="00D158EF"/>
    <w:rsid w:val="00D15C14"/>
    <w:rsid w:val="00D15E74"/>
    <w:rsid w:val="00D15FAA"/>
    <w:rsid w:val="00D16ECB"/>
    <w:rsid w:val="00D16EEE"/>
    <w:rsid w:val="00D17167"/>
    <w:rsid w:val="00D17BA5"/>
    <w:rsid w:val="00D2058D"/>
    <w:rsid w:val="00D2176E"/>
    <w:rsid w:val="00D2182A"/>
    <w:rsid w:val="00D218BC"/>
    <w:rsid w:val="00D2193D"/>
    <w:rsid w:val="00D22105"/>
    <w:rsid w:val="00D2211C"/>
    <w:rsid w:val="00D22B55"/>
    <w:rsid w:val="00D22C81"/>
    <w:rsid w:val="00D23055"/>
    <w:rsid w:val="00D230AD"/>
    <w:rsid w:val="00D2320E"/>
    <w:rsid w:val="00D2327A"/>
    <w:rsid w:val="00D251AB"/>
    <w:rsid w:val="00D25240"/>
    <w:rsid w:val="00D253D6"/>
    <w:rsid w:val="00D25AC6"/>
    <w:rsid w:val="00D25BF1"/>
    <w:rsid w:val="00D261D3"/>
    <w:rsid w:val="00D267CA"/>
    <w:rsid w:val="00D27086"/>
    <w:rsid w:val="00D319DF"/>
    <w:rsid w:val="00D31C02"/>
    <w:rsid w:val="00D3225E"/>
    <w:rsid w:val="00D324BC"/>
    <w:rsid w:val="00D32B9F"/>
    <w:rsid w:val="00D32DF7"/>
    <w:rsid w:val="00D331A5"/>
    <w:rsid w:val="00D33565"/>
    <w:rsid w:val="00D33761"/>
    <w:rsid w:val="00D33762"/>
    <w:rsid w:val="00D34BD1"/>
    <w:rsid w:val="00D35177"/>
    <w:rsid w:val="00D356E1"/>
    <w:rsid w:val="00D40609"/>
    <w:rsid w:val="00D40983"/>
    <w:rsid w:val="00D40B3B"/>
    <w:rsid w:val="00D41188"/>
    <w:rsid w:val="00D417D3"/>
    <w:rsid w:val="00D418D5"/>
    <w:rsid w:val="00D41DB1"/>
    <w:rsid w:val="00D4276D"/>
    <w:rsid w:val="00D42798"/>
    <w:rsid w:val="00D42970"/>
    <w:rsid w:val="00D43468"/>
    <w:rsid w:val="00D43AED"/>
    <w:rsid w:val="00D44916"/>
    <w:rsid w:val="00D45AE4"/>
    <w:rsid w:val="00D45CA4"/>
    <w:rsid w:val="00D45EA7"/>
    <w:rsid w:val="00D45F22"/>
    <w:rsid w:val="00D47178"/>
    <w:rsid w:val="00D4752E"/>
    <w:rsid w:val="00D47842"/>
    <w:rsid w:val="00D47BEF"/>
    <w:rsid w:val="00D47C5D"/>
    <w:rsid w:val="00D50826"/>
    <w:rsid w:val="00D51104"/>
    <w:rsid w:val="00D514EC"/>
    <w:rsid w:val="00D51675"/>
    <w:rsid w:val="00D51F73"/>
    <w:rsid w:val="00D52827"/>
    <w:rsid w:val="00D529BE"/>
    <w:rsid w:val="00D52CF6"/>
    <w:rsid w:val="00D53D3E"/>
    <w:rsid w:val="00D547E0"/>
    <w:rsid w:val="00D54992"/>
    <w:rsid w:val="00D55291"/>
    <w:rsid w:val="00D55C48"/>
    <w:rsid w:val="00D55E47"/>
    <w:rsid w:val="00D56392"/>
    <w:rsid w:val="00D56997"/>
    <w:rsid w:val="00D56BF7"/>
    <w:rsid w:val="00D570E6"/>
    <w:rsid w:val="00D5730F"/>
    <w:rsid w:val="00D5774F"/>
    <w:rsid w:val="00D60809"/>
    <w:rsid w:val="00D60D7F"/>
    <w:rsid w:val="00D61C9C"/>
    <w:rsid w:val="00D61E7B"/>
    <w:rsid w:val="00D62111"/>
    <w:rsid w:val="00D62229"/>
    <w:rsid w:val="00D625B8"/>
    <w:rsid w:val="00D626F8"/>
    <w:rsid w:val="00D636DC"/>
    <w:rsid w:val="00D63F4C"/>
    <w:rsid w:val="00D64613"/>
    <w:rsid w:val="00D64702"/>
    <w:rsid w:val="00D649DC"/>
    <w:rsid w:val="00D66BFD"/>
    <w:rsid w:val="00D66C40"/>
    <w:rsid w:val="00D66C91"/>
    <w:rsid w:val="00D674EE"/>
    <w:rsid w:val="00D67535"/>
    <w:rsid w:val="00D67BC9"/>
    <w:rsid w:val="00D67DBC"/>
    <w:rsid w:val="00D704D9"/>
    <w:rsid w:val="00D70612"/>
    <w:rsid w:val="00D70934"/>
    <w:rsid w:val="00D70BD2"/>
    <w:rsid w:val="00D713F2"/>
    <w:rsid w:val="00D721B1"/>
    <w:rsid w:val="00D72705"/>
    <w:rsid w:val="00D738BF"/>
    <w:rsid w:val="00D73B93"/>
    <w:rsid w:val="00D73C95"/>
    <w:rsid w:val="00D7400F"/>
    <w:rsid w:val="00D74314"/>
    <w:rsid w:val="00D745C1"/>
    <w:rsid w:val="00D74784"/>
    <w:rsid w:val="00D756F6"/>
    <w:rsid w:val="00D75731"/>
    <w:rsid w:val="00D75B45"/>
    <w:rsid w:val="00D75B5C"/>
    <w:rsid w:val="00D75F8C"/>
    <w:rsid w:val="00D76050"/>
    <w:rsid w:val="00D76309"/>
    <w:rsid w:val="00D76423"/>
    <w:rsid w:val="00D767BF"/>
    <w:rsid w:val="00D77278"/>
    <w:rsid w:val="00D775B5"/>
    <w:rsid w:val="00D77961"/>
    <w:rsid w:val="00D77A47"/>
    <w:rsid w:val="00D77B20"/>
    <w:rsid w:val="00D77B3B"/>
    <w:rsid w:val="00D77BFF"/>
    <w:rsid w:val="00D8007C"/>
    <w:rsid w:val="00D8079F"/>
    <w:rsid w:val="00D8103B"/>
    <w:rsid w:val="00D8111B"/>
    <w:rsid w:val="00D81242"/>
    <w:rsid w:val="00D812D2"/>
    <w:rsid w:val="00D82259"/>
    <w:rsid w:val="00D82C80"/>
    <w:rsid w:val="00D82D02"/>
    <w:rsid w:val="00D82D0F"/>
    <w:rsid w:val="00D83A5A"/>
    <w:rsid w:val="00D84157"/>
    <w:rsid w:val="00D84AB8"/>
    <w:rsid w:val="00D84BD7"/>
    <w:rsid w:val="00D84DCA"/>
    <w:rsid w:val="00D85114"/>
    <w:rsid w:val="00D857BC"/>
    <w:rsid w:val="00D85CC6"/>
    <w:rsid w:val="00D86A92"/>
    <w:rsid w:val="00D871B6"/>
    <w:rsid w:val="00D875E1"/>
    <w:rsid w:val="00D90275"/>
    <w:rsid w:val="00D902F5"/>
    <w:rsid w:val="00D9075D"/>
    <w:rsid w:val="00D90959"/>
    <w:rsid w:val="00D91410"/>
    <w:rsid w:val="00D91438"/>
    <w:rsid w:val="00D91594"/>
    <w:rsid w:val="00D91ABE"/>
    <w:rsid w:val="00D91DFB"/>
    <w:rsid w:val="00D921DA"/>
    <w:rsid w:val="00D92A4A"/>
    <w:rsid w:val="00D92C2F"/>
    <w:rsid w:val="00D92F7F"/>
    <w:rsid w:val="00D930AC"/>
    <w:rsid w:val="00D9459D"/>
    <w:rsid w:val="00D94730"/>
    <w:rsid w:val="00D94858"/>
    <w:rsid w:val="00D9487D"/>
    <w:rsid w:val="00D94972"/>
    <w:rsid w:val="00D954A1"/>
    <w:rsid w:val="00D95519"/>
    <w:rsid w:val="00D95744"/>
    <w:rsid w:val="00D958FC"/>
    <w:rsid w:val="00D959AE"/>
    <w:rsid w:val="00D95DC2"/>
    <w:rsid w:val="00D96678"/>
    <w:rsid w:val="00D9673A"/>
    <w:rsid w:val="00D96C73"/>
    <w:rsid w:val="00D96D46"/>
    <w:rsid w:val="00D97C27"/>
    <w:rsid w:val="00DA032C"/>
    <w:rsid w:val="00DA04D8"/>
    <w:rsid w:val="00DA0526"/>
    <w:rsid w:val="00DA0639"/>
    <w:rsid w:val="00DA0B8C"/>
    <w:rsid w:val="00DA0CF7"/>
    <w:rsid w:val="00DA0E96"/>
    <w:rsid w:val="00DA1203"/>
    <w:rsid w:val="00DA14A0"/>
    <w:rsid w:val="00DA15AC"/>
    <w:rsid w:val="00DA18DA"/>
    <w:rsid w:val="00DA1F0C"/>
    <w:rsid w:val="00DA2B06"/>
    <w:rsid w:val="00DA2B20"/>
    <w:rsid w:val="00DA3565"/>
    <w:rsid w:val="00DA3A5B"/>
    <w:rsid w:val="00DA3D0B"/>
    <w:rsid w:val="00DA3F51"/>
    <w:rsid w:val="00DA45A0"/>
    <w:rsid w:val="00DA45DB"/>
    <w:rsid w:val="00DA48D9"/>
    <w:rsid w:val="00DA49F8"/>
    <w:rsid w:val="00DA4AAE"/>
    <w:rsid w:val="00DA5572"/>
    <w:rsid w:val="00DA5D5D"/>
    <w:rsid w:val="00DA6A15"/>
    <w:rsid w:val="00DA6B3A"/>
    <w:rsid w:val="00DA6CC2"/>
    <w:rsid w:val="00DA7029"/>
    <w:rsid w:val="00DA77A0"/>
    <w:rsid w:val="00DB09A2"/>
    <w:rsid w:val="00DB103D"/>
    <w:rsid w:val="00DB1448"/>
    <w:rsid w:val="00DB1907"/>
    <w:rsid w:val="00DB1998"/>
    <w:rsid w:val="00DB1FC4"/>
    <w:rsid w:val="00DB21F0"/>
    <w:rsid w:val="00DB2C5F"/>
    <w:rsid w:val="00DB3A58"/>
    <w:rsid w:val="00DB3B94"/>
    <w:rsid w:val="00DB3BDF"/>
    <w:rsid w:val="00DB3C58"/>
    <w:rsid w:val="00DB3D46"/>
    <w:rsid w:val="00DB401C"/>
    <w:rsid w:val="00DB46C8"/>
    <w:rsid w:val="00DB4B1B"/>
    <w:rsid w:val="00DB52F0"/>
    <w:rsid w:val="00DB540E"/>
    <w:rsid w:val="00DB5A63"/>
    <w:rsid w:val="00DB6166"/>
    <w:rsid w:val="00DB6520"/>
    <w:rsid w:val="00DB656B"/>
    <w:rsid w:val="00DB691E"/>
    <w:rsid w:val="00DB6C99"/>
    <w:rsid w:val="00DB75A3"/>
    <w:rsid w:val="00DC02F5"/>
    <w:rsid w:val="00DC0574"/>
    <w:rsid w:val="00DC0C65"/>
    <w:rsid w:val="00DC10E5"/>
    <w:rsid w:val="00DC16BF"/>
    <w:rsid w:val="00DC16E1"/>
    <w:rsid w:val="00DC16FC"/>
    <w:rsid w:val="00DC1881"/>
    <w:rsid w:val="00DC1ED7"/>
    <w:rsid w:val="00DC294E"/>
    <w:rsid w:val="00DC3A6F"/>
    <w:rsid w:val="00DC3D1C"/>
    <w:rsid w:val="00DC43E1"/>
    <w:rsid w:val="00DC5199"/>
    <w:rsid w:val="00DC5A32"/>
    <w:rsid w:val="00DC5E4E"/>
    <w:rsid w:val="00DC651B"/>
    <w:rsid w:val="00DC662F"/>
    <w:rsid w:val="00DC6961"/>
    <w:rsid w:val="00DC6E78"/>
    <w:rsid w:val="00DC707F"/>
    <w:rsid w:val="00DC729A"/>
    <w:rsid w:val="00DC73B1"/>
    <w:rsid w:val="00DC7519"/>
    <w:rsid w:val="00DC7630"/>
    <w:rsid w:val="00DC7EB5"/>
    <w:rsid w:val="00DD04AC"/>
    <w:rsid w:val="00DD04DD"/>
    <w:rsid w:val="00DD0891"/>
    <w:rsid w:val="00DD0B35"/>
    <w:rsid w:val="00DD0C4D"/>
    <w:rsid w:val="00DD0F9F"/>
    <w:rsid w:val="00DD11A7"/>
    <w:rsid w:val="00DD1298"/>
    <w:rsid w:val="00DD18BF"/>
    <w:rsid w:val="00DD2300"/>
    <w:rsid w:val="00DD2309"/>
    <w:rsid w:val="00DD28B3"/>
    <w:rsid w:val="00DD2DE3"/>
    <w:rsid w:val="00DD2DE8"/>
    <w:rsid w:val="00DD316F"/>
    <w:rsid w:val="00DD357C"/>
    <w:rsid w:val="00DD37CA"/>
    <w:rsid w:val="00DD3D55"/>
    <w:rsid w:val="00DD3DF7"/>
    <w:rsid w:val="00DD4AE2"/>
    <w:rsid w:val="00DD4BFA"/>
    <w:rsid w:val="00DD51F8"/>
    <w:rsid w:val="00DD6388"/>
    <w:rsid w:val="00DD6C53"/>
    <w:rsid w:val="00DD7198"/>
    <w:rsid w:val="00DD7752"/>
    <w:rsid w:val="00DD7CB6"/>
    <w:rsid w:val="00DE0077"/>
    <w:rsid w:val="00DE0137"/>
    <w:rsid w:val="00DE01BA"/>
    <w:rsid w:val="00DE061F"/>
    <w:rsid w:val="00DE0DCF"/>
    <w:rsid w:val="00DE137B"/>
    <w:rsid w:val="00DE19D9"/>
    <w:rsid w:val="00DE1DC6"/>
    <w:rsid w:val="00DE1F77"/>
    <w:rsid w:val="00DE21C6"/>
    <w:rsid w:val="00DE22AA"/>
    <w:rsid w:val="00DE288F"/>
    <w:rsid w:val="00DE2C45"/>
    <w:rsid w:val="00DE2D49"/>
    <w:rsid w:val="00DE2ED5"/>
    <w:rsid w:val="00DE2F4E"/>
    <w:rsid w:val="00DE3E66"/>
    <w:rsid w:val="00DE3F75"/>
    <w:rsid w:val="00DE41FC"/>
    <w:rsid w:val="00DE45F5"/>
    <w:rsid w:val="00DE4AAD"/>
    <w:rsid w:val="00DE4C0C"/>
    <w:rsid w:val="00DE4FC8"/>
    <w:rsid w:val="00DE53B5"/>
    <w:rsid w:val="00DE5A50"/>
    <w:rsid w:val="00DE60C5"/>
    <w:rsid w:val="00DE7323"/>
    <w:rsid w:val="00DE75F0"/>
    <w:rsid w:val="00DE77CB"/>
    <w:rsid w:val="00DE7EBA"/>
    <w:rsid w:val="00DF04BD"/>
    <w:rsid w:val="00DF050A"/>
    <w:rsid w:val="00DF068D"/>
    <w:rsid w:val="00DF0D3A"/>
    <w:rsid w:val="00DF140A"/>
    <w:rsid w:val="00DF1A9A"/>
    <w:rsid w:val="00DF1C2D"/>
    <w:rsid w:val="00DF1F8A"/>
    <w:rsid w:val="00DF2209"/>
    <w:rsid w:val="00DF248E"/>
    <w:rsid w:val="00DF2715"/>
    <w:rsid w:val="00DF3577"/>
    <w:rsid w:val="00DF4063"/>
    <w:rsid w:val="00DF514C"/>
    <w:rsid w:val="00DF5F13"/>
    <w:rsid w:val="00DF63DD"/>
    <w:rsid w:val="00DF6B62"/>
    <w:rsid w:val="00DF6D27"/>
    <w:rsid w:val="00DF7BD0"/>
    <w:rsid w:val="00DF7BDF"/>
    <w:rsid w:val="00E00303"/>
    <w:rsid w:val="00E00A62"/>
    <w:rsid w:val="00E010A0"/>
    <w:rsid w:val="00E010A2"/>
    <w:rsid w:val="00E0125E"/>
    <w:rsid w:val="00E01668"/>
    <w:rsid w:val="00E0173A"/>
    <w:rsid w:val="00E01849"/>
    <w:rsid w:val="00E020D1"/>
    <w:rsid w:val="00E02B64"/>
    <w:rsid w:val="00E02EAD"/>
    <w:rsid w:val="00E03453"/>
    <w:rsid w:val="00E03D3F"/>
    <w:rsid w:val="00E03DED"/>
    <w:rsid w:val="00E0437C"/>
    <w:rsid w:val="00E0452C"/>
    <w:rsid w:val="00E04988"/>
    <w:rsid w:val="00E04D61"/>
    <w:rsid w:val="00E0504C"/>
    <w:rsid w:val="00E05074"/>
    <w:rsid w:val="00E052DA"/>
    <w:rsid w:val="00E05489"/>
    <w:rsid w:val="00E05741"/>
    <w:rsid w:val="00E05F7F"/>
    <w:rsid w:val="00E06549"/>
    <w:rsid w:val="00E06930"/>
    <w:rsid w:val="00E06971"/>
    <w:rsid w:val="00E07D90"/>
    <w:rsid w:val="00E105B3"/>
    <w:rsid w:val="00E10846"/>
    <w:rsid w:val="00E10883"/>
    <w:rsid w:val="00E108F4"/>
    <w:rsid w:val="00E10D36"/>
    <w:rsid w:val="00E10D4E"/>
    <w:rsid w:val="00E1100C"/>
    <w:rsid w:val="00E11489"/>
    <w:rsid w:val="00E11711"/>
    <w:rsid w:val="00E11E63"/>
    <w:rsid w:val="00E11F94"/>
    <w:rsid w:val="00E12696"/>
    <w:rsid w:val="00E1310D"/>
    <w:rsid w:val="00E13359"/>
    <w:rsid w:val="00E138BF"/>
    <w:rsid w:val="00E14EFA"/>
    <w:rsid w:val="00E151B9"/>
    <w:rsid w:val="00E158C4"/>
    <w:rsid w:val="00E15CC4"/>
    <w:rsid w:val="00E161E6"/>
    <w:rsid w:val="00E167C9"/>
    <w:rsid w:val="00E1698C"/>
    <w:rsid w:val="00E16BDB"/>
    <w:rsid w:val="00E172BE"/>
    <w:rsid w:val="00E17CF7"/>
    <w:rsid w:val="00E205D6"/>
    <w:rsid w:val="00E209AB"/>
    <w:rsid w:val="00E216EC"/>
    <w:rsid w:val="00E2189A"/>
    <w:rsid w:val="00E21A60"/>
    <w:rsid w:val="00E22B5A"/>
    <w:rsid w:val="00E22B68"/>
    <w:rsid w:val="00E231C9"/>
    <w:rsid w:val="00E23EBF"/>
    <w:rsid w:val="00E23FD5"/>
    <w:rsid w:val="00E24669"/>
    <w:rsid w:val="00E24A70"/>
    <w:rsid w:val="00E24C48"/>
    <w:rsid w:val="00E24EE4"/>
    <w:rsid w:val="00E25981"/>
    <w:rsid w:val="00E25A64"/>
    <w:rsid w:val="00E26056"/>
    <w:rsid w:val="00E26141"/>
    <w:rsid w:val="00E266F5"/>
    <w:rsid w:val="00E2673E"/>
    <w:rsid w:val="00E270D3"/>
    <w:rsid w:val="00E27FC7"/>
    <w:rsid w:val="00E3050B"/>
    <w:rsid w:val="00E30700"/>
    <w:rsid w:val="00E31115"/>
    <w:rsid w:val="00E31360"/>
    <w:rsid w:val="00E31D28"/>
    <w:rsid w:val="00E32425"/>
    <w:rsid w:val="00E3252C"/>
    <w:rsid w:val="00E325FF"/>
    <w:rsid w:val="00E32CB8"/>
    <w:rsid w:val="00E32F67"/>
    <w:rsid w:val="00E3440F"/>
    <w:rsid w:val="00E34F3A"/>
    <w:rsid w:val="00E35F99"/>
    <w:rsid w:val="00E35F9A"/>
    <w:rsid w:val="00E3637F"/>
    <w:rsid w:val="00E364B6"/>
    <w:rsid w:val="00E36723"/>
    <w:rsid w:val="00E3713C"/>
    <w:rsid w:val="00E3767B"/>
    <w:rsid w:val="00E37E1C"/>
    <w:rsid w:val="00E40079"/>
    <w:rsid w:val="00E40126"/>
    <w:rsid w:val="00E4013B"/>
    <w:rsid w:val="00E40C85"/>
    <w:rsid w:val="00E40CBF"/>
    <w:rsid w:val="00E40E7D"/>
    <w:rsid w:val="00E40EE4"/>
    <w:rsid w:val="00E413C6"/>
    <w:rsid w:val="00E420D5"/>
    <w:rsid w:val="00E42517"/>
    <w:rsid w:val="00E42650"/>
    <w:rsid w:val="00E42948"/>
    <w:rsid w:val="00E42D55"/>
    <w:rsid w:val="00E42FFE"/>
    <w:rsid w:val="00E4316E"/>
    <w:rsid w:val="00E435AB"/>
    <w:rsid w:val="00E44275"/>
    <w:rsid w:val="00E44705"/>
    <w:rsid w:val="00E44777"/>
    <w:rsid w:val="00E44F67"/>
    <w:rsid w:val="00E4535F"/>
    <w:rsid w:val="00E455E3"/>
    <w:rsid w:val="00E466BC"/>
    <w:rsid w:val="00E4686A"/>
    <w:rsid w:val="00E479FD"/>
    <w:rsid w:val="00E47A76"/>
    <w:rsid w:val="00E504D6"/>
    <w:rsid w:val="00E50B6F"/>
    <w:rsid w:val="00E50EBE"/>
    <w:rsid w:val="00E50F69"/>
    <w:rsid w:val="00E50FC6"/>
    <w:rsid w:val="00E52372"/>
    <w:rsid w:val="00E5272D"/>
    <w:rsid w:val="00E52786"/>
    <w:rsid w:val="00E52F05"/>
    <w:rsid w:val="00E540CA"/>
    <w:rsid w:val="00E54C83"/>
    <w:rsid w:val="00E55460"/>
    <w:rsid w:val="00E5596B"/>
    <w:rsid w:val="00E55B28"/>
    <w:rsid w:val="00E56D4A"/>
    <w:rsid w:val="00E57119"/>
    <w:rsid w:val="00E5719E"/>
    <w:rsid w:val="00E57D7B"/>
    <w:rsid w:val="00E57F4B"/>
    <w:rsid w:val="00E601A5"/>
    <w:rsid w:val="00E602E5"/>
    <w:rsid w:val="00E602F8"/>
    <w:rsid w:val="00E6085B"/>
    <w:rsid w:val="00E60EEB"/>
    <w:rsid w:val="00E60FBA"/>
    <w:rsid w:val="00E60FBF"/>
    <w:rsid w:val="00E611AE"/>
    <w:rsid w:val="00E616F9"/>
    <w:rsid w:val="00E61852"/>
    <w:rsid w:val="00E61A0C"/>
    <w:rsid w:val="00E61D22"/>
    <w:rsid w:val="00E61D96"/>
    <w:rsid w:val="00E61E4B"/>
    <w:rsid w:val="00E61E57"/>
    <w:rsid w:val="00E62F6E"/>
    <w:rsid w:val="00E63DA2"/>
    <w:rsid w:val="00E641E8"/>
    <w:rsid w:val="00E642AF"/>
    <w:rsid w:val="00E644C6"/>
    <w:rsid w:val="00E64555"/>
    <w:rsid w:val="00E64595"/>
    <w:rsid w:val="00E646BB"/>
    <w:rsid w:val="00E64D24"/>
    <w:rsid w:val="00E64FAF"/>
    <w:rsid w:val="00E653A6"/>
    <w:rsid w:val="00E6549C"/>
    <w:rsid w:val="00E654B9"/>
    <w:rsid w:val="00E6589D"/>
    <w:rsid w:val="00E65E8C"/>
    <w:rsid w:val="00E661CF"/>
    <w:rsid w:val="00E663BF"/>
    <w:rsid w:val="00E665E7"/>
    <w:rsid w:val="00E6661C"/>
    <w:rsid w:val="00E66C96"/>
    <w:rsid w:val="00E674D0"/>
    <w:rsid w:val="00E70130"/>
    <w:rsid w:val="00E706DE"/>
    <w:rsid w:val="00E71063"/>
    <w:rsid w:val="00E715FC"/>
    <w:rsid w:val="00E71A45"/>
    <w:rsid w:val="00E71C21"/>
    <w:rsid w:val="00E72F23"/>
    <w:rsid w:val="00E730FC"/>
    <w:rsid w:val="00E73481"/>
    <w:rsid w:val="00E7385A"/>
    <w:rsid w:val="00E7391F"/>
    <w:rsid w:val="00E73CE6"/>
    <w:rsid w:val="00E74780"/>
    <w:rsid w:val="00E74956"/>
    <w:rsid w:val="00E752F7"/>
    <w:rsid w:val="00E75848"/>
    <w:rsid w:val="00E759D4"/>
    <w:rsid w:val="00E76A3C"/>
    <w:rsid w:val="00E76F9B"/>
    <w:rsid w:val="00E771FC"/>
    <w:rsid w:val="00E773E5"/>
    <w:rsid w:val="00E77BDD"/>
    <w:rsid w:val="00E806D3"/>
    <w:rsid w:val="00E8104D"/>
    <w:rsid w:val="00E81C34"/>
    <w:rsid w:val="00E81D83"/>
    <w:rsid w:val="00E821BB"/>
    <w:rsid w:val="00E822E9"/>
    <w:rsid w:val="00E826FE"/>
    <w:rsid w:val="00E8275E"/>
    <w:rsid w:val="00E827AF"/>
    <w:rsid w:val="00E82DE9"/>
    <w:rsid w:val="00E83253"/>
    <w:rsid w:val="00E83714"/>
    <w:rsid w:val="00E83831"/>
    <w:rsid w:val="00E844AB"/>
    <w:rsid w:val="00E84599"/>
    <w:rsid w:val="00E84C97"/>
    <w:rsid w:val="00E84CB9"/>
    <w:rsid w:val="00E85005"/>
    <w:rsid w:val="00E85296"/>
    <w:rsid w:val="00E8533B"/>
    <w:rsid w:val="00E8595B"/>
    <w:rsid w:val="00E85E4E"/>
    <w:rsid w:val="00E86327"/>
    <w:rsid w:val="00E86DF0"/>
    <w:rsid w:val="00E87BD2"/>
    <w:rsid w:val="00E87CDC"/>
    <w:rsid w:val="00E90B33"/>
    <w:rsid w:val="00E910E4"/>
    <w:rsid w:val="00E911E0"/>
    <w:rsid w:val="00E92115"/>
    <w:rsid w:val="00E92838"/>
    <w:rsid w:val="00E93407"/>
    <w:rsid w:val="00E940A8"/>
    <w:rsid w:val="00E94307"/>
    <w:rsid w:val="00E947E8"/>
    <w:rsid w:val="00E94B0F"/>
    <w:rsid w:val="00E9503F"/>
    <w:rsid w:val="00E956F3"/>
    <w:rsid w:val="00E95AA7"/>
    <w:rsid w:val="00E96E68"/>
    <w:rsid w:val="00E97013"/>
    <w:rsid w:val="00E97EA1"/>
    <w:rsid w:val="00EA0BBE"/>
    <w:rsid w:val="00EA18B9"/>
    <w:rsid w:val="00EA1FBC"/>
    <w:rsid w:val="00EA20A1"/>
    <w:rsid w:val="00EA212B"/>
    <w:rsid w:val="00EA2225"/>
    <w:rsid w:val="00EA2462"/>
    <w:rsid w:val="00EA24B5"/>
    <w:rsid w:val="00EA2AAA"/>
    <w:rsid w:val="00EA2D44"/>
    <w:rsid w:val="00EA3A1D"/>
    <w:rsid w:val="00EA3CD7"/>
    <w:rsid w:val="00EA3E2D"/>
    <w:rsid w:val="00EA4010"/>
    <w:rsid w:val="00EA429D"/>
    <w:rsid w:val="00EA43AF"/>
    <w:rsid w:val="00EA4676"/>
    <w:rsid w:val="00EA47FB"/>
    <w:rsid w:val="00EA4C7C"/>
    <w:rsid w:val="00EA4D4C"/>
    <w:rsid w:val="00EA5516"/>
    <w:rsid w:val="00EA554F"/>
    <w:rsid w:val="00EA6250"/>
    <w:rsid w:val="00EA66A4"/>
    <w:rsid w:val="00EA6819"/>
    <w:rsid w:val="00EA6A1E"/>
    <w:rsid w:val="00EA6CAC"/>
    <w:rsid w:val="00EA75BD"/>
    <w:rsid w:val="00EA7C47"/>
    <w:rsid w:val="00EA7CA1"/>
    <w:rsid w:val="00EB0F0F"/>
    <w:rsid w:val="00EB12A5"/>
    <w:rsid w:val="00EB24D8"/>
    <w:rsid w:val="00EB277B"/>
    <w:rsid w:val="00EB2F20"/>
    <w:rsid w:val="00EB2F35"/>
    <w:rsid w:val="00EB31DB"/>
    <w:rsid w:val="00EB3422"/>
    <w:rsid w:val="00EB3A31"/>
    <w:rsid w:val="00EB4EAF"/>
    <w:rsid w:val="00EB548E"/>
    <w:rsid w:val="00EB5C41"/>
    <w:rsid w:val="00EB5F5A"/>
    <w:rsid w:val="00EB656C"/>
    <w:rsid w:val="00EB657E"/>
    <w:rsid w:val="00EB695E"/>
    <w:rsid w:val="00EB69D1"/>
    <w:rsid w:val="00EB69D4"/>
    <w:rsid w:val="00EB6FE9"/>
    <w:rsid w:val="00EB72FF"/>
    <w:rsid w:val="00EB756F"/>
    <w:rsid w:val="00EB79C8"/>
    <w:rsid w:val="00EB7E3F"/>
    <w:rsid w:val="00EB7E78"/>
    <w:rsid w:val="00EC0301"/>
    <w:rsid w:val="00EC08B5"/>
    <w:rsid w:val="00EC08BF"/>
    <w:rsid w:val="00EC09C6"/>
    <w:rsid w:val="00EC0EA5"/>
    <w:rsid w:val="00EC1056"/>
    <w:rsid w:val="00EC1470"/>
    <w:rsid w:val="00EC222E"/>
    <w:rsid w:val="00EC2716"/>
    <w:rsid w:val="00EC2DBB"/>
    <w:rsid w:val="00EC358E"/>
    <w:rsid w:val="00EC3FD2"/>
    <w:rsid w:val="00EC4095"/>
    <w:rsid w:val="00EC43B5"/>
    <w:rsid w:val="00EC4537"/>
    <w:rsid w:val="00EC4960"/>
    <w:rsid w:val="00EC4AE3"/>
    <w:rsid w:val="00EC5414"/>
    <w:rsid w:val="00EC54EE"/>
    <w:rsid w:val="00EC59B2"/>
    <w:rsid w:val="00EC5A3B"/>
    <w:rsid w:val="00EC6424"/>
    <w:rsid w:val="00EC786C"/>
    <w:rsid w:val="00EC7ADD"/>
    <w:rsid w:val="00EC7C26"/>
    <w:rsid w:val="00ED04FE"/>
    <w:rsid w:val="00ED0DD0"/>
    <w:rsid w:val="00ED1122"/>
    <w:rsid w:val="00ED1989"/>
    <w:rsid w:val="00ED28F2"/>
    <w:rsid w:val="00ED2F3E"/>
    <w:rsid w:val="00ED3145"/>
    <w:rsid w:val="00ED3309"/>
    <w:rsid w:val="00ED356E"/>
    <w:rsid w:val="00ED3792"/>
    <w:rsid w:val="00ED3BDA"/>
    <w:rsid w:val="00ED5648"/>
    <w:rsid w:val="00ED5A3B"/>
    <w:rsid w:val="00ED5C30"/>
    <w:rsid w:val="00ED5E02"/>
    <w:rsid w:val="00ED5EED"/>
    <w:rsid w:val="00ED612A"/>
    <w:rsid w:val="00ED6B1C"/>
    <w:rsid w:val="00ED6CF7"/>
    <w:rsid w:val="00ED6F33"/>
    <w:rsid w:val="00ED70A5"/>
    <w:rsid w:val="00ED7716"/>
    <w:rsid w:val="00ED7737"/>
    <w:rsid w:val="00ED7747"/>
    <w:rsid w:val="00ED7CF4"/>
    <w:rsid w:val="00ED7FA2"/>
    <w:rsid w:val="00EE0786"/>
    <w:rsid w:val="00EE0CB4"/>
    <w:rsid w:val="00EE1B0E"/>
    <w:rsid w:val="00EE22FB"/>
    <w:rsid w:val="00EE2407"/>
    <w:rsid w:val="00EE26AE"/>
    <w:rsid w:val="00EE29C8"/>
    <w:rsid w:val="00EE2A54"/>
    <w:rsid w:val="00EE2FC2"/>
    <w:rsid w:val="00EE3B6B"/>
    <w:rsid w:val="00EE3B88"/>
    <w:rsid w:val="00EE4B75"/>
    <w:rsid w:val="00EE4D34"/>
    <w:rsid w:val="00EE4DBD"/>
    <w:rsid w:val="00EE4DDF"/>
    <w:rsid w:val="00EE6AC6"/>
    <w:rsid w:val="00EE6E26"/>
    <w:rsid w:val="00EE74EE"/>
    <w:rsid w:val="00EE784F"/>
    <w:rsid w:val="00EE7A1D"/>
    <w:rsid w:val="00EE7DBD"/>
    <w:rsid w:val="00EF0500"/>
    <w:rsid w:val="00EF0808"/>
    <w:rsid w:val="00EF1002"/>
    <w:rsid w:val="00EF143F"/>
    <w:rsid w:val="00EF1D3B"/>
    <w:rsid w:val="00EF23D8"/>
    <w:rsid w:val="00EF2A5A"/>
    <w:rsid w:val="00EF2A87"/>
    <w:rsid w:val="00EF3A74"/>
    <w:rsid w:val="00EF3AE9"/>
    <w:rsid w:val="00EF3EA5"/>
    <w:rsid w:val="00EF49FB"/>
    <w:rsid w:val="00EF55D6"/>
    <w:rsid w:val="00EF644D"/>
    <w:rsid w:val="00EF6BAD"/>
    <w:rsid w:val="00EF6D29"/>
    <w:rsid w:val="00EF6E79"/>
    <w:rsid w:val="00EF7138"/>
    <w:rsid w:val="00EF7E0B"/>
    <w:rsid w:val="00F00881"/>
    <w:rsid w:val="00F00917"/>
    <w:rsid w:val="00F00B65"/>
    <w:rsid w:val="00F00EFE"/>
    <w:rsid w:val="00F010BB"/>
    <w:rsid w:val="00F012C1"/>
    <w:rsid w:val="00F0175F"/>
    <w:rsid w:val="00F01A41"/>
    <w:rsid w:val="00F03280"/>
    <w:rsid w:val="00F0362A"/>
    <w:rsid w:val="00F0385C"/>
    <w:rsid w:val="00F03ABE"/>
    <w:rsid w:val="00F03B69"/>
    <w:rsid w:val="00F0415F"/>
    <w:rsid w:val="00F04345"/>
    <w:rsid w:val="00F047A4"/>
    <w:rsid w:val="00F04B40"/>
    <w:rsid w:val="00F04F52"/>
    <w:rsid w:val="00F0510F"/>
    <w:rsid w:val="00F0552F"/>
    <w:rsid w:val="00F0563F"/>
    <w:rsid w:val="00F064EF"/>
    <w:rsid w:val="00F06558"/>
    <w:rsid w:val="00F06F42"/>
    <w:rsid w:val="00F07122"/>
    <w:rsid w:val="00F074C9"/>
    <w:rsid w:val="00F07588"/>
    <w:rsid w:val="00F07C82"/>
    <w:rsid w:val="00F07F5E"/>
    <w:rsid w:val="00F1001E"/>
    <w:rsid w:val="00F1055F"/>
    <w:rsid w:val="00F106BB"/>
    <w:rsid w:val="00F10BA6"/>
    <w:rsid w:val="00F11027"/>
    <w:rsid w:val="00F111BA"/>
    <w:rsid w:val="00F1155D"/>
    <w:rsid w:val="00F116DD"/>
    <w:rsid w:val="00F11D9F"/>
    <w:rsid w:val="00F11E31"/>
    <w:rsid w:val="00F12C53"/>
    <w:rsid w:val="00F1360C"/>
    <w:rsid w:val="00F13AA1"/>
    <w:rsid w:val="00F13F2A"/>
    <w:rsid w:val="00F14D9E"/>
    <w:rsid w:val="00F15097"/>
    <w:rsid w:val="00F153F8"/>
    <w:rsid w:val="00F15671"/>
    <w:rsid w:val="00F1643E"/>
    <w:rsid w:val="00F16695"/>
    <w:rsid w:val="00F17159"/>
    <w:rsid w:val="00F1733F"/>
    <w:rsid w:val="00F202E3"/>
    <w:rsid w:val="00F20C6E"/>
    <w:rsid w:val="00F20D6C"/>
    <w:rsid w:val="00F20F03"/>
    <w:rsid w:val="00F2255F"/>
    <w:rsid w:val="00F225CF"/>
    <w:rsid w:val="00F22882"/>
    <w:rsid w:val="00F22985"/>
    <w:rsid w:val="00F22AEF"/>
    <w:rsid w:val="00F22F7A"/>
    <w:rsid w:val="00F2343C"/>
    <w:rsid w:val="00F23CFC"/>
    <w:rsid w:val="00F24076"/>
    <w:rsid w:val="00F240CB"/>
    <w:rsid w:val="00F2492F"/>
    <w:rsid w:val="00F2500D"/>
    <w:rsid w:val="00F251B2"/>
    <w:rsid w:val="00F2596D"/>
    <w:rsid w:val="00F25CAA"/>
    <w:rsid w:val="00F26AD6"/>
    <w:rsid w:val="00F2711C"/>
    <w:rsid w:val="00F2720E"/>
    <w:rsid w:val="00F27253"/>
    <w:rsid w:val="00F277E8"/>
    <w:rsid w:val="00F27B04"/>
    <w:rsid w:val="00F27E3D"/>
    <w:rsid w:val="00F27EB2"/>
    <w:rsid w:val="00F301D0"/>
    <w:rsid w:val="00F3069F"/>
    <w:rsid w:val="00F30A02"/>
    <w:rsid w:val="00F30C3F"/>
    <w:rsid w:val="00F30C60"/>
    <w:rsid w:val="00F30F38"/>
    <w:rsid w:val="00F311D1"/>
    <w:rsid w:val="00F3158A"/>
    <w:rsid w:val="00F318DB"/>
    <w:rsid w:val="00F3199C"/>
    <w:rsid w:val="00F31F7D"/>
    <w:rsid w:val="00F31FB9"/>
    <w:rsid w:val="00F326F6"/>
    <w:rsid w:val="00F32AFF"/>
    <w:rsid w:val="00F33825"/>
    <w:rsid w:val="00F33A8B"/>
    <w:rsid w:val="00F33D3B"/>
    <w:rsid w:val="00F34A96"/>
    <w:rsid w:val="00F34EBF"/>
    <w:rsid w:val="00F34F05"/>
    <w:rsid w:val="00F356D5"/>
    <w:rsid w:val="00F359A5"/>
    <w:rsid w:val="00F361AE"/>
    <w:rsid w:val="00F36240"/>
    <w:rsid w:val="00F363EB"/>
    <w:rsid w:val="00F365DE"/>
    <w:rsid w:val="00F366DA"/>
    <w:rsid w:val="00F367CF"/>
    <w:rsid w:val="00F36D37"/>
    <w:rsid w:val="00F3719A"/>
    <w:rsid w:val="00F379BF"/>
    <w:rsid w:val="00F37EA7"/>
    <w:rsid w:val="00F40805"/>
    <w:rsid w:val="00F40B93"/>
    <w:rsid w:val="00F40C5E"/>
    <w:rsid w:val="00F40E3E"/>
    <w:rsid w:val="00F4163A"/>
    <w:rsid w:val="00F41873"/>
    <w:rsid w:val="00F419C3"/>
    <w:rsid w:val="00F41D91"/>
    <w:rsid w:val="00F41E2B"/>
    <w:rsid w:val="00F423BE"/>
    <w:rsid w:val="00F424A5"/>
    <w:rsid w:val="00F425EF"/>
    <w:rsid w:val="00F428AC"/>
    <w:rsid w:val="00F42AAD"/>
    <w:rsid w:val="00F42EE3"/>
    <w:rsid w:val="00F43149"/>
    <w:rsid w:val="00F43660"/>
    <w:rsid w:val="00F43B91"/>
    <w:rsid w:val="00F44542"/>
    <w:rsid w:val="00F448DD"/>
    <w:rsid w:val="00F44D6A"/>
    <w:rsid w:val="00F44DB8"/>
    <w:rsid w:val="00F45760"/>
    <w:rsid w:val="00F45925"/>
    <w:rsid w:val="00F468E7"/>
    <w:rsid w:val="00F46BA6"/>
    <w:rsid w:val="00F46C97"/>
    <w:rsid w:val="00F4703E"/>
    <w:rsid w:val="00F47308"/>
    <w:rsid w:val="00F4775F"/>
    <w:rsid w:val="00F47B16"/>
    <w:rsid w:val="00F50781"/>
    <w:rsid w:val="00F50CA3"/>
    <w:rsid w:val="00F517ED"/>
    <w:rsid w:val="00F51F3F"/>
    <w:rsid w:val="00F528B5"/>
    <w:rsid w:val="00F528E7"/>
    <w:rsid w:val="00F52C8A"/>
    <w:rsid w:val="00F5352D"/>
    <w:rsid w:val="00F53615"/>
    <w:rsid w:val="00F53A91"/>
    <w:rsid w:val="00F53E68"/>
    <w:rsid w:val="00F54466"/>
    <w:rsid w:val="00F54783"/>
    <w:rsid w:val="00F547E9"/>
    <w:rsid w:val="00F5494E"/>
    <w:rsid w:val="00F54ABE"/>
    <w:rsid w:val="00F55804"/>
    <w:rsid w:val="00F55F1A"/>
    <w:rsid w:val="00F56310"/>
    <w:rsid w:val="00F5684C"/>
    <w:rsid w:val="00F57210"/>
    <w:rsid w:val="00F577FC"/>
    <w:rsid w:val="00F602F0"/>
    <w:rsid w:val="00F60C90"/>
    <w:rsid w:val="00F6146C"/>
    <w:rsid w:val="00F619EE"/>
    <w:rsid w:val="00F61CF5"/>
    <w:rsid w:val="00F61FF9"/>
    <w:rsid w:val="00F62069"/>
    <w:rsid w:val="00F62159"/>
    <w:rsid w:val="00F62A7C"/>
    <w:rsid w:val="00F62B93"/>
    <w:rsid w:val="00F633E5"/>
    <w:rsid w:val="00F63C89"/>
    <w:rsid w:val="00F647EC"/>
    <w:rsid w:val="00F64FAB"/>
    <w:rsid w:val="00F65AC8"/>
    <w:rsid w:val="00F65CEA"/>
    <w:rsid w:val="00F65F15"/>
    <w:rsid w:val="00F66443"/>
    <w:rsid w:val="00F675EA"/>
    <w:rsid w:val="00F7073B"/>
    <w:rsid w:val="00F7074A"/>
    <w:rsid w:val="00F70AD6"/>
    <w:rsid w:val="00F71687"/>
    <w:rsid w:val="00F71708"/>
    <w:rsid w:val="00F717C1"/>
    <w:rsid w:val="00F71AAE"/>
    <w:rsid w:val="00F71CDB"/>
    <w:rsid w:val="00F725D3"/>
    <w:rsid w:val="00F7281E"/>
    <w:rsid w:val="00F72C1A"/>
    <w:rsid w:val="00F72C3D"/>
    <w:rsid w:val="00F737AB"/>
    <w:rsid w:val="00F74216"/>
    <w:rsid w:val="00F74F0F"/>
    <w:rsid w:val="00F74F77"/>
    <w:rsid w:val="00F75731"/>
    <w:rsid w:val="00F75841"/>
    <w:rsid w:val="00F76333"/>
    <w:rsid w:val="00F763E8"/>
    <w:rsid w:val="00F76C7C"/>
    <w:rsid w:val="00F770C6"/>
    <w:rsid w:val="00F77100"/>
    <w:rsid w:val="00F8090F"/>
    <w:rsid w:val="00F80A8A"/>
    <w:rsid w:val="00F8139A"/>
    <w:rsid w:val="00F82AAE"/>
    <w:rsid w:val="00F834BE"/>
    <w:rsid w:val="00F838A9"/>
    <w:rsid w:val="00F849E3"/>
    <w:rsid w:val="00F84B4E"/>
    <w:rsid w:val="00F84C44"/>
    <w:rsid w:val="00F84F30"/>
    <w:rsid w:val="00F851B7"/>
    <w:rsid w:val="00F8566C"/>
    <w:rsid w:val="00F858D4"/>
    <w:rsid w:val="00F85C65"/>
    <w:rsid w:val="00F860EB"/>
    <w:rsid w:val="00F8664E"/>
    <w:rsid w:val="00F868B6"/>
    <w:rsid w:val="00F86968"/>
    <w:rsid w:val="00F86E42"/>
    <w:rsid w:val="00F876E6"/>
    <w:rsid w:val="00F87825"/>
    <w:rsid w:val="00F87838"/>
    <w:rsid w:val="00F879E8"/>
    <w:rsid w:val="00F87FCE"/>
    <w:rsid w:val="00F90082"/>
    <w:rsid w:val="00F9008B"/>
    <w:rsid w:val="00F909C7"/>
    <w:rsid w:val="00F91669"/>
    <w:rsid w:val="00F916DE"/>
    <w:rsid w:val="00F9184F"/>
    <w:rsid w:val="00F91943"/>
    <w:rsid w:val="00F9231D"/>
    <w:rsid w:val="00F92A66"/>
    <w:rsid w:val="00F931CF"/>
    <w:rsid w:val="00F93A31"/>
    <w:rsid w:val="00F93D6E"/>
    <w:rsid w:val="00F9423D"/>
    <w:rsid w:val="00F942C2"/>
    <w:rsid w:val="00F94609"/>
    <w:rsid w:val="00F94F16"/>
    <w:rsid w:val="00F95182"/>
    <w:rsid w:val="00F957D2"/>
    <w:rsid w:val="00F95D94"/>
    <w:rsid w:val="00F966D7"/>
    <w:rsid w:val="00F96F86"/>
    <w:rsid w:val="00FA02B8"/>
    <w:rsid w:val="00FA0980"/>
    <w:rsid w:val="00FA1028"/>
    <w:rsid w:val="00FA108A"/>
    <w:rsid w:val="00FA157E"/>
    <w:rsid w:val="00FA181F"/>
    <w:rsid w:val="00FA1C1F"/>
    <w:rsid w:val="00FA1CD1"/>
    <w:rsid w:val="00FA1E82"/>
    <w:rsid w:val="00FA2137"/>
    <w:rsid w:val="00FA272D"/>
    <w:rsid w:val="00FA338D"/>
    <w:rsid w:val="00FA34A2"/>
    <w:rsid w:val="00FA3742"/>
    <w:rsid w:val="00FA3837"/>
    <w:rsid w:val="00FA39FC"/>
    <w:rsid w:val="00FA44B4"/>
    <w:rsid w:val="00FA4538"/>
    <w:rsid w:val="00FA4998"/>
    <w:rsid w:val="00FA4DC2"/>
    <w:rsid w:val="00FA57D1"/>
    <w:rsid w:val="00FA67E3"/>
    <w:rsid w:val="00FA7157"/>
    <w:rsid w:val="00FA73A6"/>
    <w:rsid w:val="00FA7698"/>
    <w:rsid w:val="00FA78C2"/>
    <w:rsid w:val="00FA7A2D"/>
    <w:rsid w:val="00FA7B4F"/>
    <w:rsid w:val="00FA7DA6"/>
    <w:rsid w:val="00FB02F8"/>
    <w:rsid w:val="00FB06E7"/>
    <w:rsid w:val="00FB0822"/>
    <w:rsid w:val="00FB0AC3"/>
    <w:rsid w:val="00FB1093"/>
    <w:rsid w:val="00FB13A0"/>
    <w:rsid w:val="00FB2142"/>
    <w:rsid w:val="00FB227E"/>
    <w:rsid w:val="00FB25DA"/>
    <w:rsid w:val="00FB267D"/>
    <w:rsid w:val="00FB2A18"/>
    <w:rsid w:val="00FB2BF4"/>
    <w:rsid w:val="00FB2C8D"/>
    <w:rsid w:val="00FB2DC6"/>
    <w:rsid w:val="00FB4267"/>
    <w:rsid w:val="00FB438F"/>
    <w:rsid w:val="00FB59D4"/>
    <w:rsid w:val="00FB5E81"/>
    <w:rsid w:val="00FB6E6C"/>
    <w:rsid w:val="00FB71B0"/>
    <w:rsid w:val="00FB7ABA"/>
    <w:rsid w:val="00FB7C21"/>
    <w:rsid w:val="00FB7C46"/>
    <w:rsid w:val="00FC04E0"/>
    <w:rsid w:val="00FC06CE"/>
    <w:rsid w:val="00FC0D98"/>
    <w:rsid w:val="00FC0E2F"/>
    <w:rsid w:val="00FC1042"/>
    <w:rsid w:val="00FC11C6"/>
    <w:rsid w:val="00FC17D8"/>
    <w:rsid w:val="00FC279A"/>
    <w:rsid w:val="00FC324D"/>
    <w:rsid w:val="00FC39A1"/>
    <w:rsid w:val="00FC3BC3"/>
    <w:rsid w:val="00FC3E47"/>
    <w:rsid w:val="00FC44AD"/>
    <w:rsid w:val="00FC4B53"/>
    <w:rsid w:val="00FC4BAE"/>
    <w:rsid w:val="00FC4F75"/>
    <w:rsid w:val="00FC5160"/>
    <w:rsid w:val="00FC5A36"/>
    <w:rsid w:val="00FC6353"/>
    <w:rsid w:val="00FC69CF"/>
    <w:rsid w:val="00FC6B0B"/>
    <w:rsid w:val="00FC713B"/>
    <w:rsid w:val="00FC7862"/>
    <w:rsid w:val="00FC79D5"/>
    <w:rsid w:val="00FC7B35"/>
    <w:rsid w:val="00FC7B53"/>
    <w:rsid w:val="00FC7BD8"/>
    <w:rsid w:val="00FD0177"/>
    <w:rsid w:val="00FD0AE7"/>
    <w:rsid w:val="00FD0B44"/>
    <w:rsid w:val="00FD0F70"/>
    <w:rsid w:val="00FD1DE1"/>
    <w:rsid w:val="00FD2315"/>
    <w:rsid w:val="00FD29A7"/>
    <w:rsid w:val="00FD2B15"/>
    <w:rsid w:val="00FD3092"/>
    <w:rsid w:val="00FD3D48"/>
    <w:rsid w:val="00FD412E"/>
    <w:rsid w:val="00FD420F"/>
    <w:rsid w:val="00FD4339"/>
    <w:rsid w:val="00FD4B0C"/>
    <w:rsid w:val="00FD4F2F"/>
    <w:rsid w:val="00FD51F7"/>
    <w:rsid w:val="00FD5258"/>
    <w:rsid w:val="00FD5602"/>
    <w:rsid w:val="00FD5661"/>
    <w:rsid w:val="00FD5A2A"/>
    <w:rsid w:val="00FD5AE2"/>
    <w:rsid w:val="00FD62B4"/>
    <w:rsid w:val="00FD7142"/>
    <w:rsid w:val="00FD750F"/>
    <w:rsid w:val="00FE011C"/>
    <w:rsid w:val="00FE027C"/>
    <w:rsid w:val="00FE0458"/>
    <w:rsid w:val="00FE07DC"/>
    <w:rsid w:val="00FE08FB"/>
    <w:rsid w:val="00FE1116"/>
    <w:rsid w:val="00FE2075"/>
    <w:rsid w:val="00FE2080"/>
    <w:rsid w:val="00FE27B9"/>
    <w:rsid w:val="00FE2E37"/>
    <w:rsid w:val="00FE30EF"/>
    <w:rsid w:val="00FE3640"/>
    <w:rsid w:val="00FE36B6"/>
    <w:rsid w:val="00FE3780"/>
    <w:rsid w:val="00FE3954"/>
    <w:rsid w:val="00FE3CF7"/>
    <w:rsid w:val="00FE4071"/>
    <w:rsid w:val="00FE42E3"/>
    <w:rsid w:val="00FE4ECD"/>
    <w:rsid w:val="00FE52B7"/>
    <w:rsid w:val="00FE53C5"/>
    <w:rsid w:val="00FE56A8"/>
    <w:rsid w:val="00FE5807"/>
    <w:rsid w:val="00FE5C39"/>
    <w:rsid w:val="00FE5C57"/>
    <w:rsid w:val="00FE624E"/>
    <w:rsid w:val="00FE6415"/>
    <w:rsid w:val="00FE69E7"/>
    <w:rsid w:val="00FE6BB8"/>
    <w:rsid w:val="00FE6E6B"/>
    <w:rsid w:val="00FE6E76"/>
    <w:rsid w:val="00FF027B"/>
    <w:rsid w:val="00FF1174"/>
    <w:rsid w:val="00FF165A"/>
    <w:rsid w:val="00FF1B72"/>
    <w:rsid w:val="00FF1CF1"/>
    <w:rsid w:val="00FF1F4C"/>
    <w:rsid w:val="00FF1F90"/>
    <w:rsid w:val="00FF228F"/>
    <w:rsid w:val="00FF3465"/>
    <w:rsid w:val="00FF35DC"/>
    <w:rsid w:val="00FF3A6A"/>
    <w:rsid w:val="00FF3C7A"/>
    <w:rsid w:val="00FF3E09"/>
    <w:rsid w:val="00FF411C"/>
    <w:rsid w:val="00FF44AC"/>
    <w:rsid w:val="00FF44C6"/>
    <w:rsid w:val="00FF4B2E"/>
    <w:rsid w:val="00FF4E4B"/>
    <w:rsid w:val="00FF4E4E"/>
    <w:rsid w:val="00FF5049"/>
    <w:rsid w:val="00FF519C"/>
    <w:rsid w:val="00FF5D1F"/>
    <w:rsid w:val="00FF5F95"/>
    <w:rsid w:val="00FF6126"/>
    <w:rsid w:val="00FF61F5"/>
    <w:rsid w:val="00FF62AA"/>
    <w:rsid w:val="00FF64D7"/>
    <w:rsid w:val="00FF6B6C"/>
    <w:rsid w:val="00FF6DD4"/>
    <w:rsid w:val="01AA2C10"/>
    <w:rsid w:val="034C6BD0"/>
    <w:rsid w:val="037738D8"/>
    <w:rsid w:val="03951783"/>
    <w:rsid w:val="03BD5AE4"/>
    <w:rsid w:val="03D65DD1"/>
    <w:rsid w:val="04272850"/>
    <w:rsid w:val="043913ED"/>
    <w:rsid w:val="043C1091"/>
    <w:rsid w:val="046441B2"/>
    <w:rsid w:val="04805BE5"/>
    <w:rsid w:val="04CB35F6"/>
    <w:rsid w:val="04E92229"/>
    <w:rsid w:val="04F804CA"/>
    <w:rsid w:val="051F3C62"/>
    <w:rsid w:val="05436AAA"/>
    <w:rsid w:val="055558A7"/>
    <w:rsid w:val="05BB1BD7"/>
    <w:rsid w:val="06365F09"/>
    <w:rsid w:val="068955F4"/>
    <w:rsid w:val="074F37AF"/>
    <w:rsid w:val="075F0692"/>
    <w:rsid w:val="077E5F40"/>
    <w:rsid w:val="07DB054A"/>
    <w:rsid w:val="080A064F"/>
    <w:rsid w:val="08193C4D"/>
    <w:rsid w:val="083D2AF4"/>
    <w:rsid w:val="08AA16D6"/>
    <w:rsid w:val="08AD1E88"/>
    <w:rsid w:val="08F53B23"/>
    <w:rsid w:val="091066B6"/>
    <w:rsid w:val="09724EA1"/>
    <w:rsid w:val="09B96049"/>
    <w:rsid w:val="0A053C89"/>
    <w:rsid w:val="0A070656"/>
    <w:rsid w:val="0A897609"/>
    <w:rsid w:val="0A913ED8"/>
    <w:rsid w:val="0AE64961"/>
    <w:rsid w:val="0B24171E"/>
    <w:rsid w:val="0B5C3243"/>
    <w:rsid w:val="0B5E59FA"/>
    <w:rsid w:val="0BAD59A4"/>
    <w:rsid w:val="0C177D5B"/>
    <w:rsid w:val="0C357211"/>
    <w:rsid w:val="0C466B45"/>
    <w:rsid w:val="0C502219"/>
    <w:rsid w:val="0D3C6CC3"/>
    <w:rsid w:val="0D444B80"/>
    <w:rsid w:val="0D584403"/>
    <w:rsid w:val="0D704FB1"/>
    <w:rsid w:val="0D87788B"/>
    <w:rsid w:val="0DEE7765"/>
    <w:rsid w:val="0E342E90"/>
    <w:rsid w:val="0E7B5742"/>
    <w:rsid w:val="0E902CD9"/>
    <w:rsid w:val="0EA868D9"/>
    <w:rsid w:val="0F204221"/>
    <w:rsid w:val="0F2B5D1F"/>
    <w:rsid w:val="0F824C73"/>
    <w:rsid w:val="0FE4264A"/>
    <w:rsid w:val="101C0A97"/>
    <w:rsid w:val="104B1C98"/>
    <w:rsid w:val="107B3E49"/>
    <w:rsid w:val="10DF78C6"/>
    <w:rsid w:val="10F67974"/>
    <w:rsid w:val="11281F11"/>
    <w:rsid w:val="1144370D"/>
    <w:rsid w:val="116663E6"/>
    <w:rsid w:val="11B32F12"/>
    <w:rsid w:val="12685FCD"/>
    <w:rsid w:val="13A94C1F"/>
    <w:rsid w:val="13EF0479"/>
    <w:rsid w:val="146855F8"/>
    <w:rsid w:val="146F2C7A"/>
    <w:rsid w:val="1478437A"/>
    <w:rsid w:val="149E4992"/>
    <w:rsid w:val="14FB1458"/>
    <w:rsid w:val="15205ED3"/>
    <w:rsid w:val="15B40B18"/>
    <w:rsid w:val="16045210"/>
    <w:rsid w:val="16A86180"/>
    <w:rsid w:val="170E5D26"/>
    <w:rsid w:val="17312179"/>
    <w:rsid w:val="17526F34"/>
    <w:rsid w:val="175543DB"/>
    <w:rsid w:val="17673BCB"/>
    <w:rsid w:val="17694B12"/>
    <w:rsid w:val="176B1597"/>
    <w:rsid w:val="17817529"/>
    <w:rsid w:val="17A66A4A"/>
    <w:rsid w:val="17B8420A"/>
    <w:rsid w:val="17BE59A2"/>
    <w:rsid w:val="17D70803"/>
    <w:rsid w:val="18147845"/>
    <w:rsid w:val="18185849"/>
    <w:rsid w:val="184D23ED"/>
    <w:rsid w:val="185D2F9A"/>
    <w:rsid w:val="18A66D13"/>
    <w:rsid w:val="18E650FA"/>
    <w:rsid w:val="19DC475A"/>
    <w:rsid w:val="19EE47F1"/>
    <w:rsid w:val="1A2B0820"/>
    <w:rsid w:val="1A442DE9"/>
    <w:rsid w:val="1A6135CD"/>
    <w:rsid w:val="1AFB2E83"/>
    <w:rsid w:val="1B0304B3"/>
    <w:rsid w:val="1B6612B1"/>
    <w:rsid w:val="1BB05D8A"/>
    <w:rsid w:val="1BC305D3"/>
    <w:rsid w:val="1C142EF5"/>
    <w:rsid w:val="1C633C96"/>
    <w:rsid w:val="1C9D24FF"/>
    <w:rsid w:val="1CD55680"/>
    <w:rsid w:val="1D03379E"/>
    <w:rsid w:val="1D321E13"/>
    <w:rsid w:val="1D3B0A6C"/>
    <w:rsid w:val="1D4F3502"/>
    <w:rsid w:val="1D532AC9"/>
    <w:rsid w:val="1DBC044E"/>
    <w:rsid w:val="1DF63F06"/>
    <w:rsid w:val="1E355ED9"/>
    <w:rsid w:val="1E796BCE"/>
    <w:rsid w:val="1EBF1A8C"/>
    <w:rsid w:val="1F4849CA"/>
    <w:rsid w:val="1F69491A"/>
    <w:rsid w:val="1F7F75ED"/>
    <w:rsid w:val="1F873477"/>
    <w:rsid w:val="20687CE3"/>
    <w:rsid w:val="20B00655"/>
    <w:rsid w:val="21455F84"/>
    <w:rsid w:val="223C44B0"/>
    <w:rsid w:val="2249494E"/>
    <w:rsid w:val="228A0847"/>
    <w:rsid w:val="22F43CC9"/>
    <w:rsid w:val="23103F90"/>
    <w:rsid w:val="24977600"/>
    <w:rsid w:val="24B831E2"/>
    <w:rsid w:val="24D35DF1"/>
    <w:rsid w:val="24D3707A"/>
    <w:rsid w:val="250B120F"/>
    <w:rsid w:val="252C7220"/>
    <w:rsid w:val="252E42EF"/>
    <w:rsid w:val="26A50560"/>
    <w:rsid w:val="26AF5308"/>
    <w:rsid w:val="270F55EE"/>
    <w:rsid w:val="272F1A96"/>
    <w:rsid w:val="27771077"/>
    <w:rsid w:val="27773417"/>
    <w:rsid w:val="27A11BA1"/>
    <w:rsid w:val="27F52753"/>
    <w:rsid w:val="28A84061"/>
    <w:rsid w:val="28C712E8"/>
    <w:rsid w:val="29451939"/>
    <w:rsid w:val="295D4544"/>
    <w:rsid w:val="297B0CF7"/>
    <w:rsid w:val="29A678FA"/>
    <w:rsid w:val="29D33359"/>
    <w:rsid w:val="2A0F5B86"/>
    <w:rsid w:val="2A333D26"/>
    <w:rsid w:val="2B822DA1"/>
    <w:rsid w:val="2BBE279A"/>
    <w:rsid w:val="2BF9045D"/>
    <w:rsid w:val="2C046F06"/>
    <w:rsid w:val="2C2E74DC"/>
    <w:rsid w:val="2E027B47"/>
    <w:rsid w:val="2E155A24"/>
    <w:rsid w:val="2E220650"/>
    <w:rsid w:val="2EA133AF"/>
    <w:rsid w:val="2EDD2DD9"/>
    <w:rsid w:val="2F486BF0"/>
    <w:rsid w:val="2F723467"/>
    <w:rsid w:val="2F922149"/>
    <w:rsid w:val="2FB67A39"/>
    <w:rsid w:val="302307FD"/>
    <w:rsid w:val="302A0EF8"/>
    <w:rsid w:val="3044515D"/>
    <w:rsid w:val="306835D0"/>
    <w:rsid w:val="30D101CA"/>
    <w:rsid w:val="31462D0D"/>
    <w:rsid w:val="31590C78"/>
    <w:rsid w:val="315F14DD"/>
    <w:rsid w:val="31AF434E"/>
    <w:rsid w:val="32153FA4"/>
    <w:rsid w:val="329D546F"/>
    <w:rsid w:val="329E44CD"/>
    <w:rsid w:val="32A0292F"/>
    <w:rsid w:val="32A02B99"/>
    <w:rsid w:val="32D305D1"/>
    <w:rsid w:val="33013A74"/>
    <w:rsid w:val="330F2BAA"/>
    <w:rsid w:val="337D5F7B"/>
    <w:rsid w:val="33941B0E"/>
    <w:rsid w:val="33A45AC9"/>
    <w:rsid w:val="33A8380B"/>
    <w:rsid w:val="33CD1B1C"/>
    <w:rsid w:val="33D414D0"/>
    <w:rsid w:val="33D937DF"/>
    <w:rsid w:val="33F507CE"/>
    <w:rsid w:val="3411197D"/>
    <w:rsid w:val="34603E67"/>
    <w:rsid w:val="346048ED"/>
    <w:rsid w:val="346B1EA8"/>
    <w:rsid w:val="34A93020"/>
    <w:rsid w:val="351E58A4"/>
    <w:rsid w:val="35800181"/>
    <w:rsid w:val="358E728C"/>
    <w:rsid w:val="35911C7B"/>
    <w:rsid w:val="359B5196"/>
    <w:rsid w:val="35CD358A"/>
    <w:rsid w:val="36232DB0"/>
    <w:rsid w:val="36233901"/>
    <w:rsid w:val="36284CC5"/>
    <w:rsid w:val="363E6BBB"/>
    <w:rsid w:val="366D1C16"/>
    <w:rsid w:val="370E737E"/>
    <w:rsid w:val="37E8067A"/>
    <w:rsid w:val="37F35F4D"/>
    <w:rsid w:val="385F359C"/>
    <w:rsid w:val="39774DCC"/>
    <w:rsid w:val="3A017AC3"/>
    <w:rsid w:val="3A5021CB"/>
    <w:rsid w:val="3A766411"/>
    <w:rsid w:val="3B7A5053"/>
    <w:rsid w:val="3BA80B19"/>
    <w:rsid w:val="3C2B3FBF"/>
    <w:rsid w:val="3C4240EC"/>
    <w:rsid w:val="3C575DCE"/>
    <w:rsid w:val="3C677A85"/>
    <w:rsid w:val="3C683B38"/>
    <w:rsid w:val="3CC01AAA"/>
    <w:rsid w:val="3CDE152F"/>
    <w:rsid w:val="3D056DE1"/>
    <w:rsid w:val="3D4F2F4A"/>
    <w:rsid w:val="3D711B40"/>
    <w:rsid w:val="3E054D7C"/>
    <w:rsid w:val="3E800AA6"/>
    <w:rsid w:val="3F325FE2"/>
    <w:rsid w:val="3F3A1FEB"/>
    <w:rsid w:val="3F6173B1"/>
    <w:rsid w:val="3FBD202B"/>
    <w:rsid w:val="3FCA68B7"/>
    <w:rsid w:val="3FEE0506"/>
    <w:rsid w:val="4048420A"/>
    <w:rsid w:val="40A67243"/>
    <w:rsid w:val="40B829BF"/>
    <w:rsid w:val="41597EF3"/>
    <w:rsid w:val="42253D73"/>
    <w:rsid w:val="422C7D41"/>
    <w:rsid w:val="423D1B28"/>
    <w:rsid w:val="427F2400"/>
    <w:rsid w:val="42D82F04"/>
    <w:rsid w:val="4330045D"/>
    <w:rsid w:val="44044A8E"/>
    <w:rsid w:val="44B07BCE"/>
    <w:rsid w:val="44E4602A"/>
    <w:rsid w:val="455273CF"/>
    <w:rsid w:val="45881DC5"/>
    <w:rsid w:val="459B594F"/>
    <w:rsid w:val="45B80788"/>
    <w:rsid w:val="45D21FFD"/>
    <w:rsid w:val="4674376B"/>
    <w:rsid w:val="467B0413"/>
    <w:rsid w:val="46CC37DC"/>
    <w:rsid w:val="470042A5"/>
    <w:rsid w:val="473E3384"/>
    <w:rsid w:val="47BB036A"/>
    <w:rsid w:val="47E9061B"/>
    <w:rsid w:val="47EF3C5B"/>
    <w:rsid w:val="47FA53FE"/>
    <w:rsid w:val="480D0CD3"/>
    <w:rsid w:val="484245C7"/>
    <w:rsid w:val="48817A48"/>
    <w:rsid w:val="488D58A2"/>
    <w:rsid w:val="488D7CFE"/>
    <w:rsid w:val="489F2FD7"/>
    <w:rsid w:val="49323FD7"/>
    <w:rsid w:val="4B8004B6"/>
    <w:rsid w:val="4C12409B"/>
    <w:rsid w:val="4CAC5D59"/>
    <w:rsid w:val="4CD505C3"/>
    <w:rsid w:val="4D3A08C2"/>
    <w:rsid w:val="4D525CFF"/>
    <w:rsid w:val="4D5601C7"/>
    <w:rsid w:val="4D5C3E10"/>
    <w:rsid w:val="4E32653A"/>
    <w:rsid w:val="4E755F3D"/>
    <w:rsid w:val="4EAC5711"/>
    <w:rsid w:val="4FC255FB"/>
    <w:rsid w:val="50AC1958"/>
    <w:rsid w:val="512E091C"/>
    <w:rsid w:val="51A773A4"/>
    <w:rsid w:val="51B2004B"/>
    <w:rsid w:val="51D038C7"/>
    <w:rsid w:val="525F396F"/>
    <w:rsid w:val="52F6132D"/>
    <w:rsid w:val="534369D5"/>
    <w:rsid w:val="53B75E62"/>
    <w:rsid w:val="542E690F"/>
    <w:rsid w:val="54456263"/>
    <w:rsid w:val="54556AEA"/>
    <w:rsid w:val="548A4B3B"/>
    <w:rsid w:val="54C051CA"/>
    <w:rsid w:val="55131A57"/>
    <w:rsid w:val="55622629"/>
    <w:rsid w:val="570D674B"/>
    <w:rsid w:val="577D71D5"/>
    <w:rsid w:val="58114665"/>
    <w:rsid w:val="58766B64"/>
    <w:rsid w:val="58913605"/>
    <w:rsid w:val="58B82F46"/>
    <w:rsid w:val="58EC5DB8"/>
    <w:rsid w:val="58F01C46"/>
    <w:rsid w:val="5A3A2DDD"/>
    <w:rsid w:val="5B022258"/>
    <w:rsid w:val="5B534D74"/>
    <w:rsid w:val="5BE0382F"/>
    <w:rsid w:val="5BF918A2"/>
    <w:rsid w:val="5C46639A"/>
    <w:rsid w:val="5C9127DF"/>
    <w:rsid w:val="5CC71A8A"/>
    <w:rsid w:val="5D0A1BEC"/>
    <w:rsid w:val="5D5A6BD0"/>
    <w:rsid w:val="5D5E4DB7"/>
    <w:rsid w:val="5E587A58"/>
    <w:rsid w:val="5E8759A2"/>
    <w:rsid w:val="5EE53A99"/>
    <w:rsid w:val="5EFC2336"/>
    <w:rsid w:val="5F3C1477"/>
    <w:rsid w:val="5F5A5775"/>
    <w:rsid w:val="5F9A7BFD"/>
    <w:rsid w:val="602F2981"/>
    <w:rsid w:val="60C90799"/>
    <w:rsid w:val="610D4731"/>
    <w:rsid w:val="61CC5B6E"/>
    <w:rsid w:val="62093465"/>
    <w:rsid w:val="62134C83"/>
    <w:rsid w:val="6228618D"/>
    <w:rsid w:val="62315204"/>
    <w:rsid w:val="62573324"/>
    <w:rsid w:val="62B81DF9"/>
    <w:rsid w:val="62B8336A"/>
    <w:rsid w:val="63FF1053"/>
    <w:rsid w:val="64073B7C"/>
    <w:rsid w:val="64337579"/>
    <w:rsid w:val="64441196"/>
    <w:rsid w:val="65091B75"/>
    <w:rsid w:val="65BC6440"/>
    <w:rsid w:val="65C36E7F"/>
    <w:rsid w:val="65D21A26"/>
    <w:rsid w:val="6603416A"/>
    <w:rsid w:val="663B7430"/>
    <w:rsid w:val="66650F64"/>
    <w:rsid w:val="66A762C2"/>
    <w:rsid w:val="672A0BC3"/>
    <w:rsid w:val="67C1679B"/>
    <w:rsid w:val="67F67EE5"/>
    <w:rsid w:val="687775B2"/>
    <w:rsid w:val="68B84844"/>
    <w:rsid w:val="6A022F6E"/>
    <w:rsid w:val="6A1B14A7"/>
    <w:rsid w:val="6AE5012B"/>
    <w:rsid w:val="6B093499"/>
    <w:rsid w:val="6B197024"/>
    <w:rsid w:val="6B241A17"/>
    <w:rsid w:val="6B7636D8"/>
    <w:rsid w:val="6BA22313"/>
    <w:rsid w:val="6BC26511"/>
    <w:rsid w:val="6BCF7649"/>
    <w:rsid w:val="6C17209E"/>
    <w:rsid w:val="6C871509"/>
    <w:rsid w:val="6C976ED3"/>
    <w:rsid w:val="6CC90375"/>
    <w:rsid w:val="6DCE1240"/>
    <w:rsid w:val="6E1148C4"/>
    <w:rsid w:val="6E914282"/>
    <w:rsid w:val="6E9C0F6F"/>
    <w:rsid w:val="6F0E4EC3"/>
    <w:rsid w:val="6F3F498D"/>
    <w:rsid w:val="6FF869A5"/>
    <w:rsid w:val="70557737"/>
    <w:rsid w:val="708766E6"/>
    <w:rsid w:val="70AB3A18"/>
    <w:rsid w:val="70C83005"/>
    <w:rsid w:val="70CB5048"/>
    <w:rsid w:val="70FD0794"/>
    <w:rsid w:val="7188726B"/>
    <w:rsid w:val="71AD7318"/>
    <w:rsid w:val="71C37A53"/>
    <w:rsid w:val="723E5372"/>
    <w:rsid w:val="72553376"/>
    <w:rsid w:val="725E2D0C"/>
    <w:rsid w:val="726D70E7"/>
    <w:rsid w:val="72A63D8F"/>
    <w:rsid w:val="72F10F91"/>
    <w:rsid w:val="73155084"/>
    <w:rsid w:val="73AF2225"/>
    <w:rsid w:val="740267E2"/>
    <w:rsid w:val="747D74F0"/>
    <w:rsid w:val="74C31ECB"/>
    <w:rsid w:val="753D7919"/>
    <w:rsid w:val="755A7F44"/>
    <w:rsid w:val="75942919"/>
    <w:rsid w:val="77711DD9"/>
    <w:rsid w:val="77AA57AB"/>
    <w:rsid w:val="781F5E3E"/>
    <w:rsid w:val="7829056A"/>
    <w:rsid w:val="78C6360F"/>
    <w:rsid w:val="78FC593C"/>
    <w:rsid w:val="793208B0"/>
    <w:rsid w:val="79FA77BE"/>
    <w:rsid w:val="79FE46D4"/>
    <w:rsid w:val="7A150454"/>
    <w:rsid w:val="7A52607C"/>
    <w:rsid w:val="7AAA36FF"/>
    <w:rsid w:val="7ACF3389"/>
    <w:rsid w:val="7B031548"/>
    <w:rsid w:val="7B63746B"/>
    <w:rsid w:val="7BA305F1"/>
    <w:rsid w:val="7BCD24A6"/>
    <w:rsid w:val="7C194AD6"/>
    <w:rsid w:val="7C2060EA"/>
    <w:rsid w:val="7C9C4E59"/>
    <w:rsid w:val="7CBE0F77"/>
    <w:rsid w:val="7CDE6F23"/>
    <w:rsid w:val="7CF44998"/>
    <w:rsid w:val="7D7366D3"/>
    <w:rsid w:val="7D7F34CB"/>
    <w:rsid w:val="7DFB6100"/>
    <w:rsid w:val="7E2F1D63"/>
    <w:rsid w:val="7E9E65AC"/>
    <w:rsid w:val="7EF6131C"/>
    <w:rsid w:val="7F870749"/>
    <w:rsid w:val="FFFBB743"/>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9"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qFormat="1" w:unhideWhenUsed="0" w:uiPriority="0" w:semiHidden="0" w:name="Normal Indent"/>
    <w:lsdException w:qFormat="1" w:uiPriority="99" w:semiHidden="0" w:name="footnote text"/>
    <w:lsdException w:qFormat="1" w:uiPriority="0" w:semiHidden="0" w:name="annotation text"/>
    <w:lsdException w:qFormat="1" w:uiPriority="99" w:semiHidden="0" w:name="header"/>
    <w:lsdException w:qFormat="1" w:uiPriority="99" w:semiHidden="0" w:name="footer"/>
    <w:lsdException w:uiPriority="99" w:name="index heading"/>
    <w:lsdException w:qFormat="1" w:unhideWhenUsed="0" w:uiPriority="0" w:semiHidden="0" w:name="caption"/>
    <w:lsdException w:qFormat="1" w:unhideWhenUsed="0" w:uiPriority="99" w:semiHidden="0" w:name="table of figures"/>
    <w:lsdException w:uiPriority="99" w:name="envelope address"/>
    <w:lsdException w:uiPriority="99" w:name="envelope return"/>
    <w:lsdException w:qFormat="1" w:uiPriority="99" w:semiHidden="0" w:name="footnote reference"/>
    <w:lsdException w:qFormat="1" w:uiPriority="0" w:semiHidden="0" w:name="annotation reference"/>
    <w:lsdException w:uiPriority="99" w:name="line number"/>
    <w:lsdException w:qFormat="1" w:unhideWhenUsed="0" w:uiPriority="0" w:semiHidden="0" w:name="page number"/>
    <w:lsdException w:qFormat="1" w:uiPriority="99" w:semiHidden="0" w:name="endnote reference"/>
    <w:lsdException w:qFormat="1" w:uiPriority="99" w:semiHidden="0" w:name="endnote text"/>
    <w:lsdException w:uiPriority="99" w:name="table of authorities"/>
    <w:lsdException w:uiPriority="99" w:name="macro"/>
    <w:lsdException w:uiPriority="99" w:name="toa heading"/>
    <w:lsdException w:qFormat="1" w:unhideWhenUsed="0" w:uiPriority="0" w:semiHidden="0" w:name="List"/>
    <w:lsdException w:uiPriority="99" w:name="List Bullet"/>
    <w:lsdException w:qFormat="1" w:unhideWhenUsed="0" w:uiPriority="0" w:semiHidden="0" w:name="List Number"/>
    <w:lsdException w:qFormat="1" w:unhideWhenUsed="0" w:uiPriority="0" w:semiHidden="0"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qFormat="1" w:unhideWhenUsed="0" w:uiPriority="0" w:semiHidden="0"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nhideWhenUsed="0" w:uiPriority="99"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uiPriority="99" w:name="Body Text First Indent"/>
    <w:lsdException w:uiPriority="99" w:name="Body Text First Indent 2"/>
    <w:lsdException w:uiPriority="99"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iPriority="99" w:name="Block Text"/>
    <w:lsdException w:qFormat="1" w:unhideWhenUsed="0" w:uiPriority="99" w:semiHidden="0" w:name="Hyperlink"/>
    <w:lsdException w:qFormat="1" w:unhideWhenUsed="0" w:uiPriority="0" w:semiHidden="0" w:name="FollowedHyperlink"/>
    <w:lsdException w:qFormat="1" w:unhideWhenUsed="0" w:uiPriority="22" w:semiHidden="0" w:name="Strong"/>
    <w:lsdException w:qFormat="1" w:unhideWhenUsed="0" w:uiPriority="20" w:semiHidden="0" w:name="Emphasis"/>
    <w:lsdException w:qFormat="1" w:uiPriority="0" w:semiHidden="0" w:name="Document Map"/>
    <w:lsdException w:qFormat="1" w:unhideWhenUsed="0" w:uiPriority="0" w:semiHidden="0"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qFormat="1"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56"/>
    <w:qFormat/>
    <w:uiPriority w:val="0"/>
    <w:pPr>
      <w:keepNext/>
      <w:keepLines/>
      <w:spacing w:before="340" w:after="330" w:line="578" w:lineRule="auto"/>
      <w:outlineLvl w:val="0"/>
    </w:pPr>
    <w:rPr>
      <w:b/>
      <w:bCs/>
      <w:kern w:val="44"/>
      <w:sz w:val="44"/>
      <w:szCs w:val="44"/>
    </w:rPr>
  </w:style>
  <w:style w:type="paragraph" w:styleId="4">
    <w:name w:val="heading 2"/>
    <w:basedOn w:val="1"/>
    <w:next w:val="1"/>
    <w:link w:val="57"/>
    <w:qFormat/>
    <w:uiPriority w:val="0"/>
    <w:pPr>
      <w:keepNext/>
      <w:keepLines/>
      <w:spacing w:before="260" w:after="260" w:line="416" w:lineRule="auto"/>
      <w:outlineLvl w:val="1"/>
    </w:pPr>
    <w:rPr>
      <w:rFonts w:ascii="Arial" w:hAnsi="Arial" w:eastAsia="黑体"/>
      <w:b/>
      <w:bCs/>
      <w:kern w:val="0"/>
      <w:sz w:val="32"/>
      <w:szCs w:val="32"/>
    </w:rPr>
  </w:style>
  <w:style w:type="paragraph" w:styleId="5">
    <w:name w:val="heading 3"/>
    <w:basedOn w:val="1"/>
    <w:next w:val="1"/>
    <w:link w:val="58"/>
    <w:qFormat/>
    <w:uiPriority w:val="0"/>
    <w:pPr>
      <w:keepNext/>
      <w:keepLines/>
      <w:spacing w:before="260" w:after="260" w:line="416" w:lineRule="auto"/>
      <w:outlineLvl w:val="2"/>
    </w:pPr>
    <w:rPr>
      <w:b/>
      <w:bCs/>
      <w:kern w:val="0"/>
      <w:sz w:val="32"/>
      <w:szCs w:val="32"/>
    </w:rPr>
  </w:style>
  <w:style w:type="paragraph" w:styleId="6">
    <w:name w:val="heading 4"/>
    <w:basedOn w:val="1"/>
    <w:next w:val="1"/>
    <w:qFormat/>
    <w:uiPriority w:val="9"/>
    <w:pPr>
      <w:keepNext/>
      <w:keepLines/>
      <w:spacing w:before="280" w:after="290" w:line="376" w:lineRule="auto"/>
      <w:outlineLvl w:val="3"/>
    </w:pPr>
    <w:rPr>
      <w:rFonts w:ascii="Cambria" w:hAnsi="Cambria" w:eastAsia="宋体" w:cs="Times New Roman"/>
      <w:b/>
      <w:bCs/>
      <w:sz w:val="28"/>
      <w:szCs w:val="28"/>
    </w:rPr>
  </w:style>
  <w:style w:type="paragraph" w:styleId="7">
    <w:name w:val="heading 5"/>
    <w:basedOn w:val="1"/>
    <w:next w:val="8"/>
    <w:link w:val="59"/>
    <w:qFormat/>
    <w:uiPriority w:val="0"/>
    <w:pPr>
      <w:keepNext/>
      <w:keepLines/>
      <w:numPr>
        <w:ilvl w:val="4"/>
        <w:numId w:val="1"/>
      </w:numPr>
      <w:spacing w:before="280" w:after="290" w:line="376" w:lineRule="auto"/>
      <w:outlineLvl w:val="4"/>
    </w:pPr>
    <w:rPr>
      <w:b/>
      <w:sz w:val="28"/>
    </w:rPr>
  </w:style>
  <w:style w:type="paragraph" w:styleId="9">
    <w:name w:val="heading 6"/>
    <w:basedOn w:val="1"/>
    <w:next w:val="8"/>
    <w:link w:val="60"/>
    <w:qFormat/>
    <w:uiPriority w:val="0"/>
    <w:pPr>
      <w:keepNext/>
      <w:keepLines/>
      <w:numPr>
        <w:ilvl w:val="5"/>
        <w:numId w:val="1"/>
      </w:numPr>
      <w:spacing w:before="240" w:after="64" w:line="320" w:lineRule="auto"/>
      <w:outlineLvl w:val="5"/>
    </w:pPr>
    <w:rPr>
      <w:rFonts w:ascii="Arial" w:hAnsi="Arial" w:eastAsia="黑体"/>
      <w:b/>
      <w:sz w:val="24"/>
    </w:rPr>
  </w:style>
  <w:style w:type="paragraph" w:styleId="10">
    <w:name w:val="heading 7"/>
    <w:basedOn w:val="1"/>
    <w:next w:val="1"/>
    <w:link w:val="61"/>
    <w:qFormat/>
    <w:uiPriority w:val="0"/>
    <w:pPr>
      <w:keepNext/>
      <w:keepLines/>
      <w:numPr>
        <w:ilvl w:val="6"/>
        <w:numId w:val="1"/>
      </w:numPr>
      <w:spacing w:before="240" w:after="64" w:line="320" w:lineRule="auto"/>
      <w:outlineLvl w:val="6"/>
    </w:pPr>
    <w:rPr>
      <w:b/>
      <w:sz w:val="24"/>
    </w:rPr>
  </w:style>
  <w:style w:type="paragraph" w:styleId="11">
    <w:name w:val="heading 8"/>
    <w:basedOn w:val="1"/>
    <w:next w:val="8"/>
    <w:link w:val="62"/>
    <w:qFormat/>
    <w:uiPriority w:val="0"/>
    <w:pPr>
      <w:keepNext/>
      <w:keepLines/>
      <w:numPr>
        <w:ilvl w:val="7"/>
        <w:numId w:val="1"/>
      </w:numPr>
      <w:spacing w:before="240" w:after="64" w:line="320" w:lineRule="auto"/>
      <w:outlineLvl w:val="7"/>
    </w:pPr>
    <w:rPr>
      <w:rFonts w:ascii="Arial" w:hAnsi="Arial" w:eastAsia="黑体"/>
      <w:sz w:val="24"/>
    </w:rPr>
  </w:style>
  <w:style w:type="paragraph" w:styleId="12">
    <w:name w:val="heading 9"/>
    <w:basedOn w:val="1"/>
    <w:next w:val="8"/>
    <w:link w:val="63"/>
    <w:qFormat/>
    <w:uiPriority w:val="0"/>
    <w:pPr>
      <w:keepNext/>
      <w:keepLines/>
      <w:numPr>
        <w:ilvl w:val="8"/>
        <w:numId w:val="1"/>
      </w:numPr>
      <w:spacing w:before="240" w:after="64" w:line="320" w:lineRule="auto"/>
      <w:outlineLvl w:val="8"/>
    </w:pPr>
    <w:rPr>
      <w:rFonts w:ascii="Arial" w:hAnsi="Arial" w:eastAsia="黑体"/>
    </w:rPr>
  </w:style>
  <w:style w:type="character" w:default="1" w:styleId="47">
    <w:name w:val="Default Paragraph Font"/>
    <w:unhideWhenUsed/>
    <w:qFormat/>
    <w:uiPriority w:val="1"/>
  </w:style>
  <w:style w:type="table" w:default="1" w:styleId="45">
    <w:name w:val="Normal Table"/>
    <w:unhideWhenUsed/>
    <w:qFormat/>
    <w:uiPriority w:val="99"/>
    <w:tblPr>
      <w:tblCellMar>
        <w:top w:w="0" w:type="dxa"/>
        <w:left w:w="108" w:type="dxa"/>
        <w:bottom w:w="0" w:type="dxa"/>
        <w:right w:w="108" w:type="dxa"/>
      </w:tblCellMar>
    </w:tblPr>
  </w:style>
  <w:style w:type="paragraph" w:styleId="2">
    <w:name w:val="Body Text"/>
    <w:basedOn w:val="1"/>
    <w:next w:val="1"/>
    <w:link w:val="55"/>
    <w:qFormat/>
    <w:uiPriority w:val="99"/>
    <w:pPr>
      <w:spacing w:line="380" w:lineRule="exact"/>
    </w:pPr>
    <w:rPr>
      <w:kern w:val="0"/>
      <w:sz w:val="24"/>
    </w:rPr>
  </w:style>
  <w:style w:type="paragraph" w:styleId="8">
    <w:name w:val="Normal Indent"/>
    <w:basedOn w:val="1"/>
    <w:qFormat/>
    <w:uiPriority w:val="0"/>
    <w:pPr>
      <w:ind w:firstLine="420"/>
    </w:pPr>
    <w:rPr>
      <w:szCs w:val="20"/>
    </w:rPr>
  </w:style>
  <w:style w:type="paragraph" w:styleId="13">
    <w:name w:val="toc 7"/>
    <w:basedOn w:val="1"/>
    <w:next w:val="1"/>
    <w:unhideWhenUsed/>
    <w:qFormat/>
    <w:uiPriority w:val="39"/>
    <w:pPr>
      <w:ind w:left="2520" w:leftChars="1200"/>
    </w:pPr>
    <w:rPr>
      <w:rFonts w:ascii="Calibri" w:hAnsi="Calibri" w:eastAsia="宋体" w:cs="Times New Roman"/>
      <w:szCs w:val="22"/>
    </w:rPr>
  </w:style>
  <w:style w:type="paragraph" w:styleId="14">
    <w:name w:val="List Number"/>
    <w:basedOn w:val="1"/>
    <w:qFormat/>
    <w:uiPriority w:val="0"/>
    <w:pPr>
      <w:widowControl/>
      <w:tabs>
        <w:tab w:val="left" w:pos="454"/>
        <w:tab w:val="left" w:pos="720"/>
        <w:tab w:val="left" w:pos="840"/>
      </w:tabs>
      <w:spacing w:after="50" w:afterLines="50"/>
      <w:ind w:left="454" w:hanging="284"/>
      <w:jc w:val="left"/>
    </w:pPr>
    <w:rPr>
      <w:kern w:val="0"/>
      <w:sz w:val="24"/>
      <w:szCs w:val="20"/>
    </w:rPr>
  </w:style>
  <w:style w:type="paragraph" w:styleId="15">
    <w:name w:val="caption"/>
    <w:basedOn w:val="1"/>
    <w:next w:val="1"/>
    <w:qFormat/>
    <w:uiPriority w:val="0"/>
    <w:pPr>
      <w:spacing w:before="152" w:after="160"/>
    </w:pPr>
    <w:rPr>
      <w:rFonts w:ascii="Arial" w:hAnsi="Arial" w:eastAsia="黑体" w:cs="Arial"/>
      <w:sz w:val="20"/>
      <w:szCs w:val="20"/>
    </w:rPr>
  </w:style>
  <w:style w:type="paragraph" w:styleId="16">
    <w:name w:val="Document Map"/>
    <w:basedOn w:val="1"/>
    <w:link w:val="64"/>
    <w:unhideWhenUsed/>
    <w:qFormat/>
    <w:uiPriority w:val="0"/>
    <w:pPr>
      <w:shd w:val="clear" w:color="auto" w:fill="000080"/>
    </w:pPr>
    <w:rPr>
      <w:rFonts w:hint="eastAsia" w:ascii="宋体" w:hAnsi="宋体"/>
      <w:kern w:val="0"/>
      <w:sz w:val="20"/>
      <w:szCs w:val="20"/>
    </w:rPr>
  </w:style>
  <w:style w:type="paragraph" w:styleId="17">
    <w:name w:val="annotation text"/>
    <w:basedOn w:val="1"/>
    <w:link w:val="65"/>
    <w:unhideWhenUsed/>
    <w:qFormat/>
    <w:uiPriority w:val="0"/>
    <w:pPr>
      <w:jc w:val="left"/>
    </w:pPr>
  </w:style>
  <w:style w:type="paragraph" w:styleId="18">
    <w:name w:val="Body Text 3"/>
    <w:basedOn w:val="1"/>
    <w:link w:val="66"/>
    <w:qFormat/>
    <w:uiPriority w:val="0"/>
    <w:pPr>
      <w:spacing w:line="500" w:lineRule="exact"/>
    </w:pPr>
    <w:rPr>
      <w:b/>
      <w:bCs/>
      <w:kern w:val="0"/>
      <w:sz w:val="24"/>
    </w:rPr>
  </w:style>
  <w:style w:type="paragraph" w:styleId="19">
    <w:name w:val="Body Text Indent"/>
    <w:basedOn w:val="1"/>
    <w:link w:val="67"/>
    <w:qFormat/>
    <w:uiPriority w:val="0"/>
    <w:pPr>
      <w:ind w:firstLine="830" w:firstLineChars="352"/>
    </w:pPr>
    <w:rPr>
      <w:rFonts w:ascii="仿宋_GB2312" w:eastAsia="仿宋_GB2312"/>
      <w:kern w:val="0"/>
      <w:sz w:val="32"/>
      <w:szCs w:val="20"/>
    </w:rPr>
  </w:style>
  <w:style w:type="paragraph" w:styleId="20">
    <w:name w:val="List Number 3"/>
    <w:basedOn w:val="1"/>
    <w:qFormat/>
    <w:uiPriority w:val="0"/>
    <w:pPr>
      <w:numPr>
        <w:ilvl w:val="0"/>
        <w:numId w:val="2"/>
      </w:numPr>
    </w:pPr>
  </w:style>
  <w:style w:type="paragraph" w:styleId="21">
    <w:name w:val="List 2"/>
    <w:basedOn w:val="1"/>
    <w:qFormat/>
    <w:uiPriority w:val="0"/>
    <w:pPr>
      <w:ind w:left="100" w:leftChars="200" w:hanging="200" w:hangingChars="200"/>
    </w:pPr>
    <w:rPr>
      <w:sz w:val="28"/>
    </w:rPr>
  </w:style>
  <w:style w:type="paragraph" w:styleId="22">
    <w:name w:val="toc 5"/>
    <w:basedOn w:val="1"/>
    <w:next w:val="1"/>
    <w:unhideWhenUsed/>
    <w:qFormat/>
    <w:uiPriority w:val="39"/>
    <w:pPr>
      <w:ind w:left="1680" w:leftChars="800"/>
    </w:pPr>
    <w:rPr>
      <w:rFonts w:ascii="Calibri" w:hAnsi="Calibri" w:eastAsia="宋体" w:cs="Times New Roman"/>
      <w:szCs w:val="22"/>
    </w:rPr>
  </w:style>
  <w:style w:type="paragraph" w:styleId="23">
    <w:name w:val="toc 3"/>
    <w:basedOn w:val="1"/>
    <w:next w:val="1"/>
    <w:unhideWhenUsed/>
    <w:qFormat/>
    <w:uiPriority w:val="39"/>
    <w:pPr>
      <w:ind w:left="840" w:leftChars="400"/>
    </w:pPr>
    <w:rPr>
      <w:rFonts w:ascii="Calibri" w:hAnsi="Calibri" w:eastAsia="宋体" w:cs="Times New Roman"/>
      <w:szCs w:val="22"/>
    </w:rPr>
  </w:style>
  <w:style w:type="paragraph" w:styleId="24">
    <w:name w:val="Plain Text"/>
    <w:basedOn w:val="1"/>
    <w:link w:val="68"/>
    <w:qFormat/>
    <w:uiPriority w:val="0"/>
    <w:rPr>
      <w:rFonts w:ascii="宋体" w:hAnsi="Courier New"/>
      <w:kern w:val="0"/>
      <w:sz w:val="20"/>
      <w:szCs w:val="21"/>
    </w:rPr>
  </w:style>
  <w:style w:type="paragraph" w:styleId="25">
    <w:name w:val="toc 8"/>
    <w:basedOn w:val="1"/>
    <w:next w:val="1"/>
    <w:unhideWhenUsed/>
    <w:qFormat/>
    <w:uiPriority w:val="39"/>
    <w:pPr>
      <w:ind w:left="2940" w:leftChars="1400"/>
    </w:pPr>
    <w:rPr>
      <w:rFonts w:ascii="Calibri" w:hAnsi="Calibri" w:eastAsia="宋体" w:cs="Times New Roman"/>
      <w:szCs w:val="22"/>
    </w:rPr>
  </w:style>
  <w:style w:type="paragraph" w:styleId="26">
    <w:name w:val="Date"/>
    <w:basedOn w:val="1"/>
    <w:next w:val="1"/>
    <w:link w:val="69"/>
    <w:qFormat/>
    <w:uiPriority w:val="0"/>
    <w:pPr>
      <w:ind w:left="100" w:leftChars="2500"/>
    </w:pPr>
    <w:rPr>
      <w:rFonts w:ascii="宋体" w:hAnsi="Courier New"/>
      <w:kern w:val="0"/>
      <w:sz w:val="20"/>
      <w:szCs w:val="21"/>
    </w:rPr>
  </w:style>
  <w:style w:type="paragraph" w:styleId="27">
    <w:name w:val="Body Text Indent 2"/>
    <w:basedOn w:val="1"/>
    <w:link w:val="70"/>
    <w:qFormat/>
    <w:uiPriority w:val="0"/>
    <w:pPr>
      <w:ind w:firstLine="630"/>
    </w:pPr>
    <w:rPr>
      <w:kern w:val="0"/>
      <w:sz w:val="32"/>
      <w:szCs w:val="20"/>
    </w:rPr>
  </w:style>
  <w:style w:type="paragraph" w:styleId="28">
    <w:name w:val="endnote text"/>
    <w:basedOn w:val="1"/>
    <w:link w:val="71"/>
    <w:unhideWhenUsed/>
    <w:qFormat/>
    <w:uiPriority w:val="99"/>
    <w:pPr>
      <w:snapToGrid w:val="0"/>
      <w:jc w:val="left"/>
    </w:pPr>
  </w:style>
  <w:style w:type="paragraph" w:styleId="29">
    <w:name w:val="Balloon Text"/>
    <w:basedOn w:val="1"/>
    <w:link w:val="72"/>
    <w:semiHidden/>
    <w:qFormat/>
    <w:uiPriority w:val="0"/>
    <w:rPr>
      <w:kern w:val="0"/>
      <w:sz w:val="18"/>
      <w:szCs w:val="18"/>
    </w:rPr>
  </w:style>
  <w:style w:type="paragraph" w:styleId="30">
    <w:name w:val="footer"/>
    <w:basedOn w:val="1"/>
    <w:link w:val="73"/>
    <w:unhideWhenUsed/>
    <w:qFormat/>
    <w:uiPriority w:val="99"/>
    <w:pPr>
      <w:tabs>
        <w:tab w:val="center" w:pos="4153"/>
        <w:tab w:val="right" w:pos="8306"/>
      </w:tabs>
      <w:snapToGrid w:val="0"/>
      <w:jc w:val="left"/>
    </w:pPr>
    <w:rPr>
      <w:kern w:val="0"/>
      <w:sz w:val="18"/>
      <w:szCs w:val="18"/>
    </w:rPr>
  </w:style>
  <w:style w:type="paragraph" w:styleId="31">
    <w:name w:val="header"/>
    <w:basedOn w:val="1"/>
    <w:link w:val="74"/>
    <w:unhideWhenUsed/>
    <w:qFormat/>
    <w:uiPriority w:val="99"/>
    <w:pPr>
      <w:pBdr>
        <w:bottom w:val="single" w:color="auto" w:sz="6" w:space="1"/>
      </w:pBdr>
      <w:tabs>
        <w:tab w:val="center" w:pos="0"/>
        <w:tab w:val="left" w:pos="8306"/>
      </w:tabs>
      <w:snapToGrid w:val="0"/>
      <w:jc w:val="center"/>
    </w:pPr>
    <w:rPr>
      <w:sz w:val="18"/>
      <w:szCs w:val="18"/>
    </w:rPr>
  </w:style>
  <w:style w:type="paragraph" w:styleId="32">
    <w:name w:val="toc 1"/>
    <w:basedOn w:val="1"/>
    <w:next w:val="1"/>
    <w:qFormat/>
    <w:uiPriority w:val="39"/>
    <w:pPr>
      <w:tabs>
        <w:tab w:val="right" w:leader="dot" w:pos="8398"/>
      </w:tabs>
      <w:spacing w:before="120" w:after="120"/>
      <w:ind w:firstLine="240" w:firstLineChars="100"/>
      <w:jc w:val="left"/>
    </w:pPr>
    <w:rPr>
      <w:rFonts w:ascii="宋体" w:hAnsi="宋体"/>
      <w:b/>
      <w:bCs/>
      <w:caps/>
      <w:sz w:val="24"/>
    </w:rPr>
  </w:style>
  <w:style w:type="paragraph" w:styleId="33">
    <w:name w:val="toc 4"/>
    <w:basedOn w:val="1"/>
    <w:next w:val="1"/>
    <w:unhideWhenUsed/>
    <w:qFormat/>
    <w:uiPriority w:val="39"/>
    <w:pPr>
      <w:ind w:left="1260" w:leftChars="600"/>
    </w:pPr>
    <w:rPr>
      <w:rFonts w:ascii="Calibri" w:hAnsi="Calibri" w:eastAsia="宋体" w:cs="Times New Roman"/>
      <w:szCs w:val="22"/>
    </w:rPr>
  </w:style>
  <w:style w:type="paragraph" w:styleId="34">
    <w:name w:val="List"/>
    <w:basedOn w:val="1"/>
    <w:qFormat/>
    <w:uiPriority w:val="0"/>
    <w:pPr>
      <w:ind w:left="200" w:hanging="200" w:hangingChars="200"/>
    </w:pPr>
    <w:rPr>
      <w:sz w:val="28"/>
    </w:rPr>
  </w:style>
  <w:style w:type="paragraph" w:styleId="35">
    <w:name w:val="footnote text"/>
    <w:basedOn w:val="1"/>
    <w:link w:val="75"/>
    <w:unhideWhenUsed/>
    <w:qFormat/>
    <w:uiPriority w:val="99"/>
    <w:pPr>
      <w:snapToGrid w:val="0"/>
      <w:jc w:val="left"/>
    </w:pPr>
    <w:rPr>
      <w:sz w:val="18"/>
      <w:szCs w:val="18"/>
    </w:rPr>
  </w:style>
  <w:style w:type="paragraph" w:styleId="36">
    <w:name w:val="toc 6"/>
    <w:basedOn w:val="1"/>
    <w:next w:val="1"/>
    <w:unhideWhenUsed/>
    <w:qFormat/>
    <w:uiPriority w:val="39"/>
    <w:pPr>
      <w:ind w:left="2100" w:leftChars="1000"/>
    </w:pPr>
    <w:rPr>
      <w:rFonts w:ascii="Calibri" w:hAnsi="Calibri" w:eastAsia="宋体" w:cs="Times New Roman"/>
      <w:szCs w:val="22"/>
    </w:rPr>
  </w:style>
  <w:style w:type="paragraph" w:styleId="37">
    <w:name w:val="Body Text Indent 3"/>
    <w:basedOn w:val="1"/>
    <w:link w:val="76"/>
    <w:qFormat/>
    <w:uiPriority w:val="0"/>
    <w:pPr>
      <w:spacing w:after="120"/>
      <w:ind w:left="420" w:leftChars="200"/>
    </w:pPr>
    <w:rPr>
      <w:kern w:val="0"/>
      <w:sz w:val="16"/>
      <w:szCs w:val="16"/>
    </w:rPr>
  </w:style>
  <w:style w:type="paragraph" w:styleId="38">
    <w:name w:val="toc 2"/>
    <w:basedOn w:val="1"/>
    <w:next w:val="1"/>
    <w:unhideWhenUsed/>
    <w:qFormat/>
    <w:uiPriority w:val="39"/>
    <w:pPr>
      <w:ind w:left="420" w:leftChars="200"/>
    </w:pPr>
  </w:style>
  <w:style w:type="paragraph" w:styleId="39">
    <w:name w:val="toc 9"/>
    <w:basedOn w:val="1"/>
    <w:next w:val="1"/>
    <w:unhideWhenUsed/>
    <w:qFormat/>
    <w:uiPriority w:val="39"/>
    <w:pPr>
      <w:ind w:left="3360" w:leftChars="1600"/>
    </w:pPr>
    <w:rPr>
      <w:rFonts w:ascii="Calibri" w:hAnsi="Calibri" w:eastAsia="宋体" w:cs="Times New Roman"/>
      <w:szCs w:val="22"/>
    </w:rPr>
  </w:style>
  <w:style w:type="paragraph" w:styleId="40">
    <w:name w:val="Body Text 2"/>
    <w:basedOn w:val="1"/>
    <w:link w:val="77"/>
    <w:qFormat/>
    <w:uiPriority w:val="0"/>
    <w:pPr>
      <w:spacing w:after="120" w:line="480" w:lineRule="auto"/>
    </w:pPr>
    <w:rPr>
      <w:kern w:val="0"/>
      <w:sz w:val="20"/>
    </w:rPr>
  </w:style>
  <w:style w:type="paragraph" w:styleId="41">
    <w:name w:val="Normal (Web)"/>
    <w:basedOn w:val="1"/>
    <w:qFormat/>
    <w:uiPriority w:val="99"/>
    <w:pPr>
      <w:widowControl/>
      <w:spacing w:before="100" w:beforeAutospacing="1" w:after="100" w:afterAutospacing="1"/>
      <w:jc w:val="left"/>
    </w:pPr>
    <w:rPr>
      <w:rFonts w:ascii="宋体" w:hAnsi="宋体"/>
      <w:kern w:val="0"/>
      <w:sz w:val="24"/>
    </w:rPr>
  </w:style>
  <w:style w:type="paragraph" w:styleId="42">
    <w:name w:val="index 1"/>
    <w:basedOn w:val="1"/>
    <w:next w:val="1"/>
    <w:semiHidden/>
    <w:qFormat/>
    <w:uiPriority w:val="0"/>
    <w:pPr>
      <w:spacing w:line="400" w:lineRule="exact"/>
      <w:ind w:firstLine="420" w:firstLineChars="200"/>
    </w:pPr>
    <w:rPr>
      <w:rFonts w:ascii="宋体" w:hAnsi="Courier New"/>
      <w:b/>
      <w:szCs w:val="20"/>
    </w:rPr>
  </w:style>
  <w:style w:type="paragraph" w:styleId="43">
    <w:name w:val="Title"/>
    <w:basedOn w:val="1"/>
    <w:next w:val="1"/>
    <w:link w:val="78"/>
    <w:qFormat/>
    <w:uiPriority w:val="10"/>
    <w:pPr>
      <w:spacing w:before="240" w:after="60"/>
      <w:jc w:val="center"/>
      <w:outlineLvl w:val="0"/>
    </w:pPr>
    <w:rPr>
      <w:rFonts w:ascii="Cambria" w:hAnsi="Cambria"/>
      <w:b/>
      <w:bCs/>
      <w:sz w:val="32"/>
      <w:szCs w:val="32"/>
    </w:rPr>
  </w:style>
  <w:style w:type="paragraph" w:styleId="44">
    <w:name w:val="annotation subject"/>
    <w:basedOn w:val="17"/>
    <w:next w:val="17"/>
    <w:link w:val="79"/>
    <w:unhideWhenUsed/>
    <w:qFormat/>
    <w:uiPriority w:val="99"/>
    <w:rPr>
      <w:b/>
      <w:bCs/>
    </w:rPr>
  </w:style>
  <w:style w:type="table" w:styleId="46">
    <w:name w:val="Table Grid"/>
    <w:basedOn w:val="45"/>
    <w:qFormat/>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8">
    <w:name w:val="Strong"/>
    <w:basedOn w:val="47"/>
    <w:qFormat/>
    <w:uiPriority w:val="22"/>
    <w:rPr>
      <w:b/>
    </w:rPr>
  </w:style>
  <w:style w:type="character" w:styleId="49">
    <w:name w:val="endnote reference"/>
    <w:unhideWhenUsed/>
    <w:qFormat/>
    <w:uiPriority w:val="99"/>
    <w:rPr>
      <w:vertAlign w:val="superscript"/>
    </w:rPr>
  </w:style>
  <w:style w:type="character" w:styleId="50">
    <w:name w:val="page number"/>
    <w:qFormat/>
    <w:uiPriority w:val="0"/>
  </w:style>
  <w:style w:type="character" w:styleId="51">
    <w:name w:val="FollowedHyperlink"/>
    <w:qFormat/>
    <w:uiPriority w:val="0"/>
    <w:rPr>
      <w:color w:val="000000"/>
      <w:u w:val="none"/>
    </w:rPr>
  </w:style>
  <w:style w:type="character" w:styleId="52">
    <w:name w:val="Hyperlink"/>
    <w:qFormat/>
    <w:uiPriority w:val="99"/>
    <w:rPr>
      <w:color w:val="000000"/>
      <w:u w:val="none"/>
    </w:rPr>
  </w:style>
  <w:style w:type="character" w:styleId="53">
    <w:name w:val="annotation reference"/>
    <w:unhideWhenUsed/>
    <w:qFormat/>
    <w:uiPriority w:val="0"/>
    <w:rPr>
      <w:sz w:val="21"/>
      <w:szCs w:val="21"/>
    </w:rPr>
  </w:style>
  <w:style w:type="character" w:styleId="54">
    <w:name w:val="footnote reference"/>
    <w:unhideWhenUsed/>
    <w:qFormat/>
    <w:uiPriority w:val="99"/>
    <w:rPr>
      <w:vertAlign w:val="superscript"/>
    </w:rPr>
  </w:style>
  <w:style w:type="character" w:customStyle="1" w:styleId="55">
    <w:name w:val="正文文本 Char"/>
    <w:link w:val="2"/>
    <w:qFormat/>
    <w:uiPriority w:val="99"/>
    <w:rPr>
      <w:rFonts w:ascii="Times New Roman" w:hAnsi="Times New Roman" w:eastAsia="宋体" w:cs="Times New Roman"/>
      <w:sz w:val="24"/>
      <w:szCs w:val="24"/>
    </w:rPr>
  </w:style>
  <w:style w:type="character" w:customStyle="1" w:styleId="56">
    <w:name w:val="标题 1 Char"/>
    <w:link w:val="3"/>
    <w:qFormat/>
    <w:uiPriority w:val="0"/>
    <w:rPr>
      <w:rFonts w:ascii="Times New Roman" w:hAnsi="Times New Roman" w:eastAsia="宋体" w:cs="Times New Roman"/>
      <w:b/>
      <w:bCs/>
      <w:kern w:val="44"/>
      <w:sz w:val="44"/>
      <w:szCs w:val="44"/>
    </w:rPr>
  </w:style>
  <w:style w:type="character" w:customStyle="1" w:styleId="57">
    <w:name w:val="标题 2 Char"/>
    <w:link w:val="4"/>
    <w:qFormat/>
    <w:uiPriority w:val="0"/>
    <w:rPr>
      <w:rFonts w:ascii="Arial" w:hAnsi="Arial" w:eastAsia="黑体" w:cs="Times New Roman"/>
      <w:b/>
      <w:bCs/>
      <w:sz w:val="32"/>
      <w:szCs w:val="32"/>
    </w:rPr>
  </w:style>
  <w:style w:type="character" w:customStyle="1" w:styleId="58">
    <w:name w:val="标题 3 Char"/>
    <w:link w:val="5"/>
    <w:qFormat/>
    <w:uiPriority w:val="0"/>
    <w:rPr>
      <w:rFonts w:ascii="Times New Roman" w:hAnsi="Times New Roman" w:eastAsia="宋体" w:cs="Times New Roman"/>
      <w:b/>
      <w:bCs/>
      <w:sz w:val="32"/>
      <w:szCs w:val="32"/>
    </w:rPr>
  </w:style>
  <w:style w:type="character" w:customStyle="1" w:styleId="59">
    <w:name w:val="标题 5 Char1"/>
    <w:link w:val="7"/>
    <w:qFormat/>
    <w:uiPriority w:val="0"/>
    <w:rPr>
      <w:b/>
      <w:kern w:val="2"/>
      <w:sz w:val="28"/>
      <w:szCs w:val="24"/>
    </w:rPr>
  </w:style>
  <w:style w:type="character" w:customStyle="1" w:styleId="60">
    <w:name w:val="标题 6 Char"/>
    <w:link w:val="9"/>
    <w:qFormat/>
    <w:uiPriority w:val="0"/>
    <w:rPr>
      <w:rFonts w:ascii="Arial" w:hAnsi="Arial" w:eastAsia="黑体"/>
      <w:b/>
      <w:kern w:val="2"/>
      <w:sz w:val="24"/>
      <w:szCs w:val="24"/>
    </w:rPr>
  </w:style>
  <w:style w:type="character" w:customStyle="1" w:styleId="61">
    <w:name w:val="标题 7 Char"/>
    <w:link w:val="10"/>
    <w:qFormat/>
    <w:uiPriority w:val="0"/>
    <w:rPr>
      <w:rFonts w:ascii="Times New Roman" w:hAnsi="Times New Roman"/>
      <w:b/>
      <w:kern w:val="2"/>
      <w:sz w:val="24"/>
      <w:szCs w:val="24"/>
    </w:rPr>
  </w:style>
  <w:style w:type="character" w:customStyle="1" w:styleId="62">
    <w:name w:val="标题 8 Char"/>
    <w:link w:val="11"/>
    <w:qFormat/>
    <w:uiPriority w:val="0"/>
    <w:rPr>
      <w:rFonts w:ascii="Arial" w:hAnsi="Arial" w:eastAsia="黑体"/>
      <w:kern w:val="2"/>
      <w:sz w:val="24"/>
      <w:szCs w:val="24"/>
    </w:rPr>
  </w:style>
  <w:style w:type="character" w:customStyle="1" w:styleId="63">
    <w:name w:val="标题 9 Char"/>
    <w:link w:val="12"/>
    <w:qFormat/>
    <w:uiPriority w:val="0"/>
    <w:rPr>
      <w:rFonts w:ascii="Arial" w:hAnsi="Arial" w:eastAsia="黑体"/>
      <w:kern w:val="2"/>
      <w:sz w:val="21"/>
      <w:szCs w:val="24"/>
    </w:rPr>
  </w:style>
  <w:style w:type="character" w:customStyle="1" w:styleId="64">
    <w:name w:val="文档结构图 Char"/>
    <w:link w:val="16"/>
    <w:qFormat/>
    <w:uiPriority w:val="0"/>
    <w:rPr>
      <w:rFonts w:hint="eastAsia" w:ascii="宋体" w:hAnsi="宋体" w:eastAsia="宋体" w:cs="宋体"/>
    </w:rPr>
  </w:style>
  <w:style w:type="character" w:customStyle="1" w:styleId="65">
    <w:name w:val="批注文字 Char2"/>
    <w:link w:val="17"/>
    <w:qFormat/>
    <w:uiPriority w:val="0"/>
    <w:rPr>
      <w:rFonts w:ascii="Times New Roman" w:hAnsi="Times New Roman"/>
      <w:kern w:val="2"/>
      <w:sz w:val="21"/>
      <w:szCs w:val="24"/>
    </w:rPr>
  </w:style>
  <w:style w:type="character" w:customStyle="1" w:styleId="66">
    <w:name w:val="正文文本 3 Char"/>
    <w:link w:val="18"/>
    <w:qFormat/>
    <w:uiPriority w:val="0"/>
    <w:rPr>
      <w:rFonts w:ascii="Times New Roman" w:hAnsi="Times New Roman" w:eastAsia="宋体" w:cs="Times New Roman"/>
      <w:b/>
      <w:bCs/>
      <w:sz w:val="24"/>
      <w:szCs w:val="24"/>
    </w:rPr>
  </w:style>
  <w:style w:type="character" w:customStyle="1" w:styleId="67">
    <w:name w:val="正文文本缩进 Char"/>
    <w:link w:val="19"/>
    <w:qFormat/>
    <w:uiPriority w:val="0"/>
    <w:rPr>
      <w:rFonts w:ascii="仿宋_GB2312" w:hAnsi="Times New Roman" w:eastAsia="仿宋_GB2312" w:cs="Times New Roman"/>
      <w:sz w:val="32"/>
      <w:szCs w:val="20"/>
    </w:rPr>
  </w:style>
  <w:style w:type="character" w:customStyle="1" w:styleId="68">
    <w:name w:val="纯文本 Char1"/>
    <w:link w:val="24"/>
    <w:qFormat/>
    <w:uiPriority w:val="0"/>
    <w:rPr>
      <w:rFonts w:ascii="宋体" w:hAnsi="Courier New" w:eastAsia="宋体" w:cs="Courier New"/>
      <w:szCs w:val="21"/>
    </w:rPr>
  </w:style>
  <w:style w:type="character" w:customStyle="1" w:styleId="69">
    <w:name w:val="日期 Char"/>
    <w:link w:val="26"/>
    <w:qFormat/>
    <w:uiPriority w:val="0"/>
    <w:rPr>
      <w:rFonts w:ascii="宋体" w:hAnsi="Courier New" w:eastAsia="宋体" w:cs="Courier New"/>
      <w:szCs w:val="21"/>
    </w:rPr>
  </w:style>
  <w:style w:type="character" w:customStyle="1" w:styleId="70">
    <w:name w:val="正文文本缩进 2 Char"/>
    <w:link w:val="27"/>
    <w:qFormat/>
    <w:uiPriority w:val="0"/>
    <w:rPr>
      <w:rFonts w:ascii="Times New Roman" w:hAnsi="Times New Roman" w:eastAsia="宋体" w:cs="Times New Roman"/>
      <w:sz w:val="32"/>
      <w:szCs w:val="20"/>
    </w:rPr>
  </w:style>
  <w:style w:type="character" w:customStyle="1" w:styleId="71">
    <w:name w:val="尾注文本 Char"/>
    <w:link w:val="28"/>
    <w:semiHidden/>
    <w:qFormat/>
    <w:uiPriority w:val="99"/>
    <w:rPr>
      <w:rFonts w:ascii="Times New Roman" w:hAnsi="Times New Roman"/>
      <w:kern w:val="2"/>
      <w:sz w:val="21"/>
      <w:szCs w:val="24"/>
    </w:rPr>
  </w:style>
  <w:style w:type="character" w:customStyle="1" w:styleId="72">
    <w:name w:val="批注框文本 Char"/>
    <w:link w:val="29"/>
    <w:semiHidden/>
    <w:qFormat/>
    <w:uiPriority w:val="0"/>
    <w:rPr>
      <w:rFonts w:ascii="Times New Roman" w:hAnsi="Times New Roman" w:eastAsia="宋体" w:cs="Times New Roman"/>
      <w:sz w:val="18"/>
      <w:szCs w:val="18"/>
    </w:rPr>
  </w:style>
  <w:style w:type="character" w:customStyle="1" w:styleId="73">
    <w:name w:val="页脚 Char"/>
    <w:link w:val="30"/>
    <w:qFormat/>
    <w:uiPriority w:val="99"/>
    <w:rPr>
      <w:sz w:val="18"/>
      <w:szCs w:val="18"/>
    </w:rPr>
  </w:style>
  <w:style w:type="character" w:customStyle="1" w:styleId="74">
    <w:name w:val="页眉 Char"/>
    <w:link w:val="31"/>
    <w:qFormat/>
    <w:uiPriority w:val="99"/>
    <w:rPr>
      <w:rFonts w:ascii="Times New Roman" w:hAnsi="Times New Roman"/>
      <w:kern w:val="2"/>
      <w:sz w:val="18"/>
      <w:szCs w:val="18"/>
    </w:rPr>
  </w:style>
  <w:style w:type="character" w:customStyle="1" w:styleId="75">
    <w:name w:val="脚注文本 Char"/>
    <w:link w:val="35"/>
    <w:semiHidden/>
    <w:qFormat/>
    <w:uiPriority w:val="99"/>
    <w:rPr>
      <w:rFonts w:ascii="Times New Roman" w:hAnsi="Times New Roman"/>
      <w:kern w:val="2"/>
      <w:sz w:val="18"/>
      <w:szCs w:val="18"/>
    </w:rPr>
  </w:style>
  <w:style w:type="character" w:customStyle="1" w:styleId="76">
    <w:name w:val="正文文本缩进 3 Char"/>
    <w:link w:val="37"/>
    <w:qFormat/>
    <w:uiPriority w:val="0"/>
    <w:rPr>
      <w:rFonts w:ascii="Times New Roman" w:hAnsi="Times New Roman" w:eastAsia="宋体" w:cs="Times New Roman"/>
      <w:sz w:val="16"/>
      <w:szCs w:val="16"/>
    </w:rPr>
  </w:style>
  <w:style w:type="character" w:customStyle="1" w:styleId="77">
    <w:name w:val="正文文本 2 Char"/>
    <w:link w:val="40"/>
    <w:qFormat/>
    <w:uiPriority w:val="0"/>
    <w:rPr>
      <w:rFonts w:ascii="Times New Roman" w:hAnsi="Times New Roman" w:eastAsia="宋体" w:cs="Times New Roman"/>
      <w:szCs w:val="24"/>
    </w:rPr>
  </w:style>
  <w:style w:type="character" w:customStyle="1" w:styleId="78">
    <w:name w:val="标题 Char"/>
    <w:link w:val="43"/>
    <w:qFormat/>
    <w:uiPriority w:val="10"/>
    <w:rPr>
      <w:rFonts w:ascii="Cambria" w:hAnsi="Cambria" w:cs="Times New Roman"/>
      <w:b/>
      <w:bCs/>
      <w:kern w:val="2"/>
      <w:sz w:val="32"/>
      <w:szCs w:val="32"/>
    </w:rPr>
  </w:style>
  <w:style w:type="character" w:customStyle="1" w:styleId="79">
    <w:name w:val="批注主题 Char"/>
    <w:link w:val="44"/>
    <w:semiHidden/>
    <w:qFormat/>
    <w:uiPriority w:val="99"/>
    <w:rPr>
      <w:rFonts w:ascii="Times New Roman" w:hAnsi="Times New Roman"/>
      <w:b/>
      <w:bCs/>
      <w:kern w:val="2"/>
      <w:sz w:val="21"/>
      <w:szCs w:val="24"/>
    </w:rPr>
  </w:style>
  <w:style w:type="character" w:customStyle="1" w:styleId="80">
    <w:name w:val="批注文字 Char1"/>
    <w:qFormat/>
    <w:locked/>
    <w:uiPriority w:val="0"/>
    <w:rPr>
      <w:rFonts w:ascii="Times New Roman" w:hAnsi="Times New Roman"/>
      <w:kern w:val="2"/>
      <w:sz w:val="21"/>
      <w:szCs w:val="24"/>
    </w:rPr>
  </w:style>
  <w:style w:type="character" w:customStyle="1" w:styleId="81">
    <w:name w:val="case31"/>
    <w:qFormat/>
    <w:uiPriority w:val="0"/>
    <w:rPr>
      <w:rFonts w:hint="default" w:ascii="_x000B__x000C_" w:hAnsi="_x000B__x000C_"/>
      <w:sz w:val="21"/>
      <w:szCs w:val="21"/>
    </w:rPr>
  </w:style>
  <w:style w:type="character" w:customStyle="1" w:styleId="82">
    <w:name w:val="批注文字 Char"/>
    <w:qFormat/>
    <w:uiPriority w:val="0"/>
    <w:rPr>
      <w:rFonts w:ascii="Times New Roman" w:hAnsi="Times New Roman"/>
      <w:kern w:val="2"/>
      <w:sz w:val="21"/>
      <w:szCs w:val="24"/>
    </w:rPr>
  </w:style>
  <w:style w:type="character" w:customStyle="1" w:styleId="83">
    <w:name w:val="纯文本 Char"/>
    <w:qFormat/>
    <w:uiPriority w:val="0"/>
    <w:rPr>
      <w:rFonts w:ascii="宋体" w:hAnsi="Courier New" w:eastAsia="宋体"/>
      <w:kern w:val="2"/>
      <w:sz w:val="21"/>
      <w:lang w:val="en-US" w:eastAsia="zh-CN" w:bidi="ar-SA"/>
    </w:rPr>
  </w:style>
  <w:style w:type="character" w:customStyle="1" w:styleId="84">
    <w:name w:val="纯文本 字符1"/>
    <w:qFormat/>
    <w:uiPriority w:val="0"/>
    <w:rPr>
      <w:rFonts w:ascii="宋体" w:hAnsi="Courier New"/>
    </w:rPr>
  </w:style>
  <w:style w:type="character" w:customStyle="1" w:styleId="85">
    <w:name w:val="批注文字 字符1"/>
    <w:qFormat/>
    <w:uiPriority w:val="0"/>
    <w:rPr>
      <w:rFonts w:ascii="Times New Roman" w:hAnsi="Times New Roman"/>
      <w:kern w:val="2"/>
      <w:sz w:val="21"/>
      <w:szCs w:val="24"/>
    </w:rPr>
  </w:style>
  <w:style w:type="character" w:customStyle="1" w:styleId="86">
    <w:name w:val="正文文本 Char1"/>
    <w:semiHidden/>
    <w:qFormat/>
    <w:locked/>
    <w:uiPriority w:val="99"/>
    <w:rPr>
      <w:sz w:val="24"/>
      <w:szCs w:val="24"/>
    </w:rPr>
  </w:style>
  <w:style w:type="character" w:customStyle="1" w:styleId="87">
    <w:name w:val="apple-style-span"/>
    <w:qFormat/>
    <w:uiPriority w:val="0"/>
  </w:style>
  <w:style w:type="character" w:customStyle="1" w:styleId="88">
    <w:name w:val="textcontents"/>
    <w:qFormat/>
    <w:uiPriority w:val="0"/>
  </w:style>
  <w:style w:type="character" w:customStyle="1" w:styleId="89">
    <w:name w:val="普通文字 Char Char2"/>
    <w:qFormat/>
    <w:uiPriority w:val="0"/>
    <w:rPr>
      <w:rFonts w:ascii="宋体" w:hAnsi="Courier New" w:eastAsia="宋体"/>
      <w:kern w:val="2"/>
      <w:sz w:val="21"/>
      <w:lang w:val="en-US" w:eastAsia="zh-CN" w:bidi="ar-SA"/>
    </w:rPr>
  </w:style>
  <w:style w:type="character" w:customStyle="1" w:styleId="90">
    <w:name w:val="标题 5 Char"/>
    <w:qFormat/>
    <w:uiPriority w:val="9"/>
    <w:rPr>
      <w:b/>
      <w:kern w:val="2"/>
      <w:sz w:val="28"/>
      <w:szCs w:val="24"/>
    </w:rPr>
  </w:style>
  <w:style w:type="character" w:customStyle="1" w:styleId="91">
    <w:name w:val="批注文字 字符"/>
    <w:qFormat/>
    <w:uiPriority w:val="0"/>
    <w:rPr>
      <w:rFonts w:ascii="Times New Roman" w:hAnsi="Times New Roman"/>
      <w:kern w:val="2"/>
      <w:sz w:val="21"/>
      <w:szCs w:val="24"/>
    </w:rPr>
  </w:style>
  <w:style w:type="character" w:customStyle="1" w:styleId="92">
    <w:name w:val="标题 1 字符"/>
    <w:qFormat/>
    <w:uiPriority w:val="9"/>
    <w:rPr>
      <w:rFonts w:ascii="Times New Roman" w:hAnsi="Times New Roman" w:eastAsia="宋体" w:cs="Times New Roman"/>
      <w:b/>
      <w:bCs/>
      <w:kern w:val="44"/>
      <w:sz w:val="44"/>
      <w:szCs w:val="44"/>
    </w:rPr>
  </w:style>
  <w:style w:type="character" w:customStyle="1" w:styleId="93">
    <w:name w:val="纯文本 字符"/>
    <w:qFormat/>
    <w:uiPriority w:val="0"/>
    <w:rPr>
      <w:rFonts w:ascii="宋体" w:hAnsi="Courier New" w:eastAsia="宋体" w:cs="Courier New"/>
      <w:szCs w:val="21"/>
    </w:rPr>
  </w:style>
  <w:style w:type="character" w:customStyle="1" w:styleId="94">
    <w:name w:val="headline-content4"/>
    <w:qFormat/>
    <w:uiPriority w:val="0"/>
  </w:style>
  <w:style w:type="character" w:customStyle="1" w:styleId="95">
    <w:name w:val="正文文本 (26) + 间距 0 pt"/>
    <w:qFormat/>
    <w:uiPriority w:val="0"/>
    <w:rPr>
      <w:rFonts w:ascii="宋体" w:hAnsi="宋体" w:eastAsia="宋体" w:cs="宋体"/>
      <w:color w:val="000000"/>
      <w:spacing w:val="0"/>
      <w:w w:val="100"/>
      <w:position w:val="0"/>
      <w:sz w:val="22"/>
      <w:szCs w:val="22"/>
      <w:u w:val="none"/>
      <w:lang w:val="zh-CN" w:eastAsia="zh-CN" w:bidi="zh-CN"/>
    </w:rPr>
  </w:style>
  <w:style w:type="character" w:customStyle="1" w:styleId="96">
    <w:name w:val="正文文本缩进 字符"/>
    <w:qFormat/>
    <w:uiPriority w:val="0"/>
    <w:rPr>
      <w:rFonts w:ascii="仿宋_GB2312" w:hAnsi="Times New Roman" w:eastAsia="仿宋_GB2312" w:cs="Times New Roman"/>
      <w:sz w:val="32"/>
      <w:szCs w:val="20"/>
    </w:rPr>
  </w:style>
  <w:style w:type="paragraph" w:customStyle="1" w:styleId="97">
    <w:name w:val="Char1"/>
    <w:basedOn w:val="1"/>
    <w:qFormat/>
    <w:uiPriority w:val="0"/>
    <w:rPr>
      <w:szCs w:val="21"/>
    </w:rPr>
  </w:style>
  <w:style w:type="paragraph" w:styleId="98">
    <w:name w:val="List Paragraph"/>
    <w:basedOn w:val="1"/>
    <w:qFormat/>
    <w:uiPriority w:val="34"/>
    <w:pPr>
      <w:ind w:firstLine="420" w:firstLineChars="200"/>
    </w:pPr>
  </w:style>
  <w:style w:type="paragraph" w:customStyle="1" w:styleId="99">
    <w:name w:val="样式 标题 2 + Times New Roman 四号 非加粗 段前: 5 磅 段后: 0 磅 行距: 固定值 20..."/>
    <w:basedOn w:val="4"/>
    <w:qFormat/>
    <w:uiPriority w:val="0"/>
    <w:pPr>
      <w:spacing w:before="100" w:after="0" w:line="400" w:lineRule="exact"/>
    </w:pPr>
    <w:rPr>
      <w:rFonts w:ascii="Times New Roman" w:hAnsi="Times New Roman" w:cs="宋体"/>
      <w:b w:val="0"/>
      <w:bCs w:val="0"/>
      <w:sz w:val="28"/>
      <w:szCs w:val="20"/>
    </w:rPr>
  </w:style>
  <w:style w:type="paragraph" w:customStyle="1" w:styleId="100">
    <w:name w:val="默认段落字体 Para Char Char Char Char Char Char Char Char Char1 Char Char Char Char"/>
    <w:basedOn w:val="1"/>
    <w:qFormat/>
    <w:uiPriority w:val="0"/>
    <w:rPr>
      <w:rFonts w:ascii="Tahoma" w:hAnsi="Tahoma"/>
      <w:sz w:val="24"/>
      <w:szCs w:val="20"/>
    </w:rPr>
  </w:style>
  <w:style w:type="paragraph" w:customStyle="1" w:styleId="101">
    <w:name w:val="样式"/>
    <w:qFormat/>
    <w:uiPriority w:val="0"/>
    <w:pPr>
      <w:widowControl w:val="0"/>
      <w:autoSpaceDE w:val="0"/>
      <w:autoSpaceDN w:val="0"/>
      <w:adjustRightInd w:val="0"/>
      <w:jc w:val="center"/>
    </w:pPr>
    <w:rPr>
      <w:rFonts w:ascii="宋体" w:hAnsi="宋体" w:eastAsia="宋体" w:cs="宋体"/>
      <w:sz w:val="24"/>
      <w:szCs w:val="24"/>
      <w:lang w:val="en-US" w:eastAsia="zh-CN" w:bidi="ar-SA"/>
    </w:rPr>
  </w:style>
  <w:style w:type="paragraph" w:customStyle="1" w:styleId="102">
    <w:name w:val="Plain Text"/>
    <w:basedOn w:val="1"/>
    <w:qFormat/>
    <w:uiPriority w:val="0"/>
    <w:rPr>
      <w:rFonts w:ascii="宋体" w:hAnsi="Courier New" w:cs="Century"/>
      <w:szCs w:val="21"/>
    </w:rPr>
  </w:style>
  <w:style w:type="paragraph" w:customStyle="1" w:styleId="103">
    <w:name w:val="Table Paragraph"/>
    <w:basedOn w:val="1"/>
    <w:qFormat/>
    <w:uiPriority w:val="1"/>
    <w:pPr>
      <w:jc w:val="left"/>
    </w:pPr>
    <w:rPr>
      <w:rFonts w:ascii="Calibri" w:hAnsi="Calibri" w:eastAsia="宋体" w:cs="Times New Roman"/>
      <w:kern w:val="0"/>
      <w:sz w:val="22"/>
      <w:szCs w:val="22"/>
      <w:lang w:eastAsia="en-US"/>
    </w:rPr>
  </w:style>
  <w:style w:type="paragraph" w:customStyle="1" w:styleId="104">
    <w:name w:val="表内文字"/>
    <w:basedOn w:val="1"/>
    <w:qFormat/>
    <w:uiPriority w:val="0"/>
    <w:pPr>
      <w:snapToGrid w:val="0"/>
      <w:spacing w:before="50" w:after="50"/>
      <w:jc w:val="center"/>
    </w:pPr>
    <w:rPr>
      <w:rFonts w:ascii="仿宋_GB2312" w:hAnsi="宋体" w:eastAsia="仿宋_GB2312"/>
      <w:b/>
      <w:color w:val="000000"/>
      <w:sz w:val="32"/>
      <w:szCs w:val="32"/>
    </w:rPr>
  </w:style>
  <w:style w:type="paragraph" w:customStyle="1" w:styleId="105">
    <w:name w:val="表格"/>
    <w:basedOn w:val="1"/>
    <w:qFormat/>
    <w:uiPriority w:val="0"/>
    <w:pPr>
      <w:spacing w:line="400" w:lineRule="exact"/>
    </w:pPr>
    <w:rPr>
      <w:sz w:val="24"/>
    </w:rPr>
  </w:style>
  <w:style w:type="paragraph" w:customStyle="1" w:styleId="106">
    <w:name w:val="样式 首行缩进:  2 字符"/>
    <w:basedOn w:val="1"/>
    <w:qFormat/>
    <w:uiPriority w:val="0"/>
    <w:pPr>
      <w:spacing w:line="400" w:lineRule="exact"/>
      <w:ind w:firstLine="200" w:firstLineChars="200"/>
    </w:pPr>
    <w:rPr>
      <w:rFonts w:cs="宋体"/>
      <w:sz w:val="24"/>
    </w:rPr>
  </w:style>
  <w:style w:type="paragraph" w:customStyle="1" w:styleId="107">
    <w:name w:val="xl22"/>
    <w:basedOn w:val="1"/>
    <w:qFormat/>
    <w:uiPriority w:val="0"/>
    <w:pPr>
      <w:widowControl/>
      <w:spacing w:before="100" w:beforeAutospacing="1" w:after="100" w:afterAutospacing="1"/>
      <w:jc w:val="left"/>
    </w:pPr>
    <w:rPr>
      <w:rFonts w:ascii="Arial Unicode MS" w:hAnsi="Arial Unicode MS" w:eastAsia="Arial Unicode MS" w:cs="Arial Unicode MS"/>
      <w:kern w:val="0"/>
      <w:sz w:val="20"/>
      <w:szCs w:val="20"/>
    </w:rPr>
  </w:style>
  <w:style w:type="paragraph" w:customStyle="1" w:styleId="108">
    <w:name w:val="样式 标题 3 + (中文) 黑体 小四 非加粗 段前: 7.8 磅 段后: 0 磅 行距: 固定值 20 磅"/>
    <w:basedOn w:val="5"/>
    <w:qFormat/>
    <w:uiPriority w:val="0"/>
    <w:pPr>
      <w:spacing w:before="0" w:after="0" w:line="400" w:lineRule="exact"/>
    </w:pPr>
    <w:rPr>
      <w:rFonts w:eastAsia="黑体" w:cs="宋体"/>
      <w:b w:val="0"/>
      <w:bCs w:val="0"/>
      <w:sz w:val="24"/>
      <w:szCs w:val="20"/>
    </w:rPr>
  </w:style>
  <w:style w:type="paragraph" w:customStyle="1" w:styleId="109">
    <w:name w:val="正文首行缩进两字符"/>
    <w:basedOn w:val="1"/>
    <w:qFormat/>
    <w:uiPriority w:val="0"/>
    <w:pPr>
      <w:spacing w:line="360" w:lineRule="auto"/>
      <w:ind w:firstLine="200" w:firstLineChars="200"/>
    </w:pPr>
  </w:style>
  <w:style w:type="paragraph" w:customStyle="1" w:styleId="110">
    <w:name w:val="正文段"/>
    <w:basedOn w:val="1"/>
    <w:qFormat/>
    <w:uiPriority w:val="0"/>
    <w:pPr>
      <w:widowControl/>
      <w:snapToGrid w:val="0"/>
      <w:spacing w:after="50" w:afterLines="50"/>
      <w:ind w:firstLine="200" w:firstLineChars="200"/>
    </w:pPr>
    <w:rPr>
      <w:kern w:val="0"/>
      <w:sz w:val="24"/>
      <w:szCs w:val="20"/>
    </w:rPr>
  </w:style>
  <w:style w:type="table" w:customStyle="1" w:styleId="111">
    <w:name w:val="Table Normal"/>
    <w:semiHidden/>
    <w:qFormat/>
    <w:uiPriority w:val="2"/>
    <w:pPr>
      <w:widowControl w:val="0"/>
    </w:pPr>
    <w:rPr>
      <w:rFonts w:ascii="Calibri" w:hAnsi="Calibri" w:eastAsia="Times New Roman"/>
      <w:sz w:val="22"/>
      <w:szCs w:val="22"/>
      <w:lang w:val="en-US" w:eastAsia="en-US" w:bidi="ar-SA"/>
    </w:rPr>
    <w:tblPr>
      <w:tblCellMar>
        <w:top w:w="0" w:type="dxa"/>
        <w:left w:w="0" w:type="dxa"/>
        <w:bottom w:w="0" w:type="dxa"/>
        <w:right w:w="0" w:type="dxa"/>
      </w:tblCellMar>
    </w:tblPr>
  </w:style>
  <w:style w:type="character" w:customStyle="1" w:styleId="112">
    <w:name w:val="页脚 字符"/>
    <w:qFormat/>
    <w:uiPriority w:val="99"/>
  </w:style>
  <w:style w:type="character" w:customStyle="1" w:styleId="113">
    <w:name w:val="标题 1 Char1"/>
    <w:qFormat/>
    <w:uiPriority w:val="0"/>
    <w:rPr>
      <w:rFonts w:eastAsia="宋体"/>
      <w:b/>
      <w:bCs/>
      <w:kern w:val="44"/>
      <w:sz w:val="44"/>
      <w:szCs w:val="44"/>
      <w:lang w:val="en-US" w:eastAsia="zh-CN" w:bidi="ar-SA"/>
    </w:rPr>
  </w:style>
  <w:style w:type="character" w:customStyle="1" w:styleId="114">
    <w:name w:val="纯文本 Char2"/>
    <w:qFormat/>
    <w:uiPriority w:val="0"/>
    <w:rPr>
      <w:rFonts w:ascii="宋体" w:hAnsi="Courier New" w:eastAsia="宋体" w:cs="Courier New"/>
      <w:szCs w:val="21"/>
    </w:rPr>
  </w:style>
  <w:style w:type="paragraph" w:customStyle="1" w:styleId="115">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character" w:customStyle="1" w:styleId="116">
    <w:name w:val="font01"/>
    <w:basedOn w:val="47"/>
    <w:qFormat/>
    <w:uiPriority w:val="0"/>
    <w:rPr>
      <w:rFonts w:hint="eastAsia" w:ascii="宋体" w:hAnsi="宋体" w:eastAsia="宋体" w:cs="宋体"/>
      <w:color w:val="000000"/>
      <w:sz w:val="22"/>
      <w:szCs w:val="22"/>
      <w:u w:val="none"/>
    </w:rPr>
  </w:style>
  <w:style w:type="character" w:customStyle="1" w:styleId="117">
    <w:name w:val="font51"/>
    <w:basedOn w:val="47"/>
    <w:qFormat/>
    <w:uiPriority w:val="0"/>
    <w:rPr>
      <w:rFonts w:hint="default" w:ascii="Times New Roman" w:hAnsi="Times New Roman" w:cs="Times New Roman"/>
      <w:color w:val="000000"/>
      <w:sz w:val="21"/>
      <w:szCs w:val="21"/>
      <w:u w:val="none"/>
    </w:rPr>
  </w:style>
  <w:style w:type="character" w:customStyle="1" w:styleId="118">
    <w:name w:val="font61"/>
    <w:basedOn w:val="47"/>
    <w:qFormat/>
    <w:uiPriority w:val="0"/>
    <w:rPr>
      <w:rFonts w:hint="eastAsia" w:ascii="宋体" w:hAnsi="宋体" w:eastAsia="宋体" w:cs="宋体"/>
      <w:color w:val="000000"/>
      <w:sz w:val="21"/>
      <w:szCs w:val="21"/>
      <w:u w:val="none"/>
    </w:rPr>
  </w:style>
  <w:style w:type="character" w:customStyle="1" w:styleId="119">
    <w:name w:val="font41"/>
    <w:basedOn w:val="47"/>
    <w:qFormat/>
    <w:uiPriority w:val="0"/>
    <w:rPr>
      <w:rFonts w:hint="eastAsia" w:ascii="宋体" w:hAnsi="宋体" w:eastAsia="宋体" w:cs="宋体"/>
      <w:color w:val="000000"/>
      <w:sz w:val="18"/>
      <w:szCs w:val="18"/>
      <w:u w:val="none"/>
    </w:rPr>
  </w:style>
  <w:style w:type="character" w:customStyle="1" w:styleId="120">
    <w:name w:val="font71"/>
    <w:basedOn w:val="47"/>
    <w:qFormat/>
    <w:uiPriority w:val="0"/>
    <w:rPr>
      <w:rFonts w:ascii="方正书宋_GBK" w:hAnsi="方正书宋_GBK" w:eastAsia="方正书宋_GBK" w:cs="方正书宋_GBK"/>
      <w:color w:val="000000"/>
      <w:sz w:val="21"/>
      <w:szCs w:val="21"/>
      <w:u w:val="none"/>
    </w:rPr>
  </w:style>
  <w:style w:type="paragraph" w:customStyle="1" w:styleId="121">
    <w:name w:val="段"/>
    <w:next w:val="1"/>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paragraph" w:customStyle="1" w:styleId="122">
    <w:name w:val="正文-2字符首行缩进"/>
    <w:basedOn w:val="1"/>
    <w:link w:val="123"/>
    <w:qFormat/>
    <w:uiPriority w:val="0"/>
    <w:pPr>
      <w:widowControl/>
      <w:spacing w:line="360" w:lineRule="auto"/>
      <w:ind w:firstLine="200" w:firstLineChars="200"/>
    </w:pPr>
    <w:rPr>
      <w:rFonts w:ascii="仿宋_GB2312" w:hAnsi="Calibri" w:eastAsia="仿宋_GB2312"/>
      <w:kern w:val="0"/>
      <w:sz w:val="28"/>
      <w:szCs w:val="22"/>
    </w:rPr>
  </w:style>
  <w:style w:type="character" w:customStyle="1" w:styleId="123">
    <w:name w:val="正文-2字符首行缩进 Char"/>
    <w:link w:val="122"/>
    <w:qFormat/>
    <w:uiPriority w:val="0"/>
    <w:rPr>
      <w:rFonts w:ascii="仿宋_GB2312" w:hAnsi="Calibri" w:eastAsia="仿宋_GB2312"/>
      <w:sz w:val="28"/>
      <w:szCs w:val="22"/>
    </w:rPr>
  </w:style>
  <w:style w:type="paragraph" w:customStyle="1" w:styleId="124">
    <w:name w:val="列出段落1"/>
    <w:basedOn w:val="1"/>
    <w:qFormat/>
    <w:uiPriority w:val="99"/>
    <w:pPr>
      <w:ind w:firstLine="420" w:firstLineChars="200"/>
    </w:pPr>
    <w:rPr>
      <w:rFonts w:ascii="等线" w:hAnsi="等线" w:eastAsia="等线"/>
    </w:rPr>
  </w:style>
  <w:style w:type="character" w:customStyle="1" w:styleId="125">
    <w:name w:val="font31"/>
    <w:basedOn w:val="47"/>
    <w:qFormat/>
    <w:uiPriority w:val="0"/>
    <w:rPr>
      <w:rFonts w:hint="eastAsia" w:ascii="宋体" w:hAnsi="宋体" w:eastAsia="宋体" w:cs="宋体"/>
      <w:b/>
      <w:bCs/>
      <w:color w:val="000000"/>
      <w:sz w:val="22"/>
      <w:szCs w:val="22"/>
      <w:u w:val="none"/>
    </w:rPr>
  </w:style>
  <w:style w:type="character" w:customStyle="1" w:styleId="126">
    <w:name w:val="font91"/>
    <w:basedOn w:val="47"/>
    <w:qFormat/>
    <w:uiPriority w:val="0"/>
    <w:rPr>
      <w:rFonts w:hint="eastAsia" w:ascii="宋体" w:hAnsi="宋体" w:eastAsia="宋体" w:cs="宋体"/>
      <w:b/>
      <w:bCs/>
      <w:color w:val="000000"/>
      <w:sz w:val="22"/>
      <w:szCs w:val="22"/>
      <w:u w:val="none"/>
    </w:rPr>
  </w:style>
  <w:style w:type="character" w:customStyle="1" w:styleId="127">
    <w:name w:val="font21"/>
    <w:basedOn w:val="47"/>
    <w:qFormat/>
    <w:uiPriority w:val="0"/>
    <w:rPr>
      <w:rFonts w:hint="eastAsia" w:ascii="宋体" w:hAnsi="宋体" w:eastAsia="宋体" w:cs="宋体"/>
      <w:b/>
      <w:bCs/>
      <w:color w:val="000000"/>
      <w:sz w:val="36"/>
      <w:szCs w:val="36"/>
      <w:u w:val="none"/>
    </w:rPr>
  </w:style>
  <w:style w:type="character" w:customStyle="1" w:styleId="128">
    <w:name w:val="font101"/>
    <w:basedOn w:val="47"/>
    <w:qFormat/>
    <w:uiPriority w:val="0"/>
    <w:rPr>
      <w:rFonts w:ascii="Calibri" w:hAnsi="Calibri" w:cs="Calibri"/>
      <w:b/>
      <w:bCs/>
      <w:color w:val="000000"/>
      <w:sz w:val="32"/>
      <w:szCs w:val="32"/>
      <w:u w:val="none"/>
    </w:rPr>
  </w:style>
  <w:style w:type="paragraph" w:customStyle="1" w:styleId="129">
    <w:name w:val="表格文字"/>
    <w:basedOn w:val="19"/>
    <w:qFormat/>
    <w:uiPriority w:val="0"/>
    <w:pPr>
      <w:autoSpaceDE/>
      <w:autoSpaceDN/>
      <w:adjustRightInd w:val="0"/>
      <w:spacing w:line="420" w:lineRule="atLeast"/>
      <w:textAlignment w:val="baseline"/>
    </w:pPr>
    <w:rPr>
      <w:rFonts w:ascii="Times New Roman" w:hAnsi="Times New Roman" w:cs="Times New Roman"/>
      <w:sz w:val="21"/>
      <w:szCs w:val="20"/>
      <w:lang w:val="en-US" w:bidi="ar-SA"/>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5.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header" Target="header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image" Target="media/image1.jpeg"/><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KWZB;</Company>
  <Pages>122</Pages>
  <Words>15311</Words>
  <Characters>16853</Characters>
  <Lines>414</Lines>
  <Paragraphs>116</Paragraphs>
  <TotalTime>1</TotalTime>
  <ScaleCrop>false</ScaleCrop>
  <LinksUpToDate>false</LinksUpToDate>
  <CharactersWithSpaces>16969</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2023-04-28T09:59:00Z</dcterms:created>
  <dc:creator>KWZB</dc:creator>
  <cp:lastModifiedBy>blzzfmly</cp:lastModifiedBy>
  <cp:lastPrinted>2026-06-12T10:01:00Z</cp:lastPrinted>
  <dcterms:modified xsi:type="dcterms:W3CDTF">2026-06-15T15:14:53Z</dcterms:modified>
  <dc:title>公开招标采购文件范本</dc:title>
  <cp:revision>20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0F9C5244915F4BB9976AD90EA38DF826_13</vt:lpwstr>
  </property>
  <property fmtid="{D5CDD505-2E9C-101B-9397-08002B2CF9AE}" pid="4" name="KSOTemplateDocerSaveRecord">
    <vt:lpwstr>eyJoZGlkIjoiZDU3OWYxZDQzNDUwZDdhMzNkYjFjNzZhNTQ0ODgyNTgiLCJ1c2VySWQiOiI2MDA0OTU1NjQifQ==</vt:lpwstr>
  </property>
</Properties>
</file>