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F9303">
      <w:pPr>
        <w:spacing w:before="218" w:line="220" w:lineRule="auto"/>
        <w:rPr>
          <w:rFonts w:hint="eastAsia" w:ascii="宋体" w:hAnsi="宋体" w:eastAsia="宋体" w:cs="宋体"/>
          <w:color w:val="auto"/>
          <w:sz w:val="71"/>
          <w:szCs w:val="71"/>
          <w:lang w:eastAsia="zh-CN"/>
        </w:rPr>
      </w:pPr>
      <w:r>
        <w:rPr>
          <w:rFonts w:hint="eastAsia" w:ascii="宋体" w:hAnsi="宋体" w:eastAsia="宋体" w:cs="宋体"/>
          <w:b/>
          <w:bCs/>
          <w:color w:val="auto"/>
          <w:spacing w:val="-1"/>
          <w:sz w:val="71"/>
          <w:szCs w:val="71"/>
          <w:lang w:eastAsia="zh-CN"/>
        </w:rPr>
        <w:t>广西冠宁工程咨询有限公司</w:t>
      </w:r>
    </w:p>
    <w:p w14:paraId="51D4CF64">
      <w:pPr>
        <w:spacing w:line="268" w:lineRule="auto"/>
        <w:rPr>
          <w:rFonts w:ascii="Arial"/>
          <w:color w:val="auto"/>
          <w:sz w:val="21"/>
        </w:rPr>
      </w:pPr>
    </w:p>
    <w:p w14:paraId="1810ACE5">
      <w:pPr>
        <w:spacing w:line="269" w:lineRule="auto"/>
        <w:rPr>
          <w:rFonts w:ascii="Arial"/>
          <w:color w:val="auto"/>
          <w:sz w:val="21"/>
        </w:rPr>
      </w:pPr>
    </w:p>
    <w:p w14:paraId="470BCBBD">
      <w:pPr>
        <w:spacing w:line="269" w:lineRule="auto"/>
        <w:rPr>
          <w:rFonts w:ascii="Arial"/>
          <w:color w:val="auto"/>
          <w:sz w:val="21"/>
        </w:rPr>
      </w:pPr>
    </w:p>
    <w:p w14:paraId="402DED55">
      <w:pPr>
        <w:spacing w:line="269" w:lineRule="auto"/>
        <w:rPr>
          <w:rFonts w:ascii="Arial"/>
          <w:color w:val="auto"/>
          <w:sz w:val="21"/>
        </w:rPr>
      </w:pPr>
    </w:p>
    <w:p w14:paraId="1C0C177D">
      <w:pPr>
        <w:spacing w:line="315" w:lineRule="auto"/>
        <w:rPr>
          <w:rFonts w:ascii="Arial"/>
          <w:color w:val="auto"/>
          <w:sz w:val="21"/>
        </w:rPr>
      </w:pPr>
    </w:p>
    <w:p w14:paraId="34597085">
      <w:pPr>
        <w:spacing w:line="315" w:lineRule="auto"/>
        <w:rPr>
          <w:rFonts w:ascii="Arial"/>
          <w:color w:val="auto"/>
          <w:sz w:val="21"/>
        </w:rPr>
      </w:pPr>
    </w:p>
    <w:p w14:paraId="489FB0E4">
      <w:pPr>
        <w:spacing w:line="316" w:lineRule="auto"/>
        <w:rPr>
          <w:rFonts w:ascii="Arial"/>
          <w:color w:val="auto"/>
          <w:sz w:val="21"/>
        </w:rPr>
      </w:pPr>
    </w:p>
    <w:p w14:paraId="17FACE23">
      <w:pPr>
        <w:spacing w:before="235" w:line="233" w:lineRule="auto"/>
        <w:ind w:left="1876"/>
        <w:rPr>
          <w:rFonts w:ascii="华文新魏" w:hAnsi="华文新魏" w:eastAsia="华文新魏" w:cs="华文新魏"/>
          <w:color w:val="auto"/>
          <w:sz w:val="71"/>
          <w:szCs w:val="71"/>
        </w:rPr>
      </w:pPr>
      <w:r>
        <w:rPr>
          <w:rFonts w:ascii="华文新魏" w:hAnsi="华文新魏" w:eastAsia="华文新魏" w:cs="华文新魏"/>
          <w:color w:val="auto"/>
          <w:spacing w:val="-6"/>
          <w:sz w:val="71"/>
          <w:szCs w:val="71"/>
        </w:rPr>
        <w:t>竞争性磋商文件</w:t>
      </w:r>
    </w:p>
    <w:p w14:paraId="3E926D29">
      <w:pPr>
        <w:spacing w:line="246" w:lineRule="auto"/>
        <w:rPr>
          <w:rFonts w:ascii="Arial"/>
          <w:color w:val="auto"/>
          <w:sz w:val="21"/>
        </w:rPr>
      </w:pPr>
    </w:p>
    <w:p w14:paraId="725AABAF">
      <w:pPr>
        <w:spacing w:line="247" w:lineRule="auto"/>
        <w:rPr>
          <w:rFonts w:ascii="Arial"/>
          <w:color w:val="auto"/>
          <w:sz w:val="21"/>
        </w:rPr>
      </w:pPr>
    </w:p>
    <w:p w14:paraId="1B0FC7EE">
      <w:pPr>
        <w:pStyle w:val="2"/>
        <w:spacing w:before="153" w:line="226" w:lineRule="auto"/>
        <w:ind w:left="1913"/>
        <w:rPr>
          <w:color w:val="auto"/>
          <w:sz w:val="47"/>
          <w:szCs w:val="47"/>
        </w:rPr>
      </w:pPr>
      <w:r>
        <w:rPr>
          <w:b/>
          <w:bCs/>
          <w:color w:val="auto"/>
          <w:spacing w:val="1"/>
          <w:sz w:val="47"/>
          <w:szCs w:val="47"/>
        </w:rPr>
        <w:t>（全流程电子化采购）</w:t>
      </w:r>
    </w:p>
    <w:p w14:paraId="53BB9718">
      <w:pPr>
        <w:spacing w:line="271" w:lineRule="auto"/>
        <w:rPr>
          <w:rFonts w:ascii="Arial"/>
          <w:color w:val="auto"/>
          <w:sz w:val="21"/>
        </w:rPr>
      </w:pPr>
    </w:p>
    <w:p w14:paraId="3A8E61D1">
      <w:pPr>
        <w:spacing w:line="271" w:lineRule="auto"/>
        <w:rPr>
          <w:rFonts w:ascii="Arial"/>
          <w:color w:val="auto"/>
          <w:sz w:val="21"/>
        </w:rPr>
      </w:pPr>
    </w:p>
    <w:p w14:paraId="14468F84">
      <w:pPr>
        <w:spacing w:line="271" w:lineRule="auto"/>
        <w:rPr>
          <w:rFonts w:ascii="Arial"/>
          <w:color w:val="auto"/>
          <w:sz w:val="21"/>
        </w:rPr>
      </w:pPr>
    </w:p>
    <w:p w14:paraId="326F945E">
      <w:pPr>
        <w:spacing w:line="271" w:lineRule="auto"/>
        <w:rPr>
          <w:rFonts w:ascii="Arial"/>
          <w:color w:val="auto"/>
          <w:sz w:val="21"/>
        </w:rPr>
      </w:pPr>
    </w:p>
    <w:p w14:paraId="12507C55">
      <w:pPr>
        <w:spacing w:line="271" w:lineRule="auto"/>
        <w:rPr>
          <w:rFonts w:ascii="Arial"/>
          <w:color w:val="auto"/>
          <w:sz w:val="21"/>
        </w:rPr>
      </w:pPr>
    </w:p>
    <w:p w14:paraId="118A34C7">
      <w:pPr>
        <w:spacing w:line="271" w:lineRule="auto"/>
        <w:rPr>
          <w:rFonts w:ascii="Arial"/>
          <w:color w:val="auto"/>
          <w:sz w:val="21"/>
        </w:rPr>
      </w:pPr>
    </w:p>
    <w:p w14:paraId="0BE71C9B">
      <w:pPr>
        <w:spacing w:line="272" w:lineRule="auto"/>
        <w:rPr>
          <w:rFonts w:ascii="Arial"/>
          <w:color w:val="auto"/>
          <w:sz w:val="21"/>
        </w:rPr>
      </w:pPr>
    </w:p>
    <w:p w14:paraId="4B027A94">
      <w:pPr>
        <w:pStyle w:val="2"/>
        <w:spacing w:line="240" w:lineRule="auto"/>
        <w:ind w:right="-204" w:rightChars="-97" w:firstLine="582" w:firstLineChars="200"/>
        <w:jc w:val="both"/>
        <w:rPr>
          <w:rFonts w:hint="eastAsia"/>
          <w:b/>
          <w:bCs/>
          <w:color w:val="auto"/>
          <w:spacing w:val="-5"/>
          <w:lang w:eastAsia="zh-CN"/>
        </w:rPr>
      </w:pPr>
      <w:r>
        <w:rPr>
          <w:b/>
          <w:bCs/>
          <w:color w:val="auto"/>
          <w:spacing w:val="-5"/>
        </w:rPr>
        <w:t>项目名称：</w:t>
      </w:r>
      <w:r>
        <w:rPr>
          <w:rFonts w:hint="eastAsia"/>
          <w:b/>
          <w:bCs/>
          <w:color w:val="auto"/>
          <w:spacing w:val="-5"/>
          <w:lang w:eastAsia="zh-CN"/>
        </w:rPr>
        <w:t>2026年广西城市国土空间监测成果核查与验收项目</w:t>
      </w:r>
    </w:p>
    <w:p w14:paraId="221EE455">
      <w:pPr>
        <w:pStyle w:val="2"/>
        <w:spacing w:line="240" w:lineRule="auto"/>
        <w:ind w:right="-204" w:rightChars="-97" w:firstLine="562" w:firstLineChars="200"/>
        <w:jc w:val="left"/>
        <w:rPr>
          <w:rFonts w:hint="eastAsia" w:ascii="宋体" w:hAnsi="宋体" w:eastAsia="宋体" w:cs="宋体"/>
          <w:b/>
          <w:bCs/>
          <w:color w:val="auto"/>
          <w:spacing w:val="-10"/>
          <w:lang w:eastAsia="zh-CN"/>
        </w:rPr>
      </w:pPr>
      <w:r>
        <w:rPr>
          <w:b/>
          <w:bCs/>
          <w:color w:val="auto"/>
          <w:spacing w:val="-10"/>
        </w:rPr>
        <w:t>项目编号：</w:t>
      </w:r>
      <w:r>
        <w:rPr>
          <w:rFonts w:hint="eastAsia" w:ascii="宋体" w:hAnsi="宋体" w:eastAsia="宋体" w:cs="宋体"/>
          <w:b/>
          <w:bCs/>
          <w:color w:val="auto"/>
          <w:spacing w:val="-10"/>
          <w:lang w:eastAsia="zh-CN"/>
        </w:rPr>
        <w:t>GXZC2026-C3-001387-GXGN</w:t>
      </w:r>
    </w:p>
    <w:p w14:paraId="373E3DDC">
      <w:pPr>
        <w:pStyle w:val="2"/>
        <w:spacing w:before="225" w:line="222" w:lineRule="auto"/>
        <w:ind w:left="298" w:leftChars="142" w:right="-204" w:rightChars="-97" w:firstLine="551" w:firstLineChars="196"/>
        <w:rPr>
          <w:rFonts w:hint="eastAsia" w:ascii="宋体" w:hAnsi="宋体" w:eastAsia="宋体" w:cs="宋体"/>
          <w:b/>
          <w:bCs/>
          <w:color w:val="auto"/>
          <w:spacing w:val="-10"/>
          <w:lang w:eastAsia="zh-CN"/>
        </w:rPr>
      </w:pPr>
    </w:p>
    <w:p w14:paraId="24E2ECE0">
      <w:pPr>
        <w:pStyle w:val="2"/>
        <w:spacing w:before="225" w:line="222" w:lineRule="auto"/>
        <w:ind w:left="298" w:leftChars="142" w:right="-204" w:rightChars="-97" w:firstLine="551" w:firstLineChars="196"/>
        <w:rPr>
          <w:rFonts w:hint="eastAsia" w:ascii="宋体" w:hAnsi="宋体" w:eastAsia="宋体" w:cs="宋体"/>
          <w:b/>
          <w:bCs/>
          <w:color w:val="auto"/>
          <w:spacing w:val="-10"/>
          <w:lang w:eastAsia="zh-CN"/>
        </w:rPr>
      </w:pPr>
    </w:p>
    <w:p w14:paraId="0CCA6C5A">
      <w:pPr>
        <w:pStyle w:val="2"/>
        <w:spacing w:before="222" w:line="220" w:lineRule="auto"/>
        <w:jc w:val="center"/>
        <w:rPr>
          <w:b/>
          <w:bCs/>
          <w:color w:val="auto"/>
          <w:spacing w:val="-19"/>
        </w:rPr>
      </w:pPr>
      <w:r>
        <w:rPr>
          <w:b/>
          <w:bCs/>
          <w:color w:val="auto"/>
          <w:spacing w:val="-19"/>
        </w:rPr>
        <w:t>采</w:t>
      </w:r>
      <w:r>
        <w:rPr>
          <w:color w:val="auto"/>
          <w:spacing w:val="-19"/>
        </w:rPr>
        <w:t xml:space="preserve"> </w:t>
      </w:r>
      <w:r>
        <w:rPr>
          <w:b/>
          <w:bCs/>
          <w:color w:val="auto"/>
          <w:spacing w:val="-19"/>
        </w:rPr>
        <w:t>购</w:t>
      </w:r>
      <w:r>
        <w:rPr>
          <w:color w:val="auto"/>
          <w:spacing w:val="35"/>
        </w:rPr>
        <w:t xml:space="preserve"> </w:t>
      </w:r>
      <w:r>
        <w:rPr>
          <w:b/>
          <w:bCs/>
          <w:color w:val="auto"/>
          <w:spacing w:val="-19"/>
        </w:rPr>
        <w:t>人：广西壮族自治区自然资源厅</w:t>
      </w:r>
    </w:p>
    <w:p w14:paraId="6F715DF7">
      <w:pPr>
        <w:pStyle w:val="2"/>
        <w:spacing w:before="222" w:line="220" w:lineRule="auto"/>
        <w:jc w:val="center"/>
        <w:rPr>
          <w:rFonts w:hint="eastAsia" w:eastAsia="仿宋"/>
          <w:color w:val="auto"/>
          <w:lang w:eastAsia="zh-CN"/>
        </w:rPr>
      </w:pPr>
      <w:r>
        <w:rPr>
          <w:b/>
          <w:bCs/>
          <w:color w:val="auto"/>
          <w:spacing w:val="-17"/>
        </w:rPr>
        <w:t>采购代理机构：</w:t>
      </w:r>
      <w:r>
        <w:rPr>
          <w:rFonts w:hint="eastAsia"/>
          <w:b/>
          <w:bCs/>
          <w:color w:val="auto"/>
          <w:spacing w:val="-17"/>
          <w:lang w:eastAsia="zh-CN"/>
        </w:rPr>
        <w:t>广西冠宁工程咨询有限公司</w:t>
      </w:r>
    </w:p>
    <w:p w14:paraId="1458C32E">
      <w:pPr>
        <w:spacing w:line="351" w:lineRule="auto"/>
        <w:rPr>
          <w:rFonts w:ascii="Arial"/>
          <w:color w:val="auto"/>
          <w:sz w:val="21"/>
        </w:rPr>
      </w:pPr>
    </w:p>
    <w:p w14:paraId="06DCBAF2">
      <w:pPr>
        <w:spacing w:line="352" w:lineRule="auto"/>
        <w:rPr>
          <w:rFonts w:ascii="Arial"/>
          <w:color w:val="auto"/>
          <w:sz w:val="21"/>
        </w:rPr>
      </w:pPr>
    </w:p>
    <w:p w14:paraId="06A918AA">
      <w:pPr>
        <w:pStyle w:val="2"/>
        <w:spacing w:before="98" w:line="222" w:lineRule="auto"/>
        <w:ind w:left="3262"/>
        <w:rPr>
          <w:color w:val="auto"/>
        </w:rPr>
      </w:pPr>
      <w:r>
        <w:rPr>
          <w:rFonts w:hint="eastAsia"/>
          <w:b/>
          <w:bCs/>
          <w:color w:val="auto"/>
          <w:spacing w:val="-19"/>
          <w:lang w:eastAsia="zh-CN"/>
        </w:rPr>
        <w:t>2026</w:t>
      </w:r>
      <w:r>
        <w:rPr>
          <w:color w:val="auto"/>
          <w:spacing w:val="-48"/>
        </w:rPr>
        <w:t xml:space="preserve"> </w:t>
      </w:r>
      <w:r>
        <w:rPr>
          <w:b/>
          <w:bCs/>
          <w:color w:val="auto"/>
          <w:spacing w:val="-19"/>
        </w:rPr>
        <w:t>年</w:t>
      </w:r>
      <w:r>
        <w:rPr>
          <w:color w:val="auto"/>
          <w:spacing w:val="-60"/>
        </w:rPr>
        <w:t xml:space="preserve"> </w:t>
      </w:r>
      <w:r>
        <w:rPr>
          <w:rFonts w:hint="eastAsia"/>
          <w:b/>
          <w:bCs/>
          <w:color w:val="auto"/>
          <w:spacing w:val="-19"/>
          <w:lang w:val="en-US" w:eastAsia="zh-CN"/>
        </w:rPr>
        <w:t xml:space="preserve"> 6</w:t>
      </w:r>
      <w:r>
        <w:rPr>
          <w:color w:val="auto"/>
          <w:spacing w:val="-43"/>
        </w:rPr>
        <w:t xml:space="preserve"> </w:t>
      </w:r>
      <w:r>
        <w:rPr>
          <w:b/>
          <w:bCs/>
          <w:color w:val="auto"/>
          <w:spacing w:val="-19"/>
        </w:rPr>
        <w:t>月</w:t>
      </w:r>
      <w:r>
        <w:rPr>
          <w:color w:val="auto"/>
          <w:spacing w:val="-61"/>
        </w:rPr>
        <w:t xml:space="preserve"> </w:t>
      </w:r>
      <w:r>
        <w:rPr>
          <w:rFonts w:hint="eastAsia"/>
          <w:b/>
          <w:bCs/>
          <w:color w:val="auto"/>
          <w:spacing w:val="-19"/>
          <w:lang w:val="en-US" w:eastAsia="zh-CN"/>
        </w:rPr>
        <w:t xml:space="preserve"> 1</w:t>
      </w:r>
      <w:r>
        <w:rPr>
          <w:color w:val="auto"/>
          <w:spacing w:val="-19"/>
        </w:rPr>
        <w:t xml:space="preserve"> </w:t>
      </w:r>
      <w:r>
        <w:rPr>
          <w:b/>
          <w:bCs/>
          <w:color w:val="auto"/>
          <w:spacing w:val="-19"/>
        </w:rPr>
        <w:t>日</w:t>
      </w:r>
    </w:p>
    <w:p w14:paraId="3B242143">
      <w:pPr>
        <w:spacing w:line="222" w:lineRule="auto"/>
        <w:rPr>
          <w:color w:val="auto"/>
        </w:rPr>
        <w:sectPr>
          <w:pgSz w:w="11906" w:h="16839"/>
          <w:pgMar w:top="1431" w:right="1550" w:bottom="0" w:left="1740" w:header="0" w:footer="0" w:gutter="0"/>
          <w:cols w:space="720" w:num="1"/>
        </w:sectPr>
      </w:pPr>
    </w:p>
    <w:p w14:paraId="7D6146E9">
      <w:pPr>
        <w:spacing w:line="291" w:lineRule="auto"/>
        <w:rPr>
          <w:rFonts w:ascii="Arial"/>
          <w:color w:val="auto"/>
          <w:sz w:val="21"/>
        </w:rPr>
      </w:pPr>
    </w:p>
    <w:p w14:paraId="663641F5">
      <w:pPr>
        <w:spacing w:line="291" w:lineRule="auto"/>
        <w:rPr>
          <w:rFonts w:ascii="Arial"/>
          <w:color w:val="auto"/>
          <w:sz w:val="21"/>
        </w:rPr>
      </w:pPr>
    </w:p>
    <w:sdt>
      <w:sdtPr>
        <w:rPr>
          <w:rFonts w:ascii="宋体" w:hAnsi="宋体" w:eastAsia="宋体" w:cs="Arial"/>
          <w:snapToGrid w:val="0"/>
          <w:color w:val="auto"/>
          <w:kern w:val="0"/>
          <w:sz w:val="32"/>
          <w:szCs w:val="32"/>
          <w:lang w:val="en-US" w:eastAsia="en-US" w:bidi="ar-SA"/>
        </w:rPr>
        <w:id w:val="147477920"/>
        <w15:color w:val="DBDBDB"/>
        <w:docPartObj>
          <w:docPartGallery w:val="Table of Contents"/>
          <w:docPartUnique/>
        </w:docPartObj>
      </w:sdtPr>
      <w:sdtEndPr>
        <w:rPr>
          <w:rFonts w:ascii="Times New Roman" w:hAnsi="Times New Roman" w:eastAsia="Times New Roman" w:cs="Times New Roman"/>
          <w:snapToGrid w:val="0"/>
          <w:color w:val="auto"/>
          <w:kern w:val="0"/>
          <w:sz w:val="21"/>
          <w:szCs w:val="28"/>
          <w:lang w:val="en-US" w:eastAsia="en-US" w:bidi="ar-SA"/>
        </w:rPr>
      </w:sdtEndPr>
      <w:sdtContent>
        <w:p w14:paraId="43611E78">
          <w:pPr>
            <w:spacing w:before="0" w:beforeLines="0" w:after="0" w:afterLines="0" w:line="480" w:lineRule="auto"/>
            <w:ind w:left="0" w:leftChars="0" w:right="0" w:rightChars="0" w:firstLine="0" w:firstLineChars="0"/>
            <w:jc w:val="center"/>
            <w:rPr>
              <w:color w:val="auto"/>
              <w:sz w:val="32"/>
              <w:szCs w:val="32"/>
            </w:rPr>
          </w:pPr>
          <w:r>
            <w:rPr>
              <w:rFonts w:ascii="宋体" w:hAnsi="宋体" w:eastAsia="宋体"/>
              <w:color w:val="auto"/>
              <w:sz w:val="32"/>
              <w:szCs w:val="32"/>
            </w:rPr>
            <w:t>目</w:t>
          </w:r>
          <w:r>
            <w:rPr>
              <w:rFonts w:hint="eastAsia" w:ascii="宋体" w:hAnsi="宋体" w:eastAsia="宋体"/>
              <w:color w:val="auto"/>
              <w:sz w:val="32"/>
              <w:szCs w:val="32"/>
              <w:lang w:val="en-US" w:eastAsia="zh-CN"/>
            </w:rPr>
            <w:t xml:space="preserve">  </w:t>
          </w:r>
          <w:r>
            <w:rPr>
              <w:rFonts w:ascii="宋体" w:hAnsi="宋体" w:eastAsia="宋体"/>
              <w:color w:val="auto"/>
              <w:sz w:val="32"/>
              <w:szCs w:val="32"/>
            </w:rPr>
            <w:t>录</w:t>
          </w:r>
        </w:p>
        <w:p w14:paraId="67E66196">
          <w:pPr>
            <w:pStyle w:val="6"/>
            <w:tabs>
              <w:tab w:val="right" w:leader="dot" w:pos="8871"/>
            </w:tabs>
            <w:spacing w:line="360" w:lineRule="auto"/>
            <w:rPr>
              <w:rFonts w:hint="eastAsia" w:asciiTheme="minorEastAsia" w:hAnsiTheme="minorEastAsia" w:eastAsiaTheme="minorEastAsia" w:cstheme="minorEastAsia"/>
              <w:color w:val="auto"/>
              <w:sz w:val="28"/>
              <w:szCs w:val="28"/>
            </w:rPr>
          </w:pPr>
          <w:r>
            <w:rPr>
              <w:rFonts w:ascii="Times New Roman" w:hAnsi="Times New Roman" w:eastAsia="Times New Roman" w:cs="Times New Roman"/>
              <w:color w:val="auto"/>
              <w:sz w:val="28"/>
              <w:szCs w:val="28"/>
            </w:rPr>
            <w:fldChar w:fldCharType="begin"/>
          </w:r>
          <w:r>
            <w:rPr>
              <w:rFonts w:ascii="Times New Roman" w:hAnsi="Times New Roman" w:eastAsia="Times New Roman" w:cs="Times New Roman"/>
              <w:color w:val="auto"/>
              <w:sz w:val="28"/>
              <w:szCs w:val="28"/>
            </w:rPr>
            <w:instrText xml:space="preserve">TOC \o "1-3" \h \u </w:instrText>
          </w:r>
          <w:r>
            <w:rPr>
              <w:rFonts w:ascii="Times New Roman" w:hAnsi="Times New Roman" w:eastAsia="Times New Roman" w:cs="Times New Roman"/>
              <w:color w:val="auto"/>
              <w:sz w:val="28"/>
              <w:szCs w:val="28"/>
            </w:rPr>
            <w:fldChar w:fldCharType="separate"/>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HYPERLINK \l _Toc24384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bCs/>
              <w:color w:val="auto"/>
              <w:spacing w:val="5"/>
              <w:sz w:val="28"/>
              <w:szCs w:val="28"/>
            </w:rPr>
            <w:t>第一章</w:t>
          </w:r>
          <w:r>
            <w:rPr>
              <w:rFonts w:hint="eastAsia" w:asciiTheme="minorEastAsia" w:hAnsiTheme="minorEastAsia" w:eastAsiaTheme="minorEastAsia" w:cstheme="minorEastAsia"/>
              <w:color w:val="auto"/>
              <w:spacing w:val="5"/>
              <w:sz w:val="28"/>
              <w:szCs w:val="28"/>
            </w:rPr>
            <w:t xml:space="preserve"> </w:t>
          </w:r>
          <w:r>
            <w:rPr>
              <w:rFonts w:hint="eastAsia" w:asciiTheme="minorEastAsia" w:hAnsiTheme="minorEastAsia" w:eastAsiaTheme="minorEastAsia" w:cstheme="minorEastAsia"/>
              <w:bCs/>
              <w:color w:val="auto"/>
              <w:spacing w:val="5"/>
              <w:sz w:val="28"/>
              <w:szCs w:val="28"/>
            </w:rPr>
            <w:t>竞争性磋商公告</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_Toc24384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2</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1B986CFB">
          <w:pPr>
            <w:pStyle w:val="6"/>
            <w:tabs>
              <w:tab w:val="right" w:leader="dot" w:pos="8871"/>
            </w:tabs>
            <w:spacing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HYPERLINK \l _Toc25308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bCs/>
              <w:color w:val="auto"/>
              <w:spacing w:val="4"/>
              <w:sz w:val="28"/>
              <w:szCs w:val="28"/>
            </w:rPr>
            <w:t>第二章</w:t>
          </w:r>
          <w:r>
            <w:rPr>
              <w:rFonts w:hint="eastAsia" w:asciiTheme="minorEastAsia" w:hAnsiTheme="minorEastAsia" w:eastAsiaTheme="minorEastAsia" w:cstheme="minorEastAsia"/>
              <w:color w:val="auto"/>
              <w:spacing w:val="4"/>
              <w:sz w:val="28"/>
              <w:szCs w:val="28"/>
            </w:rPr>
            <w:t xml:space="preserve"> </w:t>
          </w:r>
          <w:r>
            <w:rPr>
              <w:rFonts w:hint="eastAsia" w:asciiTheme="minorEastAsia" w:hAnsiTheme="minorEastAsia" w:eastAsiaTheme="minorEastAsia" w:cstheme="minorEastAsia"/>
              <w:bCs/>
              <w:color w:val="auto"/>
              <w:spacing w:val="4"/>
              <w:sz w:val="28"/>
              <w:szCs w:val="28"/>
            </w:rPr>
            <w:t>供应商须知</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_Toc25308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6</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7FC308CD">
          <w:pPr>
            <w:pStyle w:val="6"/>
            <w:tabs>
              <w:tab w:val="right" w:leader="dot" w:pos="8871"/>
            </w:tabs>
            <w:spacing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HYPERLINK \l _Toc23231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bCs/>
              <w:color w:val="auto"/>
              <w:spacing w:val="4"/>
              <w:sz w:val="28"/>
              <w:szCs w:val="28"/>
            </w:rPr>
            <w:t>第三章</w:t>
          </w:r>
          <w:r>
            <w:rPr>
              <w:rFonts w:hint="eastAsia" w:asciiTheme="minorEastAsia" w:hAnsiTheme="minorEastAsia" w:eastAsiaTheme="minorEastAsia" w:cstheme="minorEastAsia"/>
              <w:color w:val="auto"/>
              <w:spacing w:val="4"/>
              <w:sz w:val="28"/>
              <w:szCs w:val="28"/>
            </w:rPr>
            <w:t xml:space="preserve"> </w:t>
          </w:r>
          <w:r>
            <w:rPr>
              <w:rFonts w:hint="eastAsia" w:asciiTheme="minorEastAsia" w:hAnsiTheme="minorEastAsia" w:eastAsiaTheme="minorEastAsia" w:cstheme="minorEastAsia"/>
              <w:bCs/>
              <w:color w:val="auto"/>
              <w:spacing w:val="4"/>
              <w:sz w:val="28"/>
              <w:szCs w:val="28"/>
            </w:rPr>
            <w:t>采购需求</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_Toc23231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26</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133ADA63">
          <w:pPr>
            <w:pStyle w:val="6"/>
            <w:tabs>
              <w:tab w:val="right" w:leader="dot" w:pos="8871"/>
            </w:tabs>
            <w:spacing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HYPERLINK \l _Toc15674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bCs/>
              <w:color w:val="auto"/>
              <w:spacing w:val="6"/>
              <w:sz w:val="28"/>
              <w:szCs w:val="28"/>
            </w:rPr>
            <w:t>第四章</w:t>
          </w:r>
          <w:r>
            <w:rPr>
              <w:rFonts w:hint="eastAsia" w:asciiTheme="minorEastAsia" w:hAnsiTheme="minorEastAsia" w:eastAsiaTheme="minorEastAsia" w:cstheme="minorEastAsia"/>
              <w:color w:val="auto"/>
              <w:spacing w:val="6"/>
              <w:sz w:val="28"/>
              <w:szCs w:val="28"/>
            </w:rPr>
            <w:t xml:space="preserve">  </w:t>
          </w:r>
          <w:r>
            <w:rPr>
              <w:rFonts w:hint="eastAsia" w:asciiTheme="minorEastAsia" w:hAnsiTheme="minorEastAsia" w:eastAsiaTheme="minorEastAsia" w:cstheme="minorEastAsia"/>
              <w:bCs/>
              <w:color w:val="auto"/>
              <w:spacing w:val="6"/>
              <w:sz w:val="28"/>
              <w:szCs w:val="28"/>
            </w:rPr>
            <w:t>评审程序、评审方法和评审标准</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_Toc15674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29</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043AE94E">
          <w:pPr>
            <w:pStyle w:val="6"/>
            <w:tabs>
              <w:tab w:val="right" w:leader="dot" w:pos="8871"/>
            </w:tabs>
            <w:spacing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HYPERLINK \l _Toc26209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bCs/>
              <w:color w:val="auto"/>
              <w:sz w:val="28"/>
              <w:szCs w:val="28"/>
            </w:rPr>
            <w:t>第五章</w:t>
          </w:r>
          <w:r>
            <w:rPr>
              <w:rFonts w:hint="eastAsia" w:asciiTheme="minorEastAsia" w:hAnsiTheme="minorEastAsia" w:eastAsiaTheme="minorEastAsia" w:cstheme="minorEastAsia"/>
              <w:color w:val="auto"/>
              <w:spacing w:val="48"/>
              <w:sz w:val="28"/>
              <w:szCs w:val="28"/>
            </w:rPr>
            <w:t xml:space="preserve"> </w:t>
          </w:r>
          <w:r>
            <w:rPr>
              <w:rFonts w:hint="eastAsia" w:asciiTheme="minorEastAsia" w:hAnsiTheme="minorEastAsia" w:eastAsiaTheme="minorEastAsia" w:cstheme="minorEastAsia"/>
              <w:bCs/>
              <w:color w:val="auto"/>
              <w:sz w:val="28"/>
              <w:szCs w:val="28"/>
            </w:rPr>
            <w:t>响应文件格式</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_Toc26209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38</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1E1B224B">
          <w:pPr>
            <w:pStyle w:val="6"/>
            <w:tabs>
              <w:tab w:val="right" w:leader="dot" w:pos="8871"/>
            </w:tabs>
            <w:spacing w:line="360" w:lineRule="auto"/>
            <w:rPr>
              <w:color w:val="auto"/>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HYPERLINK \l _Toc1428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bCs/>
              <w:color w:val="auto"/>
              <w:spacing w:val="4"/>
              <w:sz w:val="28"/>
              <w:szCs w:val="28"/>
            </w:rPr>
            <w:t>第六章</w:t>
          </w:r>
          <w:r>
            <w:rPr>
              <w:rFonts w:hint="eastAsia" w:asciiTheme="minorEastAsia" w:hAnsiTheme="minorEastAsia" w:eastAsiaTheme="minorEastAsia" w:cstheme="minorEastAsia"/>
              <w:color w:val="auto"/>
              <w:spacing w:val="4"/>
              <w:sz w:val="28"/>
              <w:szCs w:val="28"/>
            </w:rPr>
            <w:t xml:space="preserve"> </w:t>
          </w:r>
          <w:r>
            <w:rPr>
              <w:rFonts w:hint="eastAsia" w:asciiTheme="minorEastAsia" w:hAnsiTheme="minorEastAsia" w:eastAsiaTheme="minorEastAsia" w:cstheme="minorEastAsia"/>
              <w:bCs/>
              <w:color w:val="auto"/>
              <w:spacing w:val="4"/>
              <w:sz w:val="28"/>
              <w:szCs w:val="28"/>
            </w:rPr>
            <w:t>合同文本</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_Toc1428 \h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66</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14:paraId="063A066C">
          <w:pPr>
            <w:spacing w:line="219" w:lineRule="auto"/>
            <w:rPr>
              <w:rFonts w:ascii="Times New Roman" w:hAnsi="Times New Roman" w:eastAsia="Times New Roman" w:cs="Times New Roman"/>
              <w:snapToGrid w:val="0"/>
              <w:color w:val="auto"/>
              <w:kern w:val="0"/>
              <w:sz w:val="21"/>
              <w:szCs w:val="28"/>
              <w:lang w:val="en-US" w:eastAsia="en-US" w:bidi="ar-SA"/>
            </w:rPr>
          </w:pPr>
          <w:r>
            <w:rPr>
              <w:rFonts w:ascii="Times New Roman" w:hAnsi="Times New Roman" w:eastAsia="Times New Roman" w:cs="Times New Roman"/>
              <w:color w:val="auto"/>
              <w:szCs w:val="28"/>
            </w:rPr>
            <w:fldChar w:fldCharType="end"/>
          </w:r>
        </w:p>
      </w:sdtContent>
    </w:sdt>
    <w:p w14:paraId="53513E1D">
      <w:pPr>
        <w:spacing w:line="219" w:lineRule="auto"/>
        <w:rPr>
          <w:rFonts w:ascii="Times New Roman" w:hAnsi="Times New Roman" w:eastAsia="Times New Roman" w:cs="Times New Roman"/>
          <w:snapToGrid w:val="0"/>
          <w:color w:val="auto"/>
          <w:kern w:val="0"/>
          <w:sz w:val="21"/>
          <w:szCs w:val="28"/>
          <w:lang w:val="en-US" w:eastAsia="en-US" w:bidi="ar-SA"/>
        </w:rPr>
        <w:sectPr>
          <w:footerReference r:id="rId5" w:type="default"/>
          <w:pgSz w:w="11906" w:h="16839"/>
          <w:pgMar w:top="1431" w:right="1438" w:bottom="1362" w:left="1597" w:header="0" w:footer="1200" w:gutter="0"/>
          <w:pgNumType w:fmt="decimal" w:start="1"/>
          <w:cols w:space="720" w:num="1"/>
        </w:sectPr>
      </w:pPr>
    </w:p>
    <w:p w14:paraId="7B7B9DC3">
      <w:pPr>
        <w:spacing w:before="311" w:line="222" w:lineRule="auto"/>
        <w:ind w:left="2493"/>
        <w:outlineLvl w:val="0"/>
        <w:rPr>
          <w:rFonts w:ascii="宋体" w:hAnsi="宋体" w:eastAsia="宋体" w:cs="宋体"/>
          <w:color w:val="auto"/>
          <w:sz w:val="43"/>
          <w:szCs w:val="43"/>
        </w:rPr>
      </w:pPr>
      <w:bookmarkStart w:id="0" w:name="bookmark1"/>
      <w:bookmarkEnd w:id="0"/>
      <w:bookmarkStart w:id="1" w:name="_Toc24384"/>
      <w:r>
        <w:rPr>
          <w:rFonts w:ascii="宋体" w:hAnsi="宋体" w:eastAsia="宋体" w:cs="宋体"/>
          <w:b/>
          <w:bCs/>
          <w:color w:val="auto"/>
          <w:spacing w:val="5"/>
          <w:sz w:val="43"/>
          <w:szCs w:val="43"/>
        </w:rPr>
        <w:t>第一章</w:t>
      </w:r>
      <w:r>
        <w:rPr>
          <w:rFonts w:ascii="宋体" w:hAnsi="宋体" w:eastAsia="宋体" w:cs="宋体"/>
          <w:color w:val="auto"/>
          <w:spacing w:val="5"/>
          <w:sz w:val="43"/>
          <w:szCs w:val="43"/>
        </w:rPr>
        <w:t xml:space="preserve"> </w:t>
      </w:r>
      <w:r>
        <w:rPr>
          <w:rFonts w:ascii="宋体" w:hAnsi="宋体" w:eastAsia="宋体" w:cs="宋体"/>
          <w:b/>
          <w:bCs/>
          <w:color w:val="auto"/>
          <w:spacing w:val="5"/>
          <w:sz w:val="43"/>
          <w:szCs w:val="43"/>
        </w:rPr>
        <w:t>竞争性磋商公告</w:t>
      </w:r>
      <w:bookmarkEnd w:id="1"/>
    </w:p>
    <w:p w14:paraId="5F27D9AB">
      <w:pPr>
        <w:spacing w:line="351" w:lineRule="auto"/>
        <w:rPr>
          <w:rFonts w:ascii="Arial"/>
          <w:color w:val="auto"/>
          <w:sz w:val="21"/>
        </w:rPr>
      </w:pPr>
    </w:p>
    <w:p w14:paraId="79778C90">
      <w:pPr>
        <w:spacing w:before="23" w:line="223" w:lineRule="auto"/>
        <w:ind w:left="109"/>
        <w:jc w:val="center"/>
        <w:rPr>
          <w:rFonts w:ascii="宋体" w:hAnsi="宋体" w:eastAsia="宋体" w:cs="宋体"/>
          <w:b/>
          <w:bCs/>
          <w:color w:val="auto"/>
          <w:spacing w:val="3"/>
          <w:sz w:val="31"/>
          <w:szCs w:val="31"/>
        </w:rPr>
      </w:pPr>
      <w:r>
        <w:rPr>
          <w:rFonts w:hint="eastAsia" w:ascii="宋体" w:hAnsi="宋体" w:eastAsia="宋体" w:cs="宋体"/>
          <w:b/>
          <w:bCs/>
          <w:color w:val="auto"/>
          <w:spacing w:val="5"/>
          <w:sz w:val="31"/>
          <w:szCs w:val="31"/>
          <w:lang w:eastAsia="zh-CN"/>
        </w:rPr>
        <w:t>广西冠宁工程咨询有限公司</w:t>
      </w:r>
      <w:r>
        <w:rPr>
          <w:rFonts w:ascii="宋体" w:hAnsi="宋体" w:eastAsia="宋体" w:cs="宋体"/>
          <w:b/>
          <w:bCs/>
          <w:color w:val="auto"/>
          <w:spacing w:val="5"/>
          <w:sz w:val="31"/>
          <w:szCs w:val="31"/>
        </w:rPr>
        <w:t>关于</w:t>
      </w:r>
      <w:r>
        <w:rPr>
          <w:rFonts w:ascii="宋体" w:hAnsi="宋体" w:eastAsia="宋体" w:cs="宋体"/>
          <w:color w:val="auto"/>
          <w:spacing w:val="-90"/>
          <w:sz w:val="31"/>
          <w:szCs w:val="31"/>
        </w:rPr>
        <w:t xml:space="preserve"> </w:t>
      </w:r>
      <w:r>
        <w:rPr>
          <w:rFonts w:hint="eastAsia" w:ascii="宋体" w:hAnsi="宋体" w:eastAsia="宋体" w:cs="宋体"/>
          <w:b/>
          <w:bCs/>
          <w:color w:val="auto"/>
          <w:spacing w:val="5"/>
          <w:sz w:val="31"/>
          <w:szCs w:val="31"/>
        </w:rPr>
        <w:t>2026年广西城市国土空间监测成果核查与验收项目</w:t>
      </w:r>
      <w:r>
        <w:rPr>
          <w:rFonts w:ascii="宋体" w:hAnsi="宋体" w:eastAsia="宋体" w:cs="宋体"/>
          <w:b/>
          <w:bCs/>
          <w:color w:val="auto"/>
          <w:spacing w:val="3"/>
          <w:sz w:val="31"/>
          <w:szCs w:val="31"/>
        </w:rPr>
        <w:t>（项目编号：</w:t>
      </w:r>
      <w:r>
        <w:rPr>
          <w:rFonts w:hint="eastAsia" w:ascii="宋体" w:hAnsi="宋体" w:eastAsia="宋体" w:cs="宋体"/>
          <w:b/>
          <w:bCs/>
          <w:color w:val="auto"/>
          <w:sz w:val="31"/>
          <w:szCs w:val="31"/>
          <w:lang w:eastAsia="zh-CN"/>
        </w:rPr>
        <w:t>GXZC2026-C3-001387-GXGN</w:t>
      </w:r>
      <w:r>
        <w:rPr>
          <w:rFonts w:ascii="宋体" w:hAnsi="宋体" w:eastAsia="宋体" w:cs="宋体"/>
          <w:b/>
          <w:bCs/>
          <w:color w:val="auto"/>
          <w:spacing w:val="3"/>
          <w:sz w:val="31"/>
          <w:szCs w:val="31"/>
        </w:rPr>
        <w:t>）</w:t>
      </w:r>
    </w:p>
    <w:p w14:paraId="38E21F12">
      <w:pPr>
        <w:spacing w:before="23" w:line="223" w:lineRule="auto"/>
        <w:ind w:left="109"/>
        <w:jc w:val="center"/>
        <w:rPr>
          <w:rFonts w:ascii="宋体" w:hAnsi="宋体" w:eastAsia="宋体" w:cs="宋体"/>
          <w:color w:val="auto"/>
          <w:sz w:val="31"/>
          <w:szCs w:val="31"/>
        </w:rPr>
      </w:pPr>
      <w:r>
        <w:rPr>
          <w:rFonts w:ascii="宋体" w:hAnsi="宋体" w:eastAsia="宋体" w:cs="宋体"/>
          <w:b/>
          <w:bCs/>
          <w:color w:val="auto"/>
          <w:spacing w:val="3"/>
          <w:sz w:val="31"/>
          <w:szCs w:val="31"/>
        </w:rPr>
        <w:t>竞争性磋商公</w:t>
      </w:r>
      <w:r>
        <w:rPr>
          <w:rFonts w:ascii="宋体" w:hAnsi="宋体" w:eastAsia="宋体" w:cs="宋体"/>
          <w:b/>
          <w:bCs/>
          <w:color w:val="auto"/>
          <w:spacing w:val="-4"/>
          <w:sz w:val="31"/>
          <w:szCs w:val="31"/>
        </w:rPr>
        <w:t>告</w:t>
      </w:r>
    </w:p>
    <w:p w14:paraId="255F8AA6">
      <w:pPr>
        <w:spacing w:before="206"/>
        <w:rPr>
          <w:color w:val="auto"/>
        </w:rPr>
      </w:pPr>
    </w:p>
    <w:tbl>
      <w:tblPr>
        <w:tblStyle w:val="10"/>
        <w:tblW w:w="9585"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585"/>
      </w:tblGrid>
      <w:tr w14:paraId="51C31F7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921" w:hRule="atLeast"/>
        </w:trPr>
        <w:tc>
          <w:tcPr>
            <w:tcW w:w="9585" w:type="dxa"/>
            <w:vAlign w:val="top"/>
          </w:tcPr>
          <w:p w14:paraId="2EB7F815">
            <w:pPr>
              <w:pStyle w:val="9"/>
              <w:spacing w:before="152" w:line="228" w:lineRule="auto"/>
              <w:ind w:left="517"/>
              <w:rPr>
                <w:rFonts w:hint="eastAsia" w:asciiTheme="minorEastAsia" w:hAnsiTheme="minorEastAsia" w:eastAsiaTheme="minorEastAsia" w:cstheme="minorEastAsia"/>
                <w:snapToGrid w:val="0"/>
                <w:color w:val="auto"/>
                <w:kern w:val="0"/>
                <w:sz w:val="21"/>
                <w:szCs w:val="21"/>
                <w:lang w:val="en-US" w:eastAsia="zh-CN" w:bidi="ar-SA"/>
              </w:rPr>
            </w:pPr>
            <w:r>
              <w:rPr>
                <w:rFonts w:hint="eastAsia" w:asciiTheme="minorEastAsia" w:hAnsiTheme="minorEastAsia" w:eastAsiaTheme="minorEastAsia" w:cstheme="minorEastAsia"/>
                <w:snapToGrid w:val="0"/>
                <w:color w:val="auto"/>
                <w:kern w:val="0"/>
                <w:sz w:val="21"/>
                <w:szCs w:val="21"/>
                <w:lang w:val="en-US" w:eastAsia="zh-CN" w:bidi="ar-SA"/>
              </w:rPr>
              <w:t>项目概况</w:t>
            </w:r>
          </w:p>
          <w:p w14:paraId="7BF429F6">
            <w:pPr>
              <w:pStyle w:val="9"/>
              <w:spacing w:before="220" w:line="397" w:lineRule="auto"/>
              <w:ind w:left="97" w:right="13" w:firstLine="419"/>
              <w:rPr>
                <w:color w:val="auto"/>
              </w:rPr>
            </w:pPr>
            <w:r>
              <w:rPr>
                <w:rFonts w:hint="eastAsia" w:asciiTheme="minorEastAsia" w:hAnsiTheme="minorEastAsia" w:eastAsiaTheme="minorEastAsia" w:cstheme="minorEastAsia"/>
                <w:snapToGrid w:val="0"/>
                <w:color w:val="auto"/>
                <w:kern w:val="0"/>
                <w:sz w:val="21"/>
                <w:szCs w:val="21"/>
                <w:u w:val="single"/>
                <w:lang w:val="en-US" w:eastAsia="zh-CN" w:bidi="ar-SA"/>
              </w:rPr>
              <w:t xml:space="preserve">2026年广西城市国土空间监测成果核查与验收项目 </w:t>
            </w:r>
            <w:r>
              <w:rPr>
                <w:rFonts w:hint="eastAsia" w:asciiTheme="minorEastAsia" w:hAnsiTheme="minorEastAsia" w:eastAsiaTheme="minorEastAsia" w:cstheme="minorEastAsia"/>
                <w:snapToGrid w:val="0"/>
                <w:color w:val="auto"/>
                <w:kern w:val="0"/>
                <w:sz w:val="21"/>
                <w:szCs w:val="21"/>
                <w:lang w:val="en-US" w:eastAsia="zh-CN" w:bidi="ar-SA"/>
              </w:rPr>
              <w:t>的潜在供应商应在广西政府采购云平台（</w:t>
            </w:r>
            <w:r>
              <w:rPr>
                <w:rFonts w:hint="eastAsia" w:asciiTheme="minorEastAsia" w:hAnsiTheme="minorEastAsia" w:eastAsiaTheme="minorEastAsia" w:cstheme="minorEastAsia"/>
                <w:snapToGrid w:val="0"/>
                <w:color w:val="auto"/>
                <w:kern w:val="0"/>
                <w:sz w:val="21"/>
                <w:szCs w:val="21"/>
                <w:u w:val="none"/>
                <w:lang w:val="en-US" w:eastAsia="zh-CN" w:bidi="ar-SA"/>
              </w:rPr>
              <w:t>https://www.gcy.zfcg.gxzf.gov.cn/</w:t>
            </w:r>
            <w:r>
              <w:rPr>
                <w:rFonts w:hint="eastAsia" w:asciiTheme="minorEastAsia" w:hAnsiTheme="minorEastAsia" w:eastAsiaTheme="minorEastAsia" w:cstheme="minorEastAsia"/>
                <w:snapToGrid w:val="0"/>
                <w:color w:val="auto"/>
                <w:kern w:val="0"/>
                <w:sz w:val="21"/>
                <w:szCs w:val="21"/>
                <w:lang w:val="en-US" w:eastAsia="zh-CN" w:bidi="ar-SA"/>
              </w:rPr>
              <w:t>）获取采购文件，并于</w:t>
            </w:r>
            <w:r>
              <w:rPr>
                <w:rFonts w:hint="eastAsia" w:asciiTheme="minorEastAsia" w:hAnsiTheme="minorEastAsia" w:eastAsiaTheme="minorEastAsia" w:cstheme="minorEastAsia"/>
                <w:snapToGrid w:val="0"/>
                <w:color w:val="auto"/>
                <w:kern w:val="0"/>
                <w:sz w:val="21"/>
                <w:szCs w:val="21"/>
                <w:u w:val="single"/>
                <w:lang w:val="en-US" w:eastAsia="zh-CN" w:bidi="ar-SA"/>
              </w:rPr>
              <w:t xml:space="preserve"> 2026 年 6 月 12 日 09:00（北京时间）</w:t>
            </w:r>
            <w:r>
              <w:rPr>
                <w:rFonts w:hint="eastAsia" w:asciiTheme="minorEastAsia" w:hAnsiTheme="minorEastAsia" w:eastAsiaTheme="minorEastAsia" w:cstheme="minorEastAsia"/>
                <w:snapToGrid w:val="0"/>
                <w:color w:val="auto"/>
                <w:kern w:val="0"/>
                <w:sz w:val="21"/>
                <w:szCs w:val="21"/>
                <w:lang w:val="en-US" w:eastAsia="zh-CN" w:bidi="ar-SA"/>
              </w:rPr>
              <w:t>前提交响应文件。</w:t>
            </w:r>
          </w:p>
        </w:tc>
      </w:tr>
    </w:tbl>
    <w:p w14:paraId="3D360CED">
      <w:pPr>
        <w:spacing w:line="422" w:lineRule="auto"/>
        <w:rPr>
          <w:rFonts w:ascii="Arial"/>
          <w:color w:val="auto"/>
          <w:sz w:val="21"/>
        </w:rPr>
      </w:pPr>
    </w:p>
    <w:p w14:paraId="5AA86144">
      <w:pPr>
        <w:spacing w:before="79" w:line="360" w:lineRule="auto"/>
        <w:ind w:left="456"/>
        <w:rPr>
          <w:rFonts w:ascii="黑体" w:hAnsi="黑体" w:eastAsia="黑体" w:cs="黑体"/>
          <w:color w:val="auto"/>
          <w:sz w:val="24"/>
          <w:szCs w:val="24"/>
        </w:rPr>
      </w:pPr>
      <w:r>
        <w:rPr>
          <w:rFonts w:ascii="黑体" w:hAnsi="黑体" w:eastAsia="黑体" w:cs="黑体"/>
          <w:b/>
          <w:bCs/>
          <w:color w:val="auto"/>
          <w:spacing w:val="-4"/>
          <w:sz w:val="24"/>
          <w:szCs w:val="24"/>
        </w:rPr>
        <w:t>一、项目基本情况</w:t>
      </w:r>
    </w:p>
    <w:p w14:paraId="580C6BA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项目编号：</w:t>
      </w:r>
      <w:r>
        <w:rPr>
          <w:rFonts w:hint="eastAsia" w:asciiTheme="minorEastAsia" w:hAnsiTheme="minorEastAsia" w:eastAsiaTheme="minorEastAsia" w:cstheme="minorEastAsia"/>
          <w:color w:val="auto"/>
          <w:sz w:val="21"/>
          <w:szCs w:val="21"/>
          <w:lang w:eastAsia="zh-CN"/>
        </w:rPr>
        <w:t>GXZC2026-C3-001387-GXGN</w:t>
      </w:r>
    </w:p>
    <w:p w14:paraId="3C3D286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项目名称：</w:t>
      </w:r>
      <w:r>
        <w:rPr>
          <w:rFonts w:hint="eastAsia" w:asciiTheme="minorEastAsia" w:hAnsiTheme="minorEastAsia" w:eastAsiaTheme="minorEastAsia" w:cstheme="minorEastAsia"/>
          <w:color w:val="auto"/>
          <w:sz w:val="21"/>
          <w:szCs w:val="21"/>
          <w:lang w:eastAsia="zh-CN"/>
        </w:rPr>
        <w:t>2026年广西城市国土空间监测成果核查与验收项目</w:t>
      </w:r>
    </w:p>
    <w:p w14:paraId="420E729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采购方式：竞争性磋商</w:t>
      </w:r>
    </w:p>
    <w:p w14:paraId="743E2A1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预算金额（元）：</w:t>
      </w:r>
      <w:r>
        <w:rPr>
          <w:rFonts w:hint="eastAsia" w:asciiTheme="minorEastAsia" w:hAnsiTheme="minorEastAsia" w:eastAsiaTheme="minorEastAsia" w:cstheme="minorEastAsia"/>
          <w:color w:val="auto"/>
          <w:sz w:val="21"/>
          <w:szCs w:val="21"/>
          <w:lang w:eastAsia="zh-CN"/>
        </w:rPr>
        <w:t>1224700.00元</w:t>
      </w:r>
    </w:p>
    <w:p w14:paraId="7414261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最高限价（如有）：</w:t>
      </w:r>
      <w:r>
        <w:rPr>
          <w:rFonts w:hint="eastAsia" w:asciiTheme="minorEastAsia" w:hAnsiTheme="minorEastAsia" w:eastAsiaTheme="minorEastAsia" w:cstheme="minorEastAsia"/>
          <w:color w:val="auto"/>
          <w:sz w:val="21"/>
          <w:szCs w:val="21"/>
          <w:lang w:eastAsia="zh-CN"/>
        </w:rPr>
        <w:t>1224700.00元</w:t>
      </w:r>
    </w:p>
    <w:p w14:paraId="3472DF8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采购需求：</w:t>
      </w:r>
    </w:p>
    <w:p w14:paraId="759F76F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标项名称：</w:t>
      </w:r>
      <w:r>
        <w:rPr>
          <w:rFonts w:hint="eastAsia" w:asciiTheme="minorEastAsia" w:hAnsiTheme="minorEastAsia" w:eastAsiaTheme="minorEastAsia" w:cstheme="minorEastAsia"/>
          <w:color w:val="auto"/>
          <w:sz w:val="21"/>
          <w:szCs w:val="21"/>
          <w:lang w:eastAsia="zh-CN"/>
        </w:rPr>
        <w:t>2026年广西城市国土空间监测成果核查与验收项目</w:t>
      </w:r>
    </w:p>
    <w:p w14:paraId="2632247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数量：1</w:t>
      </w:r>
    </w:p>
    <w:p w14:paraId="1333FA1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简要规格描述或项目基本概况介绍、用途：根据 </w:t>
      </w:r>
      <w:r>
        <w:rPr>
          <w:rFonts w:hint="eastAsia" w:asciiTheme="minorEastAsia" w:hAnsiTheme="minorEastAsia" w:eastAsiaTheme="minorEastAsia" w:cstheme="minorEastAsia"/>
          <w:color w:val="auto"/>
          <w:sz w:val="21"/>
          <w:szCs w:val="21"/>
          <w:lang w:val="en-US" w:eastAsia="zh-CN"/>
        </w:rPr>
        <w:t>2026</w:t>
      </w:r>
      <w:r>
        <w:rPr>
          <w:rFonts w:hint="eastAsia" w:asciiTheme="minorEastAsia" w:hAnsiTheme="minorEastAsia" w:eastAsiaTheme="minorEastAsia" w:cstheme="minorEastAsia"/>
          <w:color w:val="auto"/>
          <w:sz w:val="21"/>
          <w:szCs w:val="21"/>
        </w:rPr>
        <w:t>年广西城市国土空间监测实施方案、有关技术规定和成果质量验收办法的要求，配合采购方开展广西城市国土空间监测核查与验收工作。如需进一步了解详细内容，详见竞争性磋商采购文件。</w:t>
      </w:r>
    </w:p>
    <w:p w14:paraId="342C312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合同履约期限： </w:t>
      </w:r>
      <w:r>
        <w:rPr>
          <w:rFonts w:hint="eastAsia" w:asciiTheme="minorEastAsia" w:hAnsiTheme="minorEastAsia" w:eastAsiaTheme="minorEastAsia" w:cstheme="minorEastAsia"/>
          <w:color w:val="auto"/>
          <w:sz w:val="21"/>
          <w:szCs w:val="21"/>
          <w:lang w:eastAsia="zh-CN"/>
        </w:rPr>
        <w:t>自合同签订之日起至2026年12月</w:t>
      </w:r>
      <w:r>
        <w:rPr>
          <w:rFonts w:hint="eastAsia" w:asciiTheme="minorEastAsia" w:hAnsiTheme="minorEastAsia" w:eastAsiaTheme="minorEastAsia" w:cstheme="minorEastAsia"/>
          <w:color w:val="auto"/>
          <w:sz w:val="21"/>
          <w:szCs w:val="21"/>
          <w:lang w:val="en-US" w:eastAsia="zh-CN"/>
        </w:rPr>
        <w:t>10</w:t>
      </w:r>
      <w:r>
        <w:rPr>
          <w:rFonts w:hint="eastAsia" w:asciiTheme="minorEastAsia" w:hAnsiTheme="minorEastAsia" w:eastAsiaTheme="minorEastAsia" w:cstheme="minorEastAsia"/>
          <w:color w:val="auto"/>
          <w:sz w:val="21"/>
          <w:szCs w:val="21"/>
          <w:lang w:eastAsia="zh-CN"/>
        </w:rPr>
        <w:t>日止</w:t>
      </w:r>
      <w:r>
        <w:rPr>
          <w:rFonts w:hint="eastAsia" w:asciiTheme="minorEastAsia" w:hAnsiTheme="minorEastAsia" w:eastAsiaTheme="minorEastAsia" w:cstheme="minorEastAsia"/>
          <w:color w:val="auto"/>
          <w:sz w:val="21"/>
          <w:szCs w:val="21"/>
        </w:rPr>
        <w:t>。</w:t>
      </w:r>
    </w:p>
    <w:p w14:paraId="1132BDE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本标项（是）接受联合体投标</w:t>
      </w:r>
      <w:r>
        <w:rPr>
          <w:rFonts w:hint="eastAsia" w:asciiTheme="minorEastAsia" w:hAnsiTheme="minorEastAsia" w:eastAsiaTheme="minorEastAsia" w:cstheme="minorEastAsia"/>
          <w:color w:val="auto"/>
          <w:sz w:val="21"/>
          <w:szCs w:val="21"/>
          <w:lang w:eastAsia="zh-CN"/>
        </w:rPr>
        <w:t>。</w:t>
      </w:r>
    </w:p>
    <w:p w14:paraId="5CC51296">
      <w:pPr>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联合体投标的应该满足以下要求：</w:t>
      </w:r>
    </w:p>
    <w:p w14:paraId="26BBF39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（1）联合体成员单位不超过2家，联合体成员之一必须是小微企业。</w:t>
      </w:r>
    </w:p>
    <w:p w14:paraId="701B05C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（2）联合体各方均应符合“具有独立法人资格”、“具有独立承担民事责任的能力”的条件。</w:t>
      </w:r>
    </w:p>
    <w:p w14:paraId="21F7AFB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（3）联合体各方应当签订联合体协议书（《联合体竞标协议书》格式见附件），</w:t>
      </w:r>
      <w:r>
        <w:rPr>
          <w:rFonts w:hint="eastAsia" w:ascii="宋体" w:hAnsi="宋体" w:eastAsia="宋体" w:cs="宋体"/>
          <w:b/>
          <w:bCs/>
          <w:color w:val="auto"/>
          <w:szCs w:val="21"/>
          <w:lang w:eastAsia="zh-CN"/>
        </w:rPr>
        <w:t>其中明确</w:t>
      </w:r>
      <w:r>
        <w:rPr>
          <w:rFonts w:hint="eastAsia" w:ascii="宋体" w:hAnsi="宋体" w:eastAsia="宋体" w:cs="宋体"/>
          <w:b/>
          <w:bCs/>
          <w:color w:val="auto"/>
          <w:szCs w:val="21"/>
        </w:rPr>
        <w:t>联合体牵头人代表联合体各方成员负责</w:t>
      </w:r>
      <w:r>
        <w:rPr>
          <w:rFonts w:hint="eastAsia" w:ascii="宋体" w:hAnsi="宋体" w:eastAsia="宋体" w:cs="宋体"/>
          <w:b/>
          <w:bCs/>
          <w:color w:val="auto"/>
          <w:szCs w:val="21"/>
          <w:lang w:eastAsia="zh-CN"/>
        </w:rPr>
        <w:t>本项目的</w:t>
      </w:r>
      <w:r>
        <w:rPr>
          <w:rFonts w:hint="eastAsia" w:ascii="宋体" w:hAnsi="宋体" w:eastAsia="宋体" w:cs="宋体"/>
          <w:b/>
          <w:bCs/>
          <w:color w:val="auto"/>
          <w:szCs w:val="21"/>
        </w:rPr>
        <w:t>投标</w:t>
      </w:r>
      <w:r>
        <w:rPr>
          <w:rFonts w:hint="eastAsia" w:ascii="宋体" w:hAnsi="宋体" w:eastAsia="宋体" w:cs="宋体"/>
          <w:b/>
          <w:bCs/>
          <w:color w:val="auto"/>
          <w:szCs w:val="21"/>
          <w:lang w:eastAsia="zh-CN"/>
        </w:rPr>
        <w:t>事宜</w:t>
      </w:r>
      <w:r>
        <w:rPr>
          <w:rFonts w:hint="eastAsia" w:ascii="宋体" w:hAnsi="宋体" w:eastAsia="宋体" w:cs="宋体"/>
          <w:b/>
          <w:bCs/>
          <w:color w:val="auto"/>
          <w:szCs w:val="21"/>
        </w:rPr>
        <w:t>和</w:t>
      </w:r>
      <w:r>
        <w:rPr>
          <w:rFonts w:hint="eastAsia" w:ascii="宋体" w:hAnsi="宋体" w:eastAsia="宋体" w:cs="宋体"/>
          <w:b/>
          <w:bCs/>
          <w:color w:val="auto"/>
          <w:szCs w:val="21"/>
          <w:lang w:eastAsia="zh-CN"/>
        </w:rPr>
        <w:t>负责实施本项目阶段的技术、质量、验收等</w:t>
      </w:r>
      <w:r>
        <w:rPr>
          <w:rFonts w:hint="eastAsia" w:ascii="宋体" w:hAnsi="宋体" w:eastAsia="宋体" w:cs="宋体"/>
          <w:b/>
          <w:bCs/>
          <w:color w:val="auto"/>
          <w:szCs w:val="21"/>
        </w:rPr>
        <w:t>工作</w:t>
      </w:r>
      <w:r>
        <w:rPr>
          <w:rFonts w:hint="eastAsia" w:ascii="宋体" w:hAnsi="宋体" w:eastAsia="宋体" w:cs="宋体"/>
          <w:b/>
          <w:bCs/>
          <w:color w:val="auto"/>
          <w:szCs w:val="21"/>
          <w:lang w:eastAsia="zh-CN"/>
        </w:rPr>
        <w:t>，</w:t>
      </w:r>
      <w:r>
        <w:rPr>
          <w:rFonts w:hint="eastAsia" w:ascii="宋体" w:hAnsi="宋体" w:eastAsia="宋体" w:cs="宋体"/>
          <w:color w:val="auto"/>
          <w:szCs w:val="21"/>
        </w:rPr>
        <w:t>但联合体其他成员在投标、签约与履行合同过程中，负有连带的和各自的法律责任。</w:t>
      </w:r>
    </w:p>
    <w:p w14:paraId="0C438BF0">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（4）联合体各方应分别在人员、设备、资金等方面具有承担本项目联合体协议书分工职责范围内的履约能力。</w:t>
      </w:r>
    </w:p>
    <w:p w14:paraId="6AEDD9A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备注：/</w:t>
      </w:r>
    </w:p>
    <w:p w14:paraId="79A91026">
      <w:pPr>
        <w:spacing w:before="126" w:line="360" w:lineRule="auto"/>
        <w:ind w:left="456"/>
        <w:rPr>
          <w:rFonts w:ascii="黑体" w:hAnsi="黑体" w:eastAsia="黑体" w:cs="黑体"/>
          <w:color w:val="auto"/>
          <w:sz w:val="24"/>
          <w:szCs w:val="24"/>
        </w:rPr>
      </w:pPr>
      <w:r>
        <w:rPr>
          <w:rFonts w:ascii="黑体" w:hAnsi="黑体" w:eastAsia="黑体" w:cs="黑体"/>
          <w:b/>
          <w:bCs/>
          <w:color w:val="auto"/>
          <w:spacing w:val="-3"/>
          <w:sz w:val="24"/>
          <w:szCs w:val="24"/>
        </w:rPr>
        <w:t>二、申请人的资格条件：</w:t>
      </w:r>
    </w:p>
    <w:p w14:paraId="16CFC79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1.满足《中华人民共和国政府采购法》第二十二条规定；</w:t>
      </w:r>
    </w:p>
    <w:p w14:paraId="2CAEF7A3">
      <w:pPr>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rPr>
        <w:t>2.落实政府采购政策需满足的资格要求：本项目预留采购预算总额的30%（即</w:t>
      </w:r>
      <w:r>
        <w:rPr>
          <w:rFonts w:hint="eastAsia" w:asciiTheme="minorEastAsia" w:hAnsiTheme="minorEastAsia" w:eastAsiaTheme="minorEastAsia" w:cstheme="minorEastAsia"/>
          <w:color w:val="auto"/>
          <w:sz w:val="21"/>
          <w:szCs w:val="21"/>
        </w:rPr>
        <w:t>36.741</w:t>
      </w:r>
      <w:r>
        <w:rPr>
          <w:rFonts w:hint="eastAsia" w:ascii="宋体" w:hAnsi="宋体" w:eastAsia="宋体" w:cs="宋体"/>
          <w:color w:val="auto"/>
          <w:szCs w:val="21"/>
        </w:rPr>
        <w:t>万元）专门面向</w:t>
      </w:r>
      <w:r>
        <w:rPr>
          <w:rFonts w:hint="eastAsia" w:ascii="宋体" w:hAnsi="宋体" w:eastAsia="宋体" w:cs="宋体"/>
          <w:color w:val="auto"/>
          <w:szCs w:val="21"/>
          <w:lang w:val="en-US" w:eastAsia="zh-CN"/>
        </w:rPr>
        <w:t>小微</w:t>
      </w:r>
      <w:r>
        <w:rPr>
          <w:rFonts w:hint="eastAsia" w:ascii="宋体" w:hAnsi="宋体" w:eastAsia="宋体" w:cs="宋体"/>
          <w:color w:val="auto"/>
          <w:szCs w:val="21"/>
        </w:rPr>
        <w:t>企业采购</w:t>
      </w:r>
      <w:r>
        <w:rPr>
          <w:rFonts w:hint="eastAsia"/>
          <w:color w:val="auto"/>
          <w:lang w:eastAsia="zh-CN"/>
        </w:rPr>
        <w:t>，</w:t>
      </w:r>
      <w:r>
        <w:rPr>
          <w:rFonts w:hint="eastAsia" w:ascii="宋体" w:hAnsi="宋体" w:eastAsia="宋体" w:cs="宋体"/>
          <w:color w:val="auto"/>
          <w:szCs w:val="21"/>
        </w:rPr>
        <w:t>本</w:t>
      </w:r>
      <w:r>
        <w:rPr>
          <w:rFonts w:hint="eastAsia" w:ascii="宋体" w:hAnsi="宋体" w:eastAsia="宋体" w:cs="宋体"/>
          <w:color w:val="auto"/>
          <w:szCs w:val="21"/>
          <w:lang w:val="en-US" w:eastAsia="zh-CN"/>
        </w:rPr>
        <w:t>项目</w:t>
      </w:r>
      <w:r>
        <w:rPr>
          <w:rFonts w:hint="eastAsia" w:ascii="宋体" w:hAnsi="宋体" w:eastAsia="宋体" w:cs="宋体"/>
          <w:color w:val="auto"/>
          <w:szCs w:val="21"/>
        </w:rPr>
        <w:t>不允许</w:t>
      </w:r>
      <w:r>
        <w:rPr>
          <w:rFonts w:hint="eastAsia" w:ascii="宋体" w:hAnsi="宋体" w:eastAsia="宋体" w:cs="宋体"/>
          <w:color w:val="auto"/>
          <w:szCs w:val="21"/>
          <w:lang w:val="en-US" w:eastAsia="zh-CN"/>
        </w:rPr>
        <w:t>中标供应商以</w:t>
      </w:r>
      <w:r>
        <w:rPr>
          <w:rFonts w:hint="eastAsia" w:ascii="宋体" w:hAnsi="宋体" w:eastAsia="宋体" w:cs="宋体"/>
          <w:color w:val="auto"/>
          <w:szCs w:val="21"/>
        </w:rPr>
        <w:t>任何形式的分包</w:t>
      </w:r>
      <w:r>
        <w:rPr>
          <w:rFonts w:hint="eastAsia" w:ascii="宋体" w:hAnsi="宋体" w:eastAsia="宋体" w:cs="宋体"/>
          <w:color w:val="auto"/>
          <w:szCs w:val="21"/>
          <w:lang w:eastAsia="zh-CN"/>
        </w:rPr>
        <w:t>、转包。</w:t>
      </w:r>
    </w:p>
    <w:p w14:paraId="3A72C557">
      <w:pPr>
        <w:spacing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1</w:t>
      </w:r>
      <w:r>
        <w:rPr>
          <w:rFonts w:hint="eastAsia" w:ascii="宋体" w:hAnsi="宋体" w:eastAsia="宋体" w:cs="宋体"/>
          <w:color w:val="auto"/>
          <w:szCs w:val="21"/>
          <w:lang w:eastAsia="zh-CN"/>
        </w:rPr>
        <w:t>）</w:t>
      </w:r>
      <w:r>
        <w:rPr>
          <w:rFonts w:hint="eastAsia" w:ascii="宋体" w:hAnsi="宋体" w:eastAsia="宋体" w:cs="宋体"/>
          <w:color w:val="auto"/>
          <w:szCs w:val="21"/>
        </w:rPr>
        <w:t>联合体投标的，联合体成员中必须包含一家小微企业，且联合体各方与该小微企业不存在直接控股、管理关系；联合体</w:t>
      </w:r>
      <w:r>
        <w:rPr>
          <w:rFonts w:hint="eastAsia" w:ascii="宋体" w:hAnsi="宋体" w:eastAsia="宋体" w:cs="宋体"/>
          <w:color w:val="auto"/>
          <w:szCs w:val="21"/>
          <w:lang w:eastAsia="zh-CN"/>
        </w:rPr>
        <w:t>投标的</w:t>
      </w:r>
      <w:r>
        <w:rPr>
          <w:rFonts w:hint="eastAsia" w:ascii="宋体" w:hAnsi="宋体" w:eastAsia="宋体" w:cs="宋体"/>
          <w:color w:val="auto"/>
          <w:szCs w:val="21"/>
        </w:rPr>
        <w:t>需在投标文件中提交联合体协议，明确</w:t>
      </w:r>
      <w:r>
        <w:rPr>
          <w:rFonts w:hint="eastAsia" w:ascii="宋体" w:hAnsi="宋体" w:eastAsia="宋体" w:cs="宋体"/>
          <w:color w:val="auto"/>
          <w:szCs w:val="21"/>
          <w:lang w:eastAsia="zh-CN"/>
        </w:rPr>
        <w:t>各联合体</w:t>
      </w:r>
      <w:r>
        <w:rPr>
          <w:rFonts w:hint="eastAsia" w:ascii="宋体" w:hAnsi="宋体" w:eastAsia="宋体" w:cs="宋体"/>
          <w:color w:val="auto"/>
          <w:szCs w:val="21"/>
        </w:rPr>
        <w:t>成员的实施内容及预算分配</w:t>
      </w:r>
      <w:r>
        <w:rPr>
          <w:rFonts w:hint="eastAsia" w:ascii="宋体" w:hAnsi="宋体" w:eastAsia="宋体" w:cs="宋体"/>
          <w:color w:val="auto"/>
          <w:szCs w:val="21"/>
          <w:lang w:eastAsia="zh-CN"/>
        </w:rPr>
        <w:t>，其中，</w:t>
      </w:r>
      <w:r>
        <w:rPr>
          <w:rFonts w:hint="eastAsia" w:ascii="宋体" w:hAnsi="宋体" w:eastAsia="宋体" w:cs="宋体"/>
          <w:color w:val="auto"/>
          <w:szCs w:val="21"/>
        </w:rPr>
        <w:t>小微企业成员在本项目中实施的内容对应的预算金额，不得低于本项目预留采购预算</w:t>
      </w:r>
      <w:r>
        <w:rPr>
          <w:rFonts w:hint="eastAsia" w:asciiTheme="minorEastAsia" w:hAnsiTheme="minorEastAsia" w:eastAsiaTheme="minorEastAsia" w:cstheme="minorEastAsia"/>
          <w:color w:val="auto"/>
          <w:sz w:val="21"/>
          <w:szCs w:val="21"/>
        </w:rPr>
        <w:t>36.741</w:t>
      </w:r>
      <w:r>
        <w:rPr>
          <w:rFonts w:hint="eastAsia" w:ascii="宋体" w:hAnsi="宋体" w:eastAsia="宋体" w:cs="宋体"/>
          <w:color w:val="auto"/>
          <w:szCs w:val="21"/>
        </w:rPr>
        <w:t>万元</w:t>
      </w:r>
      <w:r>
        <w:rPr>
          <w:rFonts w:hint="eastAsia" w:ascii="宋体" w:hAnsi="宋体" w:eastAsia="宋体" w:cs="宋体"/>
          <w:color w:val="auto"/>
          <w:szCs w:val="21"/>
          <w:lang w:eastAsia="zh-CN"/>
        </w:rPr>
        <w:t>；</w:t>
      </w:r>
    </w:p>
    <w:p w14:paraId="6F61806E">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）本</w:t>
      </w:r>
      <w:r>
        <w:rPr>
          <w:rFonts w:hint="eastAsia" w:ascii="宋体" w:hAnsi="宋体" w:eastAsia="宋体" w:cs="宋体"/>
          <w:color w:val="auto"/>
          <w:szCs w:val="21"/>
          <w:lang w:val="en-US" w:eastAsia="zh-CN"/>
        </w:rPr>
        <w:t>项目</w:t>
      </w:r>
      <w:r>
        <w:rPr>
          <w:rFonts w:hint="eastAsia" w:ascii="宋体" w:hAnsi="宋体" w:eastAsia="宋体" w:cs="宋体"/>
          <w:color w:val="auto"/>
          <w:szCs w:val="21"/>
          <w:lang w:eastAsia="zh-CN"/>
        </w:rPr>
        <w:t>所指小微企业，需符合《中小企业划型标准规定》（工信部联企业〔2011〕300号）相关标准，</w:t>
      </w:r>
      <w:r>
        <w:rPr>
          <w:rFonts w:hint="eastAsia" w:ascii="宋体" w:hAnsi="宋体" w:eastAsia="宋体" w:cs="宋体"/>
          <w:color w:val="auto"/>
          <w:szCs w:val="21"/>
          <w:lang w:val="en-US" w:eastAsia="zh-CN"/>
        </w:rPr>
        <w:t>供应商及</w:t>
      </w:r>
      <w:r>
        <w:rPr>
          <w:rFonts w:hint="eastAsia" w:ascii="宋体" w:hAnsi="宋体" w:eastAsia="宋体" w:cs="宋体"/>
          <w:color w:val="auto"/>
          <w:szCs w:val="21"/>
          <w:lang w:eastAsia="zh-CN"/>
        </w:rPr>
        <w:t>联合体小微企业成员需提供真实有效的小微企业资质证明文件。</w:t>
      </w:r>
    </w:p>
    <w:p w14:paraId="4B41A8F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3.本项目的特定资格要求：无。</w:t>
      </w:r>
    </w:p>
    <w:p w14:paraId="6094615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r>
        <w:rPr>
          <w:rFonts w:hint="eastAsia" w:asciiTheme="minorEastAsia" w:hAnsiTheme="minorEastAsia" w:eastAsiaTheme="minorEastAsia" w:cstheme="minorEastAsia"/>
          <w:color w:val="auto"/>
          <w:sz w:val="21"/>
          <w:szCs w:val="21"/>
          <w:lang w:eastAsia="zh-CN"/>
        </w:rPr>
        <w:t>；</w:t>
      </w:r>
    </w:p>
    <w:p w14:paraId="3623B83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.对在“信用中国”网站</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www.creditchina.gov.cn</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 xml:space="preserve"> 、中国政府采购网</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www.ccgp.gov.cn</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被列入失信被执行人、重大税收违法案件当事人名单、政府采购严重违法失信行为记录名单及其他不符合《中华人民共和国政府采购法》第二十二条规定条件的供应商，不得参与政府采购活动。</w:t>
      </w:r>
    </w:p>
    <w:p w14:paraId="31312E0F">
      <w:pPr>
        <w:spacing w:before="128" w:line="360" w:lineRule="auto"/>
        <w:ind w:left="360"/>
        <w:rPr>
          <w:rFonts w:ascii="黑体" w:hAnsi="黑体" w:eastAsia="黑体" w:cs="黑体"/>
          <w:color w:val="auto"/>
          <w:sz w:val="24"/>
          <w:szCs w:val="24"/>
        </w:rPr>
      </w:pPr>
      <w:r>
        <w:rPr>
          <w:rFonts w:ascii="黑体" w:hAnsi="黑体" w:eastAsia="黑体" w:cs="黑体"/>
          <w:b/>
          <w:bCs/>
          <w:color w:val="auto"/>
          <w:spacing w:val="-3"/>
          <w:sz w:val="24"/>
          <w:szCs w:val="24"/>
        </w:rPr>
        <w:t>三、获取竞争性磋商文件</w:t>
      </w:r>
    </w:p>
    <w:p w14:paraId="4C26ED5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时间：</w:t>
      </w:r>
      <w:r>
        <w:rPr>
          <w:rFonts w:hint="eastAsia" w:asciiTheme="minorEastAsia" w:hAnsiTheme="minorEastAsia" w:eastAsiaTheme="minorEastAsia" w:cstheme="minorEastAsia"/>
          <w:color w:val="auto"/>
          <w:sz w:val="21"/>
          <w:szCs w:val="21"/>
          <w:lang w:eastAsia="zh-CN"/>
        </w:rPr>
        <w:t>2026</w:t>
      </w:r>
      <w:r>
        <w:rPr>
          <w:rFonts w:hint="eastAsia" w:asciiTheme="minorEastAsia" w:hAnsiTheme="minorEastAsia" w:eastAsiaTheme="minorEastAsia" w:cstheme="minorEastAsia"/>
          <w:color w:val="auto"/>
          <w:sz w:val="21"/>
          <w:szCs w:val="21"/>
        </w:rPr>
        <w:t xml:space="preserve"> 年 </w:t>
      </w:r>
      <w:r>
        <w:rPr>
          <w:rFonts w:hint="eastAsia" w:asciiTheme="minorEastAsia" w:hAnsiTheme="minorEastAsia" w:eastAsiaTheme="minorEastAsia" w:cstheme="minorEastAsia"/>
          <w:color w:val="auto"/>
          <w:sz w:val="21"/>
          <w:szCs w:val="21"/>
          <w:lang w:val="en-US" w:eastAsia="zh-CN"/>
        </w:rPr>
        <w:t>06</w:t>
      </w:r>
      <w:r>
        <w:rPr>
          <w:rFonts w:hint="eastAsia" w:asciiTheme="minorEastAsia" w:hAnsiTheme="minorEastAsia" w:eastAsiaTheme="minorEastAsia" w:cstheme="minorEastAsia"/>
          <w:color w:val="auto"/>
          <w:sz w:val="21"/>
          <w:szCs w:val="21"/>
        </w:rPr>
        <w:t xml:space="preserve"> 月 </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 xml:space="preserve"> 日至 </w:t>
      </w:r>
      <w:r>
        <w:rPr>
          <w:rFonts w:hint="eastAsia" w:asciiTheme="minorEastAsia" w:hAnsiTheme="minorEastAsia" w:eastAsiaTheme="minorEastAsia" w:cstheme="minorEastAsia"/>
          <w:color w:val="auto"/>
          <w:sz w:val="21"/>
          <w:szCs w:val="21"/>
          <w:lang w:eastAsia="zh-CN"/>
        </w:rPr>
        <w:t>2026</w:t>
      </w:r>
      <w:r>
        <w:rPr>
          <w:rFonts w:hint="eastAsia" w:asciiTheme="minorEastAsia" w:hAnsiTheme="minorEastAsia" w:eastAsiaTheme="minorEastAsia" w:cstheme="minorEastAsia"/>
          <w:color w:val="auto"/>
          <w:sz w:val="21"/>
          <w:szCs w:val="21"/>
        </w:rPr>
        <w:t xml:space="preserve"> 年 </w:t>
      </w:r>
      <w:r>
        <w:rPr>
          <w:rFonts w:hint="eastAsia" w:asciiTheme="minorEastAsia" w:hAnsiTheme="minorEastAsia" w:eastAsiaTheme="minorEastAsia" w:cstheme="minorEastAsia"/>
          <w:color w:val="auto"/>
          <w:sz w:val="21"/>
          <w:szCs w:val="21"/>
          <w:lang w:val="en-US" w:eastAsia="zh-CN"/>
        </w:rPr>
        <w:t>06</w:t>
      </w:r>
      <w:r>
        <w:rPr>
          <w:rFonts w:hint="eastAsia" w:asciiTheme="minorEastAsia" w:hAnsiTheme="minorEastAsia" w:eastAsiaTheme="minorEastAsia" w:cstheme="minorEastAsia"/>
          <w:color w:val="auto"/>
          <w:sz w:val="21"/>
          <w:szCs w:val="21"/>
        </w:rPr>
        <w:t xml:space="preserve"> 月</w:t>
      </w:r>
      <w:r>
        <w:rPr>
          <w:rFonts w:hint="eastAsia" w:asciiTheme="minorEastAsia" w:hAnsiTheme="minorEastAsia" w:eastAsiaTheme="minorEastAsia" w:cstheme="minorEastAsia"/>
          <w:color w:val="auto"/>
          <w:sz w:val="21"/>
          <w:szCs w:val="21"/>
          <w:lang w:val="en-US" w:eastAsia="zh-CN"/>
        </w:rPr>
        <w:t xml:space="preserve"> 8 </w:t>
      </w:r>
      <w:r>
        <w:rPr>
          <w:rFonts w:hint="eastAsia" w:asciiTheme="minorEastAsia" w:hAnsiTheme="minorEastAsia" w:eastAsiaTheme="minorEastAsia" w:cstheme="minorEastAsia"/>
          <w:color w:val="auto"/>
          <w:sz w:val="21"/>
          <w:szCs w:val="21"/>
        </w:rPr>
        <w:t>日，每天上午 0:00 至  12:00，下午  12:00 至 23:59（北京时间，法定节假日除外）</w:t>
      </w:r>
    </w:p>
    <w:p w14:paraId="5DB5CD4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地点（网址）：广西政府采购云平台（</w:t>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HYPERLINK "https://www.gcy.zfcg.gxzf.gov.cn/"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color w:val="auto"/>
          <w:sz w:val="21"/>
          <w:szCs w:val="21"/>
        </w:rPr>
        <w:t>https://www.gcy.zfcg.gxzf.gov.cn/</w:t>
      </w:r>
      <w:r>
        <w:rPr>
          <w:rFonts w:hint="eastAsia" w:asciiTheme="minorEastAsia" w:hAnsiTheme="minorEastAsia" w:eastAsiaTheme="minorEastAsia" w:cstheme="minorEastAsia"/>
          <w:color w:val="auto"/>
          <w:sz w:val="21"/>
          <w:szCs w:val="21"/>
        </w:rPr>
        <w:fldChar w:fldCharType="end"/>
      </w:r>
      <w:r>
        <w:rPr>
          <w:rFonts w:hint="eastAsia" w:asciiTheme="minorEastAsia" w:hAnsiTheme="minorEastAsia" w:eastAsiaTheme="minorEastAsia" w:cstheme="minorEastAsia"/>
          <w:color w:val="auto"/>
          <w:sz w:val="21"/>
          <w:szCs w:val="21"/>
        </w:rPr>
        <w:t>）</w:t>
      </w:r>
    </w:p>
    <w:p w14:paraId="5766D13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获取方式:网上下载。本项目不提供纸质文件，潜在供应商需在广西政府采购云平台（</w:t>
      </w:r>
      <w:r>
        <w:rPr>
          <w:rFonts w:hint="eastAsia" w:asciiTheme="minorEastAsia" w:hAnsiTheme="minorEastAsia" w:eastAsiaTheme="minorEastAsia" w:cstheme="minorEastAsia"/>
          <w:color w:val="auto"/>
          <w:sz w:val="21"/>
          <w:szCs w:val="21"/>
          <w:u w:val="none"/>
        </w:rPr>
        <w:t>https://www.gcy.zfcg.gxzf.gov.cn/</w:t>
      </w:r>
      <w:r>
        <w:rPr>
          <w:rFonts w:hint="eastAsia" w:asciiTheme="minorEastAsia" w:hAnsiTheme="minorEastAsia" w:eastAsiaTheme="minorEastAsia" w:cstheme="minorEastAsia"/>
          <w:color w:val="auto"/>
          <w:sz w:val="21"/>
          <w:szCs w:val="21"/>
        </w:rPr>
        <w:t>）-进入“项目采购”应用，在获取采购文件菜单中选择项目，获取竞争性磋商文件。电子响应文件制作需要基于广西政府采购云平台获取的磋商文件编制，通过其他方式获取磋商文件的，将有可能导致供应商无法在广西政府采购云平台编制及上传响应文件。</w:t>
      </w:r>
    </w:p>
    <w:p w14:paraId="6B74288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售价（元）：0</w:t>
      </w:r>
    </w:p>
    <w:p w14:paraId="39D2BBB4">
      <w:pPr>
        <w:spacing w:before="128" w:line="360" w:lineRule="auto"/>
        <w:ind w:left="369"/>
        <w:rPr>
          <w:rFonts w:ascii="黑体" w:hAnsi="黑体" w:eastAsia="黑体" w:cs="黑体"/>
          <w:color w:val="auto"/>
          <w:sz w:val="24"/>
          <w:szCs w:val="24"/>
        </w:rPr>
      </w:pPr>
      <w:r>
        <w:rPr>
          <w:rFonts w:ascii="黑体" w:hAnsi="黑体" w:eastAsia="黑体" w:cs="黑体"/>
          <w:b/>
          <w:bCs/>
          <w:color w:val="auto"/>
          <w:spacing w:val="-5"/>
          <w:sz w:val="24"/>
          <w:szCs w:val="24"/>
        </w:rPr>
        <w:t>四、响应文件提交</w:t>
      </w:r>
    </w:p>
    <w:p w14:paraId="5DB39E4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截止时间：</w:t>
      </w:r>
      <w:r>
        <w:rPr>
          <w:rFonts w:hint="eastAsia" w:asciiTheme="minorEastAsia" w:hAnsiTheme="minorEastAsia" w:eastAsiaTheme="minorEastAsia" w:cstheme="minorEastAsia"/>
          <w:color w:val="auto"/>
          <w:sz w:val="21"/>
          <w:szCs w:val="21"/>
          <w:lang w:eastAsia="zh-CN"/>
        </w:rPr>
        <w:t>2026</w:t>
      </w:r>
      <w:r>
        <w:rPr>
          <w:rFonts w:hint="eastAsia" w:asciiTheme="minorEastAsia" w:hAnsiTheme="minorEastAsia" w:eastAsiaTheme="minorEastAsia" w:cstheme="minorEastAsia"/>
          <w:color w:val="auto"/>
          <w:sz w:val="21"/>
          <w:szCs w:val="21"/>
        </w:rPr>
        <w:t xml:space="preserve"> 年 </w:t>
      </w:r>
      <w:r>
        <w:rPr>
          <w:rFonts w:hint="eastAsia" w:asciiTheme="minorEastAsia" w:hAnsiTheme="minorEastAsia" w:eastAsiaTheme="minorEastAsia" w:cstheme="minorEastAsia"/>
          <w:color w:val="auto"/>
          <w:sz w:val="21"/>
          <w:szCs w:val="21"/>
          <w:lang w:val="en-US" w:eastAsia="zh-CN"/>
        </w:rPr>
        <w:t xml:space="preserve">6 </w:t>
      </w:r>
      <w:r>
        <w:rPr>
          <w:rFonts w:hint="eastAsia" w:asciiTheme="minorEastAsia" w:hAnsiTheme="minorEastAsia" w:eastAsiaTheme="minorEastAsia" w:cstheme="minorEastAsia"/>
          <w:color w:val="auto"/>
          <w:sz w:val="21"/>
          <w:szCs w:val="21"/>
        </w:rPr>
        <w:t xml:space="preserve">月 </w:t>
      </w:r>
      <w:r>
        <w:rPr>
          <w:rFonts w:hint="eastAsia" w:asciiTheme="minorEastAsia" w:hAnsiTheme="minorEastAsia" w:eastAsiaTheme="minorEastAsia" w:cstheme="minorEastAsia"/>
          <w:color w:val="auto"/>
          <w:sz w:val="21"/>
          <w:szCs w:val="21"/>
          <w:lang w:val="en-US" w:eastAsia="zh-CN"/>
        </w:rPr>
        <w:t xml:space="preserve">12 </w:t>
      </w:r>
      <w:r>
        <w:rPr>
          <w:rFonts w:hint="eastAsia" w:asciiTheme="minorEastAsia" w:hAnsiTheme="minorEastAsia" w:eastAsiaTheme="minorEastAsia" w:cstheme="minorEastAsia"/>
          <w:color w:val="auto"/>
          <w:sz w:val="21"/>
          <w:szCs w:val="21"/>
        </w:rPr>
        <w:t>日</w:t>
      </w:r>
      <w:r>
        <w:rPr>
          <w:rFonts w:hint="eastAsia" w:asciiTheme="minorEastAsia" w:hAnsiTheme="minorEastAsia" w:eastAsiaTheme="minorEastAsia" w:cstheme="minorEastAsia"/>
          <w:color w:val="auto"/>
          <w:sz w:val="21"/>
          <w:szCs w:val="21"/>
          <w:lang w:val="en-US" w:eastAsia="zh-CN"/>
        </w:rPr>
        <w:t xml:space="preserve"> 09</w:t>
      </w:r>
      <w:r>
        <w:rPr>
          <w:rFonts w:hint="eastAsia" w:asciiTheme="minorEastAsia" w:hAnsiTheme="minorEastAsia" w:eastAsiaTheme="minorEastAsia" w:cstheme="minorEastAsia"/>
          <w:color w:val="auto"/>
          <w:sz w:val="21"/>
          <w:szCs w:val="21"/>
        </w:rPr>
        <w:t xml:space="preserve"> 时 </w:t>
      </w:r>
      <w:r>
        <w:rPr>
          <w:rFonts w:hint="eastAsia" w:asciiTheme="minorEastAsia" w:hAnsiTheme="minorEastAsia" w:eastAsiaTheme="minorEastAsia" w:cstheme="minorEastAsia"/>
          <w:color w:val="auto"/>
          <w:sz w:val="21"/>
          <w:szCs w:val="21"/>
          <w:lang w:val="en-US" w:eastAsia="zh-CN"/>
        </w:rPr>
        <w:t>00</w:t>
      </w:r>
      <w:r>
        <w:rPr>
          <w:rFonts w:hint="eastAsia" w:asciiTheme="minorEastAsia" w:hAnsiTheme="minorEastAsia" w:eastAsiaTheme="minorEastAsia" w:cstheme="minorEastAsia"/>
          <w:color w:val="auto"/>
          <w:sz w:val="21"/>
          <w:szCs w:val="21"/>
        </w:rPr>
        <w:t xml:space="preserve"> 分（北京时间）</w:t>
      </w:r>
    </w:p>
    <w:p w14:paraId="2AE3ABB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1"/>
          <w:szCs w:val="21"/>
        </w:rPr>
        <w:t>地点（网址）：请登录广西政府采购云平台投标客户端投标</w:t>
      </w:r>
    </w:p>
    <w:p w14:paraId="07489AB0">
      <w:pPr>
        <w:spacing w:before="128" w:line="360" w:lineRule="auto"/>
        <w:ind w:left="362"/>
        <w:rPr>
          <w:rFonts w:ascii="黑体" w:hAnsi="黑体" w:eastAsia="黑体" w:cs="黑体"/>
          <w:color w:val="auto"/>
          <w:sz w:val="24"/>
          <w:szCs w:val="24"/>
        </w:rPr>
      </w:pPr>
      <w:r>
        <w:rPr>
          <w:rFonts w:ascii="黑体" w:hAnsi="黑体" w:eastAsia="黑体" w:cs="黑体"/>
          <w:b/>
          <w:bCs/>
          <w:color w:val="auto"/>
          <w:spacing w:val="-4"/>
          <w:sz w:val="24"/>
          <w:szCs w:val="24"/>
        </w:rPr>
        <w:t>五、响应文件开启</w:t>
      </w:r>
    </w:p>
    <w:p w14:paraId="63BD885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1.开启时间：</w:t>
      </w:r>
      <w:r>
        <w:rPr>
          <w:rFonts w:hint="eastAsia" w:asciiTheme="minorEastAsia" w:hAnsiTheme="minorEastAsia" w:eastAsiaTheme="minorEastAsia" w:cstheme="minorEastAsia"/>
          <w:color w:val="auto"/>
          <w:sz w:val="21"/>
          <w:szCs w:val="21"/>
          <w:lang w:eastAsia="zh-CN"/>
        </w:rPr>
        <w:t>2026</w:t>
      </w:r>
      <w:r>
        <w:rPr>
          <w:rFonts w:hint="eastAsia" w:asciiTheme="minorEastAsia" w:hAnsiTheme="minorEastAsia" w:eastAsiaTheme="minorEastAsia" w:cstheme="minorEastAsia"/>
          <w:color w:val="auto"/>
          <w:sz w:val="21"/>
          <w:szCs w:val="21"/>
        </w:rPr>
        <w:t xml:space="preserve"> 年 </w:t>
      </w: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 xml:space="preserve"> 月 </w:t>
      </w:r>
      <w:r>
        <w:rPr>
          <w:rFonts w:hint="eastAsia" w:asciiTheme="minorEastAsia" w:hAnsiTheme="minorEastAsia" w:eastAsiaTheme="minorEastAsia" w:cstheme="minorEastAsia"/>
          <w:color w:val="auto"/>
          <w:sz w:val="21"/>
          <w:szCs w:val="21"/>
          <w:lang w:val="en-US" w:eastAsia="zh-CN"/>
        </w:rPr>
        <w:t>12</w:t>
      </w:r>
      <w:r>
        <w:rPr>
          <w:rFonts w:hint="eastAsia" w:asciiTheme="minorEastAsia" w:hAnsiTheme="minorEastAsia" w:eastAsiaTheme="minorEastAsia" w:cstheme="minorEastAsia"/>
          <w:color w:val="auto"/>
          <w:sz w:val="21"/>
          <w:szCs w:val="21"/>
        </w:rPr>
        <w:t xml:space="preserve"> 日 </w:t>
      </w:r>
      <w:r>
        <w:rPr>
          <w:rFonts w:hint="eastAsia" w:asciiTheme="minorEastAsia" w:hAnsiTheme="minorEastAsia" w:eastAsiaTheme="minorEastAsia" w:cstheme="minorEastAsia"/>
          <w:color w:val="auto"/>
          <w:sz w:val="21"/>
          <w:szCs w:val="21"/>
          <w:lang w:val="en-US" w:eastAsia="zh-CN"/>
        </w:rPr>
        <w:t>09</w:t>
      </w:r>
      <w:r>
        <w:rPr>
          <w:rFonts w:hint="eastAsia" w:asciiTheme="minorEastAsia" w:hAnsiTheme="minorEastAsia" w:eastAsiaTheme="minorEastAsia" w:cstheme="minorEastAsia"/>
          <w:color w:val="auto"/>
          <w:sz w:val="21"/>
          <w:szCs w:val="21"/>
        </w:rPr>
        <w:t xml:space="preserve"> 时</w:t>
      </w:r>
      <w:r>
        <w:rPr>
          <w:rFonts w:hint="eastAsia" w:asciiTheme="minorEastAsia" w:hAnsiTheme="minorEastAsia" w:eastAsiaTheme="minorEastAsia" w:cstheme="minorEastAsia"/>
          <w:color w:val="auto"/>
          <w:sz w:val="21"/>
          <w:szCs w:val="21"/>
          <w:lang w:val="en-US" w:eastAsia="zh-CN"/>
        </w:rPr>
        <w:t xml:space="preserve"> 00</w:t>
      </w:r>
      <w:r>
        <w:rPr>
          <w:rFonts w:hint="eastAsia" w:asciiTheme="minorEastAsia" w:hAnsiTheme="minorEastAsia" w:eastAsiaTheme="minorEastAsia" w:cstheme="minorEastAsia"/>
          <w:color w:val="auto"/>
          <w:sz w:val="21"/>
          <w:szCs w:val="21"/>
        </w:rPr>
        <w:t xml:space="preserve"> 分（北京时间）</w:t>
      </w:r>
    </w:p>
    <w:p w14:paraId="0734F45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2.地点：广西政府采购云平台（</w:t>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HYPERLINK "https://www.gcy.zfcg.gxzf.gov.cn/"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color w:val="auto"/>
          <w:sz w:val="21"/>
          <w:szCs w:val="21"/>
        </w:rPr>
        <w:t>https://www.gcy.zfcg.gxzf.gov.cn/</w:t>
      </w:r>
      <w:r>
        <w:rPr>
          <w:rFonts w:hint="eastAsia" w:asciiTheme="minorEastAsia" w:hAnsiTheme="minorEastAsia" w:eastAsiaTheme="minorEastAsia" w:cstheme="minorEastAsia"/>
          <w:color w:val="auto"/>
          <w:sz w:val="21"/>
          <w:szCs w:val="21"/>
        </w:rPr>
        <w:fldChar w:fldCharType="end"/>
      </w:r>
      <w:r>
        <w:rPr>
          <w:rFonts w:hint="eastAsia" w:asciiTheme="minorEastAsia" w:hAnsiTheme="minorEastAsia" w:eastAsiaTheme="minorEastAsia" w:cstheme="minorEastAsia"/>
          <w:color w:val="auto"/>
          <w:sz w:val="21"/>
          <w:szCs w:val="21"/>
        </w:rPr>
        <w:t>）</w:t>
      </w:r>
    </w:p>
    <w:p w14:paraId="7295FA61">
      <w:pPr>
        <w:spacing w:before="133" w:line="360" w:lineRule="auto"/>
        <w:ind w:left="363"/>
        <w:rPr>
          <w:rFonts w:ascii="黑体" w:hAnsi="黑体" w:eastAsia="黑体" w:cs="黑体"/>
          <w:color w:val="auto"/>
          <w:sz w:val="24"/>
          <w:szCs w:val="24"/>
        </w:rPr>
      </w:pPr>
      <w:r>
        <w:rPr>
          <w:rFonts w:ascii="黑体" w:hAnsi="黑体" w:eastAsia="黑体" w:cs="黑体"/>
          <w:b/>
          <w:bCs/>
          <w:color w:val="auto"/>
          <w:spacing w:val="-5"/>
          <w:sz w:val="24"/>
          <w:szCs w:val="24"/>
        </w:rPr>
        <w:t>六、公告期限</w:t>
      </w:r>
    </w:p>
    <w:p w14:paraId="5F0E0C8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自本公告发布之日起 5 个工作日。</w:t>
      </w:r>
    </w:p>
    <w:p w14:paraId="110567A6">
      <w:pPr>
        <w:spacing w:before="130" w:line="360" w:lineRule="auto"/>
        <w:ind w:left="354"/>
        <w:rPr>
          <w:rFonts w:ascii="黑体" w:hAnsi="黑体" w:eastAsia="黑体" w:cs="黑体"/>
          <w:color w:val="auto"/>
          <w:sz w:val="24"/>
          <w:szCs w:val="24"/>
        </w:rPr>
      </w:pPr>
      <w:r>
        <w:rPr>
          <w:rFonts w:ascii="黑体" w:hAnsi="黑体" w:eastAsia="黑体" w:cs="黑体"/>
          <w:b/>
          <w:bCs/>
          <w:color w:val="auto"/>
          <w:spacing w:val="-3"/>
          <w:sz w:val="24"/>
          <w:szCs w:val="24"/>
        </w:rPr>
        <w:t>七、其他补充事宜</w:t>
      </w:r>
    </w:p>
    <w:p w14:paraId="4FE11C2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1.磋商保证金人民币为：¥5000.00 元。</w:t>
      </w:r>
    </w:p>
    <w:p w14:paraId="2A3DF9AD">
      <w:pPr>
        <w:keepNext w:val="0"/>
        <w:keepLines w:val="0"/>
        <w:pageBreakBefore w:val="0"/>
        <w:widowControl w:val="0"/>
        <w:kinsoku w:val="0"/>
        <w:wordWrap w:val="0"/>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磋商保证金的交纳方式：银行转账、支票、汇票、本票或者银行、保险机构出具的保函，禁止采用现钞方式。采用银行转账方式的，在响应文件提交截止时间前交至指定账户并且到账（开户银行：中国建设银行南宁望园路支行，开户名称：广西冠宁工程咨询有限公司，银行账号：45050160466109599699）；采用支票、汇票、本票或者保函等方式的，在响应文件提交截止时间前，供应商必须提交单独密封的支票、汇票、本票或者保函原件。否则视为无效磋商保证金。</w:t>
      </w:r>
    </w:p>
    <w:p w14:paraId="081DCF4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.网上查询地址</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中国政府采购网</w:t>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HYPERLINK "http://www.ccgp.gov.cn（中国政府采购网）、zfcg.gxzf.gov.cn（广西壮族自治区政府采购网）。"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color w:val="auto"/>
          <w:sz w:val="21"/>
          <w:szCs w:val="21"/>
        </w:rPr>
        <w:t>（www.ccgp.gov.cn）、广西壮族自治区政府采购网（zfcg.gxzf.gov.cn）。</w:t>
      </w:r>
      <w:r>
        <w:rPr>
          <w:rFonts w:hint="eastAsia" w:asciiTheme="minorEastAsia" w:hAnsiTheme="minorEastAsia" w:eastAsiaTheme="minorEastAsia" w:cstheme="minorEastAsia"/>
          <w:color w:val="auto"/>
          <w:sz w:val="21"/>
          <w:szCs w:val="21"/>
        </w:rPr>
        <w:fldChar w:fldCharType="end"/>
      </w:r>
    </w:p>
    <w:p w14:paraId="34B9DD4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.本项目需要落实的政府采购政策</w:t>
      </w:r>
    </w:p>
    <w:p w14:paraId="7E0DF00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（1）政府采购促进中小企业发展。</w:t>
      </w:r>
    </w:p>
    <w:p w14:paraId="3F13A7E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（2）政府采购支持采用本国产品的政策。</w:t>
      </w:r>
    </w:p>
    <w:p w14:paraId="5A1D317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（3）强制采购节能产品；优先采购节能产品、环境标志产品。</w:t>
      </w:r>
    </w:p>
    <w:p w14:paraId="6245275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（4）政府采购促进残疾人就业政策。</w:t>
      </w:r>
    </w:p>
    <w:p w14:paraId="0680939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（5）政府采购支持监狱企业发展。</w:t>
      </w:r>
    </w:p>
    <w:p w14:paraId="05DF43D6">
      <w:pPr>
        <w:keepNext w:val="0"/>
        <w:keepLines w:val="0"/>
        <w:pageBreakBefore w:val="0"/>
        <w:widowControl w:val="0"/>
        <w:kinsoku w:val="0"/>
        <w:wordWrap w:val="0"/>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4.供应商竞标注意事项</w:t>
      </w:r>
    </w:p>
    <w:p w14:paraId="4503854A">
      <w:pPr>
        <w:keepNext w:val="0"/>
        <w:keepLines w:val="0"/>
        <w:pageBreakBefore w:val="0"/>
        <w:widowControl w:val="0"/>
        <w:kinsoku w:val="0"/>
        <w:wordWrap w:val="0"/>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1 ） 本 项 目 为 全 流 程 电 子 化 采 购 项 目 ， 通 过 广 西 政 府 采 购 云 平 台（</w:t>
      </w:r>
      <w:r>
        <w:rPr>
          <w:rFonts w:hint="eastAsia" w:asciiTheme="minorEastAsia" w:hAnsiTheme="minorEastAsia" w:eastAsiaTheme="minorEastAsia" w:cstheme="minorEastAsia"/>
          <w:color w:val="auto"/>
          <w:sz w:val="21"/>
          <w:szCs w:val="21"/>
          <w:u w:val="none"/>
        </w:rPr>
        <w:t>https://www.gcy.zfcg.gxzf.gov.cn/</w:t>
      </w:r>
      <w:r>
        <w:rPr>
          <w:rFonts w:hint="eastAsia" w:asciiTheme="minorEastAsia" w:hAnsiTheme="minorEastAsia" w:eastAsiaTheme="minorEastAsia" w:cstheme="minorEastAsia"/>
          <w:color w:val="auto"/>
          <w:sz w:val="21"/>
          <w:szCs w:val="21"/>
        </w:rPr>
        <w:t>）实行在线电子竞标，供应商应先安装“广西政府采购云平台电子交易客户端 ”（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 ”的文件），供应商在广西政府采购云平台提交电子响应文件时，请填写参加远程采购活动经办人联系方式。供应商登录广西政府采购云平台，依次进入“服务中心</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项目采购</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操作流程</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电子招投标</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政府采购项目电子交易管理操作指南</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供应商 ”查看电子竞标具体操作流程。</w:t>
      </w:r>
    </w:p>
    <w:p w14:paraId="50205EB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（2）未进行网上注册并办理数字证书（CA 认证）的供应商将无法参与本项目政府采购活动，供应商应当在提交响应文件截止时间前，完成电子交易平台上的 CA 数字证书办理及响应文件的提交（供应商可登录“广西政府采购网 ”，依次进入“办事服务</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下载专区 ”或者</w:t>
      </w:r>
      <w:r>
        <w:rPr>
          <w:rFonts w:hint="eastAsia" w:asciiTheme="minorEastAsia" w:hAnsiTheme="minorEastAsia" w:eastAsiaTheme="minorEastAsia" w:cstheme="minorEastAsia"/>
          <w:color w:val="auto"/>
          <w:sz w:val="21"/>
          <w:szCs w:val="21"/>
          <w:lang w:eastAsia="zh-CN"/>
        </w:rPr>
        <w:t>登录</w:t>
      </w:r>
      <w:r>
        <w:rPr>
          <w:rFonts w:hint="eastAsia" w:asciiTheme="minorEastAsia" w:hAnsiTheme="minorEastAsia" w:eastAsiaTheme="minorEastAsia" w:cstheme="minorEastAsia"/>
          <w:color w:val="auto"/>
          <w:sz w:val="21"/>
          <w:szCs w:val="21"/>
        </w:rPr>
        <w:t>广西政府采购云平台，依次进入“服务中心</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入驻与配置 ”中查看 CA 数字证书办理操作流程。如在操作过程中遇到问题或者需要技术支持，请致电广西政府采购云平台客服热线：95763）。</w:t>
      </w:r>
    </w:p>
    <w:p w14:paraId="394DD9E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（3）CA 证书在线解密：首次响应文件开启时，需携带制作响应文件时用来加密的有效数字证书（CA认证）登录广西政府采购云平台电子开标大厅现场按规定时间对加密的响应文件进行解密，否则后果自负。</w:t>
      </w:r>
    </w:p>
    <w:p w14:paraId="62426FC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注：1）为确保网上操作合法、有效和安全，请供应商确保在电子竞标过程中能够对相关数据电文进行加密和使用电子签章，妥善保管 CA 数字证书并使用有效的CA 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24EB30E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（4）供应商需要在具备有摄像头及语音功能且互联网网络状况良好的电脑登录广西政府采购云平台远程开标大厅参与本次磋商，否则后果自负。</w:t>
      </w:r>
    </w:p>
    <w:p w14:paraId="7986BDA6">
      <w:pPr>
        <w:spacing w:before="2" w:line="360" w:lineRule="auto"/>
        <w:ind w:left="355"/>
        <w:rPr>
          <w:rFonts w:ascii="黑体" w:hAnsi="黑体" w:eastAsia="黑体" w:cs="黑体"/>
          <w:color w:val="auto"/>
          <w:sz w:val="24"/>
          <w:szCs w:val="24"/>
        </w:rPr>
      </w:pPr>
      <w:r>
        <w:rPr>
          <w:rFonts w:ascii="黑体" w:hAnsi="黑体" w:eastAsia="黑体" w:cs="黑体"/>
          <w:b/>
          <w:bCs/>
          <w:color w:val="auto"/>
          <w:spacing w:val="-3"/>
          <w:sz w:val="24"/>
          <w:szCs w:val="24"/>
        </w:rPr>
        <w:t>八、凡对本次采购提出询问，请按以下方式联系。</w:t>
      </w:r>
    </w:p>
    <w:p w14:paraId="0E11D5A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1.采购人信息</w:t>
      </w:r>
    </w:p>
    <w:p w14:paraId="554256D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名    称：广西壮族自治区自然资源厅</w:t>
      </w:r>
    </w:p>
    <w:p w14:paraId="2E1FB55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color w:val="auto"/>
          <w:sz w:val="21"/>
          <w:szCs w:val="21"/>
          <w:lang w:val="en-US" w:eastAsia="zh-CN"/>
        </w:rPr>
      </w:pPr>
      <w:bookmarkStart w:id="2" w:name="bookmark14"/>
      <w:bookmarkEnd w:id="2"/>
      <w:r>
        <w:rPr>
          <w:rFonts w:hint="eastAsia" w:asciiTheme="minorEastAsia" w:hAnsiTheme="minorEastAsia" w:eastAsiaTheme="minorEastAsia" w:cstheme="minorEastAsia"/>
          <w:color w:val="auto"/>
          <w:sz w:val="21"/>
          <w:szCs w:val="21"/>
          <w:lang w:val="en-US" w:eastAsia="zh-CN"/>
        </w:rPr>
        <w:t>地    址：广西南宁市青秀区中新路 2 号</w:t>
      </w:r>
    </w:p>
    <w:p w14:paraId="7E826AF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项目联系人：邹工</w:t>
      </w:r>
    </w:p>
    <w:p w14:paraId="46B001D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项目联系方式：0771-5388295</w:t>
      </w:r>
    </w:p>
    <w:p w14:paraId="7801B82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2.采购代理机构信息</w:t>
      </w:r>
    </w:p>
    <w:p w14:paraId="39824C5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名    称：广西冠宁工程咨询有限公司</w:t>
      </w:r>
    </w:p>
    <w:p w14:paraId="103F5A9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地    址：南宁市青秀区茶花园路6-1号南湖翠苑4层0431A号、0431B号、0431C号</w:t>
      </w:r>
    </w:p>
    <w:p w14:paraId="093E25C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项目联系人：阮学燕</w:t>
      </w:r>
    </w:p>
    <w:p w14:paraId="4626909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项目联系方式：0771-3940928、0771-5725583</w:t>
      </w:r>
    </w:p>
    <w:p w14:paraId="2CA0E0FE">
      <w:pPr>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bookmarkStart w:id="3" w:name="_Toc28359098"/>
      <w:bookmarkStart w:id="4" w:name="_Toc35393808"/>
      <w:bookmarkStart w:id="5" w:name="_Toc35393639"/>
      <w:bookmarkStart w:id="6" w:name="_Toc28359021"/>
      <w:r>
        <w:rPr>
          <w:rFonts w:hint="eastAsia" w:asciiTheme="minorEastAsia" w:hAnsiTheme="minorEastAsia" w:eastAsiaTheme="minorEastAsia" w:cstheme="minorEastAsia"/>
          <w:color w:val="auto"/>
          <w:kern w:val="0"/>
          <w:sz w:val="21"/>
          <w:szCs w:val="21"/>
          <w:highlight w:val="none"/>
        </w:rPr>
        <w:t>3.项目联系方式</w:t>
      </w:r>
      <w:bookmarkEnd w:id="3"/>
      <w:bookmarkEnd w:id="4"/>
      <w:bookmarkEnd w:id="5"/>
      <w:bookmarkEnd w:id="6"/>
    </w:p>
    <w:p w14:paraId="5548C70B">
      <w:pPr>
        <w:pStyle w:val="3"/>
        <w:spacing w:line="360" w:lineRule="auto"/>
        <w:ind w:firstLine="420" w:firstLineChars="200"/>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rPr>
        <w:t>项目联系人：</w:t>
      </w:r>
      <w:r>
        <w:rPr>
          <w:rFonts w:hint="eastAsia" w:asciiTheme="minorEastAsia" w:hAnsiTheme="minorEastAsia" w:eastAsiaTheme="minorEastAsia" w:cstheme="minorEastAsia"/>
          <w:color w:val="auto"/>
          <w:sz w:val="21"/>
          <w:szCs w:val="21"/>
          <w:highlight w:val="none"/>
          <w:u w:val="none"/>
          <w:lang w:val="en-US" w:eastAsia="zh-CN"/>
        </w:rPr>
        <w:t>阮学燕</w:t>
      </w:r>
      <w:r>
        <w:rPr>
          <w:rFonts w:hint="eastAsia" w:asciiTheme="minorEastAsia" w:hAnsiTheme="minorEastAsia" w:eastAsiaTheme="minorEastAsia" w:cstheme="minorEastAsia"/>
          <w:color w:val="auto"/>
          <w:sz w:val="21"/>
          <w:szCs w:val="21"/>
          <w:highlight w:val="none"/>
          <w:u w:val="none"/>
        </w:rPr>
        <w:t xml:space="preserve">       </w:t>
      </w:r>
    </w:p>
    <w:p w14:paraId="4AE53106">
      <w:pPr>
        <w:spacing w:line="360" w:lineRule="auto"/>
        <w:ind w:firstLine="420" w:firstLineChars="200"/>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u w:val="none"/>
        </w:rPr>
        <w:t>电　　话：</w:t>
      </w:r>
      <w:r>
        <w:rPr>
          <w:rFonts w:hint="eastAsia" w:asciiTheme="minorEastAsia" w:hAnsiTheme="minorEastAsia" w:eastAsiaTheme="minorEastAsia" w:cstheme="minorEastAsia"/>
          <w:color w:val="auto"/>
          <w:sz w:val="21"/>
          <w:szCs w:val="21"/>
          <w:highlight w:val="none"/>
          <w:u w:val="none"/>
          <w:lang w:val="en-US" w:eastAsia="zh-CN"/>
        </w:rPr>
        <w:t>0771-3940928、0771-5725583</w:t>
      </w:r>
      <w:r>
        <w:rPr>
          <w:rFonts w:hint="eastAsia" w:asciiTheme="minorEastAsia" w:hAnsiTheme="minorEastAsia" w:eastAsiaTheme="minorEastAsia" w:cstheme="minorEastAsia"/>
          <w:color w:val="auto"/>
          <w:sz w:val="21"/>
          <w:szCs w:val="21"/>
          <w:highlight w:val="none"/>
          <w:u w:val="none"/>
        </w:rPr>
        <w:t>　　　</w:t>
      </w:r>
    </w:p>
    <w:p w14:paraId="3D5BF8C0">
      <w:pPr>
        <w:spacing w:line="360" w:lineRule="auto"/>
        <w:ind w:firstLine="630" w:firstLineChars="300"/>
        <w:jc w:val="right"/>
        <w:rPr>
          <w:rFonts w:hint="eastAsia" w:asciiTheme="minorEastAsia" w:hAnsiTheme="minorEastAsia" w:eastAsiaTheme="minorEastAsia" w:cstheme="minorEastAsia"/>
          <w:color w:val="auto"/>
          <w:sz w:val="21"/>
          <w:szCs w:val="21"/>
          <w:highlight w:val="none"/>
          <w:u w:val="single"/>
        </w:rPr>
      </w:pPr>
    </w:p>
    <w:p w14:paraId="7A03B433">
      <w:pPr>
        <w:spacing w:line="360" w:lineRule="auto"/>
        <w:ind w:firstLine="630" w:firstLineChars="300"/>
        <w:jc w:val="right"/>
        <w:rPr>
          <w:rFonts w:hint="eastAsia" w:asciiTheme="minorEastAsia" w:hAnsiTheme="minorEastAsia" w:eastAsiaTheme="minorEastAsia" w:cstheme="minorEastAsia"/>
          <w:color w:val="auto"/>
          <w:sz w:val="21"/>
          <w:szCs w:val="21"/>
          <w:highlight w:val="none"/>
          <w:u w:val="single"/>
        </w:rPr>
      </w:pPr>
    </w:p>
    <w:p w14:paraId="24D3341A">
      <w:pPr>
        <w:spacing w:line="360" w:lineRule="auto"/>
        <w:jc w:val="right"/>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 xml:space="preserve"> 广西冠宁工程咨询有限公司</w:t>
      </w:r>
    </w:p>
    <w:p w14:paraId="57A08E40">
      <w:pPr>
        <w:spacing w:line="24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u w:val="none"/>
          <w:lang w:val="en-US" w:eastAsia="zh-CN"/>
        </w:rPr>
        <w:t xml:space="preserve">                                                                  2026 </w:t>
      </w:r>
      <w:r>
        <w:rPr>
          <w:rFonts w:hint="eastAsia" w:asciiTheme="minorEastAsia" w:hAnsiTheme="minorEastAsia" w:eastAsiaTheme="minorEastAsia" w:cstheme="minorEastAsia"/>
          <w:color w:val="auto"/>
          <w:sz w:val="21"/>
          <w:szCs w:val="21"/>
          <w:highlight w:val="none"/>
          <w:u w:val="none"/>
        </w:rPr>
        <w:t>年</w:t>
      </w:r>
      <w:r>
        <w:rPr>
          <w:rFonts w:hint="eastAsia" w:asciiTheme="minorEastAsia" w:hAnsiTheme="minorEastAsia" w:eastAsiaTheme="minorEastAsia" w:cstheme="minorEastAsia"/>
          <w:color w:val="auto"/>
          <w:sz w:val="21"/>
          <w:szCs w:val="21"/>
          <w:highlight w:val="none"/>
          <w:u w:val="none"/>
          <w:lang w:val="en-US" w:eastAsia="zh-CN"/>
        </w:rPr>
        <w:t xml:space="preserve"> 6 </w:t>
      </w:r>
      <w:r>
        <w:rPr>
          <w:rFonts w:hint="eastAsia" w:asciiTheme="minorEastAsia" w:hAnsiTheme="minorEastAsia" w:eastAsiaTheme="minorEastAsia" w:cstheme="minorEastAsia"/>
          <w:color w:val="auto"/>
          <w:sz w:val="21"/>
          <w:szCs w:val="21"/>
          <w:highlight w:val="none"/>
          <w:u w:val="none"/>
        </w:rPr>
        <w:t>月</w:t>
      </w:r>
      <w:r>
        <w:rPr>
          <w:rFonts w:hint="eastAsia" w:asciiTheme="minorEastAsia" w:hAnsiTheme="minorEastAsia" w:eastAsiaTheme="minorEastAsia" w:cstheme="minorEastAsia"/>
          <w:color w:val="auto"/>
          <w:sz w:val="21"/>
          <w:szCs w:val="21"/>
          <w:highlight w:val="none"/>
          <w:u w:val="none"/>
          <w:lang w:val="en-US" w:eastAsia="zh-CN"/>
        </w:rPr>
        <w:t xml:space="preserve"> 1 </w:t>
      </w:r>
      <w:r>
        <w:rPr>
          <w:rFonts w:hint="eastAsia" w:asciiTheme="minorEastAsia" w:hAnsiTheme="minorEastAsia" w:eastAsiaTheme="minorEastAsia" w:cstheme="minorEastAsia"/>
          <w:color w:val="auto"/>
          <w:sz w:val="21"/>
          <w:szCs w:val="21"/>
          <w:highlight w:val="none"/>
          <w:u w:val="none"/>
        </w:rPr>
        <w:t>日</w:t>
      </w:r>
    </w:p>
    <w:p w14:paraId="753AE4A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default" w:asciiTheme="minorEastAsia" w:hAnsiTheme="minorEastAsia" w:eastAsiaTheme="minorEastAsia" w:cstheme="minorEastAsia"/>
          <w:color w:val="auto"/>
          <w:sz w:val="21"/>
          <w:szCs w:val="21"/>
          <w:lang w:val="en-US" w:eastAsia="zh-CN"/>
        </w:rPr>
      </w:pPr>
    </w:p>
    <w:p w14:paraId="516019B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color w:val="auto"/>
          <w:sz w:val="21"/>
          <w:szCs w:val="21"/>
          <w:lang w:val="en-US" w:eastAsia="zh-CN"/>
        </w:rPr>
        <w:sectPr>
          <w:footerReference r:id="rId6" w:type="default"/>
          <w:pgSz w:w="11906" w:h="16839"/>
          <w:pgMar w:top="1304" w:right="1304" w:bottom="1304" w:left="1304" w:header="0" w:footer="1200" w:gutter="0"/>
          <w:pgNumType w:fmt="decimal"/>
          <w:cols w:space="720" w:num="1"/>
        </w:sectPr>
      </w:pPr>
    </w:p>
    <w:p w14:paraId="0829642B">
      <w:pPr>
        <w:spacing w:before="140" w:line="222" w:lineRule="auto"/>
        <w:ind w:left="2596"/>
        <w:outlineLvl w:val="0"/>
        <w:rPr>
          <w:rFonts w:ascii="宋体" w:hAnsi="宋体" w:eastAsia="宋体" w:cs="宋体"/>
          <w:color w:val="auto"/>
          <w:sz w:val="43"/>
          <w:szCs w:val="43"/>
        </w:rPr>
      </w:pPr>
      <w:bookmarkStart w:id="7" w:name="_Toc25308"/>
      <w:r>
        <w:rPr>
          <w:rFonts w:ascii="宋体" w:hAnsi="宋体" w:eastAsia="宋体" w:cs="宋体"/>
          <w:b/>
          <w:bCs/>
          <w:color w:val="auto"/>
          <w:spacing w:val="4"/>
          <w:sz w:val="43"/>
          <w:szCs w:val="43"/>
        </w:rPr>
        <w:t>第二章</w:t>
      </w:r>
      <w:r>
        <w:rPr>
          <w:rFonts w:ascii="宋体" w:hAnsi="宋体" w:eastAsia="宋体" w:cs="宋体"/>
          <w:color w:val="auto"/>
          <w:spacing w:val="4"/>
          <w:sz w:val="43"/>
          <w:szCs w:val="43"/>
        </w:rPr>
        <w:t xml:space="preserve"> </w:t>
      </w:r>
      <w:r>
        <w:rPr>
          <w:rFonts w:ascii="宋体" w:hAnsi="宋体" w:eastAsia="宋体" w:cs="宋体"/>
          <w:b/>
          <w:bCs/>
          <w:color w:val="auto"/>
          <w:spacing w:val="4"/>
          <w:sz w:val="43"/>
          <w:szCs w:val="43"/>
        </w:rPr>
        <w:t>供应商须知</w:t>
      </w:r>
      <w:bookmarkEnd w:id="7"/>
    </w:p>
    <w:p w14:paraId="3C77697F">
      <w:pPr>
        <w:spacing w:before="101" w:line="224" w:lineRule="auto"/>
        <w:ind w:left="3184"/>
        <w:rPr>
          <w:rFonts w:ascii="宋体" w:hAnsi="宋体" w:eastAsia="宋体" w:cs="宋体"/>
          <w:color w:val="auto"/>
          <w:sz w:val="31"/>
          <w:szCs w:val="31"/>
        </w:rPr>
      </w:pPr>
      <w:r>
        <w:rPr>
          <w:rFonts w:ascii="宋体" w:hAnsi="宋体" w:eastAsia="宋体" w:cs="宋体"/>
          <w:b/>
          <w:bCs/>
          <w:color w:val="auto"/>
          <w:spacing w:val="6"/>
          <w:sz w:val="31"/>
          <w:szCs w:val="31"/>
        </w:rPr>
        <w:t>供应商须知前附表</w:t>
      </w:r>
    </w:p>
    <w:tbl>
      <w:tblPr>
        <w:tblStyle w:val="10"/>
        <w:tblW w:w="927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1"/>
        <w:gridCol w:w="8316"/>
      </w:tblGrid>
      <w:tr w14:paraId="6F840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jc w:val="center"/>
        </w:trPr>
        <w:tc>
          <w:tcPr>
            <w:tcW w:w="961" w:type="dxa"/>
            <w:vAlign w:val="top"/>
          </w:tcPr>
          <w:p w14:paraId="1A0834DF">
            <w:pPr>
              <w:pStyle w:val="9"/>
              <w:spacing w:before="133" w:line="228" w:lineRule="auto"/>
              <w:ind w:left="188"/>
              <w:rPr>
                <w:color w:val="auto"/>
                <w:sz w:val="21"/>
                <w:szCs w:val="21"/>
              </w:rPr>
            </w:pPr>
            <w:r>
              <w:rPr>
                <w:b/>
                <w:bCs/>
                <w:color w:val="auto"/>
                <w:spacing w:val="5"/>
                <w:sz w:val="21"/>
                <w:szCs w:val="21"/>
              </w:rPr>
              <w:t>条款号</w:t>
            </w:r>
          </w:p>
        </w:tc>
        <w:tc>
          <w:tcPr>
            <w:tcW w:w="8316" w:type="dxa"/>
            <w:vAlign w:val="top"/>
          </w:tcPr>
          <w:p w14:paraId="1CB6DA83">
            <w:pPr>
              <w:pStyle w:val="9"/>
              <w:spacing w:before="133" w:line="228" w:lineRule="auto"/>
              <w:ind w:left="3562"/>
              <w:rPr>
                <w:color w:val="auto"/>
                <w:sz w:val="21"/>
                <w:szCs w:val="21"/>
              </w:rPr>
            </w:pPr>
            <w:r>
              <w:rPr>
                <w:b/>
                <w:bCs/>
                <w:color w:val="auto"/>
                <w:spacing w:val="-15"/>
                <w:sz w:val="21"/>
                <w:szCs w:val="21"/>
              </w:rPr>
              <w:t>内</w:t>
            </w:r>
            <w:r>
              <w:rPr>
                <w:color w:val="auto"/>
                <w:spacing w:val="8"/>
                <w:sz w:val="21"/>
                <w:szCs w:val="21"/>
              </w:rPr>
              <w:t xml:space="preserve">    </w:t>
            </w:r>
            <w:r>
              <w:rPr>
                <w:b/>
                <w:bCs/>
                <w:color w:val="auto"/>
                <w:spacing w:val="-15"/>
                <w:sz w:val="21"/>
                <w:szCs w:val="21"/>
              </w:rPr>
              <w:t>容</w:t>
            </w:r>
          </w:p>
        </w:tc>
      </w:tr>
      <w:tr w14:paraId="1A0E3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8" w:hRule="atLeast"/>
          <w:jc w:val="center"/>
        </w:trPr>
        <w:tc>
          <w:tcPr>
            <w:tcW w:w="961" w:type="dxa"/>
            <w:vAlign w:val="top"/>
          </w:tcPr>
          <w:p w14:paraId="1BF658DC">
            <w:pPr>
              <w:rPr>
                <w:rFonts w:ascii="Arial"/>
                <w:color w:val="auto"/>
                <w:sz w:val="21"/>
                <w:szCs w:val="21"/>
              </w:rPr>
            </w:pPr>
          </w:p>
          <w:p w14:paraId="01583297">
            <w:pPr>
              <w:rPr>
                <w:rFonts w:ascii="Arial"/>
                <w:color w:val="auto"/>
                <w:sz w:val="21"/>
                <w:szCs w:val="21"/>
              </w:rPr>
            </w:pPr>
          </w:p>
          <w:p w14:paraId="62255EB1">
            <w:pPr>
              <w:rPr>
                <w:rFonts w:ascii="Arial"/>
                <w:color w:val="auto"/>
                <w:sz w:val="21"/>
                <w:szCs w:val="21"/>
              </w:rPr>
            </w:pPr>
          </w:p>
          <w:p w14:paraId="39108935">
            <w:pPr>
              <w:rPr>
                <w:rFonts w:ascii="Arial"/>
                <w:color w:val="auto"/>
                <w:sz w:val="21"/>
                <w:szCs w:val="21"/>
              </w:rPr>
            </w:pPr>
          </w:p>
          <w:p w14:paraId="19DD950E">
            <w:pPr>
              <w:spacing w:line="241" w:lineRule="auto"/>
              <w:rPr>
                <w:rFonts w:ascii="Arial"/>
                <w:color w:val="auto"/>
                <w:sz w:val="21"/>
                <w:szCs w:val="21"/>
              </w:rPr>
            </w:pPr>
          </w:p>
          <w:p w14:paraId="6A2D39A9">
            <w:pPr>
              <w:spacing w:line="241" w:lineRule="auto"/>
              <w:rPr>
                <w:rFonts w:ascii="Arial"/>
                <w:color w:val="auto"/>
                <w:sz w:val="21"/>
                <w:szCs w:val="21"/>
              </w:rPr>
            </w:pPr>
          </w:p>
          <w:p w14:paraId="6C0E73EC">
            <w:pPr>
              <w:spacing w:line="241" w:lineRule="auto"/>
              <w:rPr>
                <w:rFonts w:ascii="Arial"/>
                <w:color w:val="auto"/>
                <w:sz w:val="21"/>
                <w:szCs w:val="21"/>
              </w:rPr>
            </w:pPr>
          </w:p>
          <w:p w14:paraId="27498CC6">
            <w:pPr>
              <w:spacing w:line="241" w:lineRule="auto"/>
              <w:rPr>
                <w:rFonts w:ascii="Arial"/>
                <w:color w:val="auto"/>
                <w:sz w:val="21"/>
                <w:szCs w:val="21"/>
              </w:rPr>
            </w:pPr>
          </w:p>
          <w:p w14:paraId="6BA29DBA">
            <w:pPr>
              <w:pStyle w:val="9"/>
              <w:spacing w:before="65" w:line="269" w:lineRule="exact"/>
              <w:ind w:left="455"/>
              <w:rPr>
                <w:color w:val="auto"/>
                <w:sz w:val="21"/>
                <w:szCs w:val="21"/>
              </w:rPr>
            </w:pPr>
            <w:r>
              <w:rPr>
                <w:color w:val="auto"/>
                <w:position w:val="1"/>
                <w:sz w:val="21"/>
                <w:szCs w:val="21"/>
              </w:rPr>
              <w:t>3</w:t>
            </w:r>
          </w:p>
        </w:tc>
        <w:tc>
          <w:tcPr>
            <w:tcW w:w="8316" w:type="dxa"/>
            <w:vAlign w:val="center"/>
          </w:tcPr>
          <w:p w14:paraId="1650D031">
            <w:pPr>
              <w:spacing w:line="360" w:lineRule="auto"/>
              <w:ind w:left="210" w:leftChars="10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1.供应商的资格条件：详见竞争性磋商公告</w:t>
            </w:r>
          </w:p>
          <w:p w14:paraId="12DEEC63">
            <w:pPr>
              <w:spacing w:line="360" w:lineRule="auto"/>
              <w:ind w:left="210" w:leftChars="10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2.供应商出现下列情形之一的，不得参加政府采购活动：</w:t>
            </w:r>
          </w:p>
          <w:p w14:paraId="4D40E872">
            <w:pPr>
              <w:spacing w:line="360" w:lineRule="auto"/>
              <w:ind w:left="210" w:leftChars="10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328E2B6">
            <w:pPr>
              <w:spacing w:line="360" w:lineRule="auto"/>
              <w:ind w:left="210" w:leftChars="10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2.2 对在“信用中国”网站（ </w:t>
            </w:r>
            <w:r>
              <w:rPr>
                <w:rFonts w:hint="eastAsia" w:asciiTheme="minorEastAsia" w:hAnsiTheme="minorEastAsia" w:eastAsiaTheme="minorEastAsia" w:cstheme="minorEastAsia"/>
                <w:color w:val="auto"/>
                <w:u w:val="none"/>
              </w:rPr>
              <w:t>www.creditchina.gov.cn</w:t>
            </w:r>
            <w:r>
              <w:rPr>
                <w:rFonts w:hint="eastAsia" w:asciiTheme="minorEastAsia" w:hAnsiTheme="minorEastAsia" w:eastAsiaTheme="minorEastAsia" w:cstheme="minorEastAsia"/>
                <w:color w:val="auto"/>
              </w:rPr>
              <w:t>）、中国政府采购网（</w:t>
            </w:r>
            <w:r>
              <w:rPr>
                <w:rFonts w:hint="eastAsia" w:asciiTheme="minorEastAsia" w:hAnsiTheme="minorEastAsia" w:eastAsiaTheme="minorEastAsia" w:cstheme="minorEastAsia"/>
                <w:color w:val="auto"/>
                <w:u w:val="none"/>
              </w:rPr>
              <w:t>www.ccgp.gov.cn</w:t>
            </w:r>
            <w:r>
              <w:rPr>
                <w:rFonts w:hint="eastAsia" w:asciiTheme="minorEastAsia" w:hAnsiTheme="minorEastAsia" w:eastAsiaTheme="minorEastAsia" w:cstheme="minorEastAsia"/>
                <w:color w:val="auto"/>
              </w:rPr>
              <w:t>）被列入失信被执行人、重大税收违法失信主体、政府采购严重违法失信行为记录名单及其他不符合《中华人民共和国政府采购法》第二十二条规定条件的供应商，不得参与政府采购活动。</w:t>
            </w:r>
          </w:p>
        </w:tc>
      </w:tr>
      <w:tr w14:paraId="4A8D5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jc w:val="center"/>
        </w:trPr>
        <w:tc>
          <w:tcPr>
            <w:tcW w:w="961" w:type="dxa"/>
            <w:vAlign w:val="center"/>
          </w:tcPr>
          <w:p w14:paraId="38B2AF0B">
            <w:pPr>
              <w:pStyle w:val="9"/>
              <w:spacing w:before="131" w:line="267" w:lineRule="exact"/>
              <w:ind w:left="349"/>
              <w:jc w:val="center"/>
              <w:rPr>
                <w:color w:val="auto"/>
                <w:sz w:val="21"/>
                <w:szCs w:val="21"/>
              </w:rPr>
            </w:pPr>
            <w:r>
              <w:rPr>
                <w:color w:val="auto"/>
                <w:spacing w:val="1"/>
                <w:position w:val="1"/>
                <w:sz w:val="21"/>
                <w:szCs w:val="21"/>
              </w:rPr>
              <w:t>5.1</w:t>
            </w:r>
          </w:p>
        </w:tc>
        <w:tc>
          <w:tcPr>
            <w:tcW w:w="8316" w:type="dxa"/>
            <w:vAlign w:val="bottom"/>
          </w:tcPr>
          <w:p w14:paraId="60C3B24D">
            <w:pPr>
              <w:spacing w:line="360" w:lineRule="auto"/>
              <w:ind w:left="210" w:leftChars="10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是否接受联合体竞标：详见竞争性磋商公告</w:t>
            </w:r>
          </w:p>
        </w:tc>
      </w:tr>
      <w:tr w14:paraId="2AD05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jc w:val="center"/>
        </w:trPr>
        <w:tc>
          <w:tcPr>
            <w:tcW w:w="961" w:type="dxa"/>
            <w:vAlign w:val="top"/>
          </w:tcPr>
          <w:p w14:paraId="6DEBB467">
            <w:pPr>
              <w:spacing w:line="259" w:lineRule="auto"/>
              <w:rPr>
                <w:rFonts w:ascii="Arial"/>
                <w:color w:val="auto"/>
                <w:sz w:val="21"/>
                <w:szCs w:val="21"/>
              </w:rPr>
            </w:pPr>
          </w:p>
          <w:p w14:paraId="5B3A7FCE">
            <w:pPr>
              <w:spacing w:line="259" w:lineRule="auto"/>
              <w:rPr>
                <w:rFonts w:ascii="Arial"/>
                <w:color w:val="auto"/>
                <w:sz w:val="21"/>
                <w:szCs w:val="21"/>
              </w:rPr>
            </w:pPr>
          </w:p>
          <w:p w14:paraId="025E4186">
            <w:pPr>
              <w:spacing w:line="260" w:lineRule="auto"/>
              <w:rPr>
                <w:rFonts w:ascii="Arial"/>
                <w:color w:val="auto"/>
                <w:sz w:val="21"/>
                <w:szCs w:val="21"/>
              </w:rPr>
            </w:pPr>
          </w:p>
          <w:p w14:paraId="0B5E535A">
            <w:pPr>
              <w:spacing w:line="260" w:lineRule="auto"/>
              <w:rPr>
                <w:rFonts w:ascii="Arial"/>
                <w:color w:val="auto"/>
                <w:sz w:val="21"/>
                <w:szCs w:val="21"/>
              </w:rPr>
            </w:pPr>
          </w:p>
          <w:p w14:paraId="62928D46">
            <w:pPr>
              <w:spacing w:line="260" w:lineRule="auto"/>
              <w:rPr>
                <w:rFonts w:ascii="Arial"/>
                <w:color w:val="auto"/>
                <w:sz w:val="21"/>
                <w:szCs w:val="21"/>
              </w:rPr>
            </w:pPr>
          </w:p>
          <w:p w14:paraId="22E2A6D0">
            <w:pPr>
              <w:spacing w:line="260" w:lineRule="auto"/>
              <w:rPr>
                <w:rFonts w:ascii="Arial"/>
                <w:color w:val="auto"/>
                <w:sz w:val="21"/>
                <w:szCs w:val="21"/>
              </w:rPr>
            </w:pPr>
          </w:p>
          <w:p w14:paraId="173783AA">
            <w:pPr>
              <w:spacing w:line="260" w:lineRule="auto"/>
              <w:rPr>
                <w:rFonts w:ascii="Arial"/>
                <w:color w:val="auto"/>
                <w:sz w:val="21"/>
                <w:szCs w:val="21"/>
              </w:rPr>
            </w:pPr>
          </w:p>
          <w:p w14:paraId="7274B917">
            <w:pPr>
              <w:spacing w:line="260" w:lineRule="auto"/>
              <w:rPr>
                <w:rFonts w:ascii="Arial"/>
                <w:color w:val="auto"/>
                <w:sz w:val="21"/>
                <w:szCs w:val="21"/>
              </w:rPr>
            </w:pPr>
          </w:p>
          <w:p w14:paraId="15E3EF76">
            <w:pPr>
              <w:spacing w:line="260" w:lineRule="auto"/>
              <w:rPr>
                <w:rFonts w:ascii="Arial"/>
                <w:color w:val="auto"/>
                <w:sz w:val="21"/>
                <w:szCs w:val="21"/>
              </w:rPr>
            </w:pPr>
          </w:p>
          <w:p w14:paraId="1C97597A">
            <w:pPr>
              <w:spacing w:line="260" w:lineRule="auto"/>
              <w:rPr>
                <w:rFonts w:ascii="Arial"/>
                <w:color w:val="auto"/>
                <w:sz w:val="21"/>
                <w:szCs w:val="21"/>
              </w:rPr>
            </w:pPr>
          </w:p>
          <w:p w14:paraId="418B936D">
            <w:pPr>
              <w:spacing w:line="260" w:lineRule="auto"/>
              <w:rPr>
                <w:rFonts w:ascii="Arial"/>
                <w:color w:val="auto"/>
                <w:sz w:val="21"/>
                <w:szCs w:val="21"/>
              </w:rPr>
            </w:pPr>
          </w:p>
          <w:p w14:paraId="63F7FD13">
            <w:pPr>
              <w:pStyle w:val="9"/>
              <w:spacing w:before="65" w:line="268" w:lineRule="exact"/>
              <w:ind w:left="349"/>
              <w:rPr>
                <w:color w:val="auto"/>
                <w:sz w:val="21"/>
                <w:szCs w:val="21"/>
              </w:rPr>
            </w:pPr>
            <w:r>
              <w:rPr>
                <w:color w:val="auto"/>
                <w:spacing w:val="1"/>
                <w:position w:val="1"/>
                <w:sz w:val="21"/>
                <w:szCs w:val="21"/>
              </w:rPr>
              <w:t>5.2</w:t>
            </w:r>
          </w:p>
        </w:tc>
        <w:tc>
          <w:tcPr>
            <w:tcW w:w="8316" w:type="dxa"/>
            <w:vAlign w:val="center"/>
          </w:tcPr>
          <w:p w14:paraId="40D35D3D">
            <w:pPr>
              <w:spacing w:line="360" w:lineRule="auto"/>
              <w:ind w:left="210" w:leftChars="10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联合体竞标要求如下：</w:t>
            </w:r>
          </w:p>
          <w:p w14:paraId="4FC0BFCA">
            <w:pPr>
              <w:spacing w:line="360" w:lineRule="auto"/>
              <w:ind w:leftChars="10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1.联合体成员单位不超过2家，</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联合体成员之一须是小微企业。联合体竞标的，须提供《联合体竞标协议书》（格式后附）。</w:t>
            </w:r>
          </w:p>
          <w:p w14:paraId="32E101EB">
            <w:pPr>
              <w:spacing w:line="360" w:lineRule="auto"/>
              <w:ind w:leftChars="10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2.以联合体形式参加竞标的，联合体各方均必须具备《中华人民共和国政府采购法》第二十二条第一款规定的基本条件</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（涉及行政许可范围的内容，联合体各方均应具备相应资质）。本项目有特殊要求规定供应商特定条件的，联合体各方中至少有一方必须符合磋商文件规定的特定条件。</w:t>
            </w:r>
          </w:p>
          <w:p w14:paraId="33B3C590">
            <w:pPr>
              <w:spacing w:line="360" w:lineRule="auto"/>
              <w:ind w:leftChars="10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3.联合体各方应当签订联合体协议书（《联合体竞标协议书》格式见附件）</w:t>
            </w:r>
            <w:r>
              <w:rPr>
                <w:rFonts w:hint="eastAsia" w:asciiTheme="minorEastAsia" w:hAnsiTheme="minorEastAsia" w:eastAsiaTheme="minorEastAsia" w:cstheme="minorEastAsia"/>
                <w:color w:val="auto"/>
                <w:lang w:eastAsia="zh-CN"/>
              </w:rPr>
              <w:t>，明确约定联合体各方承担的工作和相应的责任</w:t>
            </w: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b/>
                <w:bCs/>
                <w:color w:val="auto"/>
              </w:rPr>
              <w:t>其中联合体牵头人代表联合体各方成员负责</w:t>
            </w:r>
            <w:r>
              <w:rPr>
                <w:rFonts w:hint="eastAsia" w:asciiTheme="minorEastAsia" w:hAnsiTheme="minorEastAsia" w:eastAsiaTheme="minorEastAsia" w:cstheme="minorEastAsia"/>
                <w:b/>
                <w:bCs/>
                <w:color w:val="auto"/>
                <w:lang w:eastAsia="zh-CN"/>
              </w:rPr>
              <w:t>本项目的</w:t>
            </w:r>
            <w:r>
              <w:rPr>
                <w:rFonts w:hint="eastAsia" w:asciiTheme="minorEastAsia" w:hAnsiTheme="minorEastAsia" w:eastAsiaTheme="minorEastAsia" w:cstheme="minorEastAsia"/>
                <w:b/>
                <w:bCs/>
                <w:color w:val="auto"/>
              </w:rPr>
              <w:t>投标</w:t>
            </w:r>
            <w:r>
              <w:rPr>
                <w:rFonts w:hint="eastAsia" w:asciiTheme="minorEastAsia" w:hAnsiTheme="minorEastAsia" w:eastAsiaTheme="minorEastAsia" w:cstheme="minorEastAsia"/>
                <w:b/>
                <w:bCs/>
                <w:color w:val="auto"/>
                <w:lang w:eastAsia="zh-CN"/>
              </w:rPr>
              <w:t>事宜</w:t>
            </w:r>
            <w:r>
              <w:rPr>
                <w:rFonts w:hint="eastAsia" w:asciiTheme="minorEastAsia" w:hAnsiTheme="minorEastAsia" w:eastAsiaTheme="minorEastAsia" w:cstheme="minorEastAsia"/>
                <w:b/>
                <w:bCs/>
                <w:color w:val="auto"/>
              </w:rPr>
              <w:t>和</w:t>
            </w:r>
            <w:r>
              <w:rPr>
                <w:rFonts w:hint="eastAsia" w:asciiTheme="minorEastAsia" w:hAnsiTheme="minorEastAsia" w:eastAsiaTheme="minorEastAsia" w:cstheme="minorEastAsia"/>
                <w:b/>
                <w:bCs/>
                <w:color w:val="auto"/>
                <w:lang w:eastAsia="zh-CN"/>
              </w:rPr>
              <w:t>负责实施本项目阶段的技术、质量、验收等</w:t>
            </w:r>
            <w:r>
              <w:rPr>
                <w:rFonts w:hint="eastAsia" w:asciiTheme="minorEastAsia" w:hAnsiTheme="minorEastAsia" w:eastAsiaTheme="minorEastAsia" w:cstheme="minorEastAsia"/>
                <w:b/>
                <w:bCs/>
                <w:color w:val="auto"/>
              </w:rPr>
              <w:t>工作</w:t>
            </w:r>
            <w:r>
              <w:rPr>
                <w:rFonts w:hint="eastAsia" w:asciiTheme="minorEastAsia" w:hAnsiTheme="minorEastAsia" w:eastAsiaTheme="minorEastAsia" w:cstheme="minorEastAsia"/>
                <w:b/>
                <w:bCs/>
                <w:color w:val="auto"/>
                <w:lang w:eastAsia="zh-CN"/>
              </w:rPr>
              <w:t>（各方承担责任与义务的分工必须符合采购需求，否则，联合体竞标无效</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，但联合体其他成员在投标、签约与履行合同过程中，负有连带的和各自的法律责任。</w:t>
            </w:r>
          </w:p>
          <w:p w14:paraId="3B31C2F0">
            <w:pPr>
              <w:spacing w:line="360" w:lineRule="auto"/>
              <w:ind w:leftChars="10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4.以联合体形式参加政府采购活动的，联合体各方不得再单独参加或者与其他供应商另外组成联合体参加同一合同项下的政府采购活动。</w:t>
            </w:r>
          </w:p>
          <w:p w14:paraId="2816379C">
            <w:pPr>
              <w:spacing w:line="360" w:lineRule="auto"/>
              <w:ind w:leftChars="10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5.联合体中有同类资质的供应商按照联合体分工承担相同工作的，应当按照资质等级较低的供应商确定资质等级。</w:t>
            </w:r>
          </w:p>
          <w:p w14:paraId="58C162EE">
            <w:pPr>
              <w:spacing w:line="360" w:lineRule="auto"/>
              <w:ind w:leftChars="10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6.联合体竞标业绩、履约能力按照联合体各方中较高的一方认定并计算（磋商文件另有规定的除外）。</w:t>
            </w:r>
          </w:p>
          <w:p w14:paraId="603CE011">
            <w:pPr>
              <w:spacing w:line="360" w:lineRule="auto"/>
              <w:ind w:leftChars="10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7.供应商为联合体的，可以由联合体中的一方或者多方共同交纳磋商保证金，其交纳的保证金对联合体各方均具有约束力。</w:t>
            </w:r>
          </w:p>
          <w:p w14:paraId="1D05539E">
            <w:pPr>
              <w:spacing w:line="360" w:lineRule="auto"/>
              <w:ind w:leftChars="10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8.联合体各方均应按照磋商文件的规定提交资格证明文件。</w:t>
            </w:r>
          </w:p>
        </w:tc>
      </w:tr>
      <w:tr w14:paraId="5C86E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jc w:val="center"/>
        </w:trPr>
        <w:tc>
          <w:tcPr>
            <w:tcW w:w="961" w:type="dxa"/>
            <w:vAlign w:val="center"/>
          </w:tcPr>
          <w:p w14:paraId="44ABF88B">
            <w:pPr>
              <w:pStyle w:val="9"/>
              <w:spacing w:before="65" w:line="268" w:lineRule="exact"/>
              <w:ind w:left="347"/>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position w:val="1"/>
                <w:sz w:val="21"/>
                <w:szCs w:val="21"/>
              </w:rPr>
              <w:t>6.2</w:t>
            </w:r>
          </w:p>
        </w:tc>
        <w:tc>
          <w:tcPr>
            <w:tcW w:w="8316" w:type="dxa"/>
            <w:vAlign w:val="center"/>
          </w:tcPr>
          <w:p w14:paraId="10D49E8E">
            <w:pPr>
              <w:ind w:left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lang w:eastAsia="zh-CN"/>
              </w:rPr>
              <w:t>☑本项目</w:t>
            </w:r>
            <w:r>
              <w:rPr>
                <w:rFonts w:hint="eastAsia" w:asciiTheme="minorEastAsia" w:hAnsiTheme="minorEastAsia" w:eastAsiaTheme="minorEastAsia" w:cstheme="minorEastAsia"/>
                <w:color w:val="auto"/>
                <w:spacing w:val="4"/>
                <w:sz w:val="21"/>
                <w:szCs w:val="21"/>
              </w:rPr>
              <w:t>不允许分包</w:t>
            </w:r>
            <w:r>
              <w:rPr>
                <w:rFonts w:hint="eastAsia" w:asciiTheme="minorEastAsia" w:hAnsiTheme="minorEastAsia" w:eastAsiaTheme="minorEastAsia" w:cstheme="minorEastAsia"/>
                <w:color w:val="auto"/>
                <w:spacing w:val="4"/>
                <w:sz w:val="21"/>
                <w:szCs w:val="21"/>
                <w:lang w:eastAsia="zh-CN"/>
              </w:rPr>
              <w:t>、转包。</w:t>
            </w:r>
          </w:p>
        </w:tc>
      </w:tr>
      <w:tr w14:paraId="0362B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61" w:type="dxa"/>
            <w:vAlign w:val="center"/>
          </w:tcPr>
          <w:p w14:paraId="5392F887">
            <w:pPr>
              <w:pStyle w:val="9"/>
              <w:spacing w:before="65" w:line="268" w:lineRule="exact"/>
              <w:ind w:left="204"/>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position w:val="1"/>
                <w:sz w:val="21"/>
                <w:szCs w:val="21"/>
              </w:rPr>
              <w:t>12.1.1</w:t>
            </w:r>
          </w:p>
        </w:tc>
        <w:tc>
          <w:tcPr>
            <w:tcW w:w="8316" w:type="dxa"/>
            <w:vAlign w:val="top"/>
          </w:tcPr>
          <w:p w14:paraId="4C362857">
            <w:pPr>
              <w:spacing w:line="360" w:lineRule="auto"/>
              <w:ind w:firstLine="210" w:firstLineChars="10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资格证明文件</w:t>
            </w:r>
          </w:p>
          <w:p w14:paraId="0168D2E8">
            <w:pPr>
              <w:spacing w:line="360" w:lineRule="auto"/>
              <w:ind w:leftChars="100" w:firstLine="210" w:firstLineChars="10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1.供应商为法人或者其他组织的提供其营业执照等证明文件</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（如营业执照或者事业单位法人证书或者执业许可证或者登记证书等），供应商为自然人的提供其身份证复印件；</w:t>
            </w:r>
            <w:r>
              <w:rPr>
                <w:rFonts w:hint="eastAsia" w:asciiTheme="minorEastAsia" w:hAnsiTheme="minorEastAsia" w:eastAsiaTheme="minorEastAsia" w:cstheme="minorEastAsia"/>
                <w:b/>
                <w:bCs/>
                <w:color w:val="auto"/>
              </w:rPr>
              <w:t>（必须提供，否则响应文件按无效响应处理）</w:t>
            </w:r>
          </w:p>
          <w:p w14:paraId="4A4661E0">
            <w:pPr>
              <w:spacing w:line="360" w:lineRule="auto"/>
              <w:ind w:leftChars="100" w:firstLine="210" w:firstLineChars="10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供应商依法缴纳税收的相关材料（磋商截止之日前半年内供应商连续三个月的依法缴纳税收的凭据复印件；依法免税的，必须提供相应文件证明其依法免税。从成立之日起到响应文件提交截止时间止不足要求月数的，只需提供从成立之日起的依法缴纳税收相应证明文件）；</w:t>
            </w:r>
            <w:r>
              <w:rPr>
                <w:rFonts w:hint="eastAsia" w:asciiTheme="minorEastAsia" w:hAnsiTheme="minorEastAsia" w:eastAsiaTheme="minorEastAsia" w:cstheme="minorEastAsia"/>
                <w:b/>
                <w:bCs/>
                <w:color w:val="auto"/>
              </w:rPr>
              <w:t>（必须提供，否则响应文件按无效响应处理）</w:t>
            </w:r>
          </w:p>
          <w:p w14:paraId="65063EDE">
            <w:pPr>
              <w:spacing w:line="360" w:lineRule="auto"/>
              <w:ind w:leftChars="100" w:firstLine="210" w:firstLineChars="10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供应商依法缴纳社会保障资金的相关材料[磋商截止之日前半年内供应商连续三个月的依法缴纳社会保障资金的缴费凭证（专用收据或者社会保险缴纳清单）复印件；依法不需要缴纳社会保障资金的，必须提供相应文件证明不需要缴纳社会保障资金。从成立之日起到响应文件提交截止时间止不足要求月数的只需提供从成立之日起的依法缴纳社会保障资金的相应证明文件]；</w:t>
            </w:r>
            <w:r>
              <w:rPr>
                <w:rFonts w:hint="eastAsia" w:asciiTheme="minorEastAsia" w:hAnsiTheme="minorEastAsia" w:eastAsiaTheme="minorEastAsia" w:cstheme="minorEastAsia"/>
                <w:b/>
                <w:bCs/>
                <w:color w:val="auto"/>
              </w:rPr>
              <w:t>（必须提供，否则响应文件按无效响应处理）</w:t>
            </w:r>
          </w:p>
          <w:p w14:paraId="40F24DB2">
            <w:pPr>
              <w:spacing w:line="360" w:lineRule="auto"/>
              <w:ind w:leftChars="100" w:firstLine="210" w:firstLineChars="10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4.投标人财务状况报告：[202</w:t>
            </w:r>
            <w:r>
              <w:rPr>
                <w:rFonts w:hint="eastAsia" w:asciiTheme="minorEastAsia" w:hAnsiTheme="minorEastAsia" w:eastAsiaTheme="minorEastAsia" w:cstheme="minorEastAsia"/>
                <w:color w:val="auto"/>
                <w:lang w:val="en-US" w:eastAsia="zh-CN"/>
              </w:rPr>
              <w:t>5</w:t>
            </w:r>
            <w:r>
              <w:rPr>
                <w:rFonts w:hint="eastAsia" w:asciiTheme="minorEastAsia" w:hAnsiTheme="minorEastAsia" w:eastAsiaTheme="minorEastAsia" w:cstheme="minorEastAsia"/>
                <w:color w:val="auto"/>
              </w:rPr>
              <w:t>年]财务状况报告复印件或者银行出具的资信证明</w:t>
            </w:r>
          </w:p>
          <w:p w14:paraId="035B94CE">
            <w:pPr>
              <w:spacing w:line="360" w:lineRule="auto"/>
              <w:ind w:left="210" w:leftChars="100" w:firstLine="210" w:firstLineChars="10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供应商成立不满一年的</w:t>
            </w:r>
            <w:r>
              <w:rPr>
                <w:rFonts w:hint="eastAsia" w:asciiTheme="minorEastAsia" w:hAnsiTheme="minorEastAsia" w:eastAsiaTheme="minorEastAsia" w:cstheme="minorEastAsia"/>
                <w:color w:val="auto"/>
                <w:lang w:eastAsia="zh-CN"/>
              </w:rPr>
              <w:t>应</w:t>
            </w:r>
            <w:r>
              <w:rPr>
                <w:rFonts w:hint="eastAsia" w:asciiTheme="minorEastAsia" w:hAnsiTheme="minorEastAsia" w:eastAsiaTheme="minorEastAsia" w:cstheme="minorEastAsia"/>
                <w:color w:val="auto"/>
              </w:rPr>
              <w:t>提供截标之日上一个月的财务状况报告复印件。（上述财务状况报告包括：供应商执行《企业会计准则》的，提供资产负债表、利润表、现金流量表、所有者权益变动表及其附注（以</w:t>
            </w:r>
            <w:r>
              <w:rPr>
                <w:rFonts w:hint="eastAsia" w:asciiTheme="minorEastAsia" w:hAnsiTheme="minorEastAsia" w:eastAsiaTheme="minorEastAsia" w:cstheme="minorEastAsia"/>
                <w:color w:val="auto"/>
                <w:lang w:eastAsia="zh-CN"/>
              </w:rPr>
              <w:t>下简</w:t>
            </w:r>
            <w:r>
              <w:rPr>
                <w:rFonts w:hint="eastAsia" w:asciiTheme="minorEastAsia" w:hAnsiTheme="minorEastAsia" w:eastAsiaTheme="minorEastAsia" w:cstheme="minorEastAsia"/>
                <w:color w:val="auto"/>
              </w:rPr>
              <w:t>称“四表一注”）；供应商执行《小企业会计准则》的，提供资产负债表、利润表、现金流量表及其附注（以</w:t>
            </w:r>
            <w:r>
              <w:rPr>
                <w:rFonts w:hint="eastAsia" w:asciiTheme="minorEastAsia" w:hAnsiTheme="minorEastAsia" w:eastAsiaTheme="minorEastAsia" w:cstheme="minorEastAsia"/>
                <w:color w:val="auto"/>
                <w:lang w:eastAsia="zh-CN"/>
              </w:rPr>
              <w:t>下简</w:t>
            </w:r>
            <w:r>
              <w:rPr>
                <w:rFonts w:hint="eastAsia" w:asciiTheme="minorEastAsia" w:hAnsiTheme="minorEastAsia" w:eastAsiaTheme="minorEastAsia" w:cstheme="minorEastAsia"/>
                <w:color w:val="auto"/>
              </w:rPr>
              <w:t>称“三表一注”）供应商执行《政府会计制度》的，提供资产负债表，收入费用表和净资产变动表及其附注）；</w:t>
            </w:r>
            <w:r>
              <w:rPr>
                <w:rFonts w:hint="eastAsia" w:asciiTheme="minorEastAsia" w:hAnsiTheme="minorEastAsia" w:eastAsiaTheme="minorEastAsia" w:cstheme="minorEastAsia"/>
                <w:b/>
                <w:bCs/>
                <w:color w:val="auto"/>
              </w:rPr>
              <w:t>（必须提供，否则响应文件按无效响应处理）</w:t>
            </w:r>
          </w:p>
          <w:p w14:paraId="1B796C61">
            <w:pPr>
              <w:spacing w:line="360" w:lineRule="auto"/>
              <w:ind w:left="210" w:leftChars="100" w:firstLine="210" w:firstLineChars="10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5.供应商直接控股、管理关系信息表（格式后附）；</w:t>
            </w:r>
            <w:r>
              <w:rPr>
                <w:rFonts w:hint="eastAsia" w:asciiTheme="minorEastAsia" w:hAnsiTheme="minorEastAsia" w:eastAsiaTheme="minorEastAsia" w:cstheme="minorEastAsia"/>
                <w:b/>
                <w:bCs/>
                <w:color w:val="auto"/>
              </w:rPr>
              <w:t>（必须提供，否则响应文件按无效响应处理）</w:t>
            </w:r>
          </w:p>
          <w:p w14:paraId="6C33B0BD">
            <w:pPr>
              <w:spacing w:line="360" w:lineRule="auto"/>
              <w:ind w:left="210" w:leftChars="100" w:firstLine="210" w:firstLineChars="100"/>
              <w:jc w:val="both"/>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color w:val="auto"/>
              </w:rPr>
              <w:t>6.竞标声明（格式后附）；</w:t>
            </w:r>
            <w:r>
              <w:rPr>
                <w:rFonts w:hint="eastAsia" w:asciiTheme="minorEastAsia" w:hAnsiTheme="minorEastAsia" w:eastAsiaTheme="minorEastAsia" w:cstheme="minorEastAsia"/>
                <w:b/>
                <w:bCs/>
                <w:color w:val="auto"/>
              </w:rPr>
              <w:t>（必须提供，否则响应文件按无效响应处理）</w:t>
            </w:r>
          </w:p>
          <w:p w14:paraId="29F9CFB2">
            <w:pPr>
              <w:spacing w:line="360" w:lineRule="auto"/>
              <w:ind w:left="210" w:leftChars="100" w:firstLine="210" w:firstLineChars="10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7.联合体竞标协议书（格式后附）；</w:t>
            </w:r>
            <w:r>
              <w:rPr>
                <w:rFonts w:hint="eastAsia" w:asciiTheme="minorEastAsia" w:hAnsiTheme="minorEastAsia" w:eastAsiaTheme="minorEastAsia" w:cstheme="minorEastAsia"/>
                <w:b/>
                <w:bCs/>
                <w:color w:val="auto"/>
              </w:rPr>
              <w:t>（联合体竞标时必须提供，否则响应文件按无效响应处理）</w:t>
            </w:r>
          </w:p>
          <w:p w14:paraId="25D7012E">
            <w:pPr>
              <w:spacing w:line="360" w:lineRule="auto"/>
              <w:ind w:left="210" w:leftChars="100" w:firstLine="210" w:firstLineChars="10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8.廉政承诺书（格式后附）；</w:t>
            </w:r>
            <w:r>
              <w:rPr>
                <w:rFonts w:hint="eastAsia" w:asciiTheme="minorEastAsia" w:hAnsiTheme="minorEastAsia" w:eastAsiaTheme="minorEastAsia" w:cstheme="minorEastAsia"/>
                <w:b/>
                <w:bCs/>
                <w:color w:val="auto"/>
              </w:rPr>
              <w:t>（必须提供，否则响应文件按无效响应处理）</w:t>
            </w:r>
          </w:p>
          <w:p w14:paraId="755343B1">
            <w:pPr>
              <w:spacing w:line="360" w:lineRule="auto"/>
              <w:ind w:left="210" w:leftChars="100" w:firstLine="210" w:firstLineChars="10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9.本项目预留</w:t>
            </w:r>
            <w:r>
              <w:rPr>
                <w:rFonts w:hint="eastAsia" w:asciiTheme="minorEastAsia" w:hAnsiTheme="minorEastAsia" w:eastAsiaTheme="minorEastAsia" w:cstheme="minorEastAsia"/>
                <w:color w:val="auto"/>
                <w:lang w:val="en-US" w:eastAsia="zh-CN"/>
              </w:rPr>
              <w:t>30%</w:t>
            </w:r>
            <w:r>
              <w:rPr>
                <w:rFonts w:hint="eastAsia" w:asciiTheme="minorEastAsia" w:hAnsiTheme="minorEastAsia" w:eastAsiaTheme="minorEastAsia" w:cstheme="minorEastAsia"/>
                <w:color w:val="auto"/>
              </w:rPr>
              <w:t>份额面向</w:t>
            </w:r>
            <w:r>
              <w:rPr>
                <w:rFonts w:hint="eastAsia" w:asciiTheme="minorEastAsia" w:hAnsiTheme="minorEastAsia" w:eastAsiaTheme="minorEastAsia" w:cstheme="minorEastAsia"/>
                <w:color w:val="auto"/>
                <w:lang w:val="en-US" w:eastAsia="zh-CN"/>
              </w:rPr>
              <w:t>中</w:t>
            </w:r>
            <w:r>
              <w:rPr>
                <w:rFonts w:hint="eastAsia" w:asciiTheme="minorEastAsia" w:hAnsiTheme="minorEastAsia" w:eastAsiaTheme="minorEastAsia" w:cstheme="minorEastAsia"/>
                <w:color w:val="auto"/>
              </w:rPr>
              <w:t>小微企业采购</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lang w:val="en-US" w:eastAsia="zh-CN"/>
              </w:rPr>
              <w:t>供应商须为小微企业或</w:t>
            </w:r>
            <w:r>
              <w:rPr>
                <w:rFonts w:hint="eastAsia" w:asciiTheme="minorEastAsia" w:hAnsiTheme="minorEastAsia" w:eastAsiaTheme="minorEastAsia" w:cstheme="minorEastAsia"/>
                <w:color w:val="auto"/>
              </w:rPr>
              <w:t>联合体</w:t>
            </w:r>
            <w:r>
              <w:rPr>
                <w:rFonts w:hint="eastAsia" w:asciiTheme="minorEastAsia" w:hAnsiTheme="minorEastAsia" w:eastAsiaTheme="minorEastAsia" w:cstheme="minorEastAsia"/>
                <w:color w:val="auto"/>
                <w:lang w:val="en-US" w:eastAsia="zh-CN"/>
              </w:rPr>
              <w:t>成员之一须为</w:t>
            </w:r>
            <w:r>
              <w:rPr>
                <w:rFonts w:hint="eastAsia" w:asciiTheme="minorEastAsia" w:hAnsiTheme="minorEastAsia" w:eastAsiaTheme="minorEastAsia" w:cstheme="minorEastAsia"/>
                <w:color w:val="auto"/>
              </w:rPr>
              <w:t>小微企业</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供应商</w:t>
            </w:r>
            <w:r>
              <w:rPr>
                <w:rFonts w:hint="eastAsia" w:asciiTheme="minorEastAsia" w:hAnsiTheme="minorEastAsia" w:eastAsiaTheme="minorEastAsia" w:cstheme="minorEastAsia"/>
                <w:color w:val="auto"/>
                <w:lang w:val="en-US" w:eastAsia="zh-CN"/>
              </w:rPr>
              <w:t>为小微企业的应</w:t>
            </w:r>
            <w:r>
              <w:rPr>
                <w:rFonts w:hint="eastAsia" w:asciiTheme="minorEastAsia" w:hAnsiTheme="minorEastAsia" w:eastAsiaTheme="minorEastAsia" w:cstheme="minorEastAsia"/>
                <w:color w:val="auto"/>
              </w:rPr>
              <w:t>符合</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《政府采购促进中小企业发展管理办法》（财库〔2020〕46号）规定的小微企业（监狱企业、残疾人福利性单位均视同小型、微型企业）；供应商</w:t>
            </w:r>
            <w:r>
              <w:rPr>
                <w:rFonts w:hint="eastAsia" w:asciiTheme="minorEastAsia" w:hAnsiTheme="minorEastAsia" w:eastAsiaTheme="minorEastAsia" w:cstheme="minorEastAsia"/>
                <w:color w:val="auto"/>
                <w:lang w:val="en-US" w:eastAsia="zh-CN"/>
              </w:rPr>
              <w:t>为大中型企业与小微企业</w:t>
            </w:r>
            <w:r>
              <w:rPr>
                <w:rFonts w:hint="eastAsia" w:asciiTheme="minorEastAsia" w:hAnsiTheme="minorEastAsia" w:eastAsiaTheme="minorEastAsia" w:cstheme="minorEastAsia"/>
                <w:color w:val="auto"/>
              </w:rPr>
              <w:t>联合体</w:t>
            </w:r>
            <w:r>
              <w:rPr>
                <w:rFonts w:hint="eastAsia" w:asciiTheme="minorEastAsia" w:hAnsiTheme="minorEastAsia" w:eastAsiaTheme="minorEastAsia" w:cstheme="minorEastAsia"/>
                <w:color w:val="auto"/>
                <w:lang w:val="en-US" w:eastAsia="zh-CN"/>
              </w:rPr>
              <w:t>的，联合体成员中的小微企业应</w:t>
            </w:r>
            <w:r>
              <w:rPr>
                <w:rFonts w:hint="eastAsia" w:asciiTheme="minorEastAsia" w:hAnsiTheme="minorEastAsia" w:eastAsiaTheme="minorEastAsia" w:cstheme="minorEastAsia"/>
                <w:color w:val="auto"/>
              </w:rPr>
              <w:t>符合《政府采购促进中小企业发展管理办法》（财库〔2020〕46号）规定的小微企业（监狱企业、残疾人福利性单位均视同小型、微型企业）</w:t>
            </w:r>
            <w:r>
              <w:rPr>
                <w:rFonts w:hint="eastAsia" w:asciiTheme="minorEastAsia" w:hAnsiTheme="minorEastAsia" w:eastAsiaTheme="minorEastAsia" w:cstheme="minorEastAsia"/>
                <w:b/>
                <w:bCs/>
                <w:color w:val="auto"/>
              </w:rPr>
              <w:t>（</w:t>
            </w:r>
            <w:r>
              <w:rPr>
                <w:rFonts w:hint="eastAsia" w:asciiTheme="minorEastAsia" w:hAnsiTheme="minorEastAsia" w:eastAsiaTheme="minorEastAsia" w:cstheme="minorEastAsia"/>
                <w:b/>
                <w:bCs/>
                <w:color w:val="auto"/>
                <w:lang w:val="en-US" w:eastAsia="zh-CN"/>
              </w:rPr>
              <w:t>供应商为小微企业或联合体成员之一为小微企业的</w:t>
            </w:r>
            <w:r>
              <w:rPr>
                <w:rFonts w:hint="eastAsia" w:asciiTheme="minorEastAsia" w:hAnsiTheme="minorEastAsia" w:eastAsiaTheme="minorEastAsia" w:cstheme="minorEastAsia"/>
                <w:b/>
                <w:bCs/>
                <w:color w:val="auto"/>
              </w:rPr>
              <w:t>必须提供中小企业声明函或残疾人福利性单位声明函或供应商属于监狱企业的证明材料，否则作无效投标处理）</w:t>
            </w:r>
          </w:p>
          <w:p w14:paraId="6D030A68">
            <w:pPr>
              <w:spacing w:line="360" w:lineRule="auto"/>
              <w:ind w:left="210" w:leftChars="100" w:firstLine="210" w:firstLineChars="10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10.除磋商文件规定必须提供以外，供应商认为需要提供的其他证明材</w:t>
            </w:r>
            <w:r>
              <w:rPr>
                <w:rFonts w:hint="eastAsia" w:asciiTheme="minorEastAsia" w:hAnsiTheme="minorEastAsia" w:eastAsiaTheme="minorEastAsia" w:cstheme="minorEastAsia"/>
                <w:color w:val="auto"/>
                <w:lang w:val="en-US" w:eastAsia="zh-CN"/>
              </w:rPr>
              <w:t>料</w:t>
            </w:r>
            <w:r>
              <w:rPr>
                <w:rFonts w:hint="eastAsia" w:asciiTheme="minorEastAsia" w:hAnsiTheme="minorEastAsia" w:eastAsiaTheme="minorEastAsia" w:cstheme="minorEastAsia"/>
                <w:color w:val="auto"/>
              </w:rPr>
              <w:t>；</w:t>
            </w:r>
          </w:p>
          <w:p w14:paraId="75E90F77">
            <w:pPr>
              <w:spacing w:line="360" w:lineRule="auto"/>
              <w:ind w:left="210" w:leftChars="100" w:firstLine="211" w:firstLineChars="100"/>
              <w:jc w:val="both"/>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注：1.以上标明“必须提供 ”的材料必须加盖供应商电子签章，否则响应文件按无效处理。</w:t>
            </w:r>
          </w:p>
          <w:p w14:paraId="0903B1BA">
            <w:pPr>
              <w:spacing w:line="360" w:lineRule="auto"/>
              <w:ind w:left="210" w:leftChars="100" w:firstLine="211" w:firstLineChars="1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rPr>
              <w:t>2.联合体竞标时，第 1-5 项资格证明文件联合体各方均必须分别提供，并由联合体牵头人加盖电子签章，规定签字处签字（或者电子签名），否则响应文件按无效处理。</w:t>
            </w:r>
          </w:p>
        </w:tc>
      </w:tr>
      <w:tr w14:paraId="70FEA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jc w:val="center"/>
        </w:trPr>
        <w:tc>
          <w:tcPr>
            <w:tcW w:w="961" w:type="dxa"/>
            <w:vAlign w:val="center"/>
          </w:tcPr>
          <w:p w14:paraId="0D2D6336">
            <w:pPr>
              <w:pStyle w:val="9"/>
              <w:spacing w:before="65" w:line="268" w:lineRule="exact"/>
              <w:ind w:left="204"/>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position w:val="1"/>
                <w:sz w:val="21"/>
                <w:szCs w:val="21"/>
              </w:rPr>
              <w:t>12.1.2</w:t>
            </w:r>
          </w:p>
        </w:tc>
        <w:tc>
          <w:tcPr>
            <w:tcW w:w="8316" w:type="dxa"/>
            <w:vAlign w:val="top"/>
          </w:tcPr>
          <w:p w14:paraId="5B7A2C0C">
            <w:pPr>
              <w:pStyle w:val="9"/>
              <w:spacing w:before="133" w:line="226" w:lineRule="auto"/>
              <w:ind w:left="110" w:firstLine="224"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报价文件</w:t>
            </w:r>
          </w:p>
          <w:p w14:paraId="421DE2B1">
            <w:pPr>
              <w:pStyle w:val="9"/>
              <w:spacing w:before="223" w:line="226" w:lineRule="auto"/>
              <w:ind w:left="128" w:firstLine="228"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9"/>
                <w:sz w:val="21"/>
                <w:szCs w:val="21"/>
              </w:rPr>
              <w:t>1.竞标报价表（格式后附</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b/>
                <w:bCs/>
                <w:color w:val="auto"/>
                <w:spacing w:val="9"/>
                <w:sz w:val="21"/>
                <w:szCs w:val="21"/>
              </w:rPr>
              <w:t>必须提供，否则响</w:t>
            </w:r>
            <w:r>
              <w:rPr>
                <w:rFonts w:hint="eastAsia" w:asciiTheme="minorEastAsia" w:hAnsiTheme="minorEastAsia" w:eastAsiaTheme="minorEastAsia" w:cstheme="minorEastAsia"/>
                <w:b/>
                <w:bCs/>
                <w:color w:val="auto"/>
                <w:spacing w:val="8"/>
                <w:sz w:val="21"/>
                <w:szCs w:val="21"/>
              </w:rPr>
              <w:t>应文件按无效处理</w:t>
            </w:r>
            <w:r>
              <w:rPr>
                <w:rFonts w:hint="eastAsia" w:asciiTheme="minorEastAsia" w:hAnsiTheme="minorEastAsia" w:eastAsiaTheme="minorEastAsia" w:cstheme="minorEastAsia"/>
                <w:color w:val="auto"/>
                <w:spacing w:val="8"/>
                <w:sz w:val="21"/>
                <w:szCs w:val="21"/>
              </w:rPr>
              <w:t>）</w:t>
            </w:r>
          </w:p>
          <w:p w14:paraId="6754D824">
            <w:pPr>
              <w:pStyle w:val="9"/>
              <w:spacing w:before="222" w:line="227" w:lineRule="auto"/>
              <w:ind w:left="115" w:firstLine="226"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8"/>
                <w:sz w:val="21"/>
                <w:szCs w:val="21"/>
              </w:rPr>
              <w:t>2.供应商认为需要提供的其他有关资料。</w:t>
            </w:r>
          </w:p>
        </w:tc>
      </w:tr>
      <w:tr w14:paraId="1A83C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6" w:hRule="atLeast"/>
          <w:jc w:val="center"/>
        </w:trPr>
        <w:tc>
          <w:tcPr>
            <w:tcW w:w="961" w:type="dxa"/>
            <w:vAlign w:val="center"/>
          </w:tcPr>
          <w:p w14:paraId="63591B24">
            <w:pPr>
              <w:pStyle w:val="9"/>
              <w:spacing w:before="65" w:line="268" w:lineRule="exact"/>
              <w:ind w:left="204"/>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position w:val="1"/>
                <w:sz w:val="21"/>
                <w:szCs w:val="21"/>
              </w:rPr>
              <w:t>12.1.3</w:t>
            </w:r>
          </w:p>
        </w:tc>
        <w:tc>
          <w:tcPr>
            <w:tcW w:w="8316" w:type="dxa"/>
            <w:vAlign w:val="top"/>
          </w:tcPr>
          <w:p w14:paraId="741ADDB4">
            <w:pPr>
              <w:pStyle w:val="9"/>
              <w:spacing w:before="133" w:line="228" w:lineRule="auto"/>
              <w:ind w:left="116" w:firstLine="223"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6"/>
                <w:sz w:val="21"/>
                <w:szCs w:val="21"/>
              </w:rPr>
              <w:t>商务技术文件</w:t>
            </w:r>
          </w:p>
          <w:p w14:paraId="7507652E">
            <w:pPr>
              <w:pStyle w:val="9"/>
              <w:spacing w:before="221" w:line="335" w:lineRule="auto"/>
              <w:ind w:left="115" w:right="110" w:firstLine="237" w:firstLineChars="105"/>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8"/>
                <w:sz w:val="21"/>
                <w:szCs w:val="21"/>
              </w:rPr>
              <w:t>1.无串通竞标行为的承诺函（格式后附</w:t>
            </w:r>
            <w:r>
              <w:rPr>
                <w:rFonts w:hint="eastAsia" w:asciiTheme="minorEastAsia" w:hAnsiTheme="minorEastAsia" w:eastAsiaTheme="minorEastAsia" w:cstheme="minorEastAsia"/>
                <w:color w:val="auto"/>
                <w:spacing w:val="-17"/>
                <w:sz w:val="21"/>
                <w:szCs w:val="21"/>
              </w:rPr>
              <w:t>）；（</w:t>
            </w:r>
            <w:r>
              <w:rPr>
                <w:rFonts w:hint="eastAsia" w:asciiTheme="minorEastAsia" w:hAnsiTheme="minorEastAsia" w:eastAsiaTheme="minorEastAsia" w:cstheme="minorEastAsia"/>
                <w:b/>
                <w:bCs/>
                <w:color w:val="auto"/>
                <w:spacing w:val="8"/>
                <w:sz w:val="21"/>
                <w:szCs w:val="21"/>
              </w:rPr>
              <w:t>必须提供，否则响应文件按无效响应处</w:t>
            </w:r>
            <w:r>
              <w:rPr>
                <w:rFonts w:hint="eastAsia" w:asciiTheme="minorEastAsia" w:hAnsiTheme="minorEastAsia" w:eastAsiaTheme="minorEastAsia" w:cstheme="minorEastAsia"/>
                <w:b/>
                <w:bCs/>
                <w:color w:val="auto"/>
                <w:spacing w:val="-2"/>
                <w:sz w:val="21"/>
                <w:szCs w:val="21"/>
              </w:rPr>
              <w:t>理</w:t>
            </w:r>
            <w:r>
              <w:rPr>
                <w:rFonts w:hint="eastAsia" w:asciiTheme="minorEastAsia" w:hAnsiTheme="minorEastAsia" w:eastAsiaTheme="minorEastAsia" w:cstheme="minorEastAsia"/>
                <w:color w:val="auto"/>
                <w:spacing w:val="-2"/>
                <w:sz w:val="21"/>
                <w:szCs w:val="21"/>
              </w:rPr>
              <w:t>）</w:t>
            </w:r>
          </w:p>
          <w:p w14:paraId="2A4AB553">
            <w:pPr>
              <w:pStyle w:val="9"/>
              <w:spacing w:before="113" w:line="302" w:lineRule="auto"/>
              <w:ind w:right="110" w:firstLine="228"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9"/>
                <w:sz w:val="21"/>
                <w:szCs w:val="21"/>
              </w:rPr>
              <w:t>2.法定代表人身份证明书及法定代表人有效身份证正反面复印件（格式后附</w:t>
            </w:r>
            <w:r>
              <w:rPr>
                <w:rFonts w:hint="eastAsia" w:asciiTheme="minorEastAsia" w:hAnsiTheme="minorEastAsia" w:eastAsiaTheme="minorEastAsia" w:cstheme="minorEastAsia"/>
                <w:color w:val="auto"/>
                <w:spacing w:val="-13"/>
                <w:sz w:val="21"/>
                <w:szCs w:val="21"/>
              </w:rPr>
              <w:t>）；（</w:t>
            </w:r>
            <w:r>
              <w:rPr>
                <w:rFonts w:hint="eastAsia" w:asciiTheme="minorEastAsia" w:hAnsiTheme="minorEastAsia" w:eastAsiaTheme="minorEastAsia" w:cstheme="minorEastAsia"/>
                <w:b/>
                <w:bCs/>
                <w:color w:val="auto"/>
                <w:spacing w:val="9"/>
                <w:sz w:val="21"/>
                <w:szCs w:val="21"/>
              </w:rPr>
              <w:t>除</w:t>
            </w:r>
            <w:r>
              <w:rPr>
                <w:rFonts w:hint="eastAsia" w:asciiTheme="minorEastAsia" w:hAnsiTheme="minorEastAsia" w:eastAsiaTheme="minorEastAsia" w:cstheme="minorEastAsia"/>
                <w:b/>
                <w:bCs/>
                <w:color w:val="auto"/>
                <w:spacing w:val="6"/>
                <w:sz w:val="21"/>
                <w:szCs w:val="21"/>
              </w:rPr>
              <w:t>自然人竞标外必须提供，否则响应文件按无效响应处理</w:t>
            </w:r>
            <w:r>
              <w:rPr>
                <w:rFonts w:hint="eastAsia" w:asciiTheme="minorEastAsia" w:hAnsiTheme="minorEastAsia" w:eastAsiaTheme="minorEastAsia" w:cstheme="minorEastAsia"/>
                <w:color w:val="auto"/>
                <w:spacing w:val="6"/>
                <w:sz w:val="21"/>
                <w:szCs w:val="21"/>
              </w:rPr>
              <w:t>）</w:t>
            </w:r>
          </w:p>
          <w:p w14:paraId="7EBDC23D">
            <w:pPr>
              <w:pStyle w:val="9"/>
              <w:spacing w:before="260" w:line="227" w:lineRule="auto"/>
              <w:ind w:left="116" w:firstLine="228"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9"/>
                <w:sz w:val="21"/>
                <w:szCs w:val="21"/>
              </w:rPr>
              <w:t>3.授权委托书及委托代理人有效身份证正反面复印件（格式后附</w:t>
            </w:r>
            <w:r>
              <w:rPr>
                <w:rFonts w:hint="eastAsia" w:asciiTheme="minorEastAsia" w:hAnsiTheme="minorEastAsia" w:eastAsiaTheme="minorEastAsia" w:cstheme="minorEastAsia"/>
                <w:color w:val="auto"/>
                <w:spacing w:val="-17"/>
                <w:sz w:val="21"/>
                <w:szCs w:val="21"/>
              </w:rPr>
              <w:t>）；（</w:t>
            </w:r>
            <w:r>
              <w:rPr>
                <w:rFonts w:hint="eastAsia" w:asciiTheme="minorEastAsia" w:hAnsiTheme="minorEastAsia" w:eastAsiaTheme="minorEastAsia" w:cstheme="minorEastAsia"/>
                <w:b/>
                <w:bCs/>
                <w:color w:val="auto"/>
                <w:spacing w:val="9"/>
                <w:sz w:val="21"/>
                <w:szCs w:val="21"/>
              </w:rPr>
              <w:t>委托时必须提</w:t>
            </w:r>
            <w:r>
              <w:rPr>
                <w:rFonts w:hint="eastAsia" w:asciiTheme="minorEastAsia" w:hAnsiTheme="minorEastAsia" w:eastAsiaTheme="minorEastAsia" w:cstheme="minorEastAsia"/>
                <w:b/>
                <w:bCs/>
                <w:color w:val="auto"/>
                <w:spacing w:val="7"/>
                <w:sz w:val="21"/>
                <w:szCs w:val="21"/>
              </w:rPr>
              <w:t>供，否则响应文件按无效响应处理</w:t>
            </w:r>
            <w:r>
              <w:rPr>
                <w:rFonts w:hint="eastAsia" w:asciiTheme="minorEastAsia" w:hAnsiTheme="minorEastAsia" w:eastAsiaTheme="minorEastAsia" w:cstheme="minorEastAsia"/>
                <w:color w:val="auto"/>
                <w:spacing w:val="7"/>
                <w:sz w:val="21"/>
                <w:szCs w:val="21"/>
              </w:rPr>
              <w:t>）</w:t>
            </w:r>
          </w:p>
          <w:p w14:paraId="2DEB8A8C">
            <w:pPr>
              <w:pStyle w:val="9"/>
              <w:spacing w:before="222" w:line="227" w:lineRule="auto"/>
              <w:ind w:left="111" w:firstLine="228"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9"/>
                <w:sz w:val="21"/>
                <w:szCs w:val="21"/>
              </w:rPr>
              <w:t>4.磋商保证金提交凭证</w:t>
            </w:r>
            <w:r>
              <w:rPr>
                <w:rFonts w:hint="eastAsia" w:asciiTheme="minorEastAsia" w:hAnsiTheme="minorEastAsia" w:eastAsiaTheme="minorEastAsia" w:cstheme="minorEastAsia"/>
                <w:color w:val="auto"/>
                <w:spacing w:val="-3"/>
                <w:sz w:val="21"/>
                <w:szCs w:val="21"/>
              </w:rPr>
              <w:t>；（</w:t>
            </w:r>
            <w:r>
              <w:rPr>
                <w:rFonts w:hint="eastAsia" w:asciiTheme="minorEastAsia" w:hAnsiTheme="minorEastAsia" w:eastAsiaTheme="minorEastAsia" w:cstheme="minorEastAsia"/>
                <w:b/>
                <w:bCs/>
                <w:color w:val="auto"/>
                <w:spacing w:val="9"/>
                <w:sz w:val="21"/>
                <w:szCs w:val="21"/>
              </w:rPr>
              <w:t>必须提供，否则响应文件按无效响应处理</w:t>
            </w:r>
            <w:r>
              <w:rPr>
                <w:rFonts w:hint="eastAsia" w:asciiTheme="minorEastAsia" w:hAnsiTheme="minorEastAsia" w:eastAsiaTheme="minorEastAsia" w:cstheme="minorEastAsia"/>
                <w:color w:val="auto"/>
                <w:spacing w:val="9"/>
                <w:sz w:val="21"/>
                <w:szCs w:val="21"/>
              </w:rPr>
              <w:t>）</w:t>
            </w:r>
          </w:p>
          <w:p w14:paraId="2AE0179E">
            <w:pPr>
              <w:pStyle w:val="9"/>
              <w:spacing w:before="222" w:line="227" w:lineRule="auto"/>
              <w:ind w:left="116" w:firstLine="228"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9"/>
                <w:sz w:val="21"/>
                <w:szCs w:val="21"/>
              </w:rPr>
              <w:t>5.商务要求偏离表（格式后附</w:t>
            </w:r>
            <w:r>
              <w:rPr>
                <w:rFonts w:hint="eastAsia" w:asciiTheme="minorEastAsia" w:hAnsiTheme="minorEastAsia" w:eastAsiaTheme="minorEastAsia" w:cstheme="minorEastAsia"/>
                <w:color w:val="auto"/>
                <w:spacing w:val="1"/>
                <w:sz w:val="21"/>
                <w:szCs w:val="21"/>
              </w:rPr>
              <w:t>）；（</w:t>
            </w:r>
            <w:r>
              <w:rPr>
                <w:rFonts w:hint="eastAsia" w:asciiTheme="minorEastAsia" w:hAnsiTheme="minorEastAsia" w:eastAsiaTheme="minorEastAsia" w:cstheme="minorEastAsia"/>
                <w:b/>
                <w:bCs/>
                <w:color w:val="auto"/>
                <w:spacing w:val="9"/>
                <w:sz w:val="21"/>
                <w:szCs w:val="21"/>
              </w:rPr>
              <w:t>必须提供，否则响应文件按无效响应处理</w:t>
            </w:r>
            <w:r>
              <w:rPr>
                <w:rFonts w:hint="eastAsia" w:asciiTheme="minorEastAsia" w:hAnsiTheme="minorEastAsia" w:eastAsiaTheme="minorEastAsia" w:cstheme="minorEastAsia"/>
                <w:color w:val="auto"/>
                <w:spacing w:val="9"/>
                <w:sz w:val="21"/>
                <w:szCs w:val="21"/>
              </w:rPr>
              <w:t>）</w:t>
            </w:r>
          </w:p>
          <w:p w14:paraId="2BC7B1CC">
            <w:pPr>
              <w:pStyle w:val="9"/>
              <w:spacing w:before="222" w:line="227" w:lineRule="auto"/>
              <w:ind w:left="114" w:firstLine="228"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9"/>
                <w:sz w:val="21"/>
                <w:szCs w:val="21"/>
              </w:rPr>
              <w:t>6.服务方案（格式自拟</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b/>
                <w:bCs/>
                <w:color w:val="auto"/>
                <w:spacing w:val="9"/>
                <w:sz w:val="21"/>
                <w:szCs w:val="21"/>
              </w:rPr>
              <w:t>必须提供，否则响应文件按无效响应处理</w:t>
            </w:r>
            <w:r>
              <w:rPr>
                <w:rFonts w:hint="eastAsia" w:asciiTheme="minorEastAsia" w:hAnsiTheme="minorEastAsia" w:eastAsiaTheme="minorEastAsia" w:cstheme="minorEastAsia"/>
                <w:color w:val="auto"/>
                <w:spacing w:val="9"/>
                <w:sz w:val="21"/>
                <w:szCs w:val="21"/>
              </w:rPr>
              <w:t>）</w:t>
            </w:r>
          </w:p>
          <w:p w14:paraId="7A55512D">
            <w:pPr>
              <w:pStyle w:val="9"/>
              <w:spacing w:before="222" w:line="227" w:lineRule="auto"/>
              <w:ind w:left="117" w:firstLine="228"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9"/>
                <w:sz w:val="21"/>
                <w:szCs w:val="21"/>
              </w:rPr>
              <w:t>7.技术要求偏离表（格式后附</w:t>
            </w:r>
            <w:r>
              <w:rPr>
                <w:rFonts w:hint="eastAsia" w:asciiTheme="minorEastAsia" w:hAnsiTheme="minorEastAsia" w:eastAsiaTheme="minorEastAsia" w:cstheme="minorEastAsia"/>
                <w:color w:val="auto"/>
                <w:spacing w:val="1"/>
                <w:sz w:val="21"/>
                <w:szCs w:val="21"/>
              </w:rPr>
              <w:t>）；（</w:t>
            </w:r>
            <w:r>
              <w:rPr>
                <w:rFonts w:hint="eastAsia" w:asciiTheme="minorEastAsia" w:hAnsiTheme="minorEastAsia" w:eastAsiaTheme="minorEastAsia" w:cstheme="minorEastAsia"/>
                <w:b/>
                <w:bCs/>
                <w:color w:val="auto"/>
                <w:spacing w:val="9"/>
                <w:sz w:val="21"/>
                <w:szCs w:val="21"/>
              </w:rPr>
              <w:t>必须提供，否则响应文件按无效响应处理</w:t>
            </w:r>
            <w:r>
              <w:rPr>
                <w:rFonts w:hint="eastAsia" w:asciiTheme="minorEastAsia" w:hAnsiTheme="minorEastAsia" w:eastAsiaTheme="minorEastAsia" w:cstheme="minorEastAsia"/>
                <w:color w:val="auto"/>
                <w:spacing w:val="9"/>
                <w:sz w:val="21"/>
                <w:szCs w:val="21"/>
              </w:rPr>
              <w:t>）</w:t>
            </w:r>
          </w:p>
          <w:p w14:paraId="56175115">
            <w:pPr>
              <w:pStyle w:val="9"/>
              <w:spacing w:before="222" w:line="227" w:lineRule="auto"/>
              <w:ind w:left="113" w:firstLine="226"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8"/>
                <w:sz w:val="21"/>
                <w:szCs w:val="21"/>
              </w:rPr>
              <w:t>8.售后服务承诺（格式自拟</w:t>
            </w:r>
            <w:r>
              <w:rPr>
                <w:rFonts w:hint="eastAsia" w:asciiTheme="minorEastAsia" w:hAnsiTheme="minorEastAsia" w:eastAsiaTheme="minorEastAsia" w:cstheme="minorEastAsia"/>
                <w:color w:val="auto"/>
                <w:spacing w:val="1"/>
                <w:sz w:val="21"/>
                <w:szCs w:val="21"/>
              </w:rPr>
              <w:t>）；</w:t>
            </w:r>
          </w:p>
          <w:p w14:paraId="1254AC57">
            <w:pPr>
              <w:pStyle w:val="9"/>
              <w:spacing w:before="222" w:line="227" w:lineRule="auto"/>
              <w:ind w:left="113" w:firstLine="226"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8"/>
                <w:sz w:val="21"/>
                <w:szCs w:val="21"/>
              </w:rPr>
              <w:t>9.项目实施人员一览表（格式自拟</w:t>
            </w:r>
            <w:r>
              <w:rPr>
                <w:rFonts w:hint="eastAsia" w:asciiTheme="minorEastAsia" w:hAnsiTheme="minorEastAsia" w:eastAsiaTheme="minorEastAsia" w:cstheme="minorEastAsia"/>
                <w:color w:val="auto"/>
                <w:spacing w:val="4"/>
                <w:sz w:val="21"/>
                <w:szCs w:val="21"/>
              </w:rPr>
              <w:t>）；</w:t>
            </w:r>
          </w:p>
          <w:p w14:paraId="2EE9D9D8">
            <w:pPr>
              <w:pStyle w:val="9"/>
              <w:spacing w:before="222" w:line="227" w:lineRule="auto"/>
              <w:ind w:left="128" w:firstLine="228"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9"/>
                <w:sz w:val="21"/>
                <w:szCs w:val="21"/>
              </w:rPr>
              <w:t>10.对应采购需求的技术要求、商务要求提供的其</w:t>
            </w:r>
            <w:r>
              <w:rPr>
                <w:rFonts w:hint="eastAsia" w:asciiTheme="minorEastAsia" w:hAnsiTheme="minorEastAsia" w:eastAsiaTheme="minorEastAsia" w:cstheme="minorEastAsia"/>
                <w:color w:val="auto"/>
                <w:spacing w:val="8"/>
                <w:sz w:val="21"/>
                <w:szCs w:val="21"/>
              </w:rPr>
              <w:t>他文件资料（格式自拟</w:t>
            </w:r>
            <w:r>
              <w:rPr>
                <w:rFonts w:hint="eastAsia" w:asciiTheme="minorEastAsia" w:hAnsiTheme="minorEastAsia" w:eastAsiaTheme="minorEastAsia" w:cstheme="minorEastAsia"/>
                <w:color w:val="auto"/>
                <w:sz w:val="21"/>
                <w:szCs w:val="21"/>
              </w:rPr>
              <w:t>）；</w:t>
            </w:r>
          </w:p>
          <w:p w14:paraId="3799116C">
            <w:pPr>
              <w:pStyle w:val="9"/>
              <w:spacing w:before="222" w:line="227" w:lineRule="auto"/>
              <w:ind w:left="128" w:firstLine="224"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11.供应商认为需要提供的其他有关资料。</w:t>
            </w:r>
          </w:p>
          <w:p w14:paraId="08D0554C">
            <w:pPr>
              <w:pStyle w:val="9"/>
              <w:spacing w:before="260" w:line="360" w:lineRule="auto"/>
              <w:ind w:left="116" w:firstLine="221" w:firstLineChars="100"/>
              <w:rPr>
                <w:rFonts w:hint="eastAsia" w:asciiTheme="minorEastAsia" w:hAnsiTheme="minorEastAsia" w:eastAsiaTheme="minorEastAsia" w:cstheme="minorEastAsia"/>
                <w:b/>
                <w:bCs/>
                <w:color w:val="auto"/>
                <w:spacing w:val="9"/>
                <w:sz w:val="21"/>
                <w:szCs w:val="21"/>
              </w:rPr>
            </w:pPr>
            <w:r>
              <w:rPr>
                <w:rFonts w:hint="eastAsia" w:asciiTheme="minorEastAsia" w:hAnsiTheme="minorEastAsia" w:eastAsiaTheme="minorEastAsia" w:cstheme="minorEastAsia"/>
                <w:b/>
                <w:bCs/>
                <w:color w:val="auto"/>
                <w:spacing w:val="5"/>
                <w:sz w:val="21"/>
                <w:szCs w:val="21"/>
              </w:rPr>
              <w:t>注：以上标明“必须提供</w:t>
            </w:r>
            <w:r>
              <w:rPr>
                <w:rFonts w:hint="eastAsia" w:asciiTheme="minorEastAsia" w:hAnsiTheme="minorEastAsia" w:eastAsiaTheme="minorEastAsia" w:cstheme="minorEastAsia"/>
                <w:color w:val="auto"/>
                <w:spacing w:val="-73"/>
                <w:sz w:val="21"/>
                <w:szCs w:val="21"/>
              </w:rPr>
              <w:t xml:space="preserve"> </w:t>
            </w:r>
            <w:r>
              <w:rPr>
                <w:rFonts w:hint="eastAsia" w:asciiTheme="minorEastAsia" w:hAnsiTheme="minorEastAsia" w:eastAsiaTheme="minorEastAsia" w:cstheme="minorEastAsia"/>
                <w:b/>
                <w:bCs/>
                <w:color w:val="auto"/>
                <w:spacing w:val="5"/>
                <w:sz w:val="21"/>
                <w:szCs w:val="21"/>
              </w:rPr>
              <w:t>”的材料必须加盖供应商电子签章，否则响应文</w:t>
            </w:r>
            <w:r>
              <w:rPr>
                <w:rFonts w:hint="eastAsia" w:asciiTheme="minorEastAsia" w:hAnsiTheme="minorEastAsia" w:eastAsiaTheme="minorEastAsia" w:cstheme="minorEastAsia"/>
                <w:b/>
                <w:bCs/>
                <w:color w:val="auto"/>
                <w:spacing w:val="4"/>
                <w:sz w:val="21"/>
                <w:szCs w:val="21"/>
              </w:rPr>
              <w:t>件按无效响</w:t>
            </w:r>
            <w:r>
              <w:rPr>
                <w:rFonts w:hint="eastAsia" w:asciiTheme="minorEastAsia" w:hAnsiTheme="minorEastAsia" w:eastAsiaTheme="minorEastAsia" w:cstheme="minorEastAsia"/>
                <w:b/>
                <w:bCs/>
                <w:color w:val="auto"/>
                <w:spacing w:val="3"/>
                <w:sz w:val="21"/>
                <w:szCs w:val="21"/>
              </w:rPr>
              <w:t>应处理。</w:t>
            </w:r>
          </w:p>
        </w:tc>
      </w:tr>
      <w:tr w14:paraId="5D685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jc w:val="center"/>
        </w:trPr>
        <w:tc>
          <w:tcPr>
            <w:tcW w:w="961" w:type="dxa"/>
            <w:vAlign w:val="center"/>
          </w:tcPr>
          <w:p w14:paraId="4647F46F">
            <w:pPr>
              <w:pStyle w:val="9"/>
              <w:spacing w:before="65" w:line="268" w:lineRule="exact"/>
              <w:ind w:left="31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position w:val="1"/>
                <w:sz w:val="21"/>
                <w:szCs w:val="21"/>
              </w:rPr>
              <w:t>15.2</w:t>
            </w:r>
          </w:p>
        </w:tc>
        <w:tc>
          <w:tcPr>
            <w:tcW w:w="8316" w:type="dxa"/>
            <w:vAlign w:val="top"/>
          </w:tcPr>
          <w:p w14:paraId="6224519D">
            <w:pPr>
              <w:spacing w:line="360" w:lineRule="auto"/>
              <w:ind w:leftChars="100" w:firstLine="210" w:firstLineChars="10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竞标报价是履行合同的最终价格，即满足全部采购需求所应提供的服务的价格；包括竞标服务的成本、运输（含保险）（如有）、技术服务、培训、税费等所有费用。（采购需求另有约定的，从其约定。）</w:t>
            </w:r>
          </w:p>
        </w:tc>
      </w:tr>
      <w:tr w14:paraId="07244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961" w:type="dxa"/>
            <w:vAlign w:val="top"/>
          </w:tcPr>
          <w:p w14:paraId="3F3EC373">
            <w:pPr>
              <w:pStyle w:val="9"/>
              <w:spacing w:before="131" w:line="268" w:lineRule="exact"/>
              <w:ind w:left="31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position w:val="1"/>
                <w:sz w:val="21"/>
                <w:szCs w:val="21"/>
              </w:rPr>
              <w:t>16.2</w:t>
            </w:r>
          </w:p>
        </w:tc>
        <w:tc>
          <w:tcPr>
            <w:tcW w:w="8316" w:type="dxa"/>
            <w:vAlign w:val="center"/>
          </w:tcPr>
          <w:p w14:paraId="6F8AE1E9">
            <w:pPr>
              <w:spacing w:line="360" w:lineRule="auto"/>
              <w:ind w:leftChars="10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竞标有效期：自首次响应文件提交截止之日起 </w:t>
            </w:r>
            <w:r>
              <w:rPr>
                <w:rFonts w:hint="eastAsia" w:asciiTheme="minorEastAsia" w:hAnsiTheme="minorEastAsia" w:eastAsiaTheme="minorEastAsia" w:cstheme="minorEastAsia"/>
                <w:color w:val="auto"/>
                <w:lang w:val="en-US" w:eastAsia="zh-CN"/>
              </w:rPr>
              <w:t>90</w:t>
            </w:r>
            <w:r>
              <w:rPr>
                <w:rFonts w:hint="eastAsia" w:asciiTheme="minorEastAsia" w:hAnsiTheme="minorEastAsia" w:eastAsiaTheme="minorEastAsia" w:cstheme="minorEastAsia"/>
                <w:color w:val="auto"/>
              </w:rPr>
              <w:t xml:space="preserve"> 日。</w:t>
            </w:r>
          </w:p>
        </w:tc>
      </w:tr>
      <w:tr w14:paraId="52AC3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5" w:hRule="atLeast"/>
          <w:jc w:val="center"/>
        </w:trPr>
        <w:tc>
          <w:tcPr>
            <w:tcW w:w="961" w:type="dxa"/>
            <w:vAlign w:val="center"/>
          </w:tcPr>
          <w:p w14:paraId="79323395">
            <w:pPr>
              <w:pStyle w:val="9"/>
              <w:spacing w:before="65" w:line="268" w:lineRule="exact"/>
              <w:ind w:left="31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position w:val="1"/>
                <w:sz w:val="21"/>
                <w:szCs w:val="21"/>
              </w:rPr>
              <w:t>17.1</w:t>
            </w:r>
          </w:p>
        </w:tc>
        <w:tc>
          <w:tcPr>
            <w:tcW w:w="8316" w:type="dxa"/>
            <w:vAlign w:val="top"/>
          </w:tcPr>
          <w:p w14:paraId="2C342C38">
            <w:pPr>
              <w:pStyle w:val="9"/>
              <w:spacing w:before="34" w:line="227" w:lineRule="auto"/>
              <w:ind w:left="13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□本项目不收取磋商保证金。</w:t>
            </w:r>
          </w:p>
          <w:p w14:paraId="1E963BE5">
            <w:pPr>
              <w:pStyle w:val="9"/>
              <w:spacing w:before="162" w:line="227" w:lineRule="auto"/>
              <w:ind w:left="1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8"/>
                <w:sz w:val="21"/>
                <w:szCs w:val="21"/>
              </w:rPr>
              <w:t>☑本项目收取磋商保证金，具体规定如下：</w:t>
            </w:r>
          </w:p>
          <w:p w14:paraId="6323024E">
            <w:pPr>
              <w:pStyle w:val="9"/>
              <w:spacing w:before="162" w:line="377" w:lineRule="auto"/>
              <w:ind w:left="111" w:right="5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10"/>
                <w:sz w:val="21"/>
                <w:szCs w:val="21"/>
              </w:rPr>
              <w:t>磋商保证金人民币为：¥</w:t>
            </w:r>
            <w:r>
              <w:rPr>
                <w:rFonts w:hint="eastAsia" w:asciiTheme="minorEastAsia" w:hAnsiTheme="minorEastAsia" w:eastAsiaTheme="minorEastAsia" w:cstheme="minorEastAsia"/>
                <w:b/>
                <w:bCs/>
                <w:color w:val="auto"/>
                <w:spacing w:val="10"/>
                <w:sz w:val="21"/>
                <w:szCs w:val="21"/>
                <w:lang w:val="en-US" w:eastAsia="zh-CN"/>
              </w:rPr>
              <w:t>5</w:t>
            </w:r>
            <w:r>
              <w:rPr>
                <w:rFonts w:hint="eastAsia" w:asciiTheme="minorEastAsia" w:hAnsiTheme="minorEastAsia" w:eastAsiaTheme="minorEastAsia" w:cstheme="minorEastAsia"/>
                <w:b/>
                <w:bCs/>
                <w:color w:val="auto"/>
                <w:spacing w:val="10"/>
                <w:sz w:val="21"/>
                <w:szCs w:val="21"/>
              </w:rPr>
              <w:t>000.00</w:t>
            </w:r>
            <w:r>
              <w:rPr>
                <w:rFonts w:hint="eastAsia" w:asciiTheme="minorEastAsia" w:hAnsiTheme="minorEastAsia" w:eastAsiaTheme="minorEastAsia" w:cstheme="minorEastAsia"/>
                <w:color w:val="auto"/>
                <w:spacing w:val="-36"/>
                <w:sz w:val="21"/>
                <w:szCs w:val="21"/>
              </w:rPr>
              <w:t xml:space="preserve"> </w:t>
            </w:r>
            <w:r>
              <w:rPr>
                <w:rFonts w:hint="eastAsia" w:asciiTheme="minorEastAsia" w:hAnsiTheme="minorEastAsia" w:eastAsiaTheme="minorEastAsia" w:cstheme="minorEastAsia"/>
                <w:b/>
                <w:bCs/>
                <w:color w:val="auto"/>
                <w:spacing w:val="10"/>
                <w:sz w:val="21"/>
                <w:szCs w:val="21"/>
              </w:rPr>
              <w:t>元，</w:t>
            </w:r>
            <w:r>
              <w:rPr>
                <w:rFonts w:hint="eastAsia" w:asciiTheme="minorEastAsia" w:hAnsiTheme="minorEastAsia" w:eastAsiaTheme="minorEastAsia" w:cstheme="minorEastAsia"/>
                <w:color w:val="auto"/>
                <w:spacing w:val="9"/>
                <w:sz w:val="21"/>
                <w:szCs w:val="21"/>
              </w:rPr>
              <w:t>磋商保证金的交纳方式：银行转账、支票、汇</w:t>
            </w:r>
            <w:r>
              <w:rPr>
                <w:rFonts w:hint="eastAsia" w:asciiTheme="minorEastAsia" w:hAnsiTheme="minorEastAsia" w:eastAsiaTheme="minorEastAsia" w:cstheme="minorEastAsia"/>
                <w:color w:val="auto"/>
                <w:spacing w:val="4"/>
                <w:sz w:val="21"/>
                <w:szCs w:val="21"/>
              </w:rPr>
              <w:t>票、本票或者银行、保险机构出具的保函，禁止采用现钞方</w:t>
            </w:r>
            <w:r>
              <w:rPr>
                <w:rFonts w:hint="eastAsia" w:asciiTheme="minorEastAsia" w:hAnsiTheme="minorEastAsia" w:eastAsiaTheme="minorEastAsia" w:cstheme="minorEastAsia"/>
                <w:color w:val="auto"/>
                <w:spacing w:val="3"/>
                <w:sz w:val="21"/>
                <w:szCs w:val="21"/>
              </w:rPr>
              <w:t>式。采用银行转账方式的，</w:t>
            </w:r>
            <w:r>
              <w:rPr>
                <w:rFonts w:hint="eastAsia" w:asciiTheme="minorEastAsia" w:hAnsiTheme="minorEastAsia" w:eastAsiaTheme="minorEastAsia" w:cstheme="minorEastAsia"/>
                <w:color w:val="auto"/>
                <w:spacing w:val="8"/>
                <w:sz w:val="21"/>
                <w:szCs w:val="21"/>
              </w:rPr>
              <w:t>在响应文件提交截止时间前交至指定账户并且到账</w:t>
            </w:r>
            <w:r>
              <w:rPr>
                <w:rFonts w:hint="eastAsia" w:asciiTheme="minorEastAsia" w:hAnsiTheme="minorEastAsia" w:eastAsiaTheme="minorEastAsia" w:cstheme="minorEastAsia"/>
                <w:snapToGrid w:val="0"/>
                <w:color w:val="auto"/>
                <w:kern w:val="0"/>
                <w:sz w:val="21"/>
                <w:szCs w:val="21"/>
                <w:lang w:val="en-US" w:eastAsia="en-US" w:bidi="ar-SA"/>
              </w:rPr>
              <w:t>（开户银行：中国建设银行南宁望园路</w:t>
            </w:r>
            <w:r>
              <w:rPr>
                <w:rFonts w:hint="eastAsia" w:asciiTheme="minorEastAsia" w:hAnsiTheme="minorEastAsia" w:eastAsiaTheme="minorEastAsia" w:cstheme="minorEastAsia"/>
                <w:snapToGrid w:val="0"/>
                <w:color w:val="auto"/>
                <w:kern w:val="0"/>
                <w:sz w:val="21"/>
                <w:szCs w:val="21"/>
                <w:lang w:val="en-US" w:eastAsia="zh-CN" w:bidi="ar-SA"/>
              </w:rPr>
              <w:t>支行</w:t>
            </w:r>
            <w:r>
              <w:rPr>
                <w:rFonts w:hint="eastAsia" w:asciiTheme="minorEastAsia" w:hAnsiTheme="minorEastAsia" w:eastAsiaTheme="minorEastAsia" w:cstheme="minorEastAsia"/>
                <w:snapToGrid w:val="0"/>
                <w:color w:val="auto"/>
                <w:kern w:val="0"/>
                <w:sz w:val="21"/>
                <w:szCs w:val="21"/>
                <w:lang w:val="en-US" w:eastAsia="en-US" w:bidi="ar-SA"/>
              </w:rPr>
              <w:t>，开户名称：</w:t>
            </w:r>
            <w:r>
              <w:rPr>
                <w:rFonts w:hint="eastAsia" w:asciiTheme="minorEastAsia" w:hAnsiTheme="minorEastAsia" w:eastAsiaTheme="minorEastAsia" w:cstheme="minorEastAsia"/>
                <w:snapToGrid w:val="0"/>
                <w:color w:val="auto"/>
                <w:kern w:val="0"/>
                <w:sz w:val="21"/>
                <w:szCs w:val="21"/>
                <w:lang w:val="en-US" w:eastAsia="zh-CN" w:bidi="ar-SA"/>
              </w:rPr>
              <w:t>广西冠宁工程咨询有限公司</w:t>
            </w:r>
            <w:r>
              <w:rPr>
                <w:rFonts w:hint="eastAsia" w:asciiTheme="minorEastAsia" w:hAnsiTheme="minorEastAsia" w:eastAsiaTheme="minorEastAsia" w:cstheme="minorEastAsia"/>
                <w:snapToGrid w:val="0"/>
                <w:color w:val="auto"/>
                <w:kern w:val="0"/>
                <w:sz w:val="21"/>
                <w:szCs w:val="21"/>
                <w:lang w:val="en-US" w:eastAsia="en-US" w:bidi="ar-SA"/>
              </w:rPr>
              <w:t>，银行账号：45050160466109599699</w:t>
            </w:r>
            <w:r>
              <w:rPr>
                <w:rFonts w:hint="eastAsia" w:asciiTheme="minorEastAsia" w:hAnsiTheme="minorEastAsia" w:eastAsiaTheme="minorEastAsia" w:cstheme="minorEastAsia"/>
                <w:snapToGrid w:val="0"/>
                <w:color w:val="auto"/>
                <w:kern w:val="0"/>
                <w:sz w:val="21"/>
                <w:szCs w:val="21"/>
                <w:lang w:val="en-US" w:eastAsia="zh-CN" w:bidi="ar-SA"/>
              </w:rPr>
              <w:t>）；</w:t>
            </w:r>
            <w:r>
              <w:rPr>
                <w:rFonts w:hint="eastAsia" w:asciiTheme="minorEastAsia" w:hAnsiTheme="minorEastAsia" w:eastAsiaTheme="minorEastAsia" w:cstheme="minorEastAsia"/>
                <w:color w:val="auto"/>
                <w:kern w:val="0"/>
                <w:sz w:val="21"/>
                <w:szCs w:val="21"/>
                <w:highlight w:val="none"/>
                <w:u w:val="none"/>
                <w:lang w:val="en-US" w:eastAsia="zh-CN"/>
              </w:rPr>
              <w:t>联系电话：0771-5725583</w:t>
            </w:r>
            <w:r>
              <w:rPr>
                <w:rFonts w:hint="eastAsia" w:asciiTheme="minorEastAsia" w:hAnsiTheme="minorEastAsia" w:eastAsiaTheme="minorEastAsia" w:cstheme="minorEastAsia"/>
                <w:color w:val="auto"/>
                <w:kern w:val="0"/>
                <w:sz w:val="21"/>
                <w:szCs w:val="21"/>
                <w:highlight w:val="none"/>
                <w:u w:val="none"/>
                <w:lang w:eastAsia="zh-CN"/>
              </w:rPr>
              <w:t>；</w:t>
            </w:r>
            <w:r>
              <w:rPr>
                <w:rFonts w:hint="eastAsia" w:asciiTheme="minorEastAsia" w:hAnsiTheme="minorEastAsia" w:eastAsiaTheme="minorEastAsia" w:cstheme="minorEastAsia"/>
                <w:color w:val="auto"/>
                <w:spacing w:val="8"/>
                <w:sz w:val="21"/>
                <w:szCs w:val="21"/>
              </w:rPr>
              <w:t>采用支票、汇票、本票或者保函等方式的，在响应文件提交截</w:t>
            </w:r>
            <w:r>
              <w:rPr>
                <w:rFonts w:hint="eastAsia" w:asciiTheme="minorEastAsia" w:hAnsiTheme="minorEastAsia" w:eastAsiaTheme="minorEastAsia" w:cstheme="minorEastAsia"/>
                <w:color w:val="auto"/>
                <w:spacing w:val="7"/>
                <w:sz w:val="21"/>
                <w:szCs w:val="21"/>
              </w:rPr>
              <w:t>止时间前，供应商必须</w:t>
            </w:r>
            <w:r>
              <w:rPr>
                <w:rFonts w:hint="eastAsia" w:asciiTheme="minorEastAsia" w:hAnsiTheme="minorEastAsia" w:eastAsiaTheme="minorEastAsia" w:cstheme="minorEastAsia"/>
                <w:color w:val="auto"/>
                <w:spacing w:val="9"/>
                <w:sz w:val="21"/>
                <w:szCs w:val="21"/>
              </w:rPr>
              <w:t>提交单独密封的支票、汇票、本票或者保函原件。否则视为无效磋商保证金。</w:t>
            </w:r>
          </w:p>
          <w:p w14:paraId="49249D00">
            <w:pPr>
              <w:pStyle w:val="9"/>
              <w:spacing w:line="228" w:lineRule="auto"/>
              <w:ind w:left="11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5"/>
                <w:sz w:val="21"/>
                <w:szCs w:val="21"/>
              </w:rPr>
              <w:t>相关要求：</w:t>
            </w:r>
          </w:p>
          <w:p w14:paraId="6DA26277">
            <w:pPr>
              <w:pStyle w:val="9"/>
              <w:spacing w:before="159" w:line="328" w:lineRule="auto"/>
              <w:ind w:left="112" w:right="108" w:firstLine="239" w:firstLineChars="107"/>
              <w:rPr>
                <w:rFonts w:hint="eastAsia" w:asciiTheme="minorEastAsia" w:hAnsiTheme="minorEastAsia" w:eastAsiaTheme="minorEastAsia" w:cstheme="minorEastAsia"/>
                <w:color w:val="auto"/>
                <w:spacing w:val="7"/>
                <w:sz w:val="21"/>
                <w:szCs w:val="21"/>
              </w:rPr>
            </w:pPr>
            <w:r>
              <w:rPr>
                <w:rFonts w:hint="eastAsia" w:asciiTheme="minorEastAsia" w:hAnsiTheme="minorEastAsia" w:eastAsiaTheme="minorEastAsia" w:cstheme="minorEastAsia"/>
                <w:color w:val="auto"/>
                <w:spacing w:val="7"/>
                <w:sz w:val="21"/>
                <w:szCs w:val="21"/>
              </w:rPr>
              <w:t>1.磋商保证金采用银行转账交纳方式的，在响应文件提交截止时间前交至指定账户并</w:t>
            </w:r>
            <w:r>
              <w:rPr>
                <w:rFonts w:hint="eastAsia" w:asciiTheme="minorEastAsia" w:hAnsiTheme="minorEastAsia" w:eastAsiaTheme="minorEastAsia" w:cstheme="minorEastAsia"/>
                <w:color w:val="auto"/>
                <w:spacing w:val="8"/>
                <w:sz w:val="21"/>
                <w:szCs w:val="21"/>
              </w:rPr>
              <w:t>且到账，供应商应将银行转账底单的扫描件作为磋商保</w:t>
            </w:r>
            <w:r>
              <w:rPr>
                <w:rFonts w:hint="eastAsia" w:asciiTheme="minorEastAsia" w:hAnsiTheme="minorEastAsia" w:eastAsiaTheme="minorEastAsia" w:cstheme="minorEastAsia"/>
                <w:color w:val="auto"/>
                <w:spacing w:val="7"/>
                <w:sz w:val="21"/>
                <w:szCs w:val="21"/>
              </w:rPr>
              <w:t>证金提交凭证，放置于商务技术文件中，</w:t>
            </w:r>
            <w:r>
              <w:rPr>
                <w:rFonts w:hint="eastAsia" w:asciiTheme="minorEastAsia" w:hAnsiTheme="minorEastAsia" w:eastAsiaTheme="minorEastAsia" w:cstheme="minorEastAsia"/>
                <w:b/>
                <w:bCs/>
                <w:color w:val="auto"/>
                <w:spacing w:val="7"/>
                <w:sz w:val="21"/>
                <w:szCs w:val="21"/>
              </w:rPr>
              <w:t>否则响应文件按无效响应处理</w:t>
            </w:r>
            <w:r>
              <w:rPr>
                <w:rFonts w:hint="eastAsia" w:asciiTheme="minorEastAsia" w:hAnsiTheme="minorEastAsia" w:eastAsiaTheme="minorEastAsia" w:cstheme="minorEastAsia"/>
                <w:color w:val="auto"/>
                <w:spacing w:val="7"/>
                <w:sz w:val="21"/>
                <w:szCs w:val="21"/>
              </w:rPr>
              <w:t>。</w:t>
            </w:r>
          </w:p>
          <w:p w14:paraId="2D971A4D">
            <w:pPr>
              <w:pStyle w:val="9"/>
              <w:spacing w:before="159" w:line="328" w:lineRule="auto"/>
              <w:ind w:left="112" w:right="108" w:firstLine="239" w:firstLineChars="107"/>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2.磋商保证金采用支票、汇票、</w:t>
            </w:r>
            <w:r>
              <w:rPr>
                <w:rFonts w:hint="eastAsia" w:asciiTheme="minorEastAsia" w:hAnsiTheme="minorEastAsia" w:eastAsiaTheme="minorEastAsia" w:cstheme="minorEastAsia"/>
                <w:color w:val="auto"/>
                <w:spacing w:val="7"/>
                <w:sz w:val="21"/>
                <w:szCs w:val="21"/>
                <w:lang w:val="en-US" w:eastAsia="zh-CN"/>
              </w:rPr>
              <w:t xml:space="preserve"> </w:t>
            </w:r>
            <w:r>
              <w:rPr>
                <w:rFonts w:hint="eastAsia" w:asciiTheme="minorEastAsia" w:hAnsiTheme="minorEastAsia" w:eastAsiaTheme="minorEastAsia" w:cstheme="minorEastAsia"/>
                <w:color w:val="auto"/>
                <w:spacing w:val="7"/>
                <w:sz w:val="21"/>
                <w:szCs w:val="21"/>
              </w:rPr>
              <w:t>本票或者银行、</w:t>
            </w:r>
            <w:r>
              <w:rPr>
                <w:rFonts w:hint="eastAsia" w:asciiTheme="minorEastAsia" w:hAnsiTheme="minorEastAsia" w:eastAsiaTheme="minorEastAsia" w:cstheme="minorEastAsia"/>
                <w:color w:val="auto"/>
                <w:spacing w:val="7"/>
                <w:sz w:val="21"/>
                <w:szCs w:val="21"/>
                <w:lang w:val="en-US" w:eastAsia="zh-CN"/>
              </w:rPr>
              <w:t xml:space="preserve"> </w:t>
            </w:r>
            <w:r>
              <w:rPr>
                <w:rFonts w:hint="eastAsia" w:asciiTheme="minorEastAsia" w:hAnsiTheme="minorEastAsia" w:eastAsiaTheme="minorEastAsia" w:cstheme="minorEastAsia"/>
                <w:color w:val="auto"/>
                <w:spacing w:val="7"/>
                <w:sz w:val="21"/>
                <w:szCs w:val="21"/>
              </w:rPr>
              <w:t>保险机构出具的保函交纳方式</w:t>
            </w:r>
            <w:r>
              <w:rPr>
                <w:rFonts w:hint="eastAsia" w:asciiTheme="minorEastAsia" w:hAnsiTheme="minorEastAsia" w:eastAsiaTheme="minorEastAsia" w:cstheme="minorEastAsia"/>
                <w:color w:val="auto"/>
                <w:spacing w:val="7"/>
                <w:sz w:val="21"/>
                <w:szCs w:val="21"/>
                <w:lang w:val="en-US" w:eastAsia="zh-CN"/>
              </w:rPr>
              <w:t>的</w:t>
            </w:r>
            <w:r>
              <w:rPr>
                <w:rFonts w:hint="eastAsia" w:asciiTheme="minorEastAsia" w:hAnsiTheme="minorEastAsia" w:eastAsiaTheme="minorEastAsia" w:cstheme="minorEastAsia"/>
                <w:color w:val="auto"/>
                <w:spacing w:val="7"/>
                <w:sz w:val="21"/>
                <w:szCs w:val="21"/>
              </w:rPr>
              <w:t>，供</w:t>
            </w:r>
            <w:r>
              <w:rPr>
                <w:rFonts w:hint="eastAsia" w:asciiTheme="minorEastAsia" w:hAnsiTheme="minorEastAsia" w:eastAsiaTheme="minorEastAsia" w:cstheme="minorEastAsia"/>
                <w:color w:val="auto"/>
                <w:spacing w:val="8"/>
                <w:sz w:val="21"/>
                <w:szCs w:val="21"/>
              </w:rPr>
              <w:t>应商应将支票、汇票、本票或者银行、保险机构出具</w:t>
            </w:r>
            <w:r>
              <w:rPr>
                <w:rFonts w:hint="eastAsia" w:asciiTheme="minorEastAsia" w:hAnsiTheme="minorEastAsia" w:eastAsiaTheme="minorEastAsia" w:cstheme="minorEastAsia"/>
                <w:color w:val="auto"/>
                <w:spacing w:val="7"/>
                <w:sz w:val="21"/>
                <w:szCs w:val="21"/>
              </w:rPr>
              <w:t>的保函的扫描件作为磋商保证金</w:t>
            </w:r>
            <w:r>
              <w:rPr>
                <w:rFonts w:hint="eastAsia" w:asciiTheme="minorEastAsia" w:hAnsiTheme="minorEastAsia" w:eastAsiaTheme="minorEastAsia" w:cstheme="minorEastAsia"/>
                <w:color w:val="auto"/>
                <w:spacing w:val="9"/>
                <w:sz w:val="21"/>
                <w:szCs w:val="21"/>
              </w:rPr>
              <w:t>提交凭证，放置于商务技术文件中，</w:t>
            </w:r>
            <w:r>
              <w:rPr>
                <w:rFonts w:hint="eastAsia" w:asciiTheme="minorEastAsia" w:hAnsiTheme="minorEastAsia" w:eastAsiaTheme="minorEastAsia" w:cstheme="minorEastAsia"/>
                <w:b/>
                <w:bCs/>
                <w:color w:val="auto"/>
                <w:spacing w:val="9"/>
                <w:sz w:val="21"/>
                <w:szCs w:val="21"/>
              </w:rPr>
              <w:t>否则响</w:t>
            </w:r>
            <w:r>
              <w:rPr>
                <w:rFonts w:hint="eastAsia" w:asciiTheme="minorEastAsia" w:hAnsiTheme="minorEastAsia" w:eastAsiaTheme="minorEastAsia" w:cstheme="minorEastAsia"/>
                <w:b/>
                <w:bCs/>
                <w:color w:val="auto"/>
                <w:spacing w:val="8"/>
                <w:sz w:val="21"/>
                <w:szCs w:val="21"/>
              </w:rPr>
              <w:t>应文件按无效处理</w:t>
            </w:r>
            <w:r>
              <w:rPr>
                <w:rFonts w:hint="eastAsia" w:asciiTheme="minorEastAsia" w:hAnsiTheme="minorEastAsia" w:eastAsiaTheme="minorEastAsia" w:cstheme="minorEastAsia"/>
                <w:color w:val="auto"/>
                <w:spacing w:val="8"/>
                <w:sz w:val="21"/>
                <w:szCs w:val="21"/>
              </w:rPr>
              <w:t>。</w:t>
            </w:r>
          </w:p>
          <w:p w14:paraId="22DCDFFF">
            <w:pPr>
              <w:pStyle w:val="9"/>
              <w:spacing w:before="162" w:line="302" w:lineRule="auto"/>
              <w:ind w:left="0" w:leftChars="0" w:right="108" w:firstLine="320" w:firstLineChars="143"/>
              <w:rPr>
                <w:rFonts w:hint="eastAsia" w:asciiTheme="minorEastAsia" w:hAnsiTheme="minorEastAsia" w:eastAsiaTheme="minorEastAsia" w:cstheme="minorEastAsia"/>
                <w:color w:val="auto"/>
                <w:spacing w:val="7"/>
                <w:sz w:val="21"/>
                <w:szCs w:val="21"/>
              </w:rPr>
            </w:pPr>
            <w:r>
              <w:rPr>
                <w:rFonts w:hint="eastAsia" w:asciiTheme="minorEastAsia" w:hAnsiTheme="minorEastAsia" w:eastAsiaTheme="minorEastAsia" w:cstheme="minorEastAsia"/>
                <w:color w:val="auto"/>
                <w:spacing w:val="7"/>
                <w:sz w:val="21"/>
                <w:szCs w:val="21"/>
              </w:rPr>
              <w:t>3.供应商为联合体的，可以由联合体中的一方或者多方共同交纳磋商保证金，其交纳的保证金对联合体各方均具有约束力。</w:t>
            </w:r>
          </w:p>
          <w:p w14:paraId="0150C093">
            <w:pPr>
              <w:pStyle w:val="9"/>
              <w:spacing w:before="35" w:line="229" w:lineRule="auto"/>
              <w:ind w:left="3" w:leftChars="0" w:firstLine="319" w:firstLineChars="15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1"/>
                <w:sz w:val="21"/>
                <w:szCs w:val="21"/>
              </w:rPr>
              <w:t>备注：</w:t>
            </w:r>
            <w:r>
              <w:rPr>
                <w:rFonts w:hint="eastAsia" w:asciiTheme="minorEastAsia" w:hAnsiTheme="minorEastAsia" w:eastAsiaTheme="minorEastAsia" w:cstheme="minorEastAsia"/>
                <w:b/>
                <w:bCs/>
                <w:color w:val="auto"/>
                <w:spacing w:val="5"/>
                <w:sz w:val="21"/>
                <w:szCs w:val="21"/>
              </w:rPr>
              <w:t>1.磋商保证金在响应文件提交截止时间后提交的，或者不按规定交纳方式交纳</w:t>
            </w:r>
            <w:r>
              <w:rPr>
                <w:rFonts w:hint="eastAsia" w:asciiTheme="minorEastAsia" w:hAnsiTheme="minorEastAsia" w:eastAsiaTheme="minorEastAsia" w:cstheme="minorEastAsia"/>
                <w:b/>
                <w:bCs/>
                <w:color w:val="auto"/>
                <w:spacing w:val="4"/>
                <w:sz w:val="21"/>
                <w:szCs w:val="21"/>
              </w:rPr>
              <w:t>的，或</w:t>
            </w:r>
            <w:r>
              <w:rPr>
                <w:rFonts w:hint="eastAsia" w:asciiTheme="minorEastAsia" w:hAnsiTheme="minorEastAsia" w:eastAsiaTheme="minorEastAsia" w:cstheme="minorEastAsia"/>
                <w:b/>
                <w:bCs/>
                <w:color w:val="auto"/>
                <w:spacing w:val="7"/>
                <w:sz w:val="21"/>
                <w:szCs w:val="21"/>
              </w:rPr>
              <w:t>者未足额交纳的（包含保函额度不足的</w:t>
            </w:r>
            <w:r>
              <w:rPr>
                <w:rFonts w:hint="eastAsia" w:asciiTheme="minorEastAsia" w:hAnsiTheme="minorEastAsia" w:eastAsiaTheme="minorEastAsia" w:cstheme="minorEastAsia"/>
                <w:b/>
                <w:bCs/>
                <w:color w:val="auto"/>
                <w:spacing w:val="20"/>
                <w:sz w:val="21"/>
                <w:szCs w:val="21"/>
              </w:rPr>
              <w:t>），</w:t>
            </w:r>
            <w:r>
              <w:rPr>
                <w:rFonts w:hint="eastAsia" w:asciiTheme="minorEastAsia" w:hAnsiTheme="minorEastAsia" w:eastAsiaTheme="minorEastAsia" w:cstheme="minorEastAsia"/>
                <w:b/>
                <w:bCs/>
                <w:color w:val="auto"/>
                <w:spacing w:val="7"/>
                <w:sz w:val="21"/>
                <w:szCs w:val="21"/>
              </w:rPr>
              <w:t>视为无效磋商保证金。</w:t>
            </w:r>
          </w:p>
          <w:p w14:paraId="5E4C5D93">
            <w:pPr>
              <w:pStyle w:val="9"/>
              <w:spacing w:before="162" w:line="302" w:lineRule="auto"/>
              <w:ind w:left="114" w:right="108" w:firstLine="221"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5"/>
                <w:sz w:val="21"/>
                <w:szCs w:val="21"/>
              </w:rPr>
              <w:t>2.供应商采用现钞方式或者从个人账户（自然人竞标除外）转出的磋商保证金，视为无效磋商保证金。</w:t>
            </w:r>
          </w:p>
          <w:p w14:paraId="01D93E3E">
            <w:pPr>
              <w:pStyle w:val="9"/>
              <w:spacing w:before="160" w:line="227" w:lineRule="auto"/>
              <w:ind w:left="116" w:firstLine="227"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8"/>
                <w:sz w:val="21"/>
                <w:szCs w:val="21"/>
              </w:rPr>
              <w:t>3.支票、汇票或者本票出现无效或者背书</w:t>
            </w:r>
            <w:r>
              <w:rPr>
                <w:rFonts w:hint="eastAsia" w:asciiTheme="minorEastAsia" w:hAnsiTheme="minorEastAsia" w:eastAsiaTheme="minorEastAsia" w:cstheme="minorEastAsia"/>
                <w:b/>
                <w:bCs/>
                <w:color w:val="auto"/>
                <w:spacing w:val="7"/>
                <w:sz w:val="21"/>
                <w:szCs w:val="21"/>
              </w:rPr>
              <w:t>情形的，视为无效磋商保证金。</w:t>
            </w:r>
          </w:p>
          <w:p w14:paraId="03E4444D">
            <w:pPr>
              <w:pStyle w:val="9"/>
              <w:spacing w:before="162" w:line="228" w:lineRule="auto"/>
              <w:ind w:left="111" w:firstLine="225"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7"/>
                <w:sz w:val="21"/>
                <w:szCs w:val="21"/>
              </w:rPr>
              <w:t>4.保函有效期低于竞标有效期的，视为无效磋商保证金。</w:t>
            </w:r>
          </w:p>
          <w:p w14:paraId="60AE61F8">
            <w:pPr>
              <w:pStyle w:val="9"/>
              <w:spacing w:before="161" w:line="227" w:lineRule="auto"/>
              <w:ind w:leftChars="100" w:right="13"/>
              <w:jc w:val="left"/>
              <w:rPr>
                <w:rFonts w:hint="eastAsia" w:asciiTheme="minorEastAsia" w:hAnsiTheme="minorEastAsia" w:eastAsiaTheme="minorEastAsia" w:cstheme="minorEastAsia"/>
                <w:b/>
                <w:bCs/>
                <w:color w:val="auto"/>
                <w:spacing w:val="7"/>
                <w:sz w:val="21"/>
                <w:szCs w:val="21"/>
              </w:rPr>
            </w:pPr>
            <w:r>
              <w:rPr>
                <w:rFonts w:hint="eastAsia" w:asciiTheme="minorEastAsia" w:hAnsiTheme="minorEastAsia" w:eastAsiaTheme="minorEastAsia" w:cstheme="minorEastAsia"/>
                <w:b/>
                <w:bCs/>
                <w:color w:val="auto"/>
                <w:spacing w:val="8"/>
                <w:sz w:val="21"/>
                <w:szCs w:val="21"/>
                <w:lang w:val="en-US" w:eastAsia="zh-CN"/>
              </w:rPr>
              <w:t xml:space="preserve"> </w:t>
            </w:r>
            <w:r>
              <w:rPr>
                <w:rFonts w:hint="eastAsia" w:asciiTheme="minorEastAsia" w:hAnsiTheme="minorEastAsia" w:eastAsiaTheme="minorEastAsia" w:cstheme="minorEastAsia"/>
                <w:b/>
                <w:bCs/>
                <w:color w:val="auto"/>
                <w:spacing w:val="8"/>
                <w:sz w:val="21"/>
                <w:szCs w:val="21"/>
              </w:rPr>
              <w:t>5.采用银行、保险机构出具保函的，必须为无条件保函，否则视</w:t>
            </w:r>
            <w:r>
              <w:rPr>
                <w:rFonts w:hint="eastAsia" w:asciiTheme="minorEastAsia" w:hAnsiTheme="minorEastAsia" w:eastAsiaTheme="minorEastAsia" w:cstheme="minorEastAsia"/>
                <w:b/>
                <w:bCs/>
                <w:color w:val="auto"/>
                <w:spacing w:val="7"/>
                <w:sz w:val="21"/>
                <w:szCs w:val="21"/>
              </w:rPr>
              <w:t>为无效磋商保证金。</w:t>
            </w:r>
          </w:p>
          <w:p w14:paraId="523C9C04">
            <w:pPr>
              <w:pStyle w:val="9"/>
              <w:spacing w:before="161" w:line="227" w:lineRule="auto"/>
              <w:ind w:leftChars="100" w:right="13"/>
              <w:jc w:val="left"/>
              <w:rPr>
                <w:rFonts w:hint="eastAsia" w:asciiTheme="minorEastAsia" w:hAnsiTheme="minorEastAsia" w:eastAsiaTheme="minorEastAsia" w:cstheme="minorEastAsia"/>
                <w:color w:val="auto"/>
                <w:spacing w:val="7"/>
                <w:sz w:val="21"/>
                <w:szCs w:val="21"/>
              </w:rPr>
            </w:pPr>
            <w:r>
              <w:rPr>
                <w:rFonts w:hint="eastAsia" w:asciiTheme="minorEastAsia" w:hAnsiTheme="minorEastAsia" w:eastAsiaTheme="minorEastAsia" w:cstheme="minorEastAsia"/>
                <w:b/>
                <w:bCs/>
                <w:color w:val="auto"/>
                <w:spacing w:val="7"/>
                <w:sz w:val="21"/>
                <w:szCs w:val="21"/>
                <w:lang w:val="en-US" w:eastAsia="zh-CN"/>
              </w:rPr>
              <w:t xml:space="preserve"> </w:t>
            </w:r>
            <w:r>
              <w:rPr>
                <w:rFonts w:hint="eastAsia" w:asciiTheme="minorEastAsia" w:hAnsiTheme="minorEastAsia" w:eastAsiaTheme="minorEastAsia" w:cstheme="minorEastAsia"/>
                <w:b/>
                <w:bCs/>
                <w:color w:val="auto"/>
                <w:spacing w:val="5"/>
                <w:sz w:val="21"/>
                <w:szCs w:val="21"/>
              </w:rPr>
              <w:t>6.广西政府采购云平台暂未支持电子保函功能，故本项目暂不接受电子保函形式的保</w:t>
            </w:r>
            <w:r>
              <w:rPr>
                <w:rFonts w:hint="eastAsia" w:asciiTheme="minorEastAsia" w:hAnsiTheme="minorEastAsia" w:eastAsiaTheme="minorEastAsia" w:cstheme="minorEastAsia"/>
                <w:b/>
                <w:bCs/>
                <w:color w:val="auto"/>
                <w:spacing w:val="1"/>
                <w:sz w:val="21"/>
                <w:szCs w:val="21"/>
              </w:rPr>
              <w:t>证金。</w:t>
            </w:r>
          </w:p>
        </w:tc>
      </w:tr>
      <w:tr w14:paraId="001A0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961" w:type="dxa"/>
            <w:vAlign w:val="top"/>
          </w:tcPr>
          <w:p w14:paraId="0F7796A6">
            <w:pPr>
              <w:pStyle w:val="9"/>
              <w:spacing w:before="130" w:line="269"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position w:val="1"/>
                <w:sz w:val="21"/>
                <w:szCs w:val="21"/>
              </w:rPr>
              <w:t>19</w:t>
            </w:r>
          </w:p>
        </w:tc>
        <w:tc>
          <w:tcPr>
            <w:tcW w:w="8316" w:type="dxa"/>
            <w:vAlign w:val="top"/>
          </w:tcPr>
          <w:p w14:paraId="29FE5E29">
            <w:pPr>
              <w:pStyle w:val="9"/>
              <w:spacing w:before="130" w:line="227" w:lineRule="auto"/>
              <w:ind w:left="11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8"/>
                <w:sz w:val="21"/>
                <w:szCs w:val="21"/>
              </w:rPr>
              <w:t>本项目不接受电子备份响应文件。</w:t>
            </w:r>
          </w:p>
        </w:tc>
      </w:tr>
      <w:tr w14:paraId="5E5EC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961" w:type="dxa"/>
            <w:vAlign w:val="center"/>
          </w:tcPr>
          <w:p w14:paraId="4B6DAE2D">
            <w:pPr>
              <w:pStyle w:val="9"/>
              <w:spacing w:before="65" w:line="268" w:lineRule="exact"/>
              <w:ind w:left="297"/>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position w:val="1"/>
                <w:sz w:val="21"/>
                <w:szCs w:val="21"/>
              </w:rPr>
              <w:t>20.1</w:t>
            </w:r>
          </w:p>
        </w:tc>
        <w:tc>
          <w:tcPr>
            <w:tcW w:w="8316" w:type="dxa"/>
            <w:vAlign w:val="top"/>
          </w:tcPr>
          <w:p w14:paraId="529651F3">
            <w:pPr>
              <w:pStyle w:val="9"/>
              <w:spacing w:before="130" w:line="226" w:lineRule="auto"/>
              <w:ind w:left="1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8"/>
                <w:sz w:val="21"/>
                <w:szCs w:val="21"/>
              </w:rPr>
              <w:t>响应文件提交截止时间：详见竞争性磋商公告。</w:t>
            </w:r>
          </w:p>
          <w:p w14:paraId="463F276C">
            <w:pPr>
              <w:pStyle w:val="9"/>
              <w:spacing w:before="223" w:line="226" w:lineRule="auto"/>
              <w:ind w:left="1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8"/>
                <w:sz w:val="21"/>
                <w:szCs w:val="21"/>
              </w:rPr>
              <w:t>响应文件提交地点：详见竞争性磋商公告。</w:t>
            </w:r>
          </w:p>
        </w:tc>
      </w:tr>
      <w:tr w14:paraId="339A3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961" w:type="dxa"/>
            <w:vAlign w:val="center"/>
          </w:tcPr>
          <w:p w14:paraId="09FDDD86">
            <w:pPr>
              <w:pStyle w:val="9"/>
              <w:spacing w:before="133" w:line="267" w:lineRule="exact"/>
              <w:ind w:left="297"/>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position w:val="1"/>
                <w:sz w:val="21"/>
                <w:szCs w:val="21"/>
              </w:rPr>
              <w:t>24.1</w:t>
            </w:r>
          </w:p>
        </w:tc>
        <w:tc>
          <w:tcPr>
            <w:tcW w:w="8316" w:type="dxa"/>
            <w:vAlign w:val="top"/>
          </w:tcPr>
          <w:p w14:paraId="411DC084">
            <w:pPr>
              <w:pStyle w:val="9"/>
              <w:spacing w:before="63" w:line="228" w:lineRule="auto"/>
              <w:ind w:left="111"/>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磋商小组的人数：</w:t>
            </w:r>
            <w:r>
              <w:rPr>
                <w:rFonts w:hint="eastAsia" w:asciiTheme="minorEastAsia" w:hAnsiTheme="minorEastAsia" w:eastAsiaTheme="minorEastAsia" w:cstheme="minorEastAsia"/>
                <w:color w:val="auto"/>
                <w:spacing w:val="7"/>
                <w:sz w:val="21"/>
                <w:szCs w:val="21"/>
                <w:u w:val="single" w:color="auto"/>
              </w:rPr>
              <w:t>3</w:t>
            </w:r>
            <w:r>
              <w:rPr>
                <w:rFonts w:hint="eastAsia" w:asciiTheme="minorEastAsia" w:hAnsiTheme="minorEastAsia" w:eastAsiaTheme="minorEastAsia" w:cstheme="minorEastAsia"/>
                <w:color w:val="auto"/>
                <w:spacing w:val="-33"/>
                <w:sz w:val="21"/>
                <w:szCs w:val="21"/>
                <w:u w:val="single" w:color="auto"/>
              </w:rPr>
              <w:t xml:space="preserve"> </w:t>
            </w:r>
            <w:r>
              <w:rPr>
                <w:rFonts w:hint="eastAsia" w:asciiTheme="minorEastAsia" w:hAnsiTheme="minorEastAsia" w:eastAsiaTheme="minorEastAsia" w:cstheme="minorEastAsia"/>
                <w:color w:val="auto"/>
                <w:spacing w:val="7"/>
                <w:sz w:val="21"/>
                <w:szCs w:val="21"/>
              </w:rPr>
              <w:t>人或以上。</w:t>
            </w:r>
          </w:p>
        </w:tc>
      </w:tr>
      <w:tr w14:paraId="27CEE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jc w:val="center"/>
        </w:trPr>
        <w:tc>
          <w:tcPr>
            <w:tcW w:w="961" w:type="dxa"/>
            <w:vAlign w:val="center"/>
          </w:tcPr>
          <w:p w14:paraId="0EFFBC86">
            <w:pPr>
              <w:pStyle w:val="9"/>
              <w:spacing w:before="305" w:line="269" w:lineRule="exact"/>
              <w:ind w:left="4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position w:val="1"/>
                <w:sz w:val="21"/>
                <w:szCs w:val="21"/>
              </w:rPr>
              <w:t>25</w:t>
            </w:r>
          </w:p>
        </w:tc>
        <w:tc>
          <w:tcPr>
            <w:tcW w:w="8316" w:type="dxa"/>
            <w:vAlign w:val="top"/>
          </w:tcPr>
          <w:p w14:paraId="6C2EA72B">
            <w:pPr>
              <w:pStyle w:val="9"/>
              <w:spacing w:before="34" w:line="226" w:lineRule="auto"/>
              <w:ind w:left="115"/>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2"/>
                <w:sz w:val="21"/>
                <w:szCs w:val="21"/>
              </w:rPr>
              <w:t>首次响应文件开启时间详见“竞争性磋商公告</w:t>
            </w:r>
            <w:r>
              <w:rPr>
                <w:rFonts w:hint="eastAsia" w:asciiTheme="minorEastAsia" w:hAnsiTheme="minorEastAsia" w:eastAsiaTheme="minorEastAsia" w:cstheme="minorEastAsia"/>
                <w:color w:val="auto"/>
                <w:spacing w:val="-56"/>
                <w:sz w:val="21"/>
                <w:szCs w:val="21"/>
              </w:rPr>
              <w:t xml:space="preserve"> </w:t>
            </w:r>
            <w:r>
              <w:rPr>
                <w:rFonts w:hint="eastAsia" w:asciiTheme="minorEastAsia" w:hAnsiTheme="minorEastAsia" w:eastAsiaTheme="minorEastAsia" w:cstheme="minorEastAsia"/>
                <w:color w:val="auto"/>
                <w:spacing w:val="12"/>
                <w:sz w:val="21"/>
                <w:szCs w:val="21"/>
              </w:rPr>
              <w:t>”</w:t>
            </w:r>
          </w:p>
          <w:p w14:paraId="0B6F08A1">
            <w:pPr>
              <w:pStyle w:val="9"/>
              <w:spacing w:before="162" w:line="228" w:lineRule="auto"/>
              <w:ind w:left="115"/>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1"/>
                <w:sz w:val="21"/>
                <w:szCs w:val="21"/>
              </w:rPr>
              <w:t>首次响应文件解密时间：</w:t>
            </w:r>
            <w:r>
              <w:rPr>
                <w:rFonts w:hint="eastAsia" w:asciiTheme="minorEastAsia" w:hAnsiTheme="minorEastAsia" w:eastAsiaTheme="minorEastAsia" w:cstheme="minorEastAsia"/>
                <w:color w:val="auto"/>
                <w:spacing w:val="11"/>
                <w:sz w:val="21"/>
                <w:szCs w:val="21"/>
                <w:u w:val="single" w:color="auto"/>
              </w:rPr>
              <w:t>30</w:t>
            </w:r>
            <w:r>
              <w:rPr>
                <w:rFonts w:hint="eastAsia" w:asciiTheme="minorEastAsia" w:hAnsiTheme="minorEastAsia" w:eastAsiaTheme="minorEastAsia" w:cstheme="minorEastAsia"/>
                <w:color w:val="auto"/>
                <w:spacing w:val="11"/>
                <w:sz w:val="21"/>
                <w:szCs w:val="21"/>
              </w:rPr>
              <w:t>分钟</w:t>
            </w:r>
          </w:p>
        </w:tc>
      </w:tr>
      <w:tr w14:paraId="7B6B9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jc w:val="center"/>
        </w:trPr>
        <w:tc>
          <w:tcPr>
            <w:tcW w:w="961" w:type="dxa"/>
            <w:vAlign w:val="center"/>
          </w:tcPr>
          <w:p w14:paraId="4C38ACCA">
            <w:pPr>
              <w:pStyle w:val="9"/>
              <w:spacing w:before="65" w:line="267" w:lineRule="exact"/>
              <w:ind w:left="297"/>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position w:val="1"/>
                <w:sz w:val="21"/>
                <w:szCs w:val="21"/>
              </w:rPr>
              <w:t>26.3</w:t>
            </w:r>
          </w:p>
        </w:tc>
        <w:tc>
          <w:tcPr>
            <w:tcW w:w="8316" w:type="dxa"/>
            <w:vAlign w:val="top"/>
          </w:tcPr>
          <w:p w14:paraId="0BEC8C14">
            <w:pPr>
              <w:pStyle w:val="9"/>
              <w:spacing w:before="35" w:line="228" w:lineRule="auto"/>
              <w:ind w:left="116"/>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8"/>
                <w:sz w:val="21"/>
                <w:szCs w:val="21"/>
              </w:rPr>
              <w:t>商务要求评审中允许负偏离的条款数为</w:t>
            </w:r>
            <w:r>
              <w:rPr>
                <w:rFonts w:hint="eastAsia" w:asciiTheme="minorEastAsia" w:hAnsiTheme="minorEastAsia" w:eastAsiaTheme="minorEastAsia" w:cstheme="minorEastAsia"/>
                <w:color w:val="auto"/>
                <w:spacing w:val="8"/>
                <w:sz w:val="21"/>
                <w:szCs w:val="21"/>
                <w:u w:val="single" w:color="auto"/>
              </w:rPr>
              <w:t xml:space="preserve"> 0 </w:t>
            </w:r>
            <w:r>
              <w:rPr>
                <w:rFonts w:hint="eastAsia" w:asciiTheme="minorEastAsia" w:hAnsiTheme="minorEastAsia" w:eastAsiaTheme="minorEastAsia" w:cstheme="minorEastAsia"/>
                <w:color w:val="auto"/>
                <w:spacing w:val="8"/>
                <w:sz w:val="21"/>
                <w:szCs w:val="21"/>
              </w:rPr>
              <w:t>项。</w:t>
            </w:r>
          </w:p>
          <w:p w14:paraId="34226370">
            <w:pPr>
              <w:pStyle w:val="9"/>
              <w:spacing w:before="160" w:line="228" w:lineRule="auto"/>
              <w:ind w:left="11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8"/>
                <w:sz w:val="21"/>
                <w:szCs w:val="21"/>
              </w:rPr>
              <w:t>技术要求评审中允许负偏离的条款数为</w:t>
            </w:r>
            <w:r>
              <w:rPr>
                <w:rFonts w:hint="eastAsia" w:asciiTheme="minorEastAsia" w:hAnsiTheme="minorEastAsia" w:eastAsiaTheme="minorEastAsia" w:cstheme="minorEastAsia"/>
                <w:color w:val="auto"/>
                <w:spacing w:val="8"/>
                <w:sz w:val="21"/>
                <w:szCs w:val="21"/>
                <w:u w:val="single" w:color="auto"/>
              </w:rPr>
              <w:t xml:space="preserve"> 0 </w:t>
            </w:r>
            <w:r>
              <w:rPr>
                <w:rFonts w:hint="eastAsia" w:asciiTheme="minorEastAsia" w:hAnsiTheme="minorEastAsia" w:eastAsiaTheme="minorEastAsia" w:cstheme="minorEastAsia"/>
                <w:color w:val="auto"/>
                <w:spacing w:val="8"/>
                <w:sz w:val="21"/>
                <w:szCs w:val="21"/>
              </w:rPr>
              <w:t>项。</w:t>
            </w:r>
          </w:p>
        </w:tc>
      </w:tr>
      <w:tr w14:paraId="064A7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jc w:val="center"/>
        </w:trPr>
        <w:tc>
          <w:tcPr>
            <w:tcW w:w="961" w:type="dxa"/>
            <w:vAlign w:val="center"/>
          </w:tcPr>
          <w:p w14:paraId="7EC2B99A">
            <w:pPr>
              <w:pStyle w:val="9"/>
              <w:spacing w:before="65" w:line="268" w:lineRule="exact"/>
              <w:ind w:left="297"/>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position w:val="1"/>
                <w:sz w:val="21"/>
                <w:szCs w:val="21"/>
              </w:rPr>
              <w:t>28.1</w:t>
            </w:r>
          </w:p>
        </w:tc>
        <w:tc>
          <w:tcPr>
            <w:tcW w:w="8316" w:type="dxa"/>
            <w:vAlign w:val="center"/>
          </w:tcPr>
          <w:p w14:paraId="75DCC6AA">
            <w:pPr>
              <w:pStyle w:val="9"/>
              <w:spacing w:before="33" w:line="227" w:lineRule="auto"/>
              <w:ind w:left="120"/>
              <w:jc w:val="both"/>
              <w:rPr>
                <w:rFonts w:hint="eastAsia" w:asciiTheme="minorEastAsia" w:hAnsiTheme="minorEastAsia" w:eastAsiaTheme="minorEastAsia" w:cstheme="minorEastAsia"/>
                <w:color w:val="auto"/>
                <w:sz w:val="21"/>
                <w:szCs w:val="21"/>
                <w:u w:val="single" w:color="auto"/>
              </w:rPr>
            </w:pPr>
            <w:r>
              <w:rPr>
                <w:rFonts w:hint="eastAsia" w:asciiTheme="minorEastAsia" w:hAnsiTheme="minorEastAsia" w:eastAsiaTheme="minorEastAsia" w:cstheme="minorEastAsia"/>
                <w:color w:val="auto"/>
                <w:spacing w:val="7"/>
                <w:sz w:val="21"/>
                <w:szCs w:val="21"/>
              </w:rPr>
              <w:t>☑本项目不收取履约保证金。</w:t>
            </w:r>
          </w:p>
        </w:tc>
      </w:tr>
      <w:tr w14:paraId="51ADC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7" w:hRule="atLeast"/>
          <w:jc w:val="center"/>
        </w:trPr>
        <w:tc>
          <w:tcPr>
            <w:tcW w:w="961" w:type="dxa"/>
            <w:vAlign w:val="center"/>
          </w:tcPr>
          <w:p w14:paraId="17BA3F5C">
            <w:pPr>
              <w:pStyle w:val="9"/>
              <w:spacing w:before="65" w:line="267" w:lineRule="exact"/>
              <w:ind w:left="297"/>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position w:val="1"/>
                <w:sz w:val="21"/>
                <w:szCs w:val="21"/>
              </w:rPr>
              <w:t>29.1</w:t>
            </w:r>
          </w:p>
        </w:tc>
        <w:tc>
          <w:tcPr>
            <w:tcW w:w="8316" w:type="dxa"/>
            <w:vAlign w:val="top"/>
          </w:tcPr>
          <w:p w14:paraId="0A849888">
            <w:pPr>
              <w:pStyle w:val="9"/>
              <w:spacing w:before="33" w:line="227" w:lineRule="auto"/>
              <w:ind w:left="11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8"/>
                <w:sz w:val="21"/>
                <w:szCs w:val="21"/>
              </w:rPr>
              <w:t>签订合同携带的证明材料：</w:t>
            </w:r>
          </w:p>
          <w:p w14:paraId="62D4F035">
            <w:pPr>
              <w:pStyle w:val="9"/>
              <w:spacing w:before="161" w:line="377" w:lineRule="auto"/>
              <w:ind w:left="111" w:right="11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8"/>
                <w:sz w:val="21"/>
                <w:szCs w:val="21"/>
              </w:rPr>
              <w:t>委托代理人负责签订合同的，须携带授权委托书及委托</w:t>
            </w:r>
            <w:r>
              <w:rPr>
                <w:rFonts w:hint="eastAsia" w:asciiTheme="minorEastAsia" w:hAnsiTheme="minorEastAsia" w:eastAsiaTheme="minorEastAsia" w:cstheme="minorEastAsia"/>
                <w:color w:val="auto"/>
                <w:spacing w:val="7"/>
                <w:sz w:val="21"/>
                <w:szCs w:val="21"/>
              </w:rPr>
              <w:t>代理人身份证原件等其他资格</w:t>
            </w:r>
            <w:r>
              <w:rPr>
                <w:rFonts w:hint="eastAsia" w:asciiTheme="minorEastAsia" w:hAnsiTheme="minorEastAsia" w:eastAsiaTheme="minorEastAsia" w:cstheme="minorEastAsia"/>
                <w:color w:val="auto"/>
                <w:spacing w:val="3"/>
                <w:sz w:val="21"/>
                <w:szCs w:val="21"/>
              </w:rPr>
              <w:t>证件。</w:t>
            </w:r>
          </w:p>
          <w:p w14:paraId="10E5F717">
            <w:pPr>
              <w:pStyle w:val="9"/>
              <w:spacing w:before="1" w:line="359" w:lineRule="auto"/>
              <w:ind w:left="131" w:right="110" w:hanging="18"/>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8"/>
                <w:sz w:val="21"/>
                <w:szCs w:val="21"/>
              </w:rPr>
              <w:t>法定代表人负责签订合同的，须携带法定代表人身份</w:t>
            </w:r>
            <w:r>
              <w:rPr>
                <w:rFonts w:hint="eastAsia" w:asciiTheme="minorEastAsia" w:hAnsiTheme="minorEastAsia" w:eastAsiaTheme="minorEastAsia" w:cstheme="minorEastAsia"/>
                <w:color w:val="auto"/>
                <w:spacing w:val="7"/>
                <w:sz w:val="21"/>
                <w:szCs w:val="21"/>
              </w:rPr>
              <w:t>证明原件及身份证原件等其他证</w:t>
            </w:r>
            <w:r>
              <w:rPr>
                <w:rFonts w:hint="eastAsia" w:asciiTheme="minorEastAsia" w:hAnsiTheme="minorEastAsia" w:eastAsiaTheme="minorEastAsia" w:cstheme="minorEastAsia"/>
                <w:color w:val="auto"/>
                <w:sz w:val="21"/>
                <w:szCs w:val="21"/>
              </w:rPr>
              <w:t>明材料。</w:t>
            </w:r>
          </w:p>
        </w:tc>
      </w:tr>
      <w:tr w14:paraId="46D8A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3" w:hRule="atLeast"/>
          <w:jc w:val="center"/>
        </w:trPr>
        <w:tc>
          <w:tcPr>
            <w:tcW w:w="961" w:type="dxa"/>
            <w:vAlign w:val="center"/>
          </w:tcPr>
          <w:p w14:paraId="74FDC2E9">
            <w:pPr>
              <w:pStyle w:val="9"/>
              <w:spacing w:before="65" w:line="268" w:lineRule="exact"/>
              <w:ind w:left="299"/>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position w:val="1"/>
                <w:sz w:val="21"/>
                <w:szCs w:val="21"/>
              </w:rPr>
              <w:t>31.2</w:t>
            </w:r>
          </w:p>
        </w:tc>
        <w:tc>
          <w:tcPr>
            <w:tcW w:w="8316" w:type="dxa"/>
            <w:vAlign w:val="top"/>
          </w:tcPr>
          <w:p w14:paraId="112BFFBF">
            <w:pPr>
              <w:pStyle w:val="9"/>
              <w:spacing w:before="33" w:line="227" w:lineRule="auto"/>
              <w:ind w:left="111"/>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5"/>
                <w:sz w:val="21"/>
                <w:szCs w:val="21"/>
              </w:rPr>
              <w:t>接收质疑函方式：</w:t>
            </w:r>
            <w:r>
              <w:rPr>
                <w:rFonts w:hint="eastAsia" w:asciiTheme="minorEastAsia" w:hAnsiTheme="minorEastAsia" w:eastAsiaTheme="minorEastAsia" w:cstheme="minorEastAsia"/>
                <w:color w:val="auto"/>
                <w:spacing w:val="-50"/>
                <w:sz w:val="21"/>
                <w:szCs w:val="21"/>
              </w:rPr>
              <w:t xml:space="preserve"> </w:t>
            </w:r>
            <w:r>
              <w:rPr>
                <w:rFonts w:hint="eastAsia" w:asciiTheme="minorEastAsia" w:hAnsiTheme="minorEastAsia" w:eastAsiaTheme="minorEastAsia" w:cstheme="minorEastAsia"/>
                <w:color w:val="auto"/>
                <w:spacing w:val="5"/>
                <w:sz w:val="21"/>
                <w:szCs w:val="21"/>
              </w:rPr>
              <w:t>以书面形式。</w:t>
            </w:r>
          </w:p>
          <w:p w14:paraId="2186E69D">
            <w:pPr>
              <w:pStyle w:val="9"/>
              <w:spacing w:before="161" w:line="228" w:lineRule="auto"/>
              <w:ind w:left="113"/>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pacing w:val="9"/>
                <w:sz w:val="21"/>
                <w:szCs w:val="21"/>
              </w:rPr>
              <w:t>质疑联系部门及联系方式：</w:t>
            </w:r>
            <w:r>
              <w:rPr>
                <w:rFonts w:hint="eastAsia" w:asciiTheme="minorEastAsia" w:hAnsiTheme="minorEastAsia" w:eastAsiaTheme="minorEastAsia" w:cstheme="minorEastAsia"/>
                <w:color w:val="auto"/>
                <w:spacing w:val="9"/>
                <w:sz w:val="21"/>
                <w:szCs w:val="21"/>
                <w:lang w:eastAsia="zh-CN"/>
              </w:rPr>
              <w:t>广西冠宁工程咨询有限公司</w:t>
            </w:r>
          </w:p>
          <w:p w14:paraId="55B5E842">
            <w:pPr>
              <w:pStyle w:val="9"/>
              <w:spacing w:before="161" w:line="230" w:lineRule="auto"/>
              <w:ind w:left="113"/>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pacing w:val="5"/>
                <w:sz w:val="21"/>
                <w:szCs w:val="21"/>
              </w:rPr>
              <w:t>联系电话：</w:t>
            </w:r>
            <w:r>
              <w:rPr>
                <w:rFonts w:hint="eastAsia" w:asciiTheme="minorEastAsia" w:hAnsiTheme="minorEastAsia" w:eastAsiaTheme="minorEastAsia" w:cstheme="minorEastAsia"/>
                <w:color w:val="auto"/>
                <w:spacing w:val="5"/>
                <w:sz w:val="21"/>
                <w:szCs w:val="21"/>
                <w:lang w:val="en-US" w:eastAsia="zh-CN"/>
              </w:rPr>
              <w:t>0771-3940928、0771-5725583</w:t>
            </w:r>
          </w:p>
          <w:p w14:paraId="28DA579E">
            <w:pPr>
              <w:pStyle w:val="9"/>
              <w:spacing w:before="158" w:line="227" w:lineRule="auto"/>
              <w:ind w:left="112"/>
              <w:rPr>
                <w:rFonts w:hint="eastAsia" w:asciiTheme="minorEastAsia" w:hAnsiTheme="minorEastAsia" w:eastAsiaTheme="minorEastAsia" w:cstheme="minorEastAsia"/>
                <w:color w:val="auto"/>
                <w:spacing w:val="5"/>
                <w:sz w:val="21"/>
                <w:szCs w:val="21"/>
                <w:lang w:eastAsia="zh-CN"/>
              </w:rPr>
            </w:pPr>
            <w:r>
              <w:rPr>
                <w:rFonts w:hint="eastAsia" w:asciiTheme="minorEastAsia" w:hAnsiTheme="minorEastAsia" w:eastAsiaTheme="minorEastAsia" w:cstheme="minorEastAsia"/>
                <w:color w:val="auto"/>
                <w:spacing w:val="5"/>
                <w:sz w:val="21"/>
                <w:szCs w:val="21"/>
              </w:rPr>
              <w:t>通讯地址：</w:t>
            </w:r>
            <w:r>
              <w:rPr>
                <w:rFonts w:hint="eastAsia" w:asciiTheme="minorEastAsia" w:hAnsiTheme="minorEastAsia" w:eastAsiaTheme="minorEastAsia" w:cstheme="minorEastAsia"/>
                <w:color w:val="auto"/>
                <w:spacing w:val="5"/>
                <w:sz w:val="21"/>
                <w:szCs w:val="21"/>
                <w:lang w:eastAsia="zh-CN"/>
              </w:rPr>
              <w:t>南宁市青秀区茶花园路6-1号南湖翠苑4层0431A号、0431B号、0431C号</w:t>
            </w:r>
          </w:p>
          <w:p w14:paraId="68C1B6EF">
            <w:pPr>
              <w:pStyle w:val="9"/>
              <w:spacing w:before="158" w:line="227" w:lineRule="auto"/>
              <w:ind w:left="11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时间：工作日每天上午</w:t>
            </w:r>
            <w:r>
              <w:rPr>
                <w:rFonts w:hint="eastAsia" w:asciiTheme="minorEastAsia" w:hAnsiTheme="minorEastAsia" w:eastAsiaTheme="minorEastAsia" w:cstheme="minorEastAsia"/>
                <w:color w:val="auto"/>
                <w:spacing w:val="-38"/>
                <w:sz w:val="21"/>
                <w:szCs w:val="21"/>
              </w:rPr>
              <w:t xml:space="preserve"> </w:t>
            </w:r>
            <w:r>
              <w:rPr>
                <w:rFonts w:hint="eastAsia" w:asciiTheme="minorEastAsia" w:hAnsiTheme="minorEastAsia" w:eastAsiaTheme="minorEastAsia" w:cstheme="minorEastAsia"/>
                <w:color w:val="auto"/>
                <w:sz w:val="21"/>
                <w:szCs w:val="21"/>
              </w:rPr>
              <w:t>9</w:t>
            </w:r>
            <w:r>
              <w:rPr>
                <w:rFonts w:hint="eastAsia" w:asciiTheme="minorEastAsia" w:hAnsiTheme="minorEastAsia" w:eastAsiaTheme="minorEastAsia" w:cstheme="minorEastAsia"/>
                <w:color w:val="auto"/>
                <w:spacing w:val="-29"/>
                <w:sz w:val="21"/>
                <w:szCs w:val="21"/>
              </w:rPr>
              <w:t xml:space="preserve"> </w:t>
            </w:r>
            <w:r>
              <w:rPr>
                <w:rFonts w:hint="eastAsia" w:asciiTheme="minorEastAsia" w:hAnsiTheme="minorEastAsia" w:eastAsiaTheme="minorEastAsia" w:cstheme="minorEastAsia"/>
                <w:color w:val="auto"/>
                <w:sz w:val="21"/>
                <w:szCs w:val="21"/>
              </w:rPr>
              <w:t>时</w:t>
            </w:r>
            <w:r>
              <w:rPr>
                <w:rFonts w:hint="eastAsia" w:asciiTheme="minorEastAsia" w:hAnsiTheme="minorEastAsia" w:eastAsiaTheme="minorEastAsia" w:cstheme="minorEastAsia"/>
                <w:color w:val="auto"/>
                <w:spacing w:val="-37"/>
                <w:sz w:val="21"/>
                <w:szCs w:val="21"/>
              </w:rPr>
              <w:t xml:space="preserve"> </w:t>
            </w:r>
            <w:r>
              <w:rPr>
                <w:rFonts w:hint="eastAsia" w:asciiTheme="minorEastAsia" w:hAnsiTheme="minorEastAsia" w:eastAsiaTheme="minorEastAsia" w:cstheme="minorEastAsia"/>
                <w:color w:val="auto"/>
                <w:sz w:val="21"/>
                <w:szCs w:val="21"/>
              </w:rPr>
              <w:t>00</w:t>
            </w:r>
            <w:r>
              <w:rPr>
                <w:rFonts w:hint="eastAsia" w:asciiTheme="minorEastAsia" w:hAnsiTheme="minorEastAsia" w:eastAsiaTheme="minorEastAsia" w:cstheme="minorEastAsia"/>
                <w:color w:val="auto"/>
                <w:spacing w:val="-36"/>
                <w:sz w:val="21"/>
                <w:szCs w:val="21"/>
              </w:rPr>
              <w:t xml:space="preserve"> </w:t>
            </w:r>
            <w:r>
              <w:rPr>
                <w:rFonts w:hint="eastAsia" w:asciiTheme="minorEastAsia" w:hAnsiTheme="minorEastAsia" w:eastAsiaTheme="minorEastAsia" w:cstheme="minorEastAsia"/>
                <w:color w:val="auto"/>
                <w:sz w:val="21"/>
                <w:szCs w:val="21"/>
              </w:rPr>
              <w:t>分至</w:t>
            </w:r>
            <w:r>
              <w:rPr>
                <w:rFonts w:hint="eastAsia" w:asciiTheme="minorEastAsia" w:hAnsiTheme="minorEastAsia" w:eastAsiaTheme="minorEastAsia" w:cstheme="minorEastAsia"/>
                <w:color w:val="auto"/>
                <w:spacing w:val="-23"/>
                <w:sz w:val="21"/>
                <w:szCs w:val="21"/>
              </w:rPr>
              <w:t xml:space="preserve"> </w:t>
            </w:r>
            <w:r>
              <w:rPr>
                <w:rFonts w:hint="eastAsia" w:asciiTheme="minorEastAsia" w:hAnsiTheme="minorEastAsia" w:eastAsiaTheme="minorEastAsia" w:cstheme="minorEastAsia"/>
                <w:color w:val="auto"/>
                <w:sz w:val="21"/>
                <w:szCs w:val="21"/>
              </w:rPr>
              <w:t>12</w:t>
            </w:r>
            <w:r>
              <w:rPr>
                <w:rFonts w:hint="eastAsia" w:asciiTheme="minorEastAsia" w:hAnsiTheme="minorEastAsia" w:eastAsiaTheme="minorEastAsia" w:cstheme="minorEastAsia"/>
                <w:color w:val="auto"/>
                <w:spacing w:val="-28"/>
                <w:sz w:val="21"/>
                <w:szCs w:val="21"/>
              </w:rPr>
              <w:t xml:space="preserve"> </w:t>
            </w:r>
            <w:r>
              <w:rPr>
                <w:rFonts w:hint="eastAsia" w:asciiTheme="minorEastAsia" w:hAnsiTheme="minorEastAsia" w:eastAsiaTheme="minorEastAsia" w:cstheme="minorEastAsia"/>
                <w:color w:val="auto"/>
                <w:sz w:val="21"/>
                <w:szCs w:val="21"/>
              </w:rPr>
              <w:t>时</w:t>
            </w:r>
            <w:r>
              <w:rPr>
                <w:rFonts w:hint="eastAsia" w:asciiTheme="minorEastAsia" w:hAnsiTheme="minorEastAsia" w:eastAsiaTheme="minorEastAsia" w:cstheme="minorEastAsia"/>
                <w:color w:val="auto"/>
                <w:spacing w:val="-38"/>
                <w:sz w:val="21"/>
                <w:szCs w:val="21"/>
              </w:rPr>
              <w:t xml:space="preserve"> </w:t>
            </w:r>
            <w:r>
              <w:rPr>
                <w:rFonts w:hint="eastAsia" w:asciiTheme="minorEastAsia" w:hAnsiTheme="minorEastAsia" w:eastAsiaTheme="minorEastAsia" w:cstheme="minorEastAsia"/>
                <w:color w:val="auto"/>
                <w:sz w:val="21"/>
                <w:szCs w:val="21"/>
              </w:rPr>
              <w:t>00</w:t>
            </w:r>
            <w:r>
              <w:rPr>
                <w:rFonts w:hint="eastAsia" w:asciiTheme="minorEastAsia" w:hAnsiTheme="minorEastAsia" w:eastAsiaTheme="minorEastAsia" w:cstheme="minorEastAsia"/>
                <w:color w:val="auto"/>
                <w:spacing w:val="-35"/>
                <w:sz w:val="21"/>
                <w:szCs w:val="21"/>
              </w:rPr>
              <w:t xml:space="preserve"> </w:t>
            </w:r>
            <w:r>
              <w:rPr>
                <w:rFonts w:hint="eastAsia" w:asciiTheme="minorEastAsia" w:hAnsiTheme="minorEastAsia" w:eastAsiaTheme="minorEastAsia" w:cstheme="minorEastAsia"/>
                <w:color w:val="auto"/>
                <w:sz w:val="21"/>
                <w:szCs w:val="21"/>
              </w:rPr>
              <w:t>分，下午</w:t>
            </w:r>
            <w:r>
              <w:rPr>
                <w:rFonts w:hint="eastAsia" w:asciiTheme="minorEastAsia" w:hAnsiTheme="minorEastAsia" w:eastAsiaTheme="minorEastAsia" w:cstheme="minorEastAsia"/>
                <w:color w:val="auto"/>
                <w:spacing w:val="-22"/>
                <w:sz w:val="21"/>
                <w:szCs w:val="21"/>
              </w:rPr>
              <w:t xml:space="preserve"> </w:t>
            </w:r>
            <w:r>
              <w:rPr>
                <w:rFonts w:hint="eastAsia" w:asciiTheme="minorEastAsia" w:hAnsiTheme="minorEastAsia" w:eastAsiaTheme="minorEastAsia" w:cstheme="minorEastAsia"/>
                <w:color w:val="auto"/>
                <w:sz w:val="21"/>
                <w:szCs w:val="21"/>
              </w:rPr>
              <w:t>15</w:t>
            </w:r>
            <w:r>
              <w:rPr>
                <w:rFonts w:hint="eastAsia" w:asciiTheme="minorEastAsia" w:hAnsiTheme="minorEastAsia" w:eastAsiaTheme="minorEastAsia" w:cstheme="minorEastAsia"/>
                <w:color w:val="auto"/>
                <w:spacing w:val="-30"/>
                <w:sz w:val="21"/>
                <w:szCs w:val="21"/>
              </w:rPr>
              <w:t xml:space="preserve"> </w:t>
            </w:r>
            <w:r>
              <w:rPr>
                <w:rFonts w:hint="eastAsia" w:asciiTheme="minorEastAsia" w:hAnsiTheme="minorEastAsia" w:eastAsiaTheme="minorEastAsia" w:cstheme="minorEastAsia"/>
                <w:color w:val="auto"/>
                <w:sz w:val="21"/>
                <w:szCs w:val="21"/>
              </w:rPr>
              <w:t>时</w:t>
            </w:r>
            <w:r>
              <w:rPr>
                <w:rFonts w:hint="eastAsia" w:asciiTheme="minorEastAsia" w:hAnsiTheme="minorEastAsia" w:eastAsiaTheme="minorEastAsia" w:cstheme="minorEastAsia"/>
                <w:color w:val="auto"/>
                <w:spacing w:val="-36"/>
                <w:sz w:val="21"/>
                <w:szCs w:val="21"/>
              </w:rPr>
              <w:t xml:space="preserve"> </w:t>
            </w:r>
            <w:r>
              <w:rPr>
                <w:rFonts w:hint="eastAsia" w:asciiTheme="minorEastAsia" w:hAnsiTheme="minorEastAsia" w:eastAsiaTheme="minorEastAsia" w:cstheme="minorEastAsia"/>
                <w:color w:val="auto"/>
                <w:sz w:val="21"/>
                <w:szCs w:val="21"/>
              </w:rPr>
              <w:t>00</w:t>
            </w:r>
            <w:r>
              <w:rPr>
                <w:rFonts w:hint="eastAsia" w:asciiTheme="minorEastAsia" w:hAnsiTheme="minorEastAsia" w:eastAsiaTheme="minorEastAsia" w:cstheme="minorEastAsia"/>
                <w:color w:val="auto"/>
                <w:spacing w:val="-37"/>
                <w:sz w:val="21"/>
                <w:szCs w:val="21"/>
              </w:rPr>
              <w:t xml:space="preserve"> </w:t>
            </w:r>
            <w:r>
              <w:rPr>
                <w:rFonts w:hint="eastAsia" w:asciiTheme="minorEastAsia" w:hAnsiTheme="minorEastAsia" w:eastAsiaTheme="minorEastAsia" w:cstheme="minorEastAsia"/>
                <w:color w:val="auto"/>
                <w:sz w:val="21"/>
                <w:szCs w:val="21"/>
              </w:rPr>
              <w:t>分</w:t>
            </w:r>
            <w:r>
              <w:rPr>
                <w:rFonts w:hint="eastAsia" w:asciiTheme="minorEastAsia" w:hAnsiTheme="minorEastAsia" w:eastAsiaTheme="minorEastAsia" w:cstheme="minorEastAsia"/>
                <w:color w:val="auto"/>
                <w:spacing w:val="-1"/>
                <w:sz w:val="21"/>
                <w:szCs w:val="21"/>
              </w:rPr>
              <w:t>至</w:t>
            </w:r>
            <w:r>
              <w:rPr>
                <w:rFonts w:hint="eastAsia" w:asciiTheme="minorEastAsia" w:hAnsiTheme="minorEastAsia" w:eastAsiaTheme="minorEastAsia" w:cstheme="minorEastAsia"/>
                <w:color w:val="auto"/>
                <w:spacing w:val="-22"/>
                <w:sz w:val="21"/>
                <w:szCs w:val="21"/>
              </w:rPr>
              <w:t xml:space="preserve"> </w:t>
            </w:r>
            <w:r>
              <w:rPr>
                <w:rFonts w:hint="eastAsia" w:asciiTheme="minorEastAsia" w:hAnsiTheme="minorEastAsia" w:eastAsiaTheme="minorEastAsia" w:cstheme="minorEastAsia"/>
                <w:color w:val="auto"/>
                <w:spacing w:val="-1"/>
                <w:sz w:val="21"/>
                <w:szCs w:val="21"/>
              </w:rPr>
              <w:t>17</w:t>
            </w:r>
            <w:r>
              <w:rPr>
                <w:rFonts w:hint="eastAsia" w:asciiTheme="minorEastAsia" w:hAnsiTheme="minorEastAsia" w:eastAsiaTheme="minorEastAsia" w:cstheme="minorEastAsia"/>
                <w:color w:val="auto"/>
                <w:spacing w:val="-30"/>
                <w:sz w:val="21"/>
                <w:szCs w:val="21"/>
              </w:rPr>
              <w:t xml:space="preserve"> </w:t>
            </w:r>
            <w:r>
              <w:rPr>
                <w:rFonts w:hint="eastAsia" w:asciiTheme="minorEastAsia" w:hAnsiTheme="minorEastAsia" w:eastAsiaTheme="minorEastAsia" w:cstheme="minorEastAsia"/>
                <w:color w:val="auto"/>
                <w:spacing w:val="-1"/>
                <w:sz w:val="21"/>
                <w:szCs w:val="21"/>
              </w:rPr>
              <w:t>时</w:t>
            </w:r>
            <w:r>
              <w:rPr>
                <w:rFonts w:hint="eastAsia" w:asciiTheme="minorEastAsia" w:hAnsiTheme="minorEastAsia" w:eastAsiaTheme="minorEastAsia" w:cstheme="minorEastAsia"/>
                <w:color w:val="auto"/>
                <w:spacing w:val="-33"/>
                <w:sz w:val="21"/>
                <w:szCs w:val="21"/>
              </w:rPr>
              <w:t xml:space="preserve"> </w:t>
            </w:r>
            <w:r>
              <w:rPr>
                <w:rFonts w:hint="eastAsia" w:asciiTheme="minorEastAsia" w:hAnsiTheme="minorEastAsia" w:eastAsiaTheme="minorEastAsia" w:cstheme="minorEastAsia"/>
                <w:color w:val="auto"/>
                <w:spacing w:val="-1"/>
                <w:sz w:val="21"/>
                <w:szCs w:val="21"/>
              </w:rPr>
              <w:t>30</w:t>
            </w:r>
            <w:r>
              <w:rPr>
                <w:rFonts w:hint="eastAsia" w:asciiTheme="minorEastAsia" w:hAnsiTheme="minorEastAsia" w:eastAsiaTheme="minorEastAsia" w:cstheme="minorEastAsia"/>
                <w:color w:val="auto"/>
                <w:spacing w:val="-38"/>
                <w:sz w:val="21"/>
                <w:szCs w:val="21"/>
              </w:rPr>
              <w:t xml:space="preserve"> </w:t>
            </w:r>
            <w:r>
              <w:rPr>
                <w:rFonts w:hint="eastAsia" w:asciiTheme="minorEastAsia" w:hAnsiTheme="minorEastAsia" w:eastAsiaTheme="minorEastAsia" w:cstheme="minorEastAsia"/>
                <w:color w:val="auto"/>
                <w:spacing w:val="-1"/>
                <w:sz w:val="21"/>
                <w:szCs w:val="21"/>
              </w:rPr>
              <w:t>分。</w:t>
            </w:r>
          </w:p>
          <w:p w14:paraId="08961EAD">
            <w:pPr>
              <w:pStyle w:val="9"/>
              <w:spacing w:before="162" w:line="227" w:lineRule="auto"/>
              <w:ind w:left="113"/>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监督管理部门：广西壮族自治区财政厅政府采购监督管理处</w:t>
            </w:r>
          </w:p>
          <w:p w14:paraId="5208068D">
            <w:pPr>
              <w:pStyle w:val="9"/>
              <w:spacing w:before="162" w:line="227" w:lineRule="auto"/>
              <w:ind w:left="11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电话：0771-5331544</w:t>
            </w:r>
          </w:p>
        </w:tc>
      </w:tr>
      <w:tr w14:paraId="17150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61" w:type="dxa"/>
            <w:vAlign w:val="center"/>
          </w:tcPr>
          <w:p w14:paraId="35FF9404">
            <w:pPr>
              <w:pStyle w:val="9"/>
              <w:spacing w:before="65" w:line="268" w:lineRule="exact"/>
              <w:ind w:left="78" w:leftChars="0" w:hanging="78" w:hangingChars="37"/>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position w:val="1"/>
                <w:sz w:val="21"/>
                <w:szCs w:val="21"/>
              </w:rPr>
              <w:t>32.1</w:t>
            </w:r>
          </w:p>
        </w:tc>
        <w:tc>
          <w:tcPr>
            <w:tcW w:w="8316" w:type="dxa"/>
            <w:vAlign w:val="top"/>
          </w:tcPr>
          <w:p w14:paraId="60AE0249">
            <w:pPr>
              <w:pStyle w:val="9"/>
              <w:spacing w:before="36" w:line="360" w:lineRule="auto"/>
              <w:ind w:left="210" w:left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1.采购代理费支付方式：</w:t>
            </w:r>
          </w:p>
          <w:p w14:paraId="4FAD8A1B">
            <w:pPr>
              <w:pStyle w:val="9"/>
              <w:spacing w:before="162" w:line="360" w:lineRule="auto"/>
              <w:ind w:left="210" w:left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pacing w:val="9"/>
                <w:sz w:val="21"/>
                <w:szCs w:val="21"/>
              </w:rPr>
              <w:t>☑本项目代理服务费由</w:t>
            </w:r>
            <w:r>
              <w:rPr>
                <w:rFonts w:hint="eastAsia" w:asciiTheme="minorEastAsia" w:hAnsiTheme="minorEastAsia" w:eastAsiaTheme="minorEastAsia" w:cstheme="minorEastAsia"/>
                <w:color w:val="auto"/>
                <w:spacing w:val="9"/>
                <w:sz w:val="21"/>
                <w:szCs w:val="21"/>
                <w:u w:val="single" w:color="auto"/>
              </w:rPr>
              <w:t>成交供应商</w:t>
            </w:r>
            <w:r>
              <w:rPr>
                <w:rFonts w:hint="eastAsia" w:asciiTheme="minorEastAsia" w:hAnsiTheme="minorEastAsia" w:eastAsiaTheme="minorEastAsia" w:cstheme="minorEastAsia"/>
                <w:color w:val="auto"/>
                <w:spacing w:val="9"/>
                <w:sz w:val="21"/>
                <w:szCs w:val="21"/>
                <w:u w:val="none" w:color="auto"/>
                <w:lang w:val="en-US" w:eastAsia="zh-CN"/>
              </w:rPr>
              <w:t>在</w:t>
            </w:r>
            <w:r>
              <w:rPr>
                <w:rFonts w:hint="eastAsia" w:asciiTheme="minorEastAsia" w:hAnsiTheme="minorEastAsia" w:eastAsiaTheme="minorEastAsia" w:cstheme="minorEastAsia"/>
                <w:color w:val="auto"/>
                <w:spacing w:val="9"/>
                <w:sz w:val="21"/>
                <w:szCs w:val="21"/>
              </w:rPr>
              <w:t>领取成交通知书前，一次性向采购代理机构支付</w:t>
            </w:r>
            <w:r>
              <w:rPr>
                <w:rFonts w:hint="eastAsia" w:asciiTheme="minorEastAsia" w:hAnsiTheme="minorEastAsia" w:eastAsiaTheme="minorEastAsia" w:cstheme="minorEastAsia"/>
                <w:color w:val="auto"/>
                <w:spacing w:val="9"/>
                <w:sz w:val="21"/>
                <w:szCs w:val="21"/>
                <w:lang w:eastAsia="zh-CN"/>
              </w:rPr>
              <w:t>。</w:t>
            </w:r>
          </w:p>
          <w:p w14:paraId="464C64BD">
            <w:pPr>
              <w:pStyle w:val="9"/>
              <w:spacing w:before="162" w:line="360" w:lineRule="auto"/>
              <w:ind w:left="210" w:left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□采购人支付。</w:t>
            </w:r>
          </w:p>
          <w:p w14:paraId="1E011D9B">
            <w:pPr>
              <w:pStyle w:val="9"/>
              <w:spacing w:before="162" w:line="360" w:lineRule="auto"/>
              <w:ind w:left="210" w:left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2.采购代理费收取标准：</w:t>
            </w:r>
          </w:p>
          <w:p w14:paraId="7526EEA2">
            <w:pPr>
              <w:pStyle w:val="9"/>
              <w:spacing w:before="162" w:line="360" w:lineRule="auto"/>
              <w:ind w:left="210" w:leftChars="100" w:right="108" w:firstLine="5"/>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☑以分标</w:t>
            </w:r>
            <w:r>
              <w:rPr>
                <w:rFonts w:hint="eastAsia" w:asciiTheme="minorEastAsia" w:hAnsiTheme="minorEastAsia" w:eastAsiaTheme="minorEastAsia" w:cstheme="minorEastAsia"/>
                <w:color w:val="auto"/>
                <w:spacing w:val="7"/>
                <w:sz w:val="21"/>
                <w:szCs w:val="21"/>
                <w:lang w:eastAsia="zh-CN"/>
              </w:rPr>
              <w:t>（</w:t>
            </w:r>
            <w:r>
              <w:rPr>
                <w:rFonts w:hint="eastAsia" w:asciiTheme="minorEastAsia" w:hAnsiTheme="minorEastAsia" w:eastAsiaTheme="minorEastAsia" w:cstheme="minorEastAsia"/>
                <w:color w:val="auto"/>
                <w:spacing w:val="7"/>
                <w:sz w:val="21"/>
                <w:szCs w:val="21"/>
              </w:rPr>
              <w:t>☑成交金额/□采购预算/□暂定成交</w:t>
            </w:r>
            <w:r>
              <w:rPr>
                <w:rFonts w:hint="eastAsia" w:asciiTheme="minorEastAsia" w:hAnsiTheme="minorEastAsia" w:eastAsiaTheme="minorEastAsia" w:cstheme="minorEastAsia"/>
                <w:color w:val="auto"/>
                <w:spacing w:val="6"/>
                <w:sz w:val="21"/>
                <w:szCs w:val="21"/>
              </w:rPr>
              <w:t>金额/□其他</w:t>
            </w:r>
            <w:r>
              <w:rPr>
                <w:rFonts w:hint="eastAsia" w:asciiTheme="minorEastAsia" w:hAnsiTheme="minorEastAsia" w:eastAsiaTheme="minorEastAsia" w:cstheme="minorEastAsia"/>
                <w:color w:val="auto"/>
                <w:spacing w:val="-99"/>
                <w:sz w:val="21"/>
                <w:szCs w:val="21"/>
              </w:rPr>
              <w:t xml:space="preserve"> </w:t>
            </w:r>
            <w:r>
              <w:rPr>
                <w:rFonts w:hint="eastAsia" w:asciiTheme="minorEastAsia" w:hAnsiTheme="minorEastAsia" w:eastAsiaTheme="minorEastAsia" w:cstheme="minorEastAsia"/>
                <w:color w:val="auto"/>
                <w:spacing w:val="5"/>
                <w:sz w:val="21"/>
                <w:szCs w:val="21"/>
                <w:u w:val="single" w:color="auto"/>
              </w:rPr>
              <w:t xml:space="preserve">   </w:t>
            </w:r>
            <w:r>
              <w:rPr>
                <w:rFonts w:hint="eastAsia" w:asciiTheme="minorEastAsia" w:hAnsiTheme="minorEastAsia" w:eastAsiaTheme="minorEastAsia" w:cstheme="minorEastAsia"/>
                <w:color w:val="auto"/>
                <w:spacing w:val="-69"/>
                <w:sz w:val="21"/>
                <w:szCs w:val="21"/>
              </w:rPr>
              <w:t xml:space="preserve"> </w:t>
            </w:r>
            <w:r>
              <w:rPr>
                <w:rFonts w:hint="eastAsia" w:asciiTheme="minorEastAsia" w:hAnsiTheme="minorEastAsia" w:eastAsiaTheme="minorEastAsia" w:cstheme="minorEastAsia"/>
                <w:color w:val="auto"/>
                <w:spacing w:val="6"/>
                <w:sz w:val="21"/>
                <w:szCs w:val="21"/>
              </w:rPr>
              <w:t>）为计费额，按本须</w:t>
            </w:r>
            <w:r>
              <w:rPr>
                <w:rFonts w:hint="eastAsia" w:asciiTheme="minorEastAsia" w:hAnsiTheme="minorEastAsia" w:eastAsiaTheme="minorEastAsia" w:cstheme="minorEastAsia"/>
                <w:color w:val="auto"/>
                <w:spacing w:val="9"/>
                <w:sz w:val="21"/>
                <w:szCs w:val="21"/>
              </w:rPr>
              <w:t>知正文第</w:t>
            </w:r>
            <w:r>
              <w:rPr>
                <w:rFonts w:hint="eastAsia" w:asciiTheme="minorEastAsia" w:hAnsiTheme="minorEastAsia" w:eastAsiaTheme="minorEastAsia" w:cstheme="minorEastAsia"/>
                <w:color w:val="auto"/>
                <w:spacing w:val="-31"/>
                <w:sz w:val="21"/>
                <w:szCs w:val="21"/>
              </w:rPr>
              <w:t xml:space="preserve"> </w:t>
            </w:r>
            <w:r>
              <w:rPr>
                <w:rFonts w:hint="eastAsia" w:asciiTheme="minorEastAsia" w:hAnsiTheme="minorEastAsia" w:eastAsiaTheme="minorEastAsia" w:cstheme="minorEastAsia"/>
                <w:color w:val="auto"/>
                <w:spacing w:val="9"/>
                <w:sz w:val="21"/>
                <w:szCs w:val="21"/>
              </w:rPr>
              <w:t>32.2</w:t>
            </w:r>
            <w:r>
              <w:rPr>
                <w:rFonts w:hint="eastAsia" w:asciiTheme="minorEastAsia" w:hAnsiTheme="minorEastAsia" w:eastAsiaTheme="minorEastAsia" w:cstheme="minorEastAsia"/>
                <w:color w:val="auto"/>
                <w:spacing w:val="-36"/>
                <w:sz w:val="21"/>
                <w:szCs w:val="21"/>
              </w:rPr>
              <w:t xml:space="preserve"> </w:t>
            </w:r>
            <w:r>
              <w:rPr>
                <w:rFonts w:hint="eastAsia" w:asciiTheme="minorEastAsia" w:hAnsiTheme="minorEastAsia" w:eastAsiaTheme="minorEastAsia" w:cstheme="minorEastAsia"/>
                <w:color w:val="auto"/>
                <w:spacing w:val="9"/>
                <w:sz w:val="21"/>
                <w:szCs w:val="21"/>
              </w:rPr>
              <w:t xml:space="preserve">条规定的收费计算标准 </w:t>
            </w:r>
            <w:r>
              <w:rPr>
                <w:rFonts w:hint="eastAsia" w:asciiTheme="minorEastAsia" w:hAnsiTheme="minorEastAsia" w:eastAsiaTheme="minorEastAsia" w:cstheme="minorEastAsia"/>
                <w:color w:val="auto"/>
                <w:spacing w:val="9"/>
                <w:sz w:val="21"/>
                <w:szCs w:val="21"/>
                <w:lang w:eastAsia="zh-CN"/>
              </w:rPr>
              <w:t>（</w:t>
            </w:r>
            <w:r>
              <w:rPr>
                <w:rFonts w:hint="eastAsia" w:asciiTheme="minorEastAsia" w:hAnsiTheme="minorEastAsia" w:eastAsiaTheme="minorEastAsia" w:cstheme="minorEastAsia"/>
                <w:color w:val="auto"/>
                <w:spacing w:val="9"/>
                <w:sz w:val="21"/>
                <w:szCs w:val="21"/>
              </w:rPr>
              <w:t>□货物类/☑服务类/□工程类）采用差额定</w:t>
            </w:r>
            <w:r>
              <w:rPr>
                <w:rFonts w:hint="eastAsia" w:asciiTheme="minorEastAsia" w:hAnsiTheme="minorEastAsia" w:eastAsiaTheme="minorEastAsia" w:cstheme="minorEastAsia"/>
                <w:color w:val="auto"/>
                <w:spacing w:val="12"/>
                <w:sz w:val="21"/>
                <w:szCs w:val="21"/>
              </w:rPr>
              <w:t xml:space="preserve">率累进法计算出收费基准价格，采购代理收费以 </w:t>
            </w:r>
            <w:r>
              <w:rPr>
                <w:rFonts w:hint="eastAsia" w:asciiTheme="minorEastAsia" w:hAnsiTheme="minorEastAsia" w:eastAsiaTheme="minorEastAsia" w:cstheme="minorEastAsia"/>
                <w:color w:val="auto"/>
                <w:spacing w:val="12"/>
                <w:sz w:val="21"/>
                <w:szCs w:val="21"/>
                <w:lang w:eastAsia="zh-CN"/>
              </w:rPr>
              <w:t>（□</w:t>
            </w:r>
            <w:r>
              <w:rPr>
                <w:rFonts w:hint="eastAsia" w:asciiTheme="minorEastAsia" w:hAnsiTheme="minorEastAsia" w:eastAsiaTheme="minorEastAsia" w:cstheme="minorEastAsia"/>
                <w:color w:val="auto"/>
                <w:spacing w:val="12"/>
                <w:sz w:val="21"/>
                <w:szCs w:val="21"/>
              </w:rPr>
              <w:t>收费基准价格/</w:t>
            </w:r>
            <w:r>
              <w:rPr>
                <w:rFonts w:hint="eastAsia" w:asciiTheme="minorEastAsia" w:hAnsiTheme="minorEastAsia" w:eastAsiaTheme="minorEastAsia" w:cstheme="minorEastAsia"/>
                <w:color w:val="auto"/>
                <w:spacing w:val="12"/>
                <w:sz w:val="21"/>
                <w:szCs w:val="21"/>
                <w:lang w:eastAsia="zh-CN"/>
              </w:rPr>
              <w:t>☑</w:t>
            </w:r>
            <w:r>
              <w:rPr>
                <w:rFonts w:hint="eastAsia" w:asciiTheme="minorEastAsia" w:hAnsiTheme="minorEastAsia" w:eastAsiaTheme="minorEastAsia" w:cstheme="minorEastAsia"/>
                <w:color w:val="auto"/>
                <w:spacing w:val="12"/>
                <w:sz w:val="21"/>
                <w:szCs w:val="21"/>
              </w:rPr>
              <w:t>收费基准价格</w:t>
            </w:r>
            <w:r>
              <w:rPr>
                <w:rFonts w:hint="eastAsia" w:asciiTheme="minorEastAsia" w:hAnsiTheme="minorEastAsia" w:eastAsiaTheme="minorEastAsia" w:cstheme="minorEastAsia"/>
                <w:color w:val="auto"/>
                <w:spacing w:val="7"/>
                <w:sz w:val="21"/>
                <w:szCs w:val="21"/>
              </w:rPr>
              <w:t>下浮</w:t>
            </w:r>
            <w:r>
              <w:rPr>
                <w:rFonts w:hint="eastAsia" w:asciiTheme="minorEastAsia" w:hAnsiTheme="minorEastAsia" w:eastAsiaTheme="minorEastAsia" w:cstheme="minorEastAsia"/>
                <w:color w:val="auto"/>
                <w:spacing w:val="7"/>
                <w:sz w:val="21"/>
                <w:szCs w:val="21"/>
                <w:u w:val="single" w:color="auto"/>
              </w:rPr>
              <w:t xml:space="preserve"> </w:t>
            </w:r>
            <w:r>
              <w:rPr>
                <w:rFonts w:hint="eastAsia" w:asciiTheme="minorEastAsia" w:hAnsiTheme="minorEastAsia" w:eastAsiaTheme="minorEastAsia" w:cstheme="minorEastAsia"/>
                <w:color w:val="auto"/>
                <w:spacing w:val="7"/>
                <w:sz w:val="21"/>
                <w:szCs w:val="21"/>
                <w:u w:val="single" w:color="auto"/>
                <w:lang w:val="en-US" w:eastAsia="zh-CN"/>
              </w:rPr>
              <w:t>40</w:t>
            </w:r>
            <w:r>
              <w:rPr>
                <w:rFonts w:hint="eastAsia" w:asciiTheme="minorEastAsia" w:hAnsiTheme="minorEastAsia" w:eastAsiaTheme="minorEastAsia" w:cstheme="minorEastAsia"/>
                <w:color w:val="auto"/>
                <w:spacing w:val="7"/>
                <w:sz w:val="21"/>
                <w:szCs w:val="21"/>
                <w:u w:val="single" w:color="auto"/>
              </w:rPr>
              <w:t xml:space="preserve"> %</w:t>
            </w:r>
            <w:r>
              <w:rPr>
                <w:rFonts w:hint="eastAsia" w:asciiTheme="minorEastAsia" w:hAnsiTheme="minorEastAsia" w:eastAsiaTheme="minorEastAsia" w:cstheme="minorEastAsia"/>
                <w:color w:val="auto"/>
                <w:spacing w:val="7"/>
                <w:sz w:val="21"/>
                <w:szCs w:val="21"/>
              </w:rPr>
              <w:t>/□收费基准价格上浮</w:t>
            </w:r>
            <w:r>
              <w:rPr>
                <w:rFonts w:hint="eastAsia" w:asciiTheme="minorEastAsia" w:hAnsiTheme="minorEastAsia" w:eastAsiaTheme="minorEastAsia" w:cstheme="minorEastAsia"/>
                <w:color w:val="auto"/>
                <w:spacing w:val="7"/>
                <w:sz w:val="21"/>
                <w:szCs w:val="21"/>
                <w:u w:val="single" w:color="auto"/>
              </w:rPr>
              <w:t xml:space="preserve">   %</w:t>
            </w:r>
            <w:r>
              <w:rPr>
                <w:rFonts w:hint="eastAsia" w:asciiTheme="minorEastAsia" w:hAnsiTheme="minorEastAsia" w:eastAsiaTheme="minorEastAsia" w:cstheme="minorEastAsia"/>
                <w:color w:val="auto"/>
                <w:spacing w:val="7"/>
                <w:sz w:val="21"/>
                <w:szCs w:val="21"/>
              </w:rPr>
              <w:t>）收取。</w:t>
            </w:r>
          </w:p>
          <w:p w14:paraId="525477D5">
            <w:pPr>
              <w:pStyle w:val="9"/>
              <w:spacing w:before="5" w:line="360" w:lineRule="auto"/>
              <w:ind w:left="210" w:left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5"/>
                <w:sz w:val="21"/>
                <w:szCs w:val="21"/>
              </w:rPr>
              <w:t>□固定采购代理收费</w:t>
            </w:r>
            <w:r>
              <w:rPr>
                <w:rFonts w:hint="eastAsia" w:asciiTheme="minorEastAsia" w:hAnsiTheme="minorEastAsia" w:eastAsiaTheme="minorEastAsia" w:cstheme="minorEastAsia"/>
                <w:color w:val="auto"/>
                <w:sz w:val="21"/>
                <w:szCs w:val="21"/>
                <w:u w:val="single" w:color="auto"/>
              </w:rPr>
              <w:t xml:space="preserve">               </w:t>
            </w:r>
            <w:r>
              <w:rPr>
                <w:rFonts w:hint="eastAsia" w:asciiTheme="minorEastAsia" w:hAnsiTheme="minorEastAsia" w:eastAsiaTheme="minorEastAsia" w:cstheme="minorEastAsia"/>
                <w:color w:val="auto"/>
                <w:spacing w:val="5"/>
                <w:sz w:val="21"/>
                <w:szCs w:val="21"/>
                <w:u w:val="single" w:color="auto"/>
              </w:rPr>
              <w:t>。</w:t>
            </w:r>
          </w:p>
          <w:p w14:paraId="0F391442">
            <w:pPr>
              <w:pStyle w:val="9"/>
              <w:spacing w:before="162" w:line="360" w:lineRule="auto"/>
              <w:ind w:left="210" w:leftChars="100"/>
              <w:rPr>
                <w:rFonts w:hint="eastAsia" w:asciiTheme="minorEastAsia" w:hAnsiTheme="minorEastAsia" w:eastAsiaTheme="minorEastAsia" w:cstheme="minorEastAsia"/>
                <w:color w:val="auto"/>
                <w:spacing w:val="7"/>
                <w:sz w:val="21"/>
                <w:szCs w:val="21"/>
              </w:rPr>
            </w:pPr>
            <w:r>
              <w:rPr>
                <w:rFonts w:hint="eastAsia" w:asciiTheme="minorEastAsia" w:hAnsiTheme="minorEastAsia" w:eastAsiaTheme="minorEastAsia" w:cstheme="minorEastAsia"/>
                <w:color w:val="auto"/>
                <w:spacing w:val="7"/>
                <w:sz w:val="21"/>
                <w:szCs w:val="21"/>
              </w:rPr>
              <w:t>3. 采购代理费收取银行账户</w:t>
            </w:r>
          </w:p>
          <w:p w14:paraId="64A18671">
            <w:pPr>
              <w:pStyle w:val="3"/>
              <w:snapToGrid w:val="0"/>
              <w:spacing w:line="360" w:lineRule="auto"/>
              <w:ind w:leftChars="1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开户名</w:t>
            </w:r>
            <w:r>
              <w:rPr>
                <w:rFonts w:hint="eastAsia" w:asciiTheme="minorEastAsia" w:hAnsiTheme="minorEastAsia" w:eastAsiaTheme="minorEastAsia" w:cstheme="minorEastAsia"/>
                <w:color w:val="auto"/>
                <w:sz w:val="21"/>
                <w:szCs w:val="21"/>
                <w:highlight w:val="none"/>
                <w:lang w:eastAsia="zh-CN"/>
              </w:rPr>
              <w:t>称：广西冠宁工程咨询有限公司南宁第一分公司</w:t>
            </w:r>
          </w:p>
          <w:p w14:paraId="34487926">
            <w:pPr>
              <w:pStyle w:val="3"/>
              <w:snapToGrid w:val="0"/>
              <w:spacing w:line="360" w:lineRule="auto"/>
              <w:ind w:left="0" w:leftChars="0" w:firstLine="210" w:firstLineChars="1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开户银行：</w:t>
            </w:r>
            <w:r>
              <w:rPr>
                <w:rFonts w:hint="eastAsia" w:asciiTheme="minorEastAsia" w:hAnsiTheme="minorEastAsia" w:eastAsiaTheme="minorEastAsia" w:cstheme="minorEastAsia"/>
                <w:color w:val="auto"/>
                <w:sz w:val="21"/>
                <w:szCs w:val="21"/>
                <w:highlight w:val="none"/>
                <w:lang w:val="en-US" w:eastAsia="zh-CN"/>
              </w:rPr>
              <w:t>中国银行股份有限公司南宁市桃源路支行</w:t>
            </w:r>
          </w:p>
          <w:p w14:paraId="7B3442A4">
            <w:pPr>
              <w:pStyle w:val="3"/>
              <w:snapToGrid w:val="0"/>
              <w:spacing w:line="360" w:lineRule="auto"/>
              <w:ind w:leftChars="100"/>
              <w:rPr>
                <w:rFonts w:hint="eastAsia" w:asciiTheme="minorEastAsia" w:hAnsiTheme="minorEastAsia" w:eastAsiaTheme="minorEastAsia" w:cstheme="minorEastAsia"/>
                <w:color w:val="auto"/>
                <w:spacing w:val="7"/>
                <w:sz w:val="21"/>
                <w:szCs w:val="21"/>
              </w:rPr>
            </w:pPr>
            <w:r>
              <w:rPr>
                <w:rFonts w:hint="eastAsia" w:asciiTheme="minorEastAsia" w:hAnsiTheme="minorEastAsia" w:eastAsiaTheme="minorEastAsia" w:cstheme="minorEastAsia"/>
                <w:color w:val="auto"/>
                <w:sz w:val="21"/>
                <w:szCs w:val="21"/>
                <w:highlight w:val="none"/>
                <w:lang w:eastAsia="zh-CN"/>
              </w:rPr>
              <w:t>银行账号：</w:t>
            </w:r>
            <w:r>
              <w:rPr>
                <w:rFonts w:hint="eastAsia" w:asciiTheme="minorEastAsia" w:hAnsiTheme="minorEastAsia" w:eastAsiaTheme="minorEastAsia" w:cstheme="minorEastAsia"/>
                <w:color w:val="auto"/>
                <w:sz w:val="21"/>
                <w:szCs w:val="21"/>
                <w:highlight w:val="none"/>
                <w:lang w:val="en-US" w:eastAsia="zh-CN"/>
              </w:rPr>
              <w:t>626290079129</w:t>
            </w:r>
          </w:p>
        </w:tc>
      </w:tr>
      <w:tr w14:paraId="315AB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3" w:hRule="atLeast"/>
          <w:jc w:val="center"/>
        </w:trPr>
        <w:tc>
          <w:tcPr>
            <w:tcW w:w="961" w:type="dxa"/>
            <w:vAlign w:val="top"/>
          </w:tcPr>
          <w:p w14:paraId="44119B72">
            <w:pPr>
              <w:spacing w:line="250" w:lineRule="auto"/>
              <w:rPr>
                <w:rFonts w:hint="eastAsia" w:asciiTheme="minorEastAsia" w:hAnsiTheme="minorEastAsia" w:eastAsiaTheme="minorEastAsia" w:cstheme="minorEastAsia"/>
                <w:color w:val="auto"/>
                <w:sz w:val="21"/>
                <w:szCs w:val="21"/>
              </w:rPr>
            </w:pPr>
          </w:p>
          <w:p w14:paraId="09B50680">
            <w:pPr>
              <w:spacing w:line="250" w:lineRule="auto"/>
              <w:rPr>
                <w:rFonts w:hint="eastAsia" w:asciiTheme="minorEastAsia" w:hAnsiTheme="minorEastAsia" w:eastAsiaTheme="minorEastAsia" w:cstheme="minorEastAsia"/>
                <w:color w:val="auto"/>
                <w:sz w:val="21"/>
                <w:szCs w:val="21"/>
              </w:rPr>
            </w:pPr>
          </w:p>
          <w:p w14:paraId="6C554798">
            <w:pPr>
              <w:spacing w:line="250" w:lineRule="auto"/>
              <w:rPr>
                <w:rFonts w:hint="eastAsia" w:asciiTheme="minorEastAsia" w:hAnsiTheme="minorEastAsia" w:eastAsiaTheme="minorEastAsia" w:cstheme="minorEastAsia"/>
                <w:color w:val="auto"/>
                <w:sz w:val="21"/>
                <w:szCs w:val="21"/>
              </w:rPr>
            </w:pPr>
          </w:p>
          <w:p w14:paraId="1E0F1475">
            <w:pPr>
              <w:spacing w:line="251" w:lineRule="auto"/>
              <w:rPr>
                <w:rFonts w:hint="eastAsia" w:asciiTheme="minorEastAsia" w:hAnsiTheme="minorEastAsia" w:eastAsiaTheme="minorEastAsia" w:cstheme="minorEastAsia"/>
                <w:color w:val="auto"/>
                <w:sz w:val="21"/>
                <w:szCs w:val="21"/>
              </w:rPr>
            </w:pPr>
          </w:p>
          <w:p w14:paraId="0B959127">
            <w:pPr>
              <w:spacing w:line="251" w:lineRule="auto"/>
              <w:rPr>
                <w:rFonts w:hint="eastAsia" w:asciiTheme="minorEastAsia" w:hAnsiTheme="minorEastAsia" w:eastAsiaTheme="minorEastAsia" w:cstheme="minorEastAsia"/>
                <w:color w:val="auto"/>
                <w:sz w:val="21"/>
                <w:szCs w:val="21"/>
              </w:rPr>
            </w:pPr>
          </w:p>
          <w:p w14:paraId="4767589E">
            <w:pPr>
              <w:pStyle w:val="9"/>
              <w:spacing w:before="65" w:line="268" w:lineRule="exact"/>
              <w:ind w:left="29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position w:val="1"/>
                <w:sz w:val="21"/>
                <w:szCs w:val="21"/>
              </w:rPr>
              <w:t>33.1</w:t>
            </w:r>
          </w:p>
        </w:tc>
        <w:tc>
          <w:tcPr>
            <w:tcW w:w="8316" w:type="dxa"/>
            <w:vAlign w:val="top"/>
          </w:tcPr>
          <w:p w14:paraId="1051E4B4">
            <w:pPr>
              <w:pStyle w:val="9"/>
              <w:spacing w:before="32" w:line="372" w:lineRule="auto"/>
              <w:ind w:left="111" w:right="108" w:firstLine="226" w:firstLineChars="1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8"/>
                <w:sz w:val="21"/>
                <w:szCs w:val="21"/>
              </w:rPr>
              <w:t>解释：构成本磋商文件的各个组成文件应互为解释，互</w:t>
            </w:r>
            <w:r>
              <w:rPr>
                <w:rFonts w:hint="eastAsia" w:asciiTheme="minorEastAsia" w:hAnsiTheme="minorEastAsia" w:eastAsiaTheme="minorEastAsia" w:cstheme="minorEastAsia"/>
                <w:color w:val="auto"/>
                <w:spacing w:val="7"/>
                <w:sz w:val="21"/>
                <w:szCs w:val="21"/>
              </w:rPr>
              <w:t>为说明；除磋商文件中有特别</w:t>
            </w:r>
            <w:r>
              <w:rPr>
                <w:rFonts w:hint="eastAsia" w:asciiTheme="minorEastAsia" w:hAnsiTheme="minorEastAsia" w:eastAsiaTheme="minorEastAsia" w:cstheme="minorEastAsia"/>
                <w:color w:val="auto"/>
                <w:spacing w:val="8"/>
                <w:sz w:val="21"/>
                <w:szCs w:val="21"/>
              </w:rPr>
              <w:t>规定外，仅适用于竞标阶段的规定，按更正公告（澄清公告</w:t>
            </w:r>
            <w:r>
              <w:rPr>
                <w:rFonts w:hint="eastAsia" w:asciiTheme="minorEastAsia" w:hAnsiTheme="minorEastAsia" w:eastAsiaTheme="minorEastAsia" w:cstheme="minorEastAsia"/>
                <w:color w:val="auto"/>
                <w:spacing w:val="7"/>
                <w:sz w:val="21"/>
                <w:szCs w:val="21"/>
              </w:rPr>
              <w:t>）、竞争性磋商公告、供</w:t>
            </w:r>
            <w:r>
              <w:rPr>
                <w:rFonts w:hint="eastAsia" w:asciiTheme="minorEastAsia" w:hAnsiTheme="minorEastAsia" w:eastAsiaTheme="minorEastAsia" w:cstheme="minorEastAsia"/>
                <w:color w:val="auto"/>
                <w:spacing w:val="8"/>
                <w:sz w:val="21"/>
                <w:szCs w:val="21"/>
              </w:rPr>
              <w:t>应商须知、采购需求、评审程序、评审方法和评审标准、响</w:t>
            </w:r>
            <w:r>
              <w:rPr>
                <w:rFonts w:hint="eastAsia" w:asciiTheme="minorEastAsia" w:hAnsiTheme="minorEastAsia" w:eastAsiaTheme="minorEastAsia" w:cstheme="minorEastAsia"/>
                <w:color w:val="auto"/>
                <w:spacing w:val="7"/>
                <w:sz w:val="21"/>
                <w:szCs w:val="21"/>
              </w:rPr>
              <w:t>应文件格式、合同文本的</w:t>
            </w:r>
            <w:r>
              <w:rPr>
                <w:rFonts w:hint="eastAsia" w:asciiTheme="minorEastAsia" w:hAnsiTheme="minorEastAsia" w:eastAsiaTheme="minorEastAsia" w:cstheme="minorEastAsia"/>
                <w:color w:val="auto"/>
                <w:spacing w:val="8"/>
                <w:sz w:val="21"/>
                <w:szCs w:val="21"/>
              </w:rPr>
              <w:t>先后顺序解释；同一组成文件中就同一事项的规定或者</w:t>
            </w:r>
            <w:r>
              <w:rPr>
                <w:rFonts w:hint="eastAsia" w:asciiTheme="minorEastAsia" w:hAnsiTheme="minorEastAsia" w:eastAsiaTheme="minorEastAsia" w:cstheme="minorEastAsia"/>
                <w:color w:val="auto"/>
                <w:spacing w:val="7"/>
                <w:sz w:val="21"/>
                <w:szCs w:val="21"/>
              </w:rPr>
              <w:t>约定不一致的，以编排顺序在</w:t>
            </w:r>
            <w:r>
              <w:rPr>
                <w:rFonts w:hint="eastAsia" w:asciiTheme="minorEastAsia" w:hAnsiTheme="minorEastAsia" w:eastAsiaTheme="minorEastAsia" w:cstheme="minorEastAsia"/>
                <w:color w:val="auto"/>
                <w:spacing w:val="8"/>
                <w:sz w:val="21"/>
                <w:szCs w:val="21"/>
              </w:rPr>
              <w:t>后者为准；同一组成文件不同版本之间有不一致的，以</w:t>
            </w:r>
            <w:r>
              <w:rPr>
                <w:rFonts w:hint="eastAsia" w:asciiTheme="minorEastAsia" w:hAnsiTheme="minorEastAsia" w:eastAsiaTheme="minorEastAsia" w:cstheme="minorEastAsia"/>
                <w:color w:val="auto"/>
                <w:spacing w:val="7"/>
                <w:sz w:val="21"/>
                <w:szCs w:val="21"/>
              </w:rPr>
              <w:t>形成时间在后者为准；更正公</w:t>
            </w:r>
            <w:r>
              <w:rPr>
                <w:rFonts w:hint="eastAsia" w:asciiTheme="minorEastAsia" w:hAnsiTheme="minorEastAsia" w:eastAsiaTheme="minorEastAsia" w:cstheme="minorEastAsia"/>
                <w:color w:val="auto"/>
                <w:spacing w:val="8"/>
                <w:sz w:val="21"/>
                <w:szCs w:val="21"/>
              </w:rPr>
              <w:t>告（澄清公告）与同步更新的磋商文件不一致时以更正</w:t>
            </w:r>
            <w:r>
              <w:rPr>
                <w:rFonts w:hint="eastAsia" w:asciiTheme="minorEastAsia" w:hAnsiTheme="minorEastAsia" w:eastAsiaTheme="minorEastAsia" w:cstheme="minorEastAsia"/>
                <w:color w:val="auto"/>
                <w:spacing w:val="7"/>
                <w:sz w:val="21"/>
                <w:szCs w:val="21"/>
              </w:rPr>
              <w:t>公告（澄清公告）为准。按本</w:t>
            </w:r>
            <w:r>
              <w:rPr>
                <w:rFonts w:hint="eastAsia" w:asciiTheme="minorEastAsia" w:hAnsiTheme="minorEastAsia" w:eastAsiaTheme="minorEastAsia" w:cstheme="minorEastAsia"/>
                <w:color w:val="auto"/>
                <w:spacing w:val="8"/>
                <w:sz w:val="21"/>
                <w:szCs w:val="21"/>
              </w:rPr>
              <w:t>款前述规定仍不能形成结论的，</w:t>
            </w:r>
            <w:r>
              <w:rPr>
                <w:rFonts w:hint="eastAsia" w:asciiTheme="minorEastAsia" w:hAnsiTheme="minorEastAsia" w:eastAsiaTheme="minorEastAsia" w:cstheme="minorEastAsia"/>
                <w:color w:val="auto"/>
                <w:spacing w:val="-58"/>
                <w:sz w:val="21"/>
                <w:szCs w:val="21"/>
              </w:rPr>
              <w:t xml:space="preserve"> </w:t>
            </w:r>
            <w:r>
              <w:rPr>
                <w:rFonts w:hint="eastAsia" w:asciiTheme="minorEastAsia" w:hAnsiTheme="minorEastAsia" w:eastAsiaTheme="minorEastAsia" w:cstheme="minorEastAsia"/>
                <w:color w:val="auto"/>
                <w:spacing w:val="8"/>
                <w:sz w:val="21"/>
                <w:szCs w:val="21"/>
              </w:rPr>
              <w:t>由采购人或者采购代理机构负责解</w:t>
            </w:r>
            <w:r>
              <w:rPr>
                <w:rFonts w:hint="eastAsia" w:asciiTheme="minorEastAsia" w:hAnsiTheme="minorEastAsia" w:eastAsiaTheme="minorEastAsia" w:cstheme="minorEastAsia"/>
                <w:color w:val="auto"/>
                <w:spacing w:val="7"/>
                <w:sz w:val="21"/>
                <w:szCs w:val="21"/>
              </w:rPr>
              <w:t>释。</w:t>
            </w:r>
          </w:p>
        </w:tc>
      </w:tr>
      <w:tr w14:paraId="3E747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1" w:hRule="atLeast"/>
          <w:jc w:val="center"/>
        </w:trPr>
        <w:tc>
          <w:tcPr>
            <w:tcW w:w="961" w:type="dxa"/>
            <w:vAlign w:val="top"/>
          </w:tcPr>
          <w:p w14:paraId="00066553">
            <w:pPr>
              <w:spacing w:line="252" w:lineRule="auto"/>
              <w:rPr>
                <w:rFonts w:hint="eastAsia" w:asciiTheme="minorEastAsia" w:hAnsiTheme="minorEastAsia" w:eastAsiaTheme="minorEastAsia" w:cstheme="minorEastAsia"/>
                <w:color w:val="auto"/>
                <w:sz w:val="21"/>
                <w:szCs w:val="21"/>
              </w:rPr>
            </w:pPr>
          </w:p>
          <w:p w14:paraId="7549A3EE">
            <w:pPr>
              <w:spacing w:line="252" w:lineRule="auto"/>
              <w:rPr>
                <w:rFonts w:hint="eastAsia" w:asciiTheme="minorEastAsia" w:hAnsiTheme="minorEastAsia" w:eastAsiaTheme="minorEastAsia" w:cstheme="minorEastAsia"/>
                <w:color w:val="auto"/>
                <w:sz w:val="21"/>
                <w:szCs w:val="21"/>
              </w:rPr>
            </w:pPr>
          </w:p>
          <w:p w14:paraId="1EC58588">
            <w:pPr>
              <w:spacing w:line="252" w:lineRule="auto"/>
              <w:rPr>
                <w:rFonts w:hint="eastAsia" w:asciiTheme="minorEastAsia" w:hAnsiTheme="minorEastAsia" w:eastAsiaTheme="minorEastAsia" w:cstheme="minorEastAsia"/>
                <w:color w:val="auto"/>
                <w:sz w:val="21"/>
                <w:szCs w:val="21"/>
              </w:rPr>
            </w:pPr>
          </w:p>
          <w:p w14:paraId="6AD52D09">
            <w:pPr>
              <w:spacing w:line="252" w:lineRule="auto"/>
              <w:rPr>
                <w:rFonts w:hint="eastAsia" w:asciiTheme="minorEastAsia" w:hAnsiTheme="minorEastAsia" w:eastAsiaTheme="minorEastAsia" w:cstheme="minorEastAsia"/>
                <w:color w:val="auto"/>
                <w:sz w:val="21"/>
                <w:szCs w:val="21"/>
              </w:rPr>
            </w:pPr>
          </w:p>
          <w:p w14:paraId="17A35D0E">
            <w:pPr>
              <w:spacing w:line="253" w:lineRule="auto"/>
              <w:rPr>
                <w:rFonts w:hint="eastAsia" w:asciiTheme="minorEastAsia" w:hAnsiTheme="minorEastAsia" w:eastAsiaTheme="minorEastAsia" w:cstheme="minorEastAsia"/>
                <w:color w:val="auto"/>
                <w:sz w:val="21"/>
                <w:szCs w:val="21"/>
              </w:rPr>
            </w:pPr>
          </w:p>
          <w:p w14:paraId="51579DD7">
            <w:pPr>
              <w:spacing w:line="253" w:lineRule="auto"/>
              <w:rPr>
                <w:rFonts w:hint="eastAsia" w:asciiTheme="minorEastAsia" w:hAnsiTheme="minorEastAsia" w:eastAsiaTheme="minorEastAsia" w:cstheme="minorEastAsia"/>
                <w:color w:val="auto"/>
                <w:sz w:val="21"/>
                <w:szCs w:val="21"/>
              </w:rPr>
            </w:pPr>
          </w:p>
          <w:p w14:paraId="4BDB729A">
            <w:pPr>
              <w:spacing w:line="253" w:lineRule="auto"/>
              <w:rPr>
                <w:rFonts w:hint="eastAsia" w:asciiTheme="minorEastAsia" w:hAnsiTheme="minorEastAsia" w:eastAsiaTheme="minorEastAsia" w:cstheme="minorEastAsia"/>
                <w:color w:val="auto"/>
                <w:sz w:val="21"/>
                <w:szCs w:val="21"/>
              </w:rPr>
            </w:pPr>
          </w:p>
          <w:p w14:paraId="7314CF05">
            <w:pPr>
              <w:spacing w:line="253" w:lineRule="auto"/>
              <w:rPr>
                <w:rFonts w:hint="eastAsia" w:asciiTheme="minorEastAsia" w:hAnsiTheme="minorEastAsia" w:eastAsiaTheme="minorEastAsia" w:cstheme="minorEastAsia"/>
                <w:color w:val="auto"/>
                <w:sz w:val="21"/>
                <w:szCs w:val="21"/>
              </w:rPr>
            </w:pPr>
          </w:p>
          <w:p w14:paraId="765A56B3">
            <w:pPr>
              <w:spacing w:line="253" w:lineRule="auto"/>
              <w:rPr>
                <w:rFonts w:hint="eastAsia" w:asciiTheme="minorEastAsia" w:hAnsiTheme="minorEastAsia" w:eastAsiaTheme="minorEastAsia" w:cstheme="minorEastAsia"/>
                <w:color w:val="auto"/>
                <w:sz w:val="21"/>
                <w:szCs w:val="21"/>
              </w:rPr>
            </w:pPr>
          </w:p>
          <w:p w14:paraId="5EBE6CB2">
            <w:pPr>
              <w:spacing w:line="253" w:lineRule="auto"/>
              <w:rPr>
                <w:rFonts w:hint="eastAsia" w:asciiTheme="minorEastAsia" w:hAnsiTheme="minorEastAsia" w:eastAsiaTheme="minorEastAsia" w:cstheme="minorEastAsia"/>
                <w:color w:val="auto"/>
                <w:sz w:val="21"/>
                <w:szCs w:val="21"/>
              </w:rPr>
            </w:pPr>
          </w:p>
          <w:p w14:paraId="5F2DFEBB">
            <w:pPr>
              <w:spacing w:line="253" w:lineRule="auto"/>
              <w:rPr>
                <w:rFonts w:hint="eastAsia" w:asciiTheme="minorEastAsia" w:hAnsiTheme="minorEastAsia" w:eastAsiaTheme="minorEastAsia" w:cstheme="minorEastAsia"/>
                <w:color w:val="auto"/>
                <w:sz w:val="21"/>
                <w:szCs w:val="21"/>
              </w:rPr>
            </w:pPr>
          </w:p>
          <w:p w14:paraId="641BE8E4">
            <w:pPr>
              <w:spacing w:line="253" w:lineRule="auto"/>
              <w:rPr>
                <w:rFonts w:hint="eastAsia" w:asciiTheme="minorEastAsia" w:hAnsiTheme="minorEastAsia" w:eastAsiaTheme="minorEastAsia" w:cstheme="minorEastAsia"/>
                <w:color w:val="auto"/>
                <w:sz w:val="21"/>
                <w:szCs w:val="21"/>
              </w:rPr>
            </w:pPr>
          </w:p>
          <w:p w14:paraId="5C0064CF">
            <w:pPr>
              <w:spacing w:line="253" w:lineRule="auto"/>
              <w:rPr>
                <w:rFonts w:hint="eastAsia" w:asciiTheme="minorEastAsia" w:hAnsiTheme="minorEastAsia" w:eastAsiaTheme="minorEastAsia" w:cstheme="minorEastAsia"/>
                <w:color w:val="auto"/>
                <w:sz w:val="21"/>
                <w:szCs w:val="21"/>
              </w:rPr>
            </w:pPr>
          </w:p>
          <w:p w14:paraId="11527D1D">
            <w:pPr>
              <w:pStyle w:val="9"/>
              <w:spacing w:before="65" w:line="267" w:lineRule="exact"/>
              <w:ind w:left="29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position w:val="1"/>
                <w:sz w:val="21"/>
                <w:szCs w:val="21"/>
              </w:rPr>
              <w:t>33.2</w:t>
            </w:r>
          </w:p>
        </w:tc>
        <w:tc>
          <w:tcPr>
            <w:tcW w:w="8316" w:type="dxa"/>
            <w:vAlign w:val="top"/>
          </w:tcPr>
          <w:p w14:paraId="33EC870F">
            <w:pPr>
              <w:pStyle w:val="9"/>
              <w:spacing w:before="35" w:line="339" w:lineRule="auto"/>
              <w:ind w:left="210" w:leftChars="100" w:right="37" w:firstLine="1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1.本磋商文件中描述供应商的“公章</w:t>
            </w:r>
            <w:r>
              <w:rPr>
                <w:rFonts w:hint="eastAsia" w:asciiTheme="minorEastAsia" w:hAnsiTheme="minorEastAsia" w:eastAsiaTheme="minorEastAsia" w:cstheme="minorEastAsia"/>
                <w:color w:val="auto"/>
                <w:spacing w:val="-59"/>
                <w:sz w:val="21"/>
                <w:szCs w:val="21"/>
              </w:rPr>
              <w:t xml:space="preserve"> </w:t>
            </w:r>
            <w:r>
              <w:rPr>
                <w:rFonts w:hint="eastAsia" w:asciiTheme="minorEastAsia" w:hAnsiTheme="minorEastAsia" w:eastAsiaTheme="minorEastAsia" w:cstheme="minorEastAsia"/>
                <w:color w:val="auto"/>
                <w:spacing w:val="6"/>
                <w:sz w:val="21"/>
                <w:szCs w:val="21"/>
              </w:rPr>
              <w:t>”是指根据我国对公章的管理规定，用供应商法</w:t>
            </w:r>
            <w:r>
              <w:rPr>
                <w:rFonts w:hint="eastAsia" w:asciiTheme="minorEastAsia" w:hAnsiTheme="minorEastAsia" w:eastAsiaTheme="minorEastAsia" w:cstheme="minorEastAsia"/>
                <w:color w:val="auto"/>
                <w:spacing w:val="4"/>
                <w:sz w:val="21"/>
                <w:szCs w:val="21"/>
              </w:rPr>
              <w:t>定主体行为名称制作的印章，除本磋商文件有特殊规定外，供应商的财务章、部门章、</w:t>
            </w:r>
            <w:r>
              <w:rPr>
                <w:rFonts w:hint="eastAsia" w:asciiTheme="minorEastAsia" w:hAnsiTheme="minorEastAsia" w:eastAsiaTheme="minorEastAsia" w:cstheme="minorEastAsia"/>
                <w:color w:val="auto"/>
                <w:spacing w:val="10"/>
                <w:sz w:val="21"/>
                <w:szCs w:val="21"/>
              </w:rPr>
              <w:t>分公司章、工会章、合同章、竞标/投标专用章、</w:t>
            </w:r>
            <w:r>
              <w:rPr>
                <w:rFonts w:hint="eastAsia" w:asciiTheme="minorEastAsia" w:hAnsiTheme="minorEastAsia" w:eastAsiaTheme="minorEastAsia" w:cstheme="minorEastAsia"/>
                <w:color w:val="auto"/>
                <w:spacing w:val="10"/>
                <w:sz w:val="21"/>
                <w:szCs w:val="21"/>
                <w:lang w:val="en-US" w:eastAsia="zh-CN"/>
              </w:rPr>
              <w:t xml:space="preserve"> </w:t>
            </w:r>
            <w:r>
              <w:rPr>
                <w:rFonts w:hint="eastAsia" w:asciiTheme="minorEastAsia" w:hAnsiTheme="minorEastAsia" w:eastAsiaTheme="minorEastAsia" w:cstheme="minorEastAsia"/>
                <w:color w:val="auto"/>
                <w:spacing w:val="10"/>
                <w:sz w:val="21"/>
                <w:szCs w:val="21"/>
              </w:rPr>
              <w:t>业务专用章及银行的转账章、现金</w:t>
            </w:r>
            <w:r>
              <w:rPr>
                <w:rFonts w:hint="eastAsia" w:asciiTheme="minorEastAsia" w:hAnsiTheme="minorEastAsia" w:eastAsiaTheme="minorEastAsia" w:cstheme="minorEastAsia"/>
                <w:color w:val="auto"/>
                <w:spacing w:val="9"/>
                <w:sz w:val="21"/>
                <w:szCs w:val="21"/>
              </w:rPr>
              <w:t>收讫章、现金付讫章等其他形式印章均不能代替公章。</w:t>
            </w:r>
          </w:p>
          <w:p w14:paraId="256AF650">
            <w:pPr>
              <w:pStyle w:val="9"/>
              <w:spacing w:before="163" w:line="327" w:lineRule="auto"/>
              <w:ind w:left="211" w:leftChars="100" w:right="108" w:hanging="1"/>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2.本磋商文件所称的“</w:t>
            </w:r>
            <w:r>
              <w:rPr>
                <w:rFonts w:hint="eastAsia" w:asciiTheme="minorEastAsia" w:hAnsiTheme="minorEastAsia" w:eastAsiaTheme="minorEastAsia" w:cstheme="minorEastAsia"/>
                <w:color w:val="auto"/>
                <w:spacing w:val="-65"/>
                <w:sz w:val="21"/>
                <w:szCs w:val="21"/>
              </w:rPr>
              <w:t xml:space="preserve"> </w:t>
            </w:r>
            <w:r>
              <w:rPr>
                <w:rFonts w:hint="eastAsia" w:asciiTheme="minorEastAsia" w:hAnsiTheme="minorEastAsia" w:eastAsiaTheme="minorEastAsia" w:cstheme="minorEastAsia"/>
                <w:color w:val="auto"/>
                <w:spacing w:val="4"/>
                <w:sz w:val="21"/>
                <w:szCs w:val="21"/>
              </w:rPr>
              <w:t>电子签章</w:t>
            </w:r>
            <w:r>
              <w:rPr>
                <w:rFonts w:hint="eastAsia" w:asciiTheme="minorEastAsia" w:hAnsiTheme="minorEastAsia" w:eastAsiaTheme="minorEastAsia" w:cstheme="minorEastAsia"/>
                <w:color w:val="auto"/>
                <w:spacing w:val="-69"/>
                <w:sz w:val="21"/>
                <w:szCs w:val="21"/>
              </w:rPr>
              <w:t xml:space="preserve"> </w:t>
            </w:r>
            <w:r>
              <w:rPr>
                <w:rFonts w:hint="eastAsia" w:asciiTheme="minorEastAsia" w:hAnsiTheme="minorEastAsia" w:eastAsiaTheme="minorEastAsia" w:cstheme="minorEastAsia"/>
                <w:color w:val="auto"/>
                <w:spacing w:val="-69"/>
                <w:sz w:val="21"/>
                <w:szCs w:val="21"/>
                <w:lang w:eastAsia="zh-CN"/>
              </w:rPr>
              <w:t>”“</w:t>
            </w:r>
            <w:r>
              <w:rPr>
                <w:rFonts w:hint="eastAsia" w:asciiTheme="minorEastAsia" w:hAnsiTheme="minorEastAsia" w:eastAsiaTheme="minorEastAsia" w:cstheme="minorEastAsia"/>
                <w:color w:val="auto"/>
                <w:spacing w:val="-68"/>
                <w:sz w:val="21"/>
                <w:szCs w:val="21"/>
              </w:rPr>
              <w:t xml:space="preserve"> </w:t>
            </w:r>
            <w:r>
              <w:rPr>
                <w:rFonts w:hint="eastAsia" w:asciiTheme="minorEastAsia" w:hAnsiTheme="minorEastAsia" w:eastAsiaTheme="minorEastAsia" w:cstheme="minorEastAsia"/>
                <w:color w:val="auto"/>
                <w:spacing w:val="4"/>
                <w:sz w:val="21"/>
                <w:szCs w:val="21"/>
              </w:rPr>
              <w:t>电子签名</w:t>
            </w:r>
            <w:r>
              <w:rPr>
                <w:rFonts w:hint="eastAsia" w:asciiTheme="minorEastAsia" w:hAnsiTheme="minorEastAsia" w:eastAsiaTheme="minorEastAsia" w:cstheme="minorEastAsia"/>
                <w:color w:val="auto"/>
                <w:spacing w:val="-70"/>
                <w:sz w:val="21"/>
                <w:szCs w:val="21"/>
              </w:rPr>
              <w:t xml:space="preserve"> </w:t>
            </w:r>
            <w:r>
              <w:rPr>
                <w:rFonts w:hint="eastAsia" w:asciiTheme="minorEastAsia" w:hAnsiTheme="minorEastAsia" w:eastAsiaTheme="minorEastAsia" w:cstheme="minorEastAsia"/>
                <w:color w:val="auto"/>
                <w:spacing w:val="4"/>
                <w:sz w:val="21"/>
                <w:szCs w:val="21"/>
              </w:rPr>
              <w:t>”，是指经广西政府采购云平台认可</w:t>
            </w:r>
            <w:r>
              <w:rPr>
                <w:rFonts w:hint="eastAsia" w:asciiTheme="minorEastAsia" w:hAnsiTheme="minorEastAsia" w:eastAsiaTheme="minorEastAsia" w:cstheme="minorEastAsia"/>
                <w:color w:val="auto"/>
                <w:spacing w:val="9"/>
                <w:sz w:val="21"/>
                <w:szCs w:val="21"/>
              </w:rPr>
              <w:t>的</w:t>
            </w:r>
            <w:r>
              <w:rPr>
                <w:rFonts w:hint="eastAsia" w:asciiTheme="minorEastAsia" w:hAnsiTheme="minorEastAsia" w:eastAsiaTheme="minorEastAsia" w:cstheme="minorEastAsia"/>
                <w:color w:val="auto"/>
                <w:spacing w:val="-38"/>
                <w:sz w:val="21"/>
                <w:szCs w:val="21"/>
              </w:rPr>
              <w:t xml:space="preserve"> </w:t>
            </w:r>
            <w:r>
              <w:rPr>
                <w:rFonts w:hint="eastAsia" w:asciiTheme="minorEastAsia" w:hAnsiTheme="minorEastAsia" w:eastAsiaTheme="minorEastAsia" w:cstheme="minorEastAsia"/>
                <w:color w:val="auto"/>
                <w:sz w:val="21"/>
                <w:szCs w:val="21"/>
              </w:rPr>
              <w:t>CA</w:t>
            </w:r>
            <w:r>
              <w:rPr>
                <w:rFonts w:hint="eastAsia" w:asciiTheme="minorEastAsia" w:hAnsiTheme="minorEastAsia" w:eastAsiaTheme="minorEastAsia" w:cstheme="minorEastAsia"/>
                <w:color w:val="auto"/>
                <w:spacing w:val="-38"/>
                <w:sz w:val="21"/>
                <w:szCs w:val="21"/>
              </w:rPr>
              <w:t xml:space="preserve"> </w:t>
            </w:r>
            <w:r>
              <w:rPr>
                <w:rFonts w:hint="eastAsia" w:asciiTheme="minorEastAsia" w:hAnsiTheme="minorEastAsia" w:eastAsiaTheme="minorEastAsia" w:cstheme="minorEastAsia"/>
                <w:color w:val="auto"/>
                <w:spacing w:val="9"/>
                <w:sz w:val="21"/>
                <w:szCs w:val="21"/>
              </w:rPr>
              <w:t>认证的电子签名数据为表现形式的印章，可用于签署电子响应文件，</w:t>
            </w:r>
            <w:r>
              <w:rPr>
                <w:rFonts w:hint="eastAsia" w:asciiTheme="minorEastAsia" w:hAnsiTheme="minorEastAsia" w:eastAsiaTheme="minorEastAsia" w:cstheme="minorEastAsia"/>
                <w:color w:val="auto"/>
                <w:spacing w:val="-59"/>
                <w:sz w:val="21"/>
                <w:szCs w:val="21"/>
              </w:rPr>
              <w:t xml:space="preserve"> </w:t>
            </w:r>
            <w:r>
              <w:rPr>
                <w:rFonts w:hint="eastAsia" w:asciiTheme="minorEastAsia" w:hAnsiTheme="minorEastAsia" w:eastAsiaTheme="minorEastAsia" w:cstheme="minorEastAsia"/>
                <w:color w:val="auto"/>
                <w:spacing w:val="9"/>
                <w:sz w:val="21"/>
                <w:szCs w:val="21"/>
              </w:rPr>
              <w:t>电子印章与实物印章具有同等法律效力，不因其采用电子化表现形式而否定其法律效力。</w:t>
            </w:r>
          </w:p>
          <w:p w14:paraId="1632FE66">
            <w:pPr>
              <w:pStyle w:val="9"/>
              <w:spacing w:before="163" w:line="347" w:lineRule="auto"/>
              <w:ind w:left="210" w:leftChars="100" w:right="108" w:firstLine="4"/>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3.供应商为其他组织或者自然人时，本磋商文件规定的法定代表人指负责人或者自然</w:t>
            </w:r>
            <w:r>
              <w:rPr>
                <w:rFonts w:hint="eastAsia" w:asciiTheme="minorEastAsia" w:hAnsiTheme="minorEastAsia" w:eastAsiaTheme="minorEastAsia" w:cstheme="minorEastAsia"/>
                <w:color w:val="auto"/>
                <w:spacing w:val="8"/>
                <w:sz w:val="21"/>
                <w:szCs w:val="21"/>
              </w:rPr>
              <w:t>人。本磋商文件所称负责人是指参加竞标的其他组织</w:t>
            </w:r>
            <w:r>
              <w:rPr>
                <w:rFonts w:hint="eastAsia" w:asciiTheme="minorEastAsia" w:hAnsiTheme="minorEastAsia" w:eastAsiaTheme="minorEastAsia" w:cstheme="minorEastAsia"/>
                <w:color w:val="auto"/>
                <w:spacing w:val="7"/>
                <w:sz w:val="21"/>
                <w:szCs w:val="21"/>
              </w:rPr>
              <w:t>营业执照或者执业许可证等证照</w:t>
            </w:r>
            <w:r>
              <w:rPr>
                <w:rFonts w:hint="eastAsia" w:asciiTheme="minorEastAsia" w:hAnsiTheme="minorEastAsia" w:eastAsiaTheme="minorEastAsia" w:cstheme="minorEastAsia"/>
                <w:color w:val="auto"/>
                <w:spacing w:val="8"/>
                <w:sz w:val="21"/>
                <w:szCs w:val="21"/>
              </w:rPr>
              <w:t>上的负责人，本磋商文件所称自然人指参与竞标的自然人本</w:t>
            </w:r>
            <w:r>
              <w:rPr>
                <w:rFonts w:hint="eastAsia" w:asciiTheme="minorEastAsia" w:hAnsiTheme="minorEastAsia" w:eastAsiaTheme="minorEastAsia" w:cstheme="minorEastAsia"/>
                <w:color w:val="auto"/>
                <w:spacing w:val="7"/>
                <w:sz w:val="21"/>
                <w:szCs w:val="21"/>
              </w:rPr>
              <w:t>人，且应具备独立承担民事责任能力，</w:t>
            </w:r>
            <w:r>
              <w:rPr>
                <w:rFonts w:hint="eastAsia" w:asciiTheme="minorEastAsia" w:hAnsiTheme="minorEastAsia" w:eastAsiaTheme="minorEastAsia" w:cstheme="minorEastAsia"/>
                <w:color w:val="auto"/>
                <w:spacing w:val="-49"/>
                <w:sz w:val="21"/>
                <w:szCs w:val="21"/>
              </w:rPr>
              <w:t xml:space="preserve"> </w:t>
            </w:r>
            <w:r>
              <w:rPr>
                <w:rFonts w:hint="eastAsia" w:asciiTheme="minorEastAsia" w:hAnsiTheme="minorEastAsia" w:eastAsiaTheme="minorEastAsia" w:cstheme="minorEastAsia"/>
                <w:color w:val="auto"/>
                <w:spacing w:val="7"/>
                <w:sz w:val="21"/>
                <w:szCs w:val="21"/>
              </w:rPr>
              <w:t>自然人应当为年满</w:t>
            </w:r>
            <w:r>
              <w:rPr>
                <w:rFonts w:hint="eastAsia" w:asciiTheme="minorEastAsia" w:hAnsiTheme="minorEastAsia" w:eastAsiaTheme="minorEastAsia" w:cstheme="minorEastAsia"/>
                <w:color w:val="auto"/>
                <w:spacing w:val="-24"/>
                <w:sz w:val="21"/>
                <w:szCs w:val="21"/>
              </w:rPr>
              <w:t xml:space="preserve"> </w:t>
            </w:r>
            <w:r>
              <w:rPr>
                <w:rFonts w:hint="eastAsia" w:asciiTheme="minorEastAsia" w:hAnsiTheme="minorEastAsia" w:eastAsiaTheme="minorEastAsia" w:cstheme="minorEastAsia"/>
                <w:color w:val="auto"/>
                <w:spacing w:val="7"/>
                <w:sz w:val="21"/>
                <w:szCs w:val="21"/>
              </w:rPr>
              <w:t>18</w:t>
            </w:r>
            <w:r>
              <w:rPr>
                <w:rFonts w:hint="eastAsia" w:asciiTheme="minorEastAsia" w:hAnsiTheme="minorEastAsia" w:eastAsiaTheme="minorEastAsia" w:cstheme="minorEastAsia"/>
                <w:color w:val="auto"/>
                <w:spacing w:val="-30"/>
                <w:sz w:val="21"/>
                <w:szCs w:val="21"/>
              </w:rPr>
              <w:t xml:space="preserve"> </w:t>
            </w:r>
            <w:r>
              <w:rPr>
                <w:rFonts w:hint="eastAsia" w:asciiTheme="minorEastAsia" w:hAnsiTheme="minorEastAsia" w:eastAsiaTheme="minorEastAsia" w:cstheme="minorEastAsia"/>
                <w:color w:val="auto"/>
                <w:spacing w:val="7"/>
                <w:sz w:val="21"/>
                <w:szCs w:val="21"/>
              </w:rPr>
              <w:t>岁以上成年人（</w:t>
            </w:r>
            <w:r>
              <w:rPr>
                <w:rFonts w:hint="eastAsia" w:asciiTheme="minorEastAsia" w:hAnsiTheme="minorEastAsia" w:eastAsiaTheme="minorEastAsia" w:cstheme="minorEastAsia"/>
                <w:color w:val="auto"/>
                <w:spacing w:val="6"/>
                <w:sz w:val="21"/>
                <w:szCs w:val="21"/>
              </w:rPr>
              <w:t>十六周岁以上的未成年人，</w:t>
            </w:r>
            <w:r>
              <w:rPr>
                <w:rFonts w:hint="eastAsia" w:asciiTheme="minorEastAsia" w:hAnsiTheme="minorEastAsia" w:eastAsiaTheme="minorEastAsia" w:cstheme="minorEastAsia"/>
                <w:color w:val="auto"/>
                <w:spacing w:val="-60"/>
                <w:sz w:val="21"/>
                <w:szCs w:val="21"/>
              </w:rPr>
              <w:t xml:space="preserve"> </w:t>
            </w:r>
            <w:r>
              <w:rPr>
                <w:rFonts w:hint="eastAsia" w:asciiTheme="minorEastAsia" w:hAnsiTheme="minorEastAsia" w:eastAsiaTheme="minorEastAsia" w:cstheme="minorEastAsia"/>
                <w:color w:val="auto"/>
                <w:spacing w:val="6"/>
                <w:sz w:val="21"/>
                <w:szCs w:val="21"/>
              </w:rPr>
              <w:t>以自</w:t>
            </w:r>
            <w:r>
              <w:rPr>
                <w:rFonts w:hint="eastAsia" w:asciiTheme="minorEastAsia" w:hAnsiTheme="minorEastAsia" w:eastAsiaTheme="minorEastAsia" w:cstheme="minorEastAsia"/>
                <w:color w:val="auto"/>
                <w:spacing w:val="9"/>
                <w:sz w:val="21"/>
                <w:szCs w:val="21"/>
              </w:rPr>
              <w:t>己的劳动收入为主要生活来源的，视为完全民事行为能</w:t>
            </w:r>
            <w:r>
              <w:rPr>
                <w:rFonts w:hint="eastAsia" w:asciiTheme="minorEastAsia" w:hAnsiTheme="minorEastAsia" w:eastAsiaTheme="minorEastAsia" w:cstheme="minorEastAsia"/>
                <w:color w:val="auto"/>
                <w:spacing w:val="8"/>
                <w:sz w:val="21"/>
                <w:szCs w:val="21"/>
              </w:rPr>
              <w:t>力人）。</w:t>
            </w:r>
          </w:p>
          <w:p w14:paraId="0DA334FF">
            <w:pPr>
              <w:pStyle w:val="9"/>
              <w:spacing w:before="160" w:line="328" w:lineRule="auto"/>
              <w:ind w:left="210" w:leftChars="100" w:right="11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4.本磋商文件中描述供应商的“签字</w:t>
            </w:r>
            <w:r>
              <w:rPr>
                <w:rFonts w:hint="eastAsia" w:asciiTheme="minorEastAsia" w:hAnsiTheme="minorEastAsia" w:eastAsiaTheme="minorEastAsia" w:cstheme="minorEastAsia"/>
                <w:color w:val="auto"/>
                <w:spacing w:val="-70"/>
                <w:sz w:val="21"/>
                <w:szCs w:val="21"/>
              </w:rPr>
              <w:t xml:space="preserve"> </w:t>
            </w:r>
            <w:r>
              <w:rPr>
                <w:rFonts w:hint="eastAsia" w:asciiTheme="minorEastAsia" w:hAnsiTheme="minorEastAsia" w:eastAsiaTheme="minorEastAsia" w:cstheme="minorEastAsia"/>
                <w:color w:val="auto"/>
                <w:spacing w:val="7"/>
                <w:sz w:val="21"/>
                <w:szCs w:val="21"/>
              </w:rPr>
              <w:t>”是指供应商的法</w:t>
            </w:r>
            <w:r>
              <w:rPr>
                <w:rFonts w:hint="eastAsia" w:asciiTheme="minorEastAsia" w:hAnsiTheme="minorEastAsia" w:eastAsiaTheme="minorEastAsia" w:cstheme="minorEastAsia"/>
                <w:color w:val="auto"/>
                <w:spacing w:val="6"/>
                <w:sz w:val="21"/>
                <w:szCs w:val="21"/>
              </w:rPr>
              <w:t>定代表人或者委托代理人亲自</w:t>
            </w:r>
            <w:r>
              <w:rPr>
                <w:rFonts w:hint="eastAsia" w:asciiTheme="minorEastAsia" w:hAnsiTheme="minorEastAsia" w:eastAsiaTheme="minorEastAsia" w:cstheme="minorEastAsia"/>
                <w:color w:val="auto"/>
                <w:spacing w:val="8"/>
                <w:sz w:val="21"/>
                <w:szCs w:val="21"/>
              </w:rPr>
              <w:t>在文件规定签署处亲笔写上个人的名字的行为，私章、</w:t>
            </w:r>
            <w:r>
              <w:rPr>
                <w:rFonts w:hint="eastAsia" w:asciiTheme="minorEastAsia" w:hAnsiTheme="minorEastAsia" w:eastAsiaTheme="minorEastAsia" w:cstheme="minorEastAsia"/>
                <w:color w:val="auto"/>
                <w:spacing w:val="7"/>
                <w:sz w:val="21"/>
                <w:szCs w:val="21"/>
              </w:rPr>
              <w:t>签字章、印鉴、影印等其他形</w:t>
            </w:r>
            <w:r>
              <w:rPr>
                <w:rFonts w:hint="eastAsia" w:asciiTheme="minorEastAsia" w:hAnsiTheme="minorEastAsia" w:eastAsiaTheme="minorEastAsia" w:cstheme="minorEastAsia"/>
                <w:color w:val="auto"/>
                <w:spacing w:val="8"/>
                <w:sz w:val="21"/>
                <w:szCs w:val="21"/>
              </w:rPr>
              <w:t>式均不能代替亲笔签字。</w:t>
            </w:r>
          </w:p>
          <w:p w14:paraId="0B48525D">
            <w:pPr>
              <w:pStyle w:val="9"/>
              <w:spacing w:before="160" w:line="302" w:lineRule="auto"/>
              <w:ind w:left="210" w:leftChars="100" w:firstLine="14"/>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5.本磋商文件所称的“</w:t>
            </w:r>
            <w:r>
              <w:rPr>
                <w:rFonts w:hint="eastAsia" w:asciiTheme="minorEastAsia" w:hAnsiTheme="minorEastAsia" w:eastAsiaTheme="minorEastAsia" w:cstheme="minorEastAsia"/>
                <w:color w:val="auto"/>
                <w:spacing w:val="-59"/>
                <w:sz w:val="21"/>
                <w:szCs w:val="21"/>
              </w:rPr>
              <w:t xml:space="preserve"> </w:t>
            </w:r>
            <w:r>
              <w:rPr>
                <w:rFonts w:hint="eastAsia" w:asciiTheme="minorEastAsia" w:hAnsiTheme="minorEastAsia" w:eastAsiaTheme="minorEastAsia" w:cstheme="minorEastAsia"/>
                <w:color w:val="auto"/>
                <w:sz w:val="21"/>
                <w:szCs w:val="21"/>
              </w:rPr>
              <w:t>以上</w:t>
            </w:r>
            <w:r>
              <w:rPr>
                <w:rFonts w:hint="eastAsia" w:asciiTheme="minorEastAsia" w:hAnsiTheme="minorEastAsia" w:eastAsiaTheme="minorEastAsia" w:cstheme="minorEastAsia"/>
                <w:color w:val="auto"/>
                <w:spacing w:val="-71"/>
                <w:sz w:val="21"/>
                <w:szCs w:val="21"/>
              </w:rPr>
              <w:t xml:space="preserve"> </w:t>
            </w:r>
            <w:r>
              <w:rPr>
                <w:rFonts w:hint="eastAsia" w:asciiTheme="minorEastAsia" w:hAnsiTheme="minorEastAsia" w:eastAsiaTheme="minorEastAsia" w:cstheme="minorEastAsia"/>
                <w:color w:val="auto"/>
                <w:sz w:val="21"/>
                <w:szCs w:val="21"/>
              </w:rPr>
              <w:t>”“以下</w:t>
            </w:r>
            <w:r>
              <w:rPr>
                <w:rFonts w:hint="eastAsia" w:asciiTheme="minorEastAsia" w:hAnsiTheme="minorEastAsia" w:eastAsiaTheme="minorEastAsia" w:cstheme="minorEastAsia"/>
                <w:color w:val="auto"/>
                <w:spacing w:val="-70"/>
                <w:sz w:val="21"/>
                <w:szCs w:val="21"/>
              </w:rPr>
              <w:t xml:space="preserve"> </w:t>
            </w:r>
            <w:r>
              <w:rPr>
                <w:rFonts w:hint="eastAsia" w:asciiTheme="minorEastAsia" w:hAnsiTheme="minorEastAsia" w:eastAsiaTheme="minorEastAsia" w:cstheme="minorEastAsia"/>
                <w:color w:val="auto"/>
                <w:sz w:val="21"/>
                <w:szCs w:val="21"/>
              </w:rPr>
              <w:t>”“以内</w:t>
            </w:r>
            <w:r>
              <w:rPr>
                <w:rFonts w:hint="eastAsia" w:asciiTheme="minorEastAsia" w:hAnsiTheme="minorEastAsia" w:eastAsiaTheme="minorEastAsia" w:cstheme="minorEastAsia"/>
                <w:color w:val="auto"/>
                <w:spacing w:val="-70"/>
                <w:sz w:val="21"/>
                <w:szCs w:val="21"/>
              </w:rPr>
              <w:t xml:space="preserve"> </w:t>
            </w:r>
            <w:r>
              <w:rPr>
                <w:rFonts w:hint="eastAsia" w:asciiTheme="minorEastAsia" w:hAnsiTheme="minorEastAsia" w:eastAsiaTheme="minorEastAsia" w:cstheme="minorEastAsia"/>
                <w:color w:val="auto"/>
                <w:sz w:val="21"/>
                <w:szCs w:val="21"/>
              </w:rPr>
              <w:t>”“届满</w:t>
            </w:r>
            <w:r>
              <w:rPr>
                <w:rFonts w:hint="eastAsia" w:asciiTheme="minorEastAsia" w:hAnsiTheme="minorEastAsia" w:eastAsiaTheme="minorEastAsia" w:cstheme="minorEastAsia"/>
                <w:color w:val="auto"/>
                <w:spacing w:val="-71"/>
                <w:sz w:val="21"/>
                <w:szCs w:val="21"/>
              </w:rPr>
              <w:t xml:space="preserve"> </w:t>
            </w:r>
            <w:r>
              <w:rPr>
                <w:rFonts w:hint="eastAsia" w:asciiTheme="minorEastAsia" w:hAnsiTheme="minorEastAsia" w:eastAsiaTheme="minorEastAsia" w:cstheme="minorEastAsia"/>
                <w:color w:val="auto"/>
                <w:sz w:val="21"/>
                <w:szCs w:val="21"/>
              </w:rPr>
              <w:t>”，包括本数；所称的“不满</w:t>
            </w:r>
            <w:r>
              <w:rPr>
                <w:rFonts w:hint="eastAsia" w:asciiTheme="minorEastAsia" w:hAnsiTheme="minorEastAsia" w:eastAsiaTheme="minorEastAsia" w:cstheme="minorEastAsia"/>
                <w:color w:val="auto"/>
                <w:spacing w:val="-70"/>
                <w:sz w:val="21"/>
                <w:szCs w:val="21"/>
              </w:rPr>
              <w:t xml:space="preserve"> </w:t>
            </w:r>
            <w:r>
              <w:rPr>
                <w:rFonts w:hint="eastAsia" w:asciiTheme="minorEastAsia" w:hAnsiTheme="minorEastAsia" w:eastAsiaTheme="minorEastAsia" w:cstheme="minorEastAsia"/>
                <w:color w:val="auto"/>
                <w:sz w:val="21"/>
                <w:szCs w:val="21"/>
              </w:rPr>
              <w:t>” “超过</w:t>
            </w:r>
            <w:r>
              <w:rPr>
                <w:rFonts w:hint="eastAsia" w:asciiTheme="minorEastAsia" w:hAnsiTheme="minorEastAsia" w:eastAsiaTheme="minorEastAsia" w:cstheme="minorEastAsia"/>
                <w:color w:val="auto"/>
                <w:spacing w:val="-60"/>
                <w:sz w:val="21"/>
                <w:szCs w:val="21"/>
              </w:rPr>
              <w:t xml:space="preserve"> </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pacing w:val="-67"/>
                <w:sz w:val="21"/>
                <w:szCs w:val="21"/>
              </w:rPr>
              <w:t xml:space="preserve"> </w:t>
            </w:r>
            <w:r>
              <w:rPr>
                <w:rFonts w:hint="eastAsia" w:asciiTheme="minorEastAsia" w:hAnsiTheme="minorEastAsia" w:eastAsiaTheme="minorEastAsia" w:cstheme="minorEastAsia"/>
                <w:color w:val="auto"/>
                <w:sz w:val="21"/>
                <w:szCs w:val="21"/>
              </w:rPr>
              <w:t>以外</w:t>
            </w:r>
            <w:r>
              <w:rPr>
                <w:rFonts w:hint="eastAsia" w:asciiTheme="minorEastAsia" w:hAnsiTheme="minorEastAsia" w:eastAsiaTheme="minorEastAsia" w:cstheme="minorEastAsia"/>
                <w:color w:val="auto"/>
                <w:spacing w:val="-70"/>
                <w:sz w:val="21"/>
                <w:szCs w:val="21"/>
              </w:rPr>
              <w:t xml:space="preserve"> </w:t>
            </w:r>
            <w:r>
              <w:rPr>
                <w:rFonts w:hint="eastAsia" w:asciiTheme="minorEastAsia" w:hAnsiTheme="minorEastAsia" w:eastAsiaTheme="minorEastAsia" w:cstheme="minorEastAsia"/>
                <w:color w:val="auto"/>
                <w:sz w:val="21"/>
                <w:szCs w:val="21"/>
              </w:rPr>
              <w:t>”，不包括本数。</w:t>
            </w:r>
          </w:p>
        </w:tc>
      </w:tr>
    </w:tbl>
    <w:p w14:paraId="6969EBA4">
      <w:pPr>
        <w:rPr>
          <w:rFonts w:ascii="Arial"/>
          <w:color w:val="auto"/>
          <w:sz w:val="21"/>
        </w:rPr>
      </w:pPr>
    </w:p>
    <w:p w14:paraId="5128C118">
      <w:pPr>
        <w:rPr>
          <w:rFonts w:ascii="Arial" w:hAnsi="Arial" w:eastAsia="Arial" w:cs="Arial"/>
          <w:color w:val="auto"/>
          <w:sz w:val="21"/>
          <w:szCs w:val="21"/>
        </w:rPr>
        <w:sectPr>
          <w:footerReference r:id="rId7" w:type="default"/>
          <w:pgSz w:w="11906" w:h="16839"/>
          <w:pgMar w:top="1304" w:right="1304" w:bottom="1304" w:left="1304" w:header="0" w:footer="1200" w:gutter="0"/>
          <w:pgNumType w:fmt="decimal"/>
          <w:cols w:space="720" w:num="1"/>
        </w:sectPr>
      </w:pPr>
    </w:p>
    <w:p w14:paraId="6AF6B221">
      <w:pPr>
        <w:keepNext w:val="0"/>
        <w:keepLines w:val="0"/>
        <w:pageBreakBefore w:val="0"/>
        <w:widowControl/>
        <w:kinsoku w:val="0"/>
        <w:wordWrap/>
        <w:overflowPunct/>
        <w:topLinePunct w:val="0"/>
        <w:autoSpaceDE w:val="0"/>
        <w:autoSpaceDN w:val="0"/>
        <w:bidi w:val="0"/>
        <w:adjustRightInd w:val="0"/>
        <w:snapToGrid w:val="0"/>
        <w:spacing w:before="63" w:line="440" w:lineRule="exact"/>
        <w:ind w:left="3585"/>
        <w:textAlignment w:val="baseline"/>
        <w:rPr>
          <w:rFonts w:ascii="宋体" w:hAnsi="宋体" w:eastAsia="宋体" w:cs="宋体"/>
          <w:color w:val="auto"/>
          <w:sz w:val="31"/>
          <w:szCs w:val="31"/>
        </w:rPr>
      </w:pPr>
      <w:r>
        <w:rPr>
          <w:rFonts w:ascii="宋体" w:hAnsi="宋体" w:eastAsia="宋体" w:cs="宋体"/>
          <w:b/>
          <w:bCs/>
          <w:color w:val="auto"/>
          <w:spacing w:val="5"/>
          <w:sz w:val="31"/>
          <w:szCs w:val="31"/>
        </w:rPr>
        <w:t>供应商须知正文</w:t>
      </w:r>
    </w:p>
    <w:p w14:paraId="1909371F">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Arial"/>
          <w:color w:val="auto"/>
          <w:sz w:val="21"/>
        </w:rPr>
      </w:pPr>
    </w:p>
    <w:p w14:paraId="12378337">
      <w:pPr>
        <w:keepNext w:val="0"/>
        <w:keepLines w:val="0"/>
        <w:pageBreakBefore w:val="0"/>
        <w:widowControl/>
        <w:kinsoku w:val="0"/>
        <w:wordWrap/>
        <w:overflowPunct/>
        <w:topLinePunct w:val="0"/>
        <w:autoSpaceDE w:val="0"/>
        <w:autoSpaceDN w:val="0"/>
        <w:bidi w:val="0"/>
        <w:adjustRightInd w:val="0"/>
        <w:snapToGrid w:val="0"/>
        <w:spacing w:before="100" w:line="440" w:lineRule="exact"/>
        <w:ind w:left="4071"/>
        <w:textAlignment w:val="baseline"/>
        <w:rPr>
          <w:rFonts w:ascii="宋体" w:hAnsi="宋体" w:eastAsia="宋体" w:cs="宋体"/>
          <w:color w:val="auto"/>
          <w:sz w:val="31"/>
          <w:szCs w:val="31"/>
        </w:rPr>
      </w:pPr>
      <w:r>
        <w:rPr>
          <w:rFonts w:ascii="宋体" w:hAnsi="宋体" w:eastAsia="宋体" w:cs="宋体"/>
          <w:b/>
          <w:bCs/>
          <w:color w:val="auto"/>
          <w:spacing w:val="3"/>
          <w:sz w:val="31"/>
          <w:szCs w:val="31"/>
        </w:rPr>
        <w:t>一、总则</w:t>
      </w:r>
    </w:p>
    <w:p w14:paraId="75839D01">
      <w:pPr>
        <w:keepNext w:val="0"/>
        <w:keepLines w:val="0"/>
        <w:pageBreakBefore w:val="0"/>
        <w:widowControl/>
        <w:kinsoku w:val="0"/>
        <w:wordWrap/>
        <w:overflowPunct/>
        <w:topLinePunct w:val="0"/>
        <w:autoSpaceDE w:val="0"/>
        <w:autoSpaceDN w:val="0"/>
        <w:bidi w:val="0"/>
        <w:adjustRightInd w:val="0"/>
        <w:snapToGrid w:val="0"/>
        <w:spacing w:before="206" w:line="440" w:lineRule="exact"/>
        <w:ind w:left="480"/>
        <w:textAlignment w:val="baseline"/>
        <w:rPr>
          <w:rFonts w:hint="eastAsia" w:ascii="黑体" w:hAnsi="黑体" w:eastAsia="黑体" w:cs="黑体"/>
          <w:b/>
          <w:bCs/>
          <w:color w:val="auto"/>
          <w:spacing w:val="-5"/>
          <w:sz w:val="24"/>
          <w:szCs w:val="24"/>
        </w:rPr>
      </w:pPr>
      <w:r>
        <w:rPr>
          <w:rFonts w:hint="eastAsia" w:ascii="黑体" w:hAnsi="黑体" w:eastAsia="黑体" w:cs="黑体"/>
          <w:b/>
          <w:bCs/>
          <w:color w:val="auto"/>
          <w:spacing w:val="-5"/>
          <w:sz w:val="24"/>
          <w:szCs w:val="24"/>
        </w:rPr>
        <w:t>1.适用范围</w:t>
      </w:r>
    </w:p>
    <w:p w14:paraId="07C7B54B">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9"/>
          <w:sz w:val="21"/>
          <w:szCs w:val="21"/>
        </w:rPr>
        <w:t>1.1</w:t>
      </w:r>
      <w:r>
        <w:rPr>
          <w:rFonts w:hint="eastAsia" w:asciiTheme="minorEastAsia" w:hAnsiTheme="minorEastAsia" w:eastAsiaTheme="minorEastAsia" w:cstheme="minorEastAsia"/>
          <w:color w:val="auto"/>
          <w:spacing w:val="-33"/>
          <w:sz w:val="21"/>
          <w:szCs w:val="21"/>
        </w:rPr>
        <w:t xml:space="preserve"> </w:t>
      </w:r>
      <w:r>
        <w:rPr>
          <w:rFonts w:hint="eastAsia" w:asciiTheme="minorEastAsia" w:hAnsiTheme="minorEastAsia" w:eastAsiaTheme="minorEastAsia" w:cstheme="minorEastAsia"/>
          <w:color w:val="auto"/>
          <w:spacing w:val="9"/>
          <w:sz w:val="21"/>
          <w:szCs w:val="21"/>
        </w:rPr>
        <w:t>本项目采购人、采购代理机构、供应商、磋商小组的相关行为均受《中华人民共和国政府采购法》《中华人民共和国政府采购法实施条例》《政府采购竞争性磋商采购方式管理暂行办法》《</w:t>
      </w:r>
      <w:r>
        <w:rPr>
          <w:rFonts w:hint="eastAsia" w:asciiTheme="minorEastAsia" w:hAnsiTheme="minorEastAsia" w:eastAsiaTheme="minorEastAsia" w:cstheme="minorEastAsia"/>
          <w:color w:val="auto"/>
          <w:spacing w:val="8"/>
          <w:sz w:val="21"/>
          <w:szCs w:val="21"/>
        </w:rPr>
        <w:t>财政部</w:t>
      </w:r>
      <w:r>
        <w:rPr>
          <w:rFonts w:hint="eastAsia" w:asciiTheme="minorEastAsia" w:hAnsiTheme="minorEastAsia" w:eastAsiaTheme="minorEastAsia" w:cstheme="minorEastAsia"/>
          <w:color w:val="auto"/>
          <w:spacing w:val="9"/>
          <w:sz w:val="21"/>
          <w:szCs w:val="21"/>
        </w:rPr>
        <w:t>关于政府采购竞争性磋商采购方式管理暂行办法有关问题的补充通知》及本项目本级和上</w:t>
      </w:r>
      <w:r>
        <w:rPr>
          <w:rFonts w:hint="eastAsia" w:asciiTheme="minorEastAsia" w:hAnsiTheme="minorEastAsia" w:eastAsiaTheme="minorEastAsia" w:cstheme="minorEastAsia"/>
          <w:color w:val="auto"/>
          <w:spacing w:val="8"/>
          <w:sz w:val="21"/>
          <w:szCs w:val="21"/>
        </w:rPr>
        <w:t>级财政部门政府采购有关规定的约束和保护</w:t>
      </w:r>
      <w:r>
        <w:rPr>
          <w:rFonts w:hint="eastAsia" w:asciiTheme="minorEastAsia" w:hAnsiTheme="minorEastAsia" w:eastAsiaTheme="minorEastAsia" w:cstheme="minorEastAsia"/>
          <w:color w:val="auto"/>
          <w:spacing w:val="8"/>
          <w:sz w:val="21"/>
          <w:szCs w:val="21"/>
          <w:lang w:eastAsia="zh-CN"/>
        </w:rPr>
        <w:t>。</w:t>
      </w:r>
    </w:p>
    <w:p w14:paraId="0741363E">
      <w:pPr>
        <w:keepNext w:val="0"/>
        <w:keepLines w:val="0"/>
        <w:pageBreakBefore w:val="0"/>
        <w:widowControl/>
        <w:kinsoku w:val="0"/>
        <w:wordWrap/>
        <w:overflowPunct/>
        <w:topLinePunct w:val="0"/>
        <w:autoSpaceDE w:val="0"/>
        <w:autoSpaceDN w:val="0"/>
        <w:bidi w:val="0"/>
        <w:adjustRightInd w:val="0"/>
        <w:snapToGrid w:val="0"/>
        <w:spacing w:before="223" w:line="360" w:lineRule="auto"/>
        <w:ind w:left="17" w:right="2" w:firstLine="418"/>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1.2</w:t>
      </w:r>
      <w:r>
        <w:rPr>
          <w:rFonts w:hint="eastAsia" w:asciiTheme="minorEastAsia" w:hAnsiTheme="minorEastAsia" w:eastAsiaTheme="minorEastAsia" w:cstheme="minorEastAsia"/>
          <w:color w:val="auto"/>
          <w:spacing w:val="-37"/>
          <w:sz w:val="21"/>
          <w:szCs w:val="21"/>
        </w:rPr>
        <w:t xml:space="preserve"> </w:t>
      </w:r>
      <w:r>
        <w:rPr>
          <w:rFonts w:hint="eastAsia" w:asciiTheme="minorEastAsia" w:hAnsiTheme="minorEastAsia" w:eastAsiaTheme="minorEastAsia" w:cstheme="minorEastAsia"/>
          <w:color w:val="auto"/>
          <w:spacing w:val="-4"/>
          <w:sz w:val="21"/>
          <w:szCs w:val="21"/>
        </w:rPr>
        <w:t>本竞争性磋商文件（以下简称磋商文件）适用于本项目的所有采购程序和环节（</w:t>
      </w:r>
      <w:r>
        <w:rPr>
          <w:rFonts w:hint="eastAsia" w:asciiTheme="minorEastAsia" w:hAnsiTheme="minorEastAsia" w:eastAsiaTheme="minorEastAsia" w:cstheme="minorEastAsia"/>
          <w:color w:val="auto"/>
          <w:spacing w:val="-4"/>
          <w:sz w:val="21"/>
          <w:szCs w:val="21"/>
          <w:lang w:eastAsia="zh-CN"/>
        </w:rPr>
        <w:t>法律法规</w:t>
      </w:r>
      <w:r>
        <w:rPr>
          <w:rFonts w:hint="eastAsia" w:asciiTheme="minorEastAsia" w:hAnsiTheme="minorEastAsia" w:eastAsiaTheme="minorEastAsia" w:cstheme="minorEastAsia"/>
          <w:color w:val="auto"/>
          <w:spacing w:val="-4"/>
          <w:sz w:val="21"/>
          <w:szCs w:val="21"/>
        </w:rPr>
        <w:t>另有规定</w:t>
      </w:r>
      <w:r>
        <w:rPr>
          <w:rFonts w:hint="eastAsia" w:asciiTheme="minorEastAsia" w:hAnsiTheme="minorEastAsia" w:eastAsiaTheme="minorEastAsia" w:cstheme="minorEastAsia"/>
          <w:color w:val="auto"/>
          <w:spacing w:val="-5"/>
          <w:sz w:val="21"/>
          <w:szCs w:val="21"/>
        </w:rPr>
        <w:t>的，从其规定）。</w:t>
      </w:r>
    </w:p>
    <w:p w14:paraId="7AFF127D">
      <w:pPr>
        <w:keepNext w:val="0"/>
        <w:keepLines w:val="0"/>
        <w:pageBreakBefore w:val="0"/>
        <w:widowControl/>
        <w:kinsoku w:val="0"/>
        <w:wordWrap/>
        <w:overflowPunct/>
        <w:topLinePunct w:val="0"/>
        <w:autoSpaceDE w:val="0"/>
        <w:autoSpaceDN w:val="0"/>
        <w:bidi w:val="0"/>
        <w:adjustRightInd w:val="0"/>
        <w:snapToGrid w:val="0"/>
        <w:spacing w:before="206" w:line="440" w:lineRule="exact"/>
        <w:ind w:left="480"/>
        <w:textAlignment w:val="baseline"/>
        <w:rPr>
          <w:rFonts w:ascii="黑体" w:hAnsi="黑体" w:eastAsia="黑体" w:cs="黑体"/>
          <w:color w:val="auto"/>
          <w:sz w:val="24"/>
          <w:szCs w:val="24"/>
        </w:rPr>
      </w:pPr>
      <w:r>
        <w:rPr>
          <w:rFonts w:ascii="黑体" w:hAnsi="黑体" w:eastAsia="黑体" w:cs="黑体"/>
          <w:b/>
          <w:bCs/>
          <w:color w:val="auto"/>
          <w:spacing w:val="-5"/>
          <w:sz w:val="24"/>
          <w:szCs w:val="24"/>
        </w:rPr>
        <w:t>2.定义</w:t>
      </w:r>
    </w:p>
    <w:p w14:paraId="4C0E4082">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2.1“采购人 ”是指依法进行政府采购的国家机关、事业单位、团体组织。</w:t>
      </w:r>
    </w:p>
    <w:p w14:paraId="709CA7DD">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2.2“采购代理机构 ”是指政府采购集中采购机构和集中采购机构以外的采购代理机构。</w:t>
      </w:r>
    </w:p>
    <w:p w14:paraId="083B9FA4">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2.3“供应商 ”是指向采购人提供货物、工程或者服务的法人、其他组织或者自然人。</w:t>
      </w:r>
    </w:p>
    <w:p w14:paraId="7F15509F">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2.4“服务 ”是指除货物和工程以外的其他政府采购对象。</w:t>
      </w:r>
    </w:p>
    <w:p w14:paraId="23248A0A">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2.5“竞标 ”是指供应商按照本项目竞争性磋商公告或者邀请函规定的方式获取磋商文件</w:t>
      </w:r>
      <w:r>
        <w:rPr>
          <w:rFonts w:hint="eastAsia" w:asciiTheme="minorEastAsia" w:hAnsiTheme="minorEastAsia" w:eastAsiaTheme="minorEastAsia" w:cstheme="minorEastAsia"/>
          <w:color w:val="auto"/>
          <w:spacing w:val="9"/>
          <w:sz w:val="21"/>
          <w:szCs w:val="21"/>
          <w:lang w:eastAsia="zh-CN"/>
        </w:rPr>
        <w:t>、</w:t>
      </w:r>
      <w:r>
        <w:rPr>
          <w:rFonts w:hint="eastAsia" w:asciiTheme="minorEastAsia" w:hAnsiTheme="minorEastAsia" w:eastAsiaTheme="minorEastAsia" w:cstheme="minorEastAsia"/>
          <w:color w:val="auto"/>
          <w:spacing w:val="9"/>
          <w:sz w:val="21"/>
          <w:szCs w:val="21"/>
        </w:rPr>
        <w:t>提交响应文件并希望获得标的的行为。</w:t>
      </w:r>
    </w:p>
    <w:p w14:paraId="37A77480">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2.6“书面形式 ”是指合同书、信件和数据电文（包括电报、 电传、传真、电子数据交换和电子邮件）等可以有形地表现所载内容的形式。</w:t>
      </w:r>
    </w:p>
    <w:p w14:paraId="1C804511">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2.7“响应文件 ”是指：供应商根据本磋商文件要求，编制包含资格证明、报价</w:t>
      </w:r>
      <w:r>
        <w:rPr>
          <w:rFonts w:hint="eastAsia" w:asciiTheme="minorEastAsia" w:hAnsiTheme="minorEastAsia" w:eastAsiaTheme="minorEastAsia" w:cstheme="minorEastAsia"/>
          <w:color w:val="auto"/>
          <w:spacing w:val="9"/>
          <w:sz w:val="21"/>
          <w:szCs w:val="21"/>
          <w:lang w:eastAsia="zh-CN"/>
        </w:rPr>
        <w:t>、</w:t>
      </w:r>
      <w:r>
        <w:rPr>
          <w:rFonts w:hint="eastAsia" w:asciiTheme="minorEastAsia" w:hAnsiTheme="minorEastAsia" w:eastAsiaTheme="minorEastAsia" w:cstheme="minorEastAsia"/>
          <w:color w:val="auto"/>
          <w:spacing w:val="9"/>
          <w:sz w:val="21"/>
          <w:szCs w:val="21"/>
        </w:rPr>
        <w:t>商务技术等所有内容的文件。</w:t>
      </w:r>
    </w:p>
    <w:p w14:paraId="37FB9B6E">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2.8“实质性要求 ”是指磋商文件中已经指明不满足则响应文件按无效响应处理的条款，或者不能负偏离的条款，或者采购需求中带“▲ ”的条款。</w:t>
      </w:r>
    </w:p>
    <w:p w14:paraId="0C063EF0">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2.9“正偏离”，是指响应文件对磋商文件“采购需求 ”中有关条款作出的响应优于条款要求并有利于采购人的情形。</w:t>
      </w:r>
    </w:p>
    <w:p w14:paraId="0B476209">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2.10“负偏离 ”，是指响应文件对磋商文件“采购需求 ”中有关条款作出的响应不满足条款要求，导致采购人要求不能得到满足的情形。</w:t>
      </w:r>
    </w:p>
    <w:p w14:paraId="75BDC8A7">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2.11“允许负偏离的条款 ”是指采购需求中的不属于“实质性要求 ”的条款</w:t>
      </w:r>
      <w:r>
        <w:rPr>
          <w:rFonts w:hint="eastAsia" w:asciiTheme="minorEastAsia" w:hAnsiTheme="minorEastAsia" w:eastAsiaTheme="minorEastAsia" w:cstheme="minorEastAsia"/>
          <w:color w:val="auto"/>
          <w:spacing w:val="9"/>
          <w:sz w:val="21"/>
          <w:szCs w:val="21"/>
          <w:lang w:eastAsia="zh-CN"/>
        </w:rPr>
        <w:t>。</w:t>
      </w:r>
    </w:p>
    <w:p w14:paraId="1ED230CA">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2.12“首次报价 ”是指供应商提交的首次响应文件中的报价。</w:t>
      </w:r>
    </w:p>
    <w:p w14:paraId="2B63A5DC">
      <w:pPr>
        <w:keepNext w:val="0"/>
        <w:keepLines w:val="0"/>
        <w:pageBreakBefore w:val="0"/>
        <w:widowControl/>
        <w:kinsoku w:val="0"/>
        <w:wordWrap/>
        <w:overflowPunct/>
        <w:topLinePunct w:val="0"/>
        <w:autoSpaceDE w:val="0"/>
        <w:autoSpaceDN w:val="0"/>
        <w:bidi w:val="0"/>
        <w:adjustRightInd w:val="0"/>
        <w:snapToGrid w:val="0"/>
        <w:spacing w:before="208" w:line="440" w:lineRule="exact"/>
        <w:ind w:left="482"/>
        <w:textAlignment w:val="baseline"/>
        <w:rPr>
          <w:rFonts w:ascii="黑体" w:hAnsi="黑体" w:eastAsia="黑体" w:cs="黑体"/>
          <w:color w:val="auto"/>
          <w:sz w:val="24"/>
          <w:szCs w:val="24"/>
        </w:rPr>
      </w:pPr>
      <w:r>
        <w:rPr>
          <w:rFonts w:ascii="黑体" w:hAnsi="黑体" w:eastAsia="黑体" w:cs="黑体"/>
          <w:b/>
          <w:bCs/>
          <w:color w:val="auto"/>
          <w:spacing w:val="-3"/>
          <w:sz w:val="24"/>
          <w:szCs w:val="24"/>
        </w:rPr>
        <w:t>3.供应商的资格条件</w:t>
      </w:r>
    </w:p>
    <w:p w14:paraId="2699E699">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供应商的资格条件详见“供应商须知前附表”。</w:t>
      </w:r>
    </w:p>
    <w:p w14:paraId="7CF8110D">
      <w:pPr>
        <w:keepNext w:val="0"/>
        <w:keepLines w:val="0"/>
        <w:pageBreakBefore w:val="0"/>
        <w:widowControl/>
        <w:kinsoku w:val="0"/>
        <w:wordWrap/>
        <w:overflowPunct/>
        <w:topLinePunct w:val="0"/>
        <w:autoSpaceDE w:val="0"/>
        <w:autoSpaceDN w:val="0"/>
        <w:bidi w:val="0"/>
        <w:adjustRightInd w:val="0"/>
        <w:snapToGrid w:val="0"/>
        <w:spacing w:before="206" w:line="440" w:lineRule="exact"/>
        <w:ind w:left="475"/>
        <w:textAlignment w:val="baseline"/>
        <w:rPr>
          <w:rFonts w:ascii="黑体" w:hAnsi="黑体" w:eastAsia="黑体" w:cs="黑体"/>
          <w:color w:val="auto"/>
          <w:sz w:val="24"/>
          <w:szCs w:val="24"/>
        </w:rPr>
      </w:pPr>
      <w:r>
        <w:rPr>
          <w:rFonts w:ascii="黑体" w:hAnsi="黑体" w:eastAsia="黑体" w:cs="黑体"/>
          <w:b/>
          <w:bCs/>
          <w:color w:val="auto"/>
          <w:spacing w:val="-3"/>
          <w:sz w:val="24"/>
          <w:szCs w:val="24"/>
        </w:rPr>
        <w:t>4.竞标费用</w:t>
      </w:r>
    </w:p>
    <w:p w14:paraId="44E7DE21">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供应商应承担参与本次采购活动有关的所有费用，包括但不限于获取磋商文件</w:t>
      </w:r>
      <w:r>
        <w:rPr>
          <w:rFonts w:hint="eastAsia" w:asciiTheme="minorEastAsia" w:hAnsiTheme="minorEastAsia" w:eastAsiaTheme="minorEastAsia" w:cstheme="minorEastAsia"/>
          <w:color w:val="auto"/>
          <w:spacing w:val="9"/>
          <w:sz w:val="21"/>
          <w:szCs w:val="21"/>
          <w:lang w:eastAsia="zh-CN"/>
        </w:rPr>
        <w:t>、</w:t>
      </w:r>
      <w:r>
        <w:rPr>
          <w:rFonts w:hint="eastAsia" w:asciiTheme="minorEastAsia" w:hAnsiTheme="minorEastAsia" w:eastAsiaTheme="minorEastAsia" w:cstheme="minorEastAsia"/>
          <w:color w:val="auto"/>
          <w:spacing w:val="9"/>
          <w:sz w:val="21"/>
          <w:szCs w:val="21"/>
        </w:rPr>
        <w:t>勘查现场</w:t>
      </w:r>
      <w:r>
        <w:rPr>
          <w:rFonts w:hint="eastAsia" w:asciiTheme="minorEastAsia" w:hAnsiTheme="minorEastAsia" w:eastAsiaTheme="minorEastAsia" w:cstheme="minorEastAsia"/>
          <w:color w:val="auto"/>
          <w:spacing w:val="9"/>
          <w:sz w:val="21"/>
          <w:szCs w:val="21"/>
          <w:lang w:eastAsia="zh-CN"/>
        </w:rPr>
        <w:t>、</w:t>
      </w:r>
      <w:r>
        <w:rPr>
          <w:rFonts w:hint="eastAsia" w:asciiTheme="minorEastAsia" w:hAnsiTheme="minorEastAsia" w:eastAsiaTheme="minorEastAsia" w:cstheme="minorEastAsia"/>
          <w:color w:val="auto"/>
          <w:spacing w:val="9"/>
          <w:sz w:val="21"/>
          <w:szCs w:val="21"/>
        </w:rPr>
        <w:t>编制和提交响应文件、参加磋商与应答、签订合同等，不论竞标结果如何</w:t>
      </w:r>
      <w:r>
        <w:rPr>
          <w:rFonts w:hint="eastAsia" w:asciiTheme="minorEastAsia" w:hAnsiTheme="minorEastAsia" w:eastAsiaTheme="minorEastAsia" w:cstheme="minorEastAsia"/>
          <w:color w:val="auto"/>
          <w:spacing w:val="9"/>
          <w:sz w:val="21"/>
          <w:szCs w:val="21"/>
          <w:lang w:eastAsia="zh-CN"/>
        </w:rPr>
        <w:t>，</w:t>
      </w:r>
      <w:r>
        <w:rPr>
          <w:rFonts w:hint="eastAsia" w:asciiTheme="minorEastAsia" w:hAnsiTheme="minorEastAsia" w:eastAsiaTheme="minorEastAsia" w:cstheme="minorEastAsia"/>
          <w:color w:val="auto"/>
          <w:spacing w:val="9"/>
          <w:sz w:val="21"/>
          <w:szCs w:val="21"/>
        </w:rPr>
        <w:t>均应自行承担。</w:t>
      </w:r>
    </w:p>
    <w:p w14:paraId="47F55F44">
      <w:pPr>
        <w:keepNext w:val="0"/>
        <w:keepLines w:val="0"/>
        <w:pageBreakBefore w:val="0"/>
        <w:widowControl/>
        <w:kinsoku w:val="0"/>
        <w:wordWrap/>
        <w:overflowPunct/>
        <w:topLinePunct w:val="0"/>
        <w:autoSpaceDE w:val="0"/>
        <w:autoSpaceDN w:val="0"/>
        <w:bidi w:val="0"/>
        <w:adjustRightInd w:val="0"/>
        <w:snapToGrid w:val="0"/>
        <w:spacing w:line="440" w:lineRule="exact"/>
        <w:ind w:left="476"/>
        <w:textAlignment w:val="baseline"/>
        <w:rPr>
          <w:rFonts w:ascii="黑体" w:hAnsi="黑体" w:eastAsia="黑体" w:cs="黑体"/>
          <w:color w:val="auto"/>
          <w:sz w:val="24"/>
          <w:szCs w:val="24"/>
        </w:rPr>
      </w:pPr>
      <w:r>
        <w:rPr>
          <w:rFonts w:ascii="黑体" w:hAnsi="黑体" w:eastAsia="黑体" w:cs="黑体"/>
          <w:b/>
          <w:bCs/>
          <w:color w:val="auto"/>
          <w:spacing w:val="-3"/>
          <w:sz w:val="24"/>
          <w:szCs w:val="24"/>
        </w:rPr>
        <w:t>5.联合体竞标</w:t>
      </w:r>
    </w:p>
    <w:p w14:paraId="1DD0A506">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5.1 本项目是否接受联合体竞标，详见“供应商须知前附表 ”。</w:t>
      </w:r>
    </w:p>
    <w:p w14:paraId="1B35CEEC">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5.2 如接受联合体竞标，联合体竞标要求详见“供应商须知前附表 ”。</w:t>
      </w:r>
    </w:p>
    <w:p w14:paraId="79B0CCD5">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 xml:space="preserve">5.3 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 </w:t>
      </w:r>
      <w:r>
        <w:rPr>
          <w:rFonts w:hint="eastAsia" w:asciiTheme="minorEastAsia" w:hAnsiTheme="minorEastAsia" w:eastAsiaTheme="minorEastAsia" w:cstheme="minorEastAsia"/>
          <w:color w:val="auto"/>
          <w:spacing w:val="9"/>
          <w:sz w:val="21"/>
          <w:szCs w:val="21"/>
          <w:lang w:val="en-US" w:eastAsia="zh-CN"/>
        </w:rPr>
        <w:t>4</w:t>
      </w:r>
      <w:r>
        <w:rPr>
          <w:rFonts w:hint="eastAsia" w:asciiTheme="minorEastAsia" w:hAnsiTheme="minorEastAsia" w:eastAsiaTheme="minorEastAsia" w:cstheme="minorEastAsia"/>
          <w:color w:val="auto"/>
          <w:spacing w:val="9"/>
          <w:sz w:val="21"/>
          <w:szCs w:val="21"/>
          <w:lang w:eastAsia="zh-CN"/>
        </w:rPr>
        <w:t>%的扣除，用扣除后的价格参加评审。</w:t>
      </w:r>
    </w:p>
    <w:p w14:paraId="52062E97">
      <w:pPr>
        <w:keepNext w:val="0"/>
        <w:keepLines w:val="0"/>
        <w:pageBreakBefore w:val="0"/>
        <w:widowControl/>
        <w:kinsoku w:val="0"/>
        <w:wordWrap/>
        <w:overflowPunct/>
        <w:topLinePunct w:val="0"/>
        <w:autoSpaceDE w:val="0"/>
        <w:autoSpaceDN w:val="0"/>
        <w:bidi w:val="0"/>
        <w:adjustRightInd w:val="0"/>
        <w:snapToGrid w:val="0"/>
        <w:spacing w:before="208" w:line="440" w:lineRule="exact"/>
        <w:ind w:left="481"/>
        <w:textAlignment w:val="baseline"/>
        <w:rPr>
          <w:rFonts w:ascii="黑体" w:hAnsi="黑体" w:eastAsia="黑体" w:cs="黑体"/>
          <w:color w:val="auto"/>
          <w:sz w:val="24"/>
          <w:szCs w:val="24"/>
        </w:rPr>
      </w:pPr>
      <w:r>
        <w:rPr>
          <w:rFonts w:ascii="黑体" w:hAnsi="黑体" w:eastAsia="黑体" w:cs="黑体"/>
          <w:b/>
          <w:bCs/>
          <w:color w:val="auto"/>
          <w:spacing w:val="-4"/>
          <w:sz w:val="24"/>
          <w:szCs w:val="24"/>
        </w:rPr>
        <w:t>6.转包与分包</w:t>
      </w:r>
    </w:p>
    <w:p w14:paraId="1EFCB7DF">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rPr>
      </w:pPr>
      <w:bookmarkStart w:id="8" w:name="_Toc30363"/>
      <w:r>
        <w:rPr>
          <w:rFonts w:hint="eastAsia" w:asciiTheme="minorEastAsia" w:hAnsiTheme="minorEastAsia" w:eastAsiaTheme="minorEastAsia" w:cstheme="minorEastAsia"/>
          <w:color w:val="auto"/>
          <w:spacing w:val="9"/>
          <w:sz w:val="21"/>
          <w:szCs w:val="21"/>
        </w:rPr>
        <w:t>6.1 本项目不允许转包。</w:t>
      </w:r>
      <w:bookmarkEnd w:id="8"/>
    </w:p>
    <w:p w14:paraId="574F35E0">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rPr>
      </w:pPr>
      <w:bookmarkStart w:id="9" w:name="_Toc16855"/>
      <w:r>
        <w:rPr>
          <w:rFonts w:hint="eastAsia" w:asciiTheme="minorEastAsia" w:hAnsiTheme="minorEastAsia" w:eastAsiaTheme="minorEastAsia" w:cstheme="minorEastAsia"/>
          <w:color w:val="auto"/>
          <w:spacing w:val="9"/>
          <w:sz w:val="21"/>
          <w:szCs w:val="21"/>
        </w:rPr>
        <w:t>6.2 本项目是否允许分包详见“供应商须知前附表 ”，本项目不允许违法分包。</w:t>
      </w:r>
      <w:bookmarkEnd w:id="9"/>
    </w:p>
    <w:p w14:paraId="4D050C19">
      <w:pPr>
        <w:keepNext w:val="0"/>
        <w:keepLines w:val="0"/>
        <w:pageBreakBefore w:val="0"/>
        <w:widowControl/>
        <w:kinsoku w:val="0"/>
        <w:wordWrap/>
        <w:overflowPunct/>
        <w:topLinePunct w:val="0"/>
        <w:autoSpaceDE w:val="0"/>
        <w:autoSpaceDN w:val="0"/>
        <w:bidi w:val="0"/>
        <w:adjustRightInd w:val="0"/>
        <w:snapToGrid w:val="0"/>
        <w:spacing w:before="1" w:line="440" w:lineRule="exact"/>
        <w:ind w:left="483"/>
        <w:textAlignment w:val="baseline"/>
        <w:rPr>
          <w:rFonts w:ascii="黑体" w:hAnsi="黑体" w:eastAsia="黑体" w:cs="黑体"/>
          <w:color w:val="auto"/>
          <w:sz w:val="24"/>
          <w:szCs w:val="24"/>
        </w:rPr>
      </w:pPr>
      <w:r>
        <w:rPr>
          <w:rFonts w:ascii="黑体" w:hAnsi="黑体" w:eastAsia="黑体" w:cs="黑体"/>
          <w:b/>
          <w:bCs/>
          <w:color w:val="auto"/>
          <w:spacing w:val="-4"/>
          <w:sz w:val="24"/>
          <w:szCs w:val="24"/>
        </w:rPr>
        <w:t>7.特别说明</w:t>
      </w:r>
    </w:p>
    <w:p w14:paraId="32EEFDFE">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7.1 如果本磋商文件要求提供供应商或制造商的资格、信誉、荣誉、业绩与企业认证等材料的，资格、信誉、荣誉、业绩与企业认证等必须为供应商或者制造商所拥有或自身获得 。</w:t>
      </w:r>
    </w:p>
    <w:p w14:paraId="21FF56A0">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7.2 供应商应仔细阅读磋商文件的所有内容，按照磋商文件的要求提交响应文件</w:t>
      </w:r>
      <w:r>
        <w:rPr>
          <w:rFonts w:hint="eastAsia" w:asciiTheme="minorEastAsia" w:hAnsiTheme="minorEastAsia" w:eastAsiaTheme="minorEastAsia" w:cstheme="minorEastAsia"/>
          <w:color w:val="auto"/>
          <w:spacing w:val="9"/>
          <w:sz w:val="21"/>
          <w:szCs w:val="21"/>
          <w:lang w:eastAsia="zh-CN"/>
        </w:rPr>
        <w:t>，</w:t>
      </w:r>
      <w:r>
        <w:rPr>
          <w:rFonts w:hint="eastAsia" w:asciiTheme="minorEastAsia" w:hAnsiTheme="minorEastAsia" w:eastAsiaTheme="minorEastAsia" w:cstheme="minorEastAsia"/>
          <w:color w:val="auto"/>
          <w:spacing w:val="9"/>
          <w:sz w:val="21"/>
          <w:szCs w:val="21"/>
        </w:rPr>
        <w:t>并对所提供的全部资料的真实性承担法律责任。</w:t>
      </w:r>
    </w:p>
    <w:p w14:paraId="3E85D93B">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7.3 供应商在竞标活动中提供任何疑似虚假材料，将报监管部门查处；签订合同后发现的</w:t>
      </w:r>
      <w:r>
        <w:rPr>
          <w:rFonts w:hint="eastAsia" w:asciiTheme="minorEastAsia" w:hAnsiTheme="minorEastAsia" w:eastAsiaTheme="minorEastAsia" w:cstheme="minorEastAsia"/>
          <w:color w:val="auto"/>
          <w:spacing w:val="9"/>
          <w:sz w:val="21"/>
          <w:szCs w:val="21"/>
          <w:lang w:eastAsia="zh-CN"/>
        </w:rPr>
        <w:t>，</w:t>
      </w:r>
      <w:r>
        <w:rPr>
          <w:rFonts w:hint="eastAsia" w:asciiTheme="minorEastAsia" w:hAnsiTheme="minorEastAsia" w:eastAsiaTheme="minorEastAsia" w:cstheme="minorEastAsia"/>
          <w:color w:val="auto"/>
          <w:spacing w:val="9"/>
          <w:sz w:val="21"/>
          <w:szCs w:val="21"/>
        </w:rPr>
        <w:t>成交供应商须依照《中华人民共和国消费者权益保护法》规定赔偿采购人</w:t>
      </w:r>
      <w:r>
        <w:rPr>
          <w:rFonts w:hint="eastAsia" w:asciiTheme="minorEastAsia" w:hAnsiTheme="minorEastAsia" w:eastAsiaTheme="minorEastAsia" w:cstheme="minorEastAsia"/>
          <w:color w:val="auto"/>
          <w:spacing w:val="9"/>
          <w:sz w:val="21"/>
          <w:szCs w:val="21"/>
          <w:lang w:eastAsia="zh-CN"/>
        </w:rPr>
        <w:t>，</w:t>
      </w:r>
      <w:r>
        <w:rPr>
          <w:rFonts w:hint="eastAsia" w:asciiTheme="minorEastAsia" w:hAnsiTheme="minorEastAsia" w:eastAsiaTheme="minorEastAsia" w:cstheme="minorEastAsia"/>
          <w:color w:val="auto"/>
          <w:spacing w:val="9"/>
          <w:sz w:val="21"/>
          <w:szCs w:val="21"/>
        </w:rPr>
        <w:t>且民事赔偿并不免除违法供应商的行政与刑事责任。</w:t>
      </w:r>
    </w:p>
    <w:p w14:paraId="40BEBE7B">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7.4 在政府采购活动中，采购人员及相关人员与供应商有下列利害关系之一的，应当回避</w:t>
      </w:r>
      <w:r>
        <w:rPr>
          <w:rFonts w:hint="eastAsia" w:asciiTheme="minorEastAsia" w:hAnsiTheme="minorEastAsia" w:eastAsiaTheme="minorEastAsia" w:cstheme="minorEastAsia"/>
          <w:color w:val="auto"/>
          <w:spacing w:val="9"/>
          <w:sz w:val="21"/>
          <w:szCs w:val="21"/>
          <w:lang w:eastAsia="zh-CN"/>
        </w:rPr>
        <w:t>：</w:t>
      </w:r>
    </w:p>
    <w:p w14:paraId="4270B471">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（1）参加采购活动前 3 年内与供应商存在劳动关系；</w:t>
      </w:r>
    </w:p>
    <w:p w14:paraId="738862EF">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（2）参加采购活动前 3 年内担任供应商的董事、监事；</w:t>
      </w:r>
    </w:p>
    <w:p w14:paraId="3C6B6762">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（3）参加采购活动前 3 年内是供应商的控股股东或者实际控制人；</w:t>
      </w:r>
    </w:p>
    <w:p w14:paraId="0AFC4563">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（4）与供应商的法定代表人或者负责人有夫妻、直系血亲、三代以内旁系血亲或者近姻亲关系；</w:t>
      </w:r>
    </w:p>
    <w:p w14:paraId="7CFBC734">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（5）与供应商有其他可能影响政府采购活动公平、公正进行的关系。</w:t>
      </w:r>
    </w:p>
    <w:p w14:paraId="23557FA9">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供应商认为采购人员及相关人员与其他供应商有利害关系的，可以向采购人或者采购代理机构书面提出回避申请，并说明理由。采购人或者采购代理机构应当及时询问被申请回避人员</w:t>
      </w:r>
      <w:r>
        <w:rPr>
          <w:rFonts w:hint="eastAsia" w:asciiTheme="minorEastAsia" w:hAnsiTheme="minorEastAsia" w:eastAsiaTheme="minorEastAsia" w:cstheme="minorEastAsia"/>
          <w:color w:val="auto"/>
          <w:spacing w:val="9"/>
          <w:sz w:val="21"/>
          <w:szCs w:val="21"/>
          <w:lang w:eastAsia="zh-CN"/>
        </w:rPr>
        <w:t>，</w:t>
      </w:r>
      <w:r>
        <w:rPr>
          <w:rFonts w:hint="eastAsia" w:asciiTheme="minorEastAsia" w:hAnsiTheme="minorEastAsia" w:eastAsiaTheme="minorEastAsia" w:cstheme="minorEastAsia"/>
          <w:color w:val="auto"/>
          <w:spacing w:val="9"/>
          <w:sz w:val="21"/>
          <w:szCs w:val="21"/>
        </w:rPr>
        <w:t>有利害关系的被申请回避人员应当回避。</w:t>
      </w:r>
    </w:p>
    <w:p w14:paraId="5E898A74">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7.5 有下列情形之一的视为供应商相互串通竞标，响应文件将被视为无效：</w:t>
      </w:r>
    </w:p>
    <w:p w14:paraId="2A264A30">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（1）不同供应商的响应文件由同一单位或者个人编制；</w:t>
      </w:r>
    </w:p>
    <w:p w14:paraId="3C79234F">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（2）不同供应商委托同一单位或者个人办理竞标事宜；</w:t>
      </w:r>
    </w:p>
    <w:p w14:paraId="4D72D3A3">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（3）不同的供应商的响应文件载明的项目管理员为同一个人；</w:t>
      </w:r>
    </w:p>
    <w:p w14:paraId="507E1118">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（4）不同供应商的响应文件异常一致或者报价呈规律性差异；</w:t>
      </w:r>
    </w:p>
    <w:p w14:paraId="3A02DC5A">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（5）不同供应商的响应文件相互混装；</w:t>
      </w:r>
    </w:p>
    <w:p w14:paraId="5BF6F25B">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（6）不同供应商的磋商保证金从同一单位或者个人账户转出。</w:t>
      </w:r>
    </w:p>
    <w:p w14:paraId="2BBCF6EB">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7.6 供应商有下列情形之一的，属于恶意串通行为，将报同级监督管理部门：</w:t>
      </w:r>
    </w:p>
    <w:p w14:paraId="168508DD">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（1）供应商直接或者间接从采购人或者采购代理机构处获得其他供应商的相关信息并修改其响应文件；</w:t>
      </w:r>
    </w:p>
    <w:p w14:paraId="6346A10E">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（2）供应商按照采购人或者采购代理机构的授意撤换、修改响应文件；</w:t>
      </w:r>
    </w:p>
    <w:p w14:paraId="0F68F55E">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（3）供应商之间协商报价、技术方案等响应文件或者响应文件的实质性内容；</w:t>
      </w:r>
    </w:p>
    <w:p w14:paraId="440BFA31">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（4）属于同一集团、协会、商会等组织成员的供应商按照该组织要求协同参加政府采购活动；</w:t>
      </w:r>
    </w:p>
    <w:p w14:paraId="3E753EEB">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（5）供应商之间事先约定一致抬高或者压低报价，或者在政府采购活动中事先约定轮流以高价位或者低价位成交，或者事先约定由某一特定供应商成交，然后再参加竞标；</w:t>
      </w:r>
    </w:p>
    <w:p w14:paraId="1DF54E22">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（6）供应商之间商定部分供应商放弃参加政府采购活动或者放弃成交；</w:t>
      </w:r>
    </w:p>
    <w:p w14:paraId="61767C76">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（7）供应商与采购人或者采购代理机构之间、供应商相互之间，为谋求特定供应商成交或者排斥其他供应商的其他串通行为。</w:t>
      </w:r>
    </w:p>
    <w:p w14:paraId="2FB503B8">
      <w:pPr>
        <w:keepNext w:val="0"/>
        <w:keepLines w:val="0"/>
        <w:pageBreakBefore w:val="0"/>
        <w:widowControl/>
        <w:kinsoku w:val="0"/>
        <w:wordWrap/>
        <w:overflowPunct/>
        <w:topLinePunct w:val="0"/>
        <w:autoSpaceDE w:val="0"/>
        <w:autoSpaceDN w:val="0"/>
        <w:bidi w:val="0"/>
        <w:adjustRightInd w:val="0"/>
        <w:snapToGrid w:val="0"/>
        <w:spacing w:before="245" w:line="440" w:lineRule="exact"/>
        <w:ind w:left="3750"/>
        <w:textAlignment w:val="baseline"/>
        <w:rPr>
          <w:rFonts w:ascii="宋体" w:hAnsi="宋体" w:eastAsia="宋体" w:cs="宋体"/>
          <w:color w:val="auto"/>
          <w:sz w:val="31"/>
          <w:szCs w:val="31"/>
        </w:rPr>
      </w:pPr>
      <w:r>
        <w:rPr>
          <w:rFonts w:ascii="宋体" w:hAnsi="宋体" w:eastAsia="宋体" w:cs="宋体"/>
          <w:b/>
          <w:bCs/>
          <w:color w:val="auto"/>
          <w:spacing w:val="4"/>
          <w:sz w:val="31"/>
          <w:szCs w:val="31"/>
        </w:rPr>
        <w:t>二、磋商文件</w:t>
      </w:r>
    </w:p>
    <w:p w14:paraId="1DDC4383">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Arial"/>
          <w:color w:val="auto"/>
          <w:sz w:val="21"/>
        </w:rPr>
      </w:pPr>
    </w:p>
    <w:p w14:paraId="5113C3B3">
      <w:pPr>
        <w:keepNext w:val="0"/>
        <w:keepLines w:val="0"/>
        <w:pageBreakBefore w:val="0"/>
        <w:widowControl/>
        <w:kinsoku w:val="0"/>
        <w:wordWrap/>
        <w:overflowPunct/>
        <w:topLinePunct w:val="0"/>
        <w:autoSpaceDE w:val="0"/>
        <w:autoSpaceDN w:val="0"/>
        <w:bidi w:val="0"/>
        <w:adjustRightInd w:val="0"/>
        <w:snapToGrid w:val="0"/>
        <w:spacing w:before="79" w:line="440" w:lineRule="exact"/>
        <w:ind w:left="477"/>
        <w:textAlignment w:val="baseline"/>
        <w:rPr>
          <w:rFonts w:ascii="黑体" w:hAnsi="黑体" w:eastAsia="黑体" w:cs="黑体"/>
          <w:color w:val="auto"/>
          <w:sz w:val="24"/>
          <w:szCs w:val="24"/>
        </w:rPr>
      </w:pPr>
      <w:r>
        <w:rPr>
          <w:rFonts w:ascii="黑体" w:hAnsi="黑体" w:eastAsia="黑体" w:cs="黑体"/>
          <w:b/>
          <w:bCs/>
          <w:color w:val="auto"/>
          <w:spacing w:val="-3"/>
          <w:sz w:val="24"/>
          <w:szCs w:val="24"/>
        </w:rPr>
        <w:t>8.磋商文件的构成</w:t>
      </w:r>
    </w:p>
    <w:p w14:paraId="20DA5402">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（1）竞争性磋商公告/竞标邀请函；</w:t>
      </w:r>
    </w:p>
    <w:p w14:paraId="2E9BE029">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（2）供应商须知；</w:t>
      </w:r>
    </w:p>
    <w:p w14:paraId="4984C5D3">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（3）采购需求；</w:t>
      </w:r>
    </w:p>
    <w:p w14:paraId="0B49516A">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（4）评审程序、评审方法和评审标准；</w:t>
      </w:r>
    </w:p>
    <w:p w14:paraId="720DB459">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（5）响应文件格式；</w:t>
      </w:r>
    </w:p>
    <w:p w14:paraId="6E61BEE2">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（6）合同文本。</w:t>
      </w:r>
    </w:p>
    <w:p w14:paraId="3C87FBB4">
      <w:pPr>
        <w:keepNext w:val="0"/>
        <w:keepLines w:val="0"/>
        <w:pageBreakBefore w:val="0"/>
        <w:widowControl/>
        <w:kinsoku w:val="0"/>
        <w:wordWrap/>
        <w:overflowPunct/>
        <w:topLinePunct w:val="0"/>
        <w:autoSpaceDE w:val="0"/>
        <w:autoSpaceDN w:val="0"/>
        <w:bidi w:val="0"/>
        <w:adjustRightInd w:val="0"/>
        <w:snapToGrid w:val="0"/>
        <w:spacing w:before="191" w:line="440" w:lineRule="exact"/>
        <w:ind w:right="11" w:firstLine="436"/>
        <w:textAlignment w:val="baseline"/>
        <w:rPr>
          <w:rFonts w:hint="eastAsia" w:asciiTheme="minorEastAsia" w:hAnsiTheme="minorEastAsia" w:eastAsiaTheme="minorEastAsia" w:cstheme="minorEastAsia"/>
          <w:color w:val="auto"/>
          <w:spacing w:val="9"/>
          <w:sz w:val="24"/>
          <w:szCs w:val="24"/>
        </w:rPr>
      </w:pPr>
      <w:r>
        <w:rPr>
          <w:rFonts w:ascii="黑体" w:hAnsi="黑体" w:eastAsia="黑体" w:cs="黑体"/>
          <w:b/>
          <w:bCs/>
          <w:color w:val="auto"/>
          <w:spacing w:val="-3"/>
          <w:sz w:val="24"/>
          <w:szCs w:val="24"/>
        </w:rPr>
        <w:t>9.供应商的询问</w:t>
      </w:r>
    </w:p>
    <w:p w14:paraId="3BCAC997">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4"/>
          <w:szCs w:val="24"/>
        </w:rPr>
      </w:pPr>
      <w:r>
        <w:rPr>
          <w:rFonts w:hint="eastAsia" w:asciiTheme="minorEastAsia" w:hAnsiTheme="minorEastAsia" w:eastAsiaTheme="minorEastAsia" w:cstheme="minorEastAsia"/>
          <w:color w:val="auto"/>
          <w:spacing w:val="9"/>
          <w:sz w:val="21"/>
          <w:szCs w:val="21"/>
        </w:rPr>
        <w:t>供应商应认真阅读磋商文件的采购需求，如供应商对磋商文件有疑问的，如要求采购人作出澄清或者修改的，供应商尽可能在提交首次响应文件截止之日前，以书面形式向采购人、采购代理机构提出。</w:t>
      </w:r>
    </w:p>
    <w:p w14:paraId="10CAA5B6">
      <w:pPr>
        <w:keepNext w:val="0"/>
        <w:keepLines w:val="0"/>
        <w:pageBreakBefore w:val="0"/>
        <w:widowControl/>
        <w:kinsoku w:val="0"/>
        <w:wordWrap/>
        <w:overflowPunct/>
        <w:topLinePunct w:val="0"/>
        <w:autoSpaceDE w:val="0"/>
        <w:autoSpaceDN w:val="0"/>
        <w:bidi w:val="0"/>
        <w:adjustRightInd w:val="0"/>
        <w:snapToGrid w:val="0"/>
        <w:spacing w:before="1" w:line="440" w:lineRule="exact"/>
        <w:ind w:left="494"/>
        <w:textAlignment w:val="baseline"/>
        <w:rPr>
          <w:rFonts w:ascii="黑体" w:hAnsi="黑体" w:eastAsia="黑体" w:cs="黑体"/>
          <w:color w:val="auto"/>
          <w:sz w:val="24"/>
          <w:szCs w:val="24"/>
        </w:rPr>
      </w:pPr>
      <w:r>
        <w:rPr>
          <w:rFonts w:ascii="黑体" w:hAnsi="黑体" w:eastAsia="黑体" w:cs="黑体"/>
          <w:b/>
          <w:bCs/>
          <w:color w:val="auto"/>
          <w:spacing w:val="-4"/>
          <w:sz w:val="24"/>
          <w:szCs w:val="24"/>
        </w:rPr>
        <w:t>10.磋商文件的澄清和修改</w:t>
      </w:r>
    </w:p>
    <w:p w14:paraId="5B4C46B2">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提交首次响应文件截止之日前，采购人、采购代理机构或者磋商小组可以对已发出的磋商文件进行必要的澄清或者修改，澄清或者修改的内容作为磋商文件的组成部分</w:t>
      </w:r>
      <w:r>
        <w:rPr>
          <w:rFonts w:hint="eastAsia" w:asciiTheme="minorEastAsia" w:hAnsiTheme="minorEastAsia" w:eastAsiaTheme="minorEastAsia" w:cstheme="minorEastAsia"/>
          <w:color w:val="auto"/>
          <w:spacing w:val="9"/>
          <w:sz w:val="21"/>
          <w:szCs w:val="21"/>
          <w:lang w:eastAsia="zh-CN"/>
        </w:rPr>
        <w:t>。</w:t>
      </w:r>
      <w:r>
        <w:rPr>
          <w:rFonts w:hint="eastAsia" w:asciiTheme="minorEastAsia" w:hAnsiTheme="minorEastAsia" w:eastAsiaTheme="minorEastAsia" w:cstheme="minorEastAsia"/>
          <w:color w:val="auto"/>
          <w:spacing w:val="9"/>
          <w:sz w:val="21"/>
          <w:szCs w:val="21"/>
        </w:rPr>
        <w:t>澄清或者修改的内容可能影响响应文件编制的，采购人、采购代理机构或者磋商小组在提交首次响应文件截止之日 3 个工作日前，以书面形式通知所有获取磋商文件的供应商，不足 3 个工作日的，应当顺延提交首次响应文件截止之日。</w:t>
      </w:r>
    </w:p>
    <w:p w14:paraId="6A647631">
      <w:pPr>
        <w:keepNext w:val="0"/>
        <w:keepLines w:val="0"/>
        <w:pageBreakBefore w:val="0"/>
        <w:widowControl/>
        <w:kinsoku w:val="0"/>
        <w:wordWrap/>
        <w:overflowPunct/>
        <w:topLinePunct w:val="0"/>
        <w:autoSpaceDE w:val="0"/>
        <w:autoSpaceDN w:val="0"/>
        <w:bidi w:val="0"/>
        <w:adjustRightInd w:val="0"/>
        <w:snapToGrid w:val="0"/>
        <w:spacing w:before="101" w:line="440" w:lineRule="exact"/>
        <w:ind w:left="3264"/>
        <w:textAlignment w:val="baseline"/>
        <w:rPr>
          <w:rFonts w:ascii="宋体" w:hAnsi="宋体" w:eastAsia="宋体" w:cs="宋体"/>
          <w:color w:val="auto"/>
          <w:sz w:val="31"/>
          <w:szCs w:val="31"/>
        </w:rPr>
      </w:pPr>
      <w:r>
        <w:rPr>
          <w:rFonts w:ascii="宋体" w:hAnsi="宋体" w:eastAsia="宋体" w:cs="宋体"/>
          <w:b/>
          <w:bCs/>
          <w:color w:val="auto"/>
          <w:spacing w:val="6"/>
          <w:sz w:val="31"/>
          <w:szCs w:val="31"/>
        </w:rPr>
        <w:t>三、响应文件的编制</w:t>
      </w:r>
    </w:p>
    <w:p w14:paraId="6C8812D9">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Arial"/>
          <w:color w:val="auto"/>
          <w:sz w:val="21"/>
        </w:rPr>
      </w:pPr>
    </w:p>
    <w:p w14:paraId="7DB2A18C">
      <w:pPr>
        <w:keepNext w:val="0"/>
        <w:keepLines w:val="0"/>
        <w:pageBreakBefore w:val="0"/>
        <w:widowControl/>
        <w:kinsoku w:val="0"/>
        <w:wordWrap/>
        <w:overflowPunct/>
        <w:topLinePunct w:val="0"/>
        <w:autoSpaceDE w:val="0"/>
        <w:autoSpaceDN w:val="0"/>
        <w:bidi w:val="0"/>
        <w:adjustRightInd w:val="0"/>
        <w:snapToGrid w:val="0"/>
        <w:spacing w:before="78" w:line="440" w:lineRule="exact"/>
        <w:ind w:left="494"/>
        <w:textAlignment w:val="baseline"/>
        <w:rPr>
          <w:rFonts w:ascii="黑体" w:hAnsi="黑体" w:eastAsia="黑体" w:cs="黑体"/>
          <w:color w:val="auto"/>
          <w:sz w:val="24"/>
          <w:szCs w:val="24"/>
        </w:rPr>
      </w:pPr>
      <w:r>
        <w:rPr>
          <w:rFonts w:ascii="黑体" w:hAnsi="黑体" w:eastAsia="黑体" w:cs="黑体"/>
          <w:b/>
          <w:bCs/>
          <w:color w:val="auto"/>
          <w:spacing w:val="-4"/>
          <w:sz w:val="24"/>
          <w:szCs w:val="24"/>
        </w:rPr>
        <w:t>11.响应文件的编制原则</w:t>
      </w:r>
    </w:p>
    <w:p w14:paraId="67B83CAA">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供应商必须按照磋商文件的要求编制响应文件，并对其提交的响应文件的真实性</w:t>
      </w:r>
      <w:r>
        <w:rPr>
          <w:rFonts w:hint="eastAsia" w:asciiTheme="minorEastAsia" w:hAnsiTheme="minorEastAsia" w:eastAsiaTheme="minorEastAsia" w:cstheme="minorEastAsia"/>
          <w:color w:val="auto"/>
          <w:spacing w:val="9"/>
          <w:sz w:val="21"/>
          <w:szCs w:val="21"/>
          <w:lang w:eastAsia="zh-CN"/>
        </w:rPr>
        <w:t>、</w:t>
      </w:r>
      <w:r>
        <w:rPr>
          <w:rFonts w:hint="eastAsia" w:asciiTheme="minorEastAsia" w:hAnsiTheme="minorEastAsia" w:eastAsiaTheme="minorEastAsia" w:cstheme="minorEastAsia"/>
          <w:color w:val="auto"/>
          <w:spacing w:val="9"/>
          <w:sz w:val="21"/>
          <w:szCs w:val="21"/>
        </w:rPr>
        <w:t>合法性承担法律责任。响应文件必须对磋商文件作出实质性响应。</w:t>
      </w:r>
    </w:p>
    <w:p w14:paraId="5F371B38">
      <w:pPr>
        <w:keepNext w:val="0"/>
        <w:keepLines w:val="0"/>
        <w:pageBreakBefore w:val="0"/>
        <w:widowControl/>
        <w:kinsoku w:val="0"/>
        <w:wordWrap/>
        <w:overflowPunct/>
        <w:topLinePunct w:val="0"/>
        <w:autoSpaceDE w:val="0"/>
        <w:autoSpaceDN w:val="0"/>
        <w:bidi w:val="0"/>
        <w:adjustRightInd w:val="0"/>
        <w:snapToGrid w:val="0"/>
        <w:spacing w:line="440" w:lineRule="exact"/>
        <w:ind w:left="494"/>
        <w:textAlignment w:val="baseline"/>
        <w:rPr>
          <w:rFonts w:ascii="黑体" w:hAnsi="黑体" w:eastAsia="黑体" w:cs="黑体"/>
          <w:color w:val="auto"/>
          <w:sz w:val="24"/>
          <w:szCs w:val="24"/>
        </w:rPr>
      </w:pPr>
      <w:r>
        <w:rPr>
          <w:rFonts w:ascii="黑体" w:hAnsi="黑体" w:eastAsia="黑体" w:cs="黑体"/>
          <w:b/>
          <w:bCs/>
          <w:color w:val="auto"/>
          <w:spacing w:val="-5"/>
          <w:sz w:val="24"/>
          <w:szCs w:val="24"/>
        </w:rPr>
        <w:t>12.响应文件的组成</w:t>
      </w:r>
    </w:p>
    <w:p w14:paraId="6281C56E">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12.1 响应文件由资格证明文件、报价文件、商务技术文件三部分组成。</w:t>
      </w:r>
    </w:p>
    <w:p w14:paraId="3F392D78">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12.1.1 资格证明文件：详见“供应商须知前附表 ”</w:t>
      </w:r>
    </w:p>
    <w:p w14:paraId="452FB598">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12.1.2 报价文件：详见“供应商须知前附表 ”</w:t>
      </w:r>
    </w:p>
    <w:p w14:paraId="5BEC6518">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12.1.3 商务技术文件：详见“供应商须知前附表 ”</w:t>
      </w:r>
    </w:p>
    <w:p w14:paraId="0BEF33EF">
      <w:pPr>
        <w:keepNext w:val="0"/>
        <w:keepLines w:val="0"/>
        <w:pageBreakBefore w:val="0"/>
        <w:widowControl/>
        <w:kinsoku w:val="0"/>
        <w:wordWrap/>
        <w:overflowPunct/>
        <w:topLinePunct w:val="0"/>
        <w:autoSpaceDE w:val="0"/>
        <w:autoSpaceDN w:val="0"/>
        <w:bidi w:val="0"/>
        <w:adjustRightInd w:val="0"/>
        <w:snapToGrid w:val="0"/>
        <w:spacing w:before="208" w:line="440" w:lineRule="exact"/>
        <w:ind w:left="494"/>
        <w:textAlignment w:val="baseline"/>
        <w:rPr>
          <w:rFonts w:ascii="黑体" w:hAnsi="黑体" w:eastAsia="黑体" w:cs="黑体"/>
          <w:color w:val="auto"/>
          <w:sz w:val="24"/>
          <w:szCs w:val="24"/>
        </w:rPr>
      </w:pPr>
      <w:r>
        <w:rPr>
          <w:rFonts w:ascii="黑体" w:hAnsi="黑体" w:eastAsia="黑体" w:cs="黑体"/>
          <w:b/>
          <w:bCs/>
          <w:color w:val="auto"/>
          <w:spacing w:val="-6"/>
          <w:sz w:val="24"/>
          <w:szCs w:val="24"/>
        </w:rPr>
        <w:t>13.计量单位</w:t>
      </w:r>
    </w:p>
    <w:p w14:paraId="363F72A6">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磋商文件已有明确规定的，使用磋商文件规定的计量单位；磋商文件没有规定的，应采用中华人民共和国法定计量单位，货币种类为人民币，否则视同未响应。</w:t>
      </w:r>
    </w:p>
    <w:p w14:paraId="51E63484">
      <w:pPr>
        <w:keepNext w:val="0"/>
        <w:keepLines w:val="0"/>
        <w:pageBreakBefore w:val="0"/>
        <w:widowControl/>
        <w:kinsoku w:val="0"/>
        <w:wordWrap/>
        <w:overflowPunct/>
        <w:topLinePunct w:val="0"/>
        <w:autoSpaceDE w:val="0"/>
        <w:autoSpaceDN w:val="0"/>
        <w:bidi w:val="0"/>
        <w:adjustRightInd w:val="0"/>
        <w:snapToGrid w:val="0"/>
        <w:spacing w:line="440" w:lineRule="exact"/>
        <w:ind w:left="494"/>
        <w:textAlignment w:val="baseline"/>
        <w:rPr>
          <w:rFonts w:ascii="黑体" w:hAnsi="黑体" w:eastAsia="黑体" w:cs="黑体"/>
          <w:color w:val="auto"/>
          <w:sz w:val="24"/>
          <w:szCs w:val="24"/>
        </w:rPr>
      </w:pPr>
      <w:r>
        <w:rPr>
          <w:rFonts w:ascii="黑体" w:hAnsi="黑体" w:eastAsia="黑体" w:cs="黑体"/>
          <w:b/>
          <w:bCs/>
          <w:color w:val="auto"/>
          <w:spacing w:val="-5"/>
          <w:sz w:val="24"/>
          <w:szCs w:val="24"/>
        </w:rPr>
        <w:t>14.竞标的风险</w:t>
      </w:r>
    </w:p>
    <w:p w14:paraId="4E6DA2B1">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供应商没有按照磋商文件要求提供全部资料，或者供应商没有对磋商文件在各方面作出实质性响应可能导致其响应无效，是供应商应当考虑的风险。</w:t>
      </w:r>
    </w:p>
    <w:p w14:paraId="0ADD806E">
      <w:pPr>
        <w:keepNext w:val="0"/>
        <w:keepLines w:val="0"/>
        <w:pageBreakBefore w:val="0"/>
        <w:widowControl/>
        <w:kinsoku w:val="0"/>
        <w:wordWrap/>
        <w:overflowPunct/>
        <w:topLinePunct w:val="0"/>
        <w:autoSpaceDE w:val="0"/>
        <w:autoSpaceDN w:val="0"/>
        <w:bidi w:val="0"/>
        <w:adjustRightInd w:val="0"/>
        <w:snapToGrid w:val="0"/>
        <w:spacing w:before="1" w:line="440" w:lineRule="exact"/>
        <w:ind w:left="494"/>
        <w:textAlignment w:val="baseline"/>
        <w:rPr>
          <w:rFonts w:ascii="黑体" w:hAnsi="黑体" w:eastAsia="黑体" w:cs="黑体"/>
          <w:color w:val="auto"/>
          <w:sz w:val="24"/>
          <w:szCs w:val="24"/>
        </w:rPr>
      </w:pPr>
      <w:r>
        <w:rPr>
          <w:rFonts w:ascii="黑体" w:hAnsi="黑体" w:eastAsia="黑体" w:cs="黑体"/>
          <w:b/>
          <w:bCs/>
          <w:color w:val="auto"/>
          <w:spacing w:val="-6"/>
          <w:sz w:val="24"/>
          <w:szCs w:val="24"/>
        </w:rPr>
        <w:t>15.竞标报价</w:t>
      </w:r>
    </w:p>
    <w:p w14:paraId="665169F0">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15.1 竞标报价应按磋商文件中“竞标报价表 ”格式填写。</w:t>
      </w:r>
    </w:p>
    <w:p w14:paraId="2A0C4EEA">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15.2 竞标报价的内容见“供应商须知前附表 ”。</w:t>
      </w:r>
    </w:p>
    <w:p w14:paraId="300E59EC">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15.3 竞标报价要求</w:t>
      </w:r>
    </w:p>
    <w:p w14:paraId="566C9B34">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15.3.1 供应商的竞标报价应符合以下要求，否则响应文件按无效响应处理：</w:t>
      </w:r>
    </w:p>
    <w:p w14:paraId="468CBD22">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（1）供应商必须就“采购需求 ”中所竞标的每个分标的全部内容分别作完整唯一总价报价，不得存在漏项报价；</w:t>
      </w:r>
    </w:p>
    <w:p w14:paraId="11920656">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（2）供应商必须就所竞标的分标的单项内容作唯一报价。</w:t>
      </w:r>
    </w:p>
    <w:p w14:paraId="4E8B2A78">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15.3.2 竞标报价（包含首次报价、最后报价）超过所竞标分标规定的采购预算金额或者最高限价的，其响应文件将按无效处理。</w:t>
      </w:r>
    </w:p>
    <w:p w14:paraId="4B97F9E8">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15.3.3 竞标报价（包含首次报价、最后报价）超过分项采购预算金额或者最高限价的，其响应文件将按无效处理。</w:t>
      </w:r>
    </w:p>
    <w:p w14:paraId="7805E90D">
      <w:pPr>
        <w:keepNext w:val="0"/>
        <w:keepLines w:val="0"/>
        <w:pageBreakBefore w:val="0"/>
        <w:widowControl/>
        <w:kinsoku w:val="0"/>
        <w:wordWrap/>
        <w:overflowPunct/>
        <w:topLinePunct w:val="0"/>
        <w:autoSpaceDE w:val="0"/>
        <w:autoSpaceDN w:val="0"/>
        <w:bidi w:val="0"/>
        <w:adjustRightInd w:val="0"/>
        <w:snapToGrid w:val="0"/>
        <w:spacing w:before="206" w:line="440" w:lineRule="exact"/>
        <w:ind w:left="495"/>
        <w:textAlignment w:val="baseline"/>
        <w:rPr>
          <w:rFonts w:ascii="黑体" w:hAnsi="黑体" w:eastAsia="黑体" w:cs="黑体"/>
          <w:color w:val="auto"/>
          <w:sz w:val="24"/>
          <w:szCs w:val="24"/>
        </w:rPr>
      </w:pPr>
      <w:r>
        <w:rPr>
          <w:rFonts w:ascii="黑体" w:hAnsi="黑体" w:eastAsia="黑体" w:cs="黑体"/>
          <w:b/>
          <w:bCs/>
          <w:color w:val="auto"/>
          <w:spacing w:val="-5"/>
          <w:sz w:val="24"/>
          <w:szCs w:val="24"/>
        </w:rPr>
        <w:t>16.竞标有效期</w:t>
      </w:r>
    </w:p>
    <w:p w14:paraId="4018F884">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16.1 竞标有效期是指为保证采购人有足够的时间在提交响应文件后完成评审、确定成交供应商、合同签订等工作而要求供应商提交的响应文件在一定时间内保持有效的期限。</w:t>
      </w:r>
    </w:p>
    <w:p w14:paraId="6DF8162B">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16.2 竞标有效期应由供应商按“供应商须知前附表 ”规定的期限作出响应。</w:t>
      </w:r>
    </w:p>
    <w:p w14:paraId="33DCE0AD">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16.3 供应商的响应文件在竞标有效期内均保持有效。</w:t>
      </w:r>
    </w:p>
    <w:p w14:paraId="2E66A18E">
      <w:pPr>
        <w:keepNext w:val="0"/>
        <w:keepLines w:val="0"/>
        <w:pageBreakBefore w:val="0"/>
        <w:widowControl/>
        <w:kinsoku w:val="0"/>
        <w:wordWrap/>
        <w:overflowPunct/>
        <w:topLinePunct w:val="0"/>
        <w:autoSpaceDE w:val="0"/>
        <w:autoSpaceDN w:val="0"/>
        <w:bidi w:val="0"/>
        <w:adjustRightInd w:val="0"/>
        <w:snapToGrid w:val="0"/>
        <w:spacing w:before="207" w:line="440" w:lineRule="exact"/>
        <w:ind w:left="495"/>
        <w:textAlignment w:val="baseline"/>
        <w:rPr>
          <w:rFonts w:ascii="黑体" w:hAnsi="黑体" w:eastAsia="黑体" w:cs="黑体"/>
          <w:color w:val="auto"/>
          <w:sz w:val="24"/>
          <w:szCs w:val="24"/>
        </w:rPr>
      </w:pPr>
      <w:r>
        <w:rPr>
          <w:rFonts w:ascii="黑体" w:hAnsi="黑体" w:eastAsia="黑体" w:cs="黑体"/>
          <w:b/>
          <w:bCs/>
          <w:color w:val="auto"/>
          <w:spacing w:val="-5"/>
          <w:sz w:val="24"/>
          <w:szCs w:val="24"/>
        </w:rPr>
        <w:t>17.磋商保证金</w:t>
      </w:r>
    </w:p>
    <w:p w14:paraId="1BFD6FEF">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17.1 供应商须按“供应商须知前附表 ”的规定提交磋商保证金。</w:t>
      </w:r>
    </w:p>
    <w:p w14:paraId="1DFA6DFA">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17.2 磋商保证金的退还</w:t>
      </w:r>
    </w:p>
    <w:p w14:paraId="1B7318AE">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未成交供应商的竞标保证金自成交通知书发出之日起 5 个工作日内退还；成交供应商的磋商保证金自签订合同之日起 5 个工作日内退还。</w:t>
      </w:r>
    </w:p>
    <w:p w14:paraId="41EF9C08">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17.3 磋商保证金不计息。</w:t>
      </w:r>
    </w:p>
    <w:p w14:paraId="198D1E90">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17.4 供应商有下列情形之一的，磋商保证金将不予退还：</w:t>
      </w:r>
    </w:p>
    <w:p w14:paraId="6DAFEEAC">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（1）供应商在提交响应文件截止时间后撤回响应文件的；</w:t>
      </w:r>
    </w:p>
    <w:p w14:paraId="241425A7">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（2）未按规定提交履约保证金的；</w:t>
      </w:r>
    </w:p>
    <w:p w14:paraId="7F4D0D82">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（3）供应商在响应文件中提供虚假材料的；</w:t>
      </w:r>
    </w:p>
    <w:p w14:paraId="49497463">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（4）除因不可抗力或者磋商文件认可的情形以外，成交供应商不与采购人签订合同的；</w:t>
      </w:r>
    </w:p>
    <w:p w14:paraId="5EB9C5FA">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（5）供应商与采购人、其他供应商或者采购代理机构恶意串通的；</w:t>
      </w:r>
    </w:p>
    <w:p w14:paraId="32F5F6FA">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（6）法律法规规定的其他情形。</w:t>
      </w:r>
    </w:p>
    <w:p w14:paraId="78AFA42F">
      <w:pPr>
        <w:keepNext w:val="0"/>
        <w:keepLines w:val="0"/>
        <w:pageBreakBefore w:val="0"/>
        <w:widowControl/>
        <w:kinsoku w:val="0"/>
        <w:wordWrap/>
        <w:overflowPunct/>
        <w:topLinePunct w:val="0"/>
        <w:autoSpaceDE w:val="0"/>
        <w:autoSpaceDN w:val="0"/>
        <w:bidi w:val="0"/>
        <w:adjustRightInd w:val="0"/>
        <w:snapToGrid w:val="0"/>
        <w:spacing w:before="206" w:line="440" w:lineRule="exact"/>
        <w:ind w:left="495"/>
        <w:textAlignment w:val="baseline"/>
        <w:rPr>
          <w:rFonts w:ascii="黑体" w:hAnsi="黑体" w:eastAsia="黑体" w:cs="黑体"/>
          <w:color w:val="auto"/>
          <w:sz w:val="24"/>
          <w:szCs w:val="24"/>
        </w:rPr>
      </w:pPr>
      <w:r>
        <w:rPr>
          <w:rFonts w:ascii="黑体" w:hAnsi="黑体" w:eastAsia="黑体" w:cs="黑体"/>
          <w:b/>
          <w:bCs/>
          <w:color w:val="auto"/>
          <w:spacing w:val="-4"/>
          <w:sz w:val="24"/>
          <w:szCs w:val="24"/>
        </w:rPr>
        <w:t>18.响应文件编制的要求</w:t>
      </w:r>
    </w:p>
    <w:p w14:paraId="6F9C128E">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18.1 供应商应先安装“广西政府采购云平台电子交易客户端 ”（请自行前往广西政府采购云平台进行下载），并按照本项目磋商文件规定的格式和顺序和广西政府采购云平台的要求编制并加密。响应文件内容不完整、编排混乱导致响应文件被误读、漏读或者查找不到相关内容的，由此引发的后果由供应商承担。</w:t>
      </w:r>
    </w:p>
    <w:p w14:paraId="45028B54">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18.2 为确保网上操作合法、有效和安全，供应商应当在提交响应文件截止时间前完成在广西政府采购云平台的身份认证，确保在电子竞标过程中能够对相关数据电文进行加密和使用电子签章。</w:t>
      </w:r>
    </w:p>
    <w:p w14:paraId="574B23EE">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18.3 响应文件须由供应商在规定位置签字、盖章（具体以供应商须知前附表或响应文件格式规定为准），否则按无效响应处理。</w:t>
      </w:r>
    </w:p>
    <w:p w14:paraId="7493A6D3">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18.4 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0B4ADD40">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18.5 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373F917C">
      <w:pPr>
        <w:keepNext w:val="0"/>
        <w:keepLines w:val="0"/>
        <w:pageBreakBefore w:val="0"/>
        <w:widowControl/>
        <w:kinsoku w:val="0"/>
        <w:wordWrap/>
        <w:overflowPunct/>
        <w:topLinePunct w:val="0"/>
        <w:autoSpaceDE w:val="0"/>
        <w:autoSpaceDN w:val="0"/>
        <w:bidi w:val="0"/>
        <w:adjustRightInd w:val="0"/>
        <w:snapToGrid w:val="0"/>
        <w:spacing w:before="207" w:line="440" w:lineRule="exact"/>
        <w:ind w:left="495"/>
        <w:textAlignment w:val="baseline"/>
        <w:rPr>
          <w:rFonts w:ascii="黑体" w:hAnsi="黑体" w:eastAsia="黑体" w:cs="黑体"/>
          <w:color w:val="auto"/>
          <w:sz w:val="24"/>
          <w:szCs w:val="24"/>
        </w:rPr>
      </w:pPr>
      <w:r>
        <w:rPr>
          <w:rFonts w:ascii="黑体" w:hAnsi="黑体" w:eastAsia="黑体" w:cs="黑体"/>
          <w:b/>
          <w:bCs/>
          <w:color w:val="auto"/>
          <w:spacing w:val="-4"/>
          <w:sz w:val="24"/>
          <w:szCs w:val="24"/>
        </w:rPr>
        <w:t>19.电子备份响应文件</w:t>
      </w:r>
    </w:p>
    <w:p w14:paraId="052E6EB8">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电子备份响应文件是指通过“广西政府采购云电子投标客户端”在线编制生成且后缀名为“bfbs”的文件，是否接受电子备份响应文件详见“供应商须知前附表 ”。</w:t>
      </w:r>
    </w:p>
    <w:p w14:paraId="548DB65A">
      <w:pPr>
        <w:keepNext w:val="0"/>
        <w:keepLines w:val="0"/>
        <w:pageBreakBefore w:val="0"/>
        <w:widowControl/>
        <w:kinsoku w:val="0"/>
        <w:wordWrap/>
        <w:overflowPunct/>
        <w:topLinePunct w:val="0"/>
        <w:autoSpaceDE w:val="0"/>
        <w:autoSpaceDN w:val="0"/>
        <w:bidi w:val="0"/>
        <w:adjustRightInd w:val="0"/>
        <w:snapToGrid w:val="0"/>
        <w:spacing w:before="1" w:line="440" w:lineRule="exact"/>
        <w:ind w:left="480"/>
        <w:textAlignment w:val="baseline"/>
        <w:rPr>
          <w:rFonts w:ascii="黑体" w:hAnsi="黑体" w:eastAsia="黑体" w:cs="黑体"/>
          <w:color w:val="auto"/>
          <w:sz w:val="24"/>
          <w:szCs w:val="24"/>
        </w:rPr>
      </w:pPr>
      <w:r>
        <w:rPr>
          <w:rFonts w:ascii="黑体" w:hAnsi="黑体" w:eastAsia="黑体" w:cs="黑体"/>
          <w:b/>
          <w:bCs/>
          <w:color w:val="auto"/>
          <w:spacing w:val="-3"/>
          <w:sz w:val="24"/>
          <w:szCs w:val="24"/>
        </w:rPr>
        <w:t>20.响应文件的提交</w:t>
      </w:r>
    </w:p>
    <w:p w14:paraId="0A2DBE10">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20.1 供应商必须按“供应商须知前附表 ”规定的时间及地点提交响应文件。电子响应文件应在制作完成后，在提交响应文件截止时间前通过有效数字证书（CA 认证锁）进行电子签章、加密，然后通过网络将加密的电子响应文件提交至广西政府采购云平台。</w:t>
      </w:r>
    </w:p>
    <w:p w14:paraId="18C15448">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b/>
          <w:bCs/>
          <w:color w:val="auto"/>
          <w:spacing w:val="9"/>
          <w:sz w:val="21"/>
          <w:szCs w:val="21"/>
          <w:lang w:eastAsia="zh-CN"/>
        </w:rPr>
      </w:pPr>
      <w:r>
        <w:rPr>
          <w:rFonts w:hint="eastAsia" w:asciiTheme="minorEastAsia" w:hAnsiTheme="minorEastAsia" w:eastAsiaTheme="minorEastAsia" w:cstheme="minorEastAsia"/>
          <w:b/>
          <w:bCs/>
          <w:color w:val="auto"/>
          <w:spacing w:val="9"/>
          <w:sz w:val="21"/>
          <w:szCs w:val="21"/>
          <w:lang w:eastAsia="zh-CN"/>
        </w:rPr>
        <w:t>20.2 未在规定时间内提交或者未按照磋商文件要求加密的电子响应文件，广西政府采购云平台将拒收。</w:t>
      </w:r>
    </w:p>
    <w:p w14:paraId="04D69251">
      <w:pPr>
        <w:keepNext w:val="0"/>
        <w:keepLines w:val="0"/>
        <w:pageBreakBefore w:val="0"/>
        <w:widowControl/>
        <w:kinsoku w:val="0"/>
        <w:wordWrap/>
        <w:overflowPunct/>
        <w:topLinePunct w:val="0"/>
        <w:autoSpaceDE w:val="0"/>
        <w:autoSpaceDN w:val="0"/>
        <w:bidi w:val="0"/>
        <w:adjustRightInd w:val="0"/>
        <w:snapToGrid w:val="0"/>
        <w:spacing w:before="206" w:line="440" w:lineRule="exact"/>
        <w:ind w:left="480"/>
        <w:textAlignment w:val="baseline"/>
        <w:rPr>
          <w:rFonts w:ascii="黑体" w:hAnsi="黑体" w:eastAsia="黑体" w:cs="黑体"/>
          <w:color w:val="auto"/>
          <w:sz w:val="24"/>
          <w:szCs w:val="24"/>
        </w:rPr>
      </w:pPr>
      <w:r>
        <w:rPr>
          <w:rFonts w:ascii="黑体" w:hAnsi="黑体" w:eastAsia="黑体" w:cs="黑体"/>
          <w:b/>
          <w:bCs/>
          <w:color w:val="auto"/>
          <w:spacing w:val="-3"/>
          <w:sz w:val="24"/>
          <w:szCs w:val="24"/>
        </w:rPr>
        <w:t>21.首次响应文件的补充、修改与撤回</w:t>
      </w:r>
    </w:p>
    <w:p w14:paraId="46109A64">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21.1 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补充、修改或者撤回方式可登录广西政府采购云平台，进入“服务中</w:t>
      </w:r>
      <w:r>
        <w:rPr>
          <w:rFonts w:hint="eastAsia" w:asciiTheme="minorEastAsia" w:hAnsiTheme="minorEastAsia" w:eastAsiaTheme="minorEastAsia" w:cstheme="minorEastAsia"/>
          <w:color w:val="auto"/>
          <w:spacing w:val="9"/>
          <w:sz w:val="21"/>
          <w:szCs w:val="21"/>
          <w:lang w:val="en-US" w:eastAsia="zh-CN"/>
        </w:rPr>
        <w:t>心</w:t>
      </w:r>
      <w:r>
        <w:rPr>
          <w:rFonts w:hint="default" w:asciiTheme="minorEastAsia" w:hAnsiTheme="minorEastAsia" w:eastAsiaTheme="minorEastAsia" w:cstheme="minorEastAsia"/>
          <w:color w:val="auto"/>
          <w:spacing w:val="9"/>
          <w:sz w:val="21"/>
          <w:szCs w:val="21"/>
          <w:lang w:val="en-US" w:eastAsia="zh-CN"/>
        </w:rPr>
        <w:t>”</w:t>
      </w:r>
      <w:r>
        <w:rPr>
          <w:rFonts w:hint="eastAsia" w:asciiTheme="minorEastAsia" w:hAnsiTheme="minorEastAsia" w:eastAsiaTheme="minorEastAsia" w:cstheme="minorEastAsia"/>
          <w:color w:val="auto"/>
          <w:spacing w:val="9"/>
          <w:sz w:val="21"/>
          <w:szCs w:val="21"/>
          <w:lang w:eastAsia="zh-CN"/>
        </w:rPr>
        <w:t xml:space="preserve"> 中查看 “ 电子投标文件制作与投送教程 ”）</w:t>
      </w:r>
    </w:p>
    <w:p w14:paraId="593B9593">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21.2 在提交响应文件截止时间前，除供应商补充、修改或者撤回响应文件外，任何单位和个人不得解密或提取响应文件。</w:t>
      </w:r>
    </w:p>
    <w:p w14:paraId="24271B16">
      <w:pPr>
        <w:keepNext w:val="0"/>
        <w:keepLines w:val="0"/>
        <w:pageBreakBefore w:val="0"/>
        <w:widowControl/>
        <w:kinsoku w:val="0"/>
        <w:wordWrap/>
        <w:overflowPunct/>
        <w:topLinePunct w:val="0"/>
        <w:autoSpaceDE w:val="0"/>
        <w:autoSpaceDN w:val="0"/>
        <w:bidi w:val="0"/>
        <w:adjustRightInd w:val="0"/>
        <w:snapToGrid w:val="0"/>
        <w:spacing w:before="206" w:line="440" w:lineRule="exact"/>
        <w:ind w:left="480"/>
        <w:textAlignment w:val="baseline"/>
        <w:rPr>
          <w:rFonts w:ascii="黑体" w:hAnsi="黑体" w:eastAsia="黑体" w:cs="黑体"/>
          <w:color w:val="auto"/>
          <w:sz w:val="24"/>
          <w:szCs w:val="24"/>
        </w:rPr>
      </w:pPr>
      <w:r>
        <w:rPr>
          <w:rFonts w:ascii="黑体" w:hAnsi="黑体" w:eastAsia="黑体" w:cs="黑体"/>
          <w:b/>
          <w:bCs/>
          <w:color w:val="auto"/>
          <w:spacing w:val="-3"/>
          <w:sz w:val="24"/>
          <w:szCs w:val="24"/>
        </w:rPr>
        <w:t>22.响应文件的退回</w:t>
      </w:r>
    </w:p>
    <w:p w14:paraId="65DF182C">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采购人和采购代理机构对已提交的响应文件概不退回。</w:t>
      </w:r>
    </w:p>
    <w:p w14:paraId="79B761E6">
      <w:pPr>
        <w:keepNext w:val="0"/>
        <w:keepLines w:val="0"/>
        <w:pageBreakBefore w:val="0"/>
        <w:widowControl/>
        <w:kinsoku w:val="0"/>
        <w:wordWrap/>
        <w:overflowPunct/>
        <w:topLinePunct w:val="0"/>
        <w:autoSpaceDE w:val="0"/>
        <w:autoSpaceDN w:val="0"/>
        <w:bidi w:val="0"/>
        <w:adjustRightInd w:val="0"/>
        <w:snapToGrid w:val="0"/>
        <w:spacing w:before="207" w:line="440" w:lineRule="exact"/>
        <w:ind w:left="480"/>
        <w:textAlignment w:val="baseline"/>
        <w:rPr>
          <w:rFonts w:ascii="黑体" w:hAnsi="黑体" w:eastAsia="黑体" w:cs="黑体"/>
          <w:color w:val="auto"/>
          <w:sz w:val="24"/>
          <w:szCs w:val="24"/>
        </w:rPr>
      </w:pPr>
      <w:r>
        <w:rPr>
          <w:rFonts w:ascii="黑体" w:hAnsi="黑体" w:eastAsia="黑体" w:cs="黑体"/>
          <w:b/>
          <w:bCs/>
          <w:color w:val="auto"/>
          <w:spacing w:val="-3"/>
          <w:sz w:val="24"/>
          <w:szCs w:val="24"/>
        </w:rPr>
        <w:t>23.截止时间后的撤回</w:t>
      </w:r>
    </w:p>
    <w:p w14:paraId="3611A373">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供应商在响应文件提交截止时间后向采购人、采购代理机构书面申请撤回响应文件的，将根据本须知正文 17.4 的规定不予退还其磋商保证金。</w:t>
      </w:r>
    </w:p>
    <w:p w14:paraId="68275F0B">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Arial"/>
          <w:color w:val="auto"/>
          <w:sz w:val="21"/>
        </w:rPr>
      </w:pPr>
    </w:p>
    <w:p w14:paraId="436B2122">
      <w:pPr>
        <w:keepNext w:val="0"/>
        <w:keepLines w:val="0"/>
        <w:pageBreakBefore w:val="0"/>
        <w:widowControl/>
        <w:kinsoku w:val="0"/>
        <w:wordWrap/>
        <w:overflowPunct/>
        <w:topLinePunct w:val="0"/>
        <w:autoSpaceDE w:val="0"/>
        <w:autoSpaceDN w:val="0"/>
        <w:bidi w:val="0"/>
        <w:adjustRightInd w:val="0"/>
        <w:snapToGrid w:val="0"/>
        <w:spacing w:before="102" w:line="440" w:lineRule="exact"/>
        <w:ind w:left="4035"/>
        <w:textAlignment w:val="baseline"/>
        <w:rPr>
          <w:rFonts w:ascii="宋体" w:hAnsi="宋体" w:eastAsia="宋体" w:cs="宋体"/>
          <w:color w:val="auto"/>
          <w:sz w:val="31"/>
          <w:szCs w:val="31"/>
        </w:rPr>
      </w:pPr>
      <w:r>
        <w:rPr>
          <w:rFonts w:ascii="宋体" w:hAnsi="宋体" w:eastAsia="宋体" w:cs="宋体"/>
          <w:b/>
          <w:bCs/>
          <w:color w:val="auto"/>
          <w:spacing w:val="1"/>
          <w:sz w:val="31"/>
          <w:szCs w:val="31"/>
        </w:rPr>
        <w:t>四、评审及磋商</w:t>
      </w:r>
    </w:p>
    <w:p w14:paraId="5CB42A72">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Arial"/>
          <w:color w:val="auto"/>
          <w:sz w:val="21"/>
        </w:rPr>
      </w:pPr>
    </w:p>
    <w:p w14:paraId="35ADB163">
      <w:pPr>
        <w:keepNext w:val="0"/>
        <w:keepLines w:val="0"/>
        <w:pageBreakBefore w:val="0"/>
        <w:widowControl/>
        <w:kinsoku w:val="0"/>
        <w:wordWrap/>
        <w:overflowPunct/>
        <w:topLinePunct w:val="0"/>
        <w:autoSpaceDE w:val="0"/>
        <w:autoSpaceDN w:val="0"/>
        <w:bidi w:val="0"/>
        <w:adjustRightInd w:val="0"/>
        <w:snapToGrid w:val="0"/>
        <w:spacing w:before="78" w:line="440" w:lineRule="exact"/>
        <w:ind w:left="480"/>
        <w:textAlignment w:val="baseline"/>
        <w:rPr>
          <w:rFonts w:ascii="黑体" w:hAnsi="黑体" w:eastAsia="黑体" w:cs="黑体"/>
          <w:color w:val="auto"/>
          <w:sz w:val="24"/>
          <w:szCs w:val="24"/>
        </w:rPr>
      </w:pPr>
      <w:r>
        <w:rPr>
          <w:rFonts w:ascii="黑体" w:hAnsi="黑体" w:eastAsia="黑体" w:cs="黑体"/>
          <w:b/>
          <w:bCs/>
          <w:color w:val="auto"/>
          <w:spacing w:val="-3"/>
          <w:sz w:val="24"/>
          <w:szCs w:val="24"/>
        </w:rPr>
        <w:t>24.磋商小组成立</w:t>
      </w:r>
    </w:p>
    <w:p w14:paraId="364DDA30">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24.1 磋商小组由采购人代表和评审专家共 3 人以上单数组成，具体人数见“供应商须知前附表 ”，其中评审专家人数不得少于磋商小组成员总数的 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 5 人以上单数组成。</w:t>
      </w:r>
    </w:p>
    <w:p w14:paraId="40434ECE">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24.2 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 1 名法律专家。</w:t>
      </w:r>
    </w:p>
    <w:p w14:paraId="42C8ABC4">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24.3 采购代理机构应当基于广西政府采购云平台抽（选）取评审专家。</w:t>
      </w:r>
    </w:p>
    <w:p w14:paraId="6057D3E3">
      <w:pPr>
        <w:keepNext w:val="0"/>
        <w:keepLines w:val="0"/>
        <w:pageBreakBefore w:val="0"/>
        <w:widowControl/>
        <w:kinsoku w:val="0"/>
        <w:wordWrap/>
        <w:overflowPunct/>
        <w:topLinePunct w:val="0"/>
        <w:autoSpaceDE w:val="0"/>
        <w:autoSpaceDN w:val="0"/>
        <w:bidi w:val="0"/>
        <w:adjustRightInd w:val="0"/>
        <w:snapToGrid w:val="0"/>
        <w:spacing w:before="207" w:line="440" w:lineRule="exact"/>
        <w:ind w:left="480"/>
        <w:textAlignment w:val="baseline"/>
        <w:rPr>
          <w:rFonts w:ascii="黑体" w:hAnsi="黑体" w:eastAsia="黑体" w:cs="黑体"/>
          <w:color w:val="auto"/>
          <w:sz w:val="24"/>
          <w:szCs w:val="24"/>
        </w:rPr>
      </w:pPr>
      <w:r>
        <w:rPr>
          <w:rFonts w:ascii="黑体" w:hAnsi="黑体" w:eastAsia="黑体" w:cs="黑体"/>
          <w:b/>
          <w:bCs/>
          <w:color w:val="auto"/>
          <w:spacing w:val="-3"/>
          <w:sz w:val="24"/>
          <w:szCs w:val="24"/>
        </w:rPr>
        <w:t>25.首次响应文件的开启和解密</w:t>
      </w:r>
    </w:p>
    <w:p w14:paraId="6265FF08">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采购代理机构将在“供应商须知前附表 ”规定的时间通过电子交易平台组织响应文件开启，供应商的法定代表人或其委托代理人须携带加密时所用的CA 锁，按平台提示和磋商文件的规定登录到广西政府采购云平台电子开标大厅签到，采购代理机构依托广西政府采购云平台向各供应商发出电子加密响应文件【开始解密】通知，由供应商按“供应商须知前附表 ”规定的时间内自行进行响应文件解密。供应商未在规定的时间内解密响应文件或者解密失败的，供应商的响应文件作无效处理。</w:t>
      </w:r>
    </w:p>
    <w:p w14:paraId="15D415AF">
      <w:pPr>
        <w:keepNext w:val="0"/>
        <w:keepLines w:val="0"/>
        <w:pageBreakBefore w:val="0"/>
        <w:widowControl/>
        <w:kinsoku w:val="0"/>
        <w:wordWrap/>
        <w:overflowPunct/>
        <w:topLinePunct w:val="0"/>
        <w:autoSpaceDE w:val="0"/>
        <w:autoSpaceDN w:val="0"/>
        <w:bidi w:val="0"/>
        <w:adjustRightInd w:val="0"/>
        <w:snapToGrid w:val="0"/>
        <w:spacing w:before="2" w:line="440" w:lineRule="exact"/>
        <w:ind w:left="480"/>
        <w:textAlignment w:val="baseline"/>
        <w:rPr>
          <w:rFonts w:ascii="黑体" w:hAnsi="黑体" w:eastAsia="黑体" w:cs="黑体"/>
          <w:color w:val="auto"/>
          <w:sz w:val="24"/>
          <w:szCs w:val="24"/>
        </w:rPr>
      </w:pPr>
      <w:r>
        <w:rPr>
          <w:rFonts w:ascii="黑体" w:hAnsi="黑体" w:eastAsia="黑体" w:cs="黑体"/>
          <w:b/>
          <w:bCs/>
          <w:color w:val="auto"/>
          <w:spacing w:val="-3"/>
          <w:sz w:val="24"/>
          <w:szCs w:val="24"/>
        </w:rPr>
        <w:t>26.评审程序、评审方法和评审标准</w:t>
      </w:r>
    </w:p>
    <w:p w14:paraId="3BE39D83">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26.1 本项目的评审方法为综合评分法。</w:t>
      </w:r>
    </w:p>
    <w:p w14:paraId="6BF5AF16">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26.2 磋商小组按照“第四章 评审程序、评审方法和评审标准 ”规定的方法、评审因素、标准和程序对响应文件进行评审。</w:t>
      </w:r>
    </w:p>
    <w:p w14:paraId="7098ED35">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26.3 商务/技术要求允许负偏离的条款数详见“供应商须知前附表 ”。</w:t>
      </w:r>
    </w:p>
    <w:p w14:paraId="1B499C37">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26.4 磋商小组成员要依法独立评审，并对评审意见承担个人责任。磋商小组成员对需要共同认定的事项存在争议的，按照少数服从多数的原则作出结论。持不同意见的磋商小组成员应当在评审报告上签署不同意见并说明理由，否则视为同意。</w:t>
      </w:r>
    </w:p>
    <w:p w14:paraId="7A43EBD0">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26.5 电子交易活动的中止。采购过程中出现以下情形，导致电子交易平台无法正常运行，或者无法保证电子交易的公平、公正和安全时，采购机构可中止电子交易活动：</w:t>
      </w:r>
    </w:p>
    <w:p w14:paraId="64B0A4B7">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（1） 电子交易平台发生故障而无法登录访问的；</w:t>
      </w:r>
    </w:p>
    <w:p w14:paraId="121301F2">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（2） 电子交易平台应用或数据库出现错误，不能进行正常操作的；</w:t>
      </w:r>
    </w:p>
    <w:p w14:paraId="06DA08E7">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（3） 电子交易平台发现严重安全漏洞，有潜在泄密危险的；</w:t>
      </w:r>
    </w:p>
    <w:p w14:paraId="4C93C47B">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（4）病毒发作导致不能进行正常操作的；</w:t>
      </w:r>
    </w:p>
    <w:p w14:paraId="0F8C9877">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（5）其他无法保证电子交易的公平、公正和安全的情况。</w:t>
      </w:r>
    </w:p>
    <w:p w14:paraId="0CD5BCB2">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26.6 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10F149C5">
      <w:pPr>
        <w:keepNext w:val="0"/>
        <w:keepLines w:val="0"/>
        <w:pageBreakBefore w:val="0"/>
        <w:widowControl/>
        <w:kinsoku w:val="0"/>
        <w:wordWrap/>
        <w:overflowPunct/>
        <w:topLinePunct w:val="0"/>
        <w:autoSpaceDE w:val="0"/>
        <w:autoSpaceDN w:val="0"/>
        <w:bidi w:val="0"/>
        <w:adjustRightInd w:val="0"/>
        <w:snapToGrid w:val="0"/>
        <w:spacing w:before="1" w:line="440" w:lineRule="exact"/>
        <w:ind w:left="480"/>
        <w:textAlignment w:val="baseline"/>
        <w:rPr>
          <w:rFonts w:ascii="黑体" w:hAnsi="黑体" w:eastAsia="黑体" w:cs="黑体"/>
          <w:color w:val="auto"/>
          <w:sz w:val="24"/>
          <w:szCs w:val="24"/>
        </w:rPr>
      </w:pPr>
      <w:r>
        <w:rPr>
          <w:rFonts w:ascii="黑体" w:hAnsi="黑体" w:eastAsia="黑体" w:cs="黑体"/>
          <w:b/>
          <w:bCs/>
          <w:color w:val="auto"/>
          <w:spacing w:val="-3"/>
          <w:sz w:val="24"/>
          <w:szCs w:val="24"/>
        </w:rPr>
        <w:t>27.确定成交供应商及结果公告</w:t>
      </w:r>
    </w:p>
    <w:p w14:paraId="6A74582C">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27.1 采购代理机构应当在评审结束后 2 个工作日内将评审报告送采购人确认。采购人应当在收到评审报告后 5 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F0A12DE">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27.2 采购代理机构应当在成交供应商确定后 2 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成交供应商享受《政府采购促进中小企业发展管理办法》 （财库〔2020〕46号）规定的中小企业扶持政策的，采购人、采购代理机构应当随成交结果公开成交供应商的《中小企业声明函》。</w:t>
      </w:r>
    </w:p>
    <w:p w14:paraId="3506442B">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27.3 出现下列情形之一的，采购人或者采购代理机构应当终止竞争性磋商采购活动，发布项目终止公告并说明原因，重新开展采购活动：</w:t>
      </w:r>
    </w:p>
    <w:p w14:paraId="30A08D97">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（1）因情况变化，不再符合规定的竞争性磋商采购方式适用情形的；</w:t>
      </w:r>
    </w:p>
    <w:p w14:paraId="66CC8F9F">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（2）出现影响采购公正的违法、违规行为的；</w:t>
      </w:r>
    </w:p>
    <w:p w14:paraId="55E33C62">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（3）除“第四章 评审程序、评审方法和评审标准 ”第 4.3 条规定的情形外，在采购过程中符合要求的供应商或者报价未超过采购预算的供应商不足 3 家的。</w:t>
      </w:r>
    </w:p>
    <w:p w14:paraId="69940099">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27.4 在采购活动中因重大变故，采购任务取消的，采购人或者采购代理机构应当终止采购活动，通知所有参加采购活动的供应商，并将项目实施情况和采购任务取消原因报送本级财政部门。</w:t>
      </w:r>
    </w:p>
    <w:p w14:paraId="37990C28">
      <w:pPr>
        <w:keepNext w:val="0"/>
        <w:keepLines w:val="0"/>
        <w:pageBreakBefore w:val="0"/>
        <w:widowControl/>
        <w:kinsoku w:val="0"/>
        <w:wordWrap/>
        <w:overflowPunct/>
        <w:topLinePunct w:val="0"/>
        <w:autoSpaceDE w:val="0"/>
        <w:autoSpaceDN w:val="0"/>
        <w:bidi w:val="0"/>
        <w:adjustRightInd w:val="0"/>
        <w:snapToGrid w:val="0"/>
        <w:spacing w:line="440" w:lineRule="exact"/>
        <w:ind w:left="480"/>
        <w:textAlignment w:val="baseline"/>
        <w:rPr>
          <w:rFonts w:ascii="黑体" w:hAnsi="黑体" w:eastAsia="黑体" w:cs="黑体"/>
          <w:color w:val="auto"/>
          <w:sz w:val="24"/>
          <w:szCs w:val="24"/>
        </w:rPr>
      </w:pPr>
      <w:r>
        <w:rPr>
          <w:rFonts w:ascii="黑体" w:hAnsi="黑体" w:eastAsia="黑体" w:cs="黑体"/>
          <w:b/>
          <w:bCs/>
          <w:color w:val="auto"/>
          <w:spacing w:val="-3"/>
          <w:sz w:val="24"/>
          <w:szCs w:val="24"/>
        </w:rPr>
        <w:t>28.履约保证金</w:t>
      </w:r>
    </w:p>
    <w:p w14:paraId="6B73958D">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28.1 履约保证金的金额、提交方式、退付的时间和条件详见“供应商须知前附表”。成交供应商未按规定提交履约保证金的，视为拒绝与采购人签订合同。</w:t>
      </w:r>
    </w:p>
    <w:p w14:paraId="54FA8BCC">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28.2 在履约保证金退还日期前，若成交供应商的开户名称、开户银行、账号有变动的，请以书面形式通知履约保证金收取单位，否则由此产生的后果由成交供应商自行承担。</w:t>
      </w:r>
    </w:p>
    <w:p w14:paraId="1D15AE6D">
      <w:pPr>
        <w:keepNext w:val="0"/>
        <w:keepLines w:val="0"/>
        <w:pageBreakBefore w:val="0"/>
        <w:widowControl/>
        <w:kinsoku w:val="0"/>
        <w:wordWrap/>
        <w:overflowPunct/>
        <w:topLinePunct w:val="0"/>
        <w:autoSpaceDE w:val="0"/>
        <w:autoSpaceDN w:val="0"/>
        <w:bidi w:val="0"/>
        <w:adjustRightInd w:val="0"/>
        <w:snapToGrid w:val="0"/>
        <w:spacing w:before="207" w:line="440" w:lineRule="exact"/>
        <w:ind w:left="480"/>
        <w:textAlignment w:val="baseline"/>
        <w:rPr>
          <w:rFonts w:ascii="黑体" w:hAnsi="黑体" w:eastAsia="黑体" w:cs="黑体"/>
          <w:color w:val="auto"/>
          <w:sz w:val="24"/>
          <w:szCs w:val="24"/>
        </w:rPr>
      </w:pPr>
      <w:r>
        <w:rPr>
          <w:rFonts w:ascii="黑体" w:hAnsi="黑体" w:eastAsia="黑体" w:cs="黑体"/>
          <w:b/>
          <w:bCs/>
          <w:color w:val="auto"/>
          <w:spacing w:val="-4"/>
          <w:sz w:val="24"/>
          <w:szCs w:val="24"/>
        </w:rPr>
        <w:t>29.签订合同</w:t>
      </w:r>
    </w:p>
    <w:p w14:paraId="6033BB09">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29.1 签订电子采购合同：成交供应商领取电子成交通知书后，在规定的日期、时间、地点，由法定代表人或其授权代表与采购人代表签订电子采购合同。如成交供应商为联合体的，由联合体成员各方法定代表人或其授权代表与采购人代表签订合同。</w:t>
      </w:r>
    </w:p>
    <w:p w14:paraId="24AF1B95">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线下签订纸质合同：供应商领取成交通知书后，按“供应商须知前附表 ”规定向采购人出示相关证明材料，经采购人核验合格后方可签订合同。</w:t>
      </w:r>
    </w:p>
    <w:p w14:paraId="125C7C67">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29.2 签订合同时间：按成交通知书规定的时间与采购人签订合同。</w:t>
      </w:r>
    </w:p>
    <w:p w14:paraId="66561B40">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29.3 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4EB89AF6">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29.4 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0360966">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29.5 采购人或成交供应商不得单方面向合同另一方提出任何磋商文件没有约定的条件或不合理的要求，作为签订合同的条件；也不得协商另行订立背离磋商文件和合同实质性内容的协议。</w:t>
      </w:r>
    </w:p>
    <w:p w14:paraId="1A02BD51">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29.6 如签订合同并生效后，供应商无故拒绝或延期，除按照合同条款处理外，将承担相应的法律责任。</w:t>
      </w:r>
    </w:p>
    <w:p w14:paraId="60224173">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29.7 政府采购合同履行中，采购人需追加与合同标的相同的货物、工程或者服务的，在不改变合同其他条款的前提下，可以与供应商协商签订补充合同，但所有补充合同的采购金额不得超过原合同采购金额的 10%。</w:t>
      </w:r>
    </w:p>
    <w:p w14:paraId="250E9606">
      <w:pPr>
        <w:keepNext w:val="0"/>
        <w:keepLines w:val="0"/>
        <w:pageBreakBefore w:val="0"/>
        <w:widowControl/>
        <w:kinsoku w:val="0"/>
        <w:wordWrap/>
        <w:overflowPunct/>
        <w:topLinePunct w:val="0"/>
        <w:autoSpaceDE w:val="0"/>
        <w:autoSpaceDN w:val="0"/>
        <w:bidi w:val="0"/>
        <w:adjustRightInd w:val="0"/>
        <w:snapToGrid w:val="0"/>
        <w:spacing w:line="440" w:lineRule="exact"/>
        <w:ind w:left="482"/>
        <w:textAlignment w:val="baseline"/>
        <w:rPr>
          <w:rFonts w:ascii="黑体" w:hAnsi="黑体" w:eastAsia="黑体" w:cs="黑体"/>
          <w:color w:val="auto"/>
          <w:sz w:val="24"/>
          <w:szCs w:val="24"/>
        </w:rPr>
      </w:pPr>
      <w:r>
        <w:rPr>
          <w:rFonts w:ascii="黑体" w:hAnsi="黑体" w:eastAsia="黑体" w:cs="黑体"/>
          <w:b/>
          <w:bCs/>
          <w:color w:val="auto"/>
          <w:spacing w:val="-3"/>
          <w:sz w:val="24"/>
          <w:szCs w:val="24"/>
        </w:rPr>
        <w:t>30.政府采购合同公告</w:t>
      </w:r>
    </w:p>
    <w:p w14:paraId="19F21498">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根据《中华人民共和国政府采购法实施条例》第五十条规定，采购人应当自政府采购合同签订之日起 2 个工作日内，将政府采购合同在省级以上人民政府财政部门指定的媒体上公告，但政府采购合同中涉及国家秘密、商业秘密的内容除外。</w:t>
      </w:r>
    </w:p>
    <w:p w14:paraId="7CD44225">
      <w:pPr>
        <w:keepNext w:val="0"/>
        <w:keepLines w:val="0"/>
        <w:pageBreakBefore w:val="0"/>
        <w:widowControl/>
        <w:kinsoku w:val="0"/>
        <w:wordWrap/>
        <w:overflowPunct/>
        <w:topLinePunct w:val="0"/>
        <w:autoSpaceDE w:val="0"/>
        <w:autoSpaceDN w:val="0"/>
        <w:bidi w:val="0"/>
        <w:adjustRightInd w:val="0"/>
        <w:snapToGrid w:val="0"/>
        <w:spacing w:line="440" w:lineRule="exact"/>
        <w:ind w:left="482"/>
        <w:textAlignment w:val="baseline"/>
        <w:rPr>
          <w:rFonts w:ascii="黑体" w:hAnsi="黑体" w:eastAsia="黑体" w:cs="黑体"/>
          <w:color w:val="auto"/>
          <w:sz w:val="24"/>
          <w:szCs w:val="24"/>
        </w:rPr>
      </w:pPr>
      <w:r>
        <w:rPr>
          <w:rFonts w:ascii="黑体" w:hAnsi="黑体" w:eastAsia="黑体" w:cs="黑体"/>
          <w:b/>
          <w:bCs/>
          <w:color w:val="auto"/>
          <w:spacing w:val="-3"/>
          <w:sz w:val="24"/>
          <w:szCs w:val="24"/>
        </w:rPr>
        <w:t>31.</w:t>
      </w:r>
      <w:r>
        <w:rPr>
          <w:rFonts w:ascii="黑体" w:hAnsi="黑体" w:eastAsia="黑体" w:cs="黑体"/>
          <w:color w:val="auto"/>
          <w:spacing w:val="-3"/>
          <w:sz w:val="24"/>
          <w:szCs w:val="24"/>
        </w:rPr>
        <w:t xml:space="preserve"> </w:t>
      </w:r>
      <w:r>
        <w:rPr>
          <w:rFonts w:ascii="黑体" w:hAnsi="黑体" w:eastAsia="黑体" w:cs="黑体"/>
          <w:b/>
          <w:bCs/>
          <w:color w:val="auto"/>
          <w:spacing w:val="-3"/>
          <w:sz w:val="24"/>
          <w:szCs w:val="24"/>
        </w:rPr>
        <w:t>询问、质疑和投诉</w:t>
      </w:r>
    </w:p>
    <w:p w14:paraId="3AD89291">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31.1 供应商对政府采购活动事项有疑问的，可以向采购人、采购代理机构提出询问，采购人或者采购代理机构应当在 3 个工作日内对供应商依法提出的询问作出答复，但答复的内容不得涉及商业秘密。</w:t>
      </w:r>
    </w:p>
    <w:p w14:paraId="1EF0E392">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31.2 供应商认为磋商文件、采购过程或者成交结果使自己的合法权益受到损害的，应当在知道或者应知其权益受到损害之日起 7 个工作日内，以书面形式向采购人、采购代理机构提出质疑，接收质疑函的方式、联系部门、联系电话和通讯地址等信息详见“供应商须知前附表 ”。具体质疑起算时间如下：</w:t>
      </w:r>
    </w:p>
    <w:p w14:paraId="73086BDB">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（1）对可以质疑的磋商文件提出质疑的，为收到磋商文件之日或者竞争性磋商公告期限届满之日；</w:t>
      </w:r>
    </w:p>
    <w:p w14:paraId="1CD08030">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（2）对采购过程提出质疑的，为各采购程序环节结束之日；</w:t>
      </w:r>
    </w:p>
    <w:p w14:paraId="1C098FA6">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（3）对成交结果提出质疑的，为成交结果公告期限届满之日。</w:t>
      </w:r>
    </w:p>
    <w:p w14:paraId="08E4A200">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31.3 供应商提出的询问或者质疑超出采购人对采购代理机构委托授权范围的，采购代理机构应当告知供应商向采购人提出。政府采购评审专家应当配合采购人或者采购代理机构答复供应商的询问和质疑。</w:t>
      </w:r>
    </w:p>
    <w:p w14:paraId="43BACED1">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val="en-US" w:eastAsia="zh-CN"/>
        </w:rPr>
      </w:pPr>
      <w:r>
        <w:rPr>
          <w:rFonts w:hint="eastAsia" w:asciiTheme="minorEastAsia" w:hAnsiTheme="minorEastAsia" w:eastAsiaTheme="minorEastAsia" w:cstheme="minorEastAsia"/>
          <w:color w:val="auto"/>
          <w:spacing w:val="9"/>
          <w:sz w:val="21"/>
          <w:szCs w:val="21"/>
          <w:lang w:eastAsia="zh-CN"/>
        </w:rPr>
        <w:t>31.4 供应商提出质疑应当提交质疑函和必要的证明材料，针对同一采购程序环节的质疑必须在法定质疑期内一次性提出。质疑函应当包括下列内容（质疑函格式后附）</w:t>
      </w:r>
      <w:r>
        <w:rPr>
          <w:rFonts w:hint="eastAsia" w:asciiTheme="minorEastAsia" w:hAnsiTheme="minorEastAsia" w:eastAsiaTheme="minorEastAsia" w:cstheme="minorEastAsia"/>
          <w:color w:val="auto"/>
          <w:spacing w:val="9"/>
          <w:sz w:val="21"/>
          <w:szCs w:val="21"/>
          <w:lang w:val="en-US" w:eastAsia="zh-CN"/>
        </w:rPr>
        <w:t xml:space="preserve">    </w:t>
      </w:r>
    </w:p>
    <w:p w14:paraId="52E5BBF2">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（1）供应商的姓名或者名称、地址、邮编、联系人及联系电话；</w:t>
      </w:r>
    </w:p>
    <w:p w14:paraId="5BCDCF46">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（2）质疑项目的名称、编号；</w:t>
      </w:r>
    </w:p>
    <w:p w14:paraId="382DB16A">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（3）具体、明确的质疑事项和与质疑事项相关的请求；</w:t>
      </w:r>
    </w:p>
    <w:p w14:paraId="378874DB">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（4）事实依据；</w:t>
      </w:r>
    </w:p>
    <w:p w14:paraId="6B5D95FC">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（5）必要的法律依据；</w:t>
      </w:r>
    </w:p>
    <w:p w14:paraId="4DF26CC0">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（6）提出质疑的日期。</w:t>
      </w:r>
    </w:p>
    <w:p w14:paraId="3B669776">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供应商为自然人的，应当由本人签字；供应商为法人或者其他组织的，应当由法定代表人、主要负责人，或者其委托代理人签字或者盖章，并加盖公章。</w:t>
      </w:r>
    </w:p>
    <w:p w14:paraId="1C88FA0D">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31.5 采购人、采购代理机构认为供应商质疑不成立，或者成立但未对成交结果构成影响的，继续开展采购活动；认为供应商质疑成立且影响或者可能影响成交结果的，按照下列情况处理：</w:t>
      </w:r>
    </w:p>
    <w:p w14:paraId="69FAE98F">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（一）对采购文件提出的质疑，依法通过澄清或者修改可以继续开展采购活动的，澄清或者修改采购文件后继续开展采购活动；否则应当修改采购文件后重新开展采购活动。</w:t>
      </w:r>
    </w:p>
    <w:p w14:paraId="1E0251DE">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（二）对采购过程或者成交结果提出的质疑，合格供应商符合法定数量时，可以从合格的成交候选人中另行确定成交供应商的，应当依法另行确定成交供应商；否则应当重新开展采购活动。</w:t>
      </w:r>
    </w:p>
    <w:p w14:paraId="2EACAE6C">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质疑答复导致成交结果改变的，采购人或者采购代理机构应当将有关情况书面报告本级财政部门。</w:t>
      </w:r>
    </w:p>
    <w:p w14:paraId="01A20E8B">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31.6 质疑供应商对采购人、采购代理机构的答复不满意，或者采购人、采购代理机构未在规定时间内作出答复的，可以在答复期满后 15 个工作日内向《政府采购质疑和投诉办法》（财政部令第94 号）第六条规定的财政部门提起投诉（投诉书格式后附）。</w:t>
      </w:r>
    </w:p>
    <w:p w14:paraId="67180E72">
      <w:pPr>
        <w:keepNext w:val="0"/>
        <w:keepLines w:val="0"/>
        <w:pageBreakBefore w:val="0"/>
        <w:widowControl/>
        <w:kinsoku w:val="0"/>
        <w:wordWrap/>
        <w:overflowPunct/>
        <w:topLinePunct w:val="0"/>
        <w:autoSpaceDE w:val="0"/>
        <w:autoSpaceDN w:val="0"/>
        <w:bidi w:val="0"/>
        <w:adjustRightInd w:val="0"/>
        <w:snapToGrid w:val="0"/>
        <w:spacing w:line="440" w:lineRule="exact"/>
        <w:ind w:left="495"/>
        <w:textAlignment w:val="baseline"/>
        <w:rPr>
          <w:rFonts w:ascii="黑体" w:hAnsi="黑体" w:eastAsia="黑体" w:cs="黑体"/>
          <w:color w:val="auto"/>
          <w:sz w:val="24"/>
          <w:szCs w:val="24"/>
        </w:rPr>
      </w:pPr>
      <w:r>
        <w:rPr>
          <w:rFonts w:ascii="黑体" w:hAnsi="黑体" w:eastAsia="黑体" w:cs="黑体"/>
          <w:b/>
          <w:bCs/>
          <w:color w:val="auto"/>
          <w:spacing w:val="-4"/>
          <w:sz w:val="24"/>
          <w:szCs w:val="24"/>
        </w:rPr>
        <w:t>32.其他内容</w:t>
      </w:r>
    </w:p>
    <w:p w14:paraId="5B38296D">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32.1 代理服务收取标准及缴费账户详见“供应商须知前附表 ”，供应商为联合体的，可以由联合体中的一方或者多方共同交纳代理服务费。</w:t>
      </w:r>
    </w:p>
    <w:p w14:paraId="7E8F9955">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32.2 代理服务费收费计算标准：</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30F4F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noWrap w:val="0"/>
            <w:vAlign w:val="top"/>
          </w:tcPr>
          <w:p w14:paraId="4991E16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费率</w:t>
            </w:r>
          </w:p>
          <w:p w14:paraId="6814C91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金额</w:t>
            </w:r>
          </w:p>
        </w:tc>
        <w:tc>
          <w:tcPr>
            <w:tcW w:w="1659" w:type="dxa"/>
            <w:noWrap w:val="0"/>
            <w:vAlign w:val="center"/>
          </w:tcPr>
          <w:p w14:paraId="25D3BF6E">
            <w:pPr>
              <w:spacing w:line="360" w:lineRule="auto"/>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货物类</w:t>
            </w:r>
          </w:p>
        </w:tc>
        <w:tc>
          <w:tcPr>
            <w:tcW w:w="1532" w:type="dxa"/>
            <w:noWrap w:val="0"/>
            <w:vAlign w:val="center"/>
          </w:tcPr>
          <w:p w14:paraId="115018B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服务类</w:t>
            </w:r>
          </w:p>
        </w:tc>
        <w:tc>
          <w:tcPr>
            <w:tcW w:w="1546" w:type="dxa"/>
            <w:noWrap w:val="0"/>
            <w:vAlign w:val="center"/>
          </w:tcPr>
          <w:p w14:paraId="27BE15C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工程类</w:t>
            </w:r>
          </w:p>
        </w:tc>
      </w:tr>
      <w:tr w14:paraId="72CF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0C205F8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100万元以下</w:t>
            </w:r>
          </w:p>
        </w:tc>
        <w:tc>
          <w:tcPr>
            <w:tcW w:w="1659" w:type="dxa"/>
            <w:noWrap w:val="0"/>
            <w:vAlign w:val="top"/>
          </w:tcPr>
          <w:p w14:paraId="32431606">
            <w:pPr>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532" w:type="dxa"/>
            <w:noWrap w:val="0"/>
            <w:vAlign w:val="top"/>
          </w:tcPr>
          <w:p w14:paraId="26AD8D07">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1546" w:type="dxa"/>
            <w:noWrap w:val="0"/>
            <w:vAlign w:val="top"/>
          </w:tcPr>
          <w:p w14:paraId="18B1C468">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07E48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033C694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100～500万元</w:t>
            </w:r>
          </w:p>
        </w:tc>
        <w:tc>
          <w:tcPr>
            <w:tcW w:w="1659" w:type="dxa"/>
            <w:noWrap w:val="0"/>
            <w:vAlign w:val="top"/>
          </w:tcPr>
          <w:p w14:paraId="5750DA9C">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532" w:type="dxa"/>
            <w:noWrap w:val="0"/>
            <w:vAlign w:val="top"/>
          </w:tcPr>
          <w:p w14:paraId="3631E7A5">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1546" w:type="dxa"/>
            <w:noWrap w:val="0"/>
            <w:vAlign w:val="top"/>
          </w:tcPr>
          <w:p w14:paraId="18538807">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4977B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7518C9D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500～1000万元</w:t>
            </w:r>
          </w:p>
        </w:tc>
        <w:tc>
          <w:tcPr>
            <w:tcW w:w="1659" w:type="dxa"/>
            <w:noWrap w:val="0"/>
            <w:vAlign w:val="top"/>
          </w:tcPr>
          <w:p w14:paraId="0F2C3782">
            <w:pPr>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532" w:type="dxa"/>
            <w:noWrap w:val="0"/>
            <w:vAlign w:val="top"/>
          </w:tcPr>
          <w:p w14:paraId="73F64B3D">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0.45%</w:t>
            </w:r>
          </w:p>
        </w:tc>
        <w:tc>
          <w:tcPr>
            <w:tcW w:w="1546" w:type="dxa"/>
            <w:noWrap w:val="0"/>
            <w:vAlign w:val="top"/>
          </w:tcPr>
          <w:p w14:paraId="4929564D">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0.55%</w:t>
            </w:r>
          </w:p>
        </w:tc>
      </w:tr>
      <w:tr w14:paraId="23383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55399FF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1000～5000万元</w:t>
            </w:r>
          </w:p>
        </w:tc>
        <w:tc>
          <w:tcPr>
            <w:tcW w:w="1659" w:type="dxa"/>
            <w:noWrap w:val="0"/>
            <w:vAlign w:val="top"/>
          </w:tcPr>
          <w:p w14:paraId="380B81CA">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532" w:type="dxa"/>
            <w:noWrap w:val="0"/>
            <w:vAlign w:val="top"/>
          </w:tcPr>
          <w:p w14:paraId="17314762">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1546" w:type="dxa"/>
            <w:noWrap w:val="0"/>
            <w:vAlign w:val="top"/>
          </w:tcPr>
          <w:p w14:paraId="1D734A06">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7F9A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789458A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noWrap w:val="0"/>
            <w:vAlign w:val="top"/>
          </w:tcPr>
          <w:p w14:paraId="7ECA78E6">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532" w:type="dxa"/>
            <w:noWrap w:val="0"/>
            <w:vAlign w:val="top"/>
          </w:tcPr>
          <w:p w14:paraId="5DAF2454">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0.1%</w:t>
            </w:r>
          </w:p>
        </w:tc>
        <w:tc>
          <w:tcPr>
            <w:tcW w:w="1546" w:type="dxa"/>
            <w:noWrap w:val="0"/>
            <w:vAlign w:val="top"/>
          </w:tcPr>
          <w:p w14:paraId="14F23510">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w:t>
            </w:r>
          </w:p>
        </w:tc>
      </w:tr>
      <w:tr w14:paraId="28BA1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0A0BC3C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1～5亿元</w:t>
            </w:r>
          </w:p>
        </w:tc>
        <w:tc>
          <w:tcPr>
            <w:tcW w:w="1659" w:type="dxa"/>
            <w:noWrap w:val="0"/>
            <w:vAlign w:val="top"/>
          </w:tcPr>
          <w:p w14:paraId="76FA0F28">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0.05%</w:t>
            </w:r>
          </w:p>
        </w:tc>
        <w:tc>
          <w:tcPr>
            <w:tcW w:w="1532" w:type="dxa"/>
            <w:noWrap w:val="0"/>
            <w:vAlign w:val="top"/>
          </w:tcPr>
          <w:p w14:paraId="75AE5CE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c>
          <w:tcPr>
            <w:tcW w:w="1546" w:type="dxa"/>
            <w:noWrap w:val="0"/>
            <w:vAlign w:val="top"/>
          </w:tcPr>
          <w:p w14:paraId="3BE2BF2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r>
      <w:tr w14:paraId="21669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3646BA3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5～10亿元</w:t>
            </w:r>
          </w:p>
        </w:tc>
        <w:tc>
          <w:tcPr>
            <w:tcW w:w="1659" w:type="dxa"/>
            <w:noWrap w:val="0"/>
            <w:vAlign w:val="top"/>
          </w:tcPr>
          <w:p w14:paraId="746F65A5">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0.035%</w:t>
            </w:r>
          </w:p>
        </w:tc>
        <w:tc>
          <w:tcPr>
            <w:tcW w:w="1532" w:type="dxa"/>
            <w:noWrap w:val="0"/>
            <w:vAlign w:val="top"/>
          </w:tcPr>
          <w:p w14:paraId="78E1CAD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0.035%</w:t>
            </w:r>
          </w:p>
        </w:tc>
        <w:tc>
          <w:tcPr>
            <w:tcW w:w="1546" w:type="dxa"/>
            <w:noWrap w:val="0"/>
            <w:vAlign w:val="top"/>
          </w:tcPr>
          <w:p w14:paraId="30A5BC44">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0.035%</w:t>
            </w:r>
          </w:p>
        </w:tc>
      </w:tr>
      <w:tr w14:paraId="149D5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2C86187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10～50亿元</w:t>
            </w:r>
          </w:p>
        </w:tc>
        <w:tc>
          <w:tcPr>
            <w:tcW w:w="1659" w:type="dxa"/>
            <w:noWrap w:val="0"/>
            <w:vAlign w:val="top"/>
          </w:tcPr>
          <w:p w14:paraId="6367941F">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32" w:type="dxa"/>
            <w:noWrap w:val="0"/>
            <w:vAlign w:val="top"/>
          </w:tcPr>
          <w:p w14:paraId="1113C911">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46" w:type="dxa"/>
            <w:noWrap w:val="0"/>
            <w:vAlign w:val="top"/>
          </w:tcPr>
          <w:p w14:paraId="5E2DD8C6">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0.008%</w:t>
            </w:r>
          </w:p>
        </w:tc>
      </w:tr>
      <w:tr w14:paraId="272B4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415D010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50～100亿元</w:t>
            </w:r>
          </w:p>
        </w:tc>
        <w:tc>
          <w:tcPr>
            <w:tcW w:w="1659" w:type="dxa"/>
            <w:noWrap w:val="0"/>
            <w:vAlign w:val="top"/>
          </w:tcPr>
          <w:p w14:paraId="40DD70C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0.006%</w:t>
            </w:r>
          </w:p>
        </w:tc>
        <w:tc>
          <w:tcPr>
            <w:tcW w:w="1532" w:type="dxa"/>
            <w:noWrap w:val="0"/>
            <w:vAlign w:val="top"/>
          </w:tcPr>
          <w:p w14:paraId="17EF34A1">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0.006%</w:t>
            </w:r>
          </w:p>
        </w:tc>
        <w:tc>
          <w:tcPr>
            <w:tcW w:w="1546" w:type="dxa"/>
            <w:noWrap w:val="0"/>
            <w:vAlign w:val="top"/>
          </w:tcPr>
          <w:p w14:paraId="657F437C">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0.006%</w:t>
            </w:r>
          </w:p>
        </w:tc>
      </w:tr>
      <w:tr w14:paraId="72AE4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54708A6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100亿以上</w:t>
            </w:r>
          </w:p>
        </w:tc>
        <w:tc>
          <w:tcPr>
            <w:tcW w:w="1659" w:type="dxa"/>
            <w:noWrap w:val="0"/>
            <w:vAlign w:val="top"/>
          </w:tcPr>
          <w:p w14:paraId="56A3DBE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0.004%</w:t>
            </w:r>
          </w:p>
        </w:tc>
        <w:tc>
          <w:tcPr>
            <w:tcW w:w="1532" w:type="dxa"/>
            <w:noWrap w:val="0"/>
            <w:vAlign w:val="top"/>
          </w:tcPr>
          <w:p w14:paraId="65ACF551">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0.004%</w:t>
            </w:r>
          </w:p>
        </w:tc>
        <w:tc>
          <w:tcPr>
            <w:tcW w:w="1546" w:type="dxa"/>
            <w:noWrap w:val="0"/>
            <w:vAlign w:val="top"/>
          </w:tcPr>
          <w:p w14:paraId="0AA9A5C5">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0.004%</w:t>
            </w:r>
          </w:p>
        </w:tc>
      </w:tr>
    </w:tbl>
    <w:p w14:paraId="3340A8FE">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注：（</w:t>
      </w:r>
      <w:r>
        <w:rPr>
          <w:rFonts w:hint="eastAsia" w:asciiTheme="minorEastAsia" w:hAnsiTheme="minorEastAsia" w:eastAsiaTheme="minorEastAsia" w:cstheme="minorEastAsia"/>
          <w:color w:val="auto"/>
          <w:spacing w:val="9"/>
          <w:sz w:val="21"/>
          <w:szCs w:val="21"/>
          <w:lang w:val="en-US" w:eastAsia="zh-CN"/>
        </w:rPr>
        <w:t>1）</w:t>
      </w:r>
      <w:r>
        <w:rPr>
          <w:rFonts w:hint="eastAsia" w:asciiTheme="minorEastAsia" w:hAnsiTheme="minorEastAsia" w:eastAsiaTheme="minorEastAsia" w:cstheme="minorEastAsia"/>
          <w:color w:val="auto"/>
          <w:spacing w:val="9"/>
          <w:sz w:val="21"/>
          <w:szCs w:val="21"/>
          <w:lang w:eastAsia="zh-CN"/>
        </w:rPr>
        <w:t>按本表费率计算的收费为采购代理的收费基准价格下浮40%；</w:t>
      </w:r>
    </w:p>
    <w:p w14:paraId="1EA6F74D">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（2）采购代理收费按差额定率累进法计算。</w:t>
      </w:r>
    </w:p>
    <w:p w14:paraId="2BC877D6">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例如：某服务采购代理业务成交金额或者暂定价为150万元，计算采购代理收费额如下：</w:t>
      </w:r>
    </w:p>
    <w:p w14:paraId="017ADDBB">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100万元×l.5 %＝1.5万元</w:t>
      </w:r>
    </w:p>
    <w:p w14:paraId="5E2D9ECE">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（150－100）万元×0.8%＝0.4万元</w:t>
      </w:r>
    </w:p>
    <w:p w14:paraId="7137716F">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合计收费＝1.5＋0.4＝1.9 万元</w:t>
      </w:r>
    </w:p>
    <w:p w14:paraId="21B42EB4">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采购代理收费基准价格下浮</w:t>
      </w:r>
      <w:r>
        <w:rPr>
          <w:rFonts w:hint="eastAsia" w:asciiTheme="minorEastAsia" w:hAnsiTheme="minorEastAsia" w:eastAsiaTheme="minorEastAsia" w:cstheme="minorEastAsia"/>
          <w:color w:val="auto"/>
          <w:spacing w:val="9"/>
          <w:sz w:val="21"/>
          <w:szCs w:val="21"/>
          <w:lang w:val="en-US" w:eastAsia="zh-CN"/>
        </w:rPr>
        <w:t xml:space="preserve"> 4</w:t>
      </w:r>
      <w:r>
        <w:rPr>
          <w:rFonts w:hint="eastAsia" w:asciiTheme="minorEastAsia" w:hAnsiTheme="minorEastAsia" w:eastAsiaTheme="minorEastAsia" w:cstheme="minorEastAsia"/>
          <w:color w:val="auto"/>
          <w:spacing w:val="9"/>
          <w:sz w:val="21"/>
          <w:szCs w:val="21"/>
          <w:lang w:eastAsia="zh-CN"/>
        </w:rPr>
        <w:t>0%</w:t>
      </w:r>
      <w:r>
        <w:rPr>
          <w:rFonts w:hint="eastAsia" w:asciiTheme="minorEastAsia" w:hAnsiTheme="minorEastAsia" w:eastAsiaTheme="minorEastAsia" w:cstheme="minorEastAsia"/>
          <w:color w:val="auto"/>
          <w:spacing w:val="9"/>
          <w:sz w:val="21"/>
          <w:szCs w:val="21"/>
          <w:lang w:val="en-US" w:eastAsia="zh-CN"/>
        </w:rPr>
        <w:t xml:space="preserve"> </w:t>
      </w:r>
      <w:r>
        <w:rPr>
          <w:rFonts w:hint="eastAsia" w:asciiTheme="minorEastAsia" w:hAnsiTheme="minorEastAsia" w:eastAsiaTheme="minorEastAsia" w:cstheme="minorEastAsia"/>
          <w:color w:val="auto"/>
          <w:spacing w:val="9"/>
          <w:sz w:val="21"/>
          <w:szCs w:val="21"/>
          <w:lang w:eastAsia="zh-CN"/>
        </w:rPr>
        <w:t>收取，即：</w:t>
      </w:r>
    </w:p>
    <w:p w14:paraId="09D4DD20">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ascii="宋体" w:hAnsi="宋体" w:cs="宋体"/>
          <w:color w:val="auto"/>
          <w:highlight w:val="none"/>
        </w:rPr>
      </w:pPr>
      <w:r>
        <w:rPr>
          <w:rFonts w:hint="eastAsia" w:asciiTheme="minorEastAsia" w:hAnsiTheme="minorEastAsia" w:eastAsiaTheme="minorEastAsia" w:cstheme="minorEastAsia"/>
          <w:color w:val="auto"/>
          <w:spacing w:val="9"/>
          <w:sz w:val="21"/>
          <w:szCs w:val="21"/>
          <w:lang w:eastAsia="zh-CN"/>
        </w:rPr>
        <w:t>1.9万元X(1</w:t>
      </w:r>
      <w:r>
        <w:rPr>
          <w:rFonts w:hint="eastAsia" w:asciiTheme="minorEastAsia" w:hAnsiTheme="minorEastAsia" w:eastAsiaTheme="minorEastAsia" w:cstheme="minorEastAsia"/>
          <w:color w:val="auto"/>
          <w:spacing w:val="9"/>
          <w:sz w:val="21"/>
          <w:szCs w:val="21"/>
          <w:lang w:val="en-US" w:eastAsia="zh-CN"/>
        </w:rPr>
        <w:t>00</w:t>
      </w:r>
      <w:r>
        <w:rPr>
          <w:rFonts w:hint="eastAsia" w:asciiTheme="minorEastAsia" w:hAnsiTheme="minorEastAsia" w:eastAsiaTheme="minorEastAsia" w:cstheme="minorEastAsia"/>
          <w:color w:val="auto"/>
          <w:spacing w:val="9"/>
          <w:sz w:val="21"/>
          <w:szCs w:val="21"/>
          <w:lang w:eastAsia="zh-CN"/>
        </w:rPr>
        <w:t>一</w:t>
      </w:r>
      <w:r>
        <w:rPr>
          <w:rFonts w:hint="eastAsia" w:asciiTheme="minorEastAsia" w:hAnsiTheme="minorEastAsia" w:eastAsiaTheme="minorEastAsia" w:cstheme="minorEastAsia"/>
          <w:color w:val="auto"/>
          <w:spacing w:val="9"/>
          <w:sz w:val="21"/>
          <w:szCs w:val="21"/>
          <w:lang w:val="en-US" w:eastAsia="zh-CN"/>
        </w:rPr>
        <w:t>4</w:t>
      </w:r>
      <w:r>
        <w:rPr>
          <w:rFonts w:hint="eastAsia" w:asciiTheme="minorEastAsia" w:hAnsiTheme="minorEastAsia" w:eastAsiaTheme="minorEastAsia" w:cstheme="minorEastAsia"/>
          <w:color w:val="auto"/>
          <w:spacing w:val="9"/>
          <w:sz w:val="21"/>
          <w:szCs w:val="21"/>
          <w:lang w:eastAsia="zh-CN"/>
        </w:rPr>
        <w:t>0)%=</w:t>
      </w:r>
      <w:r>
        <w:rPr>
          <w:rFonts w:hint="eastAsia" w:asciiTheme="minorEastAsia" w:hAnsiTheme="minorEastAsia" w:eastAsiaTheme="minorEastAsia" w:cstheme="minorEastAsia"/>
          <w:color w:val="auto"/>
          <w:spacing w:val="9"/>
          <w:sz w:val="21"/>
          <w:szCs w:val="21"/>
          <w:lang w:val="en-US" w:eastAsia="zh-CN"/>
        </w:rPr>
        <w:t>1.14</w:t>
      </w:r>
      <w:r>
        <w:rPr>
          <w:rFonts w:hint="eastAsia" w:asciiTheme="minorEastAsia" w:hAnsiTheme="minorEastAsia" w:eastAsiaTheme="minorEastAsia" w:cstheme="minorEastAsia"/>
          <w:color w:val="auto"/>
          <w:spacing w:val="9"/>
          <w:sz w:val="21"/>
          <w:szCs w:val="21"/>
          <w:lang w:eastAsia="zh-CN"/>
        </w:rPr>
        <w:t>万元。</w:t>
      </w:r>
    </w:p>
    <w:p w14:paraId="47E18A21">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5"/>
        <w:textAlignment w:val="baseline"/>
        <w:rPr>
          <w:rFonts w:ascii="黑体" w:hAnsi="黑体" w:eastAsia="黑体" w:cs="黑体"/>
          <w:color w:val="auto"/>
          <w:sz w:val="24"/>
          <w:szCs w:val="24"/>
        </w:rPr>
      </w:pPr>
      <w:r>
        <w:rPr>
          <w:rFonts w:ascii="黑体" w:hAnsi="黑体" w:eastAsia="黑体" w:cs="黑体"/>
          <w:b/>
          <w:bCs/>
          <w:color w:val="auto"/>
          <w:spacing w:val="-3"/>
          <w:sz w:val="24"/>
          <w:szCs w:val="24"/>
        </w:rPr>
        <w:t>33.需要补充的其他内容</w:t>
      </w:r>
    </w:p>
    <w:p w14:paraId="1A0DEF43">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33.1 本磋商文件解释规则详见“供应商须知前附表 ”。</w:t>
      </w:r>
    </w:p>
    <w:p w14:paraId="3200D2AE">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33.2 其他事项详见“供应商须知前附表 ”。</w:t>
      </w:r>
    </w:p>
    <w:p w14:paraId="1EEB86FB">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33.3 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24C107CC">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（1）在货物采购项目中，货物由中小企业制造，即货物由中小企业生产且使用该中小企业商号或者注册商标，不对其中涉及的工程承建商和服务的承接商作出要求；</w:t>
      </w:r>
      <w:bookmarkStart w:id="10" w:name="bookmark15"/>
      <w:bookmarkEnd w:id="10"/>
      <w:r>
        <w:rPr>
          <w:rFonts w:hint="eastAsia" w:asciiTheme="minorEastAsia" w:hAnsiTheme="minorEastAsia" w:eastAsiaTheme="minorEastAsia" w:cstheme="minorEastAsia"/>
          <w:color w:val="auto"/>
          <w:spacing w:val="9"/>
          <w:sz w:val="21"/>
          <w:szCs w:val="21"/>
          <w:lang w:eastAsia="zh-CN"/>
        </w:rPr>
        <w:t>（2）在工程采购项目中，工程由中小企业承建，即工程施工单位为中小企业，不对其中涉及的货物的制造商和服务的承接商作出要求；</w:t>
      </w:r>
    </w:p>
    <w:p w14:paraId="706498CF">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（3）在服务采购项目中，服务由中小企业承接，即提供服务的人员为中小企业依照《中华人民共和国劳动合同法》订立劳动合同的从业人员，不对其中涉及的货物的制造商和工程承建商作出要求。</w:t>
      </w:r>
    </w:p>
    <w:p w14:paraId="14DBC8A8">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6CB52166">
      <w:pPr>
        <w:keepNext w:val="0"/>
        <w:keepLines w:val="0"/>
        <w:pageBreakBefore w:val="0"/>
        <w:widowControl/>
        <w:kinsoku w:val="0"/>
        <w:wordWrap/>
        <w:overflowPunct/>
        <w:topLinePunct w:val="0"/>
        <w:autoSpaceDE w:val="0"/>
        <w:autoSpaceDN w:val="0"/>
        <w:bidi w:val="0"/>
        <w:adjustRightInd w:val="0"/>
        <w:snapToGrid w:val="0"/>
        <w:spacing w:before="191" w:line="360" w:lineRule="auto"/>
        <w:ind w:right="11" w:firstLine="436"/>
        <w:textAlignment w:val="baseline"/>
        <w:rPr>
          <w:rFonts w:hint="eastAsia" w:asciiTheme="minorEastAsia" w:hAnsiTheme="minorEastAsia" w:eastAsiaTheme="minorEastAsia" w:cstheme="minorEastAsia"/>
          <w:color w:val="auto"/>
          <w:spacing w:val="9"/>
          <w:sz w:val="21"/>
          <w:szCs w:val="21"/>
          <w:lang w:eastAsia="zh-CN"/>
        </w:rPr>
      </w:pPr>
      <w:r>
        <w:rPr>
          <w:rFonts w:hint="eastAsia" w:asciiTheme="minorEastAsia" w:hAnsiTheme="minorEastAsia" w:eastAsiaTheme="minorEastAsia" w:cstheme="minorEastAsia"/>
          <w:color w:val="auto"/>
          <w:spacing w:val="9"/>
          <w:sz w:val="21"/>
          <w:szCs w:val="21"/>
          <w:lang w:eastAsia="zh-CN"/>
        </w:rPr>
        <w:t>依据本磋商文件规定享受扶持政策获得政府采购合同的，小微企业不得将合同分包给大中型企业，中型企业不得将合同分包给大型企业。</w:t>
      </w:r>
    </w:p>
    <w:p w14:paraId="75A9C386">
      <w:pPr>
        <w:rPr>
          <w:rFonts w:ascii="宋体" w:hAnsi="宋体" w:eastAsia="宋体" w:cs="宋体"/>
          <w:b/>
          <w:bCs/>
          <w:color w:val="auto"/>
          <w:spacing w:val="4"/>
          <w:sz w:val="43"/>
          <w:szCs w:val="43"/>
        </w:rPr>
      </w:pPr>
      <w:bookmarkStart w:id="11" w:name="_Toc23231"/>
      <w:r>
        <w:rPr>
          <w:rFonts w:ascii="宋体" w:hAnsi="宋体" w:eastAsia="宋体" w:cs="宋体"/>
          <w:b/>
          <w:bCs/>
          <w:color w:val="auto"/>
          <w:spacing w:val="4"/>
          <w:sz w:val="43"/>
          <w:szCs w:val="43"/>
        </w:rPr>
        <w:br w:type="page"/>
      </w:r>
    </w:p>
    <w:p w14:paraId="1FD50C6F">
      <w:pPr>
        <w:spacing w:before="88" w:line="222" w:lineRule="auto"/>
        <w:ind w:left="3178"/>
        <w:outlineLvl w:val="0"/>
        <w:rPr>
          <w:rFonts w:ascii="宋体" w:hAnsi="宋体" w:eastAsia="宋体" w:cs="宋体"/>
          <w:color w:val="auto"/>
          <w:sz w:val="43"/>
          <w:szCs w:val="43"/>
        </w:rPr>
      </w:pPr>
      <w:r>
        <w:rPr>
          <w:rFonts w:ascii="宋体" w:hAnsi="宋体" w:eastAsia="宋体" w:cs="宋体"/>
          <w:b/>
          <w:bCs/>
          <w:color w:val="auto"/>
          <w:spacing w:val="4"/>
          <w:sz w:val="43"/>
          <w:szCs w:val="43"/>
        </w:rPr>
        <w:t>第三章</w:t>
      </w:r>
      <w:r>
        <w:rPr>
          <w:rFonts w:ascii="宋体" w:hAnsi="宋体" w:eastAsia="宋体" w:cs="宋体"/>
          <w:color w:val="auto"/>
          <w:spacing w:val="4"/>
          <w:sz w:val="43"/>
          <w:szCs w:val="43"/>
        </w:rPr>
        <w:t xml:space="preserve"> </w:t>
      </w:r>
      <w:r>
        <w:rPr>
          <w:rFonts w:ascii="宋体" w:hAnsi="宋体" w:eastAsia="宋体" w:cs="宋体"/>
          <w:b/>
          <w:bCs/>
          <w:color w:val="auto"/>
          <w:spacing w:val="4"/>
          <w:sz w:val="43"/>
          <w:szCs w:val="43"/>
        </w:rPr>
        <w:t>采购需求</w:t>
      </w:r>
      <w:bookmarkEnd w:id="11"/>
    </w:p>
    <w:p w14:paraId="34DA3477">
      <w:pPr>
        <w:spacing w:line="440" w:lineRule="exact"/>
        <w:jc w:val="center"/>
        <w:rPr>
          <w:rFonts w:hint="eastAsia" w:ascii="宋体" w:hAnsi="宋体"/>
          <w:b/>
          <w:color w:val="auto"/>
          <w:sz w:val="32"/>
          <w:szCs w:val="32"/>
        </w:rPr>
      </w:pPr>
    </w:p>
    <w:p w14:paraId="31758A14">
      <w:pPr>
        <w:spacing w:line="440" w:lineRule="exact"/>
        <w:jc w:val="center"/>
        <w:rPr>
          <w:rFonts w:ascii="宋体" w:hAnsi="宋体"/>
          <w:b/>
          <w:color w:val="auto"/>
          <w:sz w:val="32"/>
          <w:szCs w:val="32"/>
        </w:rPr>
      </w:pPr>
      <w:r>
        <w:rPr>
          <w:rFonts w:hint="eastAsia" w:ascii="宋体" w:hAnsi="宋体"/>
          <w:b/>
          <w:color w:val="auto"/>
          <w:sz w:val="32"/>
          <w:szCs w:val="32"/>
        </w:rPr>
        <w:t>采购项目技术规格、参数及要求</w:t>
      </w:r>
    </w:p>
    <w:p w14:paraId="39FC3072">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说明：</w:t>
      </w:r>
    </w:p>
    <w:p w14:paraId="6F4AA74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 为落实政府采购政策需满足的要求（根据项目实际情况填写内容）</w:t>
      </w:r>
    </w:p>
    <w:p w14:paraId="4B6234BC">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（1）本竞争性磋商采购文件所称中小企业必须符合《政府采购促进中小企业发展管理办法》（财库〔2020〕46号）的规定。</w:t>
      </w:r>
    </w:p>
    <w:p w14:paraId="2ADE5702">
      <w:pPr>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2"/>
        <w:jc w:val="left"/>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 “实质性要求”是指采购需求中带“▲”的条款或者不能负偏离的条款或者已经指明不满足按响应文件按无效处理的条款。</w:t>
      </w:r>
    </w:p>
    <w:p w14:paraId="3B7880AE">
      <w:pPr>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2"/>
        <w:jc w:val="left"/>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3.供应商必须自行为其竞标产品侵犯他人的知识产权或者专利成果的行为承担相应法律责任。</w:t>
      </w:r>
    </w:p>
    <w:p w14:paraId="6FB53FC6">
      <w:pPr>
        <w:keepNext w:val="0"/>
        <w:keepLines w:val="0"/>
        <w:pageBreakBefore w:val="0"/>
        <w:widowControl/>
        <w:kinsoku w:val="0"/>
        <w:wordWrap/>
        <w:overflowPunct/>
        <w:topLinePunct w:val="0"/>
        <w:autoSpaceDE w:val="0"/>
        <w:autoSpaceDN w:val="0"/>
        <w:bidi w:val="0"/>
        <w:adjustRightInd w:val="0"/>
        <w:snapToGrid w:val="0"/>
        <w:spacing w:line="360" w:lineRule="auto"/>
        <w:ind w:firstLine="310" w:firstLineChars="147"/>
        <w:jc w:val="left"/>
        <w:textAlignment w:val="baseline"/>
        <w:rPr>
          <w:rFonts w:hint="eastAsia" w:asciiTheme="minorEastAsia" w:hAnsiTheme="minorEastAsia" w:eastAsiaTheme="minorEastAsia" w:cstheme="minorEastAsia"/>
          <w:bCs/>
          <w:color w:val="auto"/>
          <w:sz w:val="21"/>
          <w:szCs w:val="21"/>
          <w:u w:val="single"/>
        </w:rPr>
      </w:pPr>
      <w:r>
        <w:rPr>
          <w:rFonts w:hint="eastAsia" w:asciiTheme="minorEastAsia" w:hAnsiTheme="minorEastAsia" w:eastAsiaTheme="minorEastAsia" w:cstheme="minorEastAsia"/>
          <w:b/>
          <w:color w:val="auto"/>
          <w:sz w:val="21"/>
          <w:szCs w:val="21"/>
        </w:rPr>
        <w:t>采购预算：</w:t>
      </w:r>
      <w:r>
        <w:rPr>
          <w:rFonts w:hint="eastAsia" w:asciiTheme="minorEastAsia" w:hAnsiTheme="minorEastAsia" w:eastAsiaTheme="minorEastAsia" w:cstheme="minorEastAsia"/>
          <w:bCs/>
          <w:color w:val="auto"/>
          <w:sz w:val="21"/>
          <w:szCs w:val="21"/>
          <w:u w:val="single"/>
        </w:rPr>
        <w:t>1224700.00元</w:t>
      </w:r>
    </w:p>
    <w:tbl>
      <w:tblPr>
        <w:tblStyle w:val="7"/>
        <w:tblW w:w="9523" w:type="dxa"/>
        <w:tblInd w:w="1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4"/>
        <w:gridCol w:w="1484"/>
        <w:gridCol w:w="7355"/>
      </w:tblGrid>
      <w:tr w14:paraId="0EBEC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trPr>
        <w:tc>
          <w:tcPr>
            <w:tcW w:w="9523" w:type="dxa"/>
            <w:gridSpan w:val="3"/>
            <w:shd w:val="clear" w:color="auto" w:fill="D9D9D9"/>
            <w:vAlign w:val="center"/>
          </w:tcPr>
          <w:p w14:paraId="775F83D5">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
                <w:color w:val="auto"/>
                <w:kern w:val="0"/>
                <w:sz w:val="21"/>
                <w:szCs w:val="21"/>
              </w:rPr>
              <w:t>一、本项目需实现的功能或者目标，以及政府采购政策的应用</w:t>
            </w:r>
          </w:p>
        </w:tc>
      </w:tr>
      <w:tr w14:paraId="312E6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684" w:type="dxa"/>
            <w:vAlign w:val="center"/>
          </w:tcPr>
          <w:p w14:paraId="59AD457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序号</w:t>
            </w:r>
          </w:p>
        </w:tc>
        <w:tc>
          <w:tcPr>
            <w:tcW w:w="1484" w:type="dxa"/>
            <w:vAlign w:val="center"/>
          </w:tcPr>
          <w:p w14:paraId="59E52EA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采购需求要点</w:t>
            </w:r>
          </w:p>
        </w:tc>
        <w:tc>
          <w:tcPr>
            <w:tcW w:w="7355" w:type="dxa"/>
            <w:vAlign w:val="center"/>
          </w:tcPr>
          <w:p w14:paraId="3BB701D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具体要求</w:t>
            </w:r>
          </w:p>
        </w:tc>
      </w:tr>
      <w:tr w14:paraId="08208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trPr>
        <w:tc>
          <w:tcPr>
            <w:tcW w:w="684" w:type="dxa"/>
            <w:vAlign w:val="center"/>
          </w:tcPr>
          <w:p w14:paraId="1BD5871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1</w:t>
            </w:r>
          </w:p>
        </w:tc>
        <w:tc>
          <w:tcPr>
            <w:tcW w:w="1484" w:type="dxa"/>
            <w:vAlign w:val="center"/>
          </w:tcPr>
          <w:p w14:paraId="5906327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需实现的功能或者目标</w:t>
            </w:r>
          </w:p>
        </w:tc>
        <w:tc>
          <w:tcPr>
            <w:tcW w:w="7355" w:type="dxa"/>
            <w:vAlign w:val="center"/>
          </w:tcPr>
          <w:p w14:paraId="7090656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满足采购文件采购需求及采购合同约定需求，经验收达到合格标准。</w:t>
            </w:r>
          </w:p>
        </w:tc>
      </w:tr>
      <w:tr w14:paraId="6D440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trPr>
        <w:tc>
          <w:tcPr>
            <w:tcW w:w="684" w:type="dxa"/>
            <w:vAlign w:val="center"/>
          </w:tcPr>
          <w:p w14:paraId="57377FA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2</w:t>
            </w:r>
          </w:p>
        </w:tc>
        <w:tc>
          <w:tcPr>
            <w:tcW w:w="1484" w:type="dxa"/>
            <w:vAlign w:val="center"/>
          </w:tcPr>
          <w:p w14:paraId="39EA86A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color w:val="auto"/>
                <w:kern w:val="0"/>
                <w:sz w:val="21"/>
                <w:szCs w:val="21"/>
              </w:rPr>
              <w:t>政府采购政策的应用</w:t>
            </w:r>
          </w:p>
        </w:tc>
        <w:tc>
          <w:tcPr>
            <w:tcW w:w="7355" w:type="dxa"/>
            <w:vAlign w:val="center"/>
          </w:tcPr>
          <w:p w14:paraId="24C6FDE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详见</w:t>
            </w:r>
            <w:r>
              <w:rPr>
                <w:rFonts w:hint="eastAsia" w:asciiTheme="minorEastAsia" w:hAnsiTheme="minorEastAsia" w:eastAsiaTheme="minorEastAsia" w:cstheme="minorEastAsia"/>
                <w:color w:val="auto"/>
                <w:kern w:val="0"/>
                <w:sz w:val="21"/>
                <w:szCs w:val="21"/>
              </w:rPr>
              <w:t>第四章“评审方法及评审标准/政府采购政策应用说明”。</w:t>
            </w:r>
          </w:p>
        </w:tc>
      </w:tr>
      <w:tr w14:paraId="50155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trPr>
        <w:tc>
          <w:tcPr>
            <w:tcW w:w="684" w:type="dxa"/>
            <w:vAlign w:val="center"/>
          </w:tcPr>
          <w:p w14:paraId="6108C75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3</w:t>
            </w:r>
          </w:p>
        </w:tc>
        <w:tc>
          <w:tcPr>
            <w:tcW w:w="1484" w:type="dxa"/>
            <w:vAlign w:val="center"/>
          </w:tcPr>
          <w:p w14:paraId="1F33FA4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标的所属行业</w:t>
            </w:r>
          </w:p>
        </w:tc>
        <w:tc>
          <w:tcPr>
            <w:tcW w:w="7355" w:type="dxa"/>
            <w:vAlign w:val="center"/>
          </w:tcPr>
          <w:p w14:paraId="7D56A9A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color w:val="auto"/>
                <w:sz w:val="21"/>
                <w:szCs w:val="21"/>
              </w:rPr>
              <w:t>其他未列明行业</w:t>
            </w:r>
            <w:r>
              <w:rPr>
                <w:rFonts w:hint="eastAsia" w:asciiTheme="minorEastAsia" w:hAnsiTheme="minorEastAsia" w:eastAsiaTheme="minorEastAsia" w:cstheme="minorEastAsia"/>
                <w:bCs/>
                <w:color w:val="auto"/>
                <w:kern w:val="0"/>
                <w:sz w:val="21"/>
                <w:szCs w:val="21"/>
              </w:rPr>
              <w:t>。</w:t>
            </w:r>
          </w:p>
        </w:tc>
      </w:tr>
      <w:tr w14:paraId="5CC65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trPr>
        <w:tc>
          <w:tcPr>
            <w:tcW w:w="9523" w:type="dxa"/>
            <w:gridSpan w:val="3"/>
            <w:shd w:val="clear" w:color="auto" w:fill="D9D9D9"/>
            <w:vAlign w:val="center"/>
          </w:tcPr>
          <w:p w14:paraId="4124756E">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
                <w:color w:val="auto"/>
                <w:kern w:val="0"/>
                <w:sz w:val="21"/>
                <w:szCs w:val="21"/>
              </w:rPr>
              <w:t>二、本项目需执行的国家相关标准、行业标准、地方标准或者其他标准、规范</w:t>
            </w:r>
          </w:p>
        </w:tc>
      </w:tr>
      <w:tr w14:paraId="35499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trPr>
        <w:tc>
          <w:tcPr>
            <w:tcW w:w="9523" w:type="dxa"/>
            <w:gridSpan w:val="3"/>
            <w:vAlign w:val="center"/>
          </w:tcPr>
          <w:p w14:paraId="156BC3E1">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color w:val="auto"/>
                <w:sz w:val="21"/>
                <w:szCs w:val="21"/>
              </w:rPr>
              <w:t>本项目如有国家相关标准、行业标准、地方标准或者其他标准、规范的，应执行相应的标准、规范。如具体采购需求与标准、规范不一致的，高于标准、规范的按具体采购需求执行，低于标准、规范的按标准、规范执行。</w:t>
            </w:r>
          </w:p>
        </w:tc>
      </w:tr>
      <w:tr w14:paraId="630FE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trPr>
        <w:tc>
          <w:tcPr>
            <w:tcW w:w="9523" w:type="dxa"/>
            <w:gridSpan w:val="3"/>
            <w:shd w:val="clear" w:color="auto" w:fill="D9D9D9"/>
            <w:vAlign w:val="center"/>
          </w:tcPr>
          <w:p w14:paraId="40163F4D">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三、本项目服务要求</w:t>
            </w:r>
          </w:p>
        </w:tc>
      </w:tr>
      <w:tr w14:paraId="3FEF6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trPr>
        <w:tc>
          <w:tcPr>
            <w:tcW w:w="2168" w:type="dxa"/>
            <w:gridSpan w:val="2"/>
            <w:vAlign w:val="center"/>
          </w:tcPr>
          <w:p w14:paraId="445FC219">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color w:val="auto"/>
                <w:sz w:val="21"/>
                <w:szCs w:val="21"/>
              </w:rPr>
              <w:t>核心产品</w:t>
            </w:r>
          </w:p>
        </w:tc>
        <w:tc>
          <w:tcPr>
            <w:tcW w:w="7355" w:type="dxa"/>
            <w:vAlign w:val="center"/>
          </w:tcPr>
          <w:p w14:paraId="7596A6AB">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本项目为服务项目，无核心产品定义。</w:t>
            </w:r>
          </w:p>
        </w:tc>
      </w:tr>
      <w:tr w14:paraId="15EE1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trPr>
        <w:tc>
          <w:tcPr>
            <w:tcW w:w="9523" w:type="dxa"/>
            <w:gridSpan w:val="3"/>
            <w:vAlign w:val="center"/>
          </w:tcPr>
          <w:p w14:paraId="06CB04AC">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具体服务要求（技术要求）见下：</w:t>
            </w:r>
          </w:p>
          <w:p w14:paraId="02D6346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color w:val="auto"/>
                <w:sz w:val="21"/>
                <w:szCs w:val="21"/>
              </w:rPr>
            </w:pPr>
            <w:bookmarkStart w:id="12" w:name="OLE_LINK80"/>
            <w:bookmarkStart w:id="13" w:name="OLE_LINK79"/>
            <w:r>
              <w:rPr>
                <w:rFonts w:hint="eastAsia" w:asciiTheme="minorEastAsia" w:hAnsiTheme="minorEastAsia" w:eastAsiaTheme="minorEastAsia" w:cstheme="minorEastAsia"/>
                <w:color w:val="auto"/>
                <w:sz w:val="21"/>
                <w:szCs w:val="21"/>
              </w:rPr>
              <w:t>根据2026年广西城市国土空间监测实施方案、有关技术规定和成果质量检查验收方案的要求，配合采购方开展广西城市国土空间监测核查与验收工作。具体内容如下：</w:t>
            </w:r>
          </w:p>
          <w:p w14:paraId="082FACD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1.配合开展首件产品质量核查。对承担2026年城市国土空间监测工作的生产单位进行首件产品检查，编制首件产品检查记录表；及时将发现的问题反馈生产单位整改，将有关问题整理汇总并及时向采购方汇报。</w:t>
            </w:r>
          </w:p>
          <w:p w14:paraId="5752B8C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2.配合开展全区城市国土空间监测成果数据的核查与验收工作。按照《2026年城市国土空间监测成果质量检查验收方案》要求，对14个设区市城市国土空间监测成果进行质量检查，并出具质量检验报告。</w:t>
            </w:r>
          </w:p>
          <w:p w14:paraId="17FBEC2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3.配合开展国家级核查整改和数据质量复核工作。</w:t>
            </w:r>
          </w:p>
          <w:p w14:paraId="5FD98A2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4.如自然资源部对2026年城市国土空间监测工作有新要求的，以最新要求为准</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 xml:space="preserve"> 并根据最新要求完成相等的工作量。</w:t>
            </w:r>
          </w:p>
          <w:p w14:paraId="78234C0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color w:val="auto"/>
                <w:sz w:val="21"/>
                <w:szCs w:val="21"/>
              </w:rPr>
              <w:t>5.配合采购人做好项目绩效考核工作。</w:t>
            </w:r>
            <w:bookmarkEnd w:id="12"/>
            <w:bookmarkEnd w:id="13"/>
          </w:p>
        </w:tc>
      </w:tr>
      <w:tr w14:paraId="2C53697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18" w:hRule="atLeast"/>
        </w:trPr>
        <w:tc>
          <w:tcPr>
            <w:tcW w:w="9523" w:type="dxa"/>
            <w:gridSpan w:val="3"/>
            <w:tcBorders>
              <w:top w:val="single" w:color="auto" w:sz="4" w:space="0"/>
              <w:left w:val="single" w:color="auto" w:sz="4" w:space="0"/>
              <w:bottom w:val="single" w:color="auto" w:sz="4" w:space="0"/>
              <w:right w:val="single" w:color="auto" w:sz="4" w:space="0"/>
            </w:tcBorders>
            <w:shd w:val="clear" w:color="auto" w:fill="D9D9D9"/>
            <w:vAlign w:val="center"/>
          </w:tcPr>
          <w:p w14:paraId="2F6CBDD7">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四、本项目商务要求</w:t>
            </w:r>
          </w:p>
        </w:tc>
      </w:tr>
      <w:tr w14:paraId="572A89E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49" w:hRule="atLeast"/>
        </w:trPr>
        <w:tc>
          <w:tcPr>
            <w:tcW w:w="684" w:type="dxa"/>
            <w:tcBorders>
              <w:top w:val="single" w:color="auto" w:sz="4" w:space="0"/>
              <w:left w:val="single" w:color="auto" w:sz="4" w:space="0"/>
              <w:bottom w:val="single" w:color="auto" w:sz="4" w:space="0"/>
              <w:right w:val="single" w:color="auto" w:sz="4" w:space="0"/>
            </w:tcBorders>
            <w:vAlign w:val="center"/>
          </w:tcPr>
          <w:p w14:paraId="780C5BD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1484" w:type="dxa"/>
            <w:tcBorders>
              <w:top w:val="single" w:color="auto" w:sz="4" w:space="0"/>
              <w:left w:val="single" w:color="auto" w:sz="4" w:space="0"/>
              <w:bottom w:val="single" w:color="auto" w:sz="4" w:space="0"/>
              <w:right w:val="single" w:color="auto" w:sz="4" w:space="0"/>
            </w:tcBorders>
            <w:vAlign w:val="center"/>
          </w:tcPr>
          <w:p w14:paraId="448BBF5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商务条款</w:t>
            </w:r>
          </w:p>
        </w:tc>
        <w:tc>
          <w:tcPr>
            <w:tcW w:w="7355" w:type="dxa"/>
            <w:tcBorders>
              <w:top w:val="single" w:color="auto" w:sz="4" w:space="0"/>
              <w:left w:val="single" w:color="auto" w:sz="4" w:space="0"/>
              <w:bottom w:val="single" w:color="auto" w:sz="4" w:space="0"/>
              <w:right w:val="single" w:color="auto" w:sz="4" w:space="0"/>
            </w:tcBorders>
            <w:vAlign w:val="center"/>
          </w:tcPr>
          <w:p w14:paraId="2324DDA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商务要求</w:t>
            </w:r>
          </w:p>
        </w:tc>
      </w:tr>
      <w:tr w14:paraId="461B386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49" w:hRule="atLeast"/>
        </w:trPr>
        <w:tc>
          <w:tcPr>
            <w:tcW w:w="684" w:type="dxa"/>
            <w:tcBorders>
              <w:top w:val="single" w:color="auto" w:sz="4" w:space="0"/>
              <w:left w:val="single" w:color="auto" w:sz="4" w:space="0"/>
              <w:bottom w:val="single" w:color="auto" w:sz="4" w:space="0"/>
              <w:right w:val="single" w:color="auto" w:sz="4" w:space="0"/>
            </w:tcBorders>
            <w:vAlign w:val="center"/>
          </w:tcPr>
          <w:p w14:paraId="3EA647E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1484" w:type="dxa"/>
            <w:tcBorders>
              <w:top w:val="single" w:color="auto" w:sz="4" w:space="0"/>
              <w:left w:val="single" w:color="auto" w:sz="4" w:space="0"/>
              <w:bottom w:val="single" w:color="auto" w:sz="4" w:space="0"/>
              <w:right w:val="single" w:color="auto" w:sz="4" w:space="0"/>
            </w:tcBorders>
            <w:vAlign w:val="center"/>
          </w:tcPr>
          <w:p w14:paraId="06F6AD9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报价要求</w:t>
            </w:r>
          </w:p>
        </w:tc>
        <w:tc>
          <w:tcPr>
            <w:tcW w:w="7355" w:type="dxa"/>
            <w:tcBorders>
              <w:top w:val="single" w:color="auto" w:sz="4" w:space="0"/>
              <w:left w:val="single" w:color="auto" w:sz="4" w:space="0"/>
              <w:bottom w:val="single" w:color="auto" w:sz="4" w:space="0"/>
              <w:right w:val="single" w:color="auto" w:sz="4" w:space="0"/>
            </w:tcBorders>
            <w:vAlign w:val="center"/>
          </w:tcPr>
          <w:p w14:paraId="062E7034">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本项目实行总报价，包括完成本项目采购要求、人员要求所产生的全部费用。</w:t>
            </w:r>
          </w:p>
        </w:tc>
      </w:tr>
      <w:tr w14:paraId="72C2346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95" w:hRule="atLeast"/>
        </w:trPr>
        <w:tc>
          <w:tcPr>
            <w:tcW w:w="684" w:type="dxa"/>
            <w:tcBorders>
              <w:top w:val="single" w:color="auto" w:sz="4" w:space="0"/>
              <w:left w:val="single" w:color="auto" w:sz="4" w:space="0"/>
              <w:bottom w:val="single" w:color="auto" w:sz="4" w:space="0"/>
              <w:right w:val="single" w:color="auto" w:sz="4" w:space="0"/>
            </w:tcBorders>
            <w:vAlign w:val="center"/>
          </w:tcPr>
          <w:p w14:paraId="2FCD6E3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p>
        </w:tc>
        <w:tc>
          <w:tcPr>
            <w:tcW w:w="1484" w:type="dxa"/>
            <w:tcBorders>
              <w:top w:val="single" w:color="auto" w:sz="4" w:space="0"/>
              <w:left w:val="single" w:color="auto" w:sz="4" w:space="0"/>
              <w:bottom w:val="single" w:color="auto" w:sz="4" w:space="0"/>
              <w:right w:val="single" w:color="auto" w:sz="4" w:space="0"/>
            </w:tcBorders>
            <w:vAlign w:val="center"/>
          </w:tcPr>
          <w:p w14:paraId="6DD91AE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合同签订日期</w:t>
            </w:r>
          </w:p>
        </w:tc>
        <w:tc>
          <w:tcPr>
            <w:tcW w:w="7355" w:type="dxa"/>
            <w:tcBorders>
              <w:top w:val="single" w:color="auto" w:sz="4" w:space="0"/>
              <w:left w:val="single" w:color="auto" w:sz="4" w:space="0"/>
              <w:bottom w:val="single" w:color="auto" w:sz="4" w:space="0"/>
              <w:right w:val="single" w:color="auto" w:sz="4" w:space="0"/>
            </w:tcBorders>
            <w:vAlign w:val="center"/>
          </w:tcPr>
          <w:p w14:paraId="4D54C31C">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自中标通知书发出之日起25日内。</w:t>
            </w:r>
          </w:p>
        </w:tc>
      </w:tr>
      <w:tr w14:paraId="499BCA2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83" w:hRule="atLeast"/>
        </w:trPr>
        <w:tc>
          <w:tcPr>
            <w:tcW w:w="684" w:type="dxa"/>
            <w:tcBorders>
              <w:top w:val="single" w:color="auto" w:sz="4" w:space="0"/>
              <w:left w:val="single" w:color="auto" w:sz="4" w:space="0"/>
              <w:bottom w:val="single" w:color="auto" w:sz="4" w:space="0"/>
              <w:right w:val="single" w:color="auto" w:sz="4" w:space="0"/>
            </w:tcBorders>
            <w:vAlign w:val="center"/>
          </w:tcPr>
          <w:p w14:paraId="043C15B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p>
        </w:tc>
        <w:tc>
          <w:tcPr>
            <w:tcW w:w="1484" w:type="dxa"/>
            <w:tcBorders>
              <w:top w:val="single" w:color="auto" w:sz="4" w:space="0"/>
              <w:left w:val="single" w:color="auto" w:sz="4" w:space="0"/>
              <w:bottom w:val="single" w:color="auto" w:sz="4" w:space="0"/>
              <w:right w:val="single" w:color="auto" w:sz="4" w:space="0"/>
            </w:tcBorders>
            <w:vAlign w:val="center"/>
          </w:tcPr>
          <w:p w14:paraId="68023C34">
            <w:pPr>
              <w:keepNext w:val="0"/>
              <w:keepLines w:val="0"/>
              <w:pageBreakBefore w:val="0"/>
              <w:widowControl/>
              <w:tabs>
                <w:tab w:val="left" w:pos="180"/>
                <w:tab w:val="left" w:pos="1620"/>
              </w:tabs>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服务时间</w:t>
            </w:r>
          </w:p>
        </w:tc>
        <w:tc>
          <w:tcPr>
            <w:tcW w:w="7355" w:type="dxa"/>
            <w:tcBorders>
              <w:top w:val="single" w:color="auto" w:sz="4" w:space="0"/>
              <w:left w:val="single" w:color="auto" w:sz="4" w:space="0"/>
              <w:bottom w:val="single" w:color="auto" w:sz="4" w:space="0"/>
              <w:right w:val="single" w:color="auto" w:sz="4" w:space="0"/>
            </w:tcBorders>
            <w:vAlign w:val="center"/>
          </w:tcPr>
          <w:p w14:paraId="42AC3BC8">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自合同签订之日起至2026年12月10日。 </w:t>
            </w:r>
          </w:p>
        </w:tc>
      </w:tr>
      <w:tr w14:paraId="5E8B47D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24" w:hRule="atLeast"/>
        </w:trPr>
        <w:tc>
          <w:tcPr>
            <w:tcW w:w="684" w:type="dxa"/>
            <w:tcBorders>
              <w:top w:val="single" w:color="auto" w:sz="4" w:space="0"/>
              <w:left w:val="single" w:color="auto" w:sz="4" w:space="0"/>
              <w:bottom w:val="single" w:color="auto" w:sz="4" w:space="0"/>
              <w:right w:val="single" w:color="auto" w:sz="4" w:space="0"/>
            </w:tcBorders>
            <w:vAlign w:val="center"/>
          </w:tcPr>
          <w:p w14:paraId="5688663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p>
        </w:tc>
        <w:tc>
          <w:tcPr>
            <w:tcW w:w="1484" w:type="dxa"/>
            <w:tcBorders>
              <w:top w:val="single" w:color="auto" w:sz="4" w:space="0"/>
              <w:left w:val="single" w:color="auto" w:sz="4" w:space="0"/>
              <w:bottom w:val="single" w:color="auto" w:sz="4" w:space="0"/>
              <w:right w:val="single" w:color="auto" w:sz="4" w:space="0"/>
            </w:tcBorders>
            <w:vAlign w:val="center"/>
          </w:tcPr>
          <w:p w14:paraId="28776ED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服务地点</w:t>
            </w:r>
          </w:p>
        </w:tc>
        <w:tc>
          <w:tcPr>
            <w:tcW w:w="7355" w:type="dxa"/>
            <w:tcBorders>
              <w:top w:val="single" w:color="auto" w:sz="4" w:space="0"/>
              <w:left w:val="single" w:color="auto" w:sz="4" w:space="0"/>
              <w:bottom w:val="single" w:color="auto" w:sz="4" w:space="0"/>
              <w:right w:val="single" w:color="auto" w:sz="4" w:space="0"/>
            </w:tcBorders>
            <w:vAlign w:val="center"/>
          </w:tcPr>
          <w:p w14:paraId="09043A49">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采购人指定地点。</w:t>
            </w:r>
          </w:p>
        </w:tc>
      </w:tr>
      <w:tr w14:paraId="7A0A56E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787" w:hRule="atLeast"/>
        </w:trPr>
        <w:tc>
          <w:tcPr>
            <w:tcW w:w="684" w:type="dxa"/>
            <w:tcBorders>
              <w:top w:val="single" w:color="auto" w:sz="4" w:space="0"/>
              <w:left w:val="single" w:color="auto" w:sz="4" w:space="0"/>
              <w:bottom w:val="single" w:color="auto" w:sz="4" w:space="0"/>
              <w:right w:val="single" w:color="auto" w:sz="4" w:space="0"/>
            </w:tcBorders>
            <w:vAlign w:val="center"/>
          </w:tcPr>
          <w:p w14:paraId="2FD3350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p>
        </w:tc>
        <w:tc>
          <w:tcPr>
            <w:tcW w:w="1484" w:type="dxa"/>
            <w:tcBorders>
              <w:top w:val="single" w:color="auto" w:sz="4" w:space="0"/>
              <w:left w:val="single" w:color="auto" w:sz="4" w:space="0"/>
              <w:bottom w:val="single" w:color="auto" w:sz="4" w:space="0"/>
              <w:right w:val="single" w:color="auto" w:sz="4" w:space="0"/>
            </w:tcBorders>
            <w:vAlign w:val="center"/>
          </w:tcPr>
          <w:p w14:paraId="5773AF95">
            <w:pPr>
              <w:keepNext w:val="0"/>
              <w:keepLines w:val="0"/>
              <w:pageBreakBefore w:val="0"/>
              <w:widowControl/>
              <w:tabs>
                <w:tab w:val="left" w:pos="180"/>
                <w:tab w:val="left" w:pos="1620"/>
              </w:tabs>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验收要求</w:t>
            </w:r>
          </w:p>
        </w:tc>
        <w:tc>
          <w:tcPr>
            <w:tcW w:w="7355" w:type="dxa"/>
            <w:tcBorders>
              <w:top w:val="single" w:color="auto" w:sz="4" w:space="0"/>
              <w:left w:val="single" w:color="auto" w:sz="4" w:space="0"/>
              <w:bottom w:val="single" w:color="auto" w:sz="4" w:space="0"/>
              <w:right w:val="single" w:color="auto" w:sz="4" w:space="0"/>
            </w:tcBorders>
            <w:vAlign w:val="center"/>
          </w:tcPr>
          <w:p w14:paraId="5687D69D">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1.根据技术规定和采购需求按时完成工作内容。</w:t>
            </w:r>
          </w:p>
          <w:p w14:paraId="70B1280F">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验收方式：由采购人组织，按照政府采购合同以及招标文件、投标文件、各项承诺、技术方案等内容，依据《广西壮族自治区自然资源厅采购管理办法》进行验收，如验收不合格的，供应商必须无条件进行整改、修正，直至采购人验收通过。</w:t>
            </w:r>
          </w:p>
          <w:p w14:paraId="6C898B2A">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3.按要求提交成果材料。纸质版成果一式三份，电子数据版成果一式两份。</w:t>
            </w:r>
          </w:p>
        </w:tc>
      </w:tr>
      <w:tr w14:paraId="7C73CA9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787" w:hRule="atLeast"/>
        </w:trPr>
        <w:tc>
          <w:tcPr>
            <w:tcW w:w="684" w:type="dxa"/>
            <w:tcBorders>
              <w:top w:val="single" w:color="auto" w:sz="4" w:space="0"/>
              <w:left w:val="single" w:color="auto" w:sz="4" w:space="0"/>
              <w:bottom w:val="single" w:color="auto" w:sz="4" w:space="0"/>
              <w:right w:val="single" w:color="auto" w:sz="4" w:space="0"/>
            </w:tcBorders>
            <w:vAlign w:val="center"/>
          </w:tcPr>
          <w:p w14:paraId="6614321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w:t>
            </w:r>
          </w:p>
        </w:tc>
        <w:tc>
          <w:tcPr>
            <w:tcW w:w="1484" w:type="dxa"/>
            <w:tcBorders>
              <w:top w:val="single" w:color="auto" w:sz="4" w:space="0"/>
              <w:left w:val="single" w:color="auto" w:sz="4" w:space="0"/>
              <w:bottom w:val="single" w:color="auto" w:sz="4" w:space="0"/>
              <w:right w:val="single" w:color="auto" w:sz="4" w:space="0"/>
            </w:tcBorders>
            <w:vAlign w:val="center"/>
          </w:tcPr>
          <w:p w14:paraId="57F037CC">
            <w:pPr>
              <w:keepNext w:val="0"/>
              <w:keepLines w:val="0"/>
              <w:pageBreakBefore w:val="0"/>
              <w:widowControl/>
              <w:tabs>
                <w:tab w:val="left" w:pos="180"/>
                <w:tab w:val="left" w:pos="1620"/>
              </w:tabs>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质量保证期限</w:t>
            </w:r>
          </w:p>
        </w:tc>
        <w:tc>
          <w:tcPr>
            <w:tcW w:w="7355" w:type="dxa"/>
            <w:tcBorders>
              <w:top w:val="single" w:color="auto" w:sz="4" w:space="0"/>
              <w:left w:val="single" w:color="auto" w:sz="4" w:space="0"/>
              <w:bottom w:val="single" w:color="auto" w:sz="4" w:space="0"/>
              <w:right w:val="single" w:color="auto" w:sz="4" w:space="0"/>
            </w:tcBorders>
            <w:vAlign w:val="center"/>
          </w:tcPr>
          <w:p w14:paraId="66AA761C">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eastAsia="zh-CN"/>
              </w:rPr>
              <w:t>项目通过采购人组织的验收后</w:t>
            </w:r>
            <w:r>
              <w:rPr>
                <w:rFonts w:hint="eastAsia" w:asciiTheme="minorEastAsia" w:hAnsiTheme="minorEastAsia" w:eastAsiaTheme="minorEastAsia" w:cstheme="minorEastAsia"/>
                <w:color w:val="auto"/>
                <w:sz w:val="21"/>
                <w:szCs w:val="21"/>
                <w:lang w:val="en-US" w:eastAsia="zh-CN"/>
              </w:rPr>
              <w:t>2年内。</w:t>
            </w:r>
          </w:p>
        </w:tc>
      </w:tr>
      <w:tr w14:paraId="1CD894D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787" w:hRule="atLeast"/>
        </w:trPr>
        <w:tc>
          <w:tcPr>
            <w:tcW w:w="684" w:type="dxa"/>
            <w:tcBorders>
              <w:top w:val="single" w:color="auto" w:sz="4" w:space="0"/>
              <w:left w:val="single" w:color="auto" w:sz="4" w:space="0"/>
              <w:bottom w:val="single" w:color="auto" w:sz="4" w:space="0"/>
              <w:right w:val="single" w:color="auto" w:sz="4" w:space="0"/>
            </w:tcBorders>
            <w:vAlign w:val="center"/>
          </w:tcPr>
          <w:p w14:paraId="69A29D9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w:t>
            </w:r>
          </w:p>
        </w:tc>
        <w:tc>
          <w:tcPr>
            <w:tcW w:w="1484" w:type="dxa"/>
            <w:tcBorders>
              <w:top w:val="single" w:color="auto" w:sz="4" w:space="0"/>
              <w:left w:val="single" w:color="auto" w:sz="4" w:space="0"/>
              <w:bottom w:val="single" w:color="auto" w:sz="4" w:space="0"/>
              <w:right w:val="single" w:color="auto" w:sz="4" w:space="0"/>
            </w:tcBorders>
            <w:vAlign w:val="center"/>
          </w:tcPr>
          <w:p w14:paraId="74A405B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付款方式</w:t>
            </w:r>
          </w:p>
        </w:tc>
        <w:tc>
          <w:tcPr>
            <w:tcW w:w="7355" w:type="dxa"/>
            <w:tcBorders>
              <w:top w:val="single" w:color="auto" w:sz="4" w:space="0"/>
              <w:left w:val="single" w:color="auto" w:sz="4" w:space="0"/>
              <w:bottom w:val="single" w:color="auto" w:sz="4" w:space="0"/>
              <w:right w:val="single" w:color="auto" w:sz="4" w:space="0"/>
            </w:tcBorders>
            <w:vAlign w:val="center"/>
          </w:tcPr>
          <w:p w14:paraId="39460913">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jc w:val="left"/>
              <w:textAlignment w:val="baseline"/>
              <w:rPr>
                <w:rFonts w:hint="eastAsia" w:asciiTheme="minorEastAsia" w:hAnsiTheme="minorEastAsia" w:eastAsiaTheme="minorEastAsia" w:cstheme="minorEastAsia"/>
                <w:color w:val="auto"/>
                <w:sz w:val="21"/>
                <w:szCs w:val="21"/>
              </w:rPr>
            </w:pPr>
            <w:bookmarkStart w:id="14" w:name="OLE_LINK84"/>
            <w:bookmarkStart w:id="15" w:name="OLE_LINK83"/>
            <w:r>
              <w:rPr>
                <w:rFonts w:hint="eastAsia" w:asciiTheme="minorEastAsia" w:hAnsiTheme="minorEastAsia" w:eastAsiaTheme="minorEastAsia" w:cstheme="minorEastAsia"/>
                <w:color w:val="auto"/>
                <w:sz w:val="21"/>
                <w:szCs w:val="21"/>
              </w:rPr>
              <w:t>合同签订后10个工作日内，采购人向供应商支付合同总金额30%的工作经费，务必用于本项目支出；供应商基本完成检查工作，并出具城市国土空间监测成果质量检验报告提交采购人确认后，采购人向供应商支付合同总金额60%的工作经费；项目通过采购人组织验收合格后，采购人在15个工作日内向供应商支付合同总金额10%的工作经费。供应商在每次收到合同款项之日起5个工作日内开具全额发票给采购人。</w:t>
            </w:r>
            <w:bookmarkEnd w:id="14"/>
            <w:bookmarkEnd w:id="15"/>
          </w:p>
        </w:tc>
      </w:tr>
      <w:tr w14:paraId="12E3CF3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787" w:hRule="atLeast"/>
        </w:trPr>
        <w:tc>
          <w:tcPr>
            <w:tcW w:w="684" w:type="dxa"/>
            <w:tcBorders>
              <w:top w:val="single" w:color="auto" w:sz="4" w:space="0"/>
              <w:left w:val="single" w:color="auto" w:sz="4" w:space="0"/>
              <w:bottom w:val="single" w:color="auto" w:sz="4" w:space="0"/>
              <w:right w:val="single" w:color="auto" w:sz="4" w:space="0"/>
            </w:tcBorders>
            <w:vAlign w:val="center"/>
          </w:tcPr>
          <w:p w14:paraId="6EEC37F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w:t>
            </w:r>
          </w:p>
        </w:tc>
        <w:tc>
          <w:tcPr>
            <w:tcW w:w="1484" w:type="dxa"/>
            <w:tcBorders>
              <w:top w:val="single" w:color="auto" w:sz="4" w:space="0"/>
              <w:left w:val="single" w:color="auto" w:sz="4" w:space="0"/>
              <w:bottom w:val="single" w:color="auto" w:sz="4" w:space="0"/>
              <w:right w:val="single" w:color="auto" w:sz="4" w:space="0"/>
            </w:tcBorders>
            <w:vAlign w:val="center"/>
          </w:tcPr>
          <w:p w14:paraId="5E9CB4F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其他要求</w:t>
            </w:r>
          </w:p>
        </w:tc>
        <w:tc>
          <w:tcPr>
            <w:tcW w:w="7355" w:type="dxa"/>
            <w:tcBorders>
              <w:top w:val="single" w:color="auto" w:sz="4" w:space="0"/>
              <w:left w:val="single" w:color="auto" w:sz="4" w:space="0"/>
              <w:bottom w:val="single" w:color="auto" w:sz="4" w:space="0"/>
              <w:right w:val="single" w:color="auto" w:sz="4" w:space="0"/>
            </w:tcBorders>
            <w:vAlign w:val="center"/>
          </w:tcPr>
          <w:p w14:paraId="279F476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1.竞标总报价以人民币报价，</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应包含工作设备购置费用、专家咨询、评审会议费用、调查报告专题编写、出版、印刷费、成果材料费用等项目所需一切费用，含国家规定的所有税费和竞标费用等。</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因磋商供应商自身原因造成漏报、少报皆由磋商供应商自行承担责任，采购人不再补偿。除政策性文件规定以外，磋商供应商所报价格在合同实施期间不因市场变化因素而变动。</w:t>
            </w:r>
          </w:p>
          <w:p w14:paraId="1EB1A26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2.磋商供应商须为本项目服务实施投入充足的服务人员，并确保竞标文件中的人员信息真实、有效。</w:t>
            </w:r>
          </w:p>
          <w:p w14:paraId="71FE6F5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3.数据资料归属及保密：本项目所形成的数据和报告归采购人所有。未经采购人允许，不得使用或以其它方式给任何第三方提供本项目的相关信息或数据。</w:t>
            </w:r>
          </w:p>
          <w:p w14:paraId="3A568B5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4.磋商供应商不得将项目转包给任何单位和个人，否则采购人有权即刻终止合同，并要求磋商供应商赔偿相应损失。</w:t>
            </w:r>
          </w:p>
          <w:p w14:paraId="0BE6275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知识产权：采购人在中华人民共和国境内使用磋商供应商提供的产品及服务时免受第三方提出的侵犯其专利权或其它知识产权的起诉。如果第三方提出侵权指控，磋商供应商应承担由此而引起的一切法律责任和费用。</w:t>
            </w:r>
          </w:p>
        </w:tc>
      </w:tr>
    </w:tbl>
    <w:p w14:paraId="58EDA3D4">
      <w:pPr>
        <w:tabs>
          <w:tab w:val="left" w:pos="180"/>
          <w:tab w:val="left" w:pos="1620"/>
        </w:tabs>
        <w:spacing w:line="360" w:lineRule="auto"/>
        <w:ind w:firstLine="420" w:firstLineChars="200"/>
        <w:rPr>
          <w:rFonts w:ascii="宋体" w:hAnsi="宋体" w:cs="宋体"/>
          <w:b/>
          <w:bCs/>
          <w:color w:val="auto"/>
          <w:szCs w:val="21"/>
        </w:rPr>
      </w:pPr>
    </w:p>
    <w:p w14:paraId="6304A28A">
      <w:pPr>
        <w:rPr>
          <w:rFonts w:ascii="宋体" w:hAnsi="宋体" w:eastAsia="宋体" w:cs="宋体"/>
          <w:b/>
          <w:bCs/>
          <w:color w:val="auto"/>
          <w:spacing w:val="6"/>
          <w:sz w:val="43"/>
          <w:szCs w:val="43"/>
        </w:rPr>
      </w:pPr>
      <w:bookmarkStart w:id="16" w:name="_Toc15674"/>
      <w:r>
        <w:rPr>
          <w:rFonts w:ascii="宋体" w:hAnsi="宋体" w:eastAsia="宋体" w:cs="宋体"/>
          <w:b/>
          <w:bCs/>
          <w:color w:val="auto"/>
          <w:spacing w:val="6"/>
          <w:sz w:val="43"/>
          <w:szCs w:val="43"/>
        </w:rPr>
        <w:br w:type="page"/>
      </w:r>
    </w:p>
    <w:p w14:paraId="17FF8E6E">
      <w:pPr>
        <w:spacing w:before="88" w:line="360" w:lineRule="auto"/>
        <w:ind w:left="740"/>
        <w:outlineLvl w:val="0"/>
        <w:rPr>
          <w:rFonts w:ascii="宋体" w:hAnsi="宋体" w:eastAsia="宋体" w:cs="宋体"/>
          <w:color w:val="auto"/>
          <w:sz w:val="43"/>
          <w:szCs w:val="43"/>
        </w:rPr>
      </w:pPr>
      <w:r>
        <w:rPr>
          <w:rFonts w:ascii="宋体" w:hAnsi="宋体" w:eastAsia="宋体" w:cs="宋体"/>
          <w:b/>
          <w:bCs/>
          <w:color w:val="auto"/>
          <w:spacing w:val="6"/>
          <w:sz w:val="43"/>
          <w:szCs w:val="43"/>
        </w:rPr>
        <w:t>第四章</w:t>
      </w:r>
      <w:r>
        <w:rPr>
          <w:rFonts w:ascii="宋体" w:hAnsi="宋体" w:eastAsia="宋体" w:cs="宋体"/>
          <w:color w:val="auto"/>
          <w:spacing w:val="6"/>
          <w:sz w:val="43"/>
          <w:szCs w:val="43"/>
        </w:rPr>
        <w:t xml:space="preserve">  </w:t>
      </w:r>
      <w:r>
        <w:rPr>
          <w:rFonts w:ascii="宋体" w:hAnsi="宋体" w:eastAsia="宋体" w:cs="宋体"/>
          <w:b/>
          <w:bCs/>
          <w:color w:val="auto"/>
          <w:spacing w:val="6"/>
          <w:sz w:val="43"/>
          <w:szCs w:val="43"/>
        </w:rPr>
        <w:t>评审程序、评审方法和评审标准</w:t>
      </w:r>
      <w:bookmarkEnd w:id="16"/>
    </w:p>
    <w:p w14:paraId="7678197A">
      <w:pPr>
        <w:spacing w:before="101" w:line="225" w:lineRule="auto"/>
        <w:ind w:left="2948"/>
        <w:rPr>
          <w:rFonts w:ascii="宋体" w:hAnsi="宋体" w:eastAsia="宋体" w:cs="宋体"/>
          <w:color w:val="auto"/>
          <w:sz w:val="31"/>
          <w:szCs w:val="31"/>
        </w:rPr>
      </w:pPr>
      <w:r>
        <w:rPr>
          <w:rFonts w:ascii="宋体" w:hAnsi="宋体" w:eastAsia="宋体" w:cs="宋体"/>
          <w:b/>
          <w:bCs/>
          <w:color w:val="auto"/>
          <w:spacing w:val="6"/>
          <w:sz w:val="31"/>
          <w:szCs w:val="31"/>
        </w:rPr>
        <w:t>一、评审程序和评审方法</w:t>
      </w:r>
    </w:p>
    <w:p w14:paraId="3C997122">
      <w:pPr>
        <w:spacing w:before="207" w:line="222" w:lineRule="auto"/>
        <w:ind w:left="495"/>
        <w:rPr>
          <w:rFonts w:ascii="黑体" w:hAnsi="黑体" w:eastAsia="黑体" w:cs="黑体"/>
          <w:color w:val="auto"/>
          <w:sz w:val="24"/>
          <w:szCs w:val="24"/>
        </w:rPr>
      </w:pPr>
      <w:r>
        <w:rPr>
          <w:rFonts w:ascii="黑体" w:hAnsi="黑体" w:eastAsia="黑体" w:cs="黑体"/>
          <w:b/>
          <w:bCs/>
          <w:color w:val="auto"/>
          <w:spacing w:val="-6"/>
          <w:sz w:val="24"/>
          <w:szCs w:val="24"/>
        </w:rPr>
        <w:t>1.资格审查</w:t>
      </w:r>
    </w:p>
    <w:p w14:paraId="2888AFB4">
      <w:pPr>
        <w:spacing w:before="96" w:line="227" w:lineRule="auto"/>
        <w:ind w:left="437"/>
        <w:rPr>
          <w:rFonts w:ascii="宋体" w:hAnsi="宋体" w:eastAsia="宋体" w:cs="宋体"/>
          <w:color w:val="auto"/>
          <w:sz w:val="21"/>
          <w:szCs w:val="21"/>
        </w:rPr>
      </w:pPr>
      <w:r>
        <w:rPr>
          <w:rFonts w:ascii="宋体" w:hAnsi="宋体" w:eastAsia="宋体" w:cs="宋体"/>
          <w:color w:val="auto"/>
          <w:spacing w:val="8"/>
          <w:sz w:val="21"/>
          <w:szCs w:val="21"/>
        </w:rPr>
        <w:t>1.1</w:t>
      </w:r>
      <w:r>
        <w:rPr>
          <w:rFonts w:ascii="宋体" w:hAnsi="宋体" w:eastAsia="宋体" w:cs="宋体"/>
          <w:color w:val="auto"/>
          <w:spacing w:val="-30"/>
          <w:sz w:val="21"/>
          <w:szCs w:val="21"/>
        </w:rPr>
        <w:t xml:space="preserve"> </w:t>
      </w:r>
      <w:r>
        <w:rPr>
          <w:rFonts w:ascii="宋体" w:hAnsi="宋体" w:eastAsia="宋体" w:cs="宋体"/>
          <w:color w:val="auto"/>
          <w:spacing w:val="8"/>
          <w:sz w:val="21"/>
          <w:szCs w:val="21"/>
        </w:rPr>
        <w:t>响应文件开启后，磋商小组依法对供应商的资格证明文</w:t>
      </w:r>
      <w:r>
        <w:rPr>
          <w:rFonts w:ascii="宋体" w:hAnsi="宋体" w:eastAsia="宋体" w:cs="宋体"/>
          <w:color w:val="auto"/>
          <w:spacing w:val="7"/>
          <w:sz w:val="21"/>
          <w:szCs w:val="21"/>
        </w:rPr>
        <w:t>件进行审查。</w:t>
      </w:r>
    </w:p>
    <w:p w14:paraId="46501E10">
      <w:pPr>
        <w:spacing w:before="162" w:line="227" w:lineRule="auto"/>
        <w:ind w:left="421"/>
        <w:rPr>
          <w:rFonts w:ascii="宋体" w:hAnsi="宋体" w:eastAsia="宋体" w:cs="宋体"/>
          <w:color w:val="auto"/>
          <w:sz w:val="21"/>
          <w:szCs w:val="21"/>
        </w:rPr>
      </w:pPr>
      <w:r>
        <w:rPr>
          <w:rFonts w:ascii="宋体" w:hAnsi="宋体" w:eastAsia="宋体" w:cs="宋体"/>
          <w:color w:val="auto"/>
          <w:spacing w:val="9"/>
          <w:sz w:val="21"/>
          <w:szCs w:val="21"/>
        </w:rPr>
        <w:t>注：磋商小组在资格审查结束前，对供应商进行信用查询。</w:t>
      </w:r>
    </w:p>
    <w:p w14:paraId="0126ABAB">
      <w:pPr>
        <w:spacing w:before="162" w:line="300" w:lineRule="auto"/>
        <w:ind w:right="203" w:firstLine="431"/>
        <w:rPr>
          <w:rFonts w:ascii="宋体" w:hAnsi="宋体" w:eastAsia="宋体" w:cs="宋体"/>
          <w:color w:val="auto"/>
          <w:sz w:val="21"/>
          <w:szCs w:val="21"/>
        </w:rPr>
      </w:pPr>
      <w:r>
        <w:rPr>
          <w:rFonts w:ascii="宋体" w:hAnsi="宋体" w:eastAsia="宋体" w:cs="宋体"/>
          <w:color w:val="auto"/>
          <w:spacing w:val="13"/>
          <w:sz w:val="21"/>
          <w:szCs w:val="21"/>
        </w:rPr>
        <w:t>（1）查询渠道：广西政府采购云平台“信用中国”网站</w:t>
      </w:r>
      <w:r>
        <w:rPr>
          <w:rFonts w:hint="eastAsia" w:ascii="宋体" w:hAnsi="宋体" w:eastAsia="宋体" w:cs="宋体"/>
          <w:color w:val="auto"/>
          <w:spacing w:val="13"/>
          <w:sz w:val="21"/>
          <w:szCs w:val="21"/>
          <w:lang w:eastAsia="zh-CN"/>
        </w:rPr>
        <w:t>（</w:t>
      </w:r>
      <w:r>
        <w:rPr>
          <w:rFonts w:ascii="宋体" w:hAnsi="宋体" w:eastAsia="宋体" w:cs="宋体"/>
          <w:color w:val="auto"/>
          <w:spacing w:val="13"/>
          <w:sz w:val="21"/>
          <w:szCs w:val="21"/>
        </w:rPr>
        <w:t>)、中国政府采</w:t>
      </w:r>
      <w:r>
        <w:rPr>
          <w:rFonts w:ascii="宋体" w:hAnsi="宋体" w:eastAsia="宋体" w:cs="宋体"/>
          <w:color w:val="auto"/>
          <w:spacing w:val="11"/>
          <w:sz w:val="21"/>
          <w:szCs w:val="21"/>
        </w:rPr>
        <w:t>购网</w:t>
      </w:r>
      <w:r>
        <w:rPr>
          <w:rFonts w:hint="eastAsia" w:ascii="宋体" w:hAnsi="宋体" w:eastAsia="宋体" w:cs="宋体"/>
          <w:color w:val="auto"/>
          <w:spacing w:val="11"/>
          <w:sz w:val="21"/>
          <w:szCs w:val="21"/>
          <w:lang w:eastAsia="zh-CN"/>
        </w:rPr>
        <w:t>（</w:t>
      </w:r>
      <w:r>
        <w:rPr>
          <w:rFonts w:ascii="宋体" w:hAnsi="宋体" w:eastAsia="宋体" w:cs="宋体"/>
          <w:color w:val="auto"/>
          <w:spacing w:val="11"/>
          <w:sz w:val="21"/>
          <w:szCs w:val="21"/>
        </w:rPr>
        <w:t>)链接入口。</w:t>
      </w:r>
    </w:p>
    <w:p w14:paraId="41ACA4B1">
      <w:pPr>
        <w:spacing w:before="167" w:line="228" w:lineRule="auto"/>
        <w:ind w:left="431"/>
        <w:rPr>
          <w:rFonts w:ascii="宋体" w:hAnsi="宋体" w:eastAsia="宋体" w:cs="宋体"/>
          <w:color w:val="auto"/>
          <w:sz w:val="21"/>
          <w:szCs w:val="21"/>
        </w:rPr>
      </w:pPr>
      <w:r>
        <w:rPr>
          <w:rFonts w:ascii="宋体" w:hAnsi="宋体" w:eastAsia="宋体" w:cs="宋体"/>
          <w:color w:val="auto"/>
          <w:spacing w:val="8"/>
          <w:sz w:val="21"/>
          <w:szCs w:val="21"/>
        </w:rPr>
        <w:t>（2）信用查询截止时点：资格审查结束前。</w:t>
      </w:r>
    </w:p>
    <w:p w14:paraId="282C445F">
      <w:pPr>
        <w:spacing w:before="161" w:line="360" w:lineRule="auto"/>
        <w:ind w:left="0" w:leftChars="0" w:firstLine="452" w:firstLineChars="200"/>
        <w:rPr>
          <w:rFonts w:ascii="宋体" w:hAnsi="宋体" w:eastAsia="宋体" w:cs="宋体"/>
          <w:color w:val="auto"/>
          <w:sz w:val="21"/>
          <w:szCs w:val="21"/>
        </w:rPr>
      </w:pPr>
      <w:r>
        <w:rPr>
          <w:rFonts w:ascii="宋体" w:hAnsi="宋体" w:eastAsia="宋体" w:cs="宋体"/>
          <w:color w:val="auto"/>
          <w:spacing w:val="8"/>
          <w:sz w:val="21"/>
          <w:szCs w:val="21"/>
        </w:rPr>
        <w:t>（3）查询记录和证据留存方式：在查询网站中直接查询，截图另存为电子文档作为评审资料保存</w:t>
      </w:r>
      <w:r>
        <w:rPr>
          <w:rFonts w:hint="eastAsia" w:ascii="宋体" w:hAnsi="宋体" w:eastAsia="宋体" w:cs="宋体"/>
          <w:color w:val="auto"/>
          <w:spacing w:val="8"/>
          <w:sz w:val="21"/>
          <w:szCs w:val="21"/>
          <w:lang w:eastAsia="zh-CN"/>
        </w:rPr>
        <w:t>。</w:t>
      </w:r>
    </w:p>
    <w:p w14:paraId="6B4908D8">
      <w:pPr>
        <w:spacing w:before="158" w:line="356" w:lineRule="auto"/>
        <w:ind w:left="2" w:right="203" w:firstLine="429"/>
        <w:rPr>
          <w:rFonts w:ascii="宋体" w:hAnsi="宋体" w:eastAsia="宋体" w:cs="宋体"/>
          <w:color w:val="auto"/>
          <w:sz w:val="21"/>
          <w:szCs w:val="21"/>
        </w:rPr>
      </w:pPr>
      <w:r>
        <w:rPr>
          <w:rFonts w:ascii="宋体" w:hAnsi="宋体" w:eastAsia="宋体" w:cs="宋体"/>
          <w:color w:val="auto"/>
          <w:spacing w:val="10"/>
          <w:sz w:val="21"/>
          <w:szCs w:val="21"/>
        </w:rPr>
        <w:t>（4）信用信息使用规则：对在“信用中国”网站（</w:t>
      </w:r>
      <w:r>
        <w:rPr>
          <w:color w:val="auto"/>
          <w:sz w:val="21"/>
          <w:szCs w:val="21"/>
        </w:rPr>
        <w:fldChar w:fldCharType="begin"/>
      </w:r>
      <w:r>
        <w:rPr>
          <w:color w:val="auto"/>
          <w:sz w:val="21"/>
          <w:szCs w:val="21"/>
        </w:rPr>
        <w:instrText xml:space="preserve"> HYPERLINK "https://www.creditchina.gov.cn" </w:instrText>
      </w:r>
      <w:r>
        <w:rPr>
          <w:color w:val="auto"/>
          <w:sz w:val="21"/>
          <w:szCs w:val="21"/>
        </w:rPr>
        <w:fldChar w:fldCharType="separate"/>
      </w:r>
      <w:r>
        <w:rPr>
          <w:rFonts w:ascii="宋体" w:hAnsi="宋体" w:eastAsia="宋体" w:cs="宋体"/>
          <w:color w:val="auto"/>
          <w:sz w:val="21"/>
          <w:szCs w:val="21"/>
        </w:rPr>
        <w:t>www</w:t>
      </w:r>
      <w:r>
        <w:rPr>
          <w:rFonts w:ascii="宋体" w:hAnsi="宋体" w:eastAsia="宋体" w:cs="宋体"/>
          <w:color w:val="auto"/>
          <w:spacing w:val="10"/>
          <w:sz w:val="21"/>
          <w:szCs w:val="21"/>
        </w:rPr>
        <w:t>.</w:t>
      </w:r>
      <w:r>
        <w:rPr>
          <w:rFonts w:ascii="宋体" w:hAnsi="宋体" w:eastAsia="宋体" w:cs="宋体"/>
          <w:color w:val="auto"/>
          <w:sz w:val="21"/>
          <w:szCs w:val="21"/>
        </w:rPr>
        <w:t>creditchina</w:t>
      </w:r>
      <w:r>
        <w:rPr>
          <w:rFonts w:ascii="宋体" w:hAnsi="宋体" w:eastAsia="宋体" w:cs="宋体"/>
          <w:color w:val="auto"/>
          <w:spacing w:val="10"/>
          <w:sz w:val="21"/>
          <w:szCs w:val="21"/>
        </w:rPr>
        <w:t>.</w:t>
      </w:r>
      <w:r>
        <w:rPr>
          <w:rFonts w:ascii="宋体" w:hAnsi="宋体" w:eastAsia="宋体" w:cs="宋体"/>
          <w:color w:val="auto"/>
          <w:sz w:val="21"/>
          <w:szCs w:val="21"/>
        </w:rPr>
        <w:t>gov</w:t>
      </w:r>
      <w:r>
        <w:rPr>
          <w:rFonts w:ascii="宋体" w:hAnsi="宋体" w:eastAsia="宋体" w:cs="宋体"/>
          <w:color w:val="auto"/>
          <w:spacing w:val="10"/>
          <w:sz w:val="21"/>
          <w:szCs w:val="21"/>
        </w:rPr>
        <w:t>.</w:t>
      </w:r>
      <w:r>
        <w:rPr>
          <w:rFonts w:ascii="宋体" w:hAnsi="宋体" w:eastAsia="宋体" w:cs="宋体"/>
          <w:color w:val="auto"/>
          <w:sz w:val="21"/>
          <w:szCs w:val="21"/>
        </w:rPr>
        <w:t>cn</w:t>
      </w:r>
      <w:r>
        <w:rPr>
          <w:rFonts w:ascii="宋体" w:hAnsi="宋体" w:eastAsia="宋体" w:cs="宋体"/>
          <w:color w:val="auto"/>
          <w:sz w:val="21"/>
          <w:szCs w:val="21"/>
        </w:rPr>
        <w:fldChar w:fldCharType="end"/>
      </w:r>
      <w:r>
        <w:rPr>
          <w:rFonts w:ascii="宋体" w:hAnsi="宋体" w:eastAsia="宋体" w:cs="宋体"/>
          <w:color w:val="auto"/>
          <w:spacing w:val="10"/>
          <w:sz w:val="21"/>
          <w:szCs w:val="21"/>
        </w:rPr>
        <w:t>） 、中国政府采购网</w:t>
      </w:r>
      <w:r>
        <w:rPr>
          <w:rFonts w:ascii="宋体" w:hAnsi="宋体" w:eastAsia="宋体" w:cs="宋体"/>
          <w:color w:val="auto"/>
          <w:spacing w:val="13"/>
          <w:sz w:val="21"/>
          <w:szCs w:val="21"/>
        </w:rPr>
        <w:t>（</w:t>
      </w:r>
      <w:r>
        <w:rPr>
          <w:color w:val="auto"/>
          <w:sz w:val="21"/>
          <w:szCs w:val="21"/>
        </w:rPr>
        <w:fldChar w:fldCharType="begin"/>
      </w:r>
      <w:r>
        <w:rPr>
          <w:color w:val="auto"/>
          <w:sz w:val="21"/>
          <w:szCs w:val="21"/>
        </w:rPr>
        <w:instrText xml:space="preserve"> HYPERLINK "https://www.ccgp.gov.cn" </w:instrText>
      </w:r>
      <w:r>
        <w:rPr>
          <w:color w:val="auto"/>
          <w:sz w:val="21"/>
          <w:szCs w:val="21"/>
        </w:rPr>
        <w:fldChar w:fldCharType="separate"/>
      </w:r>
      <w:r>
        <w:rPr>
          <w:rFonts w:ascii="宋体" w:hAnsi="宋体" w:eastAsia="宋体" w:cs="宋体"/>
          <w:color w:val="auto"/>
          <w:sz w:val="21"/>
          <w:szCs w:val="21"/>
        </w:rPr>
        <w:t>www</w:t>
      </w:r>
      <w:r>
        <w:rPr>
          <w:rFonts w:ascii="宋体" w:hAnsi="宋体" w:eastAsia="宋体" w:cs="宋体"/>
          <w:color w:val="auto"/>
          <w:spacing w:val="13"/>
          <w:sz w:val="21"/>
          <w:szCs w:val="21"/>
        </w:rPr>
        <w:t>.</w:t>
      </w:r>
      <w:r>
        <w:rPr>
          <w:rFonts w:ascii="宋体" w:hAnsi="宋体" w:eastAsia="宋体" w:cs="宋体"/>
          <w:color w:val="auto"/>
          <w:sz w:val="21"/>
          <w:szCs w:val="21"/>
        </w:rPr>
        <w:t>ccgp</w:t>
      </w:r>
      <w:r>
        <w:rPr>
          <w:rFonts w:ascii="宋体" w:hAnsi="宋体" w:eastAsia="宋体" w:cs="宋体"/>
          <w:color w:val="auto"/>
          <w:spacing w:val="13"/>
          <w:sz w:val="21"/>
          <w:szCs w:val="21"/>
        </w:rPr>
        <w:t>.</w:t>
      </w:r>
      <w:r>
        <w:rPr>
          <w:rFonts w:ascii="宋体" w:hAnsi="宋体" w:eastAsia="宋体" w:cs="宋体"/>
          <w:color w:val="auto"/>
          <w:sz w:val="21"/>
          <w:szCs w:val="21"/>
        </w:rPr>
        <w:t>gov</w:t>
      </w:r>
      <w:r>
        <w:rPr>
          <w:rFonts w:ascii="宋体" w:hAnsi="宋体" w:eastAsia="宋体" w:cs="宋体"/>
          <w:color w:val="auto"/>
          <w:spacing w:val="13"/>
          <w:sz w:val="21"/>
          <w:szCs w:val="21"/>
        </w:rPr>
        <w:t>.</w:t>
      </w:r>
      <w:r>
        <w:rPr>
          <w:rFonts w:ascii="宋体" w:hAnsi="宋体" w:eastAsia="宋体" w:cs="宋体"/>
          <w:color w:val="auto"/>
          <w:sz w:val="21"/>
          <w:szCs w:val="21"/>
        </w:rPr>
        <w:t>cn</w:t>
      </w:r>
      <w:r>
        <w:rPr>
          <w:rFonts w:ascii="宋体" w:hAnsi="宋体" w:eastAsia="宋体" w:cs="宋体"/>
          <w:color w:val="auto"/>
          <w:sz w:val="21"/>
          <w:szCs w:val="21"/>
        </w:rPr>
        <w:fldChar w:fldCharType="end"/>
      </w:r>
      <w:r>
        <w:rPr>
          <w:rFonts w:ascii="宋体" w:hAnsi="宋体" w:eastAsia="宋体" w:cs="宋体"/>
          <w:color w:val="auto"/>
          <w:spacing w:val="13"/>
          <w:sz w:val="21"/>
          <w:szCs w:val="21"/>
        </w:rPr>
        <w:t>）被列入失信被执行人、重大税收违</w:t>
      </w:r>
      <w:r>
        <w:rPr>
          <w:rFonts w:ascii="宋体" w:hAnsi="宋体" w:eastAsia="宋体" w:cs="宋体"/>
          <w:color w:val="auto"/>
          <w:spacing w:val="12"/>
          <w:sz w:val="21"/>
          <w:szCs w:val="21"/>
        </w:rPr>
        <w:t>法失信主体、政府采购严重违法失信行为记录</w:t>
      </w:r>
      <w:r>
        <w:rPr>
          <w:rFonts w:ascii="宋体" w:hAnsi="宋体" w:eastAsia="宋体" w:cs="宋体"/>
          <w:color w:val="auto"/>
          <w:spacing w:val="9"/>
          <w:sz w:val="21"/>
          <w:szCs w:val="21"/>
        </w:rPr>
        <w:t>名单及其他不符合《中华人民共和国政府采购法》第二十二条规定条件的供应商，资格审查</w:t>
      </w:r>
      <w:r>
        <w:rPr>
          <w:rFonts w:ascii="宋体" w:hAnsi="宋体" w:eastAsia="宋体" w:cs="宋体"/>
          <w:color w:val="auto"/>
          <w:spacing w:val="8"/>
          <w:sz w:val="21"/>
          <w:szCs w:val="21"/>
        </w:rPr>
        <w:t>不通过，不</w:t>
      </w:r>
      <w:r>
        <w:rPr>
          <w:rFonts w:ascii="宋体" w:hAnsi="宋体" w:eastAsia="宋体" w:cs="宋体"/>
          <w:color w:val="auto"/>
          <w:spacing w:val="9"/>
          <w:sz w:val="21"/>
          <w:szCs w:val="21"/>
        </w:rPr>
        <w:t>得参与政府采购活动。两个以上的自然人、法人或者其他组织组成一个联合体，以一个</w:t>
      </w:r>
      <w:r>
        <w:rPr>
          <w:rFonts w:ascii="宋体" w:hAnsi="宋体" w:eastAsia="宋体" w:cs="宋体"/>
          <w:color w:val="auto"/>
          <w:spacing w:val="8"/>
          <w:sz w:val="21"/>
          <w:szCs w:val="21"/>
        </w:rPr>
        <w:t>供应商的身份共</w:t>
      </w:r>
      <w:r>
        <w:rPr>
          <w:rFonts w:ascii="宋体" w:hAnsi="宋体" w:eastAsia="宋体" w:cs="宋体"/>
          <w:color w:val="auto"/>
          <w:spacing w:val="9"/>
          <w:sz w:val="21"/>
          <w:szCs w:val="21"/>
        </w:rPr>
        <w:t>同参加政府采购活动的，应当对所有联合体成员进行信用记录查询，联合体成员存在不</w:t>
      </w:r>
      <w:r>
        <w:rPr>
          <w:rFonts w:ascii="宋体" w:hAnsi="宋体" w:eastAsia="宋体" w:cs="宋体"/>
          <w:color w:val="auto"/>
          <w:spacing w:val="8"/>
          <w:sz w:val="21"/>
          <w:szCs w:val="21"/>
        </w:rPr>
        <w:t>良信用记录（被</w:t>
      </w:r>
      <w:r>
        <w:rPr>
          <w:rFonts w:ascii="宋体" w:hAnsi="宋体" w:eastAsia="宋体" w:cs="宋体"/>
          <w:color w:val="auto"/>
          <w:spacing w:val="9"/>
          <w:sz w:val="21"/>
          <w:szCs w:val="21"/>
        </w:rPr>
        <w:t>列入失信被执行人、重大税收违法失信主体、政府采购严重违法失信行为记录名单及其</w:t>
      </w:r>
      <w:r>
        <w:rPr>
          <w:rFonts w:ascii="宋体" w:hAnsi="宋体" w:eastAsia="宋体" w:cs="宋体"/>
          <w:color w:val="auto"/>
          <w:spacing w:val="8"/>
          <w:sz w:val="21"/>
          <w:szCs w:val="21"/>
        </w:rPr>
        <w:t>他不符合《中华</w:t>
      </w:r>
      <w:r>
        <w:rPr>
          <w:rFonts w:ascii="宋体" w:hAnsi="宋体" w:eastAsia="宋体" w:cs="宋体"/>
          <w:color w:val="auto"/>
          <w:spacing w:val="9"/>
          <w:sz w:val="21"/>
          <w:szCs w:val="21"/>
        </w:rPr>
        <w:t>人民共和国政府采购法》第二十二条规定条件的供应商）的，视同联合体存在不良信用记录。</w:t>
      </w:r>
    </w:p>
    <w:p w14:paraId="1E7D41E1">
      <w:pPr>
        <w:spacing w:before="264" w:line="329" w:lineRule="auto"/>
        <w:ind w:left="5" w:right="205" w:firstLine="431"/>
        <w:rPr>
          <w:rFonts w:ascii="宋体" w:hAnsi="宋体" w:eastAsia="宋体" w:cs="宋体"/>
          <w:color w:val="auto"/>
          <w:sz w:val="21"/>
          <w:szCs w:val="21"/>
        </w:rPr>
      </w:pPr>
      <w:r>
        <w:rPr>
          <w:rFonts w:ascii="宋体" w:hAnsi="宋体" w:eastAsia="宋体" w:cs="宋体"/>
          <w:color w:val="auto"/>
          <w:spacing w:val="9"/>
          <w:sz w:val="21"/>
          <w:szCs w:val="21"/>
        </w:rPr>
        <w:t>1.2</w:t>
      </w:r>
      <w:r>
        <w:rPr>
          <w:rFonts w:ascii="宋体" w:hAnsi="宋体" w:eastAsia="宋体" w:cs="宋体"/>
          <w:color w:val="auto"/>
          <w:spacing w:val="-31"/>
          <w:sz w:val="21"/>
          <w:szCs w:val="21"/>
        </w:rPr>
        <w:t xml:space="preserve"> </w:t>
      </w:r>
      <w:r>
        <w:rPr>
          <w:rFonts w:ascii="宋体" w:hAnsi="宋体" w:eastAsia="宋体" w:cs="宋体"/>
          <w:color w:val="auto"/>
          <w:spacing w:val="9"/>
          <w:sz w:val="21"/>
          <w:szCs w:val="21"/>
        </w:rPr>
        <w:t>资格审查标准为本磋商文件中载明对供应商资格要求的条件。资格审查采用合格制</w:t>
      </w:r>
      <w:r>
        <w:rPr>
          <w:rFonts w:hint="eastAsia" w:ascii="宋体" w:hAnsi="宋体" w:eastAsia="宋体" w:cs="宋体"/>
          <w:color w:val="auto"/>
          <w:spacing w:val="9"/>
          <w:sz w:val="21"/>
          <w:szCs w:val="21"/>
          <w:lang w:eastAsia="zh-CN"/>
        </w:rPr>
        <w:t>，</w:t>
      </w:r>
      <w:r>
        <w:rPr>
          <w:rFonts w:ascii="宋体" w:hAnsi="宋体" w:eastAsia="宋体" w:cs="宋体"/>
          <w:color w:val="auto"/>
          <w:spacing w:val="9"/>
          <w:sz w:val="21"/>
          <w:szCs w:val="21"/>
        </w:rPr>
        <w:t>凡符</w:t>
      </w:r>
      <w:r>
        <w:rPr>
          <w:rFonts w:ascii="宋体" w:hAnsi="宋体" w:eastAsia="宋体" w:cs="宋体"/>
          <w:color w:val="auto"/>
          <w:spacing w:val="8"/>
          <w:sz w:val="21"/>
          <w:szCs w:val="21"/>
        </w:rPr>
        <w:t>合磋</w:t>
      </w:r>
      <w:r>
        <w:rPr>
          <w:rFonts w:ascii="宋体" w:hAnsi="宋体" w:eastAsia="宋体" w:cs="宋体"/>
          <w:color w:val="auto"/>
          <w:spacing w:val="9"/>
          <w:sz w:val="21"/>
          <w:szCs w:val="21"/>
        </w:rPr>
        <w:t>商文件规定的供应商资格要求的响应文件均通过资格审查。</w:t>
      </w:r>
    </w:p>
    <w:p w14:paraId="369F2891">
      <w:pPr>
        <w:spacing w:before="222" w:line="227" w:lineRule="auto"/>
        <w:ind w:left="437"/>
        <w:rPr>
          <w:rFonts w:ascii="宋体" w:hAnsi="宋体" w:eastAsia="宋体" w:cs="宋体"/>
          <w:color w:val="auto"/>
          <w:sz w:val="21"/>
          <w:szCs w:val="21"/>
        </w:rPr>
      </w:pPr>
      <w:r>
        <w:rPr>
          <w:rFonts w:ascii="宋体" w:hAnsi="宋体" w:eastAsia="宋体" w:cs="宋体"/>
          <w:color w:val="auto"/>
          <w:spacing w:val="8"/>
          <w:sz w:val="21"/>
          <w:szCs w:val="21"/>
        </w:rPr>
        <w:t>1.3</w:t>
      </w:r>
      <w:r>
        <w:rPr>
          <w:rFonts w:ascii="宋体" w:hAnsi="宋体" w:eastAsia="宋体" w:cs="宋体"/>
          <w:color w:val="auto"/>
          <w:spacing w:val="-31"/>
          <w:sz w:val="21"/>
          <w:szCs w:val="21"/>
        </w:rPr>
        <w:t xml:space="preserve"> </w:t>
      </w:r>
      <w:r>
        <w:rPr>
          <w:rFonts w:ascii="宋体" w:hAnsi="宋体" w:eastAsia="宋体" w:cs="宋体"/>
          <w:color w:val="auto"/>
          <w:spacing w:val="8"/>
          <w:sz w:val="21"/>
          <w:szCs w:val="21"/>
        </w:rPr>
        <w:t>供应商有下列情形之一的，资格审查不通过，其响应文件按无效响应处理：</w:t>
      </w:r>
    </w:p>
    <w:p w14:paraId="5142C594">
      <w:pPr>
        <w:spacing w:before="222" w:line="228" w:lineRule="auto"/>
        <w:ind w:left="431"/>
        <w:rPr>
          <w:rFonts w:ascii="宋体" w:hAnsi="宋体" w:eastAsia="宋体" w:cs="宋体"/>
          <w:color w:val="auto"/>
          <w:sz w:val="21"/>
          <w:szCs w:val="21"/>
        </w:rPr>
      </w:pPr>
      <w:r>
        <w:rPr>
          <w:rFonts w:ascii="宋体" w:hAnsi="宋体" w:eastAsia="宋体" w:cs="宋体"/>
          <w:color w:val="auto"/>
          <w:spacing w:val="8"/>
          <w:sz w:val="21"/>
          <w:szCs w:val="21"/>
        </w:rPr>
        <w:t>（1）不具备磋商文件中规定的资格要求的；</w:t>
      </w:r>
    </w:p>
    <w:p w14:paraId="6FD99B5A">
      <w:pPr>
        <w:spacing w:before="221" w:line="227" w:lineRule="auto"/>
        <w:ind w:left="431"/>
        <w:rPr>
          <w:rFonts w:ascii="宋体" w:hAnsi="宋体" w:eastAsia="宋体" w:cs="宋体"/>
          <w:color w:val="auto"/>
          <w:sz w:val="21"/>
          <w:szCs w:val="21"/>
        </w:rPr>
      </w:pPr>
      <w:r>
        <w:rPr>
          <w:rFonts w:ascii="宋体" w:hAnsi="宋体" w:eastAsia="宋体" w:cs="宋体"/>
          <w:color w:val="auto"/>
          <w:spacing w:val="8"/>
          <w:sz w:val="21"/>
          <w:szCs w:val="21"/>
        </w:rPr>
        <w:t>（2）未按磋商文件规定的方式获取本磋商文件的供应商；</w:t>
      </w:r>
    </w:p>
    <w:p w14:paraId="71A1CBD4">
      <w:pPr>
        <w:spacing w:before="222" w:line="330" w:lineRule="auto"/>
        <w:ind w:left="18" w:firstLine="413"/>
        <w:rPr>
          <w:rFonts w:ascii="宋体" w:hAnsi="宋体" w:eastAsia="宋体" w:cs="宋体"/>
          <w:color w:val="auto"/>
          <w:sz w:val="21"/>
          <w:szCs w:val="21"/>
        </w:rPr>
      </w:pPr>
      <w:r>
        <w:rPr>
          <w:rFonts w:ascii="宋体" w:hAnsi="宋体" w:eastAsia="宋体" w:cs="宋体"/>
          <w:color w:val="auto"/>
          <w:spacing w:val="9"/>
          <w:sz w:val="21"/>
          <w:szCs w:val="21"/>
        </w:rPr>
        <w:t>（3）响应文件的资格证明文件缺少任一项“供应商须知前附表</w:t>
      </w:r>
      <w:r>
        <w:rPr>
          <w:rFonts w:ascii="宋体" w:hAnsi="宋体" w:eastAsia="宋体" w:cs="宋体"/>
          <w:color w:val="auto"/>
          <w:spacing w:val="-52"/>
          <w:sz w:val="21"/>
          <w:szCs w:val="21"/>
        </w:rPr>
        <w:t xml:space="preserve"> </w:t>
      </w:r>
      <w:r>
        <w:rPr>
          <w:rFonts w:ascii="宋体" w:hAnsi="宋体" w:eastAsia="宋体" w:cs="宋体"/>
          <w:color w:val="auto"/>
          <w:spacing w:val="9"/>
          <w:sz w:val="21"/>
          <w:szCs w:val="21"/>
        </w:rPr>
        <w:t>”资格证明文件规定的“必须提供</w:t>
      </w:r>
      <w:r>
        <w:rPr>
          <w:rFonts w:ascii="宋体" w:hAnsi="宋体" w:eastAsia="宋体" w:cs="宋体"/>
          <w:color w:val="auto"/>
          <w:spacing w:val="-70"/>
          <w:sz w:val="21"/>
          <w:szCs w:val="21"/>
        </w:rPr>
        <w:t xml:space="preserve"> </w:t>
      </w:r>
      <w:r>
        <w:rPr>
          <w:rFonts w:ascii="宋体" w:hAnsi="宋体" w:eastAsia="宋体" w:cs="宋体"/>
          <w:color w:val="auto"/>
          <w:spacing w:val="9"/>
          <w:sz w:val="21"/>
          <w:szCs w:val="21"/>
        </w:rPr>
        <w:t>”</w:t>
      </w:r>
      <w:r>
        <w:rPr>
          <w:rFonts w:ascii="宋体" w:hAnsi="宋体" w:eastAsia="宋体" w:cs="宋体"/>
          <w:color w:val="auto"/>
          <w:spacing w:val="4"/>
          <w:sz w:val="21"/>
          <w:szCs w:val="21"/>
        </w:rPr>
        <w:t>的文件资料的；</w:t>
      </w:r>
    </w:p>
    <w:p w14:paraId="6B2CD119">
      <w:pPr>
        <w:spacing w:before="222" w:line="329" w:lineRule="auto"/>
        <w:ind w:left="5" w:right="203" w:firstLine="426"/>
        <w:rPr>
          <w:rFonts w:ascii="宋体" w:hAnsi="宋体" w:eastAsia="宋体" w:cs="宋体"/>
          <w:color w:val="auto"/>
          <w:sz w:val="21"/>
          <w:szCs w:val="21"/>
        </w:rPr>
      </w:pPr>
      <w:r>
        <w:rPr>
          <w:rFonts w:ascii="宋体" w:hAnsi="宋体" w:eastAsia="宋体" w:cs="宋体"/>
          <w:color w:val="auto"/>
          <w:spacing w:val="6"/>
          <w:sz w:val="21"/>
          <w:szCs w:val="21"/>
        </w:rPr>
        <w:t>（4）响应文件中的资格证明文件出现任一项不</w:t>
      </w:r>
      <w:r>
        <w:rPr>
          <w:rFonts w:ascii="宋体" w:hAnsi="宋体" w:eastAsia="宋体" w:cs="宋体"/>
          <w:color w:val="auto"/>
          <w:spacing w:val="5"/>
          <w:sz w:val="21"/>
          <w:szCs w:val="21"/>
        </w:rPr>
        <w:t>符合“供应商须知前附表</w:t>
      </w:r>
      <w:r>
        <w:rPr>
          <w:rFonts w:ascii="宋体" w:hAnsi="宋体" w:eastAsia="宋体" w:cs="宋体"/>
          <w:color w:val="auto"/>
          <w:spacing w:val="-70"/>
          <w:sz w:val="21"/>
          <w:szCs w:val="21"/>
        </w:rPr>
        <w:t xml:space="preserve"> </w:t>
      </w:r>
      <w:r>
        <w:rPr>
          <w:rFonts w:ascii="宋体" w:hAnsi="宋体" w:eastAsia="宋体" w:cs="宋体"/>
          <w:color w:val="auto"/>
          <w:spacing w:val="5"/>
          <w:sz w:val="21"/>
          <w:szCs w:val="21"/>
        </w:rPr>
        <w:t>”资格证明文件规定的“必</w:t>
      </w:r>
      <w:r>
        <w:rPr>
          <w:rFonts w:ascii="宋体" w:hAnsi="宋体" w:eastAsia="宋体" w:cs="宋体"/>
          <w:color w:val="auto"/>
          <w:spacing w:val="6"/>
          <w:sz w:val="21"/>
          <w:szCs w:val="21"/>
        </w:rPr>
        <w:t>须提供</w:t>
      </w:r>
      <w:r>
        <w:rPr>
          <w:rFonts w:ascii="宋体" w:hAnsi="宋体" w:eastAsia="宋体" w:cs="宋体"/>
          <w:color w:val="auto"/>
          <w:spacing w:val="-57"/>
          <w:sz w:val="21"/>
          <w:szCs w:val="21"/>
        </w:rPr>
        <w:t xml:space="preserve"> </w:t>
      </w:r>
      <w:r>
        <w:rPr>
          <w:rFonts w:ascii="宋体" w:hAnsi="宋体" w:eastAsia="宋体" w:cs="宋体"/>
          <w:color w:val="auto"/>
          <w:spacing w:val="6"/>
          <w:sz w:val="21"/>
          <w:szCs w:val="21"/>
        </w:rPr>
        <w:t>”的文件资料要求或者无效的；</w:t>
      </w:r>
    </w:p>
    <w:p w14:paraId="4EE40AA2">
      <w:pPr>
        <w:spacing w:before="223" w:line="364" w:lineRule="auto"/>
        <w:ind w:right="203" w:firstLine="431"/>
        <w:rPr>
          <w:rFonts w:ascii="宋体" w:hAnsi="宋体" w:eastAsia="宋体" w:cs="宋体"/>
          <w:color w:val="auto"/>
          <w:sz w:val="21"/>
          <w:szCs w:val="21"/>
        </w:rPr>
      </w:pPr>
      <w:r>
        <w:rPr>
          <w:rFonts w:ascii="宋体" w:hAnsi="宋体" w:eastAsia="宋体" w:cs="宋体"/>
          <w:color w:val="auto"/>
          <w:spacing w:val="10"/>
          <w:sz w:val="21"/>
          <w:szCs w:val="21"/>
        </w:rPr>
        <w:t>（5）</w:t>
      </w:r>
      <w:r>
        <w:rPr>
          <w:rFonts w:ascii="宋体" w:hAnsi="宋体" w:eastAsia="宋体" w:cs="宋体"/>
          <w:color w:val="auto"/>
          <w:spacing w:val="-57"/>
          <w:sz w:val="21"/>
          <w:szCs w:val="21"/>
        </w:rPr>
        <w:t xml:space="preserve"> </w:t>
      </w:r>
      <w:r>
        <w:rPr>
          <w:rFonts w:ascii="宋体" w:hAnsi="宋体" w:eastAsia="宋体" w:cs="宋体"/>
          <w:color w:val="auto"/>
          <w:spacing w:val="10"/>
          <w:sz w:val="21"/>
          <w:szCs w:val="21"/>
        </w:rPr>
        <w:t>同一合同项下的不同供应商，单位负责人为同一人或者存在直接控股、管理关系的</w:t>
      </w:r>
      <w:r>
        <w:rPr>
          <w:rFonts w:hint="eastAsia" w:ascii="宋体" w:hAnsi="宋体" w:eastAsia="宋体" w:cs="宋体"/>
          <w:color w:val="auto"/>
          <w:spacing w:val="10"/>
          <w:sz w:val="21"/>
          <w:szCs w:val="21"/>
          <w:lang w:eastAsia="zh-CN"/>
        </w:rPr>
        <w:t>；</w:t>
      </w:r>
      <w:r>
        <w:rPr>
          <w:rFonts w:ascii="宋体" w:hAnsi="宋体" w:eastAsia="宋体" w:cs="宋体"/>
          <w:color w:val="auto"/>
          <w:spacing w:val="9"/>
          <w:sz w:val="21"/>
          <w:szCs w:val="21"/>
        </w:rPr>
        <w:t>为本项目提供过整体设计、规范编制或者项目管理、监理、检测等服务的供应商，再参加该采购项</w:t>
      </w:r>
      <w:r>
        <w:rPr>
          <w:rFonts w:ascii="宋体" w:hAnsi="宋体" w:eastAsia="宋体" w:cs="宋体"/>
          <w:color w:val="auto"/>
          <w:spacing w:val="8"/>
          <w:sz w:val="21"/>
          <w:szCs w:val="21"/>
        </w:rPr>
        <w:t>目的其他采</w:t>
      </w:r>
      <w:r>
        <w:rPr>
          <w:rFonts w:ascii="宋体" w:hAnsi="宋体" w:eastAsia="宋体" w:cs="宋体"/>
          <w:color w:val="auto"/>
          <w:spacing w:val="6"/>
          <w:sz w:val="21"/>
          <w:szCs w:val="21"/>
        </w:rPr>
        <w:t>购活动的。</w:t>
      </w:r>
    </w:p>
    <w:p w14:paraId="2AA63633">
      <w:pPr>
        <w:spacing w:before="221" w:line="433" w:lineRule="auto"/>
        <w:ind w:left="1" w:right="205" w:firstLine="435"/>
        <w:rPr>
          <w:rFonts w:ascii="宋体" w:hAnsi="宋体" w:eastAsia="宋体" w:cs="宋体"/>
          <w:color w:val="auto"/>
          <w:sz w:val="21"/>
          <w:szCs w:val="21"/>
        </w:rPr>
      </w:pPr>
      <w:r>
        <w:rPr>
          <w:rFonts w:ascii="宋体" w:hAnsi="宋体" w:eastAsia="宋体" w:cs="宋体"/>
          <w:color w:val="auto"/>
          <w:spacing w:val="9"/>
          <w:sz w:val="21"/>
          <w:szCs w:val="21"/>
        </w:rPr>
        <w:t>1.4</w:t>
      </w:r>
      <w:r>
        <w:rPr>
          <w:rFonts w:ascii="宋体" w:hAnsi="宋体" w:eastAsia="宋体" w:cs="宋体"/>
          <w:color w:val="auto"/>
          <w:spacing w:val="-40"/>
          <w:sz w:val="21"/>
          <w:szCs w:val="21"/>
        </w:rPr>
        <w:t xml:space="preserve"> </w:t>
      </w:r>
      <w:r>
        <w:rPr>
          <w:rFonts w:ascii="宋体" w:hAnsi="宋体" w:eastAsia="宋体" w:cs="宋体"/>
          <w:color w:val="auto"/>
          <w:spacing w:val="9"/>
          <w:sz w:val="21"/>
          <w:szCs w:val="21"/>
        </w:rPr>
        <w:t>通过资格审查的合格供应商不足</w:t>
      </w:r>
      <w:r>
        <w:rPr>
          <w:rFonts w:ascii="宋体" w:hAnsi="宋体" w:eastAsia="宋体" w:cs="宋体"/>
          <w:color w:val="auto"/>
          <w:spacing w:val="-30"/>
          <w:sz w:val="21"/>
          <w:szCs w:val="21"/>
        </w:rPr>
        <w:t xml:space="preserve"> </w:t>
      </w:r>
      <w:r>
        <w:rPr>
          <w:rFonts w:ascii="宋体" w:hAnsi="宋体" w:eastAsia="宋体" w:cs="宋体"/>
          <w:color w:val="auto"/>
          <w:spacing w:val="9"/>
          <w:sz w:val="21"/>
          <w:szCs w:val="21"/>
        </w:rPr>
        <w:t>3</w:t>
      </w:r>
      <w:r>
        <w:rPr>
          <w:rFonts w:ascii="宋体" w:hAnsi="宋体" w:eastAsia="宋体" w:cs="宋体"/>
          <w:color w:val="auto"/>
          <w:spacing w:val="-39"/>
          <w:sz w:val="21"/>
          <w:szCs w:val="21"/>
        </w:rPr>
        <w:t xml:space="preserve"> </w:t>
      </w:r>
      <w:r>
        <w:rPr>
          <w:rFonts w:ascii="宋体" w:hAnsi="宋体" w:eastAsia="宋体" w:cs="宋体"/>
          <w:color w:val="auto"/>
          <w:spacing w:val="9"/>
          <w:sz w:val="21"/>
          <w:szCs w:val="21"/>
        </w:rPr>
        <w:t>家的</w:t>
      </w:r>
      <w:r>
        <w:rPr>
          <w:rFonts w:ascii="宋体" w:hAnsi="宋体" w:eastAsia="宋体" w:cs="宋体"/>
          <w:color w:val="auto"/>
          <w:spacing w:val="8"/>
          <w:sz w:val="21"/>
          <w:szCs w:val="21"/>
        </w:rPr>
        <w:t>，不得进入符合性审查环节，采购人或者采购代理机构应当重新开展采购活动。</w:t>
      </w:r>
    </w:p>
    <w:p w14:paraId="2DB84638">
      <w:pPr>
        <w:spacing w:before="48" w:line="222" w:lineRule="auto"/>
        <w:ind w:left="480"/>
        <w:rPr>
          <w:rFonts w:ascii="黑体" w:hAnsi="黑体" w:eastAsia="黑体" w:cs="黑体"/>
          <w:color w:val="auto"/>
          <w:sz w:val="24"/>
          <w:szCs w:val="24"/>
        </w:rPr>
      </w:pPr>
      <w:r>
        <w:rPr>
          <w:rFonts w:ascii="黑体" w:hAnsi="黑体" w:eastAsia="黑体" w:cs="黑体"/>
          <w:b/>
          <w:bCs/>
          <w:color w:val="auto"/>
          <w:spacing w:val="-3"/>
          <w:sz w:val="24"/>
          <w:szCs w:val="24"/>
        </w:rPr>
        <w:t>2.符合性审查</w:t>
      </w:r>
    </w:p>
    <w:p w14:paraId="30E44BD7">
      <w:pPr>
        <w:spacing w:before="194" w:line="330" w:lineRule="auto"/>
        <w:ind w:left="4" w:right="70" w:firstLine="419"/>
        <w:rPr>
          <w:rFonts w:ascii="宋体" w:hAnsi="宋体" w:eastAsia="宋体" w:cs="宋体"/>
          <w:color w:val="auto"/>
          <w:sz w:val="21"/>
          <w:szCs w:val="21"/>
        </w:rPr>
      </w:pPr>
      <w:r>
        <w:rPr>
          <w:rFonts w:ascii="宋体" w:hAnsi="宋体" w:eastAsia="宋体" w:cs="宋体"/>
          <w:color w:val="auto"/>
          <w:spacing w:val="9"/>
          <w:sz w:val="21"/>
          <w:szCs w:val="21"/>
        </w:rPr>
        <w:t>2.1</w:t>
      </w:r>
      <w:r>
        <w:rPr>
          <w:rFonts w:ascii="宋体" w:hAnsi="宋体" w:eastAsia="宋体" w:cs="宋体"/>
          <w:color w:val="auto"/>
          <w:spacing w:val="-17"/>
          <w:sz w:val="21"/>
          <w:szCs w:val="21"/>
        </w:rPr>
        <w:t xml:space="preserve"> </w:t>
      </w:r>
      <w:r>
        <w:rPr>
          <w:rFonts w:ascii="宋体" w:hAnsi="宋体" w:eastAsia="宋体" w:cs="宋体"/>
          <w:color w:val="auto"/>
          <w:spacing w:val="9"/>
          <w:sz w:val="21"/>
          <w:szCs w:val="21"/>
        </w:rPr>
        <w:t>由磋商小组对通过资格审查的合格供应商的响应文件的竞标报价、商务、技术等实质性</w:t>
      </w:r>
      <w:r>
        <w:rPr>
          <w:rFonts w:ascii="宋体" w:hAnsi="宋体" w:eastAsia="宋体" w:cs="宋体"/>
          <w:color w:val="auto"/>
          <w:spacing w:val="8"/>
          <w:sz w:val="21"/>
          <w:szCs w:val="21"/>
        </w:rPr>
        <w:t>要求进</w:t>
      </w:r>
      <w:r>
        <w:rPr>
          <w:rFonts w:ascii="宋体" w:hAnsi="宋体" w:eastAsia="宋体" w:cs="宋体"/>
          <w:color w:val="auto"/>
          <w:spacing w:val="9"/>
          <w:sz w:val="21"/>
          <w:szCs w:val="21"/>
        </w:rPr>
        <w:t>行符合性审查，以确定其是否满足磋商文件的实质性要求。</w:t>
      </w:r>
    </w:p>
    <w:p w14:paraId="464AAC05">
      <w:pPr>
        <w:spacing w:before="221" w:line="364" w:lineRule="auto"/>
        <w:ind w:right="68" w:firstLine="422"/>
        <w:rPr>
          <w:rFonts w:ascii="宋体" w:hAnsi="宋体" w:eastAsia="宋体" w:cs="宋体"/>
          <w:color w:val="auto"/>
          <w:sz w:val="21"/>
          <w:szCs w:val="21"/>
        </w:rPr>
      </w:pPr>
      <w:r>
        <w:rPr>
          <w:rFonts w:ascii="宋体" w:hAnsi="宋体" w:eastAsia="宋体" w:cs="宋体"/>
          <w:color w:val="auto"/>
          <w:spacing w:val="10"/>
          <w:sz w:val="21"/>
          <w:szCs w:val="21"/>
        </w:rPr>
        <w:t>2.2</w:t>
      </w:r>
      <w:r>
        <w:rPr>
          <w:rFonts w:ascii="宋体" w:hAnsi="宋体" w:eastAsia="宋体" w:cs="宋体"/>
          <w:color w:val="auto"/>
          <w:spacing w:val="-43"/>
          <w:sz w:val="21"/>
          <w:szCs w:val="21"/>
        </w:rPr>
        <w:t xml:space="preserve"> </w:t>
      </w:r>
      <w:r>
        <w:rPr>
          <w:rFonts w:ascii="宋体" w:hAnsi="宋体" w:eastAsia="宋体" w:cs="宋体"/>
          <w:color w:val="auto"/>
          <w:spacing w:val="10"/>
          <w:sz w:val="21"/>
          <w:szCs w:val="21"/>
        </w:rPr>
        <w:t>磋商小组在对响应文件进行符合性审查时，可</w:t>
      </w:r>
      <w:r>
        <w:rPr>
          <w:rFonts w:ascii="宋体" w:hAnsi="宋体" w:eastAsia="宋体" w:cs="宋体"/>
          <w:color w:val="auto"/>
          <w:spacing w:val="9"/>
          <w:sz w:val="21"/>
          <w:szCs w:val="21"/>
        </w:rPr>
        <w:t>以要求供应商对响应文件中含义不</w:t>
      </w:r>
      <w:r>
        <w:rPr>
          <w:rFonts w:hint="eastAsia" w:ascii="宋体" w:hAnsi="宋体" w:eastAsia="宋体" w:cs="宋体"/>
          <w:color w:val="auto"/>
          <w:spacing w:val="9"/>
          <w:sz w:val="21"/>
          <w:szCs w:val="21"/>
          <w:lang w:val="en-US" w:eastAsia="zh-CN"/>
        </w:rPr>
        <w:t>明确、</w:t>
      </w:r>
      <w:r>
        <w:rPr>
          <w:rFonts w:ascii="宋体" w:hAnsi="宋体" w:eastAsia="宋体" w:cs="宋体"/>
          <w:color w:val="auto"/>
          <w:spacing w:val="9"/>
          <w:sz w:val="21"/>
          <w:szCs w:val="21"/>
        </w:rPr>
        <w:t>同类问题表述不一致或者有明显文字和计算错误的内容等作出必要的澄清、说明或者更正。供应商的</w:t>
      </w:r>
      <w:r>
        <w:rPr>
          <w:rFonts w:ascii="宋体" w:hAnsi="宋体" w:eastAsia="宋体" w:cs="宋体"/>
          <w:color w:val="auto"/>
          <w:spacing w:val="8"/>
          <w:sz w:val="21"/>
          <w:szCs w:val="21"/>
        </w:rPr>
        <w:t>澄清、说</w:t>
      </w:r>
      <w:r>
        <w:rPr>
          <w:rFonts w:ascii="宋体" w:hAnsi="宋体" w:eastAsia="宋体" w:cs="宋体"/>
          <w:color w:val="auto"/>
          <w:spacing w:val="9"/>
          <w:sz w:val="21"/>
          <w:szCs w:val="21"/>
        </w:rPr>
        <w:t>明或者更正不得超出响应文件的范围或者改变响应文件的实质性内容。</w:t>
      </w:r>
    </w:p>
    <w:p w14:paraId="28AB0471">
      <w:pPr>
        <w:spacing w:before="220" w:line="381" w:lineRule="auto"/>
        <w:ind w:left="3" w:firstLine="420"/>
        <w:rPr>
          <w:rFonts w:ascii="宋体" w:hAnsi="宋体" w:eastAsia="宋体" w:cs="宋体"/>
          <w:color w:val="auto"/>
          <w:sz w:val="21"/>
          <w:szCs w:val="21"/>
        </w:rPr>
      </w:pPr>
      <w:r>
        <w:rPr>
          <w:rFonts w:ascii="宋体" w:hAnsi="宋体" w:eastAsia="宋体" w:cs="宋体"/>
          <w:color w:val="auto"/>
          <w:spacing w:val="6"/>
          <w:sz w:val="21"/>
          <w:szCs w:val="21"/>
        </w:rPr>
        <w:t>2.3</w:t>
      </w:r>
      <w:r>
        <w:rPr>
          <w:rFonts w:ascii="宋体" w:hAnsi="宋体" w:eastAsia="宋体" w:cs="宋体"/>
          <w:color w:val="auto"/>
          <w:spacing w:val="-23"/>
          <w:sz w:val="21"/>
          <w:szCs w:val="21"/>
        </w:rPr>
        <w:t xml:space="preserve"> </w:t>
      </w:r>
      <w:r>
        <w:rPr>
          <w:rFonts w:ascii="宋体" w:hAnsi="宋体" w:eastAsia="宋体" w:cs="宋体"/>
          <w:color w:val="auto"/>
          <w:spacing w:val="6"/>
          <w:sz w:val="21"/>
          <w:szCs w:val="21"/>
        </w:rPr>
        <w:t>磋商小组要求供应商澄清、说明或者更正响应文件应当以电子澄清函形式作出。供应商的澄清、</w:t>
      </w:r>
      <w:r>
        <w:rPr>
          <w:rFonts w:ascii="宋体" w:hAnsi="宋体" w:eastAsia="宋体" w:cs="宋体"/>
          <w:color w:val="auto"/>
          <w:spacing w:val="9"/>
          <w:sz w:val="21"/>
          <w:szCs w:val="21"/>
        </w:rPr>
        <w:t>说明或者更正应当</w:t>
      </w:r>
      <w:r>
        <w:rPr>
          <w:rFonts w:hint="eastAsia" w:ascii="宋体" w:hAnsi="宋体" w:eastAsia="宋体" w:cs="宋体"/>
          <w:color w:val="auto"/>
          <w:spacing w:val="9"/>
          <w:sz w:val="21"/>
          <w:szCs w:val="21"/>
          <w:lang w:eastAsia="zh-CN"/>
        </w:rPr>
        <w:t>以</w:t>
      </w:r>
      <w:r>
        <w:rPr>
          <w:rFonts w:ascii="宋体" w:hAnsi="宋体" w:eastAsia="宋体" w:cs="宋体"/>
          <w:color w:val="auto"/>
          <w:spacing w:val="9"/>
          <w:sz w:val="21"/>
          <w:szCs w:val="21"/>
        </w:rPr>
        <w:t>电子回函形式按照磋商小组的要求作出明确的澄清、说明或者</w:t>
      </w:r>
      <w:r>
        <w:rPr>
          <w:rFonts w:ascii="宋体" w:hAnsi="宋体" w:eastAsia="宋体" w:cs="宋体"/>
          <w:color w:val="auto"/>
          <w:spacing w:val="8"/>
          <w:sz w:val="21"/>
          <w:szCs w:val="21"/>
        </w:rPr>
        <w:t>更正，未按磋商小组</w:t>
      </w:r>
      <w:r>
        <w:rPr>
          <w:rFonts w:ascii="宋体" w:hAnsi="宋体" w:eastAsia="宋体" w:cs="宋体"/>
          <w:color w:val="auto"/>
          <w:spacing w:val="9"/>
          <w:sz w:val="21"/>
          <w:szCs w:val="21"/>
        </w:rPr>
        <w:t>的要求作出明确澄清、说明或者更正的供应商的响应文件将按照有利于采购人的原则由</w:t>
      </w:r>
      <w:r>
        <w:rPr>
          <w:rFonts w:ascii="宋体" w:hAnsi="宋体" w:eastAsia="宋体" w:cs="宋体"/>
          <w:color w:val="auto"/>
          <w:spacing w:val="8"/>
          <w:sz w:val="21"/>
          <w:szCs w:val="21"/>
        </w:rPr>
        <w:t>磋商小组进行判</w:t>
      </w:r>
      <w:r>
        <w:rPr>
          <w:rFonts w:ascii="宋体" w:hAnsi="宋体" w:eastAsia="宋体" w:cs="宋体"/>
          <w:color w:val="auto"/>
          <w:spacing w:val="9"/>
          <w:sz w:val="21"/>
          <w:szCs w:val="21"/>
        </w:rPr>
        <w:t>定。供应商的澄清、说明或者更正必须加盖电子签</w:t>
      </w:r>
      <w:r>
        <w:rPr>
          <w:rFonts w:ascii="宋体" w:hAnsi="宋体" w:eastAsia="宋体" w:cs="宋体"/>
          <w:color w:val="auto"/>
          <w:spacing w:val="8"/>
          <w:sz w:val="21"/>
          <w:szCs w:val="21"/>
        </w:rPr>
        <w:t>章。</w:t>
      </w:r>
    </w:p>
    <w:p w14:paraId="0B9ACEED">
      <w:pPr>
        <w:spacing w:before="222" w:line="432" w:lineRule="auto"/>
        <w:ind w:right="70" w:firstLine="422"/>
        <w:jc w:val="both"/>
        <w:rPr>
          <w:rFonts w:ascii="宋体" w:hAnsi="宋体" w:eastAsia="宋体" w:cs="宋体"/>
          <w:color w:val="auto"/>
          <w:sz w:val="21"/>
          <w:szCs w:val="21"/>
        </w:rPr>
      </w:pPr>
      <w:r>
        <w:rPr>
          <w:rFonts w:ascii="宋体" w:hAnsi="宋体" w:eastAsia="宋体" w:cs="宋体"/>
          <w:color w:val="auto"/>
          <w:spacing w:val="9"/>
          <w:sz w:val="21"/>
          <w:szCs w:val="21"/>
        </w:rPr>
        <w:t>异常情况处理：如遇无法正常使用线上发送澄清函的情况，将启动书面形</w:t>
      </w:r>
      <w:r>
        <w:rPr>
          <w:rFonts w:ascii="宋体" w:hAnsi="宋体" w:eastAsia="宋体" w:cs="宋体"/>
          <w:color w:val="auto"/>
          <w:spacing w:val="8"/>
          <w:sz w:val="21"/>
          <w:szCs w:val="21"/>
        </w:rPr>
        <w:t>式办理。启动书面形式办</w:t>
      </w:r>
      <w:r>
        <w:rPr>
          <w:rFonts w:ascii="宋体" w:hAnsi="宋体" w:eastAsia="宋体" w:cs="宋体"/>
          <w:color w:val="auto"/>
          <w:spacing w:val="9"/>
          <w:sz w:val="21"/>
          <w:szCs w:val="21"/>
        </w:rPr>
        <w:t>理的情况下，磋商小组以书面形式要求供应商在规定时间内作出必要的澄清、说明或者补</w:t>
      </w:r>
      <w:r>
        <w:rPr>
          <w:rFonts w:ascii="宋体" w:hAnsi="宋体" w:eastAsia="宋体" w:cs="宋体"/>
          <w:color w:val="auto"/>
          <w:spacing w:val="8"/>
          <w:sz w:val="21"/>
          <w:szCs w:val="21"/>
        </w:rPr>
        <w:t>正。供应商的</w:t>
      </w:r>
      <w:r>
        <w:rPr>
          <w:rFonts w:ascii="宋体" w:hAnsi="宋体" w:eastAsia="宋体" w:cs="宋体"/>
          <w:color w:val="auto"/>
          <w:spacing w:val="10"/>
          <w:sz w:val="21"/>
          <w:szCs w:val="21"/>
        </w:rPr>
        <w:t>澄清、说明或者补正必须采用书面形式，并加盖</w:t>
      </w:r>
      <w:r>
        <w:rPr>
          <w:rFonts w:ascii="宋体" w:hAnsi="宋体" w:eastAsia="宋体" w:cs="宋体"/>
          <w:color w:val="auto"/>
          <w:spacing w:val="9"/>
          <w:sz w:val="21"/>
          <w:szCs w:val="21"/>
        </w:rPr>
        <w:t>公章，或者由法定代表人或者其授权的代表签字。</w:t>
      </w:r>
    </w:p>
    <w:p w14:paraId="53999824">
      <w:pPr>
        <w:spacing w:line="226" w:lineRule="auto"/>
        <w:ind w:left="399"/>
        <w:rPr>
          <w:rFonts w:ascii="宋体" w:hAnsi="宋体" w:eastAsia="宋体" w:cs="宋体"/>
          <w:color w:val="auto"/>
          <w:sz w:val="21"/>
          <w:szCs w:val="21"/>
        </w:rPr>
      </w:pPr>
      <w:r>
        <w:rPr>
          <w:rFonts w:ascii="宋体" w:hAnsi="宋体" w:eastAsia="宋体" w:cs="宋体"/>
          <w:color w:val="auto"/>
          <w:spacing w:val="8"/>
          <w:sz w:val="21"/>
          <w:szCs w:val="21"/>
        </w:rPr>
        <w:t>2.4</w:t>
      </w:r>
      <w:r>
        <w:rPr>
          <w:rFonts w:ascii="宋体" w:hAnsi="宋体" w:eastAsia="宋体" w:cs="宋体"/>
          <w:color w:val="auto"/>
          <w:spacing w:val="-49"/>
          <w:sz w:val="21"/>
          <w:szCs w:val="21"/>
        </w:rPr>
        <w:t xml:space="preserve"> </w:t>
      </w:r>
      <w:r>
        <w:rPr>
          <w:rFonts w:ascii="宋体" w:hAnsi="宋体" w:eastAsia="宋体" w:cs="宋体"/>
          <w:color w:val="auto"/>
          <w:spacing w:val="8"/>
          <w:sz w:val="21"/>
          <w:szCs w:val="21"/>
        </w:rPr>
        <w:t>首次响应文件报价出现前后不一致的，按照下列规定修正：</w:t>
      </w:r>
    </w:p>
    <w:p w14:paraId="3627E8FF">
      <w:pPr>
        <w:spacing w:before="223" w:line="226" w:lineRule="auto"/>
        <w:ind w:left="430"/>
        <w:rPr>
          <w:rFonts w:ascii="宋体" w:hAnsi="宋体" w:eastAsia="宋体" w:cs="宋体"/>
          <w:color w:val="auto"/>
          <w:sz w:val="21"/>
          <w:szCs w:val="21"/>
        </w:rPr>
      </w:pPr>
      <w:r>
        <w:rPr>
          <w:rFonts w:ascii="宋体" w:hAnsi="宋体" w:eastAsia="宋体" w:cs="宋体"/>
          <w:color w:val="auto"/>
          <w:spacing w:val="8"/>
          <w:sz w:val="21"/>
          <w:szCs w:val="21"/>
        </w:rPr>
        <w:t>（1）响应文件中报价表内容与响应文件中相应内容不一致的</w:t>
      </w:r>
      <w:r>
        <w:rPr>
          <w:rFonts w:ascii="宋体" w:hAnsi="宋体" w:eastAsia="宋体" w:cs="宋体"/>
          <w:color w:val="auto"/>
          <w:spacing w:val="7"/>
          <w:sz w:val="21"/>
          <w:szCs w:val="21"/>
        </w:rPr>
        <w:t>，</w:t>
      </w:r>
      <w:r>
        <w:rPr>
          <w:rFonts w:ascii="宋体" w:hAnsi="宋体" w:eastAsia="宋体" w:cs="宋体"/>
          <w:color w:val="auto"/>
          <w:spacing w:val="-60"/>
          <w:sz w:val="21"/>
          <w:szCs w:val="21"/>
        </w:rPr>
        <w:t xml:space="preserve"> </w:t>
      </w:r>
      <w:r>
        <w:rPr>
          <w:rFonts w:ascii="宋体" w:hAnsi="宋体" w:eastAsia="宋体" w:cs="宋体"/>
          <w:color w:val="auto"/>
          <w:spacing w:val="7"/>
          <w:sz w:val="21"/>
          <w:szCs w:val="21"/>
        </w:rPr>
        <w:t>以报价表为准；</w:t>
      </w:r>
    </w:p>
    <w:p w14:paraId="4F1BF168">
      <w:pPr>
        <w:spacing w:before="222" w:line="228" w:lineRule="auto"/>
        <w:ind w:left="430"/>
        <w:rPr>
          <w:rFonts w:ascii="宋体" w:hAnsi="宋体" w:eastAsia="宋体" w:cs="宋体"/>
          <w:color w:val="auto"/>
          <w:sz w:val="21"/>
          <w:szCs w:val="21"/>
        </w:rPr>
      </w:pPr>
      <w:r>
        <w:rPr>
          <w:rFonts w:ascii="宋体" w:hAnsi="宋体" w:eastAsia="宋体" w:cs="宋体"/>
          <w:color w:val="auto"/>
          <w:spacing w:val="8"/>
          <w:sz w:val="21"/>
          <w:szCs w:val="21"/>
        </w:rPr>
        <w:t>（2）大写金额和小写金额不一致的，以大写金额为准；</w:t>
      </w:r>
    </w:p>
    <w:p w14:paraId="06C77E8A">
      <w:pPr>
        <w:spacing w:before="221" w:line="226" w:lineRule="auto"/>
        <w:ind w:left="430"/>
        <w:rPr>
          <w:rFonts w:ascii="宋体" w:hAnsi="宋体" w:eastAsia="宋体" w:cs="宋体"/>
          <w:color w:val="auto"/>
          <w:sz w:val="21"/>
          <w:szCs w:val="21"/>
        </w:rPr>
      </w:pPr>
      <w:r>
        <w:rPr>
          <w:rFonts w:ascii="宋体" w:hAnsi="宋体" w:eastAsia="宋体" w:cs="宋体"/>
          <w:color w:val="auto"/>
          <w:spacing w:val="8"/>
          <w:sz w:val="21"/>
          <w:szCs w:val="21"/>
        </w:rPr>
        <w:t>（3）单价金额小数点或者百分比有明显错位的，</w:t>
      </w:r>
      <w:r>
        <w:rPr>
          <w:rFonts w:ascii="宋体" w:hAnsi="宋体" w:eastAsia="宋体" w:cs="宋体"/>
          <w:color w:val="auto"/>
          <w:spacing w:val="-60"/>
          <w:sz w:val="21"/>
          <w:szCs w:val="21"/>
        </w:rPr>
        <w:t xml:space="preserve"> </w:t>
      </w:r>
      <w:r>
        <w:rPr>
          <w:rFonts w:ascii="宋体" w:hAnsi="宋体" w:eastAsia="宋体" w:cs="宋体"/>
          <w:color w:val="auto"/>
          <w:spacing w:val="8"/>
          <w:sz w:val="21"/>
          <w:szCs w:val="21"/>
        </w:rPr>
        <w:t>以报价表的总价为准，并修改单价；</w:t>
      </w:r>
    </w:p>
    <w:p w14:paraId="708D37BC">
      <w:pPr>
        <w:spacing w:before="223" w:line="226" w:lineRule="auto"/>
        <w:ind w:left="430"/>
        <w:rPr>
          <w:rFonts w:ascii="宋体" w:hAnsi="宋体" w:eastAsia="宋体" w:cs="宋体"/>
          <w:color w:val="auto"/>
          <w:sz w:val="21"/>
          <w:szCs w:val="21"/>
        </w:rPr>
      </w:pPr>
      <w:r>
        <w:rPr>
          <w:rFonts w:ascii="宋体" w:hAnsi="宋体" w:eastAsia="宋体" w:cs="宋体"/>
          <w:color w:val="auto"/>
          <w:spacing w:val="8"/>
          <w:sz w:val="21"/>
          <w:szCs w:val="21"/>
        </w:rPr>
        <w:t>（4）总价金额与按单价汇总金额不一致的</w:t>
      </w:r>
      <w:r>
        <w:rPr>
          <w:rFonts w:ascii="宋体" w:hAnsi="宋体" w:eastAsia="宋体" w:cs="宋体"/>
          <w:color w:val="auto"/>
          <w:spacing w:val="7"/>
          <w:sz w:val="21"/>
          <w:szCs w:val="21"/>
        </w:rPr>
        <w:t>，</w:t>
      </w:r>
      <w:r>
        <w:rPr>
          <w:rFonts w:ascii="宋体" w:hAnsi="宋体" w:eastAsia="宋体" w:cs="宋体"/>
          <w:color w:val="auto"/>
          <w:spacing w:val="-60"/>
          <w:sz w:val="21"/>
          <w:szCs w:val="21"/>
        </w:rPr>
        <w:t xml:space="preserve"> </w:t>
      </w:r>
      <w:r>
        <w:rPr>
          <w:rFonts w:ascii="宋体" w:hAnsi="宋体" w:eastAsia="宋体" w:cs="宋体"/>
          <w:color w:val="auto"/>
          <w:spacing w:val="7"/>
          <w:sz w:val="21"/>
          <w:szCs w:val="21"/>
        </w:rPr>
        <w:t>以单价金额计算结果为准。</w:t>
      </w:r>
    </w:p>
    <w:p w14:paraId="7E05F99F">
      <w:pPr>
        <w:spacing w:before="223" w:line="432" w:lineRule="auto"/>
        <w:ind w:right="71" w:firstLine="440"/>
        <w:rPr>
          <w:rFonts w:ascii="宋体" w:hAnsi="宋体" w:eastAsia="宋体" w:cs="宋体"/>
          <w:color w:val="auto"/>
          <w:sz w:val="21"/>
          <w:szCs w:val="21"/>
        </w:rPr>
      </w:pPr>
      <w:r>
        <w:rPr>
          <w:rFonts w:ascii="宋体" w:hAnsi="宋体" w:eastAsia="宋体" w:cs="宋体"/>
          <w:color w:val="auto"/>
          <w:spacing w:val="10"/>
          <w:sz w:val="21"/>
          <w:szCs w:val="21"/>
        </w:rPr>
        <w:t>同时出现两种以上不一致的，按照以上（1）</w:t>
      </w:r>
      <w:r>
        <w:rPr>
          <w:rFonts w:hint="eastAsia" w:ascii="宋体" w:hAnsi="宋体" w:eastAsia="宋体" w:cs="宋体"/>
          <w:color w:val="auto"/>
          <w:spacing w:val="10"/>
          <w:sz w:val="21"/>
          <w:szCs w:val="21"/>
          <w:lang w:eastAsia="zh-CN"/>
        </w:rPr>
        <w:t>－</w:t>
      </w:r>
      <w:r>
        <w:rPr>
          <w:rFonts w:ascii="宋体" w:hAnsi="宋体" w:eastAsia="宋体" w:cs="宋体"/>
          <w:color w:val="auto"/>
          <w:spacing w:val="10"/>
          <w:sz w:val="21"/>
          <w:szCs w:val="21"/>
        </w:rPr>
        <w:t>（4）规定的顺序逐条进行修正。修正后的报价经供</w:t>
      </w:r>
      <w:r>
        <w:rPr>
          <w:rFonts w:ascii="宋体" w:hAnsi="宋体" w:eastAsia="宋体" w:cs="宋体"/>
          <w:color w:val="auto"/>
          <w:spacing w:val="9"/>
          <w:sz w:val="21"/>
          <w:szCs w:val="21"/>
        </w:rPr>
        <w:t>应商确认后产生约束力，供应商不确认的，其响应文件按无效响应处理。</w:t>
      </w:r>
    </w:p>
    <w:p w14:paraId="21884746">
      <w:pPr>
        <w:spacing w:line="226" w:lineRule="auto"/>
        <w:ind w:left="423"/>
        <w:rPr>
          <w:rFonts w:ascii="宋体" w:hAnsi="宋体" w:eastAsia="宋体" w:cs="宋体"/>
          <w:color w:val="auto"/>
          <w:sz w:val="21"/>
          <w:szCs w:val="21"/>
        </w:rPr>
      </w:pPr>
      <w:r>
        <w:rPr>
          <w:rFonts w:ascii="宋体" w:hAnsi="宋体" w:eastAsia="宋体" w:cs="宋体"/>
          <w:color w:val="auto"/>
          <w:spacing w:val="6"/>
          <w:sz w:val="21"/>
          <w:szCs w:val="21"/>
        </w:rPr>
        <w:t>2.5</w:t>
      </w:r>
      <w:r>
        <w:rPr>
          <w:rFonts w:ascii="宋体" w:hAnsi="宋体" w:eastAsia="宋体" w:cs="宋体"/>
          <w:color w:val="auto"/>
          <w:spacing w:val="-36"/>
          <w:sz w:val="21"/>
          <w:szCs w:val="21"/>
        </w:rPr>
        <w:t xml:space="preserve"> </w:t>
      </w:r>
      <w:r>
        <w:rPr>
          <w:rFonts w:ascii="宋体" w:hAnsi="宋体" w:eastAsia="宋体" w:cs="宋体"/>
          <w:color w:val="auto"/>
          <w:spacing w:val="6"/>
          <w:sz w:val="21"/>
          <w:szCs w:val="21"/>
        </w:rPr>
        <w:t>商务技术报价评审</w:t>
      </w:r>
    </w:p>
    <w:p w14:paraId="6E23DE1F">
      <w:pPr>
        <w:spacing w:before="223" w:line="228" w:lineRule="auto"/>
        <w:ind w:left="420"/>
        <w:rPr>
          <w:rFonts w:ascii="宋体" w:hAnsi="宋体" w:eastAsia="宋体" w:cs="宋体"/>
          <w:color w:val="auto"/>
          <w:sz w:val="21"/>
          <w:szCs w:val="21"/>
        </w:rPr>
      </w:pPr>
      <w:r>
        <w:rPr>
          <w:rFonts w:ascii="宋体" w:hAnsi="宋体" w:eastAsia="宋体" w:cs="宋体"/>
          <w:color w:val="auto"/>
          <w:spacing w:val="9"/>
          <w:sz w:val="21"/>
          <w:szCs w:val="21"/>
        </w:rPr>
        <w:t>在评审时，如发现下列情形之一的，将被视为响应文件无效处理：</w:t>
      </w:r>
    </w:p>
    <w:p w14:paraId="67D4A156">
      <w:pPr>
        <w:spacing w:before="221" w:line="228" w:lineRule="auto"/>
        <w:ind w:left="430"/>
        <w:rPr>
          <w:rFonts w:ascii="宋体" w:hAnsi="宋体" w:eastAsia="宋体" w:cs="宋体"/>
          <w:color w:val="auto"/>
          <w:sz w:val="21"/>
          <w:szCs w:val="21"/>
        </w:rPr>
      </w:pPr>
      <w:r>
        <w:rPr>
          <w:rFonts w:ascii="宋体" w:hAnsi="宋体" w:eastAsia="宋体" w:cs="宋体"/>
          <w:color w:val="auto"/>
          <w:spacing w:val="7"/>
          <w:sz w:val="21"/>
          <w:szCs w:val="21"/>
        </w:rPr>
        <w:t>（1）商务技术评审</w:t>
      </w:r>
    </w:p>
    <w:p w14:paraId="29BEE8FA">
      <w:pPr>
        <w:spacing w:before="221" w:line="227" w:lineRule="auto"/>
        <w:ind w:left="436"/>
        <w:rPr>
          <w:rFonts w:ascii="宋体" w:hAnsi="宋体" w:eastAsia="宋体" w:cs="宋体"/>
          <w:color w:val="auto"/>
          <w:sz w:val="21"/>
          <w:szCs w:val="21"/>
        </w:rPr>
      </w:pPr>
      <w:r>
        <w:rPr>
          <w:rFonts w:ascii="宋体" w:hAnsi="宋体" w:eastAsia="宋体" w:cs="宋体"/>
          <w:color w:val="auto"/>
          <w:spacing w:val="7"/>
          <w:sz w:val="21"/>
          <w:szCs w:val="21"/>
        </w:rPr>
        <w:t>1）响应文件未按磋商文件要求签署、盖章；</w:t>
      </w:r>
    </w:p>
    <w:p w14:paraId="35C0D9C2">
      <w:pPr>
        <w:spacing w:before="222" w:line="227" w:lineRule="auto"/>
        <w:ind w:left="423"/>
        <w:rPr>
          <w:rFonts w:ascii="宋体" w:hAnsi="宋体" w:eastAsia="宋体" w:cs="宋体"/>
          <w:color w:val="auto"/>
          <w:sz w:val="21"/>
          <w:szCs w:val="21"/>
        </w:rPr>
      </w:pPr>
      <w:r>
        <w:rPr>
          <w:rFonts w:ascii="宋体" w:hAnsi="宋体" w:eastAsia="宋体" w:cs="宋体"/>
          <w:color w:val="auto"/>
          <w:spacing w:val="9"/>
          <w:sz w:val="21"/>
          <w:szCs w:val="21"/>
        </w:rPr>
        <w:t>2）委托代理人未能出具有效身份证或者出具的身份证与授权委托书中的信息不符的；</w:t>
      </w:r>
    </w:p>
    <w:p w14:paraId="09A31347">
      <w:pPr>
        <w:spacing w:before="222" w:line="228" w:lineRule="auto"/>
        <w:ind w:left="425"/>
        <w:rPr>
          <w:rFonts w:ascii="宋体" w:hAnsi="宋体" w:eastAsia="宋体" w:cs="宋体"/>
          <w:color w:val="auto"/>
          <w:sz w:val="21"/>
          <w:szCs w:val="21"/>
        </w:rPr>
      </w:pPr>
      <w:r>
        <w:rPr>
          <w:rFonts w:ascii="宋体" w:hAnsi="宋体" w:eastAsia="宋体" w:cs="宋体"/>
          <w:color w:val="auto"/>
          <w:spacing w:val="9"/>
          <w:sz w:val="21"/>
          <w:szCs w:val="21"/>
        </w:rPr>
        <w:t>3）提交的磋商保证金无效的或者未按照磋商文件的规定提交磋商保证金；</w:t>
      </w:r>
    </w:p>
    <w:p w14:paraId="73772B67">
      <w:pPr>
        <w:spacing w:before="220" w:line="364" w:lineRule="auto"/>
        <w:ind w:right="68" w:firstLine="420"/>
        <w:rPr>
          <w:rFonts w:ascii="宋体" w:hAnsi="宋体" w:eastAsia="宋体" w:cs="宋体"/>
          <w:color w:val="auto"/>
          <w:sz w:val="21"/>
          <w:szCs w:val="21"/>
        </w:rPr>
      </w:pPr>
      <w:r>
        <w:rPr>
          <w:rFonts w:ascii="宋体" w:hAnsi="宋体" w:eastAsia="宋体" w:cs="宋体"/>
          <w:color w:val="auto"/>
          <w:spacing w:val="7"/>
          <w:sz w:val="21"/>
          <w:szCs w:val="21"/>
        </w:rPr>
        <w:t>4）响应文件未提供任一项“供应商须知前附表</w:t>
      </w:r>
      <w:r>
        <w:rPr>
          <w:rFonts w:ascii="宋体" w:hAnsi="宋体" w:eastAsia="宋体" w:cs="宋体"/>
          <w:color w:val="auto"/>
          <w:spacing w:val="-56"/>
          <w:sz w:val="21"/>
          <w:szCs w:val="21"/>
        </w:rPr>
        <w:t xml:space="preserve"> </w:t>
      </w:r>
      <w:r>
        <w:rPr>
          <w:rFonts w:ascii="宋体" w:hAnsi="宋体" w:eastAsia="宋体" w:cs="宋体"/>
          <w:color w:val="auto"/>
          <w:spacing w:val="7"/>
          <w:sz w:val="21"/>
          <w:szCs w:val="21"/>
        </w:rPr>
        <w:t>”商务技术文件中“必须提供</w:t>
      </w:r>
      <w:r>
        <w:rPr>
          <w:rFonts w:ascii="宋体" w:hAnsi="宋体" w:eastAsia="宋体" w:cs="宋体"/>
          <w:color w:val="auto"/>
          <w:spacing w:val="-70"/>
          <w:sz w:val="21"/>
          <w:szCs w:val="21"/>
        </w:rPr>
        <w:t xml:space="preserve"> </w:t>
      </w:r>
      <w:r>
        <w:rPr>
          <w:rFonts w:ascii="宋体" w:hAnsi="宋体" w:eastAsia="宋体" w:cs="宋体"/>
          <w:color w:val="auto"/>
          <w:spacing w:val="7"/>
          <w:sz w:val="21"/>
          <w:szCs w:val="21"/>
        </w:rPr>
        <w:t>”或者“委托时必须</w:t>
      </w:r>
      <w:r>
        <w:rPr>
          <w:rFonts w:ascii="宋体" w:hAnsi="宋体" w:eastAsia="宋体" w:cs="宋体"/>
          <w:color w:val="auto"/>
          <w:spacing w:val="8"/>
          <w:sz w:val="21"/>
          <w:szCs w:val="21"/>
        </w:rPr>
        <w:t>提供</w:t>
      </w:r>
      <w:r>
        <w:rPr>
          <w:rFonts w:ascii="宋体" w:hAnsi="宋体" w:eastAsia="宋体" w:cs="宋体"/>
          <w:color w:val="auto"/>
          <w:spacing w:val="-70"/>
          <w:sz w:val="21"/>
          <w:szCs w:val="21"/>
        </w:rPr>
        <w:t xml:space="preserve"> </w:t>
      </w:r>
      <w:r>
        <w:rPr>
          <w:rFonts w:ascii="宋体" w:hAnsi="宋体" w:eastAsia="宋体" w:cs="宋体"/>
          <w:color w:val="auto"/>
          <w:spacing w:val="8"/>
          <w:sz w:val="21"/>
          <w:szCs w:val="21"/>
        </w:rPr>
        <w:t>”的文件资料；响应文件提供的商务技术文件出现任一项</w:t>
      </w:r>
      <w:r>
        <w:rPr>
          <w:rFonts w:ascii="宋体" w:hAnsi="宋体" w:eastAsia="宋体" w:cs="宋体"/>
          <w:color w:val="auto"/>
          <w:spacing w:val="7"/>
          <w:sz w:val="21"/>
          <w:szCs w:val="21"/>
        </w:rPr>
        <w:t>不符合“供应商须知前附</w:t>
      </w:r>
      <w:r>
        <w:rPr>
          <w:rFonts w:hint="eastAsia" w:ascii="宋体" w:hAnsi="宋体" w:eastAsia="宋体" w:cs="宋体"/>
          <w:color w:val="auto"/>
          <w:spacing w:val="7"/>
          <w:sz w:val="21"/>
          <w:szCs w:val="21"/>
          <w:lang w:val="en-US" w:eastAsia="zh-CN"/>
        </w:rPr>
        <w:t>表</w:t>
      </w:r>
      <w:r>
        <w:rPr>
          <w:rFonts w:ascii="宋体" w:hAnsi="宋体" w:eastAsia="宋体" w:cs="宋体"/>
          <w:color w:val="auto"/>
          <w:spacing w:val="7"/>
          <w:sz w:val="21"/>
          <w:szCs w:val="21"/>
        </w:rPr>
        <w:t>”商务技术文</w:t>
      </w:r>
      <w:r>
        <w:rPr>
          <w:rFonts w:ascii="宋体" w:hAnsi="宋体" w:eastAsia="宋体" w:cs="宋体"/>
          <w:color w:val="auto"/>
          <w:spacing w:val="8"/>
          <w:sz w:val="21"/>
          <w:szCs w:val="21"/>
        </w:rPr>
        <w:t>件中“必须提供</w:t>
      </w:r>
      <w:r>
        <w:rPr>
          <w:rFonts w:ascii="宋体" w:hAnsi="宋体" w:eastAsia="宋体" w:cs="宋体"/>
          <w:color w:val="auto"/>
          <w:spacing w:val="-68"/>
          <w:sz w:val="21"/>
          <w:szCs w:val="21"/>
        </w:rPr>
        <w:t xml:space="preserve"> </w:t>
      </w:r>
      <w:r>
        <w:rPr>
          <w:rFonts w:ascii="宋体" w:hAnsi="宋体" w:eastAsia="宋体" w:cs="宋体"/>
          <w:color w:val="auto"/>
          <w:spacing w:val="8"/>
          <w:sz w:val="21"/>
          <w:szCs w:val="21"/>
        </w:rPr>
        <w:t>”或者“委托时必须提供</w:t>
      </w:r>
      <w:r>
        <w:rPr>
          <w:rFonts w:ascii="宋体" w:hAnsi="宋体" w:eastAsia="宋体" w:cs="宋体"/>
          <w:color w:val="auto"/>
          <w:spacing w:val="-73"/>
          <w:sz w:val="21"/>
          <w:szCs w:val="21"/>
        </w:rPr>
        <w:t xml:space="preserve"> </w:t>
      </w:r>
      <w:r>
        <w:rPr>
          <w:rFonts w:ascii="宋体" w:hAnsi="宋体" w:eastAsia="宋体" w:cs="宋体"/>
          <w:color w:val="auto"/>
          <w:spacing w:val="8"/>
          <w:sz w:val="21"/>
          <w:szCs w:val="21"/>
        </w:rPr>
        <w:t>”文件资料要求的规定或者提供的商务技术文件无效。</w:t>
      </w:r>
    </w:p>
    <w:p w14:paraId="49A8152B">
      <w:pPr>
        <w:spacing w:before="222" w:line="360" w:lineRule="auto"/>
        <w:ind w:left="425"/>
        <w:rPr>
          <w:rFonts w:ascii="宋体" w:hAnsi="宋体" w:eastAsia="宋体" w:cs="宋体"/>
          <w:color w:val="auto"/>
          <w:sz w:val="21"/>
          <w:szCs w:val="21"/>
        </w:rPr>
      </w:pPr>
      <w:r>
        <w:rPr>
          <w:rFonts w:ascii="宋体" w:hAnsi="宋体" w:eastAsia="宋体" w:cs="宋体"/>
          <w:color w:val="auto"/>
          <w:spacing w:val="8"/>
          <w:sz w:val="21"/>
          <w:szCs w:val="21"/>
        </w:rPr>
        <w:t>5）商务要求允许负偏离的条款数超过“供应商须知前附表</w:t>
      </w:r>
      <w:r>
        <w:rPr>
          <w:rFonts w:ascii="宋体" w:hAnsi="宋体" w:eastAsia="宋体" w:cs="宋体"/>
          <w:color w:val="auto"/>
          <w:spacing w:val="-66"/>
          <w:sz w:val="21"/>
          <w:szCs w:val="21"/>
        </w:rPr>
        <w:t xml:space="preserve"> </w:t>
      </w:r>
      <w:r>
        <w:rPr>
          <w:rFonts w:ascii="宋体" w:hAnsi="宋体" w:eastAsia="宋体" w:cs="宋体"/>
          <w:color w:val="auto"/>
          <w:spacing w:val="8"/>
          <w:sz w:val="21"/>
          <w:szCs w:val="21"/>
        </w:rPr>
        <w:t>”规定项数的；</w:t>
      </w:r>
    </w:p>
    <w:p w14:paraId="20B93287">
      <w:pPr>
        <w:spacing w:before="41" w:line="360" w:lineRule="auto"/>
        <w:ind w:left="423"/>
        <w:rPr>
          <w:rFonts w:ascii="宋体" w:hAnsi="宋体" w:eastAsia="宋体" w:cs="宋体"/>
          <w:color w:val="auto"/>
          <w:sz w:val="21"/>
          <w:szCs w:val="21"/>
        </w:rPr>
      </w:pPr>
      <w:r>
        <w:rPr>
          <w:rFonts w:ascii="宋体" w:hAnsi="宋体" w:eastAsia="宋体" w:cs="宋体"/>
          <w:color w:val="auto"/>
          <w:spacing w:val="9"/>
          <w:sz w:val="21"/>
          <w:szCs w:val="21"/>
        </w:rPr>
        <w:t>6）未对竞标有效期作出响应或者响应文件承诺的竞标有效期不满足磋商文件要求；</w:t>
      </w:r>
    </w:p>
    <w:p w14:paraId="18CD83EA">
      <w:pPr>
        <w:spacing w:before="220" w:line="228" w:lineRule="auto"/>
        <w:ind w:left="426"/>
        <w:rPr>
          <w:rFonts w:ascii="宋体" w:hAnsi="宋体" w:eastAsia="宋体" w:cs="宋体"/>
          <w:color w:val="auto"/>
          <w:sz w:val="21"/>
          <w:szCs w:val="21"/>
        </w:rPr>
      </w:pPr>
      <w:r>
        <w:rPr>
          <w:rFonts w:ascii="宋体" w:hAnsi="宋体" w:eastAsia="宋体" w:cs="宋体"/>
          <w:color w:val="auto"/>
          <w:spacing w:val="9"/>
          <w:sz w:val="21"/>
          <w:szCs w:val="21"/>
        </w:rPr>
        <w:t>7）响应文件的实质性内容未使用中文表述、使用计量单位不符合磋商文件要求；</w:t>
      </w:r>
    </w:p>
    <w:p w14:paraId="52DB00BC">
      <w:pPr>
        <w:spacing w:before="221" w:line="330" w:lineRule="auto"/>
        <w:ind w:left="6" w:firstLine="415"/>
        <w:rPr>
          <w:rFonts w:ascii="宋体" w:hAnsi="宋体" w:eastAsia="宋体" w:cs="宋体"/>
          <w:color w:val="auto"/>
          <w:sz w:val="21"/>
          <w:szCs w:val="21"/>
        </w:rPr>
      </w:pPr>
      <w:r>
        <w:rPr>
          <w:rFonts w:ascii="宋体" w:hAnsi="宋体" w:eastAsia="宋体" w:cs="宋体"/>
          <w:color w:val="auto"/>
          <w:spacing w:val="11"/>
          <w:sz w:val="21"/>
          <w:szCs w:val="21"/>
        </w:rPr>
        <w:t>8）响应文件中的文件资料因填写不齐全或者内容虚假或者出现其他情形而导致被磋商小组认定无</w:t>
      </w:r>
      <w:r>
        <w:rPr>
          <w:rFonts w:ascii="宋体" w:hAnsi="宋体" w:eastAsia="宋体" w:cs="宋体"/>
          <w:color w:val="auto"/>
          <w:spacing w:val="-3"/>
          <w:sz w:val="21"/>
          <w:szCs w:val="21"/>
        </w:rPr>
        <w:t>效；</w:t>
      </w:r>
    </w:p>
    <w:p w14:paraId="07619DAB">
      <w:pPr>
        <w:spacing w:before="220" w:line="227" w:lineRule="auto"/>
        <w:ind w:left="422"/>
        <w:rPr>
          <w:rFonts w:ascii="宋体" w:hAnsi="宋体" w:eastAsia="宋体" w:cs="宋体"/>
          <w:color w:val="auto"/>
          <w:sz w:val="21"/>
          <w:szCs w:val="21"/>
        </w:rPr>
      </w:pPr>
      <w:r>
        <w:rPr>
          <w:rFonts w:ascii="宋体" w:hAnsi="宋体" w:eastAsia="宋体" w:cs="宋体"/>
          <w:color w:val="auto"/>
          <w:spacing w:val="8"/>
          <w:sz w:val="21"/>
          <w:szCs w:val="21"/>
        </w:rPr>
        <w:t>9）响应文件含有采购人不能接受的附加条件；</w:t>
      </w:r>
    </w:p>
    <w:p w14:paraId="3495921A">
      <w:pPr>
        <w:spacing w:before="222" w:line="227" w:lineRule="auto"/>
        <w:ind w:left="437"/>
        <w:rPr>
          <w:rFonts w:ascii="宋体" w:hAnsi="宋体" w:eastAsia="宋体" w:cs="宋体"/>
          <w:color w:val="auto"/>
          <w:sz w:val="21"/>
          <w:szCs w:val="21"/>
        </w:rPr>
      </w:pPr>
      <w:r>
        <w:rPr>
          <w:rFonts w:ascii="宋体" w:hAnsi="宋体" w:eastAsia="宋体" w:cs="宋体"/>
          <w:color w:val="auto"/>
          <w:spacing w:val="4"/>
          <w:sz w:val="21"/>
          <w:szCs w:val="21"/>
        </w:rPr>
        <w:t>10）属于“供应商须知正文</w:t>
      </w:r>
      <w:r>
        <w:rPr>
          <w:rFonts w:ascii="宋体" w:hAnsi="宋体" w:eastAsia="宋体" w:cs="宋体"/>
          <w:color w:val="auto"/>
          <w:spacing w:val="-54"/>
          <w:sz w:val="21"/>
          <w:szCs w:val="21"/>
        </w:rPr>
        <w:t xml:space="preserve"> </w:t>
      </w:r>
      <w:r>
        <w:rPr>
          <w:rFonts w:ascii="宋体" w:hAnsi="宋体" w:eastAsia="宋体" w:cs="宋体"/>
          <w:color w:val="auto"/>
          <w:spacing w:val="4"/>
          <w:sz w:val="21"/>
          <w:szCs w:val="21"/>
        </w:rPr>
        <w:t>”第</w:t>
      </w:r>
      <w:r>
        <w:rPr>
          <w:rFonts w:ascii="宋体" w:hAnsi="宋体" w:eastAsia="宋体" w:cs="宋体"/>
          <w:color w:val="auto"/>
          <w:spacing w:val="-34"/>
          <w:sz w:val="21"/>
          <w:szCs w:val="21"/>
        </w:rPr>
        <w:t xml:space="preserve"> </w:t>
      </w:r>
      <w:r>
        <w:rPr>
          <w:rFonts w:ascii="宋体" w:hAnsi="宋体" w:eastAsia="宋体" w:cs="宋体"/>
          <w:color w:val="auto"/>
          <w:spacing w:val="4"/>
          <w:sz w:val="21"/>
          <w:szCs w:val="21"/>
        </w:rPr>
        <w:t>7.5</w:t>
      </w:r>
      <w:r>
        <w:rPr>
          <w:rFonts w:ascii="宋体" w:hAnsi="宋体" w:eastAsia="宋体" w:cs="宋体"/>
          <w:color w:val="auto"/>
          <w:spacing w:val="-36"/>
          <w:sz w:val="21"/>
          <w:szCs w:val="21"/>
        </w:rPr>
        <w:t xml:space="preserve"> </w:t>
      </w:r>
      <w:r>
        <w:rPr>
          <w:rFonts w:ascii="宋体" w:hAnsi="宋体" w:eastAsia="宋体" w:cs="宋体"/>
          <w:color w:val="auto"/>
          <w:spacing w:val="4"/>
          <w:sz w:val="21"/>
          <w:szCs w:val="21"/>
        </w:rPr>
        <w:t>条情形；</w:t>
      </w:r>
    </w:p>
    <w:p w14:paraId="345FFC76">
      <w:pPr>
        <w:spacing w:before="222" w:line="227" w:lineRule="auto"/>
        <w:ind w:left="437"/>
        <w:rPr>
          <w:rFonts w:ascii="宋体" w:hAnsi="宋体" w:eastAsia="宋体" w:cs="宋体"/>
          <w:color w:val="auto"/>
          <w:sz w:val="21"/>
          <w:szCs w:val="21"/>
        </w:rPr>
      </w:pPr>
      <w:r>
        <w:rPr>
          <w:rFonts w:ascii="宋体" w:hAnsi="宋体" w:eastAsia="宋体" w:cs="宋体"/>
          <w:color w:val="auto"/>
          <w:spacing w:val="8"/>
          <w:sz w:val="21"/>
          <w:szCs w:val="21"/>
        </w:rPr>
        <w:t>11）技术要求允许负偏离的条款数超过“供</w:t>
      </w:r>
      <w:r>
        <w:rPr>
          <w:rFonts w:ascii="宋体" w:hAnsi="宋体" w:eastAsia="宋体" w:cs="宋体"/>
          <w:color w:val="auto"/>
          <w:spacing w:val="7"/>
          <w:sz w:val="21"/>
          <w:szCs w:val="21"/>
        </w:rPr>
        <w:t>应商须知前附表</w:t>
      </w:r>
      <w:r>
        <w:rPr>
          <w:rFonts w:ascii="宋体" w:hAnsi="宋体" w:eastAsia="宋体" w:cs="宋体"/>
          <w:color w:val="auto"/>
          <w:spacing w:val="-70"/>
          <w:sz w:val="21"/>
          <w:szCs w:val="21"/>
        </w:rPr>
        <w:t xml:space="preserve"> </w:t>
      </w:r>
      <w:r>
        <w:rPr>
          <w:rFonts w:ascii="宋体" w:hAnsi="宋体" w:eastAsia="宋体" w:cs="宋体"/>
          <w:color w:val="auto"/>
          <w:spacing w:val="7"/>
          <w:sz w:val="21"/>
          <w:szCs w:val="21"/>
        </w:rPr>
        <w:t>”规定项数；</w:t>
      </w:r>
    </w:p>
    <w:p w14:paraId="452F5146">
      <w:pPr>
        <w:spacing w:before="222" w:line="227" w:lineRule="auto"/>
        <w:ind w:left="437"/>
        <w:rPr>
          <w:rFonts w:ascii="宋体" w:hAnsi="宋体" w:eastAsia="宋体" w:cs="宋体"/>
          <w:color w:val="auto"/>
          <w:sz w:val="21"/>
          <w:szCs w:val="21"/>
        </w:rPr>
      </w:pPr>
      <w:r>
        <w:rPr>
          <w:rFonts w:ascii="宋体" w:hAnsi="宋体" w:eastAsia="宋体" w:cs="宋体"/>
          <w:color w:val="auto"/>
          <w:spacing w:val="8"/>
          <w:sz w:val="21"/>
          <w:szCs w:val="21"/>
        </w:rPr>
        <w:t>12）虚假竞标，或者出现其他情形而导致被磋商小组认定无效；</w:t>
      </w:r>
    </w:p>
    <w:p w14:paraId="57AD1C79">
      <w:pPr>
        <w:spacing w:before="224" w:line="329" w:lineRule="auto"/>
        <w:ind w:left="1" w:right="12" w:firstLine="435"/>
        <w:rPr>
          <w:rFonts w:ascii="宋体" w:hAnsi="宋体" w:eastAsia="宋体" w:cs="宋体"/>
          <w:color w:val="auto"/>
          <w:sz w:val="21"/>
          <w:szCs w:val="21"/>
        </w:rPr>
      </w:pPr>
      <w:r>
        <w:rPr>
          <w:rFonts w:ascii="宋体" w:hAnsi="宋体" w:eastAsia="宋体" w:cs="宋体"/>
          <w:color w:val="auto"/>
          <w:spacing w:val="8"/>
          <w:sz w:val="21"/>
          <w:szCs w:val="21"/>
        </w:rPr>
        <w:t>13）磋商文件未载明允许提供备选（替代）竞标方案或明确不允许提供备选（替代）竞标方案时，供应商提供了备选（替代）竞标方案的；</w:t>
      </w:r>
    </w:p>
    <w:p w14:paraId="0376F9A4">
      <w:pPr>
        <w:spacing w:before="221" w:line="228" w:lineRule="auto"/>
        <w:ind w:left="437"/>
        <w:rPr>
          <w:rFonts w:ascii="宋体" w:hAnsi="宋体" w:eastAsia="宋体" w:cs="宋体"/>
          <w:color w:val="auto"/>
          <w:sz w:val="21"/>
          <w:szCs w:val="21"/>
        </w:rPr>
      </w:pPr>
      <w:r>
        <w:rPr>
          <w:rFonts w:ascii="宋体" w:hAnsi="宋体" w:eastAsia="宋体" w:cs="宋体"/>
          <w:color w:val="auto"/>
          <w:spacing w:val="9"/>
          <w:sz w:val="21"/>
          <w:szCs w:val="21"/>
        </w:rPr>
        <w:t>14）响应文件标注的项目名称或者项目编号与磋商文件标注的项目名称或者项目编</w:t>
      </w:r>
      <w:r>
        <w:rPr>
          <w:rFonts w:ascii="宋体" w:hAnsi="宋体" w:eastAsia="宋体" w:cs="宋体"/>
          <w:color w:val="auto"/>
          <w:spacing w:val="8"/>
          <w:sz w:val="21"/>
          <w:szCs w:val="21"/>
        </w:rPr>
        <w:t>号不一致的；</w:t>
      </w:r>
    </w:p>
    <w:p w14:paraId="67DC4B1A">
      <w:pPr>
        <w:spacing w:before="222" w:line="227" w:lineRule="auto"/>
        <w:ind w:left="437"/>
        <w:rPr>
          <w:rFonts w:ascii="宋体" w:hAnsi="宋体" w:eastAsia="宋体" w:cs="宋体"/>
          <w:color w:val="auto"/>
          <w:sz w:val="21"/>
          <w:szCs w:val="21"/>
        </w:rPr>
      </w:pPr>
      <w:r>
        <w:rPr>
          <w:rFonts w:ascii="宋体" w:hAnsi="宋体" w:eastAsia="宋体" w:cs="宋体"/>
          <w:color w:val="auto"/>
          <w:spacing w:val="7"/>
          <w:sz w:val="21"/>
          <w:szCs w:val="21"/>
        </w:rPr>
        <w:t>15）</w:t>
      </w:r>
      <w:r>
        <w:rPr>
          <w:rFonts w:ascii="宋体" w:hAnsi="宋体" w:eastAsia="宋体" w:cs="宋体"/>
          <w:b/>
          <w:bCs/>
          <w:color w:val="auto"/>
          <w:spacing w:val="7"/>
          <w:sz w:val="21"/>
          <w:szCs w:val="21"/>
        </w:rPr>
        <w:t>竞争性磋商文件明确不允许分包，响应文件拟分包的；</w:t>
      </w:r>
    </w:p>
    <w:p w14:paraId="7DA4E3CA">
      <w:pPr>
        <w:spacing w:before="221" w:line="228" w:lineRule="auto"/>
        <w:ind w:left="437"/>
        <w:rPr>
          <w:rFonts w:ascii="宋体" w:hAnsi="宋体" w:eastAsia="宋体" w:cs="宋体"/>
          <w:color w:val="auto"/>
          <w:sz w:val="21"/>
          <w:szCs w:val="21"/>
        </w:rPr>
      </w:pPr>
      <w:r>
        <w:rPr>
          <w:rFonts w:ascii="宋体" w:hAnsi="宋体" w:eastAsia="宋体" w:cs="宋体"/>
          <w:color w:val="auto"/>
          <w:spacing w:val="7"/>
          <w:sz w:val="21"/>
          <w:szCs w:val="21"/>
        </w:rPr>
        <w:t>16）未响应磋商文件实质性要求；</w:t>
      </w:r>
    </w:p>
    <w:p w14:paraId="78B00B5A">
      <w:pPr>
        <w:spacing w:before="221" w:line="228" w:lineRule="auto"/>
        <w:ind w:left="437"/>
        <w:rPr>
          <w:rFonts w:ascii="宋体" w:hAnsi="宋体" w:eastAsia="宋体" w:cs="宋体"/>
          <w:color w:val="auto"/>
          <w:sz w:val="21"/>
          <w:szCs w:val="21"/>
        </w:rPr>
      </w:pPr>
      <w:r>
        <w:rPr>
          <w:rFonts w:ascii="宋体" w:hAnsi="宋体" w:eastAsia="宋体" w:cs="宋体"/>
          <w:color w:val="auto"/>
          <w:spacing w:val="8"/>
          <w:sz w:val="21"/>
          <w:szCs w:val="21"/>
        </w:rPr>
        <w:t>17）</w:t>
      </w:r>
      <w:r>
        <w:rPr>
          <w:rFonts w:hint="eastAsia" w:ascii="宋体" w:hAnsi="宋体" w:eastAsia="宋体" w:cs="宋体"/>
          <w:color w:val="auto"/>
          <w:spacing w:val="8"/>
          <w:sz w:val="21"/>
          <w:szCs w:val="21"/>
          <w:lang w:eastAsia="zh-CN"/>
        </w:rPr>
        <w:t>法律法规</w:t>
      </w:r>
      <w:r>
        <w:rPr>
          <w:rFonts w:ascii="宋体" w:hAnsi="宋体" w:eastAsia="宋体" w:cs="宋体"/>
          <w:color w:val="auto"/>
          <w:spacing w:val="8"/>
          <w:sz w:val="21"/>
          <w:szCs w:val="21"/>
        </w:rPr>
        <w:t>和磋商文件规定的其他无效</w:t>
      </w:r>
      <w:r>
        <w:rPr>
          <w:rFonts w:ascii="宋体" w:hAnsi="宋体" w:eastAsia="宋体" w:cs="宋体"/>
          <w:color w:val="auto"/>
          <w:spacing w:val="7"/>
          <w:sz w:val="21"/>
          <w:szCs w:val="21"/>
        </w:rPr>
        <w:t>情形。</w:t>
      </w:r>
    </w:p>
    <w:p w14:paraId="1BFE9B1D">
      <w:pPr>
        <w:spacing w:before="222" w:line="226" w:lineRule="auto"/>
        <w:ind w:left="431"/>
        <w:rPr>
          <w:rFonts w:ascii="宋体" w:hAnsi="宋体" w:eastAsia="宋体" w:cs="宋体"/>
          <w:color w:val="auto"/>
          <w:sz w:val="21"/>
          <w:szCs w:val="21"/>
        </w:rPr>
      </w:pPr>
      <w:r>
        <w:rPr>
          <w:rFonts w:ascii="宋体" w:hAnsi="宋体" w:eastAsia="宋体" w:cs="宋体"/>
          <w:color w:val="auto"/>
          <w:spacing w:val="6"/>
          <w:sz w:val="21"/>
          <w:szCs w:val="21"/>
        </w:rPr>
        <w:t>（2）报价评审</w:t>
      </w:r>
    </w:p>
    <w:p w14:paraId="5DE061BE">
      <w:pPr>
        <w:spacing w:before="223" w:line="226" w:lineRule="auto"/>
        <w:ind w:left="437"/>
        <w:rPr>
          <w:rFonts w:ascii="宋体" w:hAnsi="宋体" w:eastAsia="宋体" w:cs="宋体"/>
          <w:color w:val="auto"/>
          <w:sz w:val="21"/>
          <w:szCs w:val="21"/>
        </w:rPr>
      </w:pPr>
      <w:r>
        <w:rPr>
          <w:rFonts w:ascii="宋体" w:hAnsi="宋体" w:eastAsia="宋体" w:cs="宋体"/>
          <w:color w:val="auto"/>
          <w:spacing w:val="7"/>
          <w:sz w:val="21"/>
          <w:szCs w:val="21"/>
        </w:rPr>
        <w:t>1）</w:t>
      </w:r>
      <w:r>
        <w:rPr>
          <w:rFonts w:ascii="宋体" w:hAnsi="宋体" w:eastAsia="宋体" w:cs="宋体"/>
          <w:color w:val="auto"/>
          <w:spacing w:val="34"/>
          <w:sz w:val="21"/>
          <w:szCs w:val="21"/>
        </w:rPr>
        <w:t xml:space="preserve"> </w:t>
      </w:r>
      <w:r>
        <w:rPr>
          <w:rFonts w:ascii="宋体" w:hAnsi="宋体" w:eastAsia="宋体" w:cs="宋体"/>
          <w:color w:val="auto"/>
          <w:spacing w:val="7"/>
          <w:sz w:val="21"/>
          <w:szCs w:val="21"/>
        </w:rPr>
        <w:t>响应文件未提供“供应商须知前附表</w:t>
      </w:r>
      <w:r>
        <w:rPr>
          <w:rFonts w:ascii="宋体" w:hAnsi="宋体" w:eastAsia="宋体" w:cs="宋体"/>
          <w:color w:val="auto"/>
          <w:spacing w:val="-70"/>
          <w:sz w:val="21"/>
          <w:szCs w:val="21"/>
        </w:rPr>
        <w:t xml:space="preserve"> </w:t>
      </w:r>
      <w:r>
        <w:rPr>
          <w:rFonts w:ascii="宋体" w:hAnsi="宋体" w:eastAsia="宋体" w:cs="宋体"/>
          <w:color w:val="auto"/>
          <w:spacing w:val="7"/>
          <w:sz w:val="21"/>
          <w:szCs w:val="21"/>
        </w:rPr>
        <w:t>” 报价文件中规定的“竞标报价表</w:t>
      </w:r>
      <w:r>
        <w:rPr>
          <w:rFonts w:ascii="宋体" w:hAnsi="宋体" w:eastAsia="宋体" w:cs="宋体"/>
          <w:color w:val="auto"/>
          <w:spacing w:val="-70"/>
          <w:sz w:val="21"/>
          <w:szCs w:val="21"/>
        </w:rPr>
        <w:t xml:space="preserve"> </w:t>
      </w:r>
      <w:r>
        <w:rPr>
          <w:rFonts w:ascii="宋体" w:hAnsi="宋体" w:eastAsia="宋体" w:cs="宋体"/>
          <w:color w:val="auto"/>
          <w:spacing w:val="6"/>
          <w:sz w:val="21"/>
          <w:szCs w:val="21"/>
        </w:rPr>
        <w:t>”；</w:t>
      </w:r>
    </w:p>
    <w:p w14:paraId="418D7241">
      <w:pPr>
        <w:spacing w:before="223" w:line="226" w:lineRule="auto"/>
        <w:ind w:left="424"/>
        <w:rPr>
          <w:rFonts w:ascii="宋体" w:hAnsi="宋体" w:eastAsia="宋体" w:cs="宋体"/>
          <w:color w:val="auto"/>
          <w:sz w:val="21"/>
          <w:szCs w:val="21"/>
        </w:rPr>
      </w:pPr>
      <w:r>
        <w:rPr>
          <w:rFonts w:ascii="宋体" w:hAnsi="宋体" w:eastAsia="宋体" w:cs="宋体"/>
          <w:color w:val="auto"/>
          <w:spacing w:val="9"/>
          <w:sz w:val="21"/>
          <w:szCs w:val="21"/>
        </w:rPr>
        <w:t>2）未采用人民币报价或者未按照磋商文件标明的币种</w:t>
      </w:r>
      <w:r>
        <w:rPr>
          <w:rFonts w:ascii="宋体" w:hAnsi="宋体" w:eastAsia="宋体" w:cs="宋体"/>
          <w:color w:val="auto"/>
          <w:spacing w:val="8"/>
          <w:sz w:val="21"/>
          <w:szCs w:val="21"/>
        </w:rPr>
        <w:t>报价；</w:t>
      </w:r>
    </w:p>
    <w:p w14:paraId="3426E81C">
      <w:pPr>
        <w:spacing w:before="225" w:line="363" w:lineRule="auto"/>
        <w:ind w:firstLine="425"/>
        <w:rPr>
          <w:rFonts w:ascii="宋体" w:hAnsi="宋体" w:eastAsia="宋体" w:cs="宋体"/>
          <w:color w:val="auto"/>
          <w:sz w:val="21"/>
          <w:szCs w:val="21"/>
        </w:rPr>
      </w:pPr>
      <w:r>
        <w:rPr>
          <w:rFonts w:ascii="宋体" w:hAnsi="宋体" w:eastAsia="宋体" w:cs="宋体"/>
          <w:color w:val="auto"/>
          <w:spacing w:val="11"/>
          <w:sz w:val="21"/>
          <w:szCs w:val="21"/>
        </w:rPr>
        <w:t>3）供应商未就所竞标分标进行报价或者存在漏项报价；供应商未就所竞标分标的单项内容作唯一</w:t>
      </w:r>
      <w:r>
        <w:rPr>
          <w:rFonts w:ascii="宋体" w:hAnsi="宋体" w:eastAsia="宋体" w:cs="宋体"/>
          <w:color w:val="auto"/>
          <w:spacing w:val="9"/>
          <w:sz w:val="21"/>
          <w:szCs w:val="21"/>
        </w:rPr>
        <w:t>报价；供应商未就所竞标分标的全部内容作完整唯一总价报价；供应商响应文件中存在有选择、有</w:t>
      </w:r>
      <w:r>
        <w:rPr>
          <w:rFonts w:ascii="宋体" w:hAnsi="宋体" w:eastAsia="宋体" w:cs="宋体"/>
          <w:color w:val="auto"/>
          <w:spacing w:val="8"/>
          <w:sz w:val="21"/>
          <w:szCs w:val="21"/>
        </w:rPr>
        <w:t>条件</w:t>
      </w:r>
      <w:r>
        <w:rPr>
          <w:rFonts w:ascii="宋体" w:hAnsi="宋体" w:eastAsia="宋体" w:cs="宋体"/>
          <w:color w:val="auto"/>
          <w:spacing w:val="9"/>
          <w:sz w:val="21"/>
          <w:szCs w:val="21"/>
        </w:rPr>
        <w:t>报价的（磋商文件允许有备选方案或者其他约定的除外</w:t>
      </w:r>
      <w:r>
        <w:rPr>
          <w:rFonts w:ascii="宋体" w:hAnsi="宋体" w:eastAsia="宋体" w:cs="宋体"/>
          <w:color w:val="auto"/>
          <w:spacing w:val="7"/>
          <w:sz w:val="21"/>
          <w:szCs w:val="21"/>
        </w:rPr>
        <w:t>）；</w:t>
      </w:r>
    </w:p>
    <w:p w14:paraId="65672DC5">
      <w:pPr>
        <w:spacing w:before="224" w:line="363" w:lineRule="auto"/>
        <w:ind w:left="2" w:firstLine="418"/>
        <w:rPr>
          <w:rFonts w:ascii="宋体" w:hAnsi="宋体" w:eastAsia="宋体" w:cs="宋体"/>
          <w:color w:val="auto"/>
          <w:sz w:val="21"/>
          <w:szCs w:val="21"/>
        </w:rPr>
      </w:pPr>
      <w:r>
        <w:rPr>
          <w:rFonts w:ascii="宋体" w:hAnsi="宋体" w:eastAsia="宋体" w:cs="宋体"/>
          <w:color w:val="auto"/>
          <w:spacing w:val="6"/>
          <w:sz w:val="21"/>
          <w:szCs w:val="21"/>
        </w:rPr>
        <w:t>4）竞标报价（包含首次报价、最后报价）超过所竞标分标规定的采购预算金额或者最高限价的（如</w:t>
      </w:r>
      <w:r>
        <w:rPr>
          <w:rFonts w:ascii="宋体" w:hAnsi="宋体" w:eastAsia="宋体" w:cs="宋体"/>
          <w:color w:val="auto"/>
          <w:spacing w:val="9"/>
          <w:sz w:val="21"/>
          <w:szCs w:val="21"/>
        </w:rPr>
        <w:t>本项目公布了最高限价</w:t>
      </w:r>
      <w:r>
        <w:rPr>
          <w:rFonts w:ascii="宋体" w:hAnsi="宋体" w:eastAsia="宋体" w:cs="宋体"/>
          <w:color w:val="auto"/>
          <w:spacing w:val="8"/>
          <w:sz w:val="21"/>
          <w:szCs w:val="21"/>
        </w:rPr>
        <w:t>）；</w:t>
      </w:r>
      <w:r>
        <w:rPr>
          <w:rFonts w:ascii="宋体" w:hAnsi="宋体" w:eastAsia="宋体" w:cs="宋体"/>
          <w:color w:val="auto"/>
          <w:spacing w:val="9"/>
          <w:sz w:val="21"/>
          <w:szCs w:val="21"/>
        </w:rPr>
        <w:t>竞标报价（包含首次报价、最后报价）超过磋商文件分项采购</w:t>
      </w:r>
      <w:r>
        <w:rPr>
          <w:rFonts w:ascii="宋体" w:hAnsi="宋体" w:eastAsia="宋体" w:cs="宋体"/>
          <w:color w:val="auto"/>
          <w:spacing w:val="8"/>
          <w:sz w:val="21"/>
          <w:szCs w:val="21"/>
        </w:rPr>
        <w:t>预算金额或者</w:t>
      </w:r>
      <w:r>
        <w:rPr>
          <w:rFonts w:ascii="宋体" w:hAnsi="宋体" w:eastAsia="宋体" w:cs="宋体"/>
          <w:color w:val="auto"/>
          <w:spacing w:val="9"/>
          <w:sz w:val="21"/>
          <w:szCs w:val="21"/>
        </w:rPr>
        <w:t>最高限价的（如本项目公布了最高限价</w:t>
      </w:r>
      <w:r>
        <w:rPr>
          <w:rFonts w:ascii="宋体" w:hAnsi="宋体" w:eastAsia="宋体" w:cs="宋体"/>
          <w:color w:val="auto"/>
          <w:spacing w:val="2"/>
          <w:sz w:val="21"/>
          <w:szCs w:val="21"/>
        </w:rPr>
        <w:t>）；</w:t>
      </w:r>
    </w:p>
    <w:p w14:paraId="0AB5B313">
      <w:pPr>
        <w:spacing w:before="221" w:line="381" w:lineRule="auto"/>
        <w:ind w:firstLine="425"/>
        <w:rPr>
          <w:rFonts w:ascii="宋体" w:hAnsi="宋体" w:eastAsia="宋体" w:cs="宋体"/>
          <w:color w:val="auto"/>
          <w:sz w:val="21"/>
          <w:szCs w:val="21"/>
        </w:rPr>
      </w:pPr>
      <w:r>
        <w:rPr>
          <w:rFonts w:ascii="宋体" w:hAnsi="宋体" w:eastAsia="宋体" w:cs="宋体"/>
          <w:color w:val="auto"/>
          <w:spacing w:val="11"/>
          <w:sz w:val="21"/>
          <w:szCs w:val="21"/>
        </w:rPr>
        <w:t>5）修正后的报价，供应商不确认的；或者经供应商确认修正后的竞标报价（包含首次报价</w:t>
      </w:r>
      <w:r>
        <w:rPr>
          <w:rFonts w:hint="eastAsia" w:ascii="宋体" w:hAnsi="宋体" w:eastAsia="宋体" w:cs="宋体"/>
          <w:color w:val="auto"/>
          <w:spacing w:val="11"/>
          <w:sz w:val="21"/>
          <w:szCs w:val="21"/>
          <w:lang w:eastAsia="zh-CN"/>
        </w:rPr>
        <w:t>、</w:t>
      </w:r>
      <w:r>
        <w:rPr>
          <w:rFonts w:ascii="宋体" w:hAnsi="宋体" w:eastAsia="宋体" w:cs="宋体"/>
          <w:color w:val="auto"/>
          <w:spacing w:val="11"/>
          <w:sz w:val="21"/>
          <w:szCs w:val="21"/>
        </w:rPr>
        <w:t>最后</w:t>
      </w:r>
      <w:r>
        <w:rPr>
          <w:rFonts w:ascii="宋体" w:hAnsi="宋体" w:eastAsia="宋体" w:cs="宋体"/>
          <w:color w:val="auto"/>
          <w:spacing w:val="9"/>
          <w:sz w:val="21"/>
          <w:szCs w:val="21"/>
        </w:rPr>
        <w:t>报价）超过所竞标分标规定的采购预算金额或者最高限价（如本项目公布了最高限价</w:t>
      </w:r>
      <w:r>
        <w:rPr>
          <w:rFonts w:ascii="宋体" w:hAnsi="宋体" w:eastAsia="宋体" w:cs="宋体"/>
          <w:color w:val="auto"/>
          <w:spacing w:val="6"/>
          <w:sz w:val="21"/>
          <w:szCs w:val="21"/>
        </w:rPr>
        <w:t>）；</w:t>
      </w:r>
      <w:r>
        <w:rPr>
          <w:rFonts w:ascii="宋体" w:hAnsi="宋体" w:eastAsia="宋体" w:cs="宋体"/>
          <w:color w:val="auto"/>
          <w:spacing w:val="9"/>
          <w:sz w:val="21"/>
          <w:szCs w:val="21"/>
        </w:rPr>
        <w:t>或者经供应商确认修正后竞标报价（包含首次报价、最后报价）超过磋商文件分项采购预算金额或者最高限价的</w:t>
      </w:r>
      <w:r>
        <w:rPr>
          <w:rFonts w:ascii="宋体" w:hAnsi="宋体" w:eastAsia="宋体" w:cs="宋体"/>
          <w:color w:val="auto"/>
          <w:spacing w:val="8"/>
          <w:sz w:val="21"/>
          <w:szCs w:val="21"/>
        </w:rPr>
        <w:t>（如</w:t>
      </w:r>
      <w:r>
        <w:rPr>
          <w:rFonts w:ascii="宋体" w:hAnsi="宋体" w:eastAsia="宋体" w:cs="宋体"/>
          <w:color w:val="auto"/>
          <w:spacing w:val="7"/>
          <w:sz w:val="21"/>
          <w:szCs w:val="21"/>
        </w:rPr>
        <w:t>本项目公布了最高限价）。</w:t>
      </w:r>
    </w:p>
    <w:p w14:paraId="740D7687">
      <w:pPr>
        <w:spacing w:before="223" w:line="227" w:lineRule="auto"/>
        <w:ind w:left="423"/>
        <w:rPr>
          <w:rFonts w:ascii="宋体" w:hAnsi="宋体" w:eastAsia="宋体" w:cs="宋体"/>
          <w:color w:val="auto"/>
          <w:sz w:val="21"/>
          <w:szCs w:val="21"/>
        </w:rPr>
      </w:pPr>
      <w:r>
        <w:rPr>
          <w:rFonts w:ascii="宋体" w:hAnsi="宋体" w:eastAsia="宋体" w:cs="宋体"/>
          <w:color w:val="auto"/>
          <w:spacing w:val="9"/>
          <w:sz w:val="21"/>
          <w:szCs w:val="21"/>
        </w:rPr>
        <w:t>6）响应文件响应的标的数量及单位与竞争性磋商采购文件要求实质性不一致的。</w:t>
      </w:r>
    </w:p>
    <w:p w14:paraId="242F72D3">
      <w:pPr>
        <w:spacing w:before="221" w:line="433" w:lineRule="auto"/>
        <w:ind w:right="2" w:firstLine="424"/>
        <w:rPr>
          <w:rFonts w:ascii="宋体" w:hAnsi="宋体" w:eastAsia="宋体" w:cs="宋体"/>
          <w:color w:val="auto"/>
          <w:sz w:val="21"/>
          <w:szCs w:val="21"/>
        </w:rPr>
      </w:pPr>
      <w:r>
        <w:rPr>
          <w:rFonts w:ascii="宋体" w:hAnsi="宋体" w:eastAsia="宋体" w:cs="宋体"/>
          <w:color w:val="auto"/>
          <w:spacing w:val="10"/>
          <w:sz w:val="21"/>
          <w:szCs w:val="21"/>
        </w:rPr>
        <w:t>2.6</w:t>
      </w:r>
      <w:r>
        <w:rPr>
          <w:rFonts w:ascii="宋体" w:hAnsi="宋体" w:eastAsia="宋体" w:cs="宋体"/>
          <w:color w:val="auto"/>
          <w:spacing w:val="-43"/>
          <w:sz w:val="21"/>
          <w:szCs w:val="21"/>
        </w:rPr>
        <w:t xml:space="preserve"> </w:t>
      </w:r>
      <w:r>
        <w:rPr>
          <w:rFonts w:ascii="宋体" w:hAnsi="宋体" w:eastAsia="宋体" w:cs="宋体"/>
          <w:color w:val="auto"/>
          <w:spacing w:val="10"/>
          <w:sz w:val="21"/>
          <w:szCs w:val="21"/>
        </w:rPr>
        <w:t>磋商小组对响应文件进行评审，未实质性响应</w:t>
      </w:r>
      <w:r>
        <w:rPr>
          <w:rFonts w:ascii="宋体" w:hAnsi="宋体" w:eastAsia="宋体" w:cs="宋体"/>
          <w:color w:val="auto"/>
          <w:spacing w:val="9"/>
          <w:sz w:val="21"/>
          <w:szCs w:val="21"/>
        </w:rPr>
        <w:t>磋商文件的响应文件按无效处理，磋商小组应当将资格和符合性不通过的情况告知有关供应商。磋商小组从符合磋商文件规定的相应资格条</w:t>
      </w:r>
      <w:r>
        <w:rPr>
          <w:rFonts w:ascii="宋体" w:hAnsi="宋体" w:eastAsia="宋体" w:cs="宋体"/>
          <w:color w:val="auto"/>
          <w:spacing w:val="8"/>
          <w:sz w:val="21"/>
          <w:szCs w:val="21"/>
        </w:rPr>
        <w:t>件的供应商</w:t>
      </w:r>
      <w:r>
        <w:rPr>
          <w:rFonts w:ascii="宋体" w:hAnsi="宋体" w:eastAsia="宋体" w:cs="宋体"/>
          <w:color w:val="auto"/>
          <w:spacing w:val="7"/>
          <w:sz w:val="21"/>
          <w:szCs w:val="21"/>
        </w:rPr>
        <w:t>名单中确定不少于</w:t>
      </w:r>
      <w:r>
        <w:rPr>
          <w:rFonts w:ascii="宋体" w:hAnsi="宋体" w:eastAsia="宋体" w:cs="宋体"/>
          <w:color w:val="auto"/>
          <w:spacing w:val="-31"/>
          <w:sz w:val="21"/>
          <w:szCs w:val="21"/>
        </w:rPr>
        <w:t xml:space="preserve"> </w:t>
      </w:r>
      <w:r>
        <w:rPr>
          <w:rFonts w:ascii="宋体" w:hAnsi="宋体" w:eastAsia="宋体" w:cs="宋体"/>
          <w:color w:val="auto"/>
          <w:spacing w:val="7"/>
          <w:sz w:val="21"/>
          <w:szCs w:val="21"/>
        </w:rPr>
        <w:t>3</w:t>
      </w:r>
      <w:r>
        <w:rPr>
          <w:rFonts w:ascii="宋体" w:hAnsi="宋体" w:eastAsia="宋体" w:cs="宋体"/>
          <w:color w:val="auto"/>
          <w:spacing w:val="-36"/>
          <w:sz w:val="21"/>
          <w:szCs w:val="21"/>
        </w:rPr>
        <w:t xml:space="preserve"> </w:t>
      </w:r>
      <w:r>
        <w:rPr>
          <w:rFonts w:ascii="宋体" w:hAnsi="宋体" w:eastAsia="宋体" w:cs="宋体"/>
          <w:color w:val="auto"/>
          <w:spacing w:val="7"/>
          <w:sz w:val="21"/>
          <w:szCs w:val="21"/>
        </w:rPr>
        <w:t>家的供应商参加磋商。</w:t>
      </w:r>
    </w:p>
    <w:p w14:paraId="5A41324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r>
        <w:rPr>
          <w:rFonts w:hint="eastAsia" w:ascii="宋体" w:hAnsi="宋体"/>
          <w:color w:val="auto"/>
          <w:szCs w:val="21"/>
          <w:highlight w:val="none"/>
        </w:rPr>
        <w:t>。</w:t>
      </w:r>
    </w:p>
    <w:p w14:paraId="3928EB54">
      <w:pPr>
        <w:spacing w:before="222" w:line="425" w:lineRule="auto"/>
        <w:ind w:left="1" w:right="71" w:firstLine="421"/>
        <w:rPr>
          <w:rFonts w:ascii="宋体" w:hAnsi="宋体" w:eastAsia="宋体" w:cs="宋体"/>
          <w:color w:val="auto"/>
          <w:spacing w:val="7"/>
          <w:sz w:val="21"/>
          <w:szCs w:val="21"/>
          <w:highlight w:val="yellow"/>
        </w:rPr>
      </w:pPr>
    </w:p>
    <w:p w14:paraId="46A793BB">
      <w:pPr>
        <w:spacing w:line="221" w:lineRule="auto"/>
        <w:ind w:left="482"/>
        <w:rPr>
          <w:rFonts w:ascii="黑体" w:hAnsi="黑体" w:eastAsia="黑体" w:cs="黑体"/>
          <w:color w:val="auto"/>
          <w:sz w:val="24"/>
          <w:szCs w:val="24"/>
        </w:rPr>
      </w:pPr>
      <w:r>
        <w:rPr>
          <w:rFonts w:ascii="黑体" w:hAnsi="黑体" w:eastAsia="黑体" w:cs="黑体"/>
          <w:b/>
          <w:bCs/>
          <w:color w:val="auto"/>
          <w:spacing w:val="-4"/>
          <w:sz w:val="24"/>
          <w:szCs w:val="24"/>
        </w:rPr>
        <w:t>3.磋商程序</w:t>
      </w:r>
    </w:p>
    <w:p w14:paraId="24B13ECE">
      <w:pPr>
        <w:spacing w:before="194" w:line="364" w:lineRule="auto"/>
        <w:ind w:left="1" w:right="70" w:firstLine="423"/>
        <w:rPr>
          <w:rFonts w:ascii="宋体" w:hAnsi="宋体" w:eastAsia="宋体" w:cs="宋体"/>
          <w:color w:val="auto"/>
          <w:sz w:val="21"/>
          <w:szCs w:val="21"/>
        </w:rPr>
      </w:pPr>
      <w:r>
        <w:rPr>
          <w:rFonts w:ascii="宋体" w:hAnsi="宋体" w:eastAsia="宋体" w:cs="宋体"/>
          <w:color w:val="auto"/>
          <w:spacing w:val="10"/>
          <w:sz w:val="21"/>
          <w:szCs w:val="21"/>
        </w:rPr>
        <w:t>3.1</w:t>
      </w:r>
      <w:r>
        <w:rPr>
          <w:rFonts w:ascii="宋体" w:hAnsi="宋体" w:eastAsia="宋体" w:cs="宋体"/>
          <w:color w:val="auto"/>
          <w:spacing w:val="-41"/>
          <w:sz w:val="21"/>
          <w:szCs w:val="21"/>
        </w:rPr>
        <w:t xml:space="preserve"> </w:t>
      </w:r>
      <w:r>
        <w:rPr>
          <w:rFonts w:ascii="宋体" w:hAnsi="宋体" w:eastAsia="宋体" w:cs="宋体"/>
          <w:color w:val="auto"/>
          <w:spacing w:val="10"/>
          <w:sz w:val="21"/>
          <w:szCs w:val="21"/>
        </w:rPr>
        <w:t>磋商小组集中与单一供应商分别进行</w:t>
      </w:r>
      <w:r>
        <w:rPr>
          <w:rFonts w:ascii="宋体" w:hAnsi="宋体" w:eastAsia="宋体" w:cs="宋体"/>
          <w:color w:val="auto"/>
          <w:spacing w:val="9"/>
          <w:sz w:val="21"/>
          <w:szCs w:val="21"/>
        </w:rPr>
        <w:t>磋商，并给予所有参加磋商的供应商平等的磋商机会。符合磋商资格的供应商必须在接到磋商通知后规定时间内参加磋商，未在规定时间内参加</w:t>
      </w:r>
      <w:r>
        <w:rPr>
          <w:rFonts w:ascii="宋体" w:hAnsi="宋体" w:eastAsia="宋体" w:cs="宋体"/>
          <w:color w:val="auto"/>
          <w:spacing w:val="8"/>
          <w:sz w:val="21"/>
          <w:szCs w:val="21"/>
        </w:rPr>
        <w:t>磋商的视同放弃参加磋商权利，其响应文件按无效响应处理。</w:t>
      </w:r>
    </w:p>
    <w:p w14:paraId="0B7DEEBF">
      <w:pPr>
        <w:spacing w:before="220" w:line="364" w:lineRule="auto"/>
        <w:ind w:left="2" w:right="64" w:firstLine="422"/>
        <w:rPr>
          <w:rFonts w:ascii="宋体" w:hAnsi="宋体" w:eastAsia="宋体" w:cs="宋体"/>
          <w:color w:val="auto"/>
          <w:sz w:val="21"/>
          <w:szCs w:val="21"/>
        </w:rPr>
      </w:pPr>
      <w:r>
        <w:rPr>
          <w:rFonts w:ascii="宋体" w:hAnsi="宋体" w:eastAsia="宋体" w:cs="宋体"/>
          <w:color w:val="auto"/>
          <w:spacing w:val="10"/>
          <w:sz w:val="21"/>
          <w:szCs w:val="21"/>
        </w:rPr>
        <w:t>3.2</w:t>
      </w:r>
      <w:r>
        <w:rPr>
          <w:rFonts w:ascii="宋体" w:hAnsi="宋体" w:eastAsia="宋体" w:cs="宋体"/>
          <w:color w:val="auto"/>
          <w:spacing w:val="-44"/>
          <w:sz w:val="21"/>
          <w:szCs w:val="21"/>
        </w:rPr>
        <w:t xml:space="preserve"> </w:t>
      </w:r>
      <w:r>
        <w:rPr>
          <w:rFonts w:ascii="宋体" w:hAnsi="宋体" w:eastAsia="宋体" w:cs="宋体"/>
          <w:color w:val="auto"/>
          <w:spacing w:val="10"/>
          <w:sz w:val="21"/>
          <w:szCs w:val="21"/>
        </w:rPr>
        <w:t>在磋商过程中，磋商小组可以根据磋商文件</w:t>
      </w:r>
      <w:r>
        <w:rPr>
          <w:rFonts w:ascii="宋体" w:hAnsi="宋体" w:eastAsia="宋体" w:cs="宋体"/>
          <w:color w:val="auto"/>
          <w:spacing w:val="9"/>
          <w:sz w:val="21"/>
          <w:szCs w:val="21"/>
        </w:rPr>
        <w:t>和磋商情况实质性变动采购需求中的技术</w:t>
      </w:r>
      <w:r>
        <w:rPr>
          <w:rFonts w:hint="eastAsia" w:ascii="宋体" w:hAnsi="宋体" w:eastAsia="宋体" w:cs="宋体"/>
          <w:color w:val="auto"/>
          <w:spacing w:val="9"/>
          <w:sz w:val="21"/>
          <w:szCs w:val="21"/>
          <w:lang w:eastAsia="zh-CN"/>
        </w:rPr>
        <w:t>、</w:t>
      </w:r>
      <w:r>
        <w:rPr>
          <w:rFonts w:ascii="宋体" w:hAnsi="宋体" w:eastAsia="宋体" w:cs="宋体"/>
          <w:color w:val="auto"/>
          <w:spacing w:val="9"/>
          <w:sz w:val="21"/>
          <w:szCs w:val="21"/>
        </w:rPr>
        <w:t>服务要求以及合同草案条款，但不得变动磋商文件中的其他内容。实质性变动的内容，须经采购人代表确</w:t>
      </w:r>
      <w:r>
        <w:rPr>
          <w:rFonts w:ascii="宋体" w:hAnsi="宋体" w:eastAsia="宋体" w:cs="宋体"/>
          <w:color w:val="auto"/>
          <w:spacing w:val="8"/>
          <w:sz w:val="21"/>
          <w:szCs w:val="21"/>
        </w:rPr>
        <w:t>认。</w:t>
      </w:r>
      <w:r>
        <w:rPr>
          <w:rFonts w:ascii="宋体" w:hAnsi="宋体" w:eastAsia="宋体" w:cs="宋体"/>
          <w:color w:val="auto"/>
          <w:spacing w:val="9"/>
          <w:sz w:val="21"/>
          <w:szCs w:val="21"/>
        </w:rPr>
        <w:t>可能实质性变动的内容为采购需求中的技术、服务要求以及合同草案条款。</w:t>
      </w:r>
    </w:p>
    <w:p w14:paraId="62FCFA59">
      <w:pPr>
        <w:spacing w:before="223" w:line="329" w:lineRule="auto"/>
        <w:ind w:left="21" w:right="71" w:firstLine="403"/>
        <w:rPr>
          <w:rFonts w:ascii="宋体" w:hAnsi="宋体" w:eastAsia="宋体" w:cs="宋体"/>
          <w:color w:val="auto"/>
          <w:sz w:val="21"/>
          <w:szCs w:val="21"/>
        </w:rPr>
      </w:pPr>
      <w:r>
        <w:rPr>
          <w:rFonts w:ascii="宋体" w:hAnsi="宋体" w:eastAsia="宋体" w:cs="宋体"/>
          <w:color w:val="auto"/>
          <w:spacing w:val="9"/>
          <w:sz w:val="21"/>
          <w:szCs w:val="21"/>
        </w:rPr>
        <w:t>3.3</w:t>
      </w:r>
      <w:r>
        <w:rPr>
          <w:rFonts w:ascii="宋体" w:hAnsi="宋体" w:eastAsia="宋体" w:cs="宋体"/>
          <w:color w:val="auto"/>
          <w:spacing w:val="-43"/>
          <w:sz w:val="21"/>
          <w:szCs w:val="21"/>
        </w:rPr>
        <w:t xml:space="preserve"> </w:t>
      </w:r>
      <w:r>
        <w:rPr>
          <w:rFonts w:ascii="宋体" w:hAnsi="宋体" w:eastAsia="宋体" w:cs="宋体"/>
          <w:color w:val="auto"/>
          <w:spacing w:val="9"/>
          <w:sz w:val="21"/>
          <w:szCs w:val="21"/>
        </w:rPr>
        <w:t>对磋商文件作出的实质性变动是磋商文件的有</w:t>
      </w:r>
      <w:r>
        <w:rPr>
          <w:rFonts w:ascii="宋体" w:hAnsi="宋体" w:eastAsia="宋体" w:cs="宋体"/>
          <w:color w:val="auto"/>
          <w:spacing w:val="8"/>
          <w:sz w:val="21"/>
          <w:szCs w:val="21"/>
        </w:rPr>
        <w:t>效组成部分，</w:t>
      </w:r>
      <w:r>
        <w:rPr>
          <w:rFonts w:ascii="宋体" w:hAnsi="宋体" w:eastAsia="宋体" w:cs="宋体"/>
          <w:color w:val="auto"/>
          <w:spacing w:val="-58"/>
          <w:sz w:val="21"/>
          <w:szCs w:val="21"/>
        </w:rPr>
        <w:t xml:space="preserve"> </w:t>
      </w:r>
      <w:r>
        <w:rPr>
          <w:rFonts w:ascii="宋体" w:hAnsi="宋体" w:eastAsia="宋体" w:cs="宋体"/>
          <w:color w:val="auto"/>
          <w:spacing w:val="8"/>
          <w:sz w:val="21"/>
          <w:szCs w:val="21"/>
        </w:rPr>
        <w:t>由磋商小组及时以电子澄清函形式</w:t>
      </w:r>
      <w:r>
        <w:rPr>
          <w:rFonts w:ascii="宋体" w:hAnsi="宋体" w:eastAsia="宋体" w:cs="宋体"/>
          <w:color w:val="auto"/>
          <w:spacing w:val="7"/>
          <w:sz w:val="21"/>
          <w:szCs w:val="21"/>
        </w:rPr>
        <w:t>同时通知所有参加磋商的供应商。</w:t>
      </w:r>
    </w:p>
    <w:p w14:paraId="3D20160C">
      <w:pPr>
        <w:spacing w:before="223" w:line="364" w:lineRule="auto"/>
        <w:ind w:left="1" w:right="70" w:firstLine="423"/>
        <w:rPr>
          <w:rFonts w:ascii="宋体" w:hAnsi="宋体" w:eastAsia="宋体" w:cs="宋体"/>
          <w:color w:val="auto"/>
          <w:sz w:val="21"/>
          <w:szCs w:val="21"/>
        </w:rPr>
      </w:pPr>
      <w:r>
        <w:rPr>
          <w:rFonts w:ascii="宋体" w:hAnsi="宋体" w:eastAsia="宋体" w:cs="宋体"/>
          <w:color w:val="auto"/>
          <w:spacing w:val="10"/>
          <w:sz w:val="21"/>
          <w:szCs w:val="21"/>
        </w:rPr>
        <w:t>3.4</w:t>
      </w:r>
      <w:r>
        <w:rPr>
          <w:rFonts w:ascii="宋体" w:hAnsi="宋体" w:eastAsia="宋体" w:cs="宋体"/>
          <w:color w:val="auto"/>
          <w:spacing w:val="-43"/>
          <w:sz w:val="21"/>
          <w:szCs w:val="21"/>
        </w:rPr>
        <w:t xml:space="preserve"> </w:t>
      </w:r>
      <w:r>
        <w:rPr>
          <w:rFonts w:ascii="宋体" w:hAnsi="宋体" w:eastAsia="宋体" w:cs="宋体"/>
          <w:color w:val="auto"/>
          <w:spacing w:val="10"/>
          <w:sz w:val="21"/>
          <w:szCs w:val="21"/>
        </w:rPr>
        <w:t>供应商必须按照磋商文件的变动情况和磋</w:t>
      </w:r>
      <w:r>
        <w:rPr>
          <w:rFonts w:ascii="宋体" w:hAnsi="宋体" w:eastAsia="宋体" w:cs="宋体"/>
          <w:color w:val="auto"/>
          <w:spacing w:val="9"/>
          <w:sz w:val="21"/>
          <w:szCs w:val="21"/>
        </w:rPr>
        <w:t>商小组的要求以回函的形式重新提交</w:t>
      </w:r>
      <w:r>
        <w:rPr>
          <w:rFonts w:hint="eastAsia" w:ascii="宋体" w:hAnsi="宋体" w:eastAsia="宋体" w:cs="宋体"/>
          <w:color w:val="auto"/>
          <w:spacing w:val="9"/>
          <w:sz w:val="21"/>
          <w:szCs w:val="21"/>
          <w:lang w:val="en-US" w:eastAsia="zh-CN"/>
        </w:rPr>
        <w:t>响应文件，</w:t>
      </w:r>
      <w:r>
        <w:rPr>
          <w:rFonts w:ascii="宋体" w:hAnsi="宋体" w:eastAsia="宋体" w:cs="宋体"/>
          <w:color w:val="auto"/>
          <w:spacing w:val="9"/>
          <w:sz w:val="21"/>
          <w:szCs w:val="21"/>
        </w:rPr>
        <w:t>并加盖电子签章。参加磋商的供应商未在规定时间内重新提交响应文件的，视同退出磋商，</w:t>
      </w:r>
      <w:r>
        <w:rPr>
          <w:rFonts w:ascii="宋体" w:hAnsi="宋体" w:eastAsia="宋体" w:cs="宋体"/>
          <w:color w:val="auto"/>
          <w:spacing w:val="8"/>
          <w:sz w:val="21"/>
          <w:szCs w:val="21"/>
        </w:rPr>
        <w:t>其响应文件按无</w:t>
      </w:r>
      <w:r>
        <w:rPr>
          <w:rFonts w:ascii="宋体" w:hAnsi="宋体" w:eastAsia="宋体" w:cs="宋体"/>
          <w:color w:val="auto"/>
          <w:spacing w:val="4"/>
          <w:sz w:val="21"/>
          <w:szCs w:val="21"/>
        </w:rPr>
        <w:t>效处理。</w:t>
      </w:r>
    </w:p>
    <w:p w14:paraId="52570974">
      <w:pPr>
        <w:spacing w:before="221" w:line="226" w:lineRule="auto"/>
        <w:ind w:left="425"/>
        <w:rPr>
          <w:rFonts w:ascii="宋体" w:hAnsi="宋体" w:eastAsia="宋体" w:cs="宋体"/>
          <w:color w:val="auto"/>
          <w:sz w:val="21"/>
          <w:szCs w:val="21"/>
        </w:rPr>
      </w:pPr>
      <w:r>
        <w:rPr>
          <w:rFonts w:ascii="宋体" w:hAnsi="宋体" w:eastAsia="宋体" w:cs="宋体"/>
          <w:color w:val="auto"/>
          <w:spacing w:val="-1"/>
          <w:sz w:val="21"/>
          <w:szCs w:val="21"/>
        </w:rPr>
        <w:t>3.5</w:t>
      </w:r>
      <w:r>
        <w:rPr>
          <w:rFonts w:ascii="宋体" w:hAnsi="宋体" w:eastAsia="宋体" w:cs="宋体"/>
          <w:color w:val="auto"/>
          <w:spacing w:val="-25"/>
          <w:sz w:val="21"/>
          <w:szCs w:val="21"/>
        </w:rPr>
        <w:t xml:space="preserve"> </w:t>
      </w:r>
      <w:r>
        <w:rPr>
          <w:rFonts w:ascii="宋体" w:hAnsi="宋体" w:eastAsia="宋体" w:cs="宋体"/>
          <w:color w:val="auto"/>
          <w:spacing w:val="-1"/>
          <w:sz w:val="21"/>
          <w:szCs w:val="21"/>
        </w:rPr>
        <w:t>磋商中，磋商的任何一方不得透露与磋商有关的其他供应商的技术资料、价格和其他信息。</w:t>
      </w:r>
    </w:p>
    <w:p w14:paraId="62AD5896">
      <w:pPr>
        <w:spacing w:before="222" w:line="227" w:lineRule="auto"/>
        <w:ind w:left="425"/>
        <w:rPr>
          <w:rFonts w:ascii="宋体" w:hAnsi="宋体" w:eastAsia="宋体" w:cs="宋体"/>
          <w:color w:val="auto"/>
          <w:sz w:val="21"/>
          <w:szCs w:val="21"/>
        </w:rPr>
      </w:pPr>
      <w:r>
        <w:rPr>
          <w:rFonts w:ascii="宋体" w:hAnsi="宋体" w:eastAsia="宋体" w:cs="宋体"/>
          <w:color w:val="auto"/>
          <w:spacing w:val="8"/>
          <w:sz w:val="21"/>
          <w:szCs w:val="21"/>
        </w:rPr>
        <w:t>3.6</w:t>
      </w:r>
      <w:r>
        <w:rPr>
          <w:rFonts w:ascii="宋体" w:hAnsi="宋体" w:eastAsia="宋体" w:cs="宋体"/>
          <w:color w:val="auto"/>
          <w:spacing w:val="-39"/>
          <w:sz w:val="21"/>
          <w:szCs w:val="21"/>
        </w:rPr>
        <w:t xml:space="preserve"> </w:t>
      </w:r>
      <w:r>
        <w:rPr>
          <w:rFonts w:ascii="宋体" w:hAnsi="宋体" w:eastAsia="宋体" w:cs="宋体"/>
          <w:color w:val="auto"/>
          <w:spacing w:val="8"/>
          <w:sz w:val="21"/>
          <w:szCs w:val="21"/>
        </w:rPr>
        <w:t>采购代理机构对磋商过程和重要磋商内容进行记录。</w:t>
      </w:r>
    </w:p>
    <w:p w14:paraId="6DDA5922">
      <w:pPr>
        <w:spacing w:before="220" w:line="364" w:lineRule="auto"/>
        <w:ind w:left="2" w:right="64" w:firstLine="422"/>
        <w:rPr>
          <w:rFonts w:ascii="宋体" w:hAnsi="宋体" w:eastAsia="宋体" w:cs="宋体"/>
          <w:color w:val="auto"/>
          <w:spacing w:val="10"/>
          <w:sz w:val="21"/>
          <w:szCs w:val="21"/>
        </w:rPr>
      </w:pPr>
      <w:r>
        <w:rPr>
          <w:rFonts w:ascii="宋体" w:hAnsi="宋体" w:eastAsia="宋体" w:cs="宋体"/>
          <w:color w:val="auto"/>
          <w:spacing w:val="10"/>
          <w:sz w:val="21"/>
          <w:szCs w:val="21"/>
        </w:rPr>
        <w:t>3.7 根据《财政部关于政府采购竞争性磋商采购方式管理暂行办法有关问题的补充通知</w:t>
      </w:r>
      <w:r>
        <w:rPr>
          <w:rFonts w:hint="eastAsia" w:ascii="宋体" w:hAnsi="宋体" w:eastAsia="宋体" w:cs="宋体"/>
          <w:color w:val="auto"/>
          <w:spacing w:val="10"/>
          <w:sz w:val="21"/>
          <w:szCs w:val="21"/>
          <w:lang w:eastAsia="zh-CN"/>
        </w:rPr>
        <w:t>》</w:t>
      </w:r>
      <w:r>
        <w:rPr>
          <w:rFonts w:ascii="宋体" w:hAnsi="宋体" w:eastAsia="宋体" w:cs="宋体"/>
          <w:color w:val="auto"/>
          <w:spacing w:val="10"/>
          <w:sz w:val="21"/>
          <w:szCs w:val="21"/>
        </w:rPr>
        <w:t>（财库〔2015〕124 号）的规定，采用竞争性磋商采购方式采购的政府购买服务项目（含政府和社会资本合作项目），在采购过程中符合要求的供应商（社会资本）只有 2 家的，竞争性磋商采购活动可以继续进行</w:t>
      </w:r>
      <w:r>
        <w:rPr>
          <w:rFonts w:hint="default" w:ascii="宋体" w:hAnsi="宋体" w:eastAsia="宋体" w:cs="宋体"/>
          <w:color w:val="auto"/>
          <w:spacing w:val="10"/>
          <w:sz w:val="21"/>
          <w:szCs w:val="21"/>
          <w:lang w:val="en-US" w:eastAsia="zh-CN"/>
        </w:rPr>
        <w:t>。</w:t>
      </w:r>
      <w:r>
        <w:rPr>
          <w:rFonts w:ascii="宋体" w:hAnsi="宋体" w:eastAsia="宋体" w:cs="宋体"/>
          <w:color w:val="auto"/>
          <w:spacing w:val="10"/>
          <w:sz w:val="21"/>
          <w:szCs w:val="21"/>
        </w:rPr>
        <w:t>采购过程中符合要求的供应商（社会资本）只有 1 家的，采购人（项目实施机构）或者采购代理机构应当终止竞争性磋商采购活动，发布项目终止公告并说明原因，重新开展采购活动。</w:t>
      </w:r>
    </w:p>
    <w:p w14:paraId="2DC2D4CE">
      <w:pPr>
        <w:spacing w:before="220" w:line="364" w:lineRule="auto"/>
        <w:ind w:left="2" w:right="64" w:firstLine="422"/>
        <w:rPr>
          <w:rFonts w:ascii="宋体" w:hAnsi="宋体" w:eastAsia="宋体" w:cs="宋体"/>
          <w:color w:val="auto"/>
          <w:sz w:val="21"/>
          <w:szCs w:val="21"/>
        </w:rPr>
      </w:pPr>
      <w:r>
        <w:rPr>
          <w:rFonts w:ascii="宋体" w:hAnsi="宋体" w:eastAsia="宋体" w:cs="宋体"/>
          <w:color w:val="auto"/>
          <w:spacing w:val="10"/>
          <w:sz w:val="21"/>
          <w:szCs w:val="21"/>
        </w:rPr>
        <w:t>3.8 除本章第 3.7 条情形外，对磋商过程提交的响应文件进行有效性、完整性和响应程度审查</w:t>
      </w:r>
      <w:r>
        <w:rPr>
          <w:rFonts w:hint="default" w:ascii="宋体" w:hAnsi="宋体" w:eastAsia="宋体" w:cs="宋体"/>
          <w:color w:val="auto"/>
          <w:spacing w:val="10"/>
          <w:sz w:val="21"/>
          <w:szCs w:val="21"/>
          <w:lang w:eastAsia="zh-CN"/>
        </w:rPr>
        <w:t>，</w:t>
      </w:r>
      <w:r>
        <w:rPr>
          <w:rFonts w:ascii="宋体" w:hAnsi="宋体" w:eastAsia="宋体" w:cs="宋体"/>
          <w:color w:val="auto"/>
          <w:spacing w:val="10"/>
          <w:sz w:val="21"/>
          <w:szCs w:val="21"/>
        </w:rPr>
        <w:t>通过审查的合格供应商不足 3 家</w:t>
      </w:r>
      <w:r>
        <w:rPr>
          <w:rFonts w:ascii="宋体" w:hAnsi="宋体" w:eastAsia="宋体" w:cs="宋体"/>
          <w:color w:val="auto"/>
          <w:spacing w:val="9"/>
          <w:sz w:val="21"/>
          <w:szCs w:val="21"/>
        </w:rPr>
        <w:t>的，采购人或者采购</w:t>
      </w:r>
      <w:r>
        <w:rPr>
          <w:rFonts w:ascii="宋体" w:hAnsi="宋体" w:eastAsia="宋体" w:cs="宋体"/>
          <w:color w:val="auto"/>
          <w:spacing w:val="8"/>
          <w:sz w:val="21"/>
          <w:szCs w:val="21"/>
        </w:rPr>
        <w:t>代理机构应当重新开展采购活动。</w:t>
      </w:r>
    </w:p>
    <w:p w14:paraId="313521B7">
      <w:pPr>
        <w:spacing w:before="207" w:line="222" w:lineRule="auto"/>
        <w:ind w:left="475"/>
        <w:rPr>
          <w:rFonts w:ascii="黑体" w:hAnsi="黑体" w:eastAsia="黑体" w:cs="黑体"/>
          <w:color w:val="auto"/>
          <w:sz w:val="24"/>
          <w:szCs w:val="24"/>
        </w:rPr>
      </w:pPr>
      <w:r>
        <w:rPr>
          <w:rFonts w:ascii="黑体" w:hAnsi="黑体" w:eastAsia="黑体" w:cs="黑体"/>
          <w:b/>
          <w:bCs/>
          <w:color w:val="auto"/>
          <w:spacing w:val="-6"/>
          <w:sz w:val="24"/>
          <w:szCs w:val="24"/>
        </w:rPr>
        <w:t>4.</w:t>
      </w:r>
      <w:r>
        <w:rPr>
          <w:rFonts w:ascii="黑体" w:hAnsi="黑体" w:eastAsia="黑体" w:cs="黑体"/>
          <w:color w:val="auto"/>
          <w:spacing w:val="19"/>
          <w:sz w:val="24"/>
          <w:szCs w:val="24"/>
        </w:rPr>
        <w:t xml:space="preserve"> </w:t>
      </w:r>
      <w:r>
        <w:rPr>
          <w:rFonts w:ascii="黑体" w:hAnsi="黑体" w:eastAsia="黑体" w:cs="黑体"/>
          <w:b/>
          <w:bCs/>
          <w:color w:val="auto"/>
          <w:spacing w:val="-6"/>
          <w:sz w:val="24"/>
          <w:szCs w:val="24"/>
        </w:rPr>
        <w:t>最后报价</w:t>
      </w:r>
    </w:p>
    <w:p w14:paraId="40F97AB7">
      <w:pPr>
        <w:spacing w:before="220" w:line="364" w:lineRule="auto"/>
        <w:ind w:left="2" w:right="64" w:firstLine="422"/>
        <w:rPr>
          <w:rFonts w:ascii="宋体" w:hAnsi="宋体" w:eastAsia="宋体" w:cs="宋体"/>
          <w:color w:val="auto"/>
          <w:spacing w:val="10"/>
          <w:sz w:val="21"/>
          <w:szCs w:val="21"/>
        </w:rPr>
      </w:pPr>
      <w:r>
        <w:rPr>
          <w:rFonts w:ascii="宋体" w:hAnsi="宋体" w:eastAsia="宋体" w:cs="宋体"/>
          <w:color w:val="auto"/>
          <w:spacing w:val="10"/>
          <w:sz w:val="21"/>
          <w:szCs w:val="21"/>
        </w:rPr>
        <w:t>4.1 磋商文件能够详细列明采购标的的技术、服务要求的，磋商结束后，磋商小组应当要求所有继续参加磋商的供应商在规定时间内在广西政府采购云平台开标大厅提交最后报价</w:t>
      </w:r>
      <w:r>
        <w:rPr>
          <w:rFonts w:hint="eastAsia" w:ascii="宋体" w:hAnsi="宋体" w:eastAsia="宋体" w:cs="宋体"/>
          <w:color w:val="auto"/>
          <w:spacing w:val="10"/>
          <w:sz w:val="21"/>
          <w:szCs w:val="21"/>
          <w:lang w:eastAsia="zh-CN"/>
        </w:rPr>
        <w:t>，</w:t>
      </w:r>
      <w:r>
        <w:rPr>
          <w:rFonts w:ascii="宋体" w:hAnsi="宋体" w:eastAsia="宋体" w:cs="宋体"/>
          <w:color w:val="auto"/>
          <w:spacing w:val="10"/>
          <w:sz w:val="21"/>
          <w:szCs w:val="21"/>
        </w:rPr>
        <w:t>除本章第4.3 条外，提交最后报价的供应商不得少于 3 家，否则必须重新采购。</w:t>
      </w:r>
    </w:p>
    <w:p w14:paraId="6F5443BE">
      <w:pPr>
        <w:spacing w:before="220" w:line="364" w:lineRule="auto"/>
        <w:ind w:left="2" w:right="64" w:firstLine="422"/>
        <w:rPr>
          <w:rFonts w:ascii="宋体" w:hAnsi="宋体" w:eastAsia="宋体" w:cs="宋体"/>
          <w:color w:val="auto"/>
          <w:spacing w:val="10"/>
          <w:sz w:val="21"/>
          <w:szCs w:val="21"/>
        </w:rPr>
      </w:pPr>
      <w:r>
        <w:rPr>
          <w:rFonts w:ascii="宋体" w:hAnsi="宋体" w:eastAsia="宋体" w:cs="宋体"/>
          <w:color w:val="auto"/>
          <w:spacing w:val="10"/>
          <w:sz w:val="21"/>
          <w:szCs w:val="21"/>
        </w:rPr>
        <w:t>4.2 磋商文件不能详细列明采购标的的技术、服务要求，需经磋商由供应商提供最后设计方案或者解决方案的，磋商结束后，由磋商小组按照少数服从多数的原则投票推荐 3 家以上供应商的设计方案或者解决方案，并要求其在规定时间内在广西政府采购云平台开标大厅提交最后报价。</w:t>
      </w:r>
    </w:p>
    <w:p w14:paraId="73025623">
      <w:pPr>
        <w:spacing w:before="220" w:line="364" w:lineRule="auto"/>
        <w:ind w:left="2" w:right="64" w:firstLine="422"/>
        <w:rPr>
          <w:rFonts w:ascii="宋体" w:hAnsi="宋体" w:eastAsia="宋体" w:cs="宋体"/>
          <w:color w:val="auto"/>
          <w:spacing w:val="10"/>
          <w:sz w:val="21"/>
          <w:szCs w:val="21"/>
        </w:rPr>
      </w:pPr>
      <w:r>
        <w:rPr>
          <w:rFonts w:ascii="宋体" w:hAnsi="宋体" w:eastAsia="宋体" w:cs="宋体"/>
          <w:color w:val="auto"/>
          <w:spacing w:val="10"/>
          <w:sz w:val="21"/>
          <w:szCs w:val="21"/>
        </w:rPr>
        <w:t>4.3 最后报价是供应商响应文件的有效组成部分。符合《政府采购竞争性磋商采购方式管理暂行办法》（财库〔2014〕214 号）第三条第四项“市场竞争不充分的科研项目，以及需要扶持的科技成果转化项目 ”和本章第 3.7 条情形的，提交最后报价的供应商可以为 2 家。</w:t>
      </w:r>
    </w:p>
    <w:p w14:paraId="0F956956">
      <w:pPr>
        <w:spacing w:before="220" w:line="364" w:lineRule="auto"/>
        <w:ind w:left="2" w:right="64" w:firstLine="422"/>
        <w:rPr>
          <w:rFonts w:ascii="宋体" w:hAnsi="宋体" w:eastAsia="宋体" w:cs="宋体"/>
          <w:color w:val="auto"/>
          <w:spacing w:val="10"/>
          <w:sz w:val="21"/>
          <w:szCs w:val="21"/>
        </w:rPr>
      </w:pPr>
      <w:r>
        <w:rPr>
          <w:rFonts w:ascii="宋体" w:hAnsi="宋体" w:eastAsia="宋体" w:cs="宋体"/>
          <w:color w:val="auto"/>
          <w:spacing w:val="10"/>
          <w:sz w:val="21"/>
          <w:szCs w:val="21"/>
        </w:rPr>
        <w:t>4.4 已经提交响应文件的供应商，在提交最后报价之前，可以根据磋商情况退出磋商，退出磋商的供应商的响应文件按无效响应处理。采购人、采购代理机构将退还退出磋商的供应商的保证金。</w:t>
      </w:r>
    </w:p>
    <w:p w14:paraId="2E2203C6">
      <w:pPr>
        <w:spacing w:before="220" w:line="364" w:lineRule="auto"/>
        <w:ind w:left="2" w:right="64" w:firstLine="422"/>
        <w:rPr>
          <w:rFonts w:ascii="宋体" w:hAnsi="宋体" w:eastAsia="宋体" w:cs="宋体"/>
          <w:color w:val="auto"/>
          <w:spacing w:val="10"/>
          <w:sz w:val="21"/>
          <w:szCs w:val="21"/>
        </w:rPr>
      </w:pPr>
      <w:r>
        <w:rPr>
          <w:rFonts w:ascii="宋体" w:hAnsi="宋体" w:eastAsia="宋体" w:cs="宋体"/>
          <w:color w:val="auto"/>
          <w:spacing w:val="10"/>
          <w:sz w:val="21"/>
          <w:szCs w:val="21"/>
        </w:rPr>
        <w:t>4.5 供应商未在规定时间内提交最后报价的，视同退出磋商，其响应文件按无效处理。</w:t>
      </w:r>
    </w:p>
    <w:p w14:paraId="462D7BA2">
      <w:pPr>
        <w:spacing w:before="220" w:line="364" w:lineRule="auto"/>
        <w:ind w:left="2" w:right="64" w:firstLine="422"/>
        <w:rPr>
          <w:rFonts w:hint="eastAsia" w:ascii="宋体" w:hAnsi="宋体" w:eastAsia="宋体" w:cs="宋体"/>
          <w:color w:val="auto"/>
          <w:spacing w:val="10"/>
          <w:sz w:val="21"/>
          <w:szCs w:val="21"/>
          <w:lang w:eastAsia="zh-CN"/>
        </w:rPr>
      </w:pPr>
      <w:r>
        <w:rPr>
          <w:rFonts w:ascii="宋体" w:hAnsi="宋体" w:eastAsia="宋体" w:cs="宋体"/>
          <w:color w:val="auto"/>
          <w:spacing w:val="10"/>
          <w:sz w:val="21"/>
          <w:szCs w:val="21"/>
        </w:rPr>
        <w:t>4.6 最后报价统一开启后，磋商小组对最后报价进行有效性、完整性和响应程度的审查</w:t>
      </w:r>
      <w:r>
        <w:rPr>
          <w:rFonts w:hint="eastAsia" w:ascii="宋体" w:hAnsi="宋体" w:eastAsia="宋体" w:cs="宋体"/>
          <w:color w:val="auto"/>
          <w:spacing w:val="10"/>
          <w:sz w:val="21"/>
          <w:szCs w:val="21"/>
          <w:lang w:eastAsia="zh-CN"/>
        </w:rPr>
        <w:t>。</w:t>
      </w:r>
    </w:p>
    <w:p w14:paraId="53EB9512">
      <w:pPr>
        <w:spacing w:before="220" w:line="364" w:lineRule="auto"/>
        <w:ind w:left="2" w:right="64" w:firstLine="422"/>
        <w:rPr>
          <w:rFonts w:ascii="宋体" w:hAnsi="宋体" w:eastAsia="宋体" w:cs="宋体"/>
          <w:color w:val="auto"/>
          <w:spacing w:val="10"/>
          <w:sz w:val="21"/>
          <w:szCs w:val="21"/>
        </w:rPr>
      </w:pPr>
      <w:r>
        <w:rPr>
          <w:rFonts w:ascii="宋体" w:hAnsi="宋体" w:eastAsia="宋体" w:cs="宋体"/>
          <w:color w:val="auto"/>
          <w:spacing w:val="10"/>
          <w:sz w:val="21"/>
          <w:szCs w:val="21"/>
        </w:rPr>
        <w:t>4.7 最后报价出现前后不一致的，按照本章第 2.4 条的规定修正。</w:t>
      </w:r>
    </w:p>
    <w:p w14:paraId="4FACF877">
      <w:pPr>
        <w:spacing w:before="220" w:line="364" w:lineRule="auto"/>
        <w:ind w:left="2" w:right="64" w:firstLine="422"/>
        <w:rPr>
          <w:rFonts w:ascii="宋体" w:hAnsi="宋体" w:eastAsia="宋体" w:cs="宋体"/>
          <w:color w:val="auto"/>
          <w:spacing w:val="10"/>
          <w:sz w:val="21"/>
          <w:szCs w:val="21"/>
        </w:rPr>
      </w:pPr>
      <w:r>
        <w:rPr>
          <w:rFonts w:ascii="宋体" w:hAnsi="宋体" w:eastAsia="宋体" w:cs="宋体"/>
          <w:color w:val="auto"/>
          <w:spacing w:val="10"/>
          <w:sz w:val="21"/>
          <w:szCs w:val="21"/>
        </w:rPr>
        <w:t>4.8 修正后的报价出现下列情形的，按无效响应处理：</w:t>
      </w:r>
    </w:p>
    <w:p w14:paraId="3C2EEE89">
      <w:pPr>
        <w:spacing w:before="220" w:line="364" w:lineRule="auto"/>
        <w:ind w:left="2" w:right="64" w:firstLine="422"/>
        <w:rPr>
          <w:rFonts w:ascii="宋体" w:hAnsi="宋体" w:eastAsia="宋体" w:cs="宋体"/>
          <w:color w:val="auto"/>
          <w:spacing w:val="10"/>
          <w:sz w:val="21"/>
          <w:szCs w:val="21"/>
        </w:rPr>
      </w:pPr>
      <w:r>
        <w:rPr>
          <w:rFonts w:ascii="宋体" w:hAnsi="宋体" w:eastAsia="宋体" w:cs="宋体"/>
          <w:color w:val="auto"/>
          <w:spacing w:val="10"/>
          <w:sz w:val="21"/>
          <w:szCs w:val="21"/>
        </w:rPr>
        <w:t>（1）供应商不确认的（全流程电子化评标采取在线确认）；</w:t>
      </w:r>
    </w:p>
    <w:p w14:paraId="67A96F4D">
      <w:pPr>
        <w:spacing w:before="220" w:line="364" w:lineRule="auto"/>
        <w:ind w:left="2" w:right="64" w:firstLine="422"/>
        <w:rPr>
          <w:rFonts w:ascii="宋体" w:hAnsi="宋体" w:eastAsia="宋体" w:cs="宋体"/>
          <w:color w:val="auto"/>
          <w:spacing w:val="10"/>
          <w:sz w:val="21"/>
          <w:szCs w:val="21"/>
        </w:rPr>
      </w:pPr>
      <w:r>
        <w:rPr>
          <w:rFonts w:ascii="宋体" w:hAnsi="宋体" w:eastAsia="宋体" w:cs="宋体"/>
          <w:color w:val="auto"/>
          <w:spacing w:val="10"/>
          <w:sz w:val="21"/>
          <w:szCs w:val="21"/>
        </w:rPr>
        <w:t>（2）经供应商确认修正后的竞标报价（包含首次报价、最后报价）超过所竞标分标规定的采购预算金额或者最高限价的（如本项目公布了最高限价）；</w:t>
      </w:r>
    </w:p>
    <w:p w14:paraId="6C1F27E4">
      <w:pPr>
        <w:spacing w:before="220" w:line="364" w:lineRule="auto"/>
        <w:ind w:left="2" w:right="64" w:firstLine="422"/>
        <w:rPr>
          <w:rFonts w:ascii="宋体" w:hAnsi="宋体" w:eastAsia="宋体" w:cs="宋体"/>
          <w:color w:val="auto"/>
          <w:spacing w:val="10"/>
          <w:sz w:val="21"/>
          <w:szCs w:val="21"/>
        </w:rPr>
      </w:pPr>
      <w:r>
        <w:rPr>
          <w:rFonts w:ascii="宋体" w:hAnsi="宋体" w:eastAsia="宋体" w:cs="宋体"/>
          <w:color w:val="auto"/>
          <w:spacing w:val="10"/>
          <w:sz w:val="21"/>
          <w:szCs w:val="21"/>
        </w:rPr>
        <w:t>（3）经供应商确认修正后的竞标报价（包含首次报价、最后报价）超过分项采购预算金额或者最高限价的（如本项目公布了最高限价）。</w:t>
      </w:r>
    </w:p>
    <w:p w14:paraId="5DA2A387">
      <w:pPr>
        <w:spacing w:before="220" w:line="364" w:lineRule="auto"/>
        <w:ind w:left="2" w:right="64" w:firstLine="422"/>
        <w:rPr>
          <w:rFonts w:ascii="宋体" w:hAnsi="宋体" w:eastAsia="宋体" w:cs="宋体"/>
          <w:color w:val="auto"/>
          <w:spacing w:val="10"/>
          <w:sz w:val="21"/>
          <w:szCs w:val="21"/>
        </w:rPr>
      </w:pPr>
      <w:r>
        <w:rPr>
          <w:rFonts w:ascii="宋体" w:hAnsi="宋体" w:eastAsia="宋体" w:cs="宋体"/>
          <w:color w:val="auto"/>
          <w:spacing w:val="10"/>
          <w:sz w:val="21"/>
          <w:szCs w:val="21"/>
        </w:rPr>
        <w:t>4.9 经供应商确认修正后的最后报价作为评审及签订合同的依据。</w:t>
      </w:r>
    </w:p>
    <w:p w14:paraId="7A1348E5">
      <w:pPr>
        <w:spacing w:before="220" w:line="364" w:lineRule="auto"/>
        <w:ind w:left="2" w:right="64" w:firstLine="422"/>
        <w:rPr>
          <w:rFonts w:ascii="宋体" w:hAnsi="宋体" w:eastAsia="宋体" w:cs="宋体"/>
          <w:color w:val="auto"/>
          <w:spacing w:val="10"/>
          <w:sz w:val="21"/>
          <w:szCs w:val="21"/>
        </w:rPr>
      </w:pPr>
      <w:r>
        <w:rPr>
          <w:rFonts w:ascii="宋体" w:hAnsi="宋体" w:eastAsia="宋体" w:cs="宋体"/>
          <w:color w:val="auto"/>
          <w:spacing w:val="10"/>
          <w:sz w:val="21"/>
          <w:szCs w:val="21"/>
        </w:rPr>
        <w:t>4.10 供应商出现最后报价按无效响应处理或者响应文件按无效处理时，磋商小组应当告知有关供应商。</w:t>
      </w:r>
    </w:p>
    <w:p w14:paraId="456002F2">
      <w:pPr>
        <w:spacing w:before="220" w:line="364" w:lineRule="auto"/>
        <w:ind w:left="2" w:right="64" w:firstLine="422"/>
        <w:rPr>
          <w:rFonts w:ascii="宋体" w:hAnsi="宋体" w:eastAsia="宋体" w:cs="宋体"/>
          <w:color w:val="auto"/>
          <w:spacing w:val="10"/>
          <w:sz w:val="21"/>
          <w:szCs w:val="21"/>
        </w:rPr>
      </w:pPr>
      <w:r>
        <w:rPr>
          <w:rFonts w:ascii="宋体" w:hAnsi="宋体" w:eastAsia="宋体" w:cs="宋体"/>
          <w:color w:val="auto"/>
          <w:spacing w:val="10"/>
          <w:sz w:val="21"/>
          <w:szCs w:val="21"/>
        </w:rPr>
        <w:t>4.11最后报价结束后，磋商小组不得再与供应商进行任何形式的商谈。</w:t>
      </w:r>
    </w:p>
    <w:p w14:paraId="1B7D5F69">
      <w:pPr>
        <w:spacing w:before="207" w:line="222" w:lineRule="auto"/>
        <w:ind w:left="477"/>
        <w:rPr>
          <w:rFonts w:ascii="黑体" w:hAnsi="黑体" w:eastAsia="黑体" w:cs="黑体"/>
          <w:color w:val="auto"/>
          <w:sz w:val="24"/>
          <w:szCs w:val="24"/>
        </w:rPr>
      </w:pPr>
      <w:r>
        <w:rPr>
          <w:rFonts w:ascii="黑体" w:hAnsi="黑体" w:eastAsia="黑体" w:cs="黑体"/>
          <w:b/>
          <w:bCs/>
          <w:color w:val="auto"/>
          <w:spacing w:val="-3"/>
          <w:sz w:val="24"/>
          <w:szCs w:val="24"/>
        </w:rPr>
        <w:t>5.比较与评价</w:t>
      </w:r>
    </w:p>
    <w:p w14:paraId="1A681F45">
      <w:pPr>
        <w:spacing w:before="220" w:line="364" w:lineRule="auto"/>
        <w:ind w:left="2" w:right="64" w:firstLine="422"/>
        <w:rPr>
          <w:rFonts w:ascii="宋体" w:hAnsi="宋体" w:eastAsia="宋体" w:cs="宋体"/>
          <w:color w:val="auto"/>
          <w:spacing w:val="10"/>
          <w:sz w:val="21"/>
          <w:szCs w:val="21"/>
        </w:rPr>
      </w:pPr>
      <w:r>
        <w:rPr>
          <w:rFonts w:ascii="宋体" w:hAnsi="宋体" w:eastAsia="宋体" w:cs="宋体"/>
          <w:color w:val="auto"/>
          <w:spacing w:val="10"/>
          <w:sz w:val="21"/>
          <w:szCs w:val="21"/>
        </w:rPr>
        <w:t>5.1 评审方法：综合评分法。</w:t>
      </w:r>
    </w:p>
    <w:p w14:paraId="4D09347B">
      <w:pPr>
        <w:spacing w:before="220" w:line="364" w:lineRule="auto"/>
        <w:ind w:left="2" w:right="64" w:firstLine="422"/>
        <w:rPr>
          <w:rFonts w:ascii="宋体" w:hAnsi="宋体" w:eastAsia="宋体" w:cs="宋体"/>
          <w:color w:val="auto"/>
          <w:spacing w:val="10"/>
          <w:sz w:val="21"/>
          <w:szCs w:val="21"/>
        </w:rPr>
      </w:pPr>
      <w:r>
        <w:rPr>
          <w:rFonts w:ascii="宋体" w:hAnsi="宋体" w:eastAsia="宋体" w:cs="宋体"/>
          <w:color w:val="auto"/>
          <w:spacing w:val="10"/>
          <w:sz w:val="21"/>
          <w:szCs w:val="21"/>
        </w:rPr>
        <w:t>5.2 经磋商确定最终采购需求和提交最后报价的供应商后，由磋商小组采用综合评分法对提交最后报价的供应商的响应文件和最后报价进行综合评分。</w:t>
      </w:r>
    </w:p>
    <w:p w14:paraId="1C61CB13">
      <w:pPr>
        <w:spacing w:before="220" w:line="364" w:lineRule="auto"/>
        <w:ind w:left="2" w:right="64" w:firstLine="422"/>
        <w:rPr>
          <w:rFonts w:ascii="宋体" w:hAnsi="宋体" w:eastAsia="宋体" w:cs="宋体"/>
          <w:color w:val="auto"/>
          <w:spacing w:val="10"/>
          <w:sz w:val="21"/>
          <w:szCs w:val="21"/>
        </w:rPr>
      </w:pPr>
      <w:r>
        <w:rPr>
          <w:rFonts w:ascii="宋体" w:hAnsi="宋体" w:eastAsia="宋体" w:cs="宋体"/>
          <w:color w:val="auto"/>
          <w:spacing w:val="10"/>
          <w:sz w:val="21"/>
          <w:szCs w:val="21"/>
        </w:rPr>
        <w:t>5.3 评审时，磋商小组各成员应当独立对每个有效响应的文件进行评价、打分，然后汇总每个供应商每项评分因素的得分。</w:t>
      </w:r>
    </w:p>
    <w:p w14:paraId="2E49D02C">
      <w:pPr>
        <w:spacing w:before="220" w:line="364" w:lineRule="auto"/>
        <w:ind w:left="2" w:right="64" w:firstLine="422"/>
        <w:rPr>
          <w:rFonts w:ascii="宋体" w:hAnsi="宋体" w:eastAsia="宋体" w:cs="宋体"/>
          <w:color w:val="auto"/>
          <w:spacing w:val="10"/>
          <w:sz w:val="21"/>
          <w:szCs w:val="21"/>
        </w:rPr>
      </w:pPr>
      <w:r>
        <w:rPr>
          <w:rFonts w:ascii="宋体" w:hAnsi="宋体" w:eastAsia="宋体" w:cs="宋体"/>
          <w:color w:val="auto"/>
          <w:spacing w:val="10"/>
          <w:sz w:val="21"/>
          <w:szCs w:val="21"/>
        </w:rPr>
        <w:t>（1）磋商小组按照磋商文件中规定的评审标准计算各供应商的报价得分。项目评审过程中</w:t>
      </w:r>
      <w:r>
        <w:rPr>
          <w:rFonts w:hint="eastAsia" w:ascii="宋体" w:hAnsi="宋体" w:eastAsia="宋体" w:cs="宋体"/>
          <w:color w:val="auto"/>
          <w:spacing w:val="10"/>
          <w:sz w:val="21"/>
          <w:szCs w:val="21"/>
          <w:lang w:eastAsia="zh-CN"/>
        </w:rPr>
        <w:t>，</w:t>
      </w:r>
      <w:r>
        <w:rPr>
          <w:rFonts w:ascii="宋体" w:hAnsi="宋体" w:eastAsia="宋体" w:cs="宋体"/>
          <w:color w:val="auto"/>
          <w:spacing w:val="10"/>
          <w:sz w:val="21"/>
          <w:szCs w:val="21"/>
        </w:rPr>
        <w:t>不得去掉最后报价中的最高报价和最低报价。</w:t>
      </w:r>
    </w:p>
    <w:p w14:paraId="7BB90228">
      <w:pPr>
        <w:spacing w:before="220" w:line="364" w:lineRule="auto"/>
        <w:ind w:left="2" w:right="64" w:firstLine="422"/>
        <w:rPr>
          <w:rFonts w:ascii="宋体" w:hAnsi="宋体" w:eastAsia="宋体" w:cs="宋体"/>
          <w:color w:val="auto"/>
          <w:spacing w:val="10"/>
          <w:sz w:val="21"/>
          <w:szCs w:val="21"/>
        </w:rPr>
      </w:pPr>
      <w:r>
        <w:rPr>
          <w:rFonts w:ascii="宋体" w:hAnsi="宋体" w:eastAsia="宋体" w:cs="宋体"/>
          <w:color w:val="auto"/>
          <w:spacing w:val="10"/>
          <w:sz w:val="21"/>
          <w:szCs w:val="21"/>
        </w:rPr>
        <w:t>（2）各供应商的得分为磋商小组所有成员的有效评分的算术平均数。</w:t>
      </w:r>
    </w:p>
    <w:p w14:paraId="506C36E8">
      <w:pPr>
        <w:spacing w:before="220" w:line="364" w:lineRule="auto"/>
        <w:ind w:left="2" w:right="64" w:firstLine="422"/>
        <w:rPr>
          <w:rFonts w:ascii="宋体" w:hAnsi="宋体" w:eastAsia="宋体" w:cs="宋体"/>
          <w:color w:val="auto"/>
          <w:spacing w:val="10"/>
          <w:sz w:val="21"/>
          <w:szCs w:val="21"/>
        </w:rPr>
      </w:pPr>
      <w:r>
        <w:rPr>
          <w:rFonts w:ascii="宋体" w:hAnsi="宋体" w:eastAsia="宋体" w:cs="宋体"/>
          <w:color w:val="auto"/>
          <w:spacing w:val="10"/>
          <w:sz w:val="21"/>
          <w:szCs w:val="21"/>
        </w:rPr>
        <w:t>5.4 评审价为供应商的最后报价进行政策性扣除后的价格，评审价只是作为评审时使用</w:t>
      </w:r>
      <w:r>
        <w:rPr>
          <w:rFonts w:hint="eastAsia" w:ascii="宋体" w:hAnsi="宋体" w:eastAsia="宋体" w:cs="宋体"/>
          <w:color w:val="auto"/>
          <w:spacing w:val="10"/>
          <w:sz w:val="21"/>
          <w:szCs w:val="21"/>
          <w:lang w:eastAsia="zh-CN"/>
        </w:rPr>
        <w:t>。</w:t>
      </w:r>
      <w:r>
        <w:rPr>
          <w:rFonts w:ascii="宋体" w:hAnsi="宋体" w:eastAsia="宋体" w:cs="宋体"/>
          <w:color w:val="auto"/>
          <w:spacing w:val="10"/>
          <w:sz w:val="21"/>
          <w:szCs w:val="21"/>
        </w:rPr>
        <w:t>最终成交供应商的成交金额等于最后报价（如有修正， 以确认修正后的最后报价为准）。</w:t>
      </w:r>
    </w:p>
    <w:p w14:paraId="18363868">
      <w:pPr>
        <w:spacing w:before="220" w:line="364" w:lineRule="auto"/>
        <w:ind w:left="2" w:right="64" w:firstLine="422"/>
        <w:rPr>
          <w:rFonts w:ascii="宋体" w:hAnsi="宋体" w:eastAsia="宋体" w:cs="宋体"/>
          <w:color w:val="auto"/>
          <w:spacing w:val="10"/>
          <w:sz w:val="21"/>
          <w:szCs w:val="21"/>
        </w:rPr>
      </w:pPr>
      <w:r>
        <w:rPr>
          <w:rFonts w:ascii="宋体" w:hAnsi="宋体" w:eastAsia="宋体" w:cs="宋体"/>
          <w:color w:val="auto"/>
          <w:spacing w:val="10"/>
          <w:sz w:val="21"/>
          <w:szCs w:val="21"/>
        </w:rPr>
        <w:t>5.5 由磋商小组根据综合评分情况，按照评审得分由高到低顺序推荐 3 名以上成交候选供应商</w:t>
      </w:r>
      <w:r>
        <w:rPr>
          <w:rFonts w:hint="eastAsia" w:ascii="宋体" w:hAnsi="宋体" w:eastAsia="宋体" w:cs="宋体"/>
          <w:color w:val="auto"/>
          <w:spacing w:val="10"/>
          <w:sz w:val="21"/>
          <w:szCs w:val="21"/>
          <w:lang w:eastAsia="zh-CN"/>
        </w:rPr>
        <w:t>，</w:t>
      </w:r>
      <w:r>
        <w:rPr>
          <w:rFonts w:ascii="宋体" w:hAnsi="宋体" w:eastAsia="宋体" w:cs="宋体"/>
          <w:color w:val="auto"/>
          <w:spacing w:val="10"/>
          <w:sz w:val="21"/>
          <w:szCs w:val="21"/>
        </w:rPr>
        <w:t>并编写评审报告。符合本章第4.3 条情形的，可以推荐 2 家成交候选供应商。评审得分相同的，按照最后报价由低到高的顺序推荐。评审得分且最后报价相同的，按照技术指标优劣顺序推荐。</w:t>
      </w:r>
    </w:p>
    <w:p w14:paraId="40541D65">
      <w:pPr>
        <w:spacing w:before="220" w:line="364" w:lineRule="auto"/>
        <w:ind w:left="2" w:right="64" w:firstLine="422"/>
        <w:rPr>
          <w:rFonts w:hint="eastAsia" w:ascii="宋体" w:hAnsi="宋体" w:eastAsia="宋体" w:cs="宋体"/>
          <w:color w:val="auto"/>
          <w:spacing w:val="10"/>
          <w:sz w:val="21"/>
          <w:szCs w:val="21"/>
          <w:lang w:eastAsia="zh-CN"/>
        </w:rPr>
      </w:pPr>
      <w:r>
        <w:rPr>
          <w:rFonts w:ascii="宋体" w:hAnsi="宋体" w:eastAsia="宋体" w:cs="宋体"/>
          <w:color w:val="auto"/>
          <w:spacing w:val="10"/>
          <w:sz w:val="21"/>
          <w:szCs w:val="21"/>
        </w:rPr>
        <w:t>5.6 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hint="eastAsia" w:ascii="宋体" w:hAnsi="宋体" w:eastAsia="宋体" w:cs="宋体"/>
          <w:color w:val="auto"/>
          <w:spacing w:val="10"/>
          <w:sz w:val="21"/>
          <w:szCs w:val="21"/>
          <w:lang w:eastAsia="zh-CN"/>
        </w:rPr>
        <w:t>。</w:t>
      </w:r>
    </w:p>
    <w:p w14:paraId="463FCEC0">
      <w:pPr>
        <w:rPr>
          <w:rFonts w:ascii="宋体" w:hAnsi="宋体" w:eastAsia="宋体" w:cs="宋体"/>
          <w:b/>
          <w:bCs/>
          <w:color w:val="auto"/>
          <w:spacing w:val="4"/>
          <w:sz w:val="31"/>
          <w:szCs w:val="31"/>
        </w:rPr>
      </w:pPr>
      <w:r>
        <w:rPr>
          <w:rFonts w:ascii="宋体" w:hAnsi="宋体" w:eastAsia="宋体" w:cs="宋体"/>
          <w:b/>
          <w:bCs/>
          <w:color w:val="auto"/>
          <w:spacing w:val="4"/>
          <w:sz w:val="31"/>
          <w:szCs w:val="31"/>
        </w:rPr>
        <w:br w:type="page"/>
      </w:r>
    </w:p>
    <w:p w14:paraId="6C11723C">
      <w:pPr>
        <w:spacing w:before="246" w:line="360" w:lineRule="auto"/>
        <w:ind w:left="3788"/>
        <w:outlineLvl w:val="1"/>
        <w:rPr>
          <w:rFonts w:ascii="宋体" w:hAnsi="宋体" w:eastAsia="宋体" w:cs="宋体"/>
          <w:color w:val="auto"/>
          <w:sz w:val="31"/>
          <w:szCs w:val="31"/>
        </w:rPr>
      </w:pPr>
      <w:r>
        <w:rPr>
          <w:rFonts w:ascii="宋体" w:hAnsi="宋体" w:eastAsia="宋体" w:cs="宋体"/>
          <w:b/>
          <w:bCs/>
          <w:color w:val="auto"/>
          <w:spacing w:val="4"/>
          <w:sz w:val="31"/>
          <w:szCs w:val="31"/>
        </w:rPr>
        <w:t>二、评审标准</w:t>
      </w:r>
    </w:p>
    <w:p w14:paraId="516A9B2E">
      <w:pPr>
        <w:spacing w:line="360" w:lineRule="auto"/>
        <w:ind w:left="210" w:leftChars="100"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6</w:t>
      </w:r>
      <w:r>
        <w:rPr>
          <w:rFonts w:hint="eastAsia" w:asciiTheme="minorEastAsia" w:hAnsiTheme="minorEastAsia" w:eastAsiaTheme="minorEastAsia" w:cstheme="minorEastAsia"/>
          <w:color w:val="auto"/>
        </w:rPr>
        <w:t>.评审依据：磋商小组将以磋商响应文件为评审依据，对供应商的报价、技术、商务等方面内容按百分制打分。（计分方法按四舍五入取至百分位）</w:t>
      </w:r>
    </w:p>
    <w:tbl>
      <w:tblPr>
        <w:tblStyle w:val="10"/>
        <w:tblW w:w="94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4"/>
        <w:gridCol w:w="1086"/>
        <w:gridCol w:w="6822"/>
        <w:gridCol w:w="732"/>
      </w:tblGrid>
      <w:tr w14:paraId="1D571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824" w:type="dxa"/>
            <w:vAlign w:val="top"/>
          </w:tcPr>
          <w:p w14:paraId="6ACC6913">
            <w:pPr>
              <w:pStyle w:val="9"/>
              <w:spacing w:before="91" w:line="229" w:lineRule="auto"/>
              <w:ind w:left="204"/>
              <w:rPr>
                <w:color w:val="auto"/>
                <w:sz w:val="21"/>
                <w:szCs w:val="21"/>
              </w:rPr>
            </w:pPr>
            <w:r>
              <w:rPr>
                <w:b/>
                <w:bCs/>
                <w:color w:val="auto"/>
                <w:spacing w:val="4"/>
                <w:sz w:val="21"/>
                <w:szCs w:val="21"/>
              </w:rPr>
              <w:t>序号</w:t>
            </w:r>
          </w:p>
        </w:tc>
        <w:tc>
          <w:tcPr>
            <w:tcW w:w="1086" w:type="dxa"/>
            <w:vAlign w:val="top"/>
          </w:tcPr>
          <w:p w14:paraId="357E15E2">
            <w:pPr>
              <w:pStyle w:val="9"/>
              <w:spacing w:before="90" w:line="228" w:lineRule="auto"/>
              <w:ind w:left="124"/>
              <w:rPr>
                <w:color w:val="auto"/>
                <w:sz w:val="21"/>
                <w:szCs w:val="21"/>
              </w:rPr>
            </w:pPr>
            <w:r>
              <w:rPr>
                <w:b/>
                <w:bCs/>
                <w:color w:val="auto"/>
                <w:spacing w:val="6"/>
                <w:sz w:val="21"/>
                <w:szCs w:val="21"/>
              </w:rPr>
              <w:t>评审因素</w:t>
            </w:r>
          </w:p>
        </w:tc>
        <w:tc>
          <w:tcPr>
            <w:tcW w:w="6822" w:type="dxa"/>
            <w:vAlign w:val="top"/>
          </w:tcPr>
          <w:p w14:paraId="12483F84">
            <w:pPr>
              <w:pStyle w:val="9"/>
              <w:spacing w:before="90" w:line="228" w:lineRule="auto"/>
              <w:ind w:left="2571"/>
              <w:rPr>
                <w:color w:val="auto"/>
                <w:sz w:val="21"/>
                <w:szCs w:val="21"/>
              </w:rPr>
            </w:pPr>
            <w:r>
              <w:rPr>
                <w:b/>
                <w:bCs/>
                <w:color w:val="auto"/>
                <w:spacing w:val="7"/>
                <w:sz w:val="21"/>
                <w:szCs w:val="21"/>
              </w:rPr>
              <w:t>评审因素具体内容</w:t>
            </w:r>
          </w:p>
        </w:tc>
        <w:tc>
          <w:tcPr>
            <w:tcW w:w="732" w:type="dxa"/>
            <w:vAlign w:val="top"/>
          </w:tcPr>
          <w:p w14:paraId="1EFE78DE">
            <w:pPr>
              <w:pStyle w:val="9"/>
              <w:spacing w:before="90" w:line="228" w:lineRule="auto"/>
              <w:ind w:left="164"/>
              <w:rPr>
                <w:color w:val="auto"/>
                <w:sz w:val="21"/>
                <w:szCs w:val="21"/>
              </w:rPr>
            </w:pPr>
            <w:r>
              <w:rPr>
                <w:b/>
                <w:bCs/>
                <w:color w:val="auto"/>
                <w:spacing w:val="2"/>
                <w:sz w:val="21"/>
                <w:szCs w:val="21"/>
              </w:rPr>
              <w:t>分值</w:t>
            </w:r>
          </w:p>
        </w:tc>
      </w:tr>
      <w:tr w14:paraId="278AB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6" w:hRule="atLeast"/>
        </w:trPr>
        <w:tc>
          <w:tcPr>
            <w:tcW w:w="824" w:type="dxa"/>
            <w:vAlign w:val="center"/>
          </w:tcPr>
          <w:p w14:paraId="55E01CD1">
            <w:pPr>
              <w:pStyle w:val="9"/>
              <w:spacing w:before="65" w:line="270" w:lineRule="exact"/>
              <w:ind w:left="379"/>
              <w:jc w:val="both"/>
              <w:rPr>
                <w:color w:val="auto"/>
                <w:sz w:val="21"/>
                <w:szCs w:val="21"/>
              </w:rPr>
            </w:pPr>
            <w:r>
              <w:rPr>
                <w:b/>
                <w:bCs/>
                <w:color w:val="auto"/>
                <w:spacing w:val="-3"/>
                <w:position w:val="1"/>
                <w:sz w:val="21"/>
                <w:szCs w:val="21"/>
              </w:rPr>
              <w:t>1</w:t>
            </w:r>
          </w:p>
        </w:tc>
        <w:tc>
          <w:tcPr>
            <w:tcW w:w="1086" w:type="dxa"/>
            <w:vAlign w:val="center"/>
          </w:tcPr>
          <w:p w14:paraId="39D01664">
            <w:pPr>
              <w:pStyle w:val="9"/>
              <w:spacing w:before="65" w:line="226" w:lineRule="auto"/>
              <w:ind w:left="232"/>
              <w:jc w:val="both"/>
              <w:rPr>
                <w:rFonts w:hint="eastAsia" w:eastAsia="宋体"/>
                <w:color w:val="auto"/>
                <w:sz w:val="21"/>
                <w:szCs w:val="21"/>
                <w:lang w:eastAsia="zh-CN"/>
              </w:rPr>
            </w:pPr>
            <w:r>
              <w:rPr>
                <w:b/>
                <w:bCs/>
                <w:color w:val="auto"/>
                <w:spacing w:val="5"/>
                <w:sz w:val="21"/>
                <w:szCs w:val="21"/>
              </w:rPr>
              <w:t>价格分</w:t>
            </w:r>
            <w:r>
              <w:rPr>
                <w:rFonts w:hint="eastAsia" w:ascii="宋体" w:hAnsi="宋体" w:eastAsia="宋体" w:cs="宋体"/>
                <w:b/>
                <w:bCs/>
                <w:color w:val="auto"/>
                <w:szCs w:val="21"/>
                <w:lang w:bidi="ar"/>
              </w:rPr>
              <w:t>（满分</w:t>
            </w:r>
            <w:r>
              <w:rPr>
                <w:rFonts w:hint="eastAsia" w:cs="宋体"/>
                <w:b/>
                <w:bCs/>
                <w:color w:val="auto"/>
                <w:szCs w:val="21"/>
                <w:lang w:val="en-US" w:eastAsia="zh-CN" w:bidi="ar"/>
              </w:rPr>
              <w:t>25</w:t>
            </w:r>
            <w:r>
              <w:rPr>
                <w:rFonts w:hint="eastAsia" w:ascii="宋体" w:hAnsi="宋体" w:eastAsia="宋体" w:cs="宋体"/>
                <w:b/>
                <w:bCs/>
                <w:color w:val="auto"/>
                <w:szCs w:val="21"/>
                <w:lang w:bidi="ar"/>
              </w:rPr>
              <w:t>分）</w:t>
            </w:r>
          </w:p>
        </w:tc>
        <w:tc>
          <w:tcPr>
            <w:tcW w:w="6822" w:type="dxa"/>
            <w:vAlign w:val="top"/>
          </w:tcPr>
          <w:p w14:paraId="32223E3E">
            <w:pPr>
              <w:spacing w:line="360" w:lineRule="auto"/>
              <w:ind w:left="210" w:leftChars="100"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（1）本项目为预留30%专门面向中小企业采购，不执行政策价格扣除，评审价=投标报价。</w:t>
            </w:r>
          </w:p>
          <w:p w14:paraId="0A9FAA01">
            <w:pPr>
              <w:spacing w:line="360" w:lineRule="auto"/>
              <w:ind w:left="210" w:leftChars="100"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（2）满足招标文件要求且评标报价最低的评标报价为评标基准价，其价格分为满分。 </w:t>
            </w:r>
          </w:p>
          <w:p w14:paraId="5BD47B56">
            <w:pPr>
              <w:spacing w:line="360" w:lineRule="auto"/>
              <w:ind w:left="210" w:leftChars="100"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lang w:val="en-US" w:eastAsia="zh-CN"/>
              </w:rPr>
              <w:t>3</w:t>
            </w:r>
            <w:r>
              <w:rPr>
                <w:rFonts w:hint="eastAsia" w:asciiTheme="minorEastAsia" w:hAnsiTheme="minorEastAsia" w:eastAsiaTheme="minorEastAsia" w:cstheme="minorEastAsia"/>
                <w:color w:val="auto"/>
              </w:rPr>
              <w:t>）价格分计算公式：</w:t>
            </w:r>
          </w:p>
          <w:p w14:paraId="094971A3">
            <w:pPr>
              <w:spacing w:line="360" w:lineRule="auto"/>
              <w:ind w:left="210" w:leftChars="100" w:firstLine="420" w:firstLineChars="200"/>
              <w:rPr>
                <w:color w:val="auto"/>
                <w:sz w:val="21"/>
                <w:szCs w:val="21"/>
              </w:rPr>
            </w:pPr>
            <w:r>
              <w:rPr>
                <w:rFonts w:hint="eastAsia" w:asciiTheme="minorEastAsia" w:hAnsiTheme="minorEastAsia" w:eastAsiaTheme="minorEastAsia" w:cstheme="minorEastAsia"/>
                <w:color w:val="auto"/>
              </w:rPr>
              <w:t>价格分=</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评标基准价／</w:t>
            </w:r>
            <w:r>
              <w:rPr>
                <w:rFonts w:hint="eastAsia" w:asciiTheme="minorEastAsia" w:hAnsiTheme="minorEastAsia" w:eastAsiaTheme="minorEastAsia" w:cstheme="minorEastAsia"/>
                <w:color w:val="auto"/>
                <w:lang w:val="en-US" w:eastAsia="zh-CN"/>
              </w:rPr>
              <w:t>评审价</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lang w:val="en-US" w:eastAsia="zh-CN"/>
              </w:rPr>
              <w:t>25</w:t>
            </w:r>
            <w:r>
              <w:rPr>
                <w:rFonts w:hint="eastAsia" w:asciiTheme="minorEastAsia" w:hAnsiTheme="minorEastAsia" w:eastAsiaTheme="minorEastAsia" w:cstheme="minorEastAsia"/>
                <w:color w:val="auto"/>
              </w:rPr>
              <w:t>分</w:t>
            </w:r>
          </w:p>
        </w:tc>
        <w:tc>
          <w:tcPr>
            <w:tcW w:w="732" w:type="dxa"/>
            <w:vAlign w:val="center"/>
          </w:tcPr>
          <w:p w14:paraId="4290BC48">
            <w:pPr>
              <w:pStyle w:val="9"/>
              <w:spacing w:before="65" w:line="228" w:lineRule="auto"/>
              <w:ind w:left="150"/>
              <w:jc w:val="both"/>
              <w:rPr>
                <w:color w:val="auto"/>
                <w:sz w:val="21"/>
                <w:szCs w:val="21"/>
              </w:rPr>
            </w:pPr>
            <w:r>
              <w:rPr>
                <w:rFonts w:hint="eastAsia"/>
                <w:color w:val="auto"/>
                <w:spacing w:val="-5"/>
                <w:sz w:val="21"/>
                <w:szCs w:val="21"/>
                <w:lang w:val="en-US" w:eastAsia="zh-CN"/>
              </w:rPr>
              <w:t>25</w:t>
            </w:r>
            <w:r>
              <w:rPr>
                <w:color w:val="auto"/>
                <w:spacing w:val="-5"/>
                <w:sz w:val="21"/>
                <w:szCs w:val="21"/>
              </w:rPr>
              <w:t>分</w:t>
            </w:r>
          </w:p>
        </w:tc>
      </w:tr>
      <w:tr w14:paraId="2F9CF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824" w:type="dxa"/>
            <w:vAlign w:val="top"/>
          </w:tcPr>
          <w:p w14:paraId="7436620B">
            <w:pPr>
              <w:spacing w:line="257" w:lineRule="auto"/>
              <w:rPr>
                <w:rFonts w:ascii="Arial"/>
                <w:color w:val="auto"/>
                <w:sz w:val="21"/>
                <w:szCs w:val="21"/>
              </w:rPr>
            </w:pPr>
          </w:p>
          <w:p w14:paraId="0980F887">
            <w:pPr>
              <w:spacing w:line="257" w:lineRule="auto"/>
              <w:rPr>
                <w:rFonts w:ascii="Arial"/>
                <w:color w:val="auto"/>
                <w:sz w:val="21"/>
                <w:szCs w:val="21"/>
              </w:rPr>
            </w:pPr>
          </w:p>
          <w:p w14:paraId="5A22C121">
            <w:pPr>
              <w:spacing w:line="257" w:lineRule="auto"/>
              <w:rPr>
                <w:rFonts w:ascii="Arial"/>
                <w:color w:val="auto"/>
                <w:sz w:val="21"/>
                <w:szCs w:val="21"/>
              </w:rPr>
            </w:pPr>
          </w:p>
          <w:p w14:paraId="6F814B73">
            <w:pPr>
              <w:spacing w:line="257" w:lineRule="auto"/>
              <w:rPr>
                <w:rFonts w:ascii="Arial"/>
                <w:color w:val="auto"/>
                <w:sz w:val="21"/>
                <w:szCs w:val="21"/>
              </w:rPr>
            </w:pPr>
          </w:p>
          <w:p w14:paraId="77D9B482">
            <w:pPr>
              <w:spacing w:line="257" w:lineRule="auto"/>
              <w:rPr>
                <w:rFonts w:ascii="Arial"/>
                <w:color w:val="auto"/>
                <w:sz w:val="21"/>
                <w:szCs w:val="21"/>
              </w:rPr>
            </w:pPr>
          </w:p>
          <w:p w14:paraId="0E7FD0A7">
            <w:pPr>
              <w:spacing w:line="257" w:lineRule="auto"/>
              <w:rPr>
                <w:rFonts w:ascii="Arial"/>
                <w:color w:val="auto"/>
                <w:sz w:val="21"/>
                <w:szCs w:val="21"/>
              </w:rPr>
            </w:pPr>
          </w:p>
          <w:p w14:paraId="15E63A5E">
            <w:pPr>
              <w:spacing w:line="257" w:lineRule="auto"/>
              <w:rPr>
                <w:rFonts w:ascii="Arial"/>
                <w:color w:val="auto"/>
                <w:sz w:val="21"/>
                <w:szCs w:val="21"/>
              </w:rPr>
            </w:pPr>
          </w:p>
          <w:p w14:paraId="6B7279ED">
            <w:pPr>
              <w:spacing w:line="257" w:lineRule="auto"/>
              <w:rPr>
                <w:rFonts w:ascii="Arial"/>
                <w:color w:val="auto"/>
                <w:sz w:val="21"/>
                <w:szCs w:val="21"/>
              </w:rPr>
            </w:pPr>
          </w:p>
          <w:p w14:paraId="61D0946D">
            <w:pPr>
              <w:spacing w:line="257" w:lineRule="auto"/>
              <w:rPr>
                <w:rFonts w:ascii="Arial"/>
                <w:color w:val="auto"/>
                <w:sz w:val="21"/>
                <w:szCs w:val="21"/>
              </w:rPr>
            </w:pPr>
          </w:p>
          <w:p w14:paraId="426351AD">
            <w:pPr>
              <w:spacing w:line="257" w:lineRule="auto"/>
              <w:rPr>
                <w:rFonts w:ascii="Arial"/>
                <w:color w:val="auto"/>
                <w:sz w:val="21"/>
                <w:szCs w:val="21"/>
              </w:rPr>
            </w:pPr>
          </w:p>
          <w:p w14:paraId="2FC7C750">
            <w:pPr>
              <w:spacing w:line="257" w:lineRule="auto"/>
              <w:rPr>
                <w:rFonts w:ascii="Arial"/>
                <w:color w:val="auto"/>
                <w:sz w:val="21"/>
                <w:szCs w:val="21"/>
              </w:rPr>
            </w:pPr>
          </w:p>
          <w:p w14:paraId="7F369FF1">
            <w:pPr>
              <w:spacing w:line="257" w:lineRule="auto"/>
              <w:rPr>
                <w:rFonts w:ascii="Arial"/>
                <w:color w:val="auto"/>
                <w:sz w:val="21"/>
                <w:szCs w:val="21"/>
              </w:rPr>
            </w:pPr>
          </w:p>
          <w:p w14:paraId="1805CDBB">
            <w:pPr>
              <w:spacing w:line="258" w:lineRule="auto"/>
              <w:rPr>
                <w:rFonts w:ascii="Arial"/>
                <w:color w:val="auto"/>
                <w:sz w:val="21"/>
                <w:szCs w:val="21"/>
              </w:rPr>
            </w:pPr>
          </w:p>
          <w:p w14:paraId="319889CB">
            <w:pPr>
              <w:spacing w:line="258" w:lineRule="auto"/>
              <w:rPr>
                <w:rFonts w:ascii="Arial"/>
                <w:color w:val="auto"/>
                <w:sz w:val="21"/>
                <w:szCs w:val="21"/>
              </w:rPr>
            </w:pPr>
          </w:p>
          <w:p w14:paraId="438807FC">
            <w:pPr>
              <w:spacing w:line="258" w:lineRule="auto"/>
              <w:rPr>
                <w:rFonts w:ascii="Arial"/>
                <w:color w:val="auto"/>
                <w:sz w:val="21"/>
                <w:szCs w:val="21"/>
              </w:rPr>
            </w:pPr>
          </w:p>
          <w:p w14:paraId="623021DA">
            <w:pPr>
              <w:spacing w:line="258" w:lineRule="auto"/>
              <w:rPr>
                <w:rFonts w:ascii="Arial"/>
                <w:color w:val="auto"/>
                <w:sz w:val="21"/>
                <w:szCs w:val="21"/>
              </w:rPr>
            </w:pPr>
          </w:p>
          <w:p w14:paraId="73C2F664">
            <w:pPr>
              <w:spacing w:line="258" w:lineRule="auto"/>
              <w:rPr>
                <w:rFonts w:ascii="Arial"/>
                <w:color w:val="auto"/>
                <w:sz w:val="21"/>
                <w:szCs w:val="21"/>
              </w:rPr>
            </w:pPr>
          </w:p>
          <w:p w14:paraId="639176EF">
            <w:pPr>
              <w:pStyle w:val="9"/>
              <w:spacing w:before="65" w:line="270" w:lineRule="exact"/>
              <w:ind w:left="366"/>
              <w:rPr>
                <w:color w:val="auto"/>
                <w:sz w:val="21"/>
                <w:szCs w:val="21"/>
              </w:rPr>
            </w:pPr>
            <w:r>
              <w:rPr>
                <w:b/>
                <w:bCs/>
                <w:color w:val="auto"/>
                <w:spacing w:val="-3"/>
                <w:position w:val="1"/>
                <w:sz w:val="21"/>
                <w:szCs w:val="21"/>
              </w:rPr>
              <w:t>2</w:t>
            </w:r>
          </w:p>
        </w:tc>
        <w:tc>
          <w:tcPr>
            <w:tcW w:w="1086" w:type="dxa"/>
            <w:vAlign w:val="center"/>
          </w:tcPr>
          <w:p w14:paraId="7C2B9C6B">
            <w:pPr>
              <w:widowControl/>
              <w:spacing w:line="380" w:lineRule="exact"/>
              <w:jc w:val="center"/>
              <w:textAlignment w:val="center"/>
              <w:rPr>
                <w:rFonts w:hint="eastAsia" w:eastAsia="宋体"/>
                <w:color w:val="auto"/>
                <w:sz w:val="21"/>
                <w:szCs w:val="21"/>
                <w:lang w:eastAsia="zh-CN"/>
              </w:rPr>
            </w:pPr>
            <w:r>
              <w:rPr>
                <w:rFonts w:hint="eastAsia" w:ascii="宋体" w:hAnsi="宋体" w:cs="宋体"/>
                <w:b/>
                <w:bCs/>
                <w:color w:val="auto"/>
                <w:kern w:val="0"/>
                <w:sz w:val="21"/>
                <w:szCs w:val="21"/>
                <w:lang w:bidi="ar"/>
              </w:rPr>
              <w:t>技术分</w:t>
            </w:r>
            <w:r>
              <w:rPr>
                <w:rFonts w:hint="eastAsia" w:ascii="宋体" w:hAnsi="宋体" w:eastAsia="宋体" w:cs="宋体"/>
                <w:b/>
                <w:bCs/>
                <w:color w:val="auto"/>
                <w:szCs w:val="21"/>
                <w:lang w:bidi="ar"/>
              </w:rPr>
              <w:t>（满分</w:t>
            </w:r>
            <w:r>
              <w:rPr>
                <w:rFonts w:hint="eastAsia" w:ascii="宋体" w:hAnsi="宋体" w:eastAsia="宋体" w:cs="宋体"/>
                <w:b/>
                <w:bCs/>
                <w:color w:val="auto"/>
                <w:szCs w:val="21"/>
                <w:lang w:val="en-US" w:eastAsia="zh-CN" w:bidi="ar"/>
              </w:rPr>
              <w:t>63</w:t>
            </w:r>
            <w:r>
              <w:rPr>
                <w:rFonts w:hint="eastAsia" w:ascii="宋体" w:hAnsi="宋体" w:eastAsia="宋体" w:cs="宋体"/>
                <w:b/>
                <w:bCs/>
                <w:color w:val="auto"/>
                <w:szCs w:val="21"/>
                <w:lang w:bidi="ar"/>
              </w:rPr>
              <w:t>分）</w:t>
            </w:r>
          </w:p>
        </w:tc>
        <w:tc>
          <w:tcPr>
            <w:tcW w:w="6822" w:type="dxa"/>
            <w:vAlign w:val="top"/>
          </w:tcPr>
          <w:p w14:paraId="11AE19B5">
            <w:pPr>
              <w:spacing w:line="360" w:lineRule="exact"/>
              <w:rPr>
                <w:rFonts w:ascii="宋体" w:hAnsi="宋体" w:cs="宋体"/>
                <w:b/>
                <w:bCs/>
                <w:color w:val="auto"/>
                <w:sz w:val="21"/>
                <w:szCs w:val="21"/>
              </w:rPr>
            </w:pPr>
            <w:r>
              <w:rPr>
                <w:rFonts w:hint="eastAsia" w:ascii="宋体" w:hAnsi="宋体" w:cs="宋体"/>
                <w:b/>
                <w:bCs/>
                <w:color w:val="auto"/>
                <w:sz w:val="21"/>
                <w:szCs w:val="21"/>
              </w:rPr>
              <w:t>（一）项目实施方案（20分）</w:t>
            </w:r>
          </w:p>
          <w:p w14:paraId="1888580E">
            <w:pPr>
              <w:spacing w:before="220" w:line="381" w:lineRule="auto"/>
              <w:ind w:left="37" w:right="29" w:firstLine="424"/>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一档（</w:t>
            </w:r>
            <w:r>
              <w:rPr>
                <w:rFonts w:hint="eastAsia" w:ascii="宋体" w:hAnsi="宋体" w:eastAsia="宋体" w:cs="宋体"/>
                <w:color w:val="auto"/>
                <w:spacing w:val="10"/>
                <w:sz w:val="21"/>
                <w:szCs w:val="21"/>
                <w:lang w:val="en-US" w:eastAsia="zh-CN"/>
              </w:rPr>
              <w:t>14</w:t>
            </w:r>
            <w:r>
              <w:rPr>
                <w:rFonts w:hint="eastAsia" w:ascii="宋体" w:hAnsi="宋体" w:eastAsia="宋体" w:cs="宋体"/>
                <w:color w:val="auto"/>
                <w:spacing w:val="10"/>
                <w:sz w:val="21"/>
                <w:szCs w:val="21"/>
              </w:rPr>
              <w:t>分）：基本能够理解本项目的建设背景、目标、范围；制定的技术路线基本明确；基本满足国家规范和用户要求。</w:t>
            </w:r>
          </w:p>
          <w:p w14:paraId="6EB0FE84">
            <w:pPr>
              <w:spacing w:before="220" w:line="381" w:lineRule="auto"/>
              <w:ind w:left="37" w:right="29" w:firstLine="424"/>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二档（</w:t>
            </w:r>
            <w:r>
              <w:rPr>
                <w:rFonts w:hint="eastAsia" w:ascii="宋体" w:hAnsi="宋体" w:eastAsia="宋体" w:cs="宋体"/>
                <w:color w:val="auto"/>
                <w:spacing w:val="10"/>
                <w:sz w:val="21"/>
                <w:szCs w:val="21"/>
                <w:lang w:val="en-US" w:eastAsia="zh-CN"/>
              </w:rPr>
              <w:t>17</w:t>
            </w:r>
            <w:r>
              <w:rPr>
                <w:rFonts w:hint="eastAsia" w:ascii="宋体" w:hAnsi="宋体" w:eastAsia="宋体" w:cs="宋体"/>
                <w:color w:val="auto"/>
                <w:spacing w:val="10"/>
                <w:sz w:val="21"/>
                <w:szCs w:val="21"/>
              </w:rPr>
              <w:t>分）：较准确理解本项目的建设背景、目标、范围；制定的技术路线符合项目要求、制定的项目管理方案比较合理，明确管理要求和流程；满足国家规范和用户要求；方案可行。</w:t>
            </w:r>
          </w:p>
          <w:p w14:paraId="348F795B">
            <w:pPr>
              <w:spacing w:before="220" w:line="381" w:lineRule="auto"/>
              <w:ind w:left="37" w:right="29" w:firstLine="424"/>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三档（20分）：准确理解本项目的建设背景、目标、范围；</w:t>
            </w:r>
            <w:r>
              <w:rPr>
                <w:rFonts w:hint="eastAsia" w:ascii="宋体" w:hAnsi="宋体" w:eastAsia="宋体" w:cs="宋体"/>
                <w:color w:val="auto"/>
                <w:spacing w:val="10"/>
                <w:sz w:val="21"/>
                <w:szCs w:val="21"/>
                <w:lang w:val="en-US" w:eastAsia="zh-CN"/>
              </w:rPr>
              <w:t xml:space="preserve"> </w:t>
            </w:r>
            <w:r>
              <w:rPr>
                <w:rFonts w:hint="eastAsia" w:ascii="宋体" w:hAnsi="宋体" w:eastAsia="宋体" w:cs="宋体"/>
                <w:color w:val="auto"/>
                <w:spacing w:val="10"/>
                <w:sz w:val="21"/>
                <w:szCs w:val="21"/>
              </w:rPr>
              <w:t>能够把握本项目的技术重点、难点；能够深入理解项目要求，制定的技术路线明确具体，可操作性强，满足项目要求；制定详细工作流程，采用新技术新方法；制定的项目管理方案非常合理，有详细的管理要求、流程和进度管理措施；完全满足国家规范和用户要求。</w:t>
            </w:r>
          </w:p>
          <w:p w14:paraId="09176F41">
            <w:pPr>
              <w:pStyle w:val="3"/>
              <w:spacing w:line="360" w:lineRule="exact"/>
              <w:ind w:firstLine="420" w:firstLineChars="200"/>
              <w:rPr>
                <w:rFonts w:hAnsi="宋体" w:cs="宋体"/>
                <w:b/>
                <w:color w:val="auto"/>
                <w:kern w:val="2"/>
                <w:sz w:val="21"/>
                <w:szCs w:val="21"/>
              </w:rPr>
            </w:pPr>
            <w:r>
              <w:rPr>
                <w:rFonts w:hint="eastAsia" w:hAnsi="宋体" w:cs="宋体"/>
                <w:b/>
                <w:color w:val="auto"/>
                <w:kern w:val="2"/>
                <w:sz w:val="21"/>
                <w:szCs w:val="21"/>
              </w:rPr>
              <w:t>注：不满足该项评分要求描述或不提供的不得分。</w:t>
            </w:r>
          </w:p>
          <w:p w14:paraId="0F8FA35C">
            <w:pPr>
              <w:spacing w:line="360" w:lineRule="exact"/>
              <w:rPr>
                <w:rFonts w:ascii="宋体" w:hAnsi="宋体" w:cs="宋体"/>
                <w:b/>
                <w:bCs/>
                <w:color w:val="auto"/>
                <w:sz w:val="21"/>
                <w:szCs w:val="21"/>
              </w:rPr>
            </w:pPr>
            <w:r>
              <w:rPr>
                <w:rFonts w:hint="eastAsia" w:ascii="宋体" w:hAnsi="宋体" w:cs="宋体"/>
                <w:b/>
                <w:bCs/>
                <w:color w:val="auto"/>
                <w:sz w:val="21"/>
                <w:szCs w:val="21"/>
              </w:rPr>
              <w:t>（二）质量控制方案（</w:t>
            </w:r>
            <w:r>
              <w:rPr>
                <w:rFonts w:hint="eastAsia" w:ascii="宋体" w:hAnsi="宋体" w:eastAsia="宋体" w:cs="宋体"/>
                <w:b/>
                <w:bCs/>
                <w:color w:val="auto"/>
                <w:sz w:val="21"/>
                <w:szCs w:val="21"/>
                <w:lang w:val="en-US" w:eastAsia="zh-CN"/>
              </w:rPr>
              <w:t>15</w:t>
            </w:r>
            <w:r>
              <w:rPr>
                <w:rFonts w:hint="eastAsia" w:ascii="宋体" w:hAnsi="宋体" w:cs="宋体"/>
                <w:b/>
                <w:bCs/>
                <w:color w:val="auto"/>
                <w:sz w:val="21"/>
                <w:szCs w:val="21"/>
              </w:rPr>
              <w:t>分）</w:t>
            </w:r>
          </w:p>
          <w:p w14:paraId="34EFECE2">
            <w:pPr>
              <w:spacing w:before="220" w:line="381" w:lineRule="auto"/>
              <w:ind w:left="37" w:right="29" w:firstLine="424"/>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一档（</w:t>
            </w:r>
            <w:r>
              <w:rPr>
                <w:rFonts w:hint="eastAsia" w:ascii="宋体" w:hAnsi="宋体" w:eastAsia="宋体" w:cs="宋体"/>
                <w:color w:val="auto"/>
                <w:spacing w:val="10"/>
                <w:sz w:val="21"/>
                <w:szCs w:val="21"/>
                <w:lang w:val="en-US" w:eastAsia="zh-CN"/>
              </w:rPr>
              <w:t>11</w:t>
            </w:r>
            <w:r>
              <w:rPr>
                <w:rFonts w:hint="eastAsia" w:ascii="宋体" w:hAnsi="宋体" w:eastAsia="宋体" w:cs="宋体"/>
                <w:color w:val="auto"/>
                <w:spacing w:val="10"/>
                <w:sz w:val="21"/>
                <w:szCs w:val="21"/>
              </w:rPr>
              <w:t>分）：</w:t>
            </w:r>
            <w:r>
              <w:rPr>
                <w:rFonts w:hint="eastAsia" w:ascii="宋体" w:hAnsi="宋体" w:eastAsia="宋体" w:cs="宋体"/>
                <w:color w:val="auto"/>
                <w:spacing w:val="10"/>
                <w:sz w:val="21"/>
                <w:szCs w:val="21"/>
                <w:lang w:val="en-US" w:eastAsia="zh-CN"/>
              </w:rPr>
              <w:t xml:space="preserve">  供应商</w:t>
            </w:r>
            <w:r>
              <w:rPr>
                <w:rFonts w:hint="eastAsia" w:ascii="宋体" w:hAnsi="宋体" w:eastAsia="宋体" w:cs="宋体"/>
                <w:color w:val="auto"/>
                <w:spacing w:val="10"/>
                <w:sz w:val="21"/>
                <w:szCs w:val="21"/>
              </w:rPr>
              <w:t>要提供符合项目的质量控制保障措施方案，方案内容基本满足本项目的质量控制要求。</w:t>
            </w:r>
          </w:p>
          <w:p w14:paraId="4B1C6E46">
            <w:pPr>
              <w:spacing w:before="220" w:line="381" w:lineRule="auto"/>
              <w:ind w:left="37" w:right="29" w:firstLine="424"/>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二档（</w:t>
            </w:r>
            <w:r>
              <w:rPr>
                <w:rFonts w:hint="eastAsia" w:ascii="宋体" w:hAnsi="宋体" w:eastAsia="宋体" w:cs="宋体"/>
                <w:color w:val="auto"/>
                <w:spacing w:val="10"/>
                <w:sz w:val="21"/>
                <w:szCs w:val="21"/>
                <w:lang w:val="en-US" w:eastAsia="zh-CN"/>
              </w:rPr>
              <w:t>13</w:t>
            </w:r>
            <w:r>
              <w:rPr>
                <w:rFonts w:hint="eastAsia" w:ascii="宋体" w:hAnsi="宋体" w:eastAsia="宋体" w:cs="宋体"/>
                <w:color w:val="auto"/>
                <w:spacing w:val="10"/>
                <w:sz w:val="21"/>
                <w:szCs w:val="21"/>
              </w:rPr>
              <w:t>分）：满足第一档要求，质量控制保障方案对各项服务内容有详细的质量控制内容、方法、实施等内容，具有操作性。</w:t>
            </w:r>
          </w:p>
          <w:p w14:paraId="1B8B68C9">
            <w:pPr>
              <w:spacing w:before="220" w:line="381" w:lineRule="auto"/>
              <w:ind w:left="37" w:right="29" w:firstLine="424"/>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三档（</w:t>
            </w:r>
            <w:r>
              <w:rPr>
                <w:rFonts w:hint="eastAsia" w:ascii="宋体" w:hAnsi="宋体" w:eastAsia="宋体" w:cs="宋体"/>
                <w:color w:val="auto"/>
                <w:spacing w:val="10"/>
                <w:sz w:val="21"/>
                <w:szCs w:val="21"/>
                <w:lang w:val="en-US" w:eastAsia="zh-CN"/>
              </w:rPr>
              <w:t>15</w:t>
            </w:r>
            <w:r>
              <w:rPr>
                <w:rFonts w:hint="eastAsia" w:ascii="宋体" w:hAnsi="宋体" w:eastAsia="宋体" w:cs="宋体"/>
                <w:color w:val="auto"/>
                <w:spacing w:val="10"/>
                <w:sz w:val="21"/>
                <w:szCs w:val="21"/>
              </w:rPr>
              <w:t>分）：满足第二档要求，质量控制保障方案能针对各项服务内容编制具有详细质量保障措施，内容详细，且可操作性强。</w:t>
            </w:r>
          </w:p>
          <w:p w14:paraId="04F172AA">
            <w:pPr>
              <w:spacing w:line="360" w:lineRule="exact"/>
              <w:ind w:firstLine="420" w:firstLineChars="200"/>
              <w:rPr>
                <w:rFonts w:ascii="宋体" w:hAnsi="宋体" w:cs="宋体"/>
                <w:b/>
                <w:color w:val="auto"/>
                <w:sz w:val="21"/>
                <w:szCs w:val="21"/>
              </w:rPr>
            </w:pPr>
            <w:r>
              <w:rPr>
                <w:rFonts w:hint="eastAsia" w:ascii="宋体" w:hAnsi="宋体" w:cs="宋体"/>
                <w:b/>
                <w:color w:val="auto"/>
                <w:sz w:val="21"/>
                <w:szCs w:val="21"/>
              </w:rPr>
              <w:t>注：不满足该项评分要求描述或不提供的不得分。</w:t>
            </w:r>
          </w:p>
          <w:p w14:paraId="6A114AA4">
            <w:pPr>
              <w:spacing w:line="360" w:lineRule="exact"/>
              <w:rPr>
                <w:rFonts w:ascii="宋体" w:hAnsi="宋体" w:cs="宋体"/>
                <w:b/>
                <w:bCs/>
                <w:color w:val="auto"/>
                <w:sz w:val="21"/>
                <w:szCs w:val="21"/>
              </w:rPr>
            </w:pPr>
            <w:r>
              <w:rPr>
                <w:rFonts w:hint="eastAsia" w:ascii="宋体" w:hAnsi="宋体" w:cs="宋体"/>
                <w:b/>
                <w:bCs/>
                <w:color w:val="auto"/>
                <w:sz w:val="21"/>
                <w:szCs w:val="21"/>
              </w:rPr>
              <w:t>（三）进度控制措施方案（10分）</w:t>
            </w:r>
          </w:p>
          <w:p w14:paraId="731EF7B8">
            <w:pPr>
              <w:spacing w:before="220" w:line="381" w:lineRule="auto"/>
              <w:ind w:left="37" w:right="29" w:firstLine="424"/>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一档（6分）：供应商提供有符合项目实施期限要求的工作时间计划安排，对于工作内容（包括配合开展首件产品质量核查、数据质量检验、质量复核等）进行简单的进度量化。</w:t>
            </w:r>
          </w:p>
          <w:p w14:paraId="599F16ED">
            <w:pPr>
              <w:spacing w:before="220" w:line="381" w:lineRule="auto"/>
              <w:ind w:left="37" w:right="29" w:firstLine="424"/>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二档（8分）：满足</w:t>
            </w:r>
            <w:r>
              <w:rPr>
                <w:rFonts w:hint="eastAsia" w:ascii="宋体" w:hAnsi="宋体" w:eastAsia="宋体" w:cs="宋体"/>
                <w:color w:val="auto"/>
                <w:spacing w:val="10"/>
                <w:sz w:val="21"/>
                <w:szCs w:val="21"/>
                <w:lang w:eastAsia="zh-CN"/>
              </w:rPr>
              <w:t>第</w:t>
            </w:r>
            <w:r>
              <w:rPr>
                <w:rFonts w:hint="eastAsia" w:ascii="宋体" w:hAnsi="宋体" w:eastAsia="宋体" w:cs="宋体"/>
                <w:color w:val="auto"/>
                <w:spacing w:val="10"/>
                <w:sz w:val="21"/>
                <w:szCs w:val="21"/>
              </w:rPr>
              <w:t>一档要求，且对于各项服务内容有详细的进度量化和具体时间安排，工作节点合理且衔接顺畅；并制定有详细的进度控制措施，确保如期完成各项服务内容。</w:t>
            </w:r>
          </w:p>
          <w:p w14:paraId="49A0009C">
            <w:pPr>
              <w:spacing w:before="220" w:line="381" w:lineRule="auto"/>
              <w:ind w:left="37" w:right="29" w:firstLine="424"/>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三档（10分）：满足</w:t>
            </w:r>
            <w:r>
              <w:rPr>
                <w:rFonts w:hint="eastAsia" w:ascii="宋体" w:hAnsi="宋体" w:eastAsia="宋体" w:cs="宋体"/>
                <w:color w:val="auto"/>
                <w:spacing w:val="10"/>
                <w:sz w:val="21"/>
                <w:szCs w:val="21"/>
                <w:lang w:eastAsia="zh-CN"/>
              </w:rPr>
              <w:t>第</w:t>
            </w:r>
            <w:r>
              <w:rPr>
                <w:rFonts w:hint="eastAsia" w:ascii="宋体" w:hAnsi="宋体" w:eastAsia="宋体" w:cs="宋体"/>
                <w:color w:val="auto"/>
                <w:spacing w:val="10"/>
                <w:sz w:val="21"/>
                <w:szCs w:val="21"/>
              </w:rPr>
              <w:t>二档要求，且能正确分析影响各项服务内容进度的不利因素，编制进度保障方案和紧急情况预案；</w:t>
            </w:r>
            <w:r>
              <w:rPr>
                <w:rFonts w:hint="eastAsia" w:ascii="宋体" w:hAnsi="宋体" w:eastAsia="宋体" w:cs="宋体"/>
                <w:color w:val="auto"/>
                <w:spacing w:val="10"/>
                <w:sz w:val="21"/>
                <w:szCs w:val="21"/>
                <w:lang w:val="en-US" w:eastAsia="zh-CN"/>
              </w:rPr>
              <w:t xml:space="preserve">  </w:t>
            </w:r>
            <w:r>
              <w:rPr>
                <w:rFonts w:hint="eastAsia" w:ascii="宋体" w:hAnsi="宋体" w:eastAsia="宋体" w:cs="宋体"/>
                <w:color w:val="auto"/>
                <w:spacing w:val="10"/>
                <w:sz w:val="21"/>
                <w:szCs w:val="21"/>
              </w:rPr>
              <w:t>编制推进项目进度的优化措施，要求优化措施科学合理，符合项目实际情况。</w:t>
            </w:r>
          </w:p>
          <w:p w14:paraId="79B3B5DE">
            <w:pPr>
              <w:spacing w:line="360" w:lineRule="exact"/>
              <w:ind w:firstLine="420" w:firstLineChars="200"/>
              <w:rPr>
                <w:rFonts w:ascii="宋体" w:hAnsi="宋体" w:cs="宋体"/>
                <w:color w:val="auto"/>
                <w:kern w:val="0"/>
                <w:sz w:val="21"/>
                <w:szCs w:val="21"/>
                <w:lang w:bidi="ar"/>
              </w:rPr>
            </w:pPr>
            <w:r>
              <w:rPr>
                <w:rFonts w:hint="eastAsia" w:ascii="宋体" w:hAnsi="宋体" w:cs="宋体"/>
                <w:b/>
                <w:color w:val="auto"/>
                <w:sz w:val="21"/>
                <w:szCs w:val="21"/>
              </w:rPr>
              <w:t>注：不满足该项评分要求描述或不提供的不得分。</w:t>
            </w:r>
          </w:p>
          <w:p w14:paraId="52EA8510">
            <w:pPr>
              <w:spacing w:line="360" w:lineRule="exact"/>
              <w:jc w:val="left"/>
              <w:rPr>
                <w:rFonts w:ascii="宋体" w:hAnsi="宋体" w:cs="宋体"/>
                <w:b/>
                <w:bCs/>
                <w:color w:val="auto"/>
                <w:sz w:val="21"/>
                <w:szCs w:val="21"/>
              </w:rPr>
            </w:pPr>
            <w:r>
              <w:rPr>
                <w:rFonts w:hint="eastAsia" w:ascii="宋体" w:hAnsi="宋体" w:cs="宋体"/>
                <w:b/>
                <w:bCs/>
                <w:color w:val="auto"/>
                <w:sz w:val="21"/>
                <w:szCs w:val="21"/>
              </w:rPr>
              <w:t>（四）拟投入的技术力量、人员配置（</w:t>
            </w:r>
            <w:r>
              <w:rPr>
                <w:rFonts w:hint="eastAsia" w:ascii="宋体" w:hAnsi="宋体" w:eastAsia="宋体" w:cs="宋体"/>
                <w:b/>
                <w:bCs/>
                <w:color w:val="auto"/>
                <w:sz w:val="21"/>
                <w:szCs w:val="21"/>
                <w:lang w:val="en-US" w:eastAsia="zh-CN"/>
              </w:rPr>
              <w:t>18</w:t>
            </w:r>
            <w:r>
              <w:rPr>
                <w:rFonts w:hint="eastAsia" w:ascii="宋体" w:hAnsi="宋体" w:cs="宋体"/>
                <w:b/>
                <w:bCs/>
                <w:color w:val="auto"/>
                <w:sz w:val="21"/>
                <w:szCs w:val="21"/>
              </w:rPr>
              <w:t>分）</w:t>
            </w:r>
          </w:p>
          <w:p w14:paraId="77664999">
            <w:pPr>
              <w:spacing w:before="220" w:line="381" w:lineRule="auto"/>
              <w:ind w:left="37" w:right="29" w:firstLine="424"/>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1.拟投入的项目负责人1人，具有“测绘与地理信息”或“土地管理”相关专业（以职称证上的专业为准）高级工程师（或以上）职称的得</w:t>
            </w:r>
            <w:r>
              <w:rPr>
                <w:rFonts w:hint="eastAsia" w:ascii="宋体" w:hAnsi="宋体" w:eastAsia="宋体" w:cs="宋体"/>
                <w:color w:val="auto"/>
                <w:spacing w:val="10"/>
                <w:sz w:val="21"/>
                <w:szCs w:val="21"/>
                <w:lang w:val="en-US" w:eastAsia="zh-CN"/>
              </w:rPr>
              <w:t>3</w:t>
            </w:r>
            <w:r>
              <w:rPr>
                <w:rFonts w:hint="eastAsia" w:ascii="宋体" w:hAnsi="宋体" w:eastAsia="宋体" w:cs="宋体"/>
                <w:color w:val="auto"/>
                <w:spacing w:val="10"/>
                <w:sz w:val="21"/>
                <w:szCs w:val="21"/>
              </w:rPr>
              <w:t>分。本项满分</w:t>
            </w:r>
            <w:r>
              <w:rPr>
                <w:rFonts w:hint="eastAsia" w:ascii="宋体" w:hAnsi="宋体" w:eastAsia="宋体" w:cs="宋体"/>
                <w:color w:val="auto"/>
                <w:spacing w:val="10"/>
                <w:sz w:val="21"/>
                <w:szCs w:val="21"/>
                <w:lang w:val="en-US" w:eastAsia="zh-CN"/>
              </w:rPr>
              <w:t>3</w:t>
            </w:r>
            <w:r>
              <w:rPr>
                <w:rFonts w:hint="eastAsia" w:ascii="宋体" w:hAnsi="宋体" w:eastAsia="宋体" w:cs="宋体"/>
                <w:color w:val="auto"/>
                <w:spacing w:val="10"/>
                <w:sz w:val="21"/>
                <w:szCs w:val="21"/>
              </w:rPr>
              <w:t>分。</w:t>
            </w:r>
          </w:p>
          <w:p w14:paraId="079BEF37">
            <w:pPr>
              <w:spacing w:before="220" w:line="381" w:lineRule="auto"/>
              <w:ind w:left="37" w:right="29" w:firstLine="424"/>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3.拟投入的项目其它技术人员，具有“测绘与地理信息”或“土地管理”相关专业（以职称证上的专业为准）职称的，每个高级工程师（或以上）职称得1分，满分</w:t>
            </w:r>
            <w:r>
              <w:rPr>
                <w:rFonts w:hint="eastAsia" w:ascii="宋体" w:hAnsi="宋体" w:eastAsia="宋体" w:cs="宋体"/>
                <w:color w:val="auto"/>
                <w:spacing w:val="10"/>
                <w:sz w:val="21"/>
                <w:szCs w:val="21"/>
                <w:lang w:val="en-US" w:eastAsia="zh-CN"/>
              </w:rPr>
              <w:t>6</w:t>
            </w:r>
            <w:r>
              <w:rPr>
                <w:rFonts w:hint="eastAsia" w:ascii="宋体" w:hAnsi="宋体" w:eastAsia="宋体" w:cs="宋体"/>
                <w:color w:val="auto"/>
                <w:spacing w:val="10"/>
                <w:sz w:val="21"/>
                <w:szCs w:val="21"/>
              </w:rPr>
              <w:t>分；每个</w:t>
            </w:r>
            <w:r>
              <w:rPr>
                <w:rFonts w:hint="eastAsia" w:ascii="宋体" w:hAnsi="宋体" w:eastAsia="宋体" w:cs="宋体"/>
                <w:color w:val="auto"/>
                <w:szCs w:val="21"/>
                <w:lang w:bidi="ar"/>
              </w:rPr>
              <w:t>中级（或以上</w:t>
            </w:r>
            <w:r>
              <w:rPr>
                <w:rFonts w:hint="eastAsia" w:ascii="宋体" w:hAnsi="宋体" w:eastAsia="宋体" w:cs="宋体"/>
                <w:color w:val="auto"/>
                <w:szCs w:val="21"/>
                <w:highlight w:val="none"/>
                <w:lang w:bidi="ar"/>
              </w:rPr>
              <w:t>）</w:t>
            </w:r>
            <w:r>
              <w:rPr>
                <w:rFonts w:hint="eastAsia" w:ascii="宋体" w:hAnsi="宋体" w:eastAsia="宋体" w:cs="宋体"/>
                <w:color w:val="auto"/>
                <w:spacing w:val="10"/>
                <w:sz w:val="21"/>
                <w:szCs w:val="21"/>
                <w:highlight w:val="none"/>
                <w:lang w:eastAsia="zh-CN"/>
              </w:rPr>
              <w:t>工程师职称</w:t>
            </w:r>
            <w:r>
              <w:rPr>
                <w:rFonts w:hint="eastAsia" w:ascii="宋体" w:hAnsi="宋体" w:eastAsia="宋体" w:cs="宋体"/>
                <w:color w:val="auto"/>
                <w:spacing w:val="10"/>
                <w:sz w:val="21"/>
                <w:szCs w:val="21"/>
              </w:rPr>
              <w:t>得0.5分，满分4分；每个注册测绘师得0.5分，满分2分。本项满分1</w:t>
            </w:r>
            <w:r>
              <w:rPr>
                <w:rFonts w:hint="eastAsia" w:ascii="宋体" w:hAnsi="宋体" w:eastAsia="宋体" w:cs="宋体"/>
                <w:color w:val="auto"/>
                <w:spacing w:val="10"/>
                <w:sz w:val="21"/>
                <w:szCs w:val="21"/>
                <w:lang w:val="en-US" w:eastAsia="zh-CN"/>
              </w:rPr>
              <w:t>2</w:t>
            </w:r>
            <w:r>
              <w:rPr>
                <w:rFonts w:hint="eastAsia" w:ascii="宋体" w:hAnsi="宋体" w:eastAsia="宋体" w:cs="宋体"/>
                <w:color w:val="auto"/>
                <w:spacing w:val="10"/>
                <w:sz w:val="21"/>
                <w:szCs w:val="21"/>
              </w:rPr>
              <w:t>分。</w:t>
            </w:r>
          </w:p>
          <w:p w14:paraId="57223DAF">
            <w:pPr>
              <w:spacing w:before="220" w:line="381" w:lineRule="auto"/>
              <w:ind w:left="37" w:right="29" w:firstLine="424"/>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4.拟投入的项目人员具有测绘成果涉密管理人员岗位培训证书或其他行政部门组织的保密教育培训证书的，每人得0.5分，满分3分。（响应文件须提供涉密人员培训证书复印件。）</w:t>
            </w:r>
          </w:p>
          <w:p w14:paraId="5F0F430D">
            <w:pPr>
              <w:spacing w:before="220" w:line="381" w:lineRule="auto"/>
              <w:ind w:left="37" w:right="29" w:firstLine="424"/>
              <w:rPr>
                <w:color w:val="auto"/>
                <w:sz w:val="21"/>
                <w:szCs w:val="21"/>
              </w:rPr>
            </w:pPr>
            <w:r>
              <w:rPr>
                <w:rFonts w:hint="eastAsia" w:ascii="宋体" w:hAnsi="宋体" w:eastAsia="宋体" w:cs="宋体"/>
                <w:color w:val="auto"/>
                <w:spacing w:val="10"/>
                <w:sz w:val="21"/>
                <w:szCs w:val="21"/>
              </w:rPr>
              <w:t>注：响应文件须提供职称证书复印件/电子证件、职业资格证书复印件/电子证件、涉密人员培训证书复印件/电子证件，同一人多个职称按最高职称得分项计分。</w:t>
            </w:r>
            <w:r>
              <w:rPr>
                <w:rFonts w:hint="eastAsia" w:ascii="宋体" w:hAnsi="宋体" w:cs="宋体"/>
                <w:b/>
                <w:color w:val="auto"/>
                <w:sz w:val="21"/>
                <w:szCs w:val="21"/>
              </w:rPr>
              <w:t>拟投入人员必须是供应商本单位人员，须提供供应商为拟投入人员缴纳的投标截止日期前半年内其中1个月的社保金缴纳证明或劳动合同或其他有效证明材料复印件，不按照上述要求提供资料者，不得分。（以上复印件/电子证件均需加盖供应商公章，否则不予计分）</w:t>
            </w:r>
          </w:p>
        </w:tc>
        <w:tc>
          <w:tcPr>
            <w:tcW w:w="732" w:type="dxa"/>
            <w:vAlign w:val="center"/>
          </w:tcPr>
          <w:p w14:paraId="3BC9775F">
            <w:pPr>
              <w:pStyle w:val="9"/>
              <w:spacing w:before="65" w:line="228" w:lineRule="auto"/>
              <w:ind w:left="137"/>
              <w:jc w:val="center"/>
              <w:rPr>
                <w:color w:val="auto"/>
                <w:sz w:val="21"/>
                <w:szCs w:val="21"/>
              </w:rPr>
            </w:pPr>
            <w:r>
              <w:rPr>
                <w:color w:val="auto"/>
                <w:sz w:val="21"/>
                <w:szCs w:val="21"/>
              </w:rPr>
              <w:t>6</w:t>
            </w:r>
            <w:r>
              <w:rPr>
                <w:rFonts w:hint="eastAsia"/>
                <w:color w:val="auto"/>
                <w:sz w:val="21"/>
                <w:szCs w:val="21"/>
                <w:lang w:val="en-US" w:eastAsia="zh-CN"/>
              </w:rPr>
              <w:t>3</w:t>
            </w:r>
            <w:r>
              <w:rPr>
                <w:color w:val="auto"/>
                <w:spacing w:val="-38"/>
                <w:sz w:val="21"/>
                <w:szCs w:val="21"/>
              </w:rPr>
              <w:t xml:space="preserve"> </w:t>
            </w:r>
            <w:r>
              <w:rPr>
                <w:color w:val="auto"/>
                <w:sz w:val="21"/>
                <w:szCs w:val="21"/>
              </w:rPr>
              <w:t>分</w:t>
            </w:r>
          </w:p>
        </w:tc>
      </w:tr>
      <w:tr w14:paraId="25535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2" w:hRule="atLeast"/>
        </w:trPr>
        <w:tc>
          <w:tcPr>
            <w:tcW w:w="824" w:type="dxa"/>
            <w:vAlign w:val="center"/>
          </w:tcPr>
          <w:p w14:paraId="28880776">
            <w:pPr>
              <w:spacing w:line="262" w:lineRule="auto"/>
              <w:jc w:val="center"/>
              <w:rPr>
                <w:rFonts w:ascii="Arial"/>
                <w:color w:val="auto"/>
                <w:sz w:val="21"/>
                <w:szCs w:val="21"/>
              </w:rPr>
            </w:pPr>
          </w:p>
          <w:p w14:paraId="3D8C8AEC">
            <w:pPr>
              <w:pStyle w:val="9"/>
              <w:spacing w:before="65" w:line="269" w:lineRule="exact"/>
              <w:ind w:left="368"/>
              <w:jc w:val="both"/>
              <w:rPr>
                <w:color w:val="auto"/>
                <w:sz w:val="21"/>
                <w:szCs w:val="21"/>
              </w:rPr>
            </w:pPr>
            <w:r>
              <w:rPr>
                <w:color w:val="auto"/>
                <w:position w:val="1"/>
                <w:sz w:val="21"/>
                <w:szCs w:val="21"/>
              </w:rPr>
              <w:t>3</w:t>
            </w:r>
          </w:p>
        </w:tc>
        <w:tc>
          <w:tcPr>
            <w:tcW w:w="1086" w:type="dxa"/>
            <w:vAlign w:val="center"/>
          </w:tcPr>
          <w:p w14:paraId="21C36498">
            <w:pPr>
              <w:spacing w:line="243" w:lineRule="auto"/>
              <w:jc w:val="center"/>
              <w:rPr>
                <w:rFonts w:ascii="Arial"/>
                <w:color w:val="auto"/>
                <w:sz w:val="21"/>
                <w:szCs w:val="21"/>
              </w:rPr>
            </w:pPr>
          </w:p>
          <w:p w14:paraId="666FC684">
            <w:pPr>
              <w:pStyle w:val="9"/>
              <w:spacing w:before="65" w:line="228" w:lineRule="auto"/>
              <w:ind w:left="0"/>
              <w:jc w:val="both"/>
              <w:rPr>
                <w:color w:val="auto"/>
                <w:sz w:val="21"/>
                <w:szCs w:val="21"/>
              </w:rPr>
            </w:pPr>
            <w:r>
              <w:rPr>
                <w:b/>
                <w:bCs/>
                <w:color w:val="auto"/>
                <w:spacing w:val="4"/>
                <w:sz w:val="21"/>
                <w:szCs w:val="21"/>
              </w:rPr>
              <w:t>商务分</w:t>
            </w:r>
            <w:r>
              <w:rPr>
                <w:rFonts w:hint="eastAsia" w:ascii="宋体" w:hAnsi="宋体" w:eastAsia="宋体" w:cs="宋体"/>
                <w:b/>
                <w:bCs/>
                <w:color w:val="auto"/>
                <w:szCs w:val="21"/>
                <w:lang w:bidi="ar"/>
              </w:rPr>
              <w:t>（满分</w:t>
            </w:r>
            <w:r>
              <w:rPr>
                <w:rFonts w:hint="eastAsia" w:cs="宋体"/>
                <w:b/>
                <w:bCs/>
                <w:color w:val="auto"/>
                <w:szCs w:val="21"/>
                <w:lang w:val="en-US" w:eastAsia="zh-CN" w:bidi="ar"/>
              </w:rPr>
              <w:t>12</w:t>
            </w:r>
            <w:r>
              <w:rPr>
                <w:rFonts w:hint="eastAsia" w:ascii="宋体" w:hAnsi="宋体" w:eastAsia="宋体" w:cs="宋体"/>
                <w:b/>
                <w:bCs/>
                <w:color w:val="auto"/>
                <w:szCs w:val="21"/>
                <w:lang w:bidi="ar"/>
              </w:rPr>
              <w:t>分）</w:t>
            </w:r>
          </w:p>
        </w:tc>
        <w:tc>
          <w:tcPr>
            <w:tcW w:w="6822" w:type="dxa"/>
            <w:vAlign w:val="top"/>
          </w:tcPr>
          <w:p w14:paraId="4C67786E">
            <w:pPr>
              <w:snapToGrid w:val="0"/>
              <w:spacing w:line="360" w:lineRule="exact"/>
              <w:ind w:firstLine="210" w:firstLineChars="1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1.供应商2023年1月1日以来承担过</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lang w:eastAsia="zh-CN"/>
              </w:rPr>
              <w:t>类似</w:t>
            </w:r>
            <w:r>
              <w:rPr>
                <w:rFonts w:hint="eastAsia" w:asciiTheme="minorEastAsia" w:hAnsiTheme="minorEastAsia" w:eastAsiaTheme="minorEastAsia" w:cstheme="minorEastAsia"/>
                <w:color w:val="auto"/>
                <w:sz w:val="21"/>
                <w:szCs w:val="21"/>
              </w:rPr>
              <w:t>测绘</w:t>
            </w:r>
            <w:r>
              <w:rPr>
                <w:rFonts w:hint="eastAsia" w:asciiTheme="minorEastAsia" w:hAnsiTheme="minorEastAsia" w:eastAsiaTheme="minorEastAsia" w:cstheme="minorEastAsia"/>
                <w:color w:val="auto"/>
                <w:sz w:val="21"/>
                <w:szCs w:val="21"/>
                <w:lang w:val="en-US" w:eastAsia="zh-CN"/>
              </w:rPr>
              <w:t>项目</w:t>
            </w:r>
            <w:r>
              <w:rPr>
                <w:rFonts w:hint="eastAsia" w:asciiTheme="minorEastAsia" w:hAnsiTheme="minorEastAsia" w:eastAsiaTheme="minorEastAsia" w:cstheme="minorEastAsia"/>
                <w:color w:val="auto"/>
                <w:sz w:val="21"/>
                <w:szCs w:val="21"/>
              </w:rPr>
              <w:t>或资源调查</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监测成果质量检查项目的，每项业绩得</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分，满分12分。</w:t>
            </w:r>
          </w:p>
          <w:p w14:paraId="232C512C">
            <w:pPr>
              <w:snapToGrid w:val="0"/>
              <w:spacing w:line="360" w:lineRule="exact"/>
              <w:ind w:firstLine="211" w:firstLineChars="1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注：须提供有效的中标（成交）通知书或合同的复印件，并加盖供应商公章，否则不得分。</w:t>
            </w:r>
            <w:bookmarkStart w:id="23" w:name="_GoBack"/>
            <w:bookmarkEnd w:id="23"/>
          </w:p>
          <w:p w14:paraId="35424DFC">
            <w:pPr>
              <w:pStyle w:val="9"/>
              <w:spacing w:before="166" w:line="364" w:lineRule="auto"/>
              <w:ind w:right="203" w:firstLine="210" w:firstLineChars="100"/>
              <w:jc w:val="both"/>
              <w:rPr>
                <w:color w:val="auto"/>
                <w:sz w:val="21"/>
                <w:szCs w:val="21"/>
              </w:rPr>
            </w:pPr>
          </w:p>
        </w:tc>
        <w:tc>
          <w:tcPr>
            <w:tcW w:w="732" w:type="dxa"/>
            <w:vAlign w:val="center"/>
          </w:tcPr>
          <w:p w14:paraId="4AFFB237">
            <w:pPr>
              <w:pStyle w:val="9"/>
              <w:spacing w:before="65" w:line="228" w:lineRule="auto"/>
              <w:ind w:left="150"/>
              <w:jc w:val="center"/>
              <w:rPr>
                <w:color w:val="auto"/>
                <w:sz w:val="21"/>
                <w:szCs w:val="21"/>
              </w:rPr>
            </w:pPr>
            <w:r>
              <w:rPr>
                <w:rFonts w:hint="eastAsia"/>
                <w:color w:val="auto"/>
                <w:spacing w:val="-5"/>
                <w:sz w:val="21"/>
                <w:szCs w:val="21"/>
                <w:lang w:val="en-US" w:eastAsia="zh-CN"/>
              </w:rPr>
              <w:t>12</w:t>
            </w:r>
            <w:r>
              <w:rPr>
                <w:color w:val="auto"/>
                <w:spacing w:val="-5"/>
                <w:sz w:val="21"/>
                <w:szCs w:val="21"/>
              </w:rPr>
              <w:t>分</w:t>
            </w:r>
          </w:p>
        </w:tc>
      </w:tr>
      <w:tr w14:paraId="4BB35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8732" w:type="dxa"/>
            <w:gridSpan w:val="3"/>
            <w:vAlign w:val="top"/>
          </w:tcPr>
          <w:p w14:paraId="61C3CBCF">
            <w:pPr>
              <w:pStyle w:val="9"/>
              <w:spacing w:before="79" w:line="228" w:lineRule="auto"/>
              <w:ind w:left="542"/>
              <w:rPr>
                <w:color w:val="auto"/>
                <w:sz w:val="21"/>
                <w:szCs w:val="21"/>
              </w:rPr>
            </w:pPr>
            <w:r>
              <w:rPr>
                <w:color w:val="auto"/>
                <w:spacing w:val="6"/>
                <w:sz w:val="21"/>
                <w:szCs w:val="21"/>
              </w:rPr>
              <w:t>总得分＝1＋2＋3</w:t>
            </w:r>
          </w:p>
        </w:tc>
        <w:tc>
          <w:tcPr>
            <w:tcW w:w="732" w:type="dxa"/>
            <w:vAlign w:val="top"/>
          </w:tcPr>
          <w:p w14:paraId="2F3C9011">
            <w:pPr>
              <w:rPr>
                <w:rFonts w:ascii="Arial"/>
                <w:color w:val="auto"/>
                <w:sz w:val="21"/>
                <w:szCs w:val="21"/>
              </w:rPr>
            </w:pPr>
          </w:p>
        </w:tc>
      </w:tr>
    </w:tbl>
    <w:p w14:paraId="19D4C9E1">
      <w:pPr>
        <w:rPr>
          <w:rFonts w:ascii="Arial"/>
          <w:color w:val="auto"/>
          <w:sz w:val="21"/>
        </w:rPr>
      </w:pPr>
    </w:p>
    <w:p w14:paraId="2A219DAC">
      <w:pPr>
        <w:rPr>
          <w:rFonts w:ascii="Arial" w:hAnsi="Arial" w:eastAsia="Arial" w:cs="Arial"/>
          <w:color w:val="auto"/>
          <w:sz w:val="21"/>
          <w:szCs w:val="21"/>
        </w:rPr>
        <w:sectPr>
          <w:footerReference r:id="rId8" w:type="default"/>
          <w:pgSz w:w="11906" w:h="16839"/>
          <w:pgMar w:top="1304" w:right="1304" w:bottom="1304" w:left="1304" w:header="0" w:footer="1200" w:gutter="0"/>
          <w:pgNumType w:fmt="decimal"/>
          <w:cols w:space="720" w:num="1"/>
        </w:sectPr>
      </w:pPr>
    </w:p>
    <w:p w14:paraId="16221592">
      <w:pPr>
        <w:spacing w:before="88" w:line="222" w:lineRule="auto"/>
        <w:ind w:left="2605"/>
        <w:outlineLvl w:val="0"/>
        <w:rPr>
          <w:rFonts w:ascii="宋体" w:hAnsi="宋体" w:eastAsia="宋体" w:cs="宋体"/>
          <w:color w:val="auto"/>
          <w:sz w:val="43"/>
          <w:szCs w:val="43"/>
        </w:rPr>
      </w:pPr>
      <w:bookmarkStart w:id="17" w:name="_Toc26209"/>
      <w:r>
        <w:rPr>
          <w:rFonts w:ascii="宋体" w:hAnsi="宋体" w:eastAsia="宋体" w:cs="宋体"/>
          <w:b/>
          <w:bCs/>
          <w:color w:val="auto"/>
          <w:sz w:val="43"/>
          <w:szCs w:val="43"/>
        </w:rPr>
        <w:t>第五章</w:t>
      </w:r>
      <w:r>
        <w:rPr>
          <w:rFonts w:ascii="宋体" w:hAnsi="宋体" w:eastAsia="宋体" w:cs="宋体"/>
          <w:color w:val="auto"/>
          <w:spacing w:val="48"/>
          <w:sz w:val="43"/>
          <w:szCs w:val="43"/>
        </w:rPr>
        <w:t xml:space="preserve"> </w:t>
      </w:r>
      <w:r>
        <w:rPr>
          <w:rFonts w:ascii="宋体" w:hAnsi="宋体" w:eastAsia="宋体" w:cs="宋体"/>
          <w:b/>
          <w:bCs/>
          <w:color w:val="auto"/>
          <w:sz w:val="43"/>
          <w:szCs w:val="43"/>
        </w:rPr>
        <w:t>响应文件格式</w:t>
      </w:r>
      <w:bookmarkEnd w:id="17"/>
    </w:p>
    <w:p w14:paraId="1400643A">
      <w:pPr>
        <w:spacing w:line="457" w:lineRule="auto"/>
        <w:rPr>
          <w:rFonts w:ascii="Arial"/>
          <w:color w:val="auto"/>
          <w:sz w:val="21"/>
        </w:rPr>
      </w:pPr>
    </w:p>
    <w:p w14:paraId="6123656F">
      <w:pPr>
        <w:spacing w:before="101" w:line="225" w:lineRule="auto"/>
        <w:rPr>
          <w:rFonts w:ascii="宋体" w:hAnsi="宋体" w:eastAsia="宋体" w:cs="宋体"/>
          <w:color w:val="auto"/>
          <w:sz w:val="31"/>
          <w:szCs w:val="31"/>
        </w:rPr>
      </w:pPr>
      <w:r>
        <w:rPr>
          <w:rFonts w:ascii="宋体" w:hAnsi="宋体" w:eastAsia="宋体" w:cs="宋体"/>
          <w:b/>
          <w:bCs/>
          <w:color w:val="auto"/>
          <w:spacing w:val="6"/>
          <w:sz w:val="31"/>
          <w:szCs w:val="31"/>
        </w:rPr>
        <w:t>一、资格证明文件格式</w:t>
      </w:r>
    </w:p>
    <w:p w14:paraId="5ACC8A7D">
      <w:pPr>
        <w:spacing w:before="296" w:line="225" w:lineRule="auto"/>
        <w:ind w:left="18"/>
        <w:rPr>
          <w:rFonts w:ascii="宋体" w:hAnsi="宋体" w:eastAsia="宋体" w:cs="宋体"/>
          <w:color w:val="auto"/>
          <w:sz w:val="31"/>
          <w:szCs w:val="31"/>
        </w:rPr>
      </w:pPr>
      <w:r>
        <w:rPr>
          <w:rFonts w:ascii="宋体" w:hAnsi="宋体" w:eastAsia="宋体" w:cs="宋体"/>
          <w:b/>
          <w:bCs/>
          <w:color w:val="auto"/>
          <w:spacing w:val="3"/>
          <w:sz w:val="31"/>
          <w:szCs w:val="31"/>
        </w:rPr>
        <w:t>1.资格证明文件封面格式：</w:t>
      </w:r>
    </w:p>
    <w:p w14:paraId="7456F2A3">
      <w:pPr>
        <w:spacing w:line="249" w:lineRule="auto"/>
        <w:rPr>
          <w:rFonts w:ascii="Arial"/>
          <w:color w:val="auto"/>
          <w:sz w:val="21"/>
        </w:rPr>
      </w:pPr>
    </w:p>
    <w:p w14:paraId="02BF55ED">
      <w:pPr>
        <w:spacing w:line="249" w:lineRule="auto"/>
        <w:rPr>
          <w:rFonts w:ascii="Arial"/>
          <w:color w:val="auto"/>
          <w:sz w:val="21"/>
        </w:rPr>
      </w:pPr>
    </w:p>
    <w:p w14:paraId="30074856">
      <w:pPr>
        <w:spacing w:line="250" w:lineRule="auto"/>
        <w:rPr>
          <w:rFonts w:ascii="Arial"/>
          <w:color w:val="auto"/>
          <w:sz w:val="21"/>
        </w:rPr>
      </w:pPr>
    </w:p>
    <w:p w14:paraId="777E03D4">
      <w:pPr>
        <w:spacing w:line="250" w:lineRule="auto"/>
        <w:rPr>
          <w:rFonts w:ascii="Arial"/>
          <w:color w:val="auto"/>
          <w:sz w:val="21"/>
        </w:rPr>
      </w:pPr>
    </w:p>
    <w:p w14:paraId="51701655">
      <w:pPr>
        <w:spacing w:before="140" w:line="223" w:lineRule="auto"/>
        <w:ind w:left="2885"/>
        <w:rPr>
          <w:rFonts w:ascii="宋体" w:hAnsi="宋体" w:eastAsia="宋体" w:cs="宋体"/>
          <w:color w:val="auto"/>
          <w:sz w:val="43"/>
          <w:szCs w:val="43"/>
        </w:rPr>
      </w:pPr>
      <w:r>
        <w:rPr>
          <w:rFonts w:ascii="宋体" w:hAnsi="宋体" w:eastAsia="宋体" w:cs="宋体"/>
          <w:color w:val="auto"/>
          <w:spacing w:val="-20"/>
          <w:sz w:val="43"/>
          <w:szCs w:val="43"/>
        </w:rPr>
        <w:t>电</w:t>
      </w:r>
      <w:r>
        <w:rPr>
          <w:rFonts w:ascii="宋体" w:hAnsi="宋体" w:eastAsia="宋体" w:cs="宋体"/>
          <w:color w:val="auto"/>
          <w:spacing w:val="24"/>
          <w:sz w:val="43"/>
          <w:szCs w:val="43"/>
        </w:rPr>
        <w:t xml:space="preserve"> </w:t>
      </w:r>
      <w:r>
        <w:rPr>
          <w:rFonts w:ascii="宋体" w:hAnsi="宋体" w:eastAsia="宋体" w:cs="宋体"/>
          <w:color w:val="auto"/>
          <w:spacing w:val="-20"/>
          <w:sz w:val="43"/>
          <w:szCs w:val="43"/>
        </w:rPr>
        <w:t>子</w:t>
      </w:r>
      <w:r>
        <w:rPr>
          <w:rFonts w:ascii="宋体" w:hAnsi="宋体" w:eastAsia="宋体" w:cs="宋体"/>
          <w:color w:val="auto"/>
          <w:spacing w:val="45"/>
          <w:sz w:val="43"/>
          <w:szCs w:val="43"/>
        </w:rPr>
        <w:t xml:space="preserve"> </w:t>
      </w:r>
      <w:r>
        <w:rPr>
          <w:rFonts w:ascii="宋体" w:hAnsi="宋体" w:eastAsia="宋体" w:cs="宋体"/>
          <w:color w:val="auto"/>
          <w:spacing w:val="-20"/>
          <w:sz w:val="43"/>
          <w:szCs w:val="43"/>
        </w:rPr>
        <w:t>响</w:t>
      </w:r>
      <w:r>
        <w:rPr>
          <w:rFonts w:ascii="宋体" w:hAnsi="宋体" w:eastAsia="宋体" w:cs="宋体"/>
          <w:color w:val="auto"/>
          <w:spacing w:val="23"/>
          <w:sz w:val="43"/>
          <w:szCs w:val="43"/>
        </w:rPr>
        <w:t xml:space="preserve"> </w:t>
      </w:r>
      <w:r>
        <w:rPr>
          <w:rFonts w:ascii="宋体" w:hAnsi="宋体" w:eastAsia="宋体" w:cs="宋体"/>
          <w:color w:val="auto"/>
          <w:spacing w:val="-20"/>
          <w:sz w:val="43"/>
          <w:szCs w:val="43"/>
        </w:rPr>
        <w:t>应</w:t>
      </w:r>
      <w:r>
        <w:rPr>
          <w:rFonts w:ascii="宋体" w:hAnsi="宋体" w:eastAsia="宋体" w:cs="宋体"/>
          <w:color w:val="auto"/>
          <w:spacing w:val="27"/>
          <w:sz w:val="43"/>
          <w:szCs w:val="43"/>
        </w:rPr>
        <w:t xml:space="preserve"> </w:t>
      </w:r>
      <w:r>
        <w:rPr>
          <w:rFonts w:ascii="宋体" w:hAnsi="宋体" w:eastAsia="宋体" w:cs="宋体"/>
          <w:color w:val="auto"/>
          <w:spacing w:val="-20"/>
          <w:sz w:val="43"/>
          <w:szCs w:val="43"/>
        </w:rPr>
        <w:t>文</w:t>
      </w:r>
      <w:r>
        <w:rPr>
          <w:rFonts w:ascii="宋体" w:hAnsi="宋体" w:eastAsia="宋体" w:cs="宋体"/>
          <w:color w:val="auto"/>
          <w:spacing w:val="21"/>
          <w:sz w:val="43"/>
          <w:szCs w:val="43"/>
        </w:rPr>
        <w:t xml:space="preserve"> </w:t>
      </w:r>
      <w:r>
        <w:rPr>
          <w:rFonts w:ascii="宋体" w:hAnsi="宋体" w:eastAsia="宋体" w:cs="宋体"/>
          <w:color w:val="auto"/>
          <w:spacing w:val="-20"/>
          <w:sz w:val="43"/>
          <w:szCs w:val="43"/>
        </w:rPr>
        <w:t>件</w:t>
      </w:r>
    </w:p>
    <w:p w14:paraId="500AED4C">
      <w:pPr>
        <w:spacing w:line="266" w:lineRule="auto"/>
        <w:rPr>
          <w:rFonts w:ascii="Arial"/>
          <w:color w:val="auto"/>
          <w:sz w:val="21"/>
        </w:rPr>
      </w:pPr>
    </w:p>
    <w:p w14:paraId="15DFC464">
      <w:pPr>
        <w:spacing w:line="266" w:lineRule="auto"/>
        <w:rPr>
          <w:rFonts w:ascii="Arial"/>
          <w:color w:val="auto"/>
          <w:sz w:val="21"/>
        </w:rPr>
      </w:pPr>
    </w:p>
    <w:p w14:paraId="3147081D">
      <w:pPr>
        <w:spacing w:before="141" w:line="223" w:lineRule="auto"/>
        <w:ind w:left="2303"/>
        <w:rPr>
          <w:rFonts w:ascii="宋体" w:hAnsi="宋体" w:eastAsia="宋体" w:cs="宋体"/>
          <w:color w:val="auto"/>
          <w:sz w:val="43"/>
          <w:szCs w:val="43"/>
        </w:rPr>
      </w:pPr>
      <w:r>
        <w:rPr>
          <w:rFonts w:ascii="宋体" w:hAnsi="宋体" w:eastAsia="宋体" w:cs="宋体"/>
          <w:color w:val="auto"/>
          <w:spacing w:val="-18"/>
          <w:sz w:val="43"/>
          <w:szCs w:val="43"/>
        </w:rPr>
        <w:t>资</w:t>
      </w:r>
      <w:r>
        <w:rPr>
          <w:rFonts w:ascii="宋体" w:hAnsi="宋体" w:eastAsia="宋体" w:cs="宋体"/>
          <w:color w:val="auto"/>
          <w:spacing w:val="15"/>
          <w:sz w:val="43"/>
          <w:szCs w:val="43"/>
        </w:rPr>
        <w:t xml:space="preserve">  </w:t>
      </w:r>
      <w:r>
        <w:rPr>
          <w:rFonts w:ascii="宋体" w:hAnsi="宋体" w:eastAsia="宋体" w:cs="宋体"/>
          <w:color w:val="auto"/>
          <w:spacing w:val="-18"/>
          <w:sz w:val="43"/>
          <w:szCs w:val="43"/>
        </w:rPr>
        <w:t>格</w:t>
      </w:r>
      <w:r>
        <w:rPr>
          <w:rFonts w:ascii="宋体" w:hAnsi="宋体" w:eastAsia="宋体" w:cs="宋体"/>
          <w:color w:val="auto"/>
          <w:spacing w:val="14"/>
          <w:sz w:val="43"/>
          <w:szCs w:val="43"/>
        </w:rPr>
        <w:t xml:space="preserve">  </w:t>
      </w:r>
      <w:r>
        <w:rPr>
          <w:rFonts w:ascii="宋体" w:hAnsi="宋体" w:eastAsia="宋体" w:cs="宋体"/>
          <w:color w:val="auto"/>
          <w:spacing w:val="-18"/>
          <w:sz w:val="43"/>
          <w:szCs w:val="43"/>
        </w:rPr>
        <w:t>证</w:t>
      </w:r>
      <w:r>
        <w:rPr>
          <w:rFonts w:ascii="宋体" w:hAnsi="宋体" w:eastAsia="宋体" w:cs="宋体"/>
          <w:color w:val="auto"/>
          <w:spacing w:val="35"/>
          <w:sz w:val="43"/>
          <w:szCs w:val="43"/>
        </w:rPr>
        <w:t xml:space="preserve">  </w:t>
      </w:r>
      <w:r>
        <w:rPr>
          <w:rFonts w:ascii="宋体" w:hAnsi="宋体" w:eastAsia="宋体" w:cs="宋体"/>
          <w:color w:val="auto"/>
          <w:spacing w:val="-18"/>
          <w:sz w:val="43"/>
          <w:szCs w:val="43"/>
        </w:rPr>
        <w:t>明</w:t>
      </w:r>
      <w:r>
        <w:rPr>
          <w:rFonts w:ascii="宋体" w:hAnsi="宋体" w:eastAsia="宋体" w:cs="宋体"/>
          <w:color w:val="auto"/>
          <w:spacing w:val="16"/>
          <w:sz w:val="43"/>
          <w:szCs w:val="43"/>
        </w:rPr>
        <w:t xml:space="preserve">  </w:t>
      </w:r>
      <w:r>
        <w:rPr>
          <w:rFonts w:ascii="宋体" w:hAnsi="宋体" w:eastAsia="宋体" w:cs="宋体"/>
          <w:color w:val="auto"/>
          <w:spacing w:val="-18"/>
          <w:sz w:val="43"/>
          <w:szCs w:val="43"/>
        </w:rPr>
        <w:t>文</w:t>
      </w:r>
      <w:r>
        <w:rPr>
          <w:rFonts w:ascii="宋体" w:hAnsi="宋体" w:eastAsia="宋体" w:cs="宋体"/>
          <w:color w:val="auto"/>
          <w:spacing w:val="12"/>
          <w:sz w:val="43"/>
          <w:szCs w:val="43"/>
        </w:rPr>
        <w:t xml:space="preserve">  </w:t>
      </w:r>
      <w:r>
        <w:rPr>
          <w:rFonts w:ascii="宋体" w:hAnsi="宋体" w:eastAsia="宋体" w:cs="宋体"/>
          <w:color w:val="auto"/>
          <w:spacing w:val="-18"/>
          <w:sz w:val="43"/>
          <w:szCs w:val="43"/>
        </w:rPr>
        <w:t>件</w:t>
      </w:r>
    </w:p>
    <w:p w14:paraId="545E8605">
      <w:pPr>
        <w:spacing w:line="246" w:lineRule="auto"/>
        <w:rPr>
          <w:rFonts w:ascii="Arial"/>
          <w:color w:val="auto"/>
          <w:sz w:val="21"/>
        </w:rPr>
      </w:pPr>
    </w:p>
    <w:p w14:paraId="1AEE7AD7">
      <w:pPr>
        <w:spacing w:line="246" w:lineRule="auto"/>
        <w:rPr>
          <w:rFonts w:ascii="Arial"/>
          <w:color w:val="auto"/>
          <w:sz w:val="21"/>
        </w:rPr>
      </w:pPr>
    </w:p>
    <w:p w14:paraId="2AE6797A">
      <w:pPr>
        <w:spacing w:line="247" w:lineRule="auto"/>
        <w:rPr>
          <w:rFonts w:ascii="Arial"/>
          <w:color w:val="auto"/>
          <w:sz w:val="21"/>
        </w:rPr>
      </w:pPr>
    </w:p>
    <w:p w14:paraId="487903B2">
      <w:pPr>
        <w:spacing w:line="247" w:lineRule="auto"/>
        <w:rPr>
          <w:rFonts w:ascii="Arial"/>
          <w:color w:val="auto"/>
          <w:sz w:val="21"/>
        </w:rPr>
      </w:pPr>
    </w:p>
    <w:p w14:paraId="56087429">
      <w:pPr>
        <w:spacing w:line="247" w:lineRule="auto"/>
        <w:rPr>
          <w:rFonts w:ascii="Arial"/>
          <w:color w:val="auto"/>
          <w:sz w:val="21"/>
        </w:rPr>
      </w:pPr>
    </w:p>
    <w:p w14:paraId="7590C753">
      <w:pPr>
        <w:spacing w:line="247" w:lineRule="auto"/>
        <w:rPr>
          <w:rFonts w:ascii="Arial"/>
          <w:color w:val="auto"/>
          <w:sz w:val="21"/>
        </w:rPr>
      </w:pPr>
    </w:p>
    <w:p w14:paraId="107C69DF">
      <w:pPr>
        <w:spacing w:before="101" w:line="225" w:lineRule="auto"/>
        <w:ind w:left="638" w:leftChars="0" w:firstLine="200" w:firstLineChars="63"/>
        <w:rPr>
          <w:rFonts w:ascii="宋体" w:hAnsi="宋体" w:eastAsia="宋体" w:cs="宋体"/>
          <w:color w:val="auto"/>
          <w:sz w:val="31"/>
          <w:szCs w:val="31"/>
        </w:rPr>
      </w:pPr>
      <w:r>
        <w:rPr>
          <w:rFonts w:ascii="宋体" w:hAnsi="宋体" w:eastAsia="宋体" w:cs="宋体"/>
          <w:color w:val="auto"/>
          <w:spacing w:val="4"/>
          <w:sz w:val="31"/>
          <w:szCs w:val="31"/>
        </w:rPr>
        <w:t>项目名称：</w:t>
      </w:r>
    </w:p>
    <w:p w14:paraId="099CEEC4">
      <w:pPr>
        <w:spacing w:line="329" w:lineRule="auto"/>
        <w:rPr>
          <w:rFonts w:ascii="Arial"/>
          <w:color w:val="auto"/>
          <w:sz w:val="21"/>
        </w:rPr>
      </w:pPr>
    </w:p>
    <w:p w14:paraId="225D77FC">
      <w:pPr>
        <w:spacing w:line="329" w:lineRule="auto"/>
        <w:rPr>
          <w:rFonts w:ascii="Arial"/>
          <w:color w:val="auto"/>
          <w:sz w:val="21"/>
        </w:rPr>
      </w:pPr>
    </w:p>
    <w:p w14:paraId="52B8C4D6">
      <w:pPr>
        <w:spacing w:before="101" w:line="225" w:lineRule="auto"/>
        <w:ind w:left="720"/>
        <w:rPr>
          <w:rFonts w:ascii="宋体" w:hAnsi="宋体" w:eastAsia="宋体" w:cs="宋体"/>
          <w:color w:val="auto"/>
          <w:sz w:val="31"/>
          <w:szCs w:val="31"/>
        </w:rPr>
      </w:pPr>
      <w:r>
        <w:rPr>
          <w:rFonts w:ascii="宋体" w:hAnsi="宋体" w:eastAsia="宋体" w:cs="宋体"/>
          <w:color w:val="auto"/>
          <w:spacing w:val="4"/>
          <w:sz w:val="31"/>
          <w:szCs w:val="31"/>
        </w:rPr>
        <w:t>项目编号：</w:t>
      </w:r>
    </w:p>
    <w:p w14:paraId="1A47D4A4">
      <w:pPr>
        <w:spacing w:line="330" w:lineRule="auto"/>
        <w:rPr>
          <w:rFonts w:ascii="Arial"/>
          <w:color w:val="auto"/>
          <w:sz w:val="21"/>
        </w:rPr>
      </w:pPr>
    </w:p>
    <w:p w14:paraId="083A7853">
      <w:pPr>
        <w:spacing w:line="330" w:lineRule="auto"/>
        <w:rPr>
          <w:rFonts w:ascii="Arial"/>
          <w:color w:val="auto"/>
          <w:sz w:val="21"/>
        </w:rPr>
      </w:pPr>
    </w:p>
    <w:p w14:paraId="353933B7">
      <w:pPr>
        <w:spacing w:line="277" w:lineRule="auto"/>
        <w:rPr>
          <w:rFonts w:ascii="Arial"/>
          <w:color w:val="auto"/>
          <w:sz w:val="21"/>
        </w:rPr>
      </w:pPr>
    </w:p>
    <w:p w14:paraId="6D198AF6">
      <w:pPr>
        <w:spacing w:before="101" w:line="224" w:lineRule="auto"/>
        <w:ind w:left="714"/>
        <w:rPr>
          <w:rFonts w:ascii="宋体" w:hAnsi="宋体" w:eastAsia="宋体" w:cs="宋体"/>
          <w:color w:val="auto"/>
          <w:sz w:val="31"/>
          <w:szCs w:val="31"/>
        </w:rPr>
      </w:pPr>
      <w:r>
        <w:rPr>
          <w:rFonts w:ascii="宋体" w:hAnsi="宋体" w:eastAsia="宋体" w:cs="宋体"/>
          <w:color w:val="auto"/>
          <w:spacing w:val="5"/>
          <w:sz w:val="31"/>
          <w:szCs w:val="31"/>
        </w:rPr>
        <w:t>供应商名称：</w:t>
      </w:r>
    </w:p>
    <w:p w14:paraId="4FB12896">
      <w:pPr>
        <w:spacing w:line="280" w:lineRule="auto"/>
        <w:rPr>
          <w:rFonts w:ascii="Arial"/>
          <w:color w:val="auto"/>
          <w:sz w:val="21"/>
        </w:rPr>
      </w:pPr>
    </w:p>
    <w:p w14:paraId="4A77143F">
      <w:pPr>
        <w:spacing w:line="280" w:lineRule="auto"/>
        <w:rPr>
          <w:rFonts w:ascii="Arial"/>
          <w:color w:val="auto"/>
          <w:sz w:val="21"/>
        </w:rPr>
      </w:pPr>
    </w:p>
    <w:p w14:paraId="7C007541">
      <w:pPr>
        <w:spacing w:line="280" w:lineRule="auto"/>
        <w:rPr>
          <w:rFonts w:ascii="Arial"/>
          <w:color w:val="auto"/>
          <w:sz w:val="21"/>
        </w:rPr>
      </w:pPr>
    </w:p>
    <w:p w14:paraId="53235BD9">
      <w:pPr>
        <w:spacing w:line="281" w:lineRule="auto"/>
        <w:rPr>
          <w:rFonts w:ascii="Arial"/>
          <w:color w:val="auto"/>
          <w:sz w:val="21"/>
        </w:rPr>
      </w:pPr>
    </w:p>
    <w:p w14:paraId="2E4D5AD4">
      <w:pPr>
        <w:spacing w:before="101" w:line="225" w:lineRule="auto"/>
        <w:ind w:left="3581"/>
        <w:rPr>
          <w:rFonts w:ascii="宋体" w:hAnsi="宋体" w:eastAsia="宋体" w:cs="宋体"/>
          <w:color w:val="auto"/>
          <w:sz w:val="31"/>
          <w:szCs w:val="31"/>
        </w:rPr>
      </w:pPr>
      <w:r>
        <w:rPr>
          <w:rFonts w:ascii="宋体" w:hAnsi="宋体" w:eastAsia="宋体" w:cs="宋体"/>
          <w:color w:val="auto"/>
          <w:spacing w:val="-6"/>
          <w:sz w:val="31"/>
          <w:szCs w:val="31"/>
        </w:rPr>
        <w:t>年</w:t>
      </w:r>
      <w:r>
        <w:rPr>
          <w:rFonts w:ascii="宋体" w:hAnsi="宋体" w:eastAsia="宋体" w:cs="宋体"/>
          <w:color w:val="auto"/>
          <w:spacing w:val="10"/>
          <w:sz w:val="31"/>
          <w:szCs w:val="31"/>
        </w:rPr>
        <w:t xml:space="preserve">    </w:t>
      </w:r>
      <w:r>
        <w:rPr>
          <w:rFonts w:ascii="宋体" w:hAnsi="宋体" w:eastAsia="宋体" w:cs="宋体"/>
          <w:color w:val="auto"/>
          <w:spacing w:val="-6"/>
          <w:sz w:val="31"/>
          <w:szCs w:val="31"/>
        </w:rPr>
        <w:t>月</w:t>
      </w:r>
      <w:r>
        <w:rPr>
          <w:rFonts w:ascii="宋体" w:hAnsi="宋体" w:eastAsia="宋体" w:cs="宋体"/>
          <w:color w:val="auto"/>
          <w:spacing w:val="22"/>
          <w:sz w:val="31"/>
          <w:szCs w:val="31"/>
        </w:rPr>
        <w:t xml:space="preserve">    </w:t>
      </w:r>
      <w:r>
        <w:rPr>
          <w:rFonts w:ascii="宋体" w:hAnsi="宋体" w:eastAsia="宋体" w:cs="宋体"/>
          <w:color w:val="auto"/>
          <w:spacing w:val="-6"/>
          <w:sz w:val="31"/>
          <w:szCs w:val="31"/>
        </w:rPr>
        <w:t>日</w:t>
      </w:r>
    </w:p>
    <w:p w14:paraId="56C2A002">
      <w:pPr>
        <w:spacing w:line="225" w:lineRule="auto"/>
        <w:rPr>
          <w:rFonts w:ascii="宋体" w:hAnsi="宋体" w:eastAsia="宋体" w:cs="宋体"/>
          <w:color w:val="auto"/>
          <w:sz w:val="31"/>
          <w:szCs w:val="31"/>
        </w:rPr>
        <w:sectPr>
          <w:footerReference r:id="rId9" w:type="default"/>
          <w:pgSz w:w="11906" w:h="16839"/>
          <w:pgMar w:top="1314" w:right="1697" w:bottom="1362" w:left="1265" w:header="0" w:footer="1200" w:gutter="0"/>
          <w:pgNumType w:fmt="decimal"/>
          <w:cols w:space="720" w:num="1"/>
        </w:sectPr>
      </w:pPr>
    </w:p>
    <w:p w14:paraId="2A268329">
      <w:pPr>
        <w:spacing w:before="63" w:line="225" w:lineRule="auto"/>
        <w:ind w:left="139"/>
        <w:rPr>
          <w:rFonts w:ascii="宋体" w:hAnsi="宋体" w:eastAsia="宋体" w:cs="宋体"/>
          <w:color w:val="auto"/>
          <w:sz w:val="31"/>
          <w:szCs w:val="31"/>
        </w:rPr>
      </w:pPr>
      <w:r>
        <w:rPr>
          <w:rFonts w:ascii="宋体" w:hAnsi="宋体" w:eastAsia="宋体" w:cs="宋体"/>
          <w:b/>
          <w:bCs/>
          <w:color w:val="auto"/>
          <w:spacing w:val="5"/>
          <w:sz w:val="31"/>
          <w:szCs w:val="31"/>
        </w:rPr>
        <w:t>2.资格证明文件目录</w:t>
      </w:r>
    </w:p>
    <w:p w14:paraId="70E4F591">
      <w:pPr>
        <w:spacing w:line="297" w:lineRule="auto"/>
        <w:rPr>
          <w:rFonts w:ascii="Arial"/>
          <w:color w:val="auto"/>
          <w:sz w:val="21"/>
        </w:rPr>
      </w:pPr>
    </w:p>
    <w:p w14:paraId="38C82A3B">
      <w:pPr>
        <w:spacing w:before="101" w:line="373" w:lineRule="auto"/>
        <w:ind w:firstLine="636"/>
        <w:rPr>
          <w:rFonts w:ascii="宋体" w:hAnsi="宋体" w:eastAsia="宋体" w:cs="宋体"/>
          <w:color w:val="auto"/>
          <w:sz w:val="24"/>
          <w:szCs w:val="24"/>
        </w:rPr>
      </w:pPr>
      <w:r>
        <w:rPr>
          <w:rFonts w:ascii="宋体" w:hAnsi="宋体" w:eastAsia="宋体" w:cs="宋体"/>
          <w:color w:val="auto"/>
          <w:spacing w:val="14"/>
          <w:sz w:val="24"/>
          <w:szCs w:val="24"/>
        </w:rPr>
        <w:t>根据磋商文件规定及供应商提供的材料自行编写目录（部分格</w:t>
      </w:r>
      <w:r>
        <w:rPr>
          <w:rFonts w:ascii="宋体" w:hAnsi="宋体" w:eastAsia="宋体" w:cs="宋体"/>
          <w:color w:val="auto"/>
          <w:spacing w:val="2"/>
          <w:sz w:val="24"/>
          <w:szCs w:val="24"/>
        </w:rPr>
        <w:t>式后附）。</w:t>
      </w:r>
    </w:p>
    <w:p w14:paraId="2B97A59A">
      <w:pPr>
        <w:spacing w:line="373" w:lineRule="auto"/>
        <w:rPr>
          <w:rFonts w:ascii="宋体" w:hAnsi="宋体" w:eastAsia="宋体" w:cs="宋体"/>
          <w:color w:val="auto"/>
          <w:sz w:val="31"/>
          <w:szCs w:val="31"/>
        </w:rPr>
        <w:sectPr>
          <w:footerReference r:id="rId10" w:type="default"/>
          <w:pgSz w:w="11906" w:h="16839"/>
          <w:pgMar w:top="1338" w:right="1247" w:bottom="1362" w:left="1266" w:header="0" w:footer="1200" w:gutter="0"/>
          <w:pgNumType w:fmt="decimal"/>
          <w:cols w:space="720" w:num="1"/>
        </w:sectPr>
      </w:pPr>
    </w:p>
    <w:p w14:paraId="728FA759">
      <w:pPr>
        <w:spacing w:before="215" w:line="224" w:lineRule="auto"/>
        <w:ind w:left="2680"/>
        <w:rPr>
          <w:rFonts w:ascii="宋体" w:hAnsi="宋体" w:eastAsia="宋体" w:cs="宋体"/>
          <w:color w:val="auto"/>
          <w:sz w:val="31"/>
          <w:szCs w:val="31"/>
        </w:rPr>
      </w:pPr>
      <w:r>
        <w:rPr>
          <w:rFonts w:ascii="宋体" w:hAnsi="宋体" w:eastAsia="宋体" w:cs="宋体"/>
          <w:b/>
          <w:bCs/>
          <w:color w:val="auto"/>
          <w:spacing w:val="7"/>
          <w:sz w:val="31"/>
          <w:szCs w:val="31"/>
        </w:rPr>
        <w:t>供应商直接控股、管理关系信息表</w:t>
      </w:r>
    </w:p>
    <w:p w14:paraId="02144185">
      <w:pPr>
        <w:spacing w:line="352" w:lineRule="auto"/>
        <w:rPr>
          <w:rFonts w:ascii="Arial"/>
          <w:color w:val="auto"/>
          <w:sz w:val="21"/>
        </w:rPr>
      </w:pPr>
    </w:p>
    <w:p w14:paraId="327230D8">
      <w:pPr>
        <w:spacing w:line="352" w:lineRule="auto"/>
        <w:rPr>
          <w:rFonts w:ascii="Arial"/>
          <w:color w:val="auto"/>
          <w:sz w:val="21"/>
        </w:rPr>
      </w:pPr>
    </w:p>
    <w:p w14:paraId="63F77F8C">
      <w:pPr>
        <w:spacing w:before="101" w:line="224" w:lineRule="auto"/>
        <w:ind w:left="3025"/>
        <w:rPr>
          <w:rFonts w:ascii="宋体" w:hAnsi="宋体" w:eastAsia="宋体" w:cs="宋体"/>
          <w:color w:val="auto"/>
          <w:sz w:val="31"/>
          <w:szCs w:val="31"/>
        </w:rPr>
      </w:pPr>
      <w:r>
        <w:rPr>
          <w:rFonts w:ascii="宋体" w:hAnsi="宋体" w:eastAsia="宋体" w:cs="宋体"/>
          <w:b/>
          <w:bCs/>
          <w:color w:val="auto"/>
          <w:spacing w:val="4"/>
          <w:sz w:val="31"/>
          <w:szCs w:val="31"/>
        </w:rPr>
        <w:t>1.供应商直接控股股东信息表</w:t>
      </w:r>
    </w:p>
    <w:p w14:paraId="41BB4107">
      <w:pPr>
        <w:spacing w:before="40"/>
        <w:rPr>
          <w:color w:val="auto"/>
        </w:rPr>
      </w:pPr>
    </w:p>
    <w:p w14:paraId="4FDE32C3">
      <w:pPr>
        <w:spacing w:before="40"/>
        <w:rPr>
          <w:color w:val="auto"/>
        </w:rPr>
      </w:pPr>
    </w:p>
    <w:tbl>
      <w:tblPr>
        <w:tblStyle w:val="10"/>
        <w:tblW w:w="101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4"/>
        <w:gridCol w:w="2654"/>
        <w:gridCol w:w="1454"/>
        <w:gridCol w:w="4285"/>
        <w:gridCol w:w="874"/>
      </w:tblGrid>
      <w:tr w14:paraId="3BA72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884" w:type="dxa"/>
            <w:vAlign w:val="top"/>
          </w:tcPr>
          <w:p w14:paraId="39BA3FC7">
            <w:pPr>
              <w:pStyle w:val="9"/>
              <w:spacing w:before="239" w:line="221" w:lineRule="auto"/>
              <w:ind w:left="206"/>
              <w:rPr>
                <w:color w:val="auto"/>
                <w:sz w:val="24"/>
                <w:szCs w:val="24"/>
              </w:rPr>
            </w:pPr>
            <w:r>
              <w:rPr>
                <w:b/>
                <w:bCs/>
                <w:color w:val="auto"/>
                <w:spacing w:val="-7"/>
                <w:sz w:val="24"/>
                <w:szCs w:val="24"/>
              </w:rPr>
              <w:t>序号</w:t>
            </w:r>
          </w:p>
        </w:tc>
        <w:tc>
          <w:tcPr>
            <w:tcW w:w="2654" w:type="dxa"/>
            <w:vAlign w:val="top"/>
          </w:tcPr>
          <w:p w14:paraId="323B4EC7">
            <w:pPr>
              <w:pStyle w:val="9"/>
              <w:spacing w:before="239" w:line="219" w:lineRule="auto"/>
              <w:ind w:left="369"/>
              <w:rPr>
                <w:color w:val="auto"/>
                <w:sz w:val="24"/>
                <w:szCs w:val="24"/>
              </w:rPr>
            </w:pPr>
            <w:r>
              <w:rPr>
                <w:b/>
                <w:bCs/>
                <w:color w:val="auto"/>
                <w:spacing w:val="-4"/>
                <w:sz w:val="24"/>
                <w:szCs w:val="24"/>
              </w:rPr>
              <w:t>直接控股股东名称</w:t>
            </w:r>
          </w:p>
        </w:tc>
        <w:tc>
          <w:tcPr>
            <w:tcW w:w="1454" w:type="dxa"/>
            <w:vAlign w:val="top"/>
          </w:tcPr>
          <w:p w14:paraId="1F3813AC">
            <w:pPr>
              <w:pStyle w:val="9"/>
              <w:spacing w:before="239" w:line="221" w:lineRule="auto"/>
              <w:ind w:left="271"/>
              <w:rPr>
                <w:color w:val="auto"/>
                <w:sz w:val="24"/>
                <w:szCs w:val="24"/>
              </w:rPr>
            </w:pPr>
            <w:r>
              <w:rPr>
                <w:b/>
                <w:bCs/>
                <w:color w:val="auto"/>
                <w:spacing w:val="-10"/>
                <w:sz w:val="24"/>
                <w:szCs w:val="24"/>
              </w:rPr>
              <w:t>出资比例</w:t>
            </w:r>
          </w:p>
        </w:tc>
        <w:tc>
          <w:tcPr>
            <w:tcW w:w="4285" w:type="dxa"/>
            <w:vAlign w:val="top"/>
          </w:tcPr>
          <w:p w14:paraId="560725ED">
            <w:pPr>
              <w:pStyle w:val="9"/>
              <w:spacing w:before="238" w:line="219" w:lineRule="auto"/>
              <w:ind w:left="348"/>
              <w:rPr>
                <w:color w:val="auto"/>
                <w:sz w:val="24"/>
                <w:szCs w:val="24"/>
              </w:rPr>
            </w:pPr>
            <w:r>
              <w:rPr>
                <w:b/>
                <w:bCs/>
                <w:color w:val="auto"/>
                <w:spacing w:val="-3"/>
                <w:sz w:val="24"/>
                <w:szCs w:val="24"/>
              </w:rPr>
              <w:t>身份证号码或者统一社会信用代码</w:t>
            </w:r>
          </w:p>
        </w:tc>
        <w:tc>
          <w:tcPr>
            <w:tcW w:w="874" w:type="dxa"/>
            <w:vAlign w:val="top"/>
          </w:tcPr>
          <w:p w14:paraId="4F32CB94">
            <w:pPr>
              <w:pStyle w:val="9"/>
              <w:spacing w:before="239" w:line="221" w:lineRule="auto"/>
              <w:ind w:left="204"/>
              <w:rPr>
                <w:color w:val="auto"/>
                <w:sz w:val="24"/>
                <w:szCs w:val="24"/>
              </w:rPr>
            </w:pPr>
            <w:r>
              <w:rPr>
                <w:b/>
                <w:bCs/>
                <w:color w:val="auto"/>
                <w:spacing w:val="-9"/>
                <w:sz w:val="24"/>
                <w:szCs w:val="24"/>
              </w:rPr>
              <w:t>备注</w:t>
            </w:r>
          </w:p>
        </w:tc>
      </w:tr>
      <w:tr w14:paraId="32DBB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84" w:type="dxa"/>
            <w:vAlign w:val="top"/>
          </w:tcPr>
          <w:p w14:paraId="75752EAB">
            <w:pPr>
              <w:pStyle w:val="9"/>
              <w:spacing w:before="234" w:line="241" w:lineRule="auto"/>
              <w:ind w:left="407"/>
              <w:rPr>
                <w:color w:val="auto"/>
                <w:sz w:val="24"/>
                <w:szCs w:val="24"/>
              </w:rPr>
            </w:pPr>
            <w:r>
              <w:rPr>
                <w:color w:val="auto"/>
                <w:sz w:val="24"/>
                <w:szCs w:val="24"/>
              </w:rPr>
              <w:t>1</w:t>
            </w:r>
          </w:p>
        </w:tc>
        <w:tc>
          <w:tcPr>
            <w:tcW w:w="2654" w:type="dxa"/>
            <w:vAlign w:val="top"/>
          </w:tcPr>
          <w:p w14:paraId="06BF65A6">
            <w:pPr>
              <w:rPr>
                <w:rFonts w:ascii="Arial"/>
                <w:color w:val="auto"/>
                <w:sz w:val="21"/>
              </w:rPr>
            </w:pPr>
          </w:p>
        </w:tc>
        <w:tc>
          <w:tcPr>
            <w:tcW w:w="1454" w:type="dxa"/>
            <w:vAlign w:val="top"/>
          </w:tcPr>
          <w:p w14:paraId="34D98B1B">
            <w:pPr>
              <w:rPr>
                <w:rFonts w:ascii="Arial"/>
                <w:color w:val="auto"/>
                <w:sz w:val="21"/>
              </w:rPr>
            </w:pPr>
          </w:p>
        </w:tc>
        <w:tc>
          <w:tcPr>
            <w:tcW w:w="4285" w:type="dxa"/>
            <w:vAlign w:val="top"/>
          </w:tcPr>
          <w:p w14:paraId="453E37A7">
            <w:pPr>
              <w:rPr>
                <w:rFonts w:ascii="Arial"/>
                <w:color w:val="auto"/>
                <w:sz w:val="21"/>
              </w:rPr>
            </w:pPr>
          </w:p>
        </w:tc>
        <w:tc>
          <w:tcPr>
            <w:tcW w:w="874" w:type="dxa"/>
            <w:vAlign w:val="top"/>
          </w:tcPr>
          <w:p w14:paraId="7FF26134">
            <w:pPr>
              <w:rPr>
                <w:rFonts w:ascii="Arial"/>
                <w:color w:val="auto"/>
                <w:sz w:val="21"/>
              </w:rPr>
            </w:pPr>
          </w:p>
        </w:tc>
      </w:tr>
      <w:tr w14:paraId="1E78B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84" w:type="dxa"/>
            <w:vAlign w:val="top"/>
          </w:tcPr>
          <w:p w14:paraId="699B8F4E">
            <w:pPr>
              <w:pStyle w:val="9"/>
              <w:spacing w:before="235" w:line="241" w:lineRule="auto"/>
              <w:ind w:left="393"/>
              <w:rPr>
                <w:color w:val="auto"/>
                <w:sz w:val="24"/>
                <w:szCs w:val="24"/>
              </w:rPr>
            </w:pPr>
            <w:r>
              <w:rPr>
                <w:color w:val="auto"/>
                <w:sz w:val="24"/>
                <w:szCs w:val="24"/>
              </w:rPr>
              <w:t>2</w:t>
            </w:r>
          </w:p>
        </w:tc>
        <w:tc>
          <w:tcPr>
            <w:tcW w:w="2654" w:type="dxa"/>
            <w:vAlign w:val="top"/>
          </w:tcPr>
          <w:p w14:paraId="51104F66">
            <w:pPr>
              <w:rPr>
                <w:rFonts w:ascii="Arial"/>
                <w:color w:val="auto"/>
                <w:sz w:val="21"/>
              </w:rPr>
            </w:pPr>
          </w:p>
        </w:tc>
        <w:tc>
          <w:tcPr>
            <w:tcW w:w="1454" w:type="dxa"/>
            <w:vAlign w:val="top"/>
          </w:tcPr>
          <w:p w14:paraId="799D60A0">
            <w:pPr>
              <w:rPr>
                <w:rFonts w:ascii="Arial"/>
                <w:color w:val="auto"/>
                <w:sz w:val="21"/>
              </w:rPr>
            </w:pPr>
          </w:p>
        </w:tc>
        <w:tc>
          <w:tcPr>
            <w:tcW w:w="4285" w:type="dxa"/>
            <w:vAlign w:val="top"/>
          </w:tcPr>
          <w:p w14:paraId="257D1BFB">
            <w:pPr>
              <w:rPr>
                <w:rFonts w:ascii="Arial"/>
                <w:color w:val="auto"/>
                <w:sz w:val="21"/>
              </w:rPr>
            </w:pPr>
          </w:p>
        </w:tc>
        <w:tc>
          <w:tcPr>
            <w:tcW w:w="874" w:type="dxa"/>
            <w:vAlign w:val="top"/>
          </w:tcPr>
          <w:p w14:paraId="3EF0C524">
            <w:pPr>
              <w:rPr>
                <w:rFonts w:ascii="Arial"/>
                <w:color w:val="auto"/>
                <w:sz w:val="21"/>
              </w:rPr>
            </w:pPr>
          </w:p>
        </w:tc>
      </w:tr>
      <w:tr w14:paraId="7F4AF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84" w:type="dxa"/>
            <w:vAlign w:val="top"/>
          </w:tcPr>
          <w:p w14:paraId="2675FAE5">
            <w:pPr>
              <w:pStyle w:val="9"/>
              <w:spacing w:before="235"/>
              <w:ind w:left="394"/>
              <w:rPr>
                <w:color w:val="auto"/>
                <w:sz w:val="24"/>
                <w:szCs w:val="24"/>
              </w:rPr>
            </w:pPr>
            <w:r>
              <w:rPr>
                <w:color w:val="auto"/>
                <w:sz w:val="24"/>
                <w:szCs w:val="24"/>
              </w:rPr>
              <w:t>3</w:t>
            </w:r>
          </w:p>
        </w:tc>
        <w:tc>
          <w:tcPr>
            <w:tcW w:w="2654" w:type="dxa"/>
            <w:vAlign w:val="top"/>
          </w:tcPr>
          <w:p w14:paraId="2A79E573">
            <w:pPr>
              <w:rPr>
                <w:rFonts w:ascii="Arial"/>
                <w:color w:val="auto"/>
                <w:sz w:val="21"/>
              </w:rPr>
            </w:pPr>
          </w:p>
        </w:tc>
        <w:tc>
          <w:tcPr>
            <w:tcW w:w="1454" w:type="dxa"/>
            <w:vAlign w:val="top"/>
          </w:tcPr>
          <w:p w14:paraId="0544F294">
            <w:pPr>
              <w:rPr>
                <w:rFonts w:ascii="Arial"/>
                <w:color w:val="auto"/>
                <w:sz w:val="21"/>
              </w:rPr>
            </w:pPr>
          </w:p>
        </w:tc>
        <w:tc>
          <w:tcPr>
            <w:tcW w:w="4285" w:type="dxa"/>
            <w:vAlign w:val="top"/>
          </w:tcPr>
          <w:p w14:paraId="7F0EA382">
            <w:pPr>
              <w:rPr>
                <w:rFonts w:ascii="Arial"/>
                <w:color w:val="auto"/>
                <w:sz w:val="21"/>
              </w:rPr>
            </w:pPr>
          </w:p>
        </w:tc>
        <w:tc>
          <w:tcPr>
            <w:tcW w:w="874" w:type="dxa"/>
            <w:vAlign w:val="top"/>
          </w:tcPr>
          <w:p w14:paraId="6DBB41B6">
            <w:pPr>
              <w:rPr>
                <w:rFonts w:ascii="Arial"/>
                <w:color w:val="auto"/>
                <w:sz w:val="21"/>
              </w:rPr>
            </w:pPr>
          </w:p>
        </w:tc>
      </w:tr>
      <w:tr w14:paraId="2FD6C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84" w:type="dxa"/>
            <w:vAlign w:val="top"/>
          </w:tcPr>
          <w:p w14:paraId="283F8D2F">
            <w:pPr>
              <w:pStyle w:val="9"/>
              <w:spacing w:before="236" w:line="378" w:lineRule="exact"/>
              <w:ind w:left="225"/>
              <w:rPr>
                <w:color w:val="auto"/>
                <w:sz w:val="24"/>
                <w:szCs w:val="24"/>
              </w:rPr>
            </w:pPr>
            <w:r>
              <w:rPr>
                <w:color w:val="auto"/>
                <w:spacing w:val="-13"/>
                <w:position w:val="3"/>
                <w:sz w:val="24"/>
                <w:szCs w:val="24"/>
              </w:rPr>
              <w:t>……</w:t>
            </w:r>
          </w:p>
        </w:tc>
        <w:tc>
          <w:tcPr>
            <w:tcW w:w="2654" w:type="dxa"/>
            <w:vAlign w:val="top"/>
          </w:tcPr>
          <w:p w14:paraId="41CC36E2">
            <w:pPr>
              <w:rPr>
                <w:rFonts w:ascii="Arial"/>
                <w:color w:val="auto"/>
                <w:sz w:val="21"/>
              </w:rPr>
            </w:pPr>
          </w:p>
        </w:tc>
        <w:tc>
          <w:tcPr>
            <w:tcW w:w="1454" w:type="dxa"/>
            <w:vAlign w:val="top"/>
          </w:tcPr>
          <w:p w14:paraId="45096E0A">
            <w:pPr>
              <w:rPr>
                <w:rFonts w:ascii="Arial"/>
                <w:color w:val="auto"/>
                <w:sz w:val="21"/>
              </w:rPr>
            </w:pPr>
          </w:p>
        </w:tc>
        <w:tc>
          <w:tcPr>
            <w:tcW w:w="4285" w:type="dxa"/>
            <w:vAlign w:val="top"/>
          </w:tcPr>
          <w:p w14:paraId="2B299073">
            <w:pPr>
              <w:rPr>
                <w:rFonts w:ascii="Arial"/>
                <w:color w:val="auto"/>
                <w:sz w:val="21"/>
              </w:rPr>
            </w:pPr>
          </w:p>
        </w:tc>
        <w:tc>
          <w:tcPr>
            <w:tcW w:w="874" w:type="dxa"/>
            <w:vAlign w:val="top"/>
          </w:tcPr>
          <w:p w14:paraId="47B6E161">
            <w:pPr>
              <w:rPr>
                <w:rFonts w:ascii="Arial"/>
                <w:color w:val="auto"/>
                <w:sz w:val="21"/>
              </w:rPr>
            </w:pPr>
          </w:p>
        </w:tc>
      </w:tr>
    </w:tbl>
    <w:p w14:paraId="4DE7E7C0">
      <w:pPr>
        <w:spacing w:before="114" w:line="224" w:lineRule="auto"/>
        <w:ind w:left="383"/>
        <w:rPr>
          <w:rFonts w:ascii="宋体" w:hAnsi="宋体" w:eastAsia="宋体" w:cs="宋体"/>
          <w:color w:val="auto"/>
          <w:sz w:val="24"/>
          <w:szCs w:val="24"/>
        </w:rPr>
      </w:pPr>
      <w:r>
        <w:rPr>
          <w:rFonts w:ascii="宋体" w:hAnsi="宋体" w:eastAsia="宋体" w:cs="宋体"/>
          <w:color w:val="auto"/>
          <w:spacing w:val="-5"/>
          <w:sz w:val="24"/>
          <w:szCs w:val="24"/>
        </w:rPr>
        <w:t>注：</w:t>
      </w:r>
    </w:p>
    <w:p w14:paraId="054FB653">
      <w:pPr>
        <w:spacing w:before="175" w:line="325" w:lineRule="auto"/>
        <w:ind w:left="382" w:right="422" w:firstLine="498"/>
        <w:rPr>
          <w:rFonts w:ascii="宋体" w:hAnsi="宋体" w:eastAsia="宋体" w:cs="宋体"/>
          <w:color w:val="auto"/>
          <w:sz w:val="24"/>
          <w:szCs w:val="24"/>
        </w:rPr>
      </w:pPr>
      <w:r>
        <w:rPr>
          <w:rFonts w:ascii="宋体" w:hAnsi="宋体" w:eastAsia="宋体" w:cs="宋体"/>
          <w:color w:val="auto"/>
          <w:spacing w:val="-1"/>
          <w:sz w:val="24"/>
          <w:szCs w:val="24"/>
        </w:rPr>
        <w:t>1.直接控股股东：是指其出资额占有限责任公司资本总额百分之五十以上或者其持有</w:t>
      </w:r>
      <w:r>
        <w:rPr>
          <w:rFonts w:ascii="宋体" w:hAnsi="宋体" w:eastAsia="宋体" w:cs="宋体"/>
          <w:color w:val="auto"/>
          <w:sz w:val="24"/>
          <w:szCs w:val="24"/>
        </w:rPr>
        <w:t>的股份占股份有限公司股份总额百分之五十以上的股东；出资额或</w:t>
      </w:r>
      <w:r>
        <w:rPr>
          <w:rFonts w:ascii="宋体" w:hAnsi="宋体" w:eastAsia="宋体" w:cs="宋体"/>
          <w:color w:val="auto"/>
          <w:spacing w:val="-1"/>
          <w:sz w:val="24"/>
          <w:szCs w:val="24"/>
        </w:rPr>
        <w:t>者持有股份的比例虽然</w:t>
      </w:r>
      <w:r>
        <w:rPr>
          <w:rFonts w:ascii="宋体" w:hAnsi="宋体" w:eastAsia="宋体" w:cs="宋体"/>
          <w:color w:val="auto"/>
          <w:sz w:val="24"/>
          <w:szCs w:val="24"/>
        </w:rPr>
        <w:t>不足百分之五十，但依其出资额或者持有的股份所享有的表决权已</w:t>
      </w:r>
      <w:r>
        <w:rPr>
          <w:rFonts w:ascii="宋体" w:hAnsi="宋体" w:eastAsia="宋体" w:cs="宋体"/>
          <w:color w:val="auto"/>
          <w:spacing w:val="-1"/>
          <w:sz w:val="24"/>
          <w:szCs w:val="24"/>
        </w:rPr>
        <w:t>足以对股东会、股东大会的决议产生重大影响的股东。</w:t>
      </w:r>
    </w:p>
    <w:p w14:paraId="1419ABA0">
      <w:pPr>
        <w:spacing w:before="185" w:line="289" w:lineRule="auto"/>
        <w:ind w:left="385" w:right="422" w:firstLine="480"/>
        <w:rPr>
          <w:rFonts w:ascii="宋体" w:hAnsi="宋体" w:eastAsia="宋体" w:cs="宋体"/>
          <w:color w:val="auto"/>
          <w:sz w:val="24"/>
          <w:szCs w:val="24"/>
        </w:rPr>
      </w:pPr>
      <w:r>
        <w:rPr>
          <w:rFonts w:ascii="宋体" w:hAnsi="宋体" w:eastAsia="宋体" w:cs="宋体"/>
          <w:color w:val="auto"/>
          <w:sz w:val="24"/>
          <w:szCs w:val="24"/>
        </w:rPr>
        <w:t>2.本表所指的控股关系仅限于直接控股关系，不包括</w:t>
      </w:r>
      <w:r>
        <w:rPr>
          <w:rFonts w:ascii="宋体" w:hAnsi="宋体" w:eastAsia="宋体" w:cs="宋体"/>
          <w:color w:val="auto"/>
          <w:spacing w:val="-1"/>
          <w:sz w:val="24"/>
          <w:szCs w:val="24"/>
        </w:rPr>
        <w:t>间接的控股关系。公司实际控制人与公司之间的关系不属于本表所指的直接控股关系。</w:t>
      </w:r>
    </w:p>
    <w:p w14:paraId="75C25D32">
      <w:pPr>
        <w:spacing w:before="183" w:line="219" w:lineRule="auto"/>
        <w:ind w:left="867"/>
        <w:rPr>
          <w:rFonts w:ascii="宋体" w:hAnsi="宋体" w:eastAsia="宋体" w:cs="宋体"/>
          <w:color w:val="auto"/>
          <w:sz w:val="24"/>
          <w:szCs w:val="24"/>
        </w:rPr>
      </w:pPr>
      <w:r>
        <w:rPr>
          <w:rFonts w:ascii="宋体" w:hAnsi="宋体" w:eastAsia="宋体" w:cs="宋体"/>
          <w:color w:val="auto"/>
          <w:spacing w:val="-1"/>
          <w:sz w:val="24"/>
          <w:szCs w:val="24"/>
        </w:rPr>
        <w:t>3.供应商不存在直接控股股东的，则在“</w:t>
      </w:r>
      <w:r>
        <w:rPr>
          <w:rFonts w:ascii="宋体" w:hAnsi="宋体" w:eastAsia="宋体" w:cs="宋体"/>
          <w:color w:val="auto"/>
          <w:spacing w:val="-2"/>
          <w:sz w:val="24"/>
          <w:szCs w:val="24"/>
        </w:rPr>
        <w:t>直接控股股东名称</w:t>
      </w:r>
      <w:r>
        <w:rPr>
          <w:rFonts w:ascii="宋体" w:hAnsi="宋体" w:eastAsia="宋体" w:cs="宋体"/>
          <w:color w:val="auto"/>
          <w:spacing w:val="-88"/>
          <w:sz w:val="24"/>
          <w:szCs w:val="24"/>
        </w:rPr>
        <w:t xml:space="preserve"> </w:t>
      </w:r>
      <w:r>
        <w:rPr>
          <w:rFonts w:ascii="宋体" w:hAnsi="宋体" w:eastAsia="宋体" w:cs="宋体"/>
          <w:color w:val="auto"/>
          <w:spacing w:val="-2"/>
          <w:sz w:val="24"/>
          <w:szCs w:val="24"/>
        </w:rPr>
        <w:t>”填“无</w:t>
      </w:r>
      <w:r>
        <w:rPr>
          <w:rFonts w:ascii="宋体" w:hAnsi="宋体" w:eastAsia="宋体" w:cs="宋体"/>
          <w:color w:val="auto"/>
          <w:spacing w:val="-88"/>
          <w:sz w:val="24"/>
          <w:szCs w:val="24"/>
        </w:rPr>
        <w:t xml:space="preserve"> </w:t>
      </w:r>
      <w:r>
        <w:rPr>
          <w:rFonts w:ascii="宋体" w:hAnsi="宋体" w:eastAsia="宋体" w:cs="宋体"/>
          <w:color w:val="auto"/>
          <w:spacing w:val="-2"/>
          <w:sz w:val="24"/>
          <w:szCs w:val="24"/>
        </w:rPr>
        <w:t>”。</w:t>
      </w:r>
    </w:p>
    <w:p w14:paraId="24360280">
      <w:pPr>
        <w:spacing w:line="275" w:lineRule="auto"/>
        <w:rPr>
          <w:rFonts w:ascii="Arial"/>
          <w:color w:val="auto"/>
          <w:sz w:val="21"/>
        </w:rPr>
      </w:pPr>
    </w:p>
    <w:p w14:paraId="1FA2100A">
      <w:pPr>
        <w:spacing w:line="276" w:lineRule="auto"/>
        <w:rPr>
          <w:rFonts w:ascii="Arial"/>
          <w:color w:val="auto"/>
          <w:sz w:val="21"/>
        </w:rPr>
      </w:pPr>
    </w:p>
    <w:p w14:paraId="10C56158">
      <w:pPr>
        <w:spacing w:line="276" w:lineRule="auto"/>
        <w:rPr>
          <w:rFonts w:ascii="Arial"/>
          <w:color w:val="auto"/>
          <w:sz w:val="21"/>
        </w:rPr>
      </w:pPr>
    </w:p>
    <w:p w14:paraId="2209A79A">
      <w:pPr>
        <w:spacing w:line="276" w:lineRule="auto"/>
        <w:rPr>
          <w:rFonts w:ascii="Arial"/>
          <w:color w:val="auto"/>
          <w:sz w:val="21"/>
        </w:rPr>
      </w:pPr>
    </w:p>
    <w:p w14:paraId="5387751F">
      <w:pPr>
        <w:spacing w:line="276" w:lineRule="auto"/>
        <w:rPr>
          <w:rFonts w:ascii="Arial"/>
          <w:color w:val="auto"/>
          <w:sz w:val="21"/>
        </w:rPr>
      </w:pPr>
    </w:p>
    <w:p w14:paraId="188EB1FE">
      <w:pPr>
        <w:spacing w:line="276" w:lineRule="auto"/>
        <w:rPr>
          <w:rFonts w:ascii="Arial"/>
          <w:color w:val="auto"/>
          <w:sz w:val="21"/>
        </w:rPr>
      </w:pPr>
    </w:p>
    <w:p w14:paraId="15A390DB">
      <w:pPr>
        <w:spacing w:before="78" w:line="219" w:lineRule="auto"/>
        <w:ind w:left="3383"/>
        <w:rPr>
          <w:rFonts w:ascii="宋体" w:hAnsi="宋体" w:eastAsia="宋体" w:cs="宋体"/>
          <w:color w:val="auto"/>
          <w:sz w:val="24"/>
          <w:szCs w:val="24"/>
        </w:rPr>
      </w:pPr>
      <w:r>
        <w:rPr>
          <w:rFonts w:ascii="宋体" w:hAnsi="宋体" w:eastAsia="宋体" w:cs="宋体"/>
          <w:color w:val="auto"/>
          <w:spacing w:val="-2"/>
          <w:sz w:val="24"/>
          <w:szCs w:val="24"/>
        </w:rPr>
        <w:t>供应商（电子签章</w:t>
      </w:r>
      <w:r>
        <w:rPr>
          <w:rFonts w:ascii="宋体" w:hAnsi="宋体" w:eastAsia="宋体" w:cs="宋体"/>
          <w:color w:val="auto"/>
          <w:spacing w:val="2"/>
          <w:sz w:val="24"/>
          <w:szCs w:val="24"/>
        </w:rPr>
        <w:t>）：</w:t>
      </w:r>
      <w:r>
        <w:rPr>
          <w:rFonts w:ascii="宋体" w:hAnsi="宋体" w:eastAsia="宋体" w:cs="宋体"/>
          <w:color w:val="auto"/>
          <w:spacing w:val="1"/>
          <w:sz w:val="24"/>
          <w:szCs w:val="24"/>
        </w:rPr>
        <w:t xml:space="preserve"> </w:t>
      </w:r>
      <w:r>
        <w:rPr>
          <w:rFonts w:ascii="宋体" w:hAnsi="宋体" w:eastAsia="宋体" w:cs="宋体"/>
          <w:color w:val="auto"/>
          <w:sz w:val="24"/>
          <w:szCs w:val="24"/>
          <w:u w:val="single" w:color="auto"/>
        </w:rPr>
        <w:t xml:space="preserve">                             </w:t>
      </w:r>
    </w:p>
    <w:p w14:paraId="065E299D">
      <w:pPr>
        <w:spacing w:before="184" w:line="219" w:lineRule="auto"/>
        <w:ind w:firstLine="5106" w:firstLineChars="2300"/>
        <w:rPr>
          <w:rFonts w:ascii="宋体" w:hAnsi="宋体" w:eastAsia="宋体" w:cs="宋体"/>
          <w:color w:val="auto"/>
          <w:sz w:val="24"/>
          <w:szCs w:val="24"/>
        </w:rPr>
      </w:pPr>
      <w:r>
        <w:rPr>
          <w:rFonts w:ascii="宋体" w:hAnsi="宋体" w:eastAsia="宋体" w:cs="宋体"/>
          <w:color w:val="auto"/>
          <w:spacing w:val="-9"/>
          <w:sz w:val="24"/>
          <w:szCs w:val="24"/>
        </w:rPr>
        <w:t>年</w:t>
      </w:r>
      <w:r>
        <w:rPr>
          <w:rFonts w:ascii="宋体" w:hAnsi="宋体" w:eastAsia="宋体" w:cs="宋体"/>
          <w:color w:val="auto"/>
          <w:spacing w:val="3"/>
          <w:sz w:val="24"/>
          <w:szCs w:val="24"/>
        </w:rPr>
        <w:t xml:space="preserve">    </w:t>
      </w:r>
      <w:r>
        <w:rPr>
          <w:rFonts w:ascii="宋体" w:hAnsi="宋体" w:eastAsia="宋体" w:cs="宋体"/>
          <w:color w:val="auto"/>
          <w:spacing w:val="-9"/>
          <w:sz w:val="24"/>
          <w:szCs w:val="24"/>
        </w:rPr>
        <w:t>月</w:t>
      </w:r>
      <w:r>
        <w:rPr>
          <w:rFonts w:ascii="宋体" w:hAnsi="宋体" w:eastAsia="宋体" w:cs="宋体"/>
          <w:color w:val="auto"/>
          <w:spacing w:val="13"/>
          <w:sz w:val="24"/>
          <w:szCs w:val="24"/>
        </w:rPr>
        <w:t xml:space="preserve">    </w:t>
      </w:r>
      <w:r>
        <w:rPr>
          <w:rFonts w:ascii="宋体" w:hAnsi="宋体" w:eastAsia="宋体" w:cs="宋体"/>
          <w:color w:val="auto"/>
          <w:spacing w:val="-9"/>
          <w:sz w:val="24"/>
          <w:szCs w:val="24"/>
        </w:rPr>
        <w:t>日</w:t>
      </w:r>
    </w:p>
    <w:p w14:paraId="75903AE3">
      <w:pPr>
        <w:spacing w:line="219" w:lineRule="auto"/>
        <w:rPr>
          <w:rFonts w:ascii="宋体" w:hAnsi="宋体" w:eastAsia="宋体" w:cs="宋体"/>
          <w:color w:val="auto"/>
          <w:sz w:val="24"/>
          <w:szCs w:val="24"/>
        </w:rPr>
        <w:sectPr>
          <w:footerReference r:id="rId11" w:type="default"/>
          <w:pgSz w:w="11906" w:h="16839"/>
          <w:pgMar w:top="1431" w:right="875" w:bottom="1362" w:left="874" w:header="0" w:footer="1200" w:gutter="0"/>
          <w:pgNumType w:fmt="decimal"/>
          <w:cols w:space="720" w:num="1"/>
        </w:sectPr>
      </w:pPr>
    </w:p>
    <w:p w14:paraId="1DF380C3">
      <w:pPr>
        <w:spacing w:before="63" w:line="224" w:lineRule="auto"/>
        <w:ind w:left="2775"/>
        <w:rPr>
          <w:rFonts w:ascii="宋体" w:hAnsi="宋体" w:eastAsia="宋体" w:cs="宋体"/>
          <w:color w:val="auto"/>
          <w:sz w:val="31"/>
          <w:szCs w:val="31"/>
        </w:rPr>
      </w:pPr>
      <w:r>
        <w:rPr>
          <w:rFonts w:ascii="宋体" w:hAnsi="宋体" w:eastAsia="宋体" w:cs="宋体"/>
          <w:b/>
          <w:bCs/>
          <w:color w:val="auto"/>
          <w:spacing w:val="5"/>
          <w:sz w:val="28"/>
          <w:szCs w:val="28"/>
        </w:rPr>
        <w:t>2.</w:t>
      </w:r>
      <w:r>
        <w:rPr>
          <w:rFonts w:ascii="宋体" w:hAnsi="宋体" w:eastAsia="宋体" w:cs="宋体"/>
          <w:b/>
          <w:bCs/>
          <w:color w:val="auto"/>
          <w:spacing w:val="5"/>
          <w:sz w:val="31"/>
          <w:szCs w:val="31"/>
        </w:rPr>
        <w:t>供应商直接管理关系信息表</w:t>
      </w:r>
    </w:p>
    <w:p w14:paraId="30211011">
      <w:pPr>
        <w:spacing w:before="214"/>
        <w:rPr>
          <w:color w:val="auto"/>
        </w:rPr>
      </w:pPr>
    </w:p>
    <w:tbl>
      <w:tblPr>
        <w:tblStyle w:val="10"/>
        <w:tblW w:w="96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2"/>
        <w:gridCol w:w="3598"/>
        <w:gridCol w:w="3553"/>
        <w:gridCol w:w="1693"/>
      </w:tblGrid>
      <w:tr w14:paraId="4C2DC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12" w:type="dxa"/>
            <w:vAlign w:val="top"/>
          </w:tcPr>
          <w:p w14:paraId="1395DD41">
            <w:pPr>
              <w:pStyle w:val="9"/>
              <w:spacing w:before="238" w:line="221" w:lineRule="auto"/>
              <w:ind w:left="170"/>
              <w:rPr>
                <w:color w:val="auto"/>
                <w:sz w:val="24"/>
                <w:szCs w:val="24"/>
              </w:rPr>
            </w:pPr>
            <w:r>
              <w:rPr>
                <w:b/>
                <w:bCs/>
                <w:color w:val="auto"/>
                <w:spacing w:val="-7"/>
                <w:sz w:val="24"/>
                <w:szCs w:val="24"/>
              </w:rPr>
              <w:t>序号</w:t>
            </w:r>
          </w:p>
        </w:tc>
        <w:tc>
          <w:tcPr>
            <w:tcW w:w="3598" w:type="dxa"/>
            <w:vAlign w:val="top"/>
          </w:tcPr>
          <w:p w14:paraId="6209550D">
            <w:pPr>
              <w:pStyle w:val="9"/>
              <w:spacing w:before="238" w:line="219" w:lineRule="auto"/>
              <w:ind w:left="601"/>
              <w:rPr>
                <w:color w:val="auto"/>
                <w:sz w:val="24"/>
                <w:szCs w:val="24"/>
              </w:rPr>
            </w:pPr>
            <w:r>
              <w:rPr>
                <w:b/>
                <w:bCs/>
                <w:color w:val="auto"/>
                <w:spacing w:val="-3"/>
                <w:sz w:val="24"/>
                <w:szCs w:val="24"/>
              </w:rPr>
              <w:t>直接管理关系单位名称</w:t>
            </w:r>
          </w:p>
        </w:tc>
        <w:tc>
          <w:tcPr>
            <w:tcW w:w="3553" w:type="dxa"/>
            <w:vAlign w:val="top"/>
          </w:tcPr>
          <w:p w14:paraId="45754243">
            <w:pPr>
              <w:pStyle w:val="9"/>
              <w:spacing w:before="237" w:line="219" w:lineRule="auto"/>
              <w:ind w:left="825"/>
              <w:rPr>
                <w:color w:val="auto"/>
                <w:sz w:val="24"/>
                <w:szCs w:val="24"/>
              </w:rPr>
            </w:pPr>
            <w:r>
              <w:rPr>
                <w:b/>
                <w:bCs/>
                <w:color w:val="auto"/>
                <w:spacing w:val="-4"/>
                <w:sz w:val="24"/>
                <w:szCs w:val="24"/>
              </w:rPr>
              <w:t>统一社会信用代码</w:t>
            </w:r>
          </w:p>
        </w:tc>
        <w:tc>
          <w:tcPr>
            <w:tcW w:w="1693" w:type="dxa"/>
            <w:vAlign w:val="top"/>
          </w:tcPr>
          <w:p w14:paraId="3BE5CC34">
            <w:pPr>
              <w:pStyle w:val="9"/>
              <w:spacing w:before="238" w:line="221" w:lineRule="auto"/>
              <w:ind w:left="615"/>
              <w:rPr>
                <w:color w:val="auto"/>
                <w:sz w:val="24"/>
                <w:szCs w:val="24"/>
              </w:rPr>
            </w:pPr>
            <w:r>
              <w:rPr>
                <w:b/>
                <w:bCs/>
                <w:color w:val="auto"/>
                <w:spacing w:val="-9"/>
                <w:sz w:val="24"/>
                <w:szCs w:val="24"/>
              </w:rPr>
              <w:t>备注</w:t>
            </w:r>
          </w:p>
        </w:tc>
      </w:tr>
      <w:tr w14:paraId="3740F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12" w:type="dxa"/>
            <w:vAlign w:val="top"/>
          </w:tcPr>
          <w:p w14:paraId="45C1F98A">
            <w:pPr>
              <w:pStyle w:val="9"/>
              <w:spacing w:before="234" w:line="241" w:lineRule="auto"/>
              <w:ind w:left="371"/>
              <w:rPr>
                <w:color w:val="auto"/>
                <w:sz w:val="24"/>
                <w:szCs w:val="24"/>
              </w:rPr>
            </w:pPr>
            <w:r>
              <w:rPr>
                <w:color w:val="auto"/>
                <w:sz w:val="24"/>
                <w:szCs w:val="24"/>
              </w:rPr>
              <w:t>1</w:t>
            </w:r>
          </w:p>
        </w:tc>
        <w:tc>
          <w:tcPr>
            <w:tcW w:w="3598" w:type="dxa"/>
            <w:vAlign w:val="top"/>
          </w:tcPr>
          <w:p w14:paraId="7B95C87C">
            <w:pPr>
              <w:rPr>
                <w:rFonts w:ascii="Arial"/>
                <w:color w:val="auto"/>
                <w:sz w:val="21"/>
              </w:rPr>
            </w:pPr>
          </w:p>
        </w:tc>
        <w:tc>
          <w:tcPr>
            <w:tcW w:w="3553" w:type="dxa"/>
            <w:vAlign w:val="top"/>
          </w:tcPr>
          <w:p w14:paraId="0B337DFB">
            <w:pPr>
              <w:rPr>
                <w:rFonts w:ascii="Arial"/>
                <w:color w:val="auto"/>
                <w:sz w:val="21"/>
              </w:rPr>
            </w:pPr>
          </w:p>
        </w:tc>
        <w:tc>
          <w:tcPr>
            <w:tcW w:w="1693" w:type="dxa"/>
            <w:vAlign w:val="top"/>
          </w:tcPr>
          <w:p w14:paraId="01CF873F">
            <w:pPr>
              <w:rPr>
                <w:rFonts w:ascii="Arial"/>
                <w:color w:val="auto"/>
                <w:sz w:val="21"/>
              </w:rPr>
            </w:pPr>
          </w:p>
        </w:tc>
      </w:tr>
      <w:tr w14:paraId="3326D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12" w:type="dxa"/>
            <w:vAlign w:val="top"/>
          </w:tcPr>
          <w:p w14:paraId="76343C45">
            <w:pPr>
              <w:pStyle w:val="9"/>
              <w:spacing w:before="235" w:line="241" w:lineRule="auto"/>
              <w:ind w:left="356"/>
              <w:rPr>
                <w:color w:val="auto"/>
                <w:sz w:val="24"/>
                <w:szCs w:val="24"/>
              </w:rPr>
            </w:pPr>
            <w:r>
              <w:rPr>
                <w:color w:val="auto"/>
                <w:sz w:val="24"/>
                <w:szCs w:val="24"/>
              </w:rPr>
              <w:t>2</w:t>
            </w:r>
          </w:p>
        </w:tc>
        <w:tc>
          <w:tcPr>
            <w:tcW w:w="3598" w:type="dxa"/>
            <w:vAlign w:val="top"/>
          </w:tcPr>
          <w:p w14:paraId="06BFADA6">
            <w:pPr>
              <w:rPr>
                <w:rFonts w:ascii="Arial"/>
                <w:color w:val="auto"/>
                <w:sz w:val="21"/>
              </w:rPr>
            </w:pPr>
          </w:p>
        </w:tc>
        <w:tc>
          <w:tcPr>
            <w:tcW w:w="3553" w:type="dxa"/>
            <w:vAlign w:val="top"/>
          </w:tcPr>
          <w:p w14:paraId="5028DB9F">
            <w:pPr>
              <w:rPr>
                <w:rFonts w:ascii="Arial"/>
                <w:color w:val="auto"/>
                <w:sz w:val="21"/>
              </w:rPr>
            </w:pPr>
          </w:p>
        </w:tc>
        <w:tc>
          <w:tcPr>
            <w:tcW w:w="1693" w:type="dxa"/>
            <w:vAlign w:val="top"/>
          </w:tcPr>
          <w:p w14:paraId="35181440">
            <w:pPr>
              <w:rPr>
                <w:rFonts w:ascii="Arial"/>
                <w:color w:val="auto"/>
                <w:sz w:val="21"/>
              </w:rPr>
            </w:pPr>
          </w:p>
        </w:tc>
      </w:tr>
      <w:tr w14:paraId="59615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12" w:type="dxa"/>
            <w:vAlign w:val="top"/>
          </w:tcPr>
          <w:p w14:paraId="799F3D09">
            <w:pPr>
              <w:pStyle w:val="9"/>
              <w:spacing w:before="238"/>
              <w:ind w:left="358"/>
              <w:rPr>
                <w:color w:val="auto"/>
                <w:sz w:val="24"/>
                <w:szCs w:val="24"/>
              </w:rPr>
            </w:pPr>
            <w:r>
              <w:rPr>
                <w:color w:val="auto"/>
                <w:sz w:val="24"/>
                <w:szCs w:val="24"/>
              </w:rPr>
              <w:t>3</w:t>
            </w:r>
          </w:p>
        </w:tc>
        <w:tc>
          <w:tcPr>
            <w:tcW w:w="3598" w:type="dxa"/>
            <w:vAlign w:val="top"/>
          </w:tcPr>
          <w:p w14:paraId="65DCB915">
            <w:pPr>
              <w:rPr>
                <w:rFonts w:ascii="Arial"/>
                <w:color w:val="auto"/>
                <w:sz w:val="21"/>
              </w:rPr>
            </w:pPr>
          </w:p>
        </w:tc>
        <w:tc>
          <w:tcPr>
            <w:tcW w:w="3553" w:type="dxa"/>
            <w:vAlign w:val="top"/>
          </w:tcPr>
          <w:p w14:paraId="6D169BF0">
            <w:pPr>
              <w:rPr>
                <w:rFonts w:ascii="Arial"/>
                <w:color w:val="auto"/>
                <w:sz w:val="21"/>
              </w:rPr>
            </w:pPr>
          </w:p>
        </w:tc>
        <w:tc>
          <w:tcPr>
            <w:tcW w:w="1693" w:type="dxa"/>
            <w:vAlign w:val="top"/>
          </w:tcPr>
          <w:p w14:paraId="6031D218">
            <w:pPr>
              <w:rPr>
                <w:rFonts w:ascii="Arial"/>
                <w:color w:val="auto"/>
                <w:sz w:val="21"/>
              </w:rPr>
            </w:pPr>
          </w:p>
        </w:tc>
      </w:tr>
      <w:tr w14:paraId="42816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812" w:type="dxa"/>
            <w:vAlign w:val="top"/>
          </w:tcPr>
          <w:p w14:paraId="797CAD88">
            <w:pPr>
              <w:pStyle w:val="9"/>
              <w:spacing w:before="239" w:line="378" w:lineRule="exact"/>
              <w:ind w:left="188"/>
              <w:rPr>
                <w:color w:val="auto"/>
                <w:sz w:val="24"/>
                <w:szCs w:val="24"/>
              </w:rPr>
            </w:pPr>
            <w:r>
              <w:rPr>
                <w:color w:val="auto"/>
                <w:spacing w:val="-13"/>
                <w:position w:val="3"/>
                <w:sz w:val="24"/>
                <w:szCs w:val="24"/>
              </w:rPr>
              <w:t>……</w:t>
            </w:r>
          </w:p>
        </w:tc>
        <w:tc>
          <w:tcPr>
            <w:tcW w:w="3598" w:type="dxa"/>
            <w:vAlign w:val="top"/>
          </w:tcPr>
          <w:p w14:paraId="74E23BB4">
            <w:pPr>
              <w:rPr>
                <w:rFonts w:ascii="Arial"/>
                <w:color w:val="auto"/>
                <w:sz w:val="21"/>
              </w:rPr>
            </w:pPr>
          </w:p>
        </w:tc>
        <w:tc>
          <w:tcPr>
            <w:tcW w:w="3553" w:type="dxa"/>
            <w:vAlign w:val="top"/>
          </w:tcPr>
          <w:p w14:paraId="6A9D2CF3">
            <w:pPr>
              <w:rPr>
                <w:rFonts w:ascii="Arial"/>
                <w:color w:val="auto"/>
                <w:sz w:val="21"/>
              </w:rPr>
            </w:pPr>
          </w:p>
        </w:tc>
        <w:tc>
          <w:tcPr>
            <w:tcW w:w="1693" w:type="dxa"/>
            <w:vAlign w:val="top"/>
          </w:tcPr>
          <w:p w14:paraId="0456941C">
            <w:pPr>
              <w:rPr>
                <w:rFonts w:ascii="Arial"/>
                <w:color w:val="auto"/>
                <w:sz w:val="21"/>
              </w:rPr>
            </w:pPr>
          </w:p>
        </w:tc>
      </w:tr>
    </w:tbl>
    <w:p w14:paraId="6B1E3ECA">
      <w:pPr>
        <w:spacing w:before="113" w:line="224" w:lineRule="auto"/>
        <w:ind w:left="135"/>
        <w:rPr>
          <w:rFonts w:ascii="宋体" w:hAnsi="宋体" w:eastAsia="宋体" w:cs="宋体"/>
          <w:color w:val="auto"/>
          <w:sz w:val="24"/>
          <w:szCs w:val="24"/>
        </w:rPr>
      </w:pPr>
      <w:r>
        <w:rPr>
          <w:rFonts w:ascii="宋体" w:hAnsi="宋体" w:eastAsia="宋体" w:cs="宋体"/>
          <w:color w:val="auto"/>
          <w:spacing w:val="-5"/>
          <w:sz w:val="24"/>
          <w:szCs w:val="24"/>
        </w:rPr>
        <w:t>注：</w:t>
      </w:r>
    </w:p>
    <w:p w14:paraId="2CD27259">
      <w:pPr>
        <w:spacing w:before="177" w:line="290" w:lineRule="auto"/>
        <w:ind w:left="139" w:right="175" w:firstLine="493"/>
        <w:rPr>
          <w:rFonts w:ascii="宋体" w:hAnsi="宋体" w:eastAsia="宋体" w:cs="宋体"/>
          <w:color w:val="auto"/>
          <w:sz w:val="24"/>
          <w:szCs w:val="24"/>
        </w:rPr>
      </w:pPr>
      <w:r>
        <w:rPr>
          <w:rFonts w:ascii="宋体" w:hAnsi="宋体" w:eastAsia="宋体" w:cs="宋体"/>
          <w:color w:val="auto"/>
          <w:spacing w:val="-1"/>
          <w:sz w:val="24"/>
          <w:szCs w:val="24"/>
        </w:rPr>
        <w:t>1.管理关系：是指不具有出资持股关系的其他单位之间存在的管理与被管理关系，如一些上下级关系的事业单位和团体组织。</w:t>
      </w:r>
    </w:p>
    <w:p w14:paraId="466C75B4">
      <w:pPr>
        <w:spacing w:before="182" w:line="219" w:lineRule="auto"/>
        <w:ind w:left="618"/>
        <w:rPr>
          <w:rFonts w:ascii="宋体" w:hAnsi="宋体" w:eastAsia="宋体" w:cs="宋体"/>
          <w:color w:val="auto"/>
          <w:sz w:val="24"/>
          <w:szCs w:val="24"/>
        </w:rPr>
      </w:pPr>
      <w:r>
        <w:rPr>
          <w:rFonts w:ascii="宋体" w:hAnsi="宋体" w:eastAsia="宋体" w:cs="宋体"/>
          <w:color w:val="auto"/>
          <w:spacing w:val="-11"/>
          <w:sz w:val="24"/>
          <w:szCs w:val="24"/>
        </w:rPr>
        <w:t>2.本表所指的管理关系仅限于直接管理关系，不包括间接的管理关系。</w:t>
      </w:r>
    </w:p>
    <w:p w14:paraId="77B11ECB">
      <w:pPr>
        <w:spacing w:before="183" w:line="219" w:lineRule="auto"/>
        <w:ind w:left="619"/>
        <w:rPr>
          <w:rFonts w:ascii="宋体" w:hAnsi="宋体" w:eastAsia="宋体" w:cs="宋体"/>
          <w:color w:val="auto"/>
          <w:sz w:val="24"/>
          <w:szCs w:val="24"/>
        </w:rPr>
      </w:pPr>
      <w:r>
        <w:rPr>
          <w:rFonts w:ascii="宋体" w:hAnsi="宋体" w:eastAsia="宋体" w:cs="宋体"/>
          <w:color w:val="auto"/>
          <w:spacing w:val="-1"/>
          <w:sz w:val="24"/>
          <w:szCs w:val="24"/>
        </w:rPr>
        <w:t>3.供应商不存在直接管理关系的，则在“直接管理</w:t>
      </w:r>
      <w:r>
        <w:rPr>
          <w:rFonts w:ascii="宋体" w:hAnsi="宋体" w:eastAsia="宋体" w:cs="宋体"/>
          <w:color w:val="auto"/>
          <w:spacing w:val="-2"/>
          <w:sz w:val="24"/>
          <w:szCs w:val="24"/>
        </w:rPr>
        <w:t>关系单位名称</w:t>
      </w:r>
      <w:r>
        <w:rPr>
          <w:rFonts w:ascii="宋体" w:hAnsi="宋体" w:eastAsia="宋体" w:cs="宋体"/>
          <w:color w:val="auto"/>
          <w:spacing w:val="-88"/>
          <w:sz w:val="24"/>
          <w:szCs w:val="24"/>
        </w:rPr>
        <w:t xml:space="preserve"> </w:t>
      </w:r>
      <w:r>
        <w:rPr>
          <w:rFonts w:ascii="宋体" w:hAnsi="宋体" w:eastAsia="宋体" w:cs="宋体"/>
          <w:color w:val="auto"/>
          <w:spacing w:val="-2"/>
          <w:sz w:val="24"/>
          <w:szCs w:val="24"/>
        </w:rPr>
        <w:t>”填“无</w:t>
      </w:r>
      <w:r>
        <w:rPr>
          <w:rFonts w:ascii="宋体" w:hAnsi="宋体" w:eastAsia="宋体" w:cs="宋体"/>
          <w:color w:val="auto"/>
          <w:spacing w:val="-88"/>
          <w:sz w:val="24"/>
          <w:szCs w:val="24"/>
        </w:rPr>
        <w:t xml:space="preserve"> </w:t>
      </w:r>
      <w:r>
        <w:rPr>
          <w:rFonts w:ascii="宋体" w:hAnsi="宋体" w:eastAsia="宋体" w:cs="宋体"/>
          <w:color w:val="auto"/>
          <w:spacing w:val="-2"/>
          <w:sz w:val="24"/>
          <w:szCs w:val="24"/>
        </w:rPr>
        <w:t>”。</w:t>
      </w:r>
    </w:p>
    <w:p w14:paraId="5CA64EBC">
      <w:pPr>
        <w:spacing w:line="252" w:lineRule="auto"/>
        <w:rPr>
          <w:rFonts w:ascii="Arial"/>
          <w:color w:val="auto"/>
          <w:sz w:val="21"/>
        </w:rPr>
      </w:pPr>
    </w:p>
    <w:p w14:paraId="6F63FCCE">
      <w:pPr>
        <w:spacing w:line="252" w:lineRule="auto"/>
        <w:rPr>
          <w:rFonts w:ascii="Arial"/>
          <w:color w:val="auto"/>
          <w:sz w:val="21"/>
        </w:rPr>
      </w:pPr>
    </w:p>
    <w:p w14:paraId="438EA59E">
      <w:pPr>
        <w:spacing w:line="252" w:lineRule="auto"/>
        <w:rPr>
          <w:rFonts w:ascii="Arial"/>
          <w:color w:val="auto"/>
          <w:sz w:val="21"/>
        </w:rPr>
      </w:pPr>
    </w:p>
    <w:p w14:paraId="44CD6EBB">
      <w:pPr>
        <w:spacing w:line="252" w:lineRule="auto"/>
        <w:rPr>
          <w:rFonts w:ascii="Arial"/>
          <w:color w:val="auto"/>
          <w:sz w:val="21"/>
        </w:rPr>
      </w:pPr>
    </w:p>
    <w:p w14:paraId="3E5A0A25">
      <w:pPr>
        <w:spacing w:line="252" w:lineRule="auto"/>
        <w:rPr>
          <w:rFonts w:ascii="Arial"/>
          <w:color w:val="auto"/>
          <w:sz w:val="21"/>
        </w:rPr>
      </w:pPr>
    </w:p>
    <w:p w14:paraId="23C45CD9">
      <w:pPr>
        <w:spacing w:line="252" w:lineRule="auto"/>
        <w:rPr>
          <w:rFonts w:ascii="Arial"/>
          <w:color w:val="auto"/>
          <w:sz w:val="21"/>
        </w:rPr>
      </w:pPr>
    </w:p>
    <w:p w14:paraId="15FFE539">
      <w:pPr>
        <w:spacing w:line="252" w:lineRule="auto"/>
        <w:rPr>
          <w:rFonts w:ascii="Arial"/>
          <w:color w:val="auto"/>
          <w:sz w:val="21"/>
        </w:rPr>
      </w:pPr>
    </w:p>
    <w:p w14:paraId="6B65EB63">
      <w:pPr>
        <w:spacing w:line="252" w:lineRule="auto"/>
        <w:rPr>
          <w:rFonts w:ascii="Arial"/>
          <w:color w:val="auto"/>
          <w:sz w:val="21"/>
        </w:rPr>
      </w:pPr>
    </w:p>
    <w:p w14:paraId="3AE7F96D">
      <w:pPr>
        <w:spacing w:line="252" w:lineRule="auto"/>
        <w:rPr>
          <w:rFonts w:ascii="Arial"/>
          <w:color w:val="auto"/>
          <w:sz w:val="21"/>
        </w:rPr>
      </w:pPr>
    </w:p>
    <w:p w14:paraId="522A0FB1">
      <w:pPr>
        <w:spacing w:line="252" w:lineRule="auto"/>
        <w:rPr>
          <w:rFonts w:ascii="Arial"/>
          <w:color w:val="auto"/>
          <w:sz w:val="21"/>
        </w:rPr>
      </w:pPr>
    </w:p>
    <w:p w14:paraId="13B264FE">
      <w:pPr>
        <w:spacing w:line="252" w:lineRule="auto"/>
        <w:rPr>
          <w:rFonts w:ascii="Arial"/>
          <w:color w:val="auto"/>
          <w:sz w:val="21"/>
        </w:rPr>
      </w:pPr>
    </w:p>
    <w:p w14:paraId="4B74F0C8">
      <w:pPr>
        <w:spacing w:line="253" w:lineRule="auto"/>
        <w:rPr>
          <w:rFonts w:ascii="Arial"/>
          <w:color w:val="auto"/>
          <w:sz w:val="21"/>
        </w:rPr>
      </w:pPr>
    </w:p>
    <w:p w14:paraId="1E39740F">
      <w:pPr>
        <w:spacing w:line="253" w:lineRule="auto"/>
        <w:rPr>
          <w:rFonts w:ascii="Arial"/>
          <w:color w:val="auto"/>
          <w:sz w:val="21"/>
        </w:rPr>
      </w:pPr>
    </w:p>
    <w:p w14:paraId="103EE44A">
      <w:pPr>
        <w:spacing w:line="253" w:lineRule="auto"/>
        <w:rPr>
          <w:rFonts w:ascii="Arial"/>
          <w:color w:val="auto"/>
          <w:sz w:val="21"/>
        </w:rPr>
      </w:pPr>
    </w:p>
    <w:p w14:paraId="1510AA4A">
      <w:pPr>
        <w:spacing w:line="253" w:lineRule="auto"/>
        <w:rPr>
          <w:rFonts w:ascii="Arial"/>
          <w:color w:val="auto"/>
          <w:sz w:val="21"/>
        </w:rPr>
      </w:pPr>
    </w:p>
    <w:p w14:paraId="218A8A30">
      <w:pPr>
        <w:spacing w:line="253" w:lineRule="auto"/>
        <w:rPr>
          <w:rFonts w:ascii="Arial"/>
          <w:color w:val="auto"/>
          <w:sz w:val="21"/>
        </w:rPr>
      </w:pPr>
    </w:p>
    <w:p w14:paraId="0F408E7E">
      <w:pPr>
        <w:spacing w:line="253" w:lineRule="auto"/>
        <w:rPr>
          <w:rFonts w:ascii="Arial"/>
          <w:color w:val="auto"/>
          <w:sz w:val="21"/>
        </w:rPr>
      </w:pPr>
    </w:p>
    <w:p w14:paraId="59B7B5A8">
      <w:pPr>
        <w:spacing w:before="79" w:line="219" w:lineRule="auto"/>
        <w:ind w:left="3495"/>
        <w:rPr>
          <w:rFonts w:ascii="宋体" w:hAnsi="宋体" w:eastAsia="宋体" w:cs="宋体"/>
          <w:color w:val="auto"/>
          <w:sz w:val="24"/>
          <w:szCs w:val="24"/>
        </w:rPr>
      </w:pPr>
      <w:r>
        <w:rPr>
          <w:rFonts w:ascii="宋体" w:hAnsi="宋体" w:eastAsia="宋体" w:cs="宋体"/>
          <w:color w:val="auto"/>
          <w:spacing w:val="-2"/>
          <w:sz w:val="24"/>
          <w:szCs w:val="24"/>
        </w:rPr>
        <w:t>供应商（电子签章</w:t>
      </w:r>
      <w:r>
        <w:rPr>
          <w:rFonts w:ascii="宋体" w:hAnsi="宋体" w:eastAsia="宋体" w:cs="宋体"/>
          <w:color w:val="auto"/>
          <w:spacing w:val="2"/>
          <w:sz w:val="24"/>
          <w:szCs w:val="24"/>
        </w:rPr>
        <w:t>）：</w:t>
      </w:r>
      <w:r>
        <w:rPr>
          <w:rFonts w:ascii="宋体" w:hAnsi="宋体" w:eastAsia="宋体" w:cs="宋体"/>
          <w:color w:val="auto"/>
          <w:sz w:val="24"/>
          <w:szCs w:val="24"/>
          <w:u w:val="single" w:color="auto"/>
        </w:rPr>
        <w:t xml:space="preserve">                </w:t>
      </w:r>
    </w:p>
    <w:p w14:paraId="12429999">
      <w:pPr>
        <w:spacing w:before="184" w:line="219" w:lineRule="auto"/>
        <w:ind w:left="5416"/>
        <w:rPr>
          <w:rFonts w:ascii="宋体" w:hAnsi="宋体" w:eastAsia="宋体" w:cs="宋体"/>
          <w:color w:val="auto"/>
          <w:sz w:val="24"/>
          <w:szCs w:val="24"/>
        </w:rPr>
      </w:pPr>
      <w:r>
        <w:rPr>
          <w:rFonts w:ascii="宋体" w:hAnsi="宋体" w:eastAsia="宋体" w:cs="宋体"/>
          <w:color w:val="auto"/>
          <w:spacing w:val="-9"/>
          <w:sz w:val="24"/>
          <w:szCs w:val="24"/>
        </w:rPr>
        <w:t>年</w:t>
      </w:r>
      <w:r>
        <w:rPr>
          <w:rFonts w:ascii="宋体" w:hAnsi="宋体" w:eastAsia="宋体" w:cs="宋体"/>
          <w:color w:val="auto"/>
          <w:spacing w:val="3"/>
          <w:sz w:val="24"/>
          <w:szCs w:val="24"/>
        </w:rPr>
        <w:t xml:space="preserve">    </w:t>
      </w:r>
      <w:r>
        <w:rPr>
          <w:rFonts w:ascii="宋体" w:hAnsi="宋体" w:eastAsia="宋体" w:cs="宋体"/>
          <w:color w:val="auto"/>
          <w:spacing w:val="-9"/>
          <w:sz w:val="24"/>
          <w:szCs w:val="24"/>
        </w:rPr>
        <w:t>月</w:t>
      </w:r>
      <w:r>
        <w:rPr>
          <w:rFonts w:ascii="宋体" w:hAnsi="宋体" w:eastAsia="宋体" w:cs="宋体"/>
          <w:color w:val="auto"/>
          <w:spacing w:val="13"/>
          <w:sz w:val="24"/>
          <w:szCs w:val="24"/>
        </w:rPr>
        <w:t xml:space="preserve">    </w:t>
      </w:r>
      <w:r>
        <w:rPr>
          <w:rFonts w:ascii="宋体" w:hAnsi="宋体" w:eastAsia="宋体" w:cs="宋体"/>
          <w:color w:val="auto"/>
          <w:spacing w:val="-9"/>
          <w:sz w:val="24"/>
          <w:szCs w:val="24"/>
        </w:rPr>
        <w:t>日</w:t>
      </w:r>
    </w:p>
    <w:p w14:paraId="71B0A54E">
      <w:pPr>
        <w:spacing w:line="219" w:lineRule="auto"/>
        <w:rPr>
          <w:rFonts w:ascii="宋体" w:hAnsi="宋体" w:eastAsia="宋体" w:cs="宋体"/>
          <w:color w:val="auto"/>
          <w:sz w:val="24"/>
          <w:szCs w:val="24"/>
        </w:rPr>
        <w:sectPr>
          <w:footerReference r:id="rId12" w:type="default"/>
          <w:pgSz w:w="11906" w:h="16839"/>
          <w:pgMar w:top="1232" w:right="1122" w:bottom="1362" w:left="1122" w:header="0" w:footer="1200" w:gutter="0"/>
          <w:pgNumType w:fmt="decimal"/>
          <w:cols w:space="720" w:num="1"/>
        </w:sectPr>
      </w:pPr>
    </w:p>
    <w:p w14:paraId="595A07B8">
      <w:pPr>
        <w:spacing w:before="63" w:line="225" w:lineRule="auto"/>
        <w:ind w:left="4067"/>
        <w:rPr>
          <w:rFonts w:ascii="宋体" w:hAnsi="宋体" w:eastAsia="宋体" w:cs="宋体"/>
          <w:color w:val="auto"/>
          <w:sz w:val="31"/>
          <w:szCs w:val="31"/>
        </w:rPr>
      </w:pPr>
      <w:r>
        <w:rPr>
          <w:rFonts w:ascii="宋体" w:hAnsi="宋体" w:eastAsia="宋体" w:cs="宋体"/>
          <w:b/>
          <w:bCs/>
          <w:color w:val="auto"/>
          <w:spacing w:val="3"/>
          <w:sz w:val="31"/>
          <w:szCs w:val="31"/>
        </w:rPr>
        <w:t>竞标声明</w:t>
      </w:r>
    </w:p>
    <w:p w14:paraId="406B9C50">
      <w:pPr>
        <w:spacing w:line="339" w:lineRule="auto"/>
        <w:rPr>
          <w:rFonts w:ascii="Arial"/>
          <w:color w:val="auto"/>
          <w:sz w:val="21"/>
        </w:rPr>
      </w:pPr>
    </w:p>
    <w:p w14:paraId="7802A90D">
      <w:pPr>
        <w:spacing w:before="78" w:line="219" w:lineRule="auto"/>
        <w:rPr>
          <w:rFonts w:ascii="宋体" w:hAnsi="宋体" w:eastAsia="宋体" w:cs="宋体"/>
          <w:color w:val="auto"/>
          <w:sz w:val="24"/>
          <w:szCs w:val="24"/>
        </w:rPr>
      </w:pPr>
      <w:r>
        <w:rPr>
          <w:rFonts w:ascii="宋体" w:hAnsi="宋体" w:eastAsia="宋体" w:cs="宋体"/>
          <w:color w:val="auto"/>
          <w:spacing w:val="9"/>
          <w:sz w:val="24"/>
          <w:szCs w:val="24"/>
        </w:rPr>
        <w:t>致</w:t>
      </w:r>
      <w:r>
        <w:rPr>
          <w:rFonts w:ascii="宋体" w:hAnsi="宋体" w:eastAsia="宋体" w:cs="宋体"/>
          <w:color w:val="auto"/>
          <w:spacing w:val="-17"/>
          <w:sz w:val="24"/>
          <w:szCs w:val="24"/>
        </w:rPr>
        <w:t>：</w:t>
      </w:r>
      <w:r>
        <w:rPr>
          <w:rFonts w:ascii="宋体" w:hAnsi="宋体" w:eastAsia="宋体" w:cs="宋体"/>
          <w:color w:val="auto"/>
          <w:spacing w:val="-17"/>
          <w:sz w:val="24"/>
          <w:szCs w:val="24"/>
          <w:u w:val="single" w:color="auto"/>
        </w:rPr>
        <w:t>（</w:t>
      </w:r>
      <w:r>
        <w:rPr>
          <w:rFonts w:ascii="宋体" w:hAnsi="宋体" w:eastAsia="宋体" w:cs="宋体"/>
          <w:color w:val="auto"/>
          <w:spacing w:val="9"/>
          <w:sz w:val="24"/>
          <w:szCs w:val="24"/>
          <w:u w:val="single" w:color="auto"/>
        </w:rPr>
        <w:t>采购人名称</w:t>
      </w:r>
      <w:r>
        <w:rPr>
          <w:rFonts w:ascii="宋体" w:hAnsi="宋体" w:eastAsia="宋体" w:cs="宋体"/>
          <w:color w:val="auto"/>
          <w:spacing w:val="-17"/>
          <w:sz w:val="24"/>
          <w:szCs w:val="24"/>
          <w:u w:val="single" w:color="auto"/>
        </w:rPr>
        <w:t>）</w:t>
      </w:r>
      <w:r>
        <w:rPr>
          <w:rFonts w:ascii="宋体" w:hAnsi="宋体" w:eastAsia="宋体" w:cs="宋体"/>
          <w:color w:val="auto"/>
          <w:spacing w:val="-17"/>
          <w:sz w:val="24"/>
          <w:szCs w:val="24"/>
        </w:rPr>
        <w:t>：</w:t>
      </w:r>
    </w:p>
    <w:p w14:paraId="36C30E54">
      <w:pPr>
        <w:tabs>
          <w:tab w:val="left" w:pos="605"/>
        </w:tabs>
        <w:spacing w:before="183" w:line="219" w:lineRule="auto"/>
        <w:ind w:left="470"/>
        <w:rPr>
          <w:rFonts w:ascii="宋体" w:hAnsi="宋体" w:eastAsia="宋体" w:cs="宋体"/>
          <w:color w:val="auto"/>
          <w:sz w:val="24"/>
          <w:szCs w:val="24"/>
        </w:rPr>
      </w:pPr>
      <w:r>
        <w:rPr>
          <w:rFonts w:ascii="宋体" w:hAnsi="宋体" w:eastAsia="宋体" w:cs="宋体"/>
          <w:color w:val="auto"/>
          <w:sz w:val="24"/>
          <w:szCs w:val="24"/>
          <w:u w:val="single" w:color="auto"/>
        </w:rPr>
        <w:tab/>
      </w:r>
      <w:r>
        <w:rPr>
          <w:rFonts w:ascii="宋体" w:hAnsi="宋体" w:eastAsia="宋体" w:cs="宋体"/>
          <w:color w:val="auto"/>
          <w:spacing w:val="-10"/>
          <w:sz w:val="24"/>
          <w:szCs w:val="24"/>
          <w:u w:val="single" w:color="auto"/>
        </w:rPr>
        <w:t>（供应商名称）</w:t>
      </w:r>
      <w:r>
        <w:rPr>
          <w:rFonts w:ascii="宋体" w:hAnsi="宋体" w:eastAsia="宋体" w:cs="宋体"/>
          <w:color w:val="auto"/>
          <w:spacing w:val="-10"/>
          <w:sz w:val="24"/>
          <w:szCs w:val="24"/>
        </w:rPr>
        <w:t>系中华人民共和国合法供应商，经营地址</w:t>
      </w:r>
      <w:r>
        <w:rPr>
          <w:rFonts w:ascii="宋体" w:hAnsi="宋体" w:eastAsia="宋体" w:cs="宋体"/>
          <w:color w:val="auto"/>
          <w:spacing w:val="5"/>
          <w:sz w:val="24"/>
          <w:szCs w:val="24"/>
          <w:u w:val="single" w:color="auto"/>
        </w:rPr>
        <w:t xml:space="preserve">                       </w:t>
      </w:r>
      <w:r>
        <w:rPr>
          <w:rFonts w:ascii="宋体" w:hAnsi="宋体" w:eastAsia="宋体" w:cs="宋体"/>
          <w:color w:val="auto"/>
          <w:spacing w:val="-10"/>
          <w:sz w:val="24"/>
          <w:szCs w:val="24"/>
        </w:rPr>
        <w:t>。</w:t>
      </w:r>
    </w:p>
    <w:p w14:paraId="67D25A41">
      <w:pPr>
        <w:spacing w:before="183" w:line="360" w:lineRule="auto"/>
        <w:ind w:left="4" w:right="80" w:firstLine="477"/>
        <w:rPr>
          <w:rFonts w:ascii="宋体" w:hAnsi="宋体" w:eastAsia="宋体" w:cs="宋体"/>
          <w:color w:val="auto"/>
          <w:sz w:val="24"/>
          <w:szCs w:val="24"/>
        </w:rPr>
      </w:pPr>
      <w:r>
        <w:rPr>
          <w:rFonts w:ascii="宋体" w:hAnsi="宋体" w:eastAsia="宋体" w:cs="宋体"/>
          <w:color w:val="auto"/>
          <w:spacing w:val="1"/>
          <w:sz w:val="24"/>
          <w:szCs w:val="24"/>
        </w:rPr>
        <w:t>我方愿意参加贵方组织的</w:t>
      </w:r>
      <w:r>
        <w:rPr>
          <w:rFonts w:ascii="宋体" w:hAnsi="宋体" w:eastAsia="宋体" w:cs="宋体"/>
          <w:color w:val="auto"/>
          <w:spacing w:val="1"/>
          <w:sz w:val="24"/>
          <w:szCs w:val="24"/>
          <w:u w:val="single" w:color="auto"/>
        </w:rPr>
        <w:t>（项目名称）</w:t>
      </w:r>
      <w:r>
        <w:rPr>
          <w:rFonts w:ascii="宋体" w:hAnsi="宋体" w:eastAsia="宋体" w:cs="宋体"/>
          <w:color w:val="auto"/>
          <w:spacing w:val="1"/>
          <w:sz w:val="24"/>
          <w:szCs w:val="24"/>
        </w:rPr>
        <w:t>项目的竞标，为便于贵方公正、择优地确定成</w:t>
      </w:r>
      <w:r>
        <w:rPr>
          <w:rFonts w:ascii="宋体" w:hAnsi="宋体" w:eastAsia="宋体" w:cs="宋体"/>
          <w:color w:val="auto"/>
          <w:spacing w:val="-1"/>
          <w:sz w:val="24"/>
          <w:szCs w:val="24"/>
        </w:rPr>
        <w:t>交供应商及其竞标产品和服务，我方就本次竞标有关事项郑重声明如下：</w:t>
      </w:r>
    </w:p>
    <w:p w14:paraId="040DA0EB">
      <w:pPr>
        <w:spacing w:line="219" w:lineRule="auto"/>
        <w:ind w:left="497"/>
        <w:rPr>
          <w:rFonts w:ascii="宋体" w:hAnsi="宋体" w:eastAsia="宋体" w:cs="宋体"/>
          <w:color w:val="auto"/>
          <w:sz w:val="24"/>
          <w:szCs w:val="24"/>
        </w:rPr>
      </w:pPr>
      <w:r>
        <w:rPr>
          <w:rFonts w:ascii="宋体" w:hAnsi="宋体" w:eastAsia="宋体" w:cs="宋体"/>
          <w:color w:val="auto"/>
          <w:spacing w:val="-1"/>
          <w:sz w:val="24"/>
          <w:szCs w:val="24"/>
        </w:rPr>
        <w:t>1.我方向贵方提交的所有响应文件、资料都是准确的和真实的。</w:t>
      </w:r>
    </w:p>
    <w:p w14:paraId="3CDA6D79">
      <w:pPr>
        <w:spacing w:before="183" w:line="289" w:lineRule="auto"/>
        <w:ind w:left="1" w:right="80" w:firstLine="480"/>
        <w:rPr>
          <w:rFonts w:ascii="宋体" w:hAnsi="宋体" w:eastAsia="宋体" w:cs="宋体"/>
          <w:color w:val="auto"/>
          <w:sz w:val="24"/>
          <w:szCs w:val="24"/>
        </w:rPr>
      </w:pPr>
      <w:r>
        <w:rPr>
          <w:rFonts w:ascii="宋体" w:hAnsi="宋体" w:eastAsia="宋体" w:cs="宋体"/>
          <w:color w:val="auto"/>
          <w:spacing w:val="1"/>
          <w:sz w:val="24"/>
          <w:szCs w:val="24"/>
        </w:rPr>
        <w:t>2.我方不是为本次采购项目提供整体设计、规范编制或者项目管理、监理、检测</w:t>
      </w:r>
      <w:r>
        <w:rPr>
          <w:rFonts w:ascii="宋体" w:hAnsi="宋体" w:eastAsia="宋体" w:cs="宋体"/>
          <w:color w:val="auto"/>
          <w:sz w:val="24"/>
          <w:szCs w:val="24"/>
        </w:rPr>
        <w:t>等服</w:t>
      </w:r>
      <w:r>
        <w:rPr>
          <w:rFonts w:ascii="宋体" w:hAnsi="宋体" w:eastAsia="宋体" w:cs="宋体"/>
          <w:color w:val="auto"/>
          <w:spacing w:val="-2"/>
          <w:sz w:val="24"/>
          <w:szCs w:val="24"/>
        </w:rPr>
        <w:t>务的供应商。</w:t>
      </w:r>
    </w:p>
    <w:p w14:paraId="1BAC5673">
      <w:pPr>
        <w:spacing w:before="184" w:line="219" w:lineRule="auto"/>
        <w:ind w:left="484"/>
        <w:rPr>
          <w:rFonts w:ascii="宋体" w:hAnsi="宋体" w:eastAsia="宋体" w:cs="宋体"/>
          <w:color w:val="auto"/>
          <w:sz w:val="24"/>
          <w:szCs w:val="24"/>
        </w:rPr>
      </w:pPr>
      <w:r>
        <w:rPr>
          <w:rFonts w:ascii="宋体" w:hAnsi="宋体" w:eastAsia="宋体" w:cs="宋体"/>
          <w:color w:val="auto"/>
          <w:spacing w:val="-2"/>
          <w:sz w:val="24"/>
          <w:szCs w:val="24"/>
        </w:rPr>
        <w:t>3.在此，我方宣布同意如下：</w:t>
      </w:r>
    </w:p>
    <w:p w14:paraId="31A51D7A">
      <w:pPr>
        <w:spacing w:before="184" w:line="219" w:lineRule="auto"/>
        <w:ind w:left="491"/>
        <w:rPr>
          <w:rFonts w:ascii="宋体" w:hAnsi="宋体" w:eastAsia="宋体" w:cs="宋体"/>
          <w:color w:val="auto"/>
          <w:sz w:val="24"/>
          <w:szCs w:val="24"/>
        </w:rPr>
      </w:pPr>
      <w:r>
        <w:rPr>
          <w:rFonts w:ascii="宋体" w:hAnsi="宋体" w:eastAsia="宋体" w:cs="宋体"/>
          <w:color w:val="auto"/>
          <w:spacing w:val="-1"/>
          <w:sz w:val="24"/>
          <w:szCs w:val="24"/>
        </w:rPr>
        <w:t>（1）将按磋商文件的约定履行合同责任和义务；</w:t>
      </w:r>
    </w:p>
    <w:p w14:paraId="31BDDAAF">
      <w:pPr>
        <w:spacing w:before="183" w:line="218" w:lineRule="auto"/>
        <w:ind w:left="491"/>
        <w:rPr>
          <w:rFonts w:ascii="宋体" w:hAnsi="宋体" w:eastAsia="宋体" w:cs="宋体"/>
          <w:color w:val="auto"/>
          <w:sz w:val="24"/>
          <w:szCs w:val="24"/>
        </w:rPr>
      </w:pPr>
      <w:r>
        <w:rPr>
          <w:rFonts w:ascii="宋体" w:hAnsi="宋体" w:eastAsia="宋体" w:cs="宋体"/>
          <w:color w:val="auto"/>
          <w:spacing w:val="-1"/>
          <w:sz w:val="24"/>
          <w:szCs w:val="24"/>
        </w:rPr>
        <w:t>（2）已详细审查全部磋商文件，包括澄清或者更正公告（如有</w:t>
      </w:r>
      <w:r>
        <w:rPr>
          <w:rFonts w:ascii="宋体" w:hAnsi="宋体" w:eastAsia="宋体" w:cs="宋体"/>
          <w:color w:val="auto"/>
          <w:spacing w:val="3"/>
          <w:sz w:val="24"/>
          <w:szCs w:val="24"/>
        </w:rPr>
        <w:t>）；</w:t>
      </w:r>
    </w:p>
    <w:p w14:paraId="1A88F7E8">
      <w:pPr>
        <w:spacing w:before="184" w:line="219" w:lineRule="auto"/>
        <w:ind w:left="491"/>
        <w:rPr>
          <w:rFonts w:ascii="宋体" w:hAnsi="宋体" w:eastAsia="宋体" w:cs="宋体"/>
          <w:color w:val="auto"/>
          <w:sz w:val="24"/>
          <w:szCs w:val="24"/>
        </w:rPr>
      </w:pPr>
      <w:r>
        <w:rPr>
          <w:rFonts w:ascii="宋体" w:hAnsi="宋体" w:eastAsia="宋体" w:cs="宋体"/>
          <w:color w:val="auto"/>
          <w:spacing w:val="-1"/>
          <w:sz w:val="24"/>
          <w:szCs w:val="24"/>
        </w:rPr>
        <w:t>（3）同意提供按照贵方可能要求的与磋商有关的一切数据或者资料；</w:t>
      </w:r>
    </w:p>
    <w:p w14:paraId="77447CFF">
      <w:pPr>
        <w:spacing w:before="184" w:line="219" w:lineRule="auto"/>
        <w:ind w:left="491"/>
        <w:rPr>
          <w:rFonts w:ascii="宋体" w:hAnsi="宋体" w:eastAsia="宋体" w:cs="宋体"/>
          <w:color w:val="auto"/>
          <w:sz w:val="24"/>
          <w:szCs w:val="24"/>
        </w:rPr>
      </w:pPr>
      <w:r>
        <w:rPr>
          <w:rFonts w:ascii="宋体" w:hAnsi="宋体" w:eastAsia="宋体" w:cs="宋体"/>
          <w:color w:val="auto"/>
          <w:spacing w:val="-2"/>
          <w:sz w:val="24"/>
          <w:szCs w:val="24"/>
        </w:rPr>
        <w:t>（4）响应磋商文件规定的竞标有效期。</w:t>
      </w:r>
    </w:p>
    <w:p w14:paraId="0FA82C44">
      <w:pPr>
        <w:spacing w:before="183" w:line="219" w:lineRule="auto"/>
        <w:ind w:left="479"/>
        <w:rPr>
          <w:rFonts w:ascii="宋体" w:hAnsi="宋体" w:eastAsia="宋体" w:cs="宋体"/>
          <w:color w:val="auto"/>
          <w:sz w:val="24"/>
          <w:szCs w:val="24"/>
        </w:rPr>
      </w:pPr>
      <w:r>
        <w:rPr>
          <w:rFonts w:ascii="宋体" w:hAnsi="宋体" w:eastAsia="宋体" w:cs="宋体"/>
          <w:color w:val="auto"/>
          <w:sz w:val="24"/>
          <w:szCs w:val="24"/>
        </w:rPr>
        <w:t>4.我方承诺符合《中华人民共和国政府采购</w:t>
      </w:r>
      <w:r>
        <w:rPr>
          <w:rFonts w:ascii="宋体" w:hAnsi="宋体" w:eastAsia="宋体" w:cs="宋体"/>
          <w:color w:val="auto"/>
          <w:spacing w:val="-1"/>
          <w:sz w:val="24"/>
          <w:szCs w:val="24"/>
        </w:rPr>
        <w:t>法》第二十二条规定：</w:t>
      </w:r>
    </w:p>
    <w:p w14:paraId="1731A082">
      <w:pPr>
        <w:spacing w:before="184" w:line="219" w:lineRule="auto"/>
        <w:ind w:left="491"/>
        <w:rPr>
          <w:rFonts w:ascii="宋体" w:hAnsi="宋体" w:eastAsia="宋体" w:cs="宋体"/>
          <w:color w:val="auto"/>
          <w:sz w:val="24"/>
          <w:szCs w:val="24"/>
        </w:rPr>
      </w:pPr>
      <w:r>
        <w:rPr>
          <w:rFonts w:ascii="宋体" w:hAnsi="宋体" w:eastAsia="宋体" w:cs="宋体"/>
          <w:color w:val="auto"/>
          <w:spacing w:val="-2"/>
          <w:sz w:val="24"/>
          <w:szCs w:val="24"/>
        </w:rPr>
        <w:t>（1）具有独立承担民事责任的能力；</w:t>
      </w:r>
    </w:p>
    <w:p w14:paraId="75F78141">
      <w:pPr>
        <w:spacing w:before="182" w:line="219" w:lineRule="auto"/>
        <w:ind w:left="491"/>
        <w:rPr>
          <w:rFonts w:ascii="宋体" w:hAnsi="宋体" w:eastAsia="宋体" w:cs="宋体"/>
          <w:color w:val="auto"/>
          <w:sz w:val="24"/>
          <w:szCs w:val="24"/>
        </w:rPr>
      </w:pPr>
      <w:r>
        <w:rPr>
          <w:rFonts w:ascii="宋体" w:hAnsi="宋体" w:eastAsia="宋体" w:cs="宋体"/>
          <w:color w:val="auto"/>
          <w:spacing w:val="-1"/>
          <w:sz w:val="24"/>
          <w:szCs w:val="24"/>
        </w:rPr>
        <w:t>（2）具有良好的商业信誉和健全的财务会计制度；</w:t>
      </w:r>
    </w:p>
    <w:p w14:paraId="7E59093A">
      <w:pPr>
        <w:spacing w:before="184" w:line="219" w:lineRule="auto"/>
        <w:ind w:left="491"/>
        <w:rPr>
          <w:rFonts w:ascii="宋体" w:hAnsi="宋体" w:eastAsia="宋体" w:cs="宋体"/>
          <w:color w:val="auto"/>
          <w:sz w:val="24"/>
          <w:szCs w:val="24"/>
        </w:rPr>
      </w:pPr>
      <w:r>
        <w:rPr>
          <w:rFonts w:ascii="宋体" w:hAnsi="宋体" w:eastAsia="宋体" w:cs="宋体"/>
          <w:color w:val="auto"/>
          <w:spacing w:val="-1"/>
          <w:sz w:val="24"/>
          <w:szCs w:val="24"/>
        </w:rPr>
        <w:t>（3）具有履行合同所必需的设备和专业技术能力；</w:t>
      </w:r>
    </w:p>
    <w:p w14:paraId="4F134522">
      <w:pPr>
        <w:spacing w:before="183" w:line="219" w:lineRule="auto"/>
        <w:ind w:left="491"/>
        <w:rPr>
          <w:rFonts w:ascii="宋体" w:hAnsi="宋体" w:eastAsia="宋体" w:cs="宋体"/>
          <w:color w:val="auto"/>
          <w:sz w:val="24"/>
          <w:szCs w:val="24"/>
        </w:rPr>
      </w:pPr>
      <w:r>
        <w:rPr>
          <w:rFonts w:ascii="宋体" w:hAnsi="宋体" w:eastAsia="宋体" w:cs="宋体"/>
          <w:color w:val="auto"/>
          <w:spacing w:val="-1"/>
          <w:sz w:val="24"/>
          <w:szCs w:val="24"/>
        </w:rPr>
        <w:t>（4）有依法缴纳税收和社会保障资金的良好记录；</w:t>
      </w:r>
    </w:p>
    <w:p w14:paraId="1C38A64A">
      <w:pPr>
        <w:spacing w:before="183" w:line="219" w:lineRule="auto"/>
        <w:ind w:left="491"/>
        <w:rPr>
          <w:rFonts w:ascii="宋体" w:hAnsi="宋体" w:eastAsia="宋体" w:cs="宋体"/>
          <w:color w:val="auto"/>
          <w:sz w:val="24"/>
          <w:szCs w:val="24"/>
        </w:rPr>
      </w:pPr>
      <w:r>
        <w:rPr>
          <w:rFonts w:ascii="宋体" w:hAnsi="宋体" w:eastAsia="宋体" w:cs="宋体"/>
          <w:color w:val="auto"/>
          <w:spacing w:val="-1"/>
          <w:sz w:val="24"/>
          <w:szCs w:val="24"/>
        </w:rPr>
        <w:t>（5）参加政府采购活动前三年内，在经营活动中没有重大违法记录；</w:t>
      </w:r>
    </w:p>
    <w:p w14:paraId="7C65F1A3">
      <w:pPr>
        <w:spacing w:before="184" w:line="219" w:lineRule="auto"/>
        <w:ind w:left="491"/>
        <w:rPr>
          <w:rFonts w:ascii="宋体" w:hAnsi="宋体" w:eastAsia="宋体" w:cs="宋体"/>
          <w:color w:val="auto"/>
          <w:sz w:val="24"/>
          <w:szCs w:val="24"/>
        </w:rPr>
      </w:pPr>
      <w:r>
        <w:rPr>
          <w:rFonts w:ascii="宋体" w:hAnsi="宋体" w:eastAsia="宋体" w:cs="宋体"/>
          <w:color w:val="auto"/>
          <w:spacing w:val="-2"/>
          <w:sz w:val="24"/>
          <w:szCs w:val="24"/>
        </w:rPr>
        <w:t>（6）法律、行政法规规定的其他条件。</w:t>
      </w:r>
    </w:p>
    <w:p w14:paraId="4EEA6991">
      <w:pPr>
        <w:spacing w:before="181" w:line="332" w:lineRule="auto"/>
        <w:ind w:right="77" w:firstLine="484"/>
        <w:rPr>
          <w:rFonts w:ascii="宋体" w:hAnsi="宋体" w:eastAsia="宋体" w:cs="宋体"/>
          <w:color w:val="auto"/>
          <w:sz w:val="24"/>
          <w:szCs w:val="24"/>
        </w:rPr>
      </w:pPr>
      <w:r>
        <w:rPr>
          <w:rFonts w:ascii="宋体" w:hAnsi="宋体" w:eastAsia="宋体" w:cs="宋体"/>
          <w:color w:val="auto"/>
          <w:spacing w:val="1"/>
          <w:sz w:val="24"/>
          <w:szCs w:val="24"/>
        </w:rPr>
        <w:t>5.我方在此声明，我方在参加本项目的政府采购活动前三年内，在经营活动中</w:t>
      </w:r>
      <w:r>
        <w:rPr>
          <w:rFonts w:ascii="宋体" w:hAnsi="宋体" w:eastAsia="宋体" w:cs="宋体"/>
          <w:color w:val="auto"/>
          <w:sz w:val="24"/>
          <w:szCs w:val="24"/>
        </w:rPr>
        <w:t>没有重</w:t>
      </w:r>
      <w:r>
        <w:rPr>
          <w:rFonts w:ascii="宋体" w:hAnsi="宋体" w:eastAsia="宋体" w:cs="宋体"/>
          <w:color w:val="auto"/>
          <w:spacing w:val="1"/>
          <w:sz w:val="24"/>
          <w:szCs w:val="24"/>
        </w:rPr>
        <w:t>大违法记录（重大违法记录是指供应商因违法经营受到刑事处罚或者责令停产停业、吊销许可证或者执照、较大数额罚款等行政处罚</w:t>
      </w:r>
      <w:r>
        <w:rPr>
          <w:rFonts w:ascii="宋体" w:hAnsi="宋体" w:eastAsia="宋体" w:cs="宋体"/>
          <w:color w:val="auto"/>
          <w:spacing w:val="9"/>
          <w:sz w:val="24"/>
          <w:szCs w:val="24"/>
        </w:rPr>
        <w:t>），</w:t>
      </w:r>
      <w:r>
        <w:rPr>
          <w:rFonts w:ascii="宋体" w:hAnsi="宋体" w:eastAsia="宋体" w:cs="宋体"/>
          <w:color w:val="auto"/>
          <w:spacing w:val="1"/>
          <w:sz w:val="24"/>
          <w:szCs w:val="24"/>
        </w:rPr>
        <w:t>未被列入失</w:t>
      </w:r>
      <w:r>
        <w:rPr>
          <w:rFonts w:ascii="宋体" w:hAnsi="宋体" w:eastAsia="宋体" w:cs="宋体"/>
          <w:color w:val="auto"/>
          <w:sz w:val="24"/>
          <w:szCs w:val="24"/>
        </w:rPr>
        <w:t>信被执行人、重大税收违法失</w:t>
      </w:r>
      <w:r>
        <w:rPr>
          <w:rFonts w:ascii="宋体" w:hAnsi="宋体" w:eastAsia="宋体" w:cs="宋体"/>
          <w:color w:val="auto"/>
          <w:spacing w:val="1"/>
          <w:sz w:val="24"/>
          <w:szCs w:val="24"/>
        </w:rPr>
        <w:t>信主体、政府采购严重违法失信行为记录名单，完全符合《中华人民共和</w:t>
      </w:r>
      <w:r>
        <w:rPr>
          <w:rFonts w:ascii="宋体" w:hAnsi="宋体" w:eastAsia="宋体" w:cs="宋体"/>
          <w:color w:val="auto"/>
          <w:sz w:val="24"/>
          <w:szCs w:val="24"/>
        </w:rPr>
        <w:t>国政府采购法》第二十二条规定的供应商资格条件，我方对</w:t>
      </w:r>
      <w:r>
        <w:rPr>
          <w:rFonts w:ascii="宋体" w:hAnsi="宋体" w:eastAsia="宋体" w:cs="宋体"/>
          <w:color w:val="auto"/>
          <w:spacing w:val="-1"/>
          <w:sz w:val="24"/>
          <w:szCs w:val="24"/>
        </w:rPr>
        <w:t>此声明负全部法律责任。</w:t>
      </w:r>
    </w:p>
    <w:p w14:paraId="6C4707F1">
      <w:pPr>
        <w:spacing w:before="185" w:line="313" w:lineRule="auto"/>
        <w:ind w:right="77" w:firstLine="481"/>
        <w:rPr>
          <w:rFonts w:ascii="宋体" w:hAnsi="宋体" w:eastAsia="宋体" w:cs="宋体"/>
          <w:color w:val="auto"/>
          <w:sz w:val="24"/>
          <w:szCs w:val="24"/>
        </w:rPr>
      </w:pPr>
      <w:r>
        <w:rPr>
          <w:rFonts w:ascii="宋体" w:hAnsi="宋体" w:eastAsia="宋体" w:cs="宋体"/>
          <w:color w:val="auto"/>
          <w:spacing w:val="1"/>
          <w:sz w:val="24"/>
          <w:szCs w:val="24"/>
        </w:rPr>
        <w:t>6.根据《中华人民共和国政府采购法实施条例》第五十条要求对政府采购合同进行公告，但政府采购合同中涉及国家秘密、商业秘密的内容除外。我方就对本次响应文件进行注明如下</w:t>
      </w:r>
      <w:r>
        <w:rPr>
          <w:rFonts w:ascii="宋体" w:hAnsi="宋体" w:eastAsia="宋体" w:cs="宋体"/>
          <w:color w:val="auto"/>
          <w:spacing w:val="-14"/>
          <w:sz w:val="24"/>
          <w:szCs w:val="24"/>
        </w:rPr>
        <w:t>：（</w:t>
      </w:r>
      <w:r>
        <w:rPr>
          <w:rFonts w:ascii="宋体" w:hAnsi="宋体" w:eastAsia="宋体" w:cs="宋体"/>
          <w:color w:val="auto"/>
          <w:spacing w:val="1"/>
          <w:sz w:val="24"/>
          <w:szCs w:val="24"/>
        </w:rPr>
        <w:t>两项内容中必须选择一项）</w:t>
      </w:r>
    </w:p>
    <w:p w14:paraId="4F00C0B4">
      <w:pPr>
        <w:spacing w:before="182" w:line="219" w:lineRule="auto"/>
        <w:ind w:left="504"/>
        <w:rPr>
          <w:rFonts w:ascii="宋体" w:hAnsi="宋体" w:eastAsia="宋体" w:cs="宋体"/>
          <w:color w:val="auto"/>
          <w:sz w:val="24"/>
          <w:szCs w:val="24"/>
        </w:rPr>
      </w:pPr>
      <w:r>
        <w:rPr>
          <w:rFonts w:ascii="宋体" w:hAnsi="宋体" w:eastAsia="宋体" w:cs="宋体"/>
          <w:color w:val="auto"/>
          <w:spacing w:val="-2"/>
          <w:sz w:val="24"/>
          <w:szCs w:val="24"/>
        </w:rPr>
        <w:t>□我方本次响应文件内容中未涉及商业秘密；</w:t>
      </w:r>
    </w:p>
    <w:p w14:paraId="416AD3F4">
      <w:pPr>
        <w:spacing w:line="219" w:lineRule="auto"/>
        <w:rPr>
          <w:rFonts w:ascii="宋体" w:hAnsi="宋体" w:eastAsia="宋体" w:cs="宋体"/>
          <w:color w:val="auto"/>
          <w:sz w:val="24"/>
          <w:szCs w:val="24"/>
        </w:rPr>
        <w:sectPr>
          <w:footerReference r:id="rId13" w:type="default"/>
          <w:pgSz w:w="11906" w:h="16839"/>
          <w:pgMar w:top="1261" w:right="1167" w:bottom="1362" w:left="1257" w:header="0" w:footer="1200" w:gutter="0"/>
          <w:pgNumType w:fmt="decimal"/>
          <w:cols w:space="720" w:num="1"/>
        </w:sectPr>
      </w:pPr>
    </w:p>
    <w:p w14:paraId="33DCE108">
      <w:pPr>
        <w:spacing w:before="47" w:line="219" w:lineRule="auto"/>
        <w:ind w:left="505"/>
        <w:rPr>
          <w:rFonts w:ascii="宋体" w:hAnsi="宋体" w:eastAsia="宋体" w:cs="宋体"/>
          <w:color w:val="auto"/>
          <w:sz w:val="24"/>
          <w:szCs w:val="24"/>
        </w:rPr>
      </w:pPr>
      <w:r>
        <w:rPr>
          <w:rFonts w:ascii="宋体" w:hAnsi="宋体" w:eastAsia="宋体" w:cs="宋体"/>
          <w:color w:val="auto"/>
          <w:spacing w:val="-2"/>
          <w:sz w:val="24"/>
          <w:szCs w:val="24"/>
        </w:rPr>
        <w:t>□我方本次响应文件涉及商业秘密的内容有</w:t>
      </w:r>
      <w:r>
        <w:rPr>
          <w:rFonts w:ascii="宋体" w:hAnsi="宋体" w:eastAsia="宋体" w:cs="宋体"/>
          <w:color w:val="auto"/>
          <w:spacing w:val="1"/>
          <w:sz w:val="24"/>
          <w:szCs w:val="24"/>
        </w:rPr>
        <w:t>：</w:t>
      </w:r>
      <w:r>
        <w:rPr>
          <w:rFonts w:ascii="宋体" w:hAnsi="宋体" w:eastAsia="宋体" w:cs="宋体"/>
          <w:color w:val="auto"/>
          <w:sz w:val="24"/>
          <w:szCs w:val="24"/>
          <w:u w:val="single" w:color="auto"/>
        </w:rPr>
        <w:t xml:space="preserve">                         </w:t>
      </w:r>
      <w:r>
        <w:rPr>
          <w:rFonts w:ascii="宋体" w:hAnsi="宋体" w:eastAsia="宋体" w:cs="宋体"/>
          <w:color w:val="auto"/>
          <w:spacing w:val="1"/>
          <w:sz w:val="24"/>
          <w:szCs w:val="24"/>
        </w:rPr>
        <w:t>；</w:t>
      </w:r>
    </w:p>
    <w:p w14:paraId="67650DDC">
      <w:pPr>
        <w:spacing w:before="185" w:line="313" w:lineRule="auto"/>
        <w:ind w:left="500" w:right="31" w:hanging="14"/>
        <w:rPr>
          <w:rFonts w:ascii="宋体" w:hAnsi="宋体" w:eastAsia="宋体" w:cs="宋体"/>
          <w:color w:val="auto"/>
          <w:sz w:val="24"/>
          <w:szCs w:val="24"/>
        </w:rPr>
      </w:pPr>
      <w:r>
        <w:rPr>
          <w:rFonts w:ascii="宋体" w:hAnsi="宋体" w:eastAsia="宋体" w:cs="宋体"/>
          <w:color w:val="auto"/>
          <w:spacing w:val="-1"/>
          <w:sz w:val="24"/>
          <w:szCs w:val="24"/>
        </w:rPr>
        <w:t>7.与本磋商有关的一切正式往来信函请寄：</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86"/>
          <w:sz w:val="24"/>
          <w:szCs w:val="24"/>
        </w:rPr>
        <w:t xml:space="preserve"> </w:t>
      </w:r>
      <w:r>
        <w:rPr>
          <w:rFonts w:ascii="宋体" w:hAnsi="宋体" w:eastAsia="宋体" w:cs="宋体"/>
          <w:color w:val="auto"/>
          <w:spacing w:val="-1"/>
          <w:sz w:val="24"/>
          <w:szCs w:val="24"/>
        </w:rPr>
        <w:t>邮政编号：</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7"/>
          <w:sz w:val="24"/>
          <w:szCs w:val="24"/>
        </w:rPr>
        <w:t>电话/传真：</w:t>
      </w:r>
      <w:r>
        <w:rPr>
          <w:rFonts w:ascii="宋体" w:hAnsi="宋体" w:eastAsia="宋体" w:cs="宋体"/>
          <w:color w:val="auto"/>
          <w:sz w:val="24"/>
          <w:szCs w:val="24"/>
          <w:u w:val="single" w:color="auto"/>
        </w:rPr>
        <w:t xml:space="preserve">                        </w:t>
      </w:r>
      <w:r>
        <w:rPr>
          <w:rFonts w:ascii="宋体" w:hAnsi="宋体" w:eastAsia="宋体" w:cs="宋体"/>
          <w:color w:val="auto"/>
          <w:spacing w:val="46"/>
          <w:sz w:val="24"/>
          <w:szCs w:val="24"/>
        </w:rPr>
        <w:t xml:space="preserve"> </w:t>
      </w:r>
      <w:r>
        <w:rPr>
          <w:rFonts w:ascii="宋体" w:hAnsi="宋体" w:eastAsia="宋体" w:cs="宋体"/>
          <w:color w:val="auto"/>
          <w:spacing w:val="-7"/>
          <w:sz w:val="24"/>
          <w:szCs w:val="24"/>
        </w:rPr>
        <w:t>电子邮箱：</w:t>
      </w:r>
      <w:r>
        <w:rPr>
          <w:rFonts w:ascii="宋体" w:hAnsi="宋体" w:eastAsia="宋体" w:cs="宋体"/>
          <w:color w:val="auto"/>
          <w:sz w:val="24"/>
          <w:szCs w:val="24"/>
          <w:u w:val="single" w:color="auto"/>
        </w:rPr>
        <w:t xml:space="preserve">                            </w:t>
      </w:r>
      <w:r>
        <w:rPr>
          <w:rFonts w:ascii="宋体" w:hAnsi="宋体" w:eastAsia="宋体" w:cs="宋体"/>
          <w:color w:val="auto"/>
          <w:spacing w:val="-4"/>
          <w:sz w:val="24"/>
          <w:szCs w:val="24"/>
        </w:rPr>
        <w:t>开户银行：</w:t>
      </w:r>
      <w:r>
        <w:rPr>
          <w:rFonts w:ascii="宋体" w:hAnsi="宋体" w:eastAsia="宋体" w:cs="宋体"/>
          <w:color w:val="auto"/>
          <w:spacing w:val="5"/>
          <w:sz w:val="24"/>
          <w:szCs w:val="24"/>
          <w:u w:val="single" w:color="auto"/>
        </w:rPr>
        <w:t xml:space="preserve">                        </w:t>
      </w:r>
      <w:r>
        <w:rPr>
          <w:rFonts w:ascii="宋体" w:hAnsi="宋体" w:eastAsia="宋体" w:cs="宋体"/>
          <w:color w:val="auto"/>
          <w:spacing w:val="10"/>
          <w:sz w:val="24"/>
          <w:szCs w:val="24"/>
        </w:rPr>
        <w:t xml:space="preserve">  </w:t>
      </w:r>
      <w:r>
        <w:rPr>
          <w:rFonts w:hint="eastAsia" w:ascii="宋体" w:hAnsi="宋体" w:eastAsia="宋体" w:cs="宋体"/>
          <w:color w:val="auto"/>
          <w:spacing w:val="10"/>
          <w:sz w:val="24"/>
          <w:szCs w:val="24"/>
          <w:lang w:eastAsia="zh-CN"/>
        </w:rPr>
        <w:t>账号</w:t>
      </w:r>
      <w:r>
        <w:rPr>
          <w:rFonts w:ascii="宋体" w:hAnsi="宋体" w:eastAsia="宋体" w:cs="宋体"/>
          <w:color w:val="auto"/>
          <w:spacing w:val="-4"/>
          <w:sz w:val="24"/>
          <w:szCs w:val="24"/>
        </w:rPr>
        <w:t>：</w:t>
      </w:r>
      <w:r>
        <w:rPr>
          <w:rFonts w:ascii="宋体" w:hAnsi="宋体" w:eastAsia="宋体" w:cs="宋体"/>
          <w:color w:val="auto"/>
          <w:sz w:val="24"/>
          <w:szCs w:val="24"/>
          <w:u w:val="single" w:color="auto"/>
        </w:rPr>
        <w:t xml:space="preserve">                               </w:t>
      </w:r>
    </w:p>
    <w:p w14:paraId="51C0C92C">
      <w:pPr>
        <w:spacing w:before="181" w:line="290" w:lineRule="auto"/>
        <w:ind w:left="2" w:firstLine="479"/>
        <w:rPr>
          <w:rFonts w:ascii="宋体" w:hAnsi="宋体" w:eastAsia="宋体" w:cs="宋体"/>
          <w:color w:val="auto"/>
          <w:sz w:val="24"/>
          <w:szCs w:val="24"/>
        </w:rPr>
      </w:pPr>
      <w:r>
        <w:rPr>
          <w:rFonts w:ascii="宋体" w:hAnsi="宋体" w:eastAsia="宋体" w:cs="宋体"/>
          <w:color w:val="auto"/>
          <w:spacing w:val="1"/>
          <w:sz w:val="24"/>
          <w:szCs w:val="24"/>
        </w:rPr>
        <w:t>8.以上事项如有虚假或者隐瞒，我方愿意承担一切后果，并不再寻求任何旨在减轻或</w:t>
      </w:r>
      <w:r>
        <w:rPr>
          <w:rFonts w:ascii="宋体" w:hAnsi="宋体" w:eastAsia="宋体" w:cs="宋体"/>
          <w:color w:val="auto"/>
          <w:spacing w:val="-2"/>
          <w:sz w:val="24"/>
          <w:szCs w:val="24"/>
        </w:rPr>
        <w:t>者免除法律责任的辩解。</w:t>
      </w:r>
    </w:p>
    <w:p w14:paraId="09BCB6BA">
      <w:pPr>
        <w:spacing w:before="183" w:line="219" w:lineRule="auto"/>
        <w:ind w:left="500"/>
        <w:rPr>
          <w:rFonts w:ascii="宋体" w:hAnsi="宋体" w:eastAsia="宋体" w:cs="宋体"/>
          <w:color w:val="auto"/>
          <w:sz w:val="24"/>
          <w:szCs w:val="24"/>
        </w:rPr>
      </w:pPr>
      <w:r>
        <w:rPr>
          <w:rFonts w:ascii="宋体" w:hAnsi="宋体" w:eastAsia="宋体" w:cs="宋体"/>
          <w:color w:val="auto"/>
          <w:spacing w:val="-2"/>
          <w:sz w:val="24"/>
          <w:szCs w:val="24"/>
        </w:rPr>
        <w:t>特此承诺。</w:t>
      </w:r>
    </w:p>
    <w:p w14:paraId="2AE405A4">
      <w:pPr>
        <w:spacing w:before="182" w:line="362" w:lineRule="auto"/>
        <w:ind w:right="19" w:firstLine="480"/>
        <w:rPr>
          <w:rFonts w:ascii="宋体" w:hAnsi="宋体" w:eastAsia="宋体" w:cs="宋体"/>
          <w:color w:val="auto"/>
          <w:sz w:val="24"/>
          <w:szCs w:val="24"/>
        </w:rPr>
      </w:pPr>
      <w:r>
        <w:rPr>
          <w:rFonts w:ascii="宋体" w:hAnsi="宋体" w:eastAsia="宋体" w:cs="宋体"/>
          <w:b/>
          <w:bCs/>
          <w:color w:val="auto"/>
          <w:spacing w:val="-2"/>
          <w:sz w:val="24"/>
          <w:szCs w:val="24"/>
        </w:rPr>
        <w:t>注：如为联合体竞标，盖章处须加盖联合体牵头人电子签章并由联合体牵头人法定代表人签字或者盖章或者电子签名，否则响应文件按无效处理。</w:t>
      </w:r>
    </w:p>
    <w:p w14:paraId="46C4BA53">
      <w:pPr>
        <w:spacing w:line="291" w:lineRule="auto"/>
        <w:rPr>
          <w:rFonts w:ascii="Arial"/>
          <w:color w:val="auto"/>
          <w:sz w:val="21"/>
        </w:rPr>
      </w:pPr>
    </w:p>
    <w:p w14:paraId="73ABBA9E">
      <w:pPr>
        <w:spacing w:line="292" w:lineRule="auto"/>
        <w:rPr>
          <w:rFonts w:ascii="Arial"/>
          <w:color w:val="auto"/>
          <w:sz w:val="21"/>
        </w:rPr>
      </w:pPr>
    </w:p>
    <w:p w14:paraId="0B108D18">
      <w:pPr>
        <w:spacing w:line="292" w:lineRule="auto"/>
        <w:rPr>
          <w:rFonts w:ascii="Arial"/>
          <w:color w:val="auto"/>
          <w:sz w:val="21"/>
        </w:rPr>
      </w:pPr>
    </w:p>
    <w:p w14:paraId="5BB88DE5">
      <w:pPr>
        <w:spacing w:before="65" w:line="227" w:lineRule="auto"/>
        <w:ind w:left="3779"/>
        <w:rPr>
          <w:rFonts w:ascii="宋体" w:hAnsi="宋体" w:eastAsia="宋体" w:cs="宋体"/>
          <w:color w:val="auto"/>
          <w:sz w:val="20"/>
          <w:szCs w:val="20"/>
        </w:rPr>
      </w:pPr>
      <w:r>
        <w:rPr>
          <w:rFonts w:ascii="宋体" w:hAnsi="宋体" w:eastAsia="宋体" w:cs="宋体"/>
          <w:color w:val="auto"/>
          <w:spacing w:val="8"/>
          <w:sz w:val="20"/>
          <w:szCs w:val="20"/>
        </w:rPr>
        <w:t>供应商（电子签章</w:t>
      </w:r>
      <w:r>
        <w:rPr>
          <w:rFonts w:ascii="宋体" w:hAnsi="宋体" w:eastAsia="宋体" w:cs="宋体"/>
          <w:color w:val="auto"/>
          <w:spacing w:val="13"/>
          <w:sz w:val="20"/>
          <w:szCs w:val="20"/>
        </w:rPr>
        <w:t>）：</w:t>
      </w:r>
      <w:r>
        <w:rPr>
          <w:rFonts w:ascii="宋体" w:hAnsi="宋体" w:eastAsia="宋体" w:cs="宋体"/>
          <w:color w:val="auto"/>
          <w:sz w:val="20"/>
          <w:szCs w:val="20"/>
          <w:u w:val="single" w:color="auto"/>
        </w:rPr>
        <w:t xml:space="preserve">                                 </w:t>
      </w:r>
    </w:p>
    <w:p w14:paraId="012B1AEF">
      <w:pPr>
        <w:spacing w:before="221" w:line="228" w:lineRule="auto"/>
        <w:ind w:left="6403"/>
        <w:rPr>
          <w:rFonts w:ascii="宋体" w:hAnsi="宋体" w:eastAsia="宋体" w:cs="宋体"/>
          <w:color w:val="auto"/>
          <w:sz w:val="20"/>
          <w:szCs w:val="20"/>
        </w:rPr>
      </w:pPr>
      <w:r>
        <w:rPr>
          <w:rFonts w:ascii="宋体" w:hAnsi="宋体" w:eastAsia="宋体" w:cs="宋体"/>
          <w:color w:val="auto"/>
          <w:spacing w:val="-2"/>
          <w:sz w:val="20"/>
          <w:szCs w:val="20"/>
        </w:rPr>
        <w:t>年</w:t>
      </w:r>
      <w:r>
        <w:rPr>
          <w:rFonts w:ascii="宋体" w:hAnsi="宋体" w:eastAsia="宋体" w:cs="宋体"/>
          <w:color w:val="auto"/>
          <w:spacing w:val="9"/>
          <w:sz w:val="20"/>
          <w:szCs w:val="20"/>
        </w:rPr>
        <w:t xml:space="preserve">    </w:t>
      </w:r>
      <w:r>
        <w:rPr>
          <w:rFonts w:ascii="宋体" w:hAnsi="宋体" w:eastAsia="宋体" w:cs="宋体"/>
          <w:color w:val="auto"/>
          <w:spacing w:val="-2"/>
          <w:sz w:val="20"/>
          <w:szCs w:val="20"/>
        </w:rPr>
        <w:t>月</w:t>
      </w:r>
      <w:r>
        <w:rPr>
          <w:rFonts w:ascii="宋体" w:hAnsi="宋体" w:eastAsia="宋体" w:cs="宋体"/>
          <w:color w:val="auto"/>
          <w:spacing w:val="16"/>
          <w:sz w:val="20"/>
          <w:szCs w:val="20"/>
        </w:rPr>
        <w:t xml:space="preserve">    </w:t>
      </w:r>
      <w:r>
        <w:rPr>
          <w:rFonts w:ascii="宋体" w:hAnsi="宋体" w:eastAsia="宋体" w:cs="宋体"/>
          <w:color w:val="auto"/>
          <w:spacing w:val="-2"/>
          <w:sz w:val="20"/>
          <w:szCs w:val="20"/>
        </w:rPr>
        <w:t>日</w:t>
      </w:r>
    </w:p>
    <w:p w14:paraId="61064E2A">
      <w:pPr>
        <w:spacing w:line="228" w:lineRule="auto"/>
        <w:rPr>
          <w:rFonts w:ascii="宋体" w:hAnsi="宋体" w:eastAsia="宋体" w:cs="宋体"/>
          <w:color w:val="auto"/>
          <w:sz w:val="20"/>
          <w:szCs w:val="20"/>
        </w:rPr>
        <w:sectPr>
          <w:footerReference r:id="rId14" w:type="default"/>
          <w:pgSz w:w="11906" w:h="16839"/>
          <w:pgMar w:top="1314" w:right="1247" w:bottom="1362" w:left="1256" w:header="0" w:footer="1200" w:gutter="0"/>
          <w:pgNumType w:fmt="decimal"/>
          <w:cols w:space="720" w:num="1"/>
        </w:sectPr>
      </w:pPr>
    </w:p>
    <w:p w14:paraId="363A150A">
      <w:pPr>
        <w:spacing w:before="88" w:line="222" w:lineRule="auto"/>
        <w:ind w:left="2953"/>
        <w:rPr>
          <w:rFonts w:ascii="宋体" w:hAnsi="宋体" w:eastAsia="宋体" w:cs="宋体"/>
          <w:color w:val="auto"/>
          <w:sz w:val="43"/>
          <w:szCs w:val="43"/>
        </w:rPr>
      </w:pPr>
      <w:r>
        <w:rPr>
          <w:rFonts w:ascii="宋体" w:hAnsi="宋体" w:eastAsia="宋体" w:cs="宋体"/>
          <w:color w:val="auto"/>
          <w:spacing w:val="7"/>
          <w:sz w:val="43"/>
          <w:szCs w:val="43"/>
        </w:rPr>
        <w:t>联合体竞标协议书</w:t>
      </w:r>
    </w:p>
    <w:p w14:paraId="6998C311">
      <w:pPr>
        <w:spacing w:line="467" w:lineRule="auto"/>
        <w:rPr>
          <w:rFonts w:ascii="Arial"/>
          <w:color w:val="auto"/>
          <w:sz w:val="21"/>
        </w:rPr>
      </w:pPr>
    </w:p>
    <w:p w14:paraId="3FA80DD9">
      <w:pPr>
        <w:tabs>
          <w:tab w:val="left" w:pos="1189"/>
        </w:tabs>
        <w:spacing w:before="78" w:line="360" w:lineRule="auto"/>
        <w:ind w:left="10" w:right="80" w:firstLine="459"/>
        <w:rPr>
          <w:rFonts w:ascii="宋体" w:hAnsi="宋体" w:eastAsia="宋体" w:cs="宋体"/>
          <w:color w:val="auto"/>
          <w:sz w:val="24"/>
          <w:szCs w:val="24"/>
        </w:rPr>
      </w:pPr>
      <w:r>
        <w:rPr>
          <w:rFonts w:ascii="宋体" w:hAnsi="宋体" w:eastAsia="宋体" w:cs="宋体"/>
          <w:color w:val="auto"/>
          <w:sz w:val="24"/>
          <w:szCs w:val="24"/>
          <w:u w:val="single" w:color="auto"/>
        </w:rPr>
        <w:tab/>
      </w:r>
      <w:r>
        <w:rPr>
          <w:rFonts w:ascii="宋体" w:hAnsi="宋体" w:eastAsia="宋体" w:cs="宋体"/>
          <w:color w:val="auto"/>
          <w:spacing w:val="12"/>
          <w:sz w:val="24"/>
          <w:szCs w:val="24"/>
        </w:rPr>
        <w:t>（所有成员单位名称）</w:t>
      </w:r>
      <w:r>
        <w:rPr>
          <w:rFonts w:ascii="宋体" w:hAnsi="宋体" w:eastAsia="宋体" w:cs="宋体"/>
          <w:color w:val="auto"/>
          <w:spacing w:val="-25"/>
          <w:sz w:val="24"/>
          <w:szCs w:val="24"/>
        </w:rPr>
        <w:t xml:space="preserve"> </w:t>
      </w:r>
      <w:r>
        <w:rPr>
          <w:rFonts w:ascii="宋体" w:hAnsi="宋体" w:eastAsia="宋体" w:cs="宋体"/>
          <w:color w:val="auto"/>
          <w:spacing w:val="12"/>
          <w:sz w:val="24"/>
          <w:szCs w:val="24"/>
        </w:rPr>
        <w:t>自愿组成</w:t>
      </w:r>
      <w:r>
        <w:rPr>
          <w:rFonts w:ascii="宋体" w:hAnsi="宋体" w:eastAsia="宋体" w:cs="宋体"/>
          <w:color w:val="auto"/>
          <w:spacing w:val="-106"/>
          <w:sz w:val="24"/>
          <w:szCs w:val="24"/>
        </w:rPr>
        <w:t xml:space="preserve"> </w:t>
      </w:r>
      <w:r>
        <w:rPr>
          <w:rFonts w:ascii="宋体" w:hAnsi="宋体" w:eastAsia="宋体" w:cs="宋体"/>
          <w:color w:val="auto"/>
          <w:spacing w:val="12"/>
          <w:sz w:val="24"/>
          <w:szCs w:val="24"/>
          <w:u w:val="single" w:color="auto"/>
        </w:rPr>
        <w:t xml:space="preserve">      </w:t>
      </w:r>
      <w:r>
        <w:rPr>
          <w:rFonts w:ascii="宋体" w:hAnsi="宋体" w:eastAsia="宋体" w:cs="宋体"/>
          <w:color w:val="auto"/>
          <w:spacing w:val="12"/>
          <w:sz w:val="24"/>
          <w:szCs w:val="24"/>
        </w:rPr>
        <w:t>（联合体名称）联合体，共同参加</w:t>
      </w:r>
      <w:r>
        <w:rPr>
          <w:rFonts w:ascii="宋体" w:hAnsi="宋体" w:eastAsia="宋体" w:cs="宋体"/>
          <w:color w:val="auto"/>
          <w:spacing w:val="-1"/>
          <w:sz w:val="24"/>
          <w:szCs w:val="24"/>
        </w:rPr>
        <w:t>（项目名称）采购项目竞标。现就联合体竞标事宜订立如下协议。</w:t>
      </w:r>
    </w:p>
    <w:p w14:paraId="6C5AA0CD">
      <w:pPr>
        <w:spacing w:line="218" w:lineRule="auto"/>
        <w:ind w:left="496"/>
        <w:rPr>
          <w:rFonts w:ascii="宋体" w:hAnsi="宋体" w:eastAsia="宋体" w:cs="宋体"/>
          <w:color w:val="auto"/>
          <w:sz w:val="24"/>
          <w:szCs w:val="24"/>
        </w:rPr>
      </w:pPr>
      <w:r>
        <w:rPr>
          <w:rFonts w:ascii="宋体" w:hAnsi="宋体" w:eastAsia="宋体" w:cs="宋体"/>
          <w:color w:val="auto"/>
          <w:spacing w:val="-1"/>
          <w:sz w:val="24"/>
          <w:szCs w:val="24"/>
        </w:rPr>
        <w:t>1.</w:t>
      </w:r>
      <w:r>
        <w:rPr>
          <w:rFonts w:ascii="宋体" w:hAnsi="宋体" w:eastAsia="宋体" w:cs="宋体"/>
          <w:color w:val="auto"/>
          <w:spacing w:val="8"/>
          <w:sz w:val="24"/>
          <w:szCs w:val="24"/>
          <w:u w:val="single" w:color="auto"/>
        </w:rPr>
        <w:t xml:space="preserve">     </w:t>
      </w:r>
      <w:r>
        <w:rPr>
          <w:rFonts w:ascii="宋体" w:hAnsi="宋体" w:eastAsia="宋体" w:cs="宋体"/>
          <w:color w:val="auto"/>
          <w:spacing w:val="-1"/>
          <w:sz w:val="24"/>
          <w:szCs w:val="24"/>
        </w:rPr>
        <w:t>（某成员单位名称）为</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1"/>
          <w:sz w:val="24"/>
          <w:szCs w:val="24"/>
        </w:rPr>
        <w:t>（联合体名称）牵头人</w:t>
      </w:r>
      <w:r>
        <w:rPr>
          <w:rFonts w:hint="eastAsia" w:ascii="宋体" w:hAnsi="宋体" w:eastAsia="宋体" w:cs="宋体"/>
          <w:color w:val="auto"/>
          <w:spacing w:val="-1"/>
          <w:sz w:val="24"/>
          <w:szCs w:val="24"/>
          <w:lang w:eastAsia="zh-CN"/>
        </w:rPr>
        <w:t>。</w:t>
      </w:r>
    </w:p>
    <w:p w14:paraId="285977CD">
      <w:pPr>
        <w:spacing w:before="183" w:line="313" w:lineRule="auto"/>
        <w:ind w:left="1" w:right="77" w:firstLine="480"/>
        <w:rPr>
          <w:rFonts w:ascii="宋体" w:hAnsi="宋体" w:eastAsia="宋体" w:cs="宋体"/>
          <w:color w:val="auto"/>
          <w:sz w:val="24"/>
          <w:szCs w:val="24"/>
        </w:rPr>
      </w:pPr>
      <w:r>
        <w:rPr>
          <w:rFonts w:ascii="宋体" w:hAnsi="宋体" w:eastAsia="宋体" w:cs="宋体"/>
          <w:color w:val="auto"/>
          <w:spacing w:val="1"/>
          <w:sz w:val="24"/>
          <w:szCs w:val="24"/>
        </w:rPr>
        <w:t>2.联合体各成员授权牵头人代表联合体参加竞标活动，签署文件及对文件的盖章</w:t>
      </w:r>
      <w:r>
        <w:rPr>
          <w:rFonts w:ascii="宋体" w:hAnsi="宋体" w:eastAsia="宋体" w:cs="宋体"/>
          <w:color w:val="auto"/>
          <w:sz w:val="24"/>
          <w:szCs w:val="24"/>
        </w:rPr>
        <w:t>，提</w:t>
      </w:r>
      <w:r>
        <w:rPr>
          <w:rFonts w:ascii="宋体" w:hAnsi="宋体" w:eastAsia="宋体" w:cs="宋体"/>
          <w:color w:val="auto"/>
          <w:spacing w:val="1"/>
          <w:sz w:val="24"/>
          <w:szCs w:val="24"/>
        </w:rPr>
        <w:t>交和接收相关的资料、信息及指示，进行合同磋商活动，负责合同实施阶段的组织和协调</w:t>
      </w:r>
      <w:r>
        <w:rPr>
          <w:rFonts w:ascii="宋体" w:hAnsi="宋体" w:eastAsia="宋体" w:cs="宋体"/>
          <w:color w:val="auto"/>
          <w:spacing w:val="-1"/>
          <w:sz w:val="24"/>
          <w:szCs w:val="24"/>
        </w:rPr>
        <w:t>工作，以及处理与本竞标项目有关的一切事宜。</w:t>
      </w:r>
    </w:p>
    <w:p w14:paraId="56851CF0">
      <w:pPr>
        <w:spacing w:before="183" w:line="313" w:lineRule="auto"/>
        <w:ind w:right="80" w:firstLine="483"/>
        <w:rPr>
          <w:rFonts w:ascii="宋体" w:hAnsi="宋体" w:eastAsia="宋体" w:cs="宋体"/>
          <w:color w:val="auto"/>
          <w:spacing w:val="-1"/>
          <w:sz w:val="24"/>
          <w:szCs w:val="24"/>
        </w:rPr>
      </w:pPr>
      <w:r>
        <w:rPr>
          <w:rFonts w:ascii="宋体" w:hAnsi="宋体" w:eastAsia="宋体" w:cs="宋体"/>
          <w:color w:val="auto"/>
          <w:spacing w:val="1"/>
          <w:sz w:val="24"/>
          <w:szCs w:val="24"/>
        </w:rPr>
        <w:t>3.联合体牵头人在本项目中签署和盖章的一切文件和处理的一切事宜，联合体</w:t>
      </w:r>
      <w:r>
        <w:rPr>
          <w:rFonts w:ascii="宋体" w:hAnsi="宋体" w:eastAsia="宋体" w:cs="宋体"/>
          <w:color w:val="auto"/>
          <w:sz w:val="24"/>
          <w:szCs w:val="24"/>
        </w:rPr>
        <w:t>各成员</w:t>
      </w:r>
      <w:r>
        <w:rPr>
          <w:rFonts w:ascii="宋体" w:hAnsi="宋体" w:eastAsia="宋体" w:cs="宋体"/>
          <w:color w:val="auto"/>
          <w:spacing w:val="1"/>
          <w:sz w:val="24"/>
          <w:szCs w:val="24"/>
        </w:rPr>
        <w:t>均予以承认。联合体各成员将严格按照磋商文件、响应文件和合同的要求全面履行义务，</w:t>
      </w:r>
      <w:r>
        <w:rPr>
          <w:rFonts w:ascii="宋体" w:hAnsi="宋体" w:eastAsia="宋体" w:cs="宋体"/>
          <w:color w:val="auto"/>
          <w:spacing w:val="-1"/>
          <w:sz w:val="24"/>
          <w:szCs w:val="24"/>
        </w:rPr>
        <w:t>并向采购人承担连带责任。</w:t>
      </w:r>
    </w:p>
    <w:p w14:paraId="135CAF4E">
      <w:pPr>
        <w:spacing w:before="184" w:line="219" w:lineRule="auto"/>
        <w:ind w:left="478"/>
        <w:rPr>
          <w:rFonts w:ascii="宋体" w:hAnsi="宋体" w:eastAsia="宋体" w:cs="宋体"/>
          <w:color w:val="auto"/>
          <w:sz w:val="24"/>
          <w:szCs w:val="24"/>
        </w:rPr>
      </w:pPr>
      <w:r>
        <w:rPr>
          <w:rFonts w:hint="eastAsia" w:ascii="宋体" w:hAnsi="宋体" w:eastAsia="宋体" w:cs="宋体"/>
          <w:color w:val="auto"/>
          <w:spacing w:val="-1"/>
          <w:sz w:val="24"/>
          <w:szCs w:val="24"/>
          <w:lang w:val="en-US" w:eastAsia="zh-CN"/>
        </w:rPr>
        <w:t>4</w:t>
      </w:r>
      <w:r>
        <w:rPr>
          <w:rFonts w:ascii="宋体" w:hAnsi="宋体" w:eastAsia="宋体" w:cs="宋体"/>
          <w:color w:val="auto"/>
          <w:spacing w:val="-1"/>
          <w:sz w:val="24"/>
          <w:szCs w:val="24"/>
        </w:rPr>
        <w:t>.联合体各成员单位内部的职责分工如下：</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1"/>
          <w:sz w:val="24"/>
          <w:szCs w:val="24"/>
        </w:rPr>
        <w:t>。</w:t>
      </w:r>
    </w:p>
    <w:p w14:paraId="3AAD69F0">
      <w:pPr>
        <w:spacing w:before="184" w:line="289" w:lineRule="auto"/>
        <w:ind w:right="80" w:firstLine="482"/>
        <w:rPr>
          <w:rFonts w:ascii="宋体" w:hAnsi="宋体" w:eastAsia="宋体" w:cs="宋体"/>
          <w:color w:val="auto"/>
          <w:sz w:val="24"/>
          <w:szCs w:val="24"/>
        </w:rPr>
      </w:pPr>
      <w:r>
        <w:rPr>
          <w:rFonts w:hint="eastAsia" w:ascii="宋体" w:hAnsi="宋体" w:eastAsia="宋体" w:cs="宋体"/>
          <w:color w:val="auto"/>
          <w:spacing w:val="1"/>
          <w:sz w:val="24"/>
          <w:szCs w:val="24"/>
          <w:lang w:val="en-US" w:eastAsia="zh-CN"/>
        </w:rPr>
        <w:t>5</w:t>
      </w:r>
      <w:r>
        <w:rPr>
          <w:rFonts w:ascii="宋体" w:hAnsi="宋体" w:eastAsia="宋体" w:cs="宋体"/>
          <w:color w:val="auto"/>
          <w:spacing w:val="1"/>
          <w:sz w:val="24"/>
          <w:szCs w:val="24"/>
        </w:rPr>
        <w:t>.本协议书自所有成员单位法定代表人（单位负责人）或者其委托代理人签字</w:t>
      </w:r>
      <w:r>
        <w:rPr>
          <w:rFonts w:ascii="宋体" w:hAnsi="宋体" w:eastAsia="宋体" w:cs="宋体"/>
          <w:color w:val="auto"/>
          <w:sz w:val="24"/>
          <w:szCs w:val="24"/>
        </w:rPr>
        <w:t>或者盖</w:t>
      </w:r>
      <w:r>
        <w:rPr>
          <w:rFonts w:ascii="宋体" w:hAnsi="宋体" w:eastAsia="宋体" w:cs="宋体"/>
          <w:color w:val="auto"/>
          <w:spacing w:val="-1"/>
          <w:sz w:val="24"/>
          <w:szCs w:val="24"/>
        </w:rPr>
        <w:t>单位章之日起生效，合同履行完毕后自动失效。</w:t>
      </w:r>
    </w:p>
    <w:p w14:paraId="4C775229">
      <w:pPr>
        <w:spacing w:before="183" w:line="219" w:lineRule="auto"/>
        <w:ind w:left="480"/>
        <w:rPr>
          <w:rFonts w:ascii="宋体" w:hAnsi="宋体" w:eastAsia="宋体" w:cs="宋体"/>
          <w:color w:val="auto"/>
          <w:sz w:val="24"/>
          <w:szCs w:val="24"/>
        </w:rPr>
      </w:pPr>
      <w:r>
        <w:rPr>
          <w:rFonts w:hint="eastAsia" w:ascii="宋体" w:hAnsi="宋体" w:eastAsia="宋体" w:cs="宋体"/>
          <w:color w:val="auto"/>
          <w:spacing w:val="-1"/>
          <w:sz w:val="24"/>
          <w:szCs w:val="24"/>
          <w:lang w:val="en-US" w:eastAsia="zh-CN"/>
        </w:rPr>
        <w:t>6</w:t>
      </w:r>
      <w:r>
        <w:rPr>
          <w:rFonts w:ascii="宋体" w:hAnsi="宋体" w:eastAsia="宋体" w:cs="宋体"/>
          <w:color w:val="auto"/>
          <w:spacing w:val="-1"/>
          <w:sz w:val="24"/>
          <w:szCs w:val="24"/>
        </w:rPr>
        <w:t>.本协议书一式</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106"/>
          <w:sz w:val="24"/>
          <w:szCs w:val="24"/>
        </w:rPr>
        <w:t xml:space="preserve"> </w:t>
      </w:r>
      <w:r>
        <w:rPr>
          <w:rFonts w:ascii="宋体" w:hAnsi="宋体" w:eastAsia="宋体" w:cs="宋体"/>
          <w:color w:val="auto"/>
          <w:spacing w:val="-1"/>
          <w:sz w:val="24"/>
          <w:szCs w:val="24"/>
        </w:rPr>
        <w:t>份，联合体成员和采购人各执一份。</w:t>
      </w:r>
    </w:p>
    <w:p w14:paraId="6C583CFA">
      <w:pPr>
        <w:spacing w:before="183" w:line="219" w:lineRule="auto"/>
        <w:jc w:val="right"/>
        <w:rPr>
          <w:rFonts w:ascii="宋体" w:hAnsi="宋体" w:eastAsia="宋体" w:cs="宋体"/>
          <w:color w:val="auto"/>
          <w:sz w:val="24"/>
          <w:szCs w:val="24"/>
        </w:rPr>
      </w:pPr>
      <w:r>
        <w:rPr>
          <w:rFonts w:ascii="宋体" w:hAnsi="宋体" w:eastAsia="宋体" w:cs="宋体"/>
          <w:color w:val="auto"/>
          <w:spacing w:val="-9"/>
          <w:sz w:val="24"/>
          <w:szCs w:val="24"/>
        </w:rPr>
        <w:t>注：本协议书应附法定代表人身份证明书；有委托代理的，应附权委</w:t>
      </w:r>
      <w:r>
        <w:rPr>
          <w:rFonts w:ascii="宋体" w:hAnsi="宋体" w:eastAsia="宋体" w:cs="宋体"/>
          <w:color w:val="auto"/>
          <w:spacing w:val="-10"/>
          <w:sz w:val="24"/>
          <w:szCs w:val="24"/>
        </w:rPr>
        <w:t>托书（格式自拟）。</w:t>
      </w:r>
    </w:p>
    <w:p w14:paraId="7B0A572D">
      <w:pPr>
        <w:spacing w:line="284" w:lineRule="auto"/>
        <w:rPr>
          <w:rFonts w:ascii="Arial"/>
          <w:color w:val="auto"/>
          <w:sz w:val="21"/>
        </w:rPr>
      </w:pPr>
    </w:p>
    <w:p w14:paraId="2B2F2107">
      <w:pPr>
        <w:spacing w:line="285" w:lineRule="auto"/>
        <w:rPr>
          <w:rFonts w:ascii="Arial"/>
          <w:color w:val="auto"/>
          <w:sz w:val="21"/>
        </w:rPr>
      </w:pPr>
    </w:p>
    <w:p w14:paraId="7556E8C0">
      <w:pPr>
        <w:spacing w:before="79" w:line="219" w:lineRule="auto"/>
        <w:rPr>
          <w:rFonts w:ascii="宋体" w:hAnsi="宋体" w:eastAsia="宋体" w:cs="宋体"/>
          <w:color w:val="auto"/>
          <w:sz w:val="24"/>
          <w:szCs w:val="24"/>
        </w:rPr>
      </w:pPr>
      <w:r>
        <w:rPr>
          <w:rFonts w:ascii="宋体" w:hAnsi="宋体" w:eastAsia="宋体" w:cs="宋体"/>
          <w:color w:val="auto"/>
          <w:spacing w:val="-1"/>
          <w:sz w:val="24"/>
          <w:szCs w:val="24"/>
        </w:rPr>
        <w:t>联合体牵头人名称（电子签章</w:t>
      </w:r>
      <w:r>
        <w:rPr>
          <w:rFonts w:ascii="宋体" w:hAnsi="宋体" w:eastAsia="宋体" w:cs="宋体"/>
          <w:color w:val="auto"/>
          <w:sz w:val="24"/>
          <w:szCs w:val="24"/>
        </w:rPr>
        <w:t>）：</w:t>
      </w:r>
    </w:p>
    <w:p w14:paraId="4473BF1D">
      <w:pPr>
        <w:spacing w:before="184" w:line="219" w:lineRule="auto"/>
        <w:rPr>
          <w:rFonts w:ascii="宋体" w:hAnsi="宋体" w:eastAsia="宋体" w:cs="宋体"/>
          <w:color w:val="auto"/>
          <w:sz w:val="24"/>
          <w:szCs w:val="24"/>
        </w:rPr>
      </w:pPr>
      <w:r>
        <w:rPr>
          <w:rFonts w:ascii="宋体" w:hAnsi="宋体" w:eastAsia="宋体" w:cs="宋体"/>
          <w:color w:val="auto"/>
          <w:spacing w:val="-1"/>
          <w:sz w:val="24"/>
          <w:szCs w:val="24"/>
        </w:rPr>
        <w:t>法定代表人或者其委托代理人（签字或者电子签名</w:t>
      </w:r>
      <w:r>
        <w:rPr>
          <w:rFonts w:ascii="宋体" w:hAnsi="宋体" w:eastAsia="宋体" w:cs="宋体"/>
          <w:color w:val="auto"/>
          <w:spacing w:val="5"/>
          <w:sz w:val="24"/>
          <w:szCs w:val="24"/>
        </w:rPr>
        <w:t>）：</w:t>
      </w:r>
    </w:p>
    <w:p w14:paraId="00836F95">
      <w:pPr>
        <w:spacing w:line="284" w:lineRule="auto"/>
        <w:rPr>
          <w:rFonts w:ascii="Arial"/>
          <w:color w:val="auto"/>
          <w:sz w:val="21"/>
        </w:rPr>
      </w:pPr>
    </w:p>
    <w:p w14:paraId="0BC6CAD2">
      <w:pPr>
        <w:spacing w:line="284" w:lineRule="auto"/>
        <w:rPr>
          <w:rFonts w:ascii="Arial"/>
          <w:color w:val="auto"/>
          <w:sz w:val="21"/>
        </w:rPr>
      </w:pPr>
    </w:p>
    <w:p w14:paraId="09E08F27">
      <w:pPr>
        <w:spacing w:before="79" w:line="219" w:lineRule="auto"/>
        <w:rPr>
          <w:rFonts w:ascii="宋体" w:hAnsi="宋体" w:eastAsia="宋体" w:cs="宋体"/>
          <w:color w:val="auto"/>
          <w:sz w:val="24"/>
          <w:szCs w:val="24"/>
        </w:rPr>
      </w:pPr>
      <w:r>
        <w:rPr>
          <w:rFonts w:ascii="宋体" w:hAnsi="宋体" w:eastAsia="宋体" w:cs="宋体"/>
          <w:color w:val="auto"/>
          <w:spacing w:val="-1"/>
          <w:sz w:val="24"/>
          <w:szCs w:val="24"/>
        </w:rPr>
        <w:t>联合体成员名称（盖公章或者电子签章</w:t>
      </w:r>
      <w:r>
        <w:rPr>
          <w:rFonts w:ascii="宋体" w:hAnsi="宋体" w:eastAsia="宋体" w:cs="宋体"/>
          <w:color w:val="auto"/>
          <w:spacing w:val="2"/>
          <w:sz w:val="24"/>
          <w:szCs w:val="24"/>
        </w:rPr>
        <w:t>）：</w:t>
      </w:r>
    </w:p>
    <w:p w14:paraId="4E66C3C0">
      <w:pPr>
        <w:spacing w:before="184" w:line="219" w:lineRule="auto"/>
        <w:rPr>
          <w:rFonts w:ascii="宋体" w:hAnsi="宋体" w:eastAsia="宋体" w:cs="宋体"/>
          <w:color w:val="auto"/>
          <w:sz w:val="24"/>
          <w:szCs w:val="24"/>
        </w:rPr>
      </w:pPr>
      <w:r>
        <w:rPr>
          <w:rFonts w:ascii="宋体" w:hAnsi="宋体" w:eastAsia="宋体" w:cs="宋体"/>
          <w:color w:val="auto"/>
          <w:spacing w:val="-1"/>
          <w:sz w:val="24"/>
          <w:szCs w:val="24"/>
        </w:rPr>
        <w:t>法定代表人或者其委托代理人（签字或者电子签名</w:t>
      </w:r>
      <w:r>
        <w:rPr>
          <w:rFonts w:ascii="宋体" w:hAnsi="宋体" w:eastAsia="宋体" w:cs="宋体"/>
          <w:color w:val="auto"/>
          <w:spacing w:val="5"/>
          <w:sz w:val="24"/>
          <w:szCs w:val="24"/>
        </w:rPr>
        <w:t>）：</w:t>
      </w:r>
    </w:p>
    <w:p w14:paraId="3E9BDAB0">
      <w:pPr>
        <w:spacing w:line="284" w:lineRule="auto"/>
        <w:rPr>
          <w:rFonts w:ascii="Arial"/>
          <w:color w:val="auto"/>
          <w:sz w:val="21"/>
        </w:rPr>
      </w:pPr>
    </w:p>
    <w:p w14:paraId="08E35FFD">
      <w:pPr>
        <w:spacing w:line="284" w:lineRule="auto"/>
        <w:rPr>
          <w:rFonts w:ascii="Arial"/>
          <w:color w:val="auto"/>
          <w:sz w:val="21"/>
        </w:rPr>
      </w:pPr>
    </w:p>
    <w:p w14:paraId="7E930E1F">
      <w:pPr>
        <w:spacing w:line="290" w:lineRule="auto"/>
        <w:rPr>
          <w:rFonts w:ascii="Arial"/>
          <w:color w:val="auto"/>
          <w:sz w:val="21"/>
        </w:rPr>
      </w:pPr>
    </w:p>
    <w:p w14:paraId="44B672FF">
      <w:pPr>
        <w:spacing w:before="78" w:line="219" w:lineRule="auto"/>
        <w:ind w:left="6564"/>
        <w:rPr>
          <w:rFonts w:ascii="宋体" w:hAnsi="宋体" w:eastAsia="宋体" w:cs="宋体"/>
          <w:color w:val="auto"/>
          <w:sz w:val="24"/>
          <w:szCs w:val="24"/>
        </w:rPr>
      </w:pPr>
      <w:r>
        <w:rPr>
          <w:rFonts w:ascii="宋体" w:hAnsi="宋体" w:eastAsia="宋体" w:cs="宋体"/>
          <w:color w:val="auto"/>
          <w:spacing w:val="-9"/>
          <w:sz w:val="24"/>
          <w:szCs w:val="24"/>
        </w:rPr>
        <w:t>年</w:t>
      </w:r>
      <w:r>
        <w:rPr>
          <w:rFonts w:ascii="宋体" w:hAnsi="宋体" w:eastAsia="宋体" w:cs="宋体"/>
          <w:color w:val="auto"/>
          <w:spacing w:val="3"/>
          <w:sz w:val="24"/>
          <w:szCs w:val="24"/>
        </w:rPr>
        <w:t xml:space="preserve">    </w:t>
      </w:r>
      <w:r>
        <w:rPr>
          <w:rFonts w:ascii="宋体" w:hAnsi="宋体" w:eastAsia="宋体" w:cs="宋体"/>
          <w:color w:val="auto"/>
          <w:spacing w:val="-9"/>
          <w:sz w:val="24"/>
          <w:szCs w:val="24"/>
        </w:rPr>
        <w:t>月</w:t>
      </w:r>
      <w:r>
        <w:rPr>
          <w:rFonts w:ascii="宋体" w:hAnsi="宋体" w:eastAsia="宋体" w:cs="宋体"/>
          <w:color w:val="auto"/>
          <w:spacing w:val="10"/>
          <w:sz w:val="24"/>
          <w:szCs w:val="24"/>
        </w:rPr>
        <w:t xml:space="preserve">     </w:t>
      </w:r>
      <w:r>
        <w:rPr>
          <w:rFonts w:ascii="宋体" w:hAnsi="宋体" w:eastAsia="宋体" w:cs="宋体"/>
          <w:color w:val="auto"/>
          <w:spacing w:val="-9"/>
          <w:sz w:val="24"/>
          <w:szCs w:val="24"/>
        </w:rPr>
        <w:t>日</w:t>
      </w:r>
    </w:p>
    <w:p w14:paraId="3F20F64F">
      <w:pPr>
        <w:spacing w:line="219" w:lineRule="auto"/>
        <w:rPr>
          <w:rFonts w:ascii="宋体" w:hAnsi="宋体" w:eastAsia="宋体" w:cs="宋体"/>
          <w:color w:val="auto"/>
          <w:sz w:val="24"/>
          <w:szCs w:val="24"/>
        </w:rPr>
        <w:sectPr>
          <w:footerReference r:id="rId15" w:type="default"/>
          <w:pgSz w:w="11906" w:h="16839"/>
          <w:pgMar w:top="1196" w:right="1167" w:bottom="1362" w:left="1258" w:header="0" w:footer="1200" w:gutter="0"/>
          <w:pgNumType w:fmt="decimal"/>
          <w:cols w:space="720" w:num="1"/>
        </w:sectPr>
      </w:pPr>
    </w:p>
    <w:p w14:paraId="44F203B9">
      <w:pPr>
        <w:spacing w:line="391" w:lineRule="auto"/>
        <w:rPr>
          <w:rFonts w:ascii="Arial"/>
          <w:color w:val="auto"/>
          <w:sz w:val="21"/>
        </w:rPr>
      </w:pPr>
    </w:p>
    <w:p w14:paraId="62EC85B3">
      <w:pPr>
        <w:spacing w:before="140" w:line="222" w:lineRule="auto"/>
        <w:ind w:left="3610"/>
        <w:rPr>
          <w:rFonts w:ascii="宋体" w:hAnsi="宋体" w:eastAsia="宋体" w:cs="宋体"/>
          <w:color w:val="auto"/>
          <w:sz w:val="43"/>
          <w:szCs w:val="43"/>
        </w:rPr>
      </w:pPr>
      <w:r>
        <w:rPr>
          <w:rFonts w:ascii="宋体" w:hAnsi="宋体" w:eastAsia="宋体" w:cs="宋体"/>
          <w:color w:val="auto"/>
          <w:spacing w:val="6"/>
          <w:sz w:val="43"/>
          <w:szCs w:val="43"/>
        </w:rPr>
        <w:t>廉政承诺书</w:t>
      </w:r>
    </w:p>
    <w:p w14:paraId="609482C3">
      <w:pPr>
        <w:spacing w:line="268" w:lineRule="auto"/>
        <w:rPr>
          <w:rFonts w:ascii="Arial"/>
          <w:color w:val="auto"/>
          <w:sz w:val="21"/>
        </w:rPr>
      </w:pPr>
    </w:p>
    <w:p w14:paraId="57D0ED52">
      <w:pPr>
        <w:spacing w:line="268" w:lineRule="auto"/>
        <w:rPr>
          <w:rFonts w:ascii="Arial"/>
          <w:color w:val="auto"/>
          <w:sz w:val="21"/>
        </w:rPr>
      </w:pPr>
    </w:p>
    <w:p w14:paraId="0D76984E">
      <w:pPr>
        <w:spacing w:line="269" w:lineRule="auto"/>
        <w:rPr>
          <w:rFonts w:ascii="Arial"/>
          <w:color w:val="auto"/>
          <w:sz w:val="21"/>
        </w:rPr>
      </w:pPr>
    </w:p>
    <w:p w14:paraId="122EEB33">
      <w:pPr>
        <w:spacing w:before="78" w:line="219" w:lineRule="auto"/>
        <w:ind w:left="480"/>
        <w:rPr>
          <w:rFonts w:ascii="宋体" w:hAnsi="宋体" w:eastAsia="宋体" w:cs="宋体"/>
          <w:color w:val="auto"/>
          <w:sz w:val="24"/>
          <w:szCs w:val="24"/>
        </w:rPr>
      </w:pPr>
      <w:r>
        <w:rPr>
          <w:rFonts w:ascii="宋体" w:hAnsi="宋体" w:eastAsia="宋体" w:cs="宋体"/>
          <w:color w:val="auto"/>
          <w:spacing w:val="9"/>
          <w:sz w:val="24"/>
          <w:szCs w:val="24"/>
        </w:rPr>
        <w:t>致</w:t>
      </w:r>
      <w:r>
        <w:rPr>
          <w:rFonts w:ascii="宋体" w:hAnsi="宋体" w:eastAsia="宋体" w:cs="宋体"/>
          <w:color w:val="auto"/>
          <w:spacing w:val="-17"/>
          <w:sz w:val="24"/>
          <w:szCs w:val="24"/>
        </w:rPr>
        <w:t>：</w:t>
      </w:r>
      <w:r>
        <w:rPr>
          <w:rFonts w:ascii="宋体" w:hAnsi="宋体" w:eastAsia="宋体" w:cs="宋体"/>
          <w:color w:val="auto"/>
          <w:spacing w:val="-17"/>
          <w:sz w:val="24"/>
          <w:szCs w:val="24"/>
          <w:u w:val="single" w:color="auto"/>
        </w:rPr>
        <w:t>（</w:t>
      </w:r>
      <w:r>
        <w:rPr>
          <w:rFonts w:ascii="宋体" w:hAnsi="宋体" w:eastAsia="宋体" w:cs="宋体"/>
          <w:color w:val="auto"/>
          <w:spacing w:val="9"/>
          <w:sz w:val="24"/>
          <w:szCs w:val="24"/>
          <w:u w:val="single" w:color="auto"/>
        </w:rPr>
        <w:t>采购人名称</w:t>
      </w:r>
      <w:r>
        <w:rPr>
          <w:rFonts w:ascii="宋体" w:hAnsi="宋体" w:eastAsia="宋体" w:cs="宋体"/>
          <w:color w:val="auto"/>
          <w:spacing w:val="-17"/>
          <w:sz w:val="24"/>
          <w:szCs w:val="24"/>
          <w:u w:val="single" w:color="auto"/>
        </w:rPr>
        <w:t>）</w:t>
      </w:r>
      <w:r>
        <w:rPr>
          <w:rFonts w:ascii="宋体" w:hAnsi="宋体" w:eastAsia="宋体" w:cs="宋体"/>
          <w:color w:val="auto"/>
          <w:spacing w:val="3"/>
          <w:sz w:val="24"/>
          <w:szCs w:val="24"/>
          <w:u w:val="single" w:color="auto"/>
        </w:rPr>
        <w:t xml:space="preserve"> </w:t>
      </w:r>
      <w:r>
        <w:rPr>
          <w:rFonts w:ascii="宋体" w:hAnsi="宋体" w:eastAsia="宋体" w:cs="宋体"/>
          <w:color w:val="auto"/>
          <w:spacing w:val="-17"/>
          <w:sz w:val="24"/>
          <w:szCs w:val="24"/>
        </w:rPr>
        <w:t>：</w:t>
      </w:r>
    </w:p>
    <w:p w14:paraId="4ECBEA7F">
      <w:pPr>
        <w:spacing w:before="314" w:line="462" w:lineRule="auto"/>
        <w:ind w:left="1" w:right="50" w:firstLine="480"/>
        <w:rPr>
          <w:rFonts w:ascii="宋体" w:hAnsi="宋体" w:eastAsia="宋体" w:cs="宋体"/>
          <w:color w:val="auto"/>
          <w:sz w:val="24"/>
          <w:szCs w:val="24"/>
        </w:rPr>
      </w:pPr>
      <w:r>
        <w:rPr>
          <w:rFonts w:ascii="宋体" w:hAnsi="宋体" w:eastAsia="宋体" w:cs="宋体"/>
          <w:color w:val="auto"/>
          <w:spacing w:val="-4"/>
          <w:sz w:val="24"/>
          <w:szCs w:val="24"/>
        </w:rPr>
        <w:t>我公司参加贵方组织的</w:t>
      </w:r>
      <w:r>
        <w:rPr>
          <w:rFonts w:ascii="宋体" w:hAnsi="宋体" w:eastAsia="宋体" w:cs="宋体"/>
          <w:color w:val="auto"/>
          <w:spacing w:val="52"/>
          <w:sz w:val="24"/>
          <w:szCs w:val="24"/>
          <w:u w:val="single" w:color="auto"/>
        </w:rPr>
        <w:t xml:space="preserve"> </w:t>
      </w:r>
      <w:r>
        <w:rPr>
          <w:rFonts w:hint="eastAsia" w:ascii="宋体" w:hAnsi="宋体" w:eastAsia="宋体" w:cs="宋体"/>
          <w:color w:val="auto"/>
          <w:spacing w:val="52"/>
          <w:sz w:val="24"/>
          <w:szCs w:val="24"/>
          <w:u w:val="single" w:color="auto"/>
          <w:lang w:eastAsia="zh-CN"/>
        </w:rPr>
        <w:t>（</w:t>
      </w:r>
      <w:r>
        <w:rPr>
          <w:rFonts w:ascii="宋体" w:hAnsi="宋体" w:eastAsia="宋体" w:cs="宋体"/>
          <w:color w:val="auto"/>
          <w:spacing w:val="-4"/>
          <w:sz w:val="24"/>
          <w:szCs w:val="24"/>
          <w:u w:val="single" w:color="auto"/>
        </w:rPr>
        <w:t>项目名称</w:t>
      </w:r>
      <w:r>
        <w:rPr>
          <w:rFonts w:hint="eastAsia" w:ascii="宋体" w:hAnsi="宋体" w:eastAsia="宋体" w:cs="宋体"/>
          <w:color w:val="auto"/>
          <w:spacing w:val="-4"/>
          <w:sz w:val="24"/>
          <w:szCs w:val="24"/>
          <w:u w:val="single" w:color="auto"/>
          <w:lang w:eastAsia="zh-CN"/>
        </w:rPr>
        <w:t>）</w:t>
      </w:r>
      <w:r>
        <w:rPr>
          <w:rFonts w:ascii="宋体" w:hAnsi="宋体" w:eastAsia="宋体" w:cs="宋体"/>
          <w:color w:val="auto"/>
          <w:spacing w:val="-4"/>
          <w:sz w:val="24"/>
          <w:szCs w:val="24"/>
          <w:u w:val="single" w:color="auto"/>
        </w:rPr>
        <w:t xml:space="preserve">         </w:t>
      </w:r>
      <w:r>
        <w:rPr>
          <w:rFonts w:ascii="宋体" w:hAnsi="宋体" w:eastAsia="宋体" w:cs="宋体"/>
          <w:color w:val="auto"/>
          <w:spacing w:val="-4"/>
          <w:sz w:val="24"/>
          <w:szCs w:val="24"/>
        </w:rPr>
        <w:t>（项目编号</w:t>
      </w:r>
      <w:r>
        <w:rPr>
          <w:rFonts w:ascii="宋体" w:hAnsi="宋体" w:eastAsia="宋体" w:cs="宋体"/>
          <w:color w:val="auto"/>
          <w:spacing w:val="-7"/>
          <w:sz w:val="24"/>
          <w:szCs w:val="24"/>
        </w:rPr>
        <w:t>：</w:t>
      </w:r>
      <w:r>
        <w:rPr>
          <w:rFonts w:ascii="宋体" w:hAnsi="宋体" w:eastAsia="宋体" w:cs="宋体"/>
          <w:color w:val="auto"/>
          <w:sz w:val="24"/>
          <w:szCs w:val="24"/>
          <w:u w:val="single" w:color="auto"/>
        </w:rPr>
        <w:t xml:space="preserve">         </w:t>
      </w:r>
      <w:r>
        <w:rPr>
          <w:rFonts w:ascii="宋体" w:hAnsi="宋体" w:eastAsia="宋体" w:cs="宋体"/>
          <w:color w:val="auto"/>
          <w:spacing w:val="-85"/>
          <w:sz w:val="24"/>
          <w:szCs w:val="24"/>
        </w:rPr>
        <w:t xml:space="preserve"> </w:t>
      </w:r>
      <w:r>
        <w:rPr>
          <w:rFonts w:ascii="宋体" w:hAnsi="宋体" w:eastAsia="宋体" w:cs="宋体"/>
          <w:color w:val="auto"/>
          <w:spacing w:val="-7"/>
          <w:sz w:val="24"/>
          <w:szCs w:val="24"/>
        </w:rPr>
        <w:t>）</w:t>
      </w:r>
      <w:r>
        <w:rPr>
          <w:rFonts w:ascii="宋体" w:hAnsi="宋体" w:eastAsia="宋体" w:cs="宋体"/>
          <w:color w:val="auto"/>
          <w:spacing w:val="-4"/>
          <w:sz w:val="24"/>
          <w:szCs w:val="24"/>
        </w:rPr>
        <w:t>项目的投标</w:t>
      </w:r>
      <w:r>
        <w:rPr>
          <w:rFonts w:hint="eastAsia" w:ascii="宋体" w:hAnsi="宋体" w:eastAsia="宋体" w:cs="宋体"/>
          <w:color w:val="auto"/>
          <w:spacing w:val="-4"/>
          <w:sz w:val="24"/>
          <w:szCs w:val="24"/>
          <w:lang w:eastAsia="zh-CN"/>
        </w:rPr>
        <w:t>，</w:t>
      </w:r>
      <w:r>
        <w:rPr>
          <w:rFonts w:ascii="宋体" w:hAnsi="宋体" w:eastAsia="宋体" w:cs="宋体"/>
          <w:color w:val="auto"/>
          <w:spacing w:val="-1"/>
          <w:sz w:val="24"/>
          <w:szCs w:val="24"/>
        </w:rPr>
        <w:t>我公司将严格遵守国家有关廉政要求，并郑重承诺如下：</w:t>
      </w:r>
    </w:p>
    <w:p w14:paraId="75B255C4">
      <w:pPr>
        <w:spacing w:before="1" w:line="340" w:lineRule="auto"/>
        <w:ind w:right="59" w:firstLine="483"/>
        <w:rPr>
          <w:rFonts w:ascii="宋体" w:hAnsi="宋体" w:eastAsia="宋体" w:cs="宋体"/>
          <w:color w:val="auto"/>
          <w:sz w:val="24"/>
          <w:szCs w:val="24"/>
        </w:rPr>
      </w:pPr>
      <w:r>
        <w:rPr>
          <w:rFonts w:ascii="宋体" w:hAnsi="宋体" w:eastAsia="宋体" w:cs="宋体"/>
          <w:color w:val="auto"/>
          <w:spacing w:val="1"/>
          <w:sz w:val="24"/>
          <w:szCs w:val="24"/>
        </w:rPr>
        <w:t>一、不向采购有关的工作人员赠送礼金礼物、有价证券、回扣以及中介费、咨询费等</w:t>
      </w:r>
      <w:r>
        <w:rPr>
          <w:rFonts w:ascii="宋体" w:hAnsi="宋体" w:eastAsia="宋体" w:cs="宋体"/>
          <w:color w:val="auto"/>
          <w:spacing w:val="-3"/>
          <w:sz w:val="24"/>
          <w:szCs w:val="24"/>
        </w:rPr>
        <w:t>好处费；</w:t>
      </w:r>
    </w:p>
    <w:p w14:paraId="3039A302">
      <w:pPr>
        <w:spacing w:before="314" w:line="219" w:lineRule="auto"/>
        <w:ind w:left="483"/>
        <w:rPr>
          <w:rFonts w:ascii="宋体" w:hAnsi="宋体" w:eastAsia="宋体" w:cs="宋体"/>
          <w:color w:val="auto"/>
          <w:sz w:val="24"/>
          <w:szCs w:val="24"/>
        </w:rPr>
      </w:pPr>
      <w:r>
        <w:rPr>
          <w:rFonts w:ascii="宋体" w:hAnsi="宋体" w:eastAsia="宋体" w:cs="宋体"/>
          <w:color w:val="auto"/>
          <w:spacing w:val="1"/>
          <w:sz w:val="24"/>
          <w:szCs w:val="24"/>
        </w:rPr>
        <w:t>二、不为采购相关工作人员报销应由相关单位或个人支付的费用</w:t>
      </w:r>
      <w:r>
        <w:rPr>
          <w:rFonts w:hint="eastAsia" w:ascii="宋体" w:hAnsi="宋体" w:eastAsia="宋体" w:cs="宋体"/>
          <w:color w:val="auto"/>
          <w:spacing w:val="1"/>
          <w:sz w:val="24"/>
          <w:szCs w:val="24"/>
          <w:lang w:eastAsia="zh-CN"/>
        </w:rPr>
        <w:t>；</w:t>
      </w:r>
    </w:p>
    <w:p w14:paraId="7D55BBF9">
      <w:pPr>
        <w:spacing w:before="316" w:line="340" w:lineRule="auto"/>
        <w:ind w:right="61" w:firstLine="480"/>
        <w:rPr>
          <w:rFonts w:ascii="宋体" w:hAnsi="宋体" w:eastAsia="宋体" w:cs="宋体"/>
          <w:color w:val="auto"/>
          <w:sz w:val="24"/>
          <w:szCs w:val="24"/>
        </w:rPr>
      </w:pPr>
      <w:r>
        <w:rPr>
          <w:rFonts w:ascii="宋体" w:hAnsi="宋体" w:eastAsia="宋体" w:cs="宋体"/>
          <w:color w:val="auto"/>
          <w:spacing w:val="1"/>
          <w:sz w:val="24"/>
          <w:szCs w:val="24"/>
        </w:rPr>
        <w:t>三、不为采购相关人员个人装修住户、婚丧嫁娶、配偶子女工作安排以及出国</w:t>
      </w:r>
      <w:r>
        <w:rPr>
          <w:rFonts w:hint="eastAsia" w:ascii="宋体" w:hAnsi="宋体" w:eastAsia="宋体" w:cs="宋体"/>
          <w:color w:val="auto"/>
          <w:spacing w:val="1"/>
          <w:sz w:val="24"/>
          <w:szCs w:val="24"/>
          <w:lang w:eastAsia="zh-CN"/>
        </w:rPr>
        <w:t>（</w:t>
      </w:r>
      <w:r>
        <w:rPr>
          <w:rFonts w:ascii="宋体" w:hAnsi="宋体" w:eastAsia="宋体" w:cs="宋体"/>
          <w:color w:val="auto"/>
          <w:spacing w:val="1"/>
          <w:sz w:val="24"/>
          <w:szCs w:val="24"/>
        </w:rPr>
        <w:t>境</w:t>
      </w:r>
      <w:r>
        <w:rPr>
          <w:rFonts w:hint="eastAsia" w:ascii="宋体" w:hAnsi="宋体" w:eastAsia="宋体" w:cs="宋体"/>
          <w:color w:val="auto"/>
          <w:spacing w:val="1"/>
          <w:sz w:val="24"/>
          <w:szCs w:val="24"/>
          <w:lang w:eastAsia="zh-CN"/>
        </w:rPr>
        <w:t>）</w:t>
      </w:r>
      <w:r>
        <w:rPr>
          <w:rFonts w:ascii="宋体" w:hAnsi="宋体" w:eastAsia="宋体" w:cs="宋体"/>
          <w:color w:val="auto"/>
          <w:spacing w:val="1"/>
          <w:sz w:val="24"/>
          <w:szCs w:val="24"/>
        </w:rPr>
        <w:t>旅</w:t>
      </w:r>
      <w:r>
        <w:rPr>
          <w:rFonts w:ascii="宋体" w:hAnsi="宋体" w:eastAsia="宋体" w:cs="宋体"/>
          <w:color w:val="auto"/>
          <w:spacing w:val="-1"/>
          <w:sz w:val="24"/>
          <w:szCs w:val="24"/>
        </w:rPr>
        <w:t>游提供方便或者提供其它好处；</w:t>
      </w:r>
    </w:p>
    <w:p w14:paraId="4B20E164">
      <w:pPr>
        <w:spacing w:before="316" w:line="340" w:lineRule="auto"/>
        <w:ind w:left="6" w:right="59" w:firstLine="496"/>
        <w:rPr>
          <w:rFonts w:ascii="宋体" w:hAnsi="宋体" w:eastAsia="宋体" w:cs="宋体"/>
          <w:color w:val="auto"/>
          <w:sz w:val="24"/>
          <w:szCs w:val="24"/>
        </w:rPr>
      </w:pPr>
      <w:r>
        <w:rPr>
          <w:rFonts w:ascii="宋体" w:hAnsi="宋体" w:eastAsia="宋体" w:cs="宋体"/>
          <w:color w:val="auto"/>
          <w:spacing w:val="1"/>
          <w:sz w:val="24"/>
          <w:szCs w:val="24"/>
        </w:rPr>
        <w:t>四、不向采购相关工作人员提供有可能影响</w:t>
      </w:r>
      <w:r>
        <w:rPr>
          <w:rFonts w:ascii="宋体" w:hAnsi="宋体" w:eastAsia="宋体" w:cs="宋体"/>
          <w:color w:val="auto"/>
          <w:sz w:val="24"/>
          <w:szCs w:val="24"/>
        </w:rPr>
        <w:t>公正进行本项目磋商相关工作的宴请和健</w:t>
      </w:r>
      <w:r>
        <w:rPr>
          <w:rFonts w:ascii="宋体" w:hAnsi="宋体" w:eastAsia="宋体" w:cs="宋体"/>
          <w:color w:val="auto"/>
          <w:spacing w:val="-3"/>
          <w:sz w:val="24"/>
          <w:szCs w:val="24"/>
        </w:rPr>
        <w:t>身娱乐等活动；</w:t>
      </w:r>
    </w:p>
    <w:p w14:paraId="62B56632">
      <w:pPr>
        <w:spacing w:before="315" w:line="340" w:lineRule="auto"/>
        <w:ind w:left="3" w:firstLine="480"/>
        <w:rPr>
          <w:rFonts w:ascii="宋体" w:hAnsi="宋体" w:eastAsia="宋体" w:cs="宋体"/>
          <w:color w:val="auto"/>
          <w:sz w:val="24"/>
          <w:szCs w:val="24"/>
        </w:rPr>
      </w:pPr>
      <w:r>
        <w:rPr>
          <w:rFonts w:ascii="宋体" w:hAnsi="宋体" w:eastAsia="宋体" w:cs="宋体"/>
          <w:color w:val="auto"/>
          <w:spacing w:val="-4"/>
          <w:sz w:val="24"/>
          <w:szCs w:val="24"/>
        </w:rPr>
        <w:t>五、不接受采购人员介绍的与采购项目有关的设备采购、工程分包、劳务等经济活动，</w:t>
      </w:r>
      <w:r>
        <w:rPr>
          <w:rFonts w:ascii="宋体" w:hAnsi="宋体" w:eastAsia="宋体" w:cs="宋体"/>
          <w:color w:val="auto"/>
          <w:spacing w:val="-1"/>
          <w:sz w:val="24"/>
          <w:szCs w:val="24"/>
        </w:rPr>
        <w:t>不接受采购人推荐分包单位的要求购买规定以外的材料、设备。</w:t>
      </w:r>
    </w:p>
    <w:p w14:paraId="27C1DE04">
      <w:pPr>
        <w:spacing w:before="315" w:line="464" w:lineRule="auto"/>
        <w:ind w:left="9" w:right="59" w:firstLine="474"/>
        <w:rPr>
          <w:rFonts w:ascii="宋体" w:hAnsi="宋体" w:eastAsia="宋体" w:cs="宋体"/>
          <w:color w:val="auto"/>
          <w:sz w:val="24"/>
          <w:szCs w:val="24"/>
        </w:rPr>
      </w:pPr>
      <w:r>
        <w:rPr>
          <w:rFonts w:ascii="宋体" w:hAnsi="宋体" w:eastAsia="宋体" w:cs="宋体"/>
          <w:color w:val="auto"/>
          <w:spacing w:val="1"/>
          <w:sz w:val="24"/>
          <w:szCs w:val="24"/>
        </w:rPr>
        <w:t>如违反上述承诺，贵单位有权取消我单位参与磋商资格，由此引起的相应损失由我公</w:t>
      </w:r>
      <w:r>
        <w:rPr>
          <w:rFonts w:ascii="宋体" w:hAnsi="宋体" w:eastAsia="宋体" w:cs="宋体"/>
          <w:color w:val="auto"/>
          <w:spacing w:val="-5"/>
          <w:sz w:val="24"/>
          <w:szCs w:val="24"/>
        </w:rPr>
        <w:t>司承担。</w:t>
      </w:r>
    </w:p>
    <w:p w14:paraId="128901B4">
      <w:pPr>
        <w:spacing w:line="288" w:lineRule="auto"/>
        <w:rPr>
          <w:rFonts w:ascii="Arial"/>
          <w:color w:val="auto"/>
          <w:sz w:val="21"/>
        </w:rPr>
      </w:pPr>
    </w:p>
    <w:p w14:paraId="294CEB6C">
      <w:pPr>
        <w:spacing w:line="288" w:lineRule="auto"/>
        <w:rPr>
          <w:rFonts w:ascii="Arial"/>
          <w:color w:val="auto"/>
          <w:sz w:val="21"/>
        </w:rPr>
      </w:pPr>
    </w:p>
    <w:p w14:paraId="4D2A65E5">
      <w:pPr>
        <w:spacing w:line="288" w:lineRule="auto"/>
        <w:rPr>
          <w:rFonts w:ascii="Arial"/>
          <w:color w:val="auto"/>
          <w:sz w:val="21"/>
        </w:rPr>
      </w:pPr>
    </w:p>
    <w:p w14:paraId="45A1918E">
      <w:pPr>
        <w:spacing w:line="288" w:lineRule="auto"/>
        <w:rPr>
          <w:rFonts w:ascii="Arial"/>
          <w:color w:val="auto"/>
          <w:sz w:val="21"/>
        </w:rPr>
      </w:pPr>
    </w:p>
    <w:p w14:paraId="173587DD">
      <w:pPr>
        <w:spacing w:before="78" w:line="219" w:lineRule="auto"/>
        <w:ind w:left="4319"/>
        <w:rPr>
          <w:rFonts w:ascii="宋体" w:hAnsi="宋体" w:eastAsia="宋体" w:cs="宋体"/>
          <w:color w:val="auto"/>
          <w:sz w:val="24"/>
          <w:szCs w:val="24"/>
        </w:rPr>
      </w:pPr>
      <w:r>
        <w:rPr>
          <w:rFonts w:ascii="宋体" w:hAnsi="宋体" w:eastAsia="宋体" w:cs="宋体"/>
          <w:color w:val="auto"/>
          <w:spacing w:val="-2"/>
          <w:sz w:val="24"/>
          <w:szCs w:val="24"/>
        </w:rPr>
        <w:t>供应商（电子签章</w:t>
      </w:r>
      <w:r>
        <w:rPr>
          <w:rFonts w:ascii="宋体" w:hAnsi="宋体" w:eastAsia="宋体" w:cs="宋体"/>
          <w:color w:val="auto"/>
          <w:spacing w:val="2"/>
          <w:sz w:val="24"/>
          <w:szCs w:val="24"/>
        </w:rPr>
        <w:t>）：</w:t>
      </w:r>
      <w:r>
        <w:rPr>
          <w:rFonts w:ascii="宋体" w:hAnsi="宋体" w:eastAsia="宋体" w:cs="宋体"/>
          <w:color w:val="auto"/>
          <w:sz w:val="24"/>
          <w:szCs w:val="24"/>
          <w:u w:val="single" w:color="auto"/>
        </w:rPr>
        <w:t xml:space="preserve">                       </w:t>
      </w:r>
    </w:p>
    <w:p w14:paraId="6BA7ED3C">
      <w:pPr>
        <w:spacing w:before="184" w:line="219" w:lineRule="auto"/>
        <w:ind w:left="6495"/>
        <w:rPr>
          <w:rFonts w:ascii="宋体" w:hAnsi="宋体" w:eastAsia="宋体" w:cs="宋体"/>
          <w:color w:val="auto"/>
          <w:sz w:val="24"/>
          <w:szCs w:val="24"/>
        </w:rPr>
      </w:pPr>
      <w:r>
        <w:rPr>
          <w:rFonts w:ascii="宋体" w:hAnsi="宋体" w:eastAsia="宋体" w:cs="宋体"/>
          <w:color w:val="auto"/>
          <w:spacing w:val="-9"/>
          <w:sz w:val="24"/>
          <w:szCs w:val="24"/>
        </w:rPr>
        <w:t>年</w:t>
      </w:r>
      <w:r>
        <w:rPr>
          <w:rFonts w:ascii="宋体" w:hAnsi="宋体" w:eastAsia="宋体" w:cs="宋体"/>
          <w:color w:val="auto"/>
          <w:spacing w:val="3"/>
          <w:sz w:val="24"/>
          <w:szCs w:val="24"/>
        </w:rPr>
        <w:t xml:space="preserve">    </w:t>
      </w:r>
      <w:r>
        <w:rPr>
          <w:rFonts w:ascii="宋体" w:hAnsi="宋体" w:eastAsia="宋体" w:cs="宋体"/>
          <w:color w:val="auto"/>
          <w:spacing w:val="-9"/>
          <w:sz w:val="24"/>
          <w:szCs w:val="24"/>
        </w:rPr>
        <w:t>月</w:t>
      </w:r>
      <w:r>
        <w:rPr>
          <w:rFonts w:ascii="宋体" w:hAnsi="宋体" w:eastAsia="宋体" w:cs="宋体"/>
          <w:color w:val="auto"/>
          <w:spacing w:val="13"/>
          <w:sz w:val="24"/>
          <w:szCs w:val="24"/>
        </w:rPr>
        <w:t xml:space="preserve">    </w:t>
      </w:r>
      <w:r>
        <w:rPr>
          <w:rFonts w:ascii="宋体" w:hAnsi="宋体" w:eastAsia="宋体" w:cs="宋体"/>
          <w:color w:val="auto"/>
          <w:spacing w:val="-9"/>
          <w:sz w:val="24"/>
          <w:szCs w:val="24"/>
        </w:rPr>
        <w:t>日</w:t>
      </w:r>
    </w:p>
    <w:p w14:paraId="559EA85B">
      <w:pPr>
        <w:spacing w:line="219" w:lineRule="auto"/>
        <w:rPr>
          <w:rFonts w:ascii="宋体" w:hAnsi="宋体" w:eastAsia="宋体" w:cs="宋体"/>
          <w:color w:val="auto"/>
          <w:sz w:val="24"/>
          <w:szCs w:val="24"/>
        </w:rPr>
        <w:sectPr>
          <w:footerReference r:id="rId16" w:type="default"/>
          <w:pgSz w:w="11906" w:h="16839"/>
          <w:pgMar w:top="1431" w:right="1186" w:bottom="1362" w:left="1257" w:header="0" w:footer="1200" w:gutter="0"/>
          <w:pgNumType w:fmt="decimal"/>
          <w:cols w:space="720" w:num="1"/>
        </w:sectPr>
      </w:pPr>
    </w:p>
    <w:p w14:paraId="0E43AEB8">
      <w:pPr>
        <w:spacing w:before="64" w:line="223" w:lineRule="auto"/>
        <w:rPr>
          <w:rFonts w:ascii="宋体" w:hAnsi="宋体" w:eastAsia="宋体" w:cs="宋体"/>
          <w:color w:val="auto"/>
          <w:sz w:val="31"/>
          <w:szCs w:val="31"/>
        </w:rPr>
      </w:pPr>
      <w:r>
        <w:rPr>
          <w:rFonts w:ascii="宋体" w:hAnsi="宋体" w:eastAsia="宋体" w:cs="宋体"/>
          <w:b/>
          <w:bCs/>
          <w:color w:val="auto"/>
          <w:spacing w:val="5"/>
          <w:sz w:val="31"/>
          <w:szCs w:val="31"/>
        </w:rPr>
        <w:t>二、报价文件格式</w:t>
      </w:r>
    </w:p>
    <w:p w14:paraId="350C6975">
      <w:pPr>
        <w:spacing w:before="302" w:line="223" w:lineRule="auto"/>
        <w:ind w:left="18"/>
        <w:rPr>
          <w:rFonts w:ascii="宋体" w:hAnsi="宋体" w:eastAsia="宋体" w:cs="宋体"/>
          <w:color w:val="auto"/>
          <w:sz w:val="31"/>
          <w:szCs w:val="31"/>
        </w:rPr>
      </w:pPr>
      <w:r>
        <w:rPr>
          <w:rFonts w:ascii="宋体" w:hAnsi="宋体" w:eastAsia="宋体" w:cs="宋体"/>
          <w:b/>
          <w:bCs/>
          <w:color w:val="auto"/>
          <w:spacing w:val="3"/>
          <w:sz w:val="31"/>
          <w:szCs w:val="31"/>
        </w:rPr>
        <w:t>1.报价文件封面格式</w:t>
      </w:r>
    </w:p>
    <w:p w14:paraId="7AF4E2EB">
      <w:pPr>
        <w:spacing w:line="282" w:lineRule="auto"/>
        <w:rPr>
          <w:rFonts w:ascii="Arial"/>
          <w:color w:val="auto"/>
          <w:sz w:val="21"/>
        </w:rPr>
      </w:pPr>
    </w:p>
    <w:p w14:paraId="069A48C5">
      <w:pPr>
        <w:spacing w:line="282" w:lineRule="auto"/>
        <w:rPr>
          <w:rFonts w:ascii="Arial"/>
          <w:color w:val="auto"/>
          <w:sz w:val="21"/>
        </w:rPr>
      </w:pPr>
    </w:p>
    <w:p w14:paraId="5A673DD1">
      <w:pPr>
        <w:spacing w:line="282" w:lineRule="auto"/>
        <w:rPr>
          <w:rFonts w:ascii="Arial"/>
          <w:color w:val="auto"/>
          <w:sz w:val="21"/>
        </w:rPr>
      </w:pPr>
    </w:p>
    <w:p w14:paraId="00829C3C">
      <w:pPr>
        <w:spacing w:before="140" w:line="223" w:lineRule="auto"/>
        <w:ind w:left="2885"/>
        <w:rPr>
          <w:rFonts w:ascii="宋体" w:hAnsi="宋体" w:eastAsia="宋体" w:cs="宋体"/>
          <w:color w:val="auto"/>
          <w:sz w:val="43"/>
          <w:szCs w:val="43"/>
        </w:rPr>
      </w:pPr>
      <w:r>
        <w:rPr>
          <w:rFonts w:ascii="宋体" w:hAnsi="宋体" w:eastAsia="宋体" w:cs="宋体"/>
          <w:color w:val="auto"/>
          <w:spacing w:val="-20"/>
          <w:sz w:val="43"/>
          <w:szCs w:val="43"/>
        </w:rPr>
        <w:t>电</w:t>
      </w:r>
      <w:r>
        <w:rPr>
          <w:rFonts w:ascii="宋体" w:hAnsi="宋体" w:eastAsia="宋体" w:cs="宋体"/>
          <w:color w:val="auto"/>
          <w:spacing w:val="24"/>
          <w:sz w:val="43"/>
          <w:szCs w:val="43"/>
        </w:rPr>
        <w:t xml:space="preserve"> </w:t>
      </w:r>
      <w:r>
        <w:rPr>
          <w:rFonts w:ascii="宋体" w:hAnsi="宋体" w:eastAsia="宋体" w:cs="宋体"/>
          <w:color w:val="auto"/>
          <w:spacing w:val="-20"/>
          <w:sz w:val="43"/>
          <w:szCs w:val="43"/>
        </w:rPr>
        <w:t>子</w:t>
      </w:r>
      <w:r>
        <w:rPr>
          <w:rFonts w:ascii="宋体" w:hAnsi="宋体" w:eastAsia="宋体" w:cs="宋体"/>
          <w:color w:val="auto"/>
          <w:spacing w:val="45"/>
          <w:sz w:val="43"/>
          <w:szCs w:val="43"/>
        </w:rPr>
        <w:t xml:space="preserve"> </w:t>
      </w:r>
      <w:r>
        <w:rPr>
          <w:rFonts w:ascii="宋体" w:hAnsi="宋体" w:eastAsia="宋体" w:cs="宋体"/>
          <w:color w:val="auto"/>
          <w:spacing w:val="-20"/>
          <w:sz w:val="43"/>
          <w:szCs w:val="43"/>
        </w:rPr>
        <w:t>响</w:t>
      </w:r>
      <w:r>
        <w:rPr>
          <w:rFonts w:ascii="宋体" w:hAnsi="宋体" w:eastAsia="宋体" w:cs="宋体"/>
          <w:color w:val="auto"/>
          <w:spacing w:val="23"/>
          <w:sz w:val="43"/>
          <w:szCs w:val="43"/>
        </w:rPr>
        <w:t xml:space="preserve"> </w:t>
      </w:r>
      <w:r>
        <w:rPr>
          <w:rFonts w:ascii="宋体" w:hAnsi="宋体" w:eastAsia="宋体" w:cs="宋体"/>
          <w:color w:val="auto"/>
          <w:spacing w:val="-20"/>
          <w:sz w:val="43"/>
          <w:szCs w:val="43"/>
        </w:rPr>
        <w:t>应</w:t>
      </w:r>
      <w:r>
        <w:rPr>
          <w:rFonts w:ascii="宋体" w:hAnsi="宋体" w:eastAsia="宋体" w:cs="宋体"/>
          <w:color w:val="auto"/>
          <w:spacing w:val="27"/>
          <w:sz w:val="43"/>
          <w:szCs w:val="43"/>
        </w:rPr>
        <w:t xml:space="preserve"> </w:t>
      </w:r>
      <w:r>
        <w:rPr>
          <w:rFonts w:ascii="宋体" w:hAnsi="宋体" w:eastAsia="宋体" w:cs="宋体"/>
          <w:color w:val="auto"/>
          <w:spacing w:val="-20"/>
          <w:sz w:val="43"/>
          <w:szCs w:val="43"/>
        </w:rPr>
        <w:t>文</w:t>
      </w:r>
      <w:r>
        <w:rPr>
          <w:rFonts w:ascii="宋体" w:hAnsi="宋体" w:eastAsia="宋体" w:cs="宋体"/>
          <w:color w:val="auto"/>
          <w:spacing w:val="21"/>
          <w:sz w:val="43"/>
          <w:szCs w:val="43"/>
        </w:rPr>
        <w:t xml:space="preserve"> </w:t>
      </w:r>
      <w:r>
        <w:rPr>
          <w:rFonts w:ascii="宋体" w:hAnsi="宋体" w:eastAsia="宋体" w:cs="宋体"/>
          <w:color w:val="auto"/>
          <w:spacing w:val="-20"/>
          <w:sz w:val="43"/>
          <w:szCs w:val="43"/>
        </w:rPr>
        <w:t>件</w:t>
      </w:r>
    </w:p>
    <w:p w14:paraId="1879A148">
      <w:pPr>
        <w:spacing w:line="248" w:lineRule="auto"/>
        <w:rPr>
          <w:rFonts w:ascii="Arial"/>
          <w:color w:val="auto"/>
          <w:sz w:val="21"/>
        </w:rPr>
      </w:pPr>
    </w:p>
    <w:p w14:paraId="433DFB26">
      <w:pPr>
        <w:spacing w:line="248" w:lineRule="auto"/>
        <w:rPr>
          <w:rFonts w:ascii="Arial"/>
          <w:color w:val="auto"/>
          <w:sz w:val="21"/>
        </w:rPr>
      </w:pPr>
    </w:p>
    <w:p w14:paraId="0AE1A85C">
      <w:pPr>
        <w:spacing w:line="249" w:lineRule="auto"/>
        <w:rPr>
          <w:rFonts w:ascii="Arial"/>
          <w:color w:val="auto"/>
          <w:sz w:val="21"/>
        </w:rPr>
      </w:pPr>
    </w:p>
    <w:p w14:paraId="1FCFC1D7">
      <w:pPr>
        <w:spacing w:line="249" w:lineRule="auto"/>
        <w:rPr>
          <w:rFonts w:ascii="Arial"/>
          <w:color w:val="auto"/>
          <w:sz w:val="21"/>
        </w:rPr>
      </w:pPr>
    </w:p>
    <w:p w14:paraId="0EF1A72D">
      <w:pPr>
        <w:spacing w:before="140" w:line="222" w:lineRule="auto"/>
        <w:ind w:left="3161"/>
        <w:rPr>
          <w:rFonts w:ascii="宋体" w:hAnsi="宋体" w:eastAsia="宋体" w:cs="宋体"/>
          <w:color w:val="auto"/>
          <w:sz w:val="43"/>
          <w:szCs w:val="43"/>
        </w:rPr>
      </w:pPr>
      <w:r>
        <w:rPr>
          <w:rFonts w:ascii="宋体" w:hAnsi="宋体" w:eastAsia="宋体" w:cs="宋体"/>
          <w:color w:val="auto"/>
          <w:spacing w:val="-7"/>
          <w:sz w:val="43"/>
          <w:szCs w:val="43"/>
        </w:rPr>
        <w:t>报</w:t>
      </w:r>
      <w:r>
        <w:rPr>
          <w:rFonts w:ascii="宋体" w:hAnsi="宋体" w:eastAsia="宋体" w:cs="宋体"/>
          <w:color w:val="auto"/>
          <w:spacing w:val="14"/>
          <w:sz w:val="43"/>
          <w:szCs w:val="43"/>
        </w:rPr>
        <w:t xml:space="preserve">  </w:t>
      </w:r>
      <w:r>
        <w:rPr>
          <w:rFonts w:ascii="宋体" w:hAnsi="宋体" w:eastAsia="宋体" w:cs="宋体"/>
          <w:color w:val="auto"/>
          <w:spacing w:val="-7"/>
          <w:sz w:val="43"/>
          <w:szCs w:val="43"/>
        </w:rPr>
        <w:t>价</w:t>
      </w:r>
      <w:r>
        <w:rPr>
          <w:rFonts w:ascii="宋体" w:hAnsi="宋体" w:eastAsia="宋体" w:cs="宋体"/>
          <w:color w:val="auto"/>
          <w:spacing w:val="16"/>
          <w:sz w:val="43"/>
          <w:szCs w:val="43"/>
        </w:rPr>
        <w:t xml:space="preserve">  </w:t>
      </w:r>
      <w:r>
        <w:rPr>
          <w:rFonts w:ascii="宋体" w:hAnsi="宋体" w:eastAsia="宋体" w:cs="宋体"/>
          <w:color w:val="auto"/>
          <w:spacing w:val="-7"/>
          <w:sz w:val="43"/>
          <w:szCs w:val="43"/>
        </w:rPr>
        <w:t>文</w:t>
      </w:r>
      <w:r>
        <w:rPr>
          <w:rFonts w:ascii="宋体" w:hAnsi="宋体" w:eastAsia="宋体" w:cs="宋体"/>
          <w:color w:val="auto"/>
          <w:spacing w:val="14"/>
          <w:sz w:val="43"/>
          <w:szCs w:val="43"/>
        </w:rPr>
        <w:t xml:space="preserve">  </w:t>
      </w:r>
      <w:r>
        <w:rPr>
          <w:rFonts w:ascii="宋体" w:hAnsi="宋体" w:eastAsia="宋体" w:cs="宋体"/>
          <w:color w:val="auto"/>
          <w:spacing w:val="-7"/>
          <w:sz w:val="43"/>
          <w:szCs w:val="43"/>
        </w:rPr>
        <w:t>件</w:t>
      </w:r>
    </w:p>
    <w:p w14:paraId="59AEE8F3">
      <w:pPr>
        <w:spacing w:line="241" w:lineRule="auto"/>
        <w:rPr>
          <w:rFonts w:ascii="Arial"/>
          <w:color w:val="auto"/>
          <w:sz w:val="21"/>
        </w:rPr>
      </w:pPr>
    </w:p>
    <w:p w14:paraId="22057401">
      <w:pPr>
        <w:spacing w:line="241" w:lineRule="auto"/>
        <w:rPr>
          <w:rFonts w:ascii="Arial"/>
          <w:color w:val="auto"/>
          <w:sz w:val="21"/>
        </w:rPr>
      </w:pPr>
    </w:p>
    <w:p w14:paraId="4DEEB53F">
      <w:pPr>
        <w:spacing w:line="241" w:lineRule="auto"/>
        <w:rPr>
          <w:rFonts w:ascii="Arial"/>
          <w:color w:val="auto"/>
          <w:sz w:val="21"/>
        </w:rPr>
      </w:pPr>
    </w:p>
    <w:p w14:paraId="0D64D808">
      <w:pPr>
        <w:spacing w:line="241" w:lineRule="auto"/>
        <w:rPr>
          <w:rFonts w:ascii="Arial"/>
          <w:color w:val="auto"/>
          <w:sz w:val="21"/>
        </w:rPr>
      </w:pPr>
    </w:p>
    <w:p w14:paraId="5D68E48F">
      <w:pPr>
        <w:spacing w:line="241" w:lineRule="auto"/>
        <w:rPr>
          <w:rFonts w:ascii="Arial"/>
          <w:color w:val="auto"/>
          <w:sz w:val="21"/>
        </w:rPr>
      </w:pPr>
    </w:p>
    <w:p w14:paraId="316401C8">
      <w:pPr>
        <w:spacing w:line="241" w:lineRule="auto"/>
        <w:rPr>
          <w:rFonts w:ascii="Arial"/>
          <w:color w:val="auto"/>
          <w:sz w:val="21"/>
        </w:rPr>
      </w:pPr>
    </w:p>
    <w:p w14:paraId="3D76CB51">
      <w:pPr>
        <w:spacing w:line="242" w:lineRule="auto"/>
        <w:rPr>
          <w:rFonts w:ascii="Arial"/>
          <w:color w:val="auto"/>
          <w:sz w:val="21"/>
        </w:rPr>
      </w:pPr>
    </w:p>
    <w:p w14:paraId="324100A2">
      <w:pPr>
        <w:spacing w:line="242" w:lineRule="auto"/>
        <w:rPr>
          <w:rFonts w:ascii="Arial"/>
          <w:color w:val="auto"/>
          <w:sz w:val="21"/>
        </w:rPr>
      </w:pPr>
    </w:p>
    <w:p w14:paraId="2F11573F">
      <w:pPr>
        <w:spacing w:line="242" w:lineRule="auto"/>
        <w:rPr>
          <w:rFonts w:ascii="Arial"/>
          <w:color w:val="auto"/>
          <w:sz w:val="21"/>
        </w:rPr>
      </w:pPr>
    </w:p>
    <w:p w14:paraId="4D444E7A">
      <w:pPr>
        <w:spacing w:line="242" w:lineRule="auto"/>
        <w:rPr>
          <w:rFonts w:ascii="Arial"/>
          <w:color w:val="auto"/>
          <w:sz w:val="21"/>
        </w:rPr>
      </w:pPr>
    </w:p>
    <w:p w14:paraId="2D817A3E">
      <w:pPr>
        <w:spacing w:before="100" w:line="225" w:lineRule="auto"/>
        <w:ind w:left="638" w:leftChars="0" w:firstLine="200" w:firstLineChars="63"/>
        <w:rPr>
          <w:rFonts w:ascii="宋体" w:hAnsi="宋体" w:eastAsia="宋体" w:cs="宋体"/>
          <w:color w:val="auto"/>
          <w:sz w:val="31"/>
          <w:szCs w:val="31"/>
        </w:rPr>
      </w:pPr>
      <w:r>
        <w:rPr>
          <w:rFonts w:ascii="宋体" w:hAnsi="宋体" w:eastAsia="宋体" w:cs="宋体"/>
          <w:color w:val="auto"/>
          <w:spacing w:val="4"/>
          <w:sz w:val="31"/>
          <w:szCs w:val="31"/>
        </w:rPr>
        <w:t>项目名称：</w:t>
      </w:r>
    </w:p>
    <w:p w14:paraId="2CEC1CA5">
      <w:pPr>
        <w:spacing w:line="329" w:lineRule="auto"/>
        <w:rPr>
          <w:rFonts w:ascii="Arial"/>
          <w:color w:val="auto"/>
          <w:sz w:val="21"/>
        </w:rPr>
      </w:pPr>
    </w:p>
    <w:p w14:paraId="7C26C975">
      <w:pPr>
        <w:spacing w:line="329" w:lineRule="auto"/>
        <w:rPr>
          <w:rFonts w:ascii="Arial"/>
          <w:color w:val="auto"/>
          <w:sz w:val="21"/>
        </w:rPr>
      </w:pPr>
    </w:p>
    <w:p w14:paraId="2F90C0CA">
      <w:pPr>
        <w:spacing w:before="101" w:line="225" w:lineRule="auto"/>
        <w:ind w:left="638" w:leftChars="0" w:firstLine="200" w:firstLineChars="63"/>
        <w:rPr>
          <w:rFonts w:ascii="宋体" w:hAnsi="宋体" w:eastAsia="宋体" w:cs="宋体"/>
          <w:color w:val="auto"/>
          <w:sz w:val="31"/>
          <w:szCs w:val="31"/>
        </w:rPr>
      </w:pPr>
      <w:r>
        <w:rPr>
          <w:rFonts w:ascii="宋体" w:hAnsi="宋体" w:eastAsia="宋体" w:cs="宋体"/>
          <w:color w:val="auto"/>
          <w:spacing w:val="4"/>
          <w:sz w:val="31"/>
          <w:szCs w:val="31"/>
        </w:rPr>
        <w:t>项目编号：</w:t>
      </w:r>
    </w:p>
    <w:p w14:paraId="5036E90C">
      <w:pPr>
        <w:spacing w:line="330" w:lineRule="auto"/>
        <w:rPr>
          <w:rFonts w:ascii="Arial"/>
          <w:color w:val="auto"/>
          <w:sz w:val="21"/>
        </w:rPr>
      </w:pPr>
    </w:p>
    <w:p w14:paraId="696AC829">
      <w:pPr>
        <w:spacing w:line="330" w:lineRule="auto"/>
        <w:rPr>
          <w:rFonts w:ascii="Arial"/>
          <w:color w:val="auto"/>
          <w:sz w:val="21"/>
        </w:rPr>
      </w:pPr>
    </w:p>
    <w:p w14:paraId="598A8AF8">
      <w:pPr>
        <w:spacing w:line="275" w:lineRule="auto"/>
        <w:rPr>
          <w:rFonts w:ascii="Arial"/>
          <w:color w:val="auto"/>
          <w:sz w:val="21"/>
        </w:rPr>
      </w:pPr>
    </w:p>
    <w:p w14:paraId="346429C3">
      <w:pPr>
        <w:spacing w:line="276" w:lineRule="auto"/>
        <w:rPr>
          <w:rFonts w:ascii="Arial"/>
          <w:color w:val="auto"/>
          <w:sz w:val="21"/>
        </w:rPr>
      </w:pPr>
    </w:p>
    <w:p w14:paraId="29771BA5">
      <w:pPr>
        <w:spacing w:before="102" w:line="224" w:lineRule="auto"/>
        <w:ind w:left="633" w:leftChars="0" w:firstLine="204" w:firstLineChars="64"/>
        <w:rPr>
          <w:rFonts w:ascii="宋体" w:hAnsi="宋体" w:eastAsia="宋体" w:cs="宋体"/>
          <w:color w:val="auto"/>
          <w:sz w:val="31"/>
          <w:szCs w:val="31"/>
        </w:rPr>
      </w:pPr>
      <w:r>
        <w:rPr>
          <w:rFonts w:ascii="宋体" w:hAnsi="宋体" w:eastAsia="宋体" w:cs="宋体"/>
          <w:color w:val="auto"/>
          <w:spacing w:val="5"/>
          <w:sz w:val="31"/>
          <w:szCs w:val="31"/>
        </w:rPr>
        <w:t>供应商名称：</w:t>
      </w:r>
    </w:p>
    <w:p w14:paraId="15A4D2A2">
      <w:pPr>
        <w:spacing w:line="242" w:lineRule="auto"/>
        <w:rPr>
          <w:rFonts w:ascii="Arial"/>
          <w:color w:val="auto"/>
          <w:sz w:val="21"/>
        </w:rPr>
      </w:pPr>
    </w:p>
    <w:p w14:paraId="177FB13E">
      <w:pPr>
        <w:spacing w:line="242" w:lineRule="auto"/>
        <w:rPr>
          <w:rFonts w:ascii="Arial"/>
          <w:color w:val="auto"/>
          <w:sz w:val="21"/>
        </w:rPr>
      </w:pPr>
    </w:p>
    <w:p w14:paraId="00866783">
      <w:pPr>
        <w:spacing w:line="242" w:lineRule="auto"/>
        <w:rPr>
          <w:rFonts w:ascii="Arial"/>
          <w:color w:val="auto"/>
          <w:sz w:val="21"/>
        </w:rPr>
      </w:pPr>
    </w:p>
    <w:p w14:paraId="32BF257C">
      <w:pPr>
        <w:spacing w:line="243" w:lineRule="auto"/>
        <w:rPr>
          <w:rFonts w:ascii="Arial"/>
          <w:color w:val="auto"/>
          <w:sz w:val="21"/>
        </w:rPr>
      </w:pPr>
    </w:p>
    <w:p w14:paraId="5A68E595">
      <w:pPr>
        <w:spacing w:line="243" w:lineRule="auto"/>
        <w:rPr>
          <w:rFonts w:ascii="Arial"/>
          <w:color w:val="auto"/>
          <w:sz w:val="21"/>
        </w:rPr>
      </w:pPr>
    </w:p>
    <w:p w14:paraId="58897539">
      <w:pPr>
        <w:spacing w:line="243" w:lineRule="auto"/>
        <w:rPr>
          <w:rFonts w:ascii="Arial"/>
          <w:color w:val="auto"/>
          <w:sz w:val="21"/>
        </w:rPr>
      </w:pPr>
    </w:p>
    <w:p w14:paraId="59B3BEF3">
      <w:pPr>
        <w:spacing w:line="243" w:lineRule="auto"/>
        <w:rPr>
          <w:rFonts w:ascii="Arial"/>
          <w:color w:val="auto"/>
          <w:sz w:val="21"/>
        </w:rPr>
      </w:pPr>
    </w:p>
    <w:p w14:paraId="028D0D6A">
      <w:pPr>
        <w:spacing w:line="243" w:lineRule="auto"/>
        <w:rPr>
          <w:rFonts w:ascii="Arial"/>
          <w:color w:val="auto"/>
          <w:sz w:val="21"/>
        </w:rPr>
      </w:pPr>
    </w:p>
    <w:p w14:paraId="76A9D69C">
      <w:pPr>
        <w:spacing w:before="101" w:line="225" w:lineRule="auto"/>
        <w:ind w:left="3581"/>
        <w:rPr>
          <w:rFonts w:ascii="宋体" w:hAnsi="宋体" w:eastAsia="宋体" w:cs="宋体"/>
          <w:color w:val="auto"/>
          <w:sz w:val="31"/>
          <w:szCs w:val="31"/>
        </w:rPr>
      </w:pPr>
      <w:r>
        <w:rPr>
          <w:rFonts w:ascii="宋体" w:hAnsi="宋体" w:eastAsia="宋体" w:cs="宋体"/>
          <w:color w:val="auto"/>
          <w:spacing w:val="-6"/>
          <w:sz w:val="31"/>
          <w:szCs w:val="31"/>
        </w:rPr>
        <w:t>年</w:t>
      </w:r>
      <w:r>
        <w:rPr>
          <w:rFonts w:ascii="宋体" w:hAnsi="宋体" w:eastAsia="宋体" w:cs="宋体"/>
          <w:color w:val="auto"/>
          <w:spacing w:val="10"/>
          <w:sz w:val="31"/>
          <w:szCs w:val="31"/>
        </w:rPr>
        <w:t xml:space="preserve">    </w:t>
      </w:r>
      <w:r>
        <w:rPr>
          <w:rFonts w:ascii="宋体" w:hAnsi="宋体" w:eastAsia="宋体" w:cs="宋体"/>
          <w:color w:val="auto"/>
          <w:spacing w:val="-6"/>
          <w:sz w:val="31"/>
          <w:szCs w:val="31"/>
        </w:rPr>
        <w:t>月</w:t>
      </w:r>
      <w:r>
        <w:rPr>
          <w:rFonts w:ascii="宋体" w:hAnsi="宋体" w:eastAsia="宋体" w:cs="宋体"/>
          <w:color w:val="auto"/>
          <w:spacing w:val="22"/>
          <w:sz w:val="31"/>
          <w:szCs w:val="31"/>
        </w:rPr>
        <w:t xml:space="preserve">    </w:t>
      </w:r>
      <w:r>
        <w:rPr>
          <w:rFonts w:ascii="宋体" w:hAnsi="宋体" w:eastAsia="宋体" w:cs="宋体"/>
          <w:color w:val="auto"/>
          <w:spacing w:val="-6"/>
          <w:sz w:val="31"/>
          <w:szCs w:val="31"/>
        </w:rPr>
        <w:t>日</w:t>
      </w:r>
    </w:p>
    <w:p w14:paraId="067AA7C1">
      <w:pPr>
        <w:spacing w:line="225" w:lineRule="auto"/>
        <w:rPr>
          <w:rFonts w:ascii="宋体" w:hAnsi="宋体" w:eastAsia="宋体" w:cs="宋体"/>
          <w:color w:val="auto"/>
          <w:sz w:val="31"/>
          <w:szCs w:val="31"/>
        </w:rPr>
        <w:sectPr>
          <w:footerReference r:id="rId17" w:type="default"/>
          <w:pgSz w:w="11906" w:h="16839"/>
          <w:pgMar w:top="1336" w:right="1776" w:bottom="1156" w:left="1265" w:header="0" w:footer="994" w:gutter="0"/>
          <w:pgNumType w:fmt="decimal"/>
          <w:cols w:space="720" w:num="1"/>
        </w:sectPr>
      </w:pPr>
    </w:p>
    <w:p w14:paraId="7CE565EF">
      <w:pPr>
        <w:spacing w:before="64" w:line="223" w:lineRule="auto"/>
        <w:ind w:left="80"/>
        <w:rPr>
          <w:rFonts w:ascii="宋体" w:hAnsi="宋体" w:eastAsia="宋体" w:cs="宋体"/>
          <w:color w:val="auto"/>
          <w:sz w:val="31"/>
          <w:szCs w:val="31"/>
        </w:rPr>
      </w:pPr>
      <w:r>
        <w:rPr>
          <w:rFonts w:ascii="宋体" w:hAnsi="宋体" w:eastAsia="宋体" w:cs="宋体"/>
          <w:b/>
          <w:bCs/>
          <w:color w:val="auto"/>
          <w:spacing w:val="4"/>
          <w:sz w:val="31"/>
          <w:szCs w:val="31"/>
        </w:rPr>
        <w:t>2.报价文件目录</w:t>
      </w:r>
    </w:p>
    <w:p w14:paraId="4E2D8479">
      <w:pPr>
        <w:spacing w:line="288" w:lineRule="auto"/>
        <w:rPr>
          <w:rFonts w:ascii="Arial"/>
          <w:color w:val="auto"/>
          <w:sz w:val="21"/>
        </w:rPr>
      </w:pPr>
    </w:p>
    <w:p w14:paraId="24CDC4EC">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根据磋商文件规定及供应商提供的材料自行编写目录（部分格式后附）。</w:t>
      </w:r>
    </w:p>
    <w:p w14:paraId="58C623A9">
      <w:pPr>
        <w:spacing w:line="224" w:lineRule="auto"/>
        <w:rPr>
          <w:rFonts w:ascii="宋体" w:hAnsi="宋体" w:eastAsia="宋体" w:cs="宋体"/>
          <w:color w:val="auto"/>
          <w:sz w:val="31"/>
          <w:szCs w:val="31"/>
        </w:rPr>
        <w:sectPr>
          <w:footerReference r:id="rId18" w:type="default"/>
          <w:pgSz w:w="11906" w:h="16839"/>
          <w:pgMar w:top="1338" w:right="1315" w:bottom="1362" w:left="1325" w:header="0" w:footer="1200" w:gutter="0"/>
          <w:pgNumType w:fmt="decimal"/>
          <w:cols w:space="720" w:num="1"/>
        </w:sectPr>
      </w:pPr>
    </w:p>
    <w:p w14:paraId="5BDE207C">
      <w:pPr>
        <w:spacing w:before="87" w:line="222" w:lineRule="auto"/>
        <w:ind w:left="2737"/>
        <w:rPr>
          <w:rFonts w:ascii="宋体" w:hAnsi="宋体" w:eastAsia="宋体" w:cs="宋体"/>
          <w:color w:val="auto"/>
          <w:sz w:val="43"/>
          <w:szCs w:val="43"/>
        </w:rPr>
      </w:pPr>
      <w:r>
        <w:rPr>
          <w:rFonts w:ascii="宋体" w:hAnsi="宋体" w:eastAsia="宋体" w:cs="宋体"/>
          <w:color w:val="auto"/>
          <w:spacing w:val="-8"/>
          <w:sz w:val="43"/>
          <w:szCs w:val="43"/>
        </w:rPr>
        <w:t>竞</w:t>
      </w:r>
      <w:r>
        <w:rPr>
          <w:rFonts w:ascii="宋体" w:hAnsi="宋体" w:eastAsia="宋体" w:cs="宋体"/>
          <w:color w:val="auto"/>
          <w:spacing w:val="15"/>
          <w:sz w:val="43"/>
          <w:szCs w:val="43"/>
        </w:rPr>
        <w:t xml:space="preserve">  </w:t>
      </w:r>
      <w:r>
        <w:rPr>
          <w:rFonts w:ascii="宋体" w:hAnsi="宋体" w:eastAsia="宋体" w:cs="宋体"/>
          <w:color w:val="auto"/>
          <w:spacing w:val="-8"/>
          <w:sz w:val="43"/>
          <w:szCs w:val="43"/>
        </w:rPr>
        <w:t>标</w:t>
      </w:r>
      <w:r>
        <w:rPr>
          <w:rFonts w:ascii="宋体" w:hAnsi="宋体" w:eastAsia="宋体" w:cs="宋体"/>
          <w:color w:val="auto"/>
          <w:spacing w:val="13"/>
          <w:sz w:val="43"/>
          <w:szCs w:val="43"/>
        </w:rPr>
        <w:t xml:space="preserve">  </w:t>
      </w:r>
      <w:r>
        <w:rPr>
          <w:rFonts w:ascii="宋体" w:hAnsi="宋体" w:eastAsia="宋体" w:cs="宋体"/>
          <w:color w:val="auto"/>
          <w:spacing w:val="-8"/>
          <w:sz w:val="43"/>
          <w:szCs w:val="43"/>
        </w:rPr>
        <w:t>报</w:t>
      </w:r>
      <w:r>
        <w:rPr>
          <w:rFonts w:ascii="宋体" w:hAnsi="宋体" w:eastAsia="宋体" w:cs="宋体"/>
          <w:color w:val="auto"/>
          <w:spacing w:val="14"/>
          <w:sz w:val="43"/>
          <w:szCs w:val="43"/>
        </w:rPr>
        <w:t xml:space="preserve">  </w:t>
      </w:r>
      <w:r>
        <w:rPr>
          <w:rFonts w:ascii="宋体" w:hAnsi="宋体" w:eastAsia="宋体" w:cs="宋体"/>
          <w:color w:val="auto"/>
          <w:spacing w:val="-8"/>
          <w:sz w:val="43"/>
          <w:szCs w:val="43"/>
        </w:rPr>
        <w:t>价</w:t>
      </w:r>
      <w:r>
        <w:rPr>
          <w:rFonts w:ascii="宋体" w:hAnsi="宋体" w:eastAsia="宋体" w:cs="宋体"/>
          <w:color w:val="auto"/>
          <w:spacing w:val="14"/>
          <w:sz w:val="43"/>
          <w:szCs w:val="43"/>
        </w:rPr>
        <w:t xml:space="preserve">  </w:t>
      </w:r>
      <w:r>
        <w:rPr>
          <w:rFonts w:ascii="宋体" w:hAnsi="宋体" w:eastAsia="宋体" w:cs="宋体"/>
          <w:color w:val="auto"/>
          <w:spacing w:val="-8"/>
          <w:sz w:val="43"/>
          <w:szCs w:val="43"/>
        </w:rPr>
        <w:t>表</w:t>
      </w:r>
    </w:p>
    <w:p w14:paraId="2D94409A">
      <w:pPr>
        <w:spacing w:line="440" w:lineRule="auto"/>
        <w:rPr>
          <w:rFonts w:ascii="Arial"/>
          <w:color w:val="auto"/>
          <w:sz w:val="21"/>
        </w:rPr>
      </w:pPr>
    </w:p>
    <w:p w14:paraId="7BC404BE">
      <w:pPr>
        <w:spacing w:before="78" w:line="219" w:lineRule="auto"/>
        <w:ind w:left="3"/>
        <w:rPr>
          <w:rFonts w:ascii="宋体" w:hAnsi="宋体" w:eastAsia="宋体" w:cs="宋体"/>
          <w:color w:val="auto"/>
          <w:sz w:val="24"/>
          <w:szCs w:val="24"/>
        </w:rPr>
      </w:pPr>
      <w:r>
        <w:rPr>
          <w:rFonts w:ascii="宋体" w:hAnsi="宋体" w:eastAsia="宋体" w:cs="宋体"/>
          <w:color w:val="auto"/>
          <w:spacing w:val="-1"/>
          <w:sz w:val="24"/>
          <w:szCs w:val="24"/>
        </w:rPr>
        <w:t>项目名称：</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107"/>
          <w:sz w:val="24"/>
          <w:szCs w:val="24"/>
        </w:rPr>
        <w:t xml:space="preserve"> </w:t>
      </w:r>
      <w:r>
        <w:rPr>
          <w:rFonts w:ascii="宋体" w:hAnsi="宋体" w:eastAsia="宋体" w:cs="宋体"/>
          <w:color w:val="auto"/>
          <w:spacing w:val="-1"/>
          <w:sz w:val="24"/>
          <w:szCs w:val="24"/>
        </w:rPr>
        <w:t>项目编</w:t>
      </w:r>
      <w:r>
        <w:rPr>
          <w:rFonts w:ascii="宋体" w:hAnsi="宋体" w:eastAsia="宋体" w:cs="宋体"/>
          <w:color w:val="auto"/>
          <w:spacing w:val="-2"/>
          <w:sz w:val="24"/>
          <w:szCs w:val="24"/>
        </w:rPr>
        <w:t>号：</w:t>
      </w:r>
      <w:r>
        <w:rPr>
          <w:rFonts w:ascii="宋体" w:hAnsi="宋体" w:eastAsia="宋体" w:cs="宋体"/>
          <w:color w:val="auto"/>
          <w:sz w:val="24"/>
          <w:szCs w:val="24"/>
          <w:u w:val="single" w:color="auto"/>
        </w:rPr>
        <w:t xml:space="preserve">                   </w:t>
      </w:r>
    </w:p>
    <w:p w14:paraId="1F6825C6">
      <w:pPr>
        <w:spacing w:before="182" w:line="219" w:lineRule="auto"/>
        <w:rPr>
          <w:rFonts w:ascii="宋体" w:hAnsi="宋体" w:eastAsia="宋体" w:cs="宋体"/>
          <w:color w:val="auto"/>
          <w:sz w:val="24"/>
          <w:szCs w:val="24"/>
        </w:rPr>
      </w:pPr>
      <w:r>
        <w:rPr>
          <w:rFonts w:ascii="宋体" w:hAnsi="宋体" w:eastAsia="宋体" w:cs="宋体"/>
          <w:color w:val="auto"/>
          <w:spacing w:val="-2"/>
          <w:sz w:val="24"/>
          <w:szCs w:val="24"/>
        </w:rPr>
        <w:t>供应商名称：</w:t>
      </w:r>
      <w:r>
        <w:rPr>
          <w:rFonts w:ascii="宋体" w:hAnsi="宋体" w:eastAsia="宋体" w:cs="宋体"/>
          <w:color w:val="auto"/>
          <w:sz w:val="24"/>
          <w:szCs w:val="24"/>
          <w:u w:val="single" w:color="auto"/>
        </w:rPr>
        <w:t xml:space="preserve">                                           </w:t>
      </w:r>
    </w:p>
    <w:p w14:paraId="1DEAAC62">
      <w:pPr>
        <w:spacing w:before="183" w:line="220" w:lineRule="auto"/>
        <w:jc w:val="right"/>
        <w:rPr>
          <w:rFonts w:ascii="宋体" w:hAnsi="宋体" w:eastAsia="宋体" w:cs="宋体"/>
          <w:color w:val="auto"/>
          <w:sz w:val="24"/>
          <w:szCs w:val="24"/>
        </w:rPr>
      </w:pPr>
      <w:r>
        <w:rPr>
          <w:rFonts w:ascii="宋体" w:hAnsi="宋体" w:eastAsia="宋体" w:cs="宋体"/>
          <w:color w:val="auto"/>
          <w:sz w:val="24"/>
          <w:szCs w:val="24"/>
        </w:rPr>
        <w:t>单位：元</w:t>
      </w:r>
    </w:p>
    <w:p w14:paraId="74ED6B9A">
      <w:pPr>
        <w:spacing w:line="66" w:lineRule="exact"/>
        <w:rPr>
          <w:color w:val="auto"/>
        </w:rPr>
      </w:pPr>
    </w:p>
    <w:tbl>
      <w:tblPr>
        <w:tblStyle w:val="10"/>
        <w:tblW w:w="9099" w:type="dxa"/>
        <w:tblInd w:w="4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1"/>
        <w:gridCol w:w="2710"/>
        <w:gridCol w:w="617"/>
        <w:gridCol w:w="617"/>
        <w:gridCol w:w="2193"/>
        <w:gridCol w:w="1183"/>
        <w:gridCol w:w="1188"/>
      </w:tblGrid>
      <w:tr w14:paraId="77AD5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591" w:type="dxa"/>
            <w:textDirection w:val="tbRlV"/>
            <w:vAlign w:val="top"/>
          </w:tcPr>
          <w:p w14:paraId="2822C032">
            <w:pPr>
              <w:pStyle w:val="9"/>
              <w:spacing w:before="172" w:line="210" w:lineRule="auto"/>
              <w:ind w:left="119"/>
              <w:rPr>
                <w:color w:val="auto"/>
                <w:sz w:val="24"/>
                <w:szCs w:val="24"/>
              </w:rPr>
            </w:pPr>
            <w:r>
              <w:rPr>
                <w:color w:val="auto"/>
                <w:spacing w:val="-1"/>
                <w:sz w:val="24"/>
                <w:szCs w:val="24"/>
              </w:rPr>
              <w:t>序</w:t>
            </w:r>
            <w:r>
              <w:rPr>
                <w:color w:val="auto"/>
                <w:spacing w:val="109"/>
                <w:sz w:val="24"/>
                <w:szCs w:val="24"/>
              </w:rPr>
              <w:t xml:space="preserve"> </w:t>
            </w:r>
            <w:r>
              <w:rPr>
                <w:color w:val="auto"/>
                <w:spacing w:val="-1"/>
                <w:sz w:val="24"/>
                <w:szCs w:val="24"/>
              </w:rPr>
              <w:t>号</w:t>
            </w:r>
          </w:p>
        </w:tc>
        <w:tc>
          <w:tcPr>
            <w:tcW w:w="2710" w:type="dxa"/>
            <w:vAlign w:val="top"/>
          </w:tcPr>
          <w:p w14:paraId="3520FCB5">
            <w:pPr>
              <w:spacing w:line="275" w:lineRule="auto"/>
              <w:rPr>
                <w:rFonts w:ascii="Arial"/>
                <w:color w:val="auto"/>
                <w:sz w:val="21"/>
              </w:rPr>
            </w:pPr>
          </w:p>
          <w:p w14:paraId="3AEBD983">
            <w:pPr>
              <w:pStyle w:val="9"/>
              <w:spacing w:before="78" w:line="219" w:lineRule="auto"/>
              <w:ind w:left="880"/>
              <w:rPr>
                <w:color w:val="auto"/>
                <w:sz w:val="24"/>
                <w:szCs w:val="24"/>
              </w:rPr>
            </w:pPr>
            <w:r>
              <w:rPr>
                <w:color w:val="auto"/>
                <w:spacing w:val="-3"/>
                <w:sz w:val="24"/>
                <w:szCs w:val="24"/>
              </w:rPr>
              <w:t>服务名称</w:t>
            </w:r>
          </w:p>
        </w:tc>
        <w:tc>
          <w:tcPr>
            <w:tcW w:w="617" w:type="dxa"/>
            <w:textDirection w:val="tbRlV"/>
            <w:vAlign w:val="top"/>
          </w:tcPr>
          <w:p w14:paraId="46CE5BC0">
            <w:pPr>
              <w:pStyle w:val="9"/>
              <w:spacing w:before="184" w:line="208" w:lineRule="auto"/>
              <w:ind w:left="119"/>
              <w:rPr>
                <w:color w:val="auto"/>
                <w:sz w:val="24"/>
                <w:szCs w:val="24"/>
              </w:rPr>
            </w:pPr>
            <w:r>
              <w:rPr>
                <w:color w:val="auto"/>
                <w:spacing w:val="-1"/>
                <w:sz w:val="24"/>
                <w:szCs w:val="24"/>
              </w:rPr>
              <w:t>数</w:t>
            </w:r>
            <w:r>
              <w:rPr>
                <w:color w:val="auto"/>
                <w:spacing w:val="109"/>
                <w:sz w:val="24"/>
                <w:szCs w:val="24"/>
              </w:rPr>
              <w:t xml:space="preserve"> </w:t>
            </w:r>
            <w:r>
              <w:rPr>
                <w:color w:val="auto"/>
                <w:spacing w:val="-1"/>
                <w:sz w:val="24"/>
                <w:szCs w:val="24"/>
              </w:rPr>
              <w:t>量</w:t>
            </w:r>
          </w:p>
        </w:tc>
        <w:tc>
          <w:tcPr>
            <w:tcW w:w="617" w:type="dxa"/>
            <w:textDirection w:val="tbRlV"/>
            <w:vAlign w:val="top"/>
          </w:tcPr>
          <w:p w14:paraId="03456E8E">
            <w:pPr>
              <w:pStyle w:val="9"/>
              <w:spacing w:before="184" w:line="209" w:lineRule="auto"/>
              <w:ind w:left="119"/>
              <w:rPr>
                <w:color w:val="auto"/>
                <w:sz w:val="24"/>
                <w:szCs w:val="24"/>
              </w:rPr>
            </w:pPr>
            <w:r>
              <w:rPr>
                <w:color w:val="auto"/>
                <w:spacing w:val="-1"/>
                <w:sz w:val="24"/>
                <w:szCs w:val="24"/>
              </w:rPr>
              <w:t>单</w:t>
            </w:r>
            <w:r>
              <w:rPr>
                <w:color w:val="auto"/>
                <w:spacing w:val="109"/>
                <w:sz w:val="24"/>
                <w:szCs w:val="24"/>
              </w:rPr>
              <w:t xml:space="preserve"> </w:t>
            </w:r>
            <w:r>
              <w:rPr>
                <w:color w:val="auto"/>
                <w:spacing w:val="-1"/>
                <w:sz w:val="24"/>
                <w:szCs w:val="24"/>
              </w:rPr>
              <w:t>位</w:t>
            </w:r>
          </w:p>
        </w:tc>
        <w:tc>
          <w:tcPr>
            <w:tcW w:w="2193" w:type="dxa"/>
            <w:vAlign w:val="top"/>
          </w:tcPr>
          <w:p w14:paraId="0BC3DD6D">
            <w:pPr>
              <w:spacing w:line="275" w:lineRule="auto"/>
              <w:rPr>
                <w:rFonts w:ascii="Arial"/>
                <w:color w:val="auto"/>
                <w:sz w:val="21"/>
              </w:rPr>
            </w:pPr>
          </w:p>
          <w:p w14:paraId="7A367673">
            <w:pPr>
              <w:pStyle w:val="9"/>
              <w:spacing w:before="78" w:line="218" w:lineRule="auto"/>
              <w:ind w:left="864"/>
              <w:rPr>
                <w:color w:val="auto"/>
                <w:sz w:val="24"/>
                <w:szCs w:val="24"/>
              </w:rPr>
            </w:pPr>
            <w:r>
              <w:rPr>
                <w:color w:val="auto"/>
                <w:spacing w:val="-6"/>
                <w:sz w:val="24"/>
                <w:szCs w:val="24"/>
              </w:rPr>
              <w:t>单价</w:t>
            </w:r>
          </w:p>
        </w:tc>
        <w:tc>
          <w:tcPr>
            <w:tcW w:w="1183" w:type="dxa"/>
            <w:vAlign w:val="top"/>
          </w:tcPr>
          <w:p w14:paraId="1966FBD8">
            <w:pPr>
              <w:spacing w:line="275" w:lineRule="auto"/>
              <w:rPr>
                <w:rFonts w:ascii="Arial"/>
                <w:color w:val="auto"/>
                <w:sz w:val="21"/>
              </w:rPr>
            </w:pPr>
          </w:p>
          <w:p w14:paraId="78C45973">
            <w:pPr>
              <w:pStyle w:val="9"/>
              <w:spacing w:before="78" w:line="218" w:lineRule="auto"/>
              <w:ind w:left="366"/>
              <w:rPr>
                <w:color w:val="auto"/>
                <w:sz w:val="24"/>
                <w:szCs w:val="24"/>
              </w:rPr>
            </w:pPr>
            <w:r>
              <w:rPr>
                <w:color w:val="auto"/>
                <w:spacing w:val="-8"/>
                <w:sz w:val="24"/>
                <w:szCs w:val="24"/>
              </w:rPr>
              <w:t>总价</w:t>
            </w:r>
          </w:p>
        </w:tc>
        <w:tc>
          <w:tcPr>
            <w:tcW w:w="1188" w:type="dxa"/>
            <w:vAlign w:val="top"/>
          </w:tcPr>
          <w:p w14:paraId="06075419">
            <w:pPr>
              <w:spacing w:line="274" w:lineRule="auto"/>
              <w:rPr>
                <w:rFonts w:ascii="Arial"/>
                <w:color w:val="auto"/>
                <w:sz w:val="21"/>
              </w:rPr>
            </w:pPr>
          </w:p>
          <w:p w14:paraId="057B195A">
            <w:pPr>
              <w:pStyle w:val="9"/>
              <w:spacing w:before="78" w:line="221" w:lineRule="auto"/>
              <w:ind w:left="365"/>
              <w:rPr>
                <w:color w:val="auto"/>
                <w:sz w:val="24"/>
                <w:szCs w:val="24"/>
              </w:rPr>
            </w:pPr>
            <w:r>
              <w:rPr>
                <w:color w:val="auto"/>
                <w:spacing w:val="-7"/>
                <w:sz w:val="24"/>
                <w:szCs w:val="24"/>
              </w:rPr>
              <w:t>备注</w:t>
            </w:r>
          </w:p>
        </w:tc>
      </w:tr>
      <w:tr w14:paraId="2DAA5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591" w:type="dxa"/>
            <w:vAlign w:val="top"/>
          </w:tcPr>
          <w:p w14:paraId="3F597258">
            <w:pPr>
              <w:pStyle w:val="9"/>
              <w:spacing w:before="281" w:line="241" w:lineRule="auto"/>
              <w:ind w:left="260"/>
              <w:rPr>
                <w:color w:val="auto"/>
                <w:sz w:val="24"/>
                <w:szCs w:val="24"/>
              </w:rPr>
            </w:pPr>
            <w:r>
              <w:rPr>
                <w:color w:val="auto"/>
                <w:sz w:val="24"/>
                <w:szCs w:val="24"/>
              </w:rPr>
              <w:t>1</w:t>
            </w:r>
          </w:p>
        </w:tc>
        <w:tc>
          <w:tcPr>
            <w:tcW w:w="2710" w:type="dxa"/>
            <w:vAlign w:val="top"/>
          </w:tcPr>
          <w:p w14:paraId="1803A9F5">
            <w:pPr>
              <w:rPr>
                <w:rFonts w:ascii="Arial"/>
                <w:color w:val="auto"/>
                <w:sz w:val="21"/>
              </w:rPr>
            </w:pPr>
          </w:p>
        </w:tc>
        <w:tc>
          <w:tcPr>
            <w:tcW w:w="617" w:type="dxa"/>
            <w:vAlign w:val="top"/>
          </w:tcPr>
          <w:p w14:paraId="12DB567F">
            <w:pPr>
              <w:rPr>
                <w:rFonts w:ascii="Arial"/>
                <w:color w:val="auto"/>
                <w:sz w:val="21"/>
              </w:rPr>
            </w:pPr>
          </w:p>
        </w:tc>
        <w:tc>
          <w:tcPr>
            <w:tcW w:w="617" w:type="dxa"/>
            <w:vAlign w:val="top"/>
          </w:tcPr>
          <w:p w14:paraId="7F7683F9">
            <w:pPr>
              <w:rPr>
                <w:rFonts w:ascii="Arial"/>
                <w:color w:val="auto"/>
                <w:sz w:val="21"/>
              </w:rPr>
            </w:pPr>
          </w:p>
        </w:tc>
        <w:tc>
          <w:tcPr>
            <w:tcW w:w="2193" w:type="dxa"/>
            <w:vAlign w:val="top"/>
          </w:tcPr>
          <w:p w14:paraId="7508C2BF">
            <w:pPr>
              <w:rPr>
                <w:rFonts w:ascii="Arial"/>
                <w:color w:val="auto"/>
                <w:sz w:val="21"/>
              </w:rPr>
            </w:pPr>
          </w:p>
        </w:tc>
        <w:tc>
          <w:tcPr>
            <w:tcW w:w="1183" w:type="dxa"/>
            <w:vAlign w:val="top"/>
          </w:tcPr>
          <w:p w14:paraId="6E7F305D">
            <w:pPr>
              <w:rPr>
                <w:rFonts w:ascii="Arial"/>
                <w:color w:val="auto"/>
                <w:sz w:val="21"/>
              </w:rPr>
            </w:pPr>
          </w:p>
        </w:tc>
        <w:tc>
          <w:tcPr>
            <w:tcW w:w="1188" w:type="dxa"/>
            <w:vAlign w:val="top"/>
          </w:tcPr>
          <w:p w14:paraId="5FE36910">
            <w:pPr>
              <w:rPr>
                <w:rFonts w:ascii="Arial"/>
                <w:color w:val="auto"/>
                <w:sz w:val="21"/>
              </w:rPr>
            </w:pPr>
          </w:p>
        </w:tc>
      </w:tr>
      <w:tr w14:paraId="5111E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591" w:type="dxa"/>
            <w:vAlign w:val="top"/>
          </w:tcPr>
          <w:p w14:paraId="237F36BF">
            <w:pPr>
              <w:pStyle w:val="9"/>
              <w:spacing w:before="282" w:line="378" w:lineRule="exact"/>
              <w:ind w:left="197"/>
              <w:rPr>
                <w:color w:val="auto"/>
                <w:sz w:val="24"/>
                <w:szCs w:val="24"/>
              </w:rPr>
            </w:pPr>
            <w:r>
              <w:rPr>
                <w:color w:val="auto"/>
                <w:position w:val="3"/>
                <w:sz w:val="24"/>
                <w:szCs w:val="24"/>
              </w:rPr>
              <w:t>…</w:t>
            </w:r>
          </w:p>
        </w:tc>
        <w:tc>
          <w:tcPr>
            <w:tcW w:w="2710" w:type="dxa"/>
            <w:vAlign w:val="top"/>
          </w:tcPr>
          <w:p w14:paraId="57154928">
            <w:pPr>
              <w:pStyle w:val="9"/>
              <w:spacing w:before="282" w:line="378" w:lineRule="exact"/>
              <w:ind w:left="1255"/>
              <w:rPr>
                <w:color w:val="auto"/>
                <w:sz w:val="24"/>
                <w:szCs w:val="24"/>
              </w:rPr>
            </w:pPr>
            <w:r>
              <w:rPr>
                <w:color w:val="auto"/>
                <w:position w:val="3"/>
                <w:sz w:val="24"/>
                <w:szCs w:val="24"/>
              </w:rPr>
              <w:t>…</w:t>
            </w:r>
          </w:p>
        </w:tc>
        <w:tc>
          <w:tcPr>
            <w:tcW w:w="617" w:type="dxa"/>
            <w:vAlign w:val="top"/>
          </w:tcPr>
          <w:p w14:paraId="72D3E0E7">
            <w:pPr>
              <w:rPr>
                <w:rFonts w:ascii="Arial"/>
                <w:color w:val="auto"/>
                <w:sz w:val="21"/>
              </w:rPr>
            </w:pPr>
          </w:p>
        </w:tc>
        <w:tc>
          <w:tcPr>
            <w:tcW w:w="617" w:type="dxa"/>
            <w:vAlign w:val="top"/>
          </w:tcPr>
          <w:p w14:paraId="17D3B6FD">
            <w:pPr>
              <w:rPr>
                <w:rFonts w:ascii="Arial"/>
                <w:color w:val="auto"/>
                <w:sz w:val="21"/>
              </w:rPr>
            </w:pPr>
          </w:p>
        </w:tc>
        <w:tc>
          <w:tcPr>
            <w:tcW w:w="2193" w:type="dxa"/>
            <w:vAlign w:val="top"/>
          </w:tcPr>
          <w:p w14:paraId="5E4607B6">
            <w:pPr>
              <w:rPr>
                <w:rFonts w:ascii="Arial"/>
                <w:color w:val="auto"/>
                <w:sz w:val="21"/>
              </w:rPr>
            </w:pPr>
          </w:p>
        </w:tc>
        <w:tc>
          <w:tcPr>
            <w:tcW w:w="1183" w:type="dxa"/>
            <w:vAlign w:val="top"/>
          </w:tcPr>
          <w:p w14:paraId="444E577F">
            <w:pPr>
              <w:rPr>
                <w:rFonts w:ascii="Arial"/>
                <w:color w:val="auto"/>
                <w:sz w:val="21"/>
              </w:rPr>
            </w:pPr>
          </w:p>
        </w:tc>
        <w:tc>
          <w:tcPr>
            <w:tcW w:w="1188" w:type="dxa"/>
            <w:vAlign w:val="top"/>
          </w:tcPr>
          <w:p w14:paraId="0A752E58">
            <w:pPr>
              <w:rPr>
                <w:rFonts w:ascii="Arial"/>
                <w:color w:val="auto"/>
                <w:sz w:val="21"/>
              </w:rPr>
            </w:pPr>
          </w:p>
        </w:tc>
      </w:tr>
      <w:tr w14:paraId="03F8F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9099" w:type="dxa"/>
            <w:gridSpan w:val="7"/>
            <w:vAlign w:val="top"/>
          </w:tcPr>
          <w:p w14:paraId="292A64D5">
            <w:pPr>
              <w:pStyle w:val="9"/>
              <w:spacing w:before="282" w:line="219" w:lineRule="auto"/>
              <w:ind w:left="118"/>
              <w:rPr>
                <w:color w:val="auto"/>
                <w:sz w:val="24"/>
                <w:szCs w:val="24"/>
              </w:rPr>
            </w:pPr>
            <w:r>
              <w:rPr>
                <w:color w:val="auto"/>
                <w:spacing w:val="-2"/>
                <w:sz w:val="24"/>
                <w:szCs w:val="24"/>
              </w:rPr>
              <w:t>合计金额大写：人民币</w:t>
            </w:r>
            <w:r>
              <w:rPr>
                <w:color w:val="auto"/>
                <w:spacing w:val="-2"/>
                <w:sz w:val="24"/>
                <w:szCs w:val="24"/>
                <w:u w:val="single" w:color="auto"/>
              </w:rPr>
              <w:t xml:space="preserve">         </w:t>
            </w:r>
            <w:r>
              <w:rPr>
                <w:color w:val="auto"/>
                <w:spacing w:val="-3"/>
                <w:sz w:val="24"/>
                <w:szCs w:val="24"/>
                <w:u w:val="single" w:color="auto"/>
              </w:rPr>
              <w:t xml:space="preserve">  </w:t>
            </w:r>
            <w:r>
              <w:rPr>
                <w:color w:val="auto"/>
                <w:spacing w:val="17"/>
                <w:sz w:val="24"/>
                <w:szCs w:val="24"/>
              </w:rPr>
              <w:t xml:space="preserve"> </w:t>
            </w:r>
            <w:r>
              <w:rPr>
                <w:color w:val="auto"/>
                <w:spacing w:val="-3"/>
                <w:sz w:val="24"/>
                <w:szCs w:val="24"/>
              </w:rPr>
              <w:t>(￥</w:t>
            </w:r>
            <w:r>
              <w:rPr>
                <w:color w:val="auto"/>
                <w:spacing w:val="-97"/>
                <w:sz w:val="24"/>
                <w:szCs w:val="24"/>
              </w:rPr>
              <w:t xml:space="preserve"> </w:t>
            </w:r>
            <w:r>
              <w:rPr>
                <w:color w:val="auto"/>
                <w:sz w:val="24"/>
                <w:szCs w:val="24"/>
                <w:u w:val="single" w:color="auto"/>
              </w:rPr>
              <w:t xml:space="preserve">           </w:t>
            </w:r>
            <w:r>
              <w:rPr>
                <w:color w:val="auto"/>
                <w:spacing w:val="-84"/>
                <w:sz w:val="24"/>
                <w:szCs w:val="24"/>
              </w:rPr>
              <w:t xml:space="preserve"> </w:t>
            </w:r>
            <w:r>
              <w:rPr>
                <w:color w:val="auto"/>
                <w:spacing w:val="-3"/>
                <w:sz w:val="24"/>
                <w:szCs w:val="24"/>
              </w:rPr>
              <w:t>)</w:t>
            </w:r>
          </w:p>
        </w:tc>
      </w:tr>
    </w:tbl>
    <w:p w14:paraId="689C7214">
      <w:pPr>
        <w:spacing w:line="250" w:lineRule="auto"/>
        <w:rPr>
          <w:rFonts w:ascii="Arial"/>
          <w:color w:val="auto"/>
          <w:sz w:val="21"/>
        </w:rPr>
      </w:pPr>
    </w:p>
    <w:p w14:paraId="63319E55">
      <w:pPr>
        <w:spacing w:line="251" w:lineRule="auto"/>
        <w:rPr>
          <w:rFonts w:ascii="Arial"/>
          <w:color w:val="auto"/>
          <w:sz w:val="21"/>
        </w:rPr>
      </w:pPr>
    </w:p>
    <w:p w14:paraId="6066C2F0">
      <w:pPr>
        <w:spacing w:before="79" w:line="224" w:lineRule="auto"/>
        <w:rPr>
          <w:rFonts w:ascii="宋体" w:hAnsi="宋体" w:eastAsia="宋体" w:cs="宋体"/>
          <w:color w:val="auto"/>
          <w:sz w:val="24"/>
          <w:szCs w:val="24"/>
        </w:rPr>
      </w:pPr>
      <w:r>
        <w:rPr>
          <w:rFonts w:ascii="宋体" w:hAnsi="宋体" w:eastAsia="宋体" w:cs="宋体"/>
          <w:color w:val="auto"/>
          <w:spacing w:val="17"/>
          <w:sz w:val="24"/>
          <w:szCs w:val="24"/>
        </w:rPr>
        <w:t>注</w:t>
      </w:r>
      <w:r>
        <w:rPr>
          <w:rFonts w:hint="eastAsia" w:ascii="宋体" w:hAnsi="宋体" w:eastAsia="宋体" w:cs="宋体"/>
          <w:color w:val="auto"/>
          <w:spacing w:val="17"/>
          <w:sz w:val="24"/>
          <w:szCs w:val="24"/>
          <w:lang w:eastAsia="zh-CN"/>
        </w:rPr>
        <w:t>：</w:t>
      </w:r>
    </w:p>
    <w:p w14:paraId="26EDECBA">
      <w:pPr>
        <w:spacing w:before="176" w:line="290" w:lineRule="auto"/>
        <w:ind w:left="1" w:right="283" w:firstLine="495"/>
        <w:rPr>
          <w:rFonts w:ascii="宋体" w:hAnsi="宋体" w:eastAsia="宋体" w:cs="宋体"/>
          <w:color w:val="auto"/>
          <w:sz w:val="24"/>
          <w:szCs w:val="24"/>
        </w:rPr>
      </w:pPr>
      <w:r>
        <w:rPr>
          <w:rFonts w:ascii="宋体" w:hAnsi="宋体" w:eastAsia="宋体" w:cs="宋体"/>
          <w:color w:val="auto"/>
          <w:spacing w:val="-1"/>
          <w:sz w:val="24"/>
          <w:szCs w:val="24"/>
        </w:rPr>
        <w:t>1. 供应商的报价表必须加盖供应商电子签章并由法定代表人或者委托代理人签字或</w:t>
      </w:r>
      <w:r>
        <w:rPr>
          <w:rFonts w:ascii="宋体" w:hAnsi="宋体" w:eastAsia="宋体" w:cs="宋体"/>
          <w:color w:val="auto"/>
          <w:spacing w:val="-2"/>
          <w:sz w:val="24"/>
          <w:szCs w:val="24"/>
        </w:rPr>
        <w:t>者电子签名，</w:t>
      </w:r>
      <w:r>
        <w:rPr>
          <w:rFonts w:ascii="宋体" w:hAnsi="宋体" w:eastAsia="宋体" w:cs="宋体"/>
          <w:b/>
          <w:bCs/>
          <w:color w:val="auto"/>
          <w:spacing w:val="-2"/>
          <w:sz w:val="24"/>
          <w:szCs w:val="24"/>
        </w:rPr>
        <w:t>否则其响应文件按无效处理</w:t>
      </w:r>
      <w:r>
        <w:rPr>
          <w:rFonts w:ascii="宋体" w:hAnsi="宋体" w:eastAsia="宋体" w:cs="宋体"/>
          <w:color w:val="auto"/>
          <w:spacing w:val="-2"/>
          <w:sz w:val="24"/>
          <w:szCs w:val="24"/>
        </w:rPr>
        <w:t>。</w:t>
      </w:r>
    </w:p>
    <w:p w14:paraId="624C41DA">
      <w:pPr>
        <w:spacing w:before="182" w:line="290" w:lineRule="auto"/>
        <w:ind w:left="1" w:right="113" w:firstLine="480"/>
        <w:rPr>
          <w:rFonts w:ascii="宋体" w:hAnsi="宋体" w:eastAsia="宋体" w:cs="宋体"/>
          <w:color w:val="auto"/>
          <w:sz w:val="24"/>
          <w:szCs w:val="24"/>
        </w:rPr>
      </w:pPr>
      <w:r>
        <w:rPr>
          <w:rFonts w:ascii="宋体" w:hAnsi="宋体" w:eastAsia="宋体" w:cs="宋体"/>
          <w:color w:val="auto"/>
          <w:spacing w:val="-2"/>
          <w:sz w:val="24"/>
          <w:szCs w:val="24"/>
        </w:rPr>
        <w:t>2. 报价一经涂改，应在涂改处加盖供应商公章或者加盖电子签章或者由法</w:t>
      </w:r>
      <w:r>
        <w:rPr>
          <w:rFonts w:ascii="宋体" w:hAnsi="宋体" w:eastAsia="宋体" w:cs="宋体"/>
          <w:color w:val="auto"/>
          <w:spacing w:val="-3"/>
          <w:sz w:val="24"/>
          <w:szCs w:val="24"/>
        </w:rPr>
        <w:t>定代表人或</w:t>
      </w:r>
      <w:r>
        <w:rPr>
          <w:rFonts w:ascii="宋体" w:hAnsi="宋体" w:eastAsia="宋体" w:cs="宋体"/>
          <w:color w:val="auto"/>
          <w:spacing w:val="-2"/>
          <w:sz w:val="24"/>
          <w:szCs w:val="24"/>
        </w:rPr>
        <w:t>者授权委托人签字（或者电子签名</w:t>
      </w:r>
      <w:r>
        <w:rPr>
          <w:rFonts w:ascii="宋体" w:hAnsi="宋体" w:eastAsia="宋体" w:cs="宋体"/>
          <w:color w:val="auto"/>
          <w:spacing w:val="10"/>
          <w:sz w:val="24"/>
          <w:szCs w:val="24"/>
        </w:rPr>
        <w:t>）</w:t>
      </w:r>
      <w:r>
        <w:rPr>
          <w:rFonts w:ascii="宋体" w:hAnsi="宋体" w:eastAsia="宋体" w:cs="宋体"/>
          <w:b/>
          <w:bCs/>
          <w:color w:val="auto"/>
          <w:spacing w:val="10"/>
          <w:sz w:val="24"/>
          <w:szCs w:val="24"/>
        </w:rPr>
        <w:t>，</w:t>
      </w:r>
      <w:r>
        <w:rPr>
          <w:rFonts w:ascii="宋体" w:hAnsi="宋体" w:eastAsia="宋体" w:cs="宋体"/>
          <w:b/>
          <w:bCs/>
          <w:color w:val="auto"/>
          <w:spacing w:val="-2"/>
          <w:sz w:val="24"/>
          <w:szCs w:val="24"/>
        </w:rPr>
        <w:t>否则其响应文件按无效处理。</w:t>
      </w:r>
    </w:p>
    <w:p w14:paraId="66372A2E">
      <w:pPr>
        <w:spacing w:before="182" w:line="290" w:lineRule="auto"/>
        <w:ind w:left="2" w:right="163" w:firstLine="481"/>
        <w:rPr>
          <w:rFonts w:ascii="宋体" w:hAnsi="宋体" w:eastAsia="宋体" w:cs="宋体"/>
          <w:color w:val="auto"/>
          <w:sz w:val="24"/>
          <w:szCs w:val="24"/>
        </w:rPr>
      </w:pPr>
      <w:r>
        <w:rPr>
          <w:rFonts w:ascii="宋体" w:hAnsi="宋体" w:eastAsia="宋体" w:cs="宋体"/>
          <w:color w:val="auto"/>
          <w:spacing w:val="-1"/>
          <w:sz w:val="24"/>
          <w:szCs w:val="24"/>
        </w:rPr>
        <w:t>3.如为联合体竞标，“供应商名称</w:t>
      </w:r>
      <w:r>
        <w:rPr>
          <w:rFonts w:ascii="宋体" w:hAnsi="宋体" w:eastAsia="宋体" w:cs="宋体"/>
          <w:color w:val="auto"/>
          <w:spacing w:val="-88"/>
          <w:sz w:val="24"/>
          <w:szCs w:val="24"/>
        </w:rPr>
        <w:t xml:space="preserve"> </w:t>
      </w:r>
      <w:r>
        <w:rPr>
          <w:rFonts w:ascii="宋体" w:hAnsi="宋体" w:eastAsia="宋体" w:cs="宋体"/>
          <w:color w:val="auto"/>
          <w:spacing w:val="-1"/>
          <w:sz w:val="24"/>
          <w:szCs w:val="24"/>
        </w:rPr>
        <w:t>”处必须列明联合体各方名</w:t>
      </w:r>
      <w:r>
        <w:rPr>
          <w:rFonts w:ascii="宋体" w:hAnsi="宋体" w:eastAsia="宋体" w:cs="宋体"/>
          <w:color w:val="auto"/>
          <w:spacing w:val="-2"/>
          <w:sz w:val="24"/>
          <w:szCs w:val="24"/>
        </w:rPr>
        <w:t>称，标注联合体牵头人</w:t>
      </w:r>
      <w:r>
        <w:rPr>
          <w:rFonts w:ascii="宋体" w:hAnsi="宋体" w:eastAsia="宋体" w:cs="宋体"/>
          <w:color w:val="auto"/>
          <w:spacing w:val="-3"/>
          <w:sz w:val="24"/>
          <w:szCs w:val="24"/>
        </w:rPr>
        <w:t>名称，</w:t>
      </w:r>
      <w:r>
        <w:rPr>
          <w:rFonts w:ascii="宋体" w:hAnsi="宋体" w:eastAsia="宋体" w:cs="宋体"/>
          <w:b/>
          <w:bCs/>
          <w:color w:val="auto"/>
          <w:spacing w:val="-3"/>
          <w:sz w:val="24"/>
          <w:szCs w:val="24"/>
        </w:rPr>
        <w:t>否则其响应文件按无效响应处理。</w:t>
      </w:r>
    </w:p>
    <w:p w14:paraId="0E4AA1BE">
      <w:pPr>
        <w:spacing w:before="183" w:line="295" w:lineRule="auto"/>
        <w:ind w:left="2" w:right="118" w:firstLine="476"/>
        <w:rPr>
          <w:rFonts w:ascii="宋体" w:hAnsi="宋体" w:eastAsia="宋体" w:cs="宋体"/>
          <w:color w:val="auto"/>
          <w:sz w:val="24"/>
          <w:szCs w:val="24"/>
        </w:rPr>
      </w:pPr>
      <w:r>
        <w:rPr>
          <w:rFonts w:ascii="宋体" w:hAnsi="宋体" w:eastAsia="宋体" w:cs="宋体"/>
          <w:color w:val="auto"/>
          <w:spacing w:val="-6"/>
          <w:sz w:val="24"/>
          <w:szCs w:val="24"/>
        </w:rPr>
        <w:t>4. 如为联合体竞标， 盖章处须加盖联合体牵头人电子签章，</w:t>
      </w:r>
      <w:r>
        <w:rPr>
          <w:rFonts w:ascii="宋体" w:hAnsi="宋体" w:eastAsia="宋体" w:cs="宋体"/>
          <w:b/>
          <w:bCs/>
          <w:color w:val="auto"/>
          <w:spacing w:val="-6"/>
          <w:sz w:val="24"/>
          <w:szCs w:val="24"/>
        </w:rPr>
        <w:t>否则其响应文件按无效处</w:t>
      </w:r>
      <w:r>
        <w:rPr>
          <w:rFonts w:ascii="宋体" w:hAnsi="宋体" w:eastAsia="宋体" w:cs="宋体"/>
          <w:b/>
          <w:bCs/>
          <w:color w:val="auto"/>
          <w:spacing w:val="-9"/>
          <w:sz w:val="24"/>
          <w:szCs w:val="24"/>
        </w:rPr>
        <w:t>理</w:t>
      </w:r>
      <w:r>
        <w:rPr>
          <w:rFonts w:hint="eastAsia" w:ascii="宋体" w:hAnsi="宋体" w:eastAsia="宋体" w:cs="宋体"/>
          <w:b/>
          <w:bCs/>
          <w:color w:val="auto"/>
          <w:spacing w:val="-9"/>
          <w:sz w:val="24"/>
          <w:szCs w:val="24"/>
          <w:lang w:eastAsia="zh-CN"/>
        </w:rPr>
        <w:t>。</w:t>
      </w:r>
    </w:p>
    <w:p w14:paraId="1FB5E24B">
      <w:pPr>
        <w:spacing w:before="169" w:line="218" w:lineRule="auto"/>
        <w:ind w:left="484"/>
        <w:rPr>
          <w:rFonts w:ascii="宋体" w:hAnsi="宋体" w:eastAsia="宋体" w:cs="宋体"/>
          <w:color w:val="auto"/>
          <w:sz w:val="24"/>
          <w:szCs w:val="24"/>
        </w:rPr>
      </w:pPr>
      <w:r>
        <w:rPr>
          <w:rFonts w:ascii="宋体" w:hAnsi="宋体" w:eastAsia="宋体" w:cs="宋体"/>
          <w:color w:val="auto"/>
          <w:spacing w:val="-12"/>
          <w:sz w:val="24"/>
          <w:szCs w:val="24"/>
        </w:rPr>
        <w:t>5.如有多分标，分别列明各分标的报价表，</w:t>
      </w:r>
      <w:r>
        <w:rPr>
          <w:rFonts w:ascii="宋体" w:hAnsi="宋体" w:eastAsia="宋体" w:cs="宋体"/>
          <w:b/>
          <w:bCs/>
          <w:color w:val="auto"/>
          <w:spacing w:val="-12"/>
          <w:sz w:val="24"/>
          <w:szCs w:val="24"/>
        </w:rPr>
        <w:t>否则其响应文件按无效响应处理。</w:t>
      </w:r>
    </w:p>
    <w:p w14:paraId="5AEFA625">
      <w:pPr>
        <w:spacing w:line="285" w:lineRule="auto"/>
        <w:rPr>
          <w:rFonts w:ascii="Arial"/>
          <w:color w:val="auto"/>
          <w:sz w:val="21"/>
        </w:rPr>
      </w:pPr>
    </w:p>
    <w:p w14:paraId="36A0F98F">
      <w:pPr>
        <w:spacing w:line="285" w:lineRule="auto"/>
        <w:rPr>
          <w:rFonts w:ascii="Arial"/>
          <w:color w:val="auto"/>
          <w:sz w:val="21"/>
        </w:rPr>
      </w:pPr>
    </w:p>
    <w:p w14:paraId="442E0E75">
      <w:pPr>
        <w:spacing w:before="79" w:line="219" w:lineRule="auto"/>
        <w:ind w:left="2640"/>
        <w:rPr>
          <w:rFonts w:ascii="宋体" w:hAnsi="宋体" w:eastAsia="宋体" w:cs="宋体"/>
          <w:color w:val="auto"/>
          <w:sz w:val="24"/>
          <w:szCs w:val="24"/>
        </w:rPr>
      </w:pPr>
      <w:r>
        <w:rPr>
          <w:rFonts w:ascii="宋体" w:hAnsi="宋体" w:eastAsia="宋体" w:cs="宋体"/>
          <w:color w:val="auto"/>
          <w:spacing w:val="-2"/>
          <w:sz w:val="24"/>
          <w:szCs w:val="24"/>
        </w:rPr>
        <w:t>供应商（电子签章</w:t>
      </w:r>
      <w:r>
        <w:rPr>
          <w:rFonts w:ascii="宋体" w:hAnsi="宋体" w:eastAsia="宋体" w:cs="宋体"/>
          <w:color w:val="auto"/>
          <w:spacing w:val="2"/>
          <w:sz w:val="24"/>
          <w:szCs w:val="24"/>
        </w:rPr>
        <w:t>）：</w:t>
      </w:r>
      <w:r>
        <w:rPr>
          <w:rFonts w:ascii="宋体" w:hAnsi="宋体" w:eastAsia="宋体" w:cs="宋体"/>
          <w:color w:val="auto"/>
          <w:spacing w:val="1"/>
          <w:sz w:val="24"/>
          <w:szCs w:val="24"/>
        </w:rPr>
        <w:t xml:space="preserve"> </w:t>
      </w:r>
      <w:r>
        <w:rPr>
          <w:rFonts w:ascii="宋体" w:hAnsi="宋体" w:eastAsia="宋体" w:cs="宋体"/>
          <w:color w:val="auto"/>
          <w:sz w:val="24"/>
          <w:szCs w:val="24"/>
          <w:u w:val="single" w:color="auto"/>
        </w:rPr>
        <w:t xml:space="preserve">                                  </w:t>
      </w:r>
    </w:p>
    <w:p w14:paraId="096A272E">
      <w:pPr>
        <w:spacing w:before="184" w:line="219" w:lineRule="auto"/>
        <w:ind w:left="4121"/>
        <w:rPr>
          <w:rFonts w:ascii="宋体" w:hAnsi="宋体" w:eastAsia="宋体" w:cs="宋体"/>
          <w:color w:val="auto"/>
          <w:sz w:val="24"/>
          <w:szCs w:val="24"/>
        </w:rPr>
      </w:pPr>
      <w:r>
        <w:rPr>
          <w:rFonts w:ascii="宋体" w:hAnsi="宋体" w:eastAsia="宋体" w:cs="宋体"/>
          <w:color w:val="auto"/>
          <w:spacing w:val="-13"/>
          <w:sz w:val="24"/>
          <w:szCs w:val="24"/>
        </w:rPr>
        <w:t>日期：</w:t>
      </w:r>
      <w:r>
        <w:rPr>
          <w:rFonts w:ascii="宋体" w:hAnsi="宋体" w:eastAsia="宋体" w:cs="宋体"/>
          <w:color w:val="auto"/>
          <w:spacing w:val="3"/>
          <w:sz w:val="24"/>
          <w:szCs w:val="24"/>
        </w:rPr>
        <w:t xml:space="preserve">   </w:t>
      </w:r>
      <w:r>
        <w:rPr>
          <w:rFonts w:ascii="宋体" w:hAnsi="宋体" w:eastAsia="宋体" w:cs="宋体"/>
          <w:color w:val="auto"/>
          <w:spacing w:val="-13"/>
          <w:sz w:val="24"/>
          <w:szCs w:val="24"/>
        </w:rPr>
        <w:t>年</w:t>
      </w:r>
      <w:r>
        <w:rPr>
          <w:rFonts w:ascii="宋体" w:hAnsi="宋体" w:eastAsia="宋体" w:cs="宋体"/>
          <w:color w:val="auto"/>
          <w:spacing w:val="5"/>
          <w:sz w:val="24"/>
          <w:szCs w:val="24"/>
        </w:rPr>
        <w:t xml:space="preserve">   </w:t>
      </w:r>
      <w:r>
        <w:rPr>
          <w:rFonts w:ascii="宋体" w:hAnsi="宋体" w:eastAsia="宋体" w:cs="宋体"/>
          <w:color w:val="auto"/>
          <w:spacing w:val="-13"/>
          <w:sz w:val="24"/>
          <w:szCs w:val="24"/>
        </w:rPr>
        <w:t>月</w:t>
      </w:r>
      <w:r>
        <w:rPr>
          <w:rFonts w:ascii="宋体" w:hAnsi="宋体" w:eastAsia="宋体" w:cs="宋体"/>
          <w:color w:val="auto"/>
          <w:spacing w:val="17"/>
          <w:sz w:val="24"/>
          <w:szCs w:val="24"/>
        </w:rPr>
        <w:t xml:space="preserve">   </w:t>
      </w:r>
      <w:r>
        <w:rPr>
          <w:rFonts w:ascii="宋体" w:hAnsi="宋体" w:eastAsia="宋体" w:cs="宋体"/>
          <w:color w:val="auto"/>
          <w:spacing w:val="-13"/>
          <w:sz w:val="24"/>
          <w:szCs w:val="24"/>
        </w:rPr>
        <w:t>日</w:t>
      </w:r>
    </w:p>
    <w:p w14:paraId="233DF712">
      <w:pPr>
        <w:spacing w:line="219" w:lineRule="auto"/>
        <w:rPr>
          <w:rFonts w:ascii="宋体" w:hAnsi="宋体" w:eastAsia="宋体" w:cs="宋体"/>
          <w:color w:val="auto"/>
          <w:sz w:val="24"/>
          <w:szCs w:val="24"/>
        </w:rPr>
        <w:sectPr>
          <w:footerReference r:id="rId19" w:type="default"/>
          <w:pgSz w:w="11906" w:h="16839"/>
          <w:pgMar w:top="1196" w:right="1134" w:bottom="1362" w:left="1257" w:header="0" w:footer="1200" w:gutter="0"/>
          <w:pgNumType w:fmt="decimal"/>
          <w:cols w:space="720" w:num="1"/>
        </w:sectPr>
      </w:pPr>
    </w:p>
    <w:p w14:paraId="0224969D">
      <w:pPr>
        <w:spacing w:before="63" w:line="225" w:lineRule="auto"/>
        <w:rPr>
          <w:rFonts w:ascii="宋体" w:hAnsi="宋体" w:eastAsia="宋体" w:cs="宋体"/>
          <w:color w:val="auto"/>
          <w:sz w:val="31"/>
          <w:szCs w:val="31"/>
        </w:rPr>
      </w:pPr>
      <w:r>
        <w:rPr>
          <w:rFonts w:ascii="宋体" w:hAnsi="宋体" w:eastAsia="宋体" w:cs="宋体"/>
          <w:b/>
          <w:bCs/>
          <w:color w:val="auto"/>
          <w:spacing w:val="6"/>
          <w:sz w:val="31"/>
          <w:szCs w:val="31"/>
        </w:rPr>
        <w:t>三、商务技术文件格式</w:t>
      </w:r>
    </w:p>
    <w:p w14:paraId="4092E455">
      <w:pPr>
        <w:spacing w:before="298" w:line="225" w:lineRule="auto"/>
        <w:ind w:left="23"/>
        <w:rPr>
          <w:rFonts w:ascii="宋体" w:hAnsi="宋体" w:eastAsia="宋体" w:cs="宋体"/>
          <w:color w:val="auto"/>
          <w:sz w:val="31"/>
          <w:szCs w:val="31"/>
        </w:rPr>
      </w:pPr>
      <w:r>
        <w:rPr>
          <w:rFonts w:ascii="宋体" w:hAnsi="宋体" w:eastAsia="宋体" w:cs="宋体"/>
          <w:b/>
          <w:bCs/>
          <w:color w:val="auto"/>
          <w:spacing w:val="3"/>
          <w:sz w:val="31"/>
          <w:szCs w:val="31"/>
        </w:rPr>
        <w:t>1.商务技术文件封面格式</w:t>
      </w:r>
    </w:p>
    <w:p w14:paraId="61F344F6">
      <w:pPr>
        <w:spacing w:line="281" w:lineRule="auto"/>
        <w:rPr>
          <w:rFonts w:ascii="Arial"/>
          <w:color w:val="auto"/>
          <w:sz w:val="21"/>
        </w:rPr>
      </w:pPr>
    </w:p>
    <w:p w14:paraId="27D7062A">
      <w:pPr>
        <w:spacing w:line="281" w:lineRule="auto"/>
        <w:rPr>
          <w:rFonts w:ascii="Arial"/>
          <w:color w:val="auto"/>
          <w:sz w:val="21"/>
        </w:rPr>
      </w:pPr>
    </w:p>
    <w:p w14:paraId="6BA1B8B2">
      <w:pPr>
        <w:spacing w:line="281" w:lineRule="auto"/>
        <w:rPr>
          <w:rFonts w:ascii="Arial"/>
          <w:color w:val="auto"/>
          <w:sz w:val="21"/>
        </w:rPr>
      </w:pPr>
    </w:p>
    <w:p w14:paraId="3CB7795F">
      <w:pPr>
        <w:spacing w:before="140" w:line="223" w:lineRule="auto"/>
        <w:ind w:left="2890"/>
        <w:rPr>
          <w:rFonts w:ascii="宋体" w:hAnsi="宋体" w:eastAsia="宋体" w:cs="宋体"/>
          <w:color w:val="auto"/>
          <w:sz w:val="43"/>
          <w:szCs w:val="43"/>
        </w:rPr>
      </w:pPr>
      <w:r>
        <w:rPr>
          <w:rFonts w:ascii="宋体" w:hAnsi="宋体" w:eastAsia="宋体" w:cs="宋体"/>
          <w:color w:val="auto"/>
          <w:spacing w:val="-20"/>
          <w:sz w:val="43"/>
          <w:szCs w:val="43"/>
        </w:rPr>
        <w:t>电</w:t>
      </w:r>
      <w:r>
        <w:rPr>
          <w:rFonts w:ascii="宋体" w:hAnsi="宋体" w:eastAsia="宋体" w:cs="宋体"/>
          <w:color w:val="auto"/>
          <w:spacing w:val="24"/>
          <w:sz w:val="43"/>
          <w:szCs w:val="43"/>
        </w:rPr>
        <w:t xml:space="preserve"> </w:t>
      </w:r>
      <w:r>
        <w:rPr>
          <w:rFonts w:ascii="宋体" w:hAnsi="宋体" w:eastAsia="宋体" w:cs="宋体"/>
          <w:color w:val="auto"/>
          <w:spacing w:val="-20"/>
          <w:sz w:val="43"/>
          <w:szCs w:val="43"/>
        </w:rPr>
        <w:t>子</w:t>
      </w:r>
      <w:r>
        <w:rPr>
          <w:rFonts w:ascii="宋体" w:hAnsi="宋体" w:eastAsia="宋体" w:cs="宋体"/>
          <w:color w:val="auto"/>
          <w:spacing w:val="45"/>
          <w:sz w:val="43"/>
          <w:szCs w:val="43"/>
        </w:rPr>
        <w:t xml:space="preserve"> </w:t>
      </w:r>
      <w:r>
        <w:rPr>
          <w:rFonts w:ascii="宋体" w:hAnsi="宋体" w:eastAsia="宋体" w:cs="宋体"/>
          <w:color w:val="auto"/>
          <w:spacing w:val="-20"/>
          <w:sz w:val="43"/>
          <w:szCs w:val="43"/>
        </w:rPr>
        <w:t>响</w:t>
      </w:r>
      <w:r>
        <w:rPr>
          <w:rFonts w:ascii="宋体" w:hAnsi="宋体" w:eastAsia="宋体" w:cs="宋体"/>
          <w:color w:val="auto"/>
          <w:spacing w:val="23"/>
          <w:sz w:val="43"/>
          <w:szCs w:val="43"/>
        </w:rPr>
        <w:t xml:space="preserve"> </w:t>
      </w:r>
      <w:r>
        <w:rPr>
          <w:rFonts w:ascii="宋体" w:hAnsi="宋体" w:eastAsia="宋体" w:cs="宋体"/>
          <w:color w:val="auto"/>
          <w:spacing w:val="-20"/>
          <w:sz w:val="43"/>
          <w:szCs w:val="43"/>
        </w:rPr>
        <w:t>应</w:t>
      </w:r>
      <w:r>
        <w:rPr>
          <w:rFonts w:ascii="宋体" w:hAnsi="宋体" w:eastAsia="宋体" w:cs="宋体"/>
          <w:color w:val="auto"/>
          <w:spacing w:val="27"/>
          <w:sz w:val="43"/>
          <w:szCs w:val="43"/>
        </w:rPr>
        <w:t xml:space="preserve"> </w:t>
      </w:r>
      <w:r>
        <w:rPr>
          <w:rFonts w:ascii="宋体" w:hAnsi="宋体" w:eastAsia="宋体" w:cs="宋体"/>
          <w:color w:val="auto"/>
          <w:spacing w:val="-20"/>
          <w:sz w:val="43"/>
          <w:szCs w:val="43"/>
        </w:rPr>
        <w:t>文</w:t>
      </w:r>
      <w:r>
        <w:rPr>
          <w:rFonts w:ascii="宋体" w:hAnsi="宋体" w:eastAsia="宋体" w:cs="宋体"/>
          <w:color w:val="auto"/>
          <w:spacing w:val="21"/>
          <w:sz w:val="43"/>
          <w:szCs w:val="43"/>
        </w:rPr>
        <w:t xml:space="preserve"> </w:t>
      </w:r>
      <w:r>
        <w:rPr>
          <w:rFonts w:ascii="宋体" w:hAnsi="宋体" w:eastAsia="宋体" w:cs="宋体"/>
          <w:color w:val="auto"/>
          <w:spacing w:val="-20"/>
          <w:sz w:val="43"/>
          <w:szCs w:val="43"/>
        </w:rPr>
        <w:t>件</w:t>
      </w:r>
    </w:p>
    <w:p w14:paraId="2AB371C7">
      <w:pPr>
        <w:spacing w:line="248" w:lineRule="auto"/>
        <w:rPr>
          <w:rFonts w:ascii="Arial"/>
          <w:color w:val="auto"/>
          <w:sz w:val="21"/>
        </w:rPr>
      </w:pPr>
    </w:p>
    <w:p w14:paraId="405503F2">
      <w:pPr>
        <w:spacing w:line="249" w:lineRule="auto"/>
        <w:rPr>
          <w:rFonts w:ascii="Arial"/>
          <w:color w:val="auto"/>
          <w:sz w:val="21"/>
        </w:rPr>
      </w:pPr>
    </w:p>
    <w:p w14:paraId="4D57AB36">
      <w:pPr>
        <w:spacing w:line="249" w:lineRule="auto"/>
        <w:rPr>
          <w:rFonts w:ascii="Arial"/>
          <w:color w:val="auto"/>
          <w:sz w:val="21"/>
        </w:rPr>
      </w:pPr>
    </w:p>
    <w:p w14:paraId="53229CC6">
      <w:pPr>
        <w:spacing w:line="249" w:lineRule="auto"/>
        <w:rPr>
          <w:rFonts w:ascii="Arial"/>
          <w:color w:val="auto"/>
          <w:sz w:val="21"/>
        </w:rPr>
      </w:pPr>
    </w:p>
    <w:p w14:paraId="6C302B66">
      <w:pPr>
        <w:spacing w:before="140" w:line="223" w:lineRule="auto"/>
        <w:ind w:left="2298"/>
        <w:rPr>
          <w:rFonts w:ascii="宋体" w:hAnsi="宋体" w:eastAsia="宋体" w:cs="宋体"/>
          <w:color w:val="auto"/>
          <w:sz w:val="43"/>
          <w:szCs w:val="43"/>
        </w:rPr>
      </w:pPr>
      <w:r>
        <w:rPr>
          <w:rFonts w:ascii="宋体" w:hAnsi="宋体" w:eastAsia="宋体" w:cs="宋体"/>
          <w:color w:val="auto"/>
          <w:spacing w:val="-11"/>
          <w:sz w:val="43"/>
          <w:szCs w:val="43"/>
        </w:rPr>
        <w:t>商</w:t>
      </w:r>
      <w:r>
        <w:rPr>
          <w:rFonts w:ascii="宋体" w:hAnsi="宋体" w:eastAsia="宋体" w:cs="宋体"/>
          <w:color w:val="auto"/>
          <w:spacing w:val="17"/>
          <w:sz w:val="43"/>
          <w:szCs w:val="43"/>
        </w:rPr>
        <w:t xml:space="preserve">  </w:t>
      </w:r>
      <w:r>
        <w:rPr>
          <w:rFonts w:ascii="宋体" w:hAnsi="宋体" w:eastAsia="宋体" w:cs="宋体"/>
          <w:color w:val="auto"/>
          <w:spacing w:val="-11"/>
          <w:sz w:val="43"/>
          <w:szCs w:val="43"/>
        </w:rPr>
        <w:t>务</w:t>
      </w:r>
      <w:r>
        <w:rPr>
          <w:rFonts w:ascii="宋体" w:hAnsi="宋体" w:eastAsia="宋体" w:cs="宋体"/>
          <w:color w:val="auto"/>
          <w:spacing w:val="15"/>
          <w:sz w:val="43"/>
          <w:szCs w:val="43"/>
        </w:rPr>
        <w:t xml:space="preserve">  </w:t>
      </w:r>
      <w:r>
        <w:rPr>
          <w:rFonts w:ascii="宋体" w:hAnsi="宋体" w:eastAsia="宋体" w:cs="宋体"/>
          <w:color w:val="auto"/>
          <w:spacing w:val="-11"/>
          <w:sz w:val="43"/>
          <w:szCs w:val="43"/>
        </w:rPr>
        <w:t>技</w:t>
      </w:r>
      <w:r>
        <w:rPr>
          <w:rFonts w:ascii="宋体" w:hAnsi="宋体" w:eastAsia="宋体" w:cs="宋体"/>
          <w:color w:val="auto"/>
          <w:spacing w:val="16"/>
          <w:sz w:val="43"/>
          <w:szCs w:val="43"/>
        </w:rPr>
        <w:t xml:space="preserve">  </w:t>
      </w:r>
      <w:r>
        <w:rPr>
          <w:rFonts w:ascii="宋体" w:hAnsi="宋体" w:eastAsia="宋体" w:cs="宋体"/>
          <w:color w:val="auto"/>
          <w:spacing w:val="-11"/>
          <w:sz w:val="43"/>
          <w:szCs w:val="43"/>
        </w:rPr>
        <w:t>术</w:t>
      </w:r>
      <w:r>
        <w:rPr>
          <w:rFonts w:ascii="宋体" w:hAnsi="宋体" w:eastAsia="宋体" w:cs="宋体"/>
          <w:color w:val="auto"/>
          <w:spacing w:val="16"/>
          <w:sz w:val="43"/>
          <w:szCs w:val="43"/>
        </w:rPr>
        <w:t xml:space="preserve">  </w:t>
      </w:r>
      <w:r>
        <w:rPr>
          <w:rFonts w:ascii="宋体" w:hAnsi="宋体" w:eastAsia="宋体" w:cs="宋体"/>
          <w:color w:val="auto"/>
          <w:spacing w:val="-11"/>
          <w:sz w:val="43"/>
          <w:szCs w:val="43"/>
        </w:rPr>
        <w:t>文</w:t>
      </w:r>
      <w:r>
        <w:rPr>
          <w:rFonts w:ascii="宋体" w:hAnsi="宋体" w:eastAsia="宋体" w:cs="宋体"/>
          <w:color w:val="auto"/>
          <w:spacing w:val="12"/>
          <w:sz w:val="43"/>
          <w:szCs w:val="43"/>
        </w:rPr>
        <w:t xml:space="preserve">  </w:t>
      </w:r>
      <w:r>
        <w:rPr>
          <w:rFonts w:ascii="宋体" w:hAnsi="宋体" w:eastAsia="宋体" w:cs="宋体"/>
          <w:color w:val="auto"/>
          <w:spacing w:val="-11"/>
          <w:sz w:val="43"/>
          <w:szCs w:val="43"/>
        </w:rPr>
        <w:t>件</w:t>
      </w:r>
    </w:p>
    <w:p w14:paraId="22C355B1">
      <w:pPr>
        <w:spacing w:line="241" w:lineRule="auto"/>
        <w:rPr>
          <w:rFonts w:ascii="Arial"/>
          <w:color w:val="auto"/>
          <w:sz w:val="21"/>
        </w:rPr>
      </w:pPr>
    </w:p>
    <w:p w14:paraId="5F2DDE97">
      <w:pPr>
        <w:spacing w:line="241" w:lineRule="auto"/>
        <w:rPr>
          <w:rFonts w:ascii="Arial"/>
          <w:color w:val="auto"/>
          <w:sz w:val="21"/>
        </w:rPr>
      </w:pPr>
    </w:p>
    <w:p w14:paraId="699898BB">
      <w:pPr>
        <w:spacing w:line="241" w:lineRule="auto"/>
        <w:rPr>
          <w:rFonts w:ascii="Arial"/>
          <w:color w:val="auto"/>
          <w:sz w:val="21"/>
        </w:rPr>
      </w:pPr>
    </w:p>
    <w:p w14:paraId="1D274EB7">
      <w:pPr>
        <w:spacing w:line="241" w:lineRule="auto"/>
        <w:rPr>
          <w:rFonts w:ascii="Arial"/>
          <w:color w:val="auto"/>
          <w:sz w:val="21"/>
        </w:rPr>
      </w:pPr>
    </w:p>
    <w:p w14:paraId="08B8AF70">
      <w:pPr>
        <w:spacing w:line="241" w:lineRule="auto"/>
        <w:rPr>
          <w:rFonts w:ascii="Arial"/>
          <w:color w:val="auto"/>
          <w:sz w:val="21"/>
        </w:rPr>
      </w:pPr>
    </w:p>
    <w:p w14:paraId="45A4AE3A">
      <w:pPr>
        <w:spacing w:line="241" w:lineRule="auto"/>
        <w:rPr>
          <w:rFonts w:ascii="Arial"/>
          <w:color w:val="auto"/>
          <w:sz w:val="21"/>
        </w:rPr>
      </w:pPr>
    </w:p>
    <w:p w14:paraId="17BDD552">
      <w:pPr>
        <w:spacing w:line="241" w:lineRule="auto"/>
        <w:rPr>
          <w:rFonts w:ascii="Arial"/>
          <w:color w:val="auto"/>
          <w:sz w:val="21"/>
        </w:rPr>
      </w:pPr>
    </w:p>
    <w:p w14:paraId="3B05E355">
      <w:pPr>
        <w:spacing w:line="241" w:lineRule="auto"/>
        <w:rPr>
          <w:rFonts w:ascii="Arial"/>
          <w:color w:val="auto"/>
          <w:sz w:val="21"/>
        </w:rPr>
      </w:pPr>
    </w:p>
    <w:p w14:paraId="340A15DB">
      <w:pPr>
        <w:spacing w:line="241" w:lineRule="auto"/>
        <w:rPr>
          <w:rFonts w:ascii="Arial"/>
          <w:color w:val="auto"/>
          <w:sz w:val="21"/>
        </w:rPr>
      </w:pPr>
    </w:p>
    <w:p w14:paraId="3F0AF27B">
      <w:pPr>
        <w:spacing w:line="241" w:lineRule="auto"/>
        <w:rPr>
          <w:rFonts w:ascii="Arial"/>
          <w:color w:val="auto"/>
          <w:sz w:val="21"/>
        </w:rPr>
      </w:pPr>
    </w:p>
    <w:p w14:paraId="1B188557">
      <w:pPr>
        <w:spacing w:before="101" w:line="225" w:lineRule="auto"/>
        <w:ind w:left="643"/>
        <w:rPr>
          <w:rFonts w:ascii="宋体" w:hAnsi="宋体" w:eastAsia="宋体" w:cs="宋体"/>
          <w:color w:val="auto"/>
          <w:sz w:val="31"/>
          <w:szCs w:val="31"/>
        </w:rPr>
      </w:pPr>
      <w:r>
        <w:rPr>
          <w:rFonts w:ascii="宋体" w:hAnsi="宋体" w:eastAsia="宋体" w:cs="宋体"/>
          <w:color w:val="auto"/>
          <w:spacing w:val="4"/>
          <w:sz w:val="31"/>
          <w:szCs w:val="31"/>
        </w:rPr>
        <w:t>项目名称：</w:t>
      </w:r>
    </w:p>
    <w:p w14:paraId="6691653F">
      <w:pPr>
        <w:spacing w:line="329" w:lineRule="auto"/>
        <w:rPr>
          <w:rFonts w:ascii="Arial"/>
          <w:color w:val="auto"/>
          <w:sz w:val="21"/>
        </w:rPr>
      </w:pPr>
    </w:p>
    <w:p w14:paraId="3E11FEEB">
      <w:pPr>
        <w:spacing w:line="329" w:lineRule="auto"/>
        <w:rPr>
          <w:rFonts w:ascii="Arial"/>
          <w:color w:val="auto"/>
          <w:sz w:val="21"/>
        </w:rPr>
      </w:pPr>
    </w:p>
    <w:p w14:paraId="3C506F6D">
      <w:pPr>
        <w:spacing w:before="101" w:line="225" w:lineRule="auto"/>
        <w:ind w:left="643"/>
        <w:rPr>
          <w:rFonts w:ascii="宋体" w:hAnsi="宋体" w:eastAsia="宋体" w:cs="宋体"/>
          <w:color w:val="auto"/>
          <w:sz w:val="31"/>
          <w:szCs w:val="31"/>
        </w:rPr>
      </w:pPr>
      <w:r>
        <w:rPr>
          <w:rFonts w:ascii="宋体" w:hAnsi="宋体" w:eastAsia="宋体" w:cs="宋体"/>
          <w:color w:val="auto"/>
          <w:spacing w:val="4"/>
          <w:sz w:val="31"/>
          <w:szCs w:val="31"/>
        </w:rPr>
        <w:t>项目编号：</w:t>
      </w:r>
    </w:p>
    <w:p w14:paraId="4DAC4D6C">
      <w:pPr>
        <w:spacing w:line="330" w:lineRule="auto"/>
        <w:rPr>
          <w:rFonts w:ascii="Arial"/>
          <w:color w:val="auto"/>
          <w:sz w:val="21"/>
        </w:rPr>
      </w:pPr>
    </w:p>
    <w:p w14:paraId="113190FB">
      <w:pPr>
        <w:spacing w:line="330" w:lineRule="auto"/>
        <w:rPr>
          <w:rFonts w:ascii="Arial"/>
          <w:color w:val="auto"/>
          <w:sz w:val="21"/>
        </w:rPr>
      </w:pPr>
    </w:p>
    <w:p w14:paraId="67826DBD">
      <w:pPr>
        <w:spacing w:line="275" w:lineRule="auto"/>
        <w:rPr>
          <w:rFonts w:ascii="Arial"/>
          <w:color w:val="auto"/>
          <w:sz w:val="21"/>
        </w:rPr>
      </w:pPr>
    </w:p>
    <w:p w14:paraId="641ABA7B">
      <w:pPr>
        <w:spacing w:line="276" w:lineRule="auto"/>
        <w:rPr>
          <w:rFonts w:ascii="Arial"/>
          <w:color w:val="auto"/>
          <w:sz w:val="21"/>
        </w:rPr>
      </w:pPr>
    </w:p>
    <w:p w14:paraId="78F7185A">
      <w:pPr>
        <w:spacing w:before="102" w:line="224" w:lineRule="auto"/>
        <w:ind w:left="638"/>
        <w:rPr>
          <w:rFonts w:ascii="宋体" w:hAnsi="宋体" w:eastAsia="宋体" w:cs="宋体"/>
          <w:color w:val="auto"/>
          <w:sz w:val="31"/>
          <w:szCs w:val="31"/>
        </w:rPr>
      </w:pPr>
      <w:r>
        <w:rPr>
          <w:rFonts w:ascii="宋体" w:hAnsi="宋体" w:eastAsia="宋体" w:cs="宋体"/>
          <w:color w:val="auto"/>
          <w:spacing w:val="5"/>
          <w:sz w:val="31"/>
          <w:szCs w:val="31"/>
        </w:rPr>
        <w:t>供应商名称：</w:t>
      </w:r>
    </w:p>
    <w:p w14:paraId="7A230F21">
      <w:pPr>
        <w:spacing w:line="242" w:lineRule="auto"/>
        <w:rPr>
          <w:rFonts w:ascii="Arial"/>
          <w:color w:val="auto"/>
          <w:sz w:val="21"/>
        </w:rPr>
      </w:pPr>
    </w:p>
    <w:p w14:paraId="0C725E76">
      <w:pPr>
        <w:spacing w:line="242" w:lineRule="auto"/>
        <w:rPr>
          <w:rFonts w:ascii="Arial"/>
          <w:color w:val="auto"/>
          <w:sz w:val="21"/>
        </w:rPr>
      </w:pPr>
    </w:p>
    <w:p w14:paraId="4A5BAAA2">
      <w:pPr>
        <w:spacing w:line="242" w:lineRule="auto"/>
        <w:rPr>
          <w:rFonts w:ascii="Arial"/>
          <w:color w:val="auto"/>
          <w:sz w:val="21"/>
        </w:rPr>
      </w:pPr>
    </w:p>
    <w:p w14:paraId="1F1B8318">
      <w:pPr>
        <w:spacing w:line="243" w:lineRule="auto"/>
        <w:rPr>
          <w:rFonts w:ascii="Arial"/>
          <w:color w:val="auto"/>
          <w:sz w:val="21"/>
        </w:rPr>
      </w:pPr>
    </w:p>
    <w:p w14:paraId="47DEDBEC">
      <w:pPr>
        <w:spacing w:line="243" w:lineRule="auto"/>
        <w:rPr>
          <w:rFonts w:ascii="Arial"/>
          <w:color w:val="auto"/>
          <w:sz w:val="21"/>
        </w:rPr>
      </w:pPr>
    </w:p>
    <w:p w14:paraId="77372FFF">
      <w:pPr>
        <w:spacing w:line="243" w:lineRule="auto"/>
        <w:rPr>
          <w:rFonts w:ascii="Arial"/>
          <w:color w:val="auto"/>
          <w:sz w:val="21"/>
        </w:rPr>
      </w:pPr>
    </w:p>
    <w:p w14:paraId="78F7AB1C">
      <w:pPr>
        <w:spacing w:line="243" w:lineRule="auto"/>
        <w:rPr>
          <w:rFonts w:ascii="Arial"/>
          <w:color w:val="auto"/>
          <w:sz w:val="21"/>
        </w:rPr>
      </w:pPr>
    </w:p>
    <w:p w14:paraId="49271F1D">
      <w:pPr>
        <w:spacing w:line="243" w:lineRule="auto"/>
        <w:rPr>
          <w:rFonts w:ascii="Arial"/>
          <w:color w:val="auto"/>
          <w:sz w:val="21"/>
        </w:rPr>
      </w:pPr>
    </w:p>
    <w:p w14:paraId="378E17BB">
      <w:pPr>
        <w:spacing w:before="101" w:line="225" w:lineRule="auto"/>
        <w:ind w:left="3586"/>
        <w:rPr>
          <w:rFonts w:ascii="宋体" w:hAnsi="宋体" w:eastAsia="宋体" w:cs="宋体"/>
          <w:color w:val="auto"/>
          <w:sz w:val="31"/>
          <w:szCs w:val="31"/>
        </w:rPr>
      </w:pPr>
      <w:r>
        <w:rPr>
          <w:rFonts w:ascii="宋体" w:hAnsi="宋体" w:eastAsia="宋体" w:cs="宋体"/>
          <w:color w:val="auto"/>
          <w:spacing w:val="-6"/>
          <w:sz w:val="31"/>
          <w:szCs w:val="31"/>
        </w:rPr>
        <w:t>年</w:t>
      </w:r>
      <w:r>
        <w:rPr>
          <w:rFonts w:ascii="宋体" w:hAnsi="宋体" w:eastAsia="宋体" w:cs="宋体"/>
          <w:color w:val="auto"/>
          <w:spacing w:val="10"/>
          <w:sz w:val="31"/>
          <w:szCs w:val="31"/>
        </w:rPr>
        <w:t xml:space="preserve">    </w:t>
      </w:r>
      <w:r>
        <w:rPr>
          <w:rFonts w:ascii="宋体" w:hAnsi="宋体" w:eastAsia="宋体" w:cs="宋体"/>
          <w:color w:val="auto"/>
          <w:spacing w:val="-6"/>
          <w:sz w:val="31"/>
          <w:szCs w:val="31"/>
        </w:rPr>
        <w:t>月</w:t>
      </w:r>
      <w:r>
        <w:rPr>
          <w:rFonts w:ascii="宋体" w:hAnsi="宋体" w:eastAsia="宋体" w:cs="宋体"/>
          <w:color w:val="auto"/>
          <w:spacing w:val="22"/>
          <w:sz w:val="31"/>
          <w:szCs w:val="31"/>
        </w:rPr>
        <w:t xml:space="preserve">    </w:t>
      </w:r>
      <w:r>
        <w:rPr>
          <w:rFonts w:ascii="宋体" w:hAnsi="宋体" w:eastAsia="宋体" w:cs="宋体"/>
          <w:color w:val="auto"/>
          <w:spacing w:val="-6"/>
          <w:sz w:val="31"/>
          <w:szCs w:val="31"/>
        </w:rPr>
        <w:t>日</w:t>
      </w:r>
    </w:p>
    <w:p w14:paraId="54CA29EB">
      <w:pPr>
        <w:spacing w:line="225" w:lineRule="auto"/>
        <w:rPr>
          <w:rFonts w:ascii="宋体" w:hAnsi="宋体" w:eastAsia="宋体" w:cs="宋体"/>
          <w:color w:val="auto"/>
          <w:sz w:val="31"/>
          <w:szCs w:val="31"/>
        </w:rPr>
        <w:sectPr>
          <w:footerReference r:id="rId20" w:type="default"/>
          <w:pgSz w:w="11906" w:h="16839"/>
          <w:pgMar w:top="1336" w:right="1776" w:bottom="1362" w:left="1260" w:header="0" w:footer="1200" w:gutter="0"/>
          <w:pgNumType w:fmt="decimal"/>
          <w:cols w:space="720" w:num="1"/>
        </w:sectPr>
      </w:pPr>
    </w:p>
    <w:p w14:paraId="3B04102A">
      <w:pPr>
        <w:spacing w:before="63" w:line="225" w:lineRule="auto"/>
        <w:ind w:left="237"/>
        <w:rPr>
          <w:rFonts w:ascii="宋体" w:hAnsi="宋体" w:eastAsia="宋体" w:cs="宋体"/>
          <w:color w:val="auto"/>
          <w:sz w:val="31"/>
          <w:szCs w:val="31"/>
        </w:rPr>
      </w:pPr>
      <w:r>
        <w:rPr>
          <w:rFonts w:ascii="宋体" w:hAnsi="宋体" w:eastAsia="宋体" w:cs="宋体"/>
          <w:b/>
          <w:bCs/>
          <w:color w:val="auto"/>
          <w:spacing w:val="5"/>
          <w:sz w:val="31"/>
          <w:szCs w:val="31"/>
        </w:rPr>
        <w:t>2.商务技术文件目录</w:t>
      </w:r>
    </w:p>
    <w:p w14:paraId="577E60C0">
      <w:pPr>
        <w:spacing w:line="297" w:lineRule="auto"/>
        <w:rPr>
          <w:rFonts w:ascii="Arial"/>
          <w:color w:val="auto"/>
          <w:sz w:val="21"/>
        </w:rPr>
      </w:pPr>
    </w:p>
    <w:p w14:paraId="7EA516CD">
      <w:pPr>
        <w:spacing w:before="101" w:line="373" w:lineRule="auto"/>
        <w:ind w:firstLine="632"/>
        <w:rPr>
          <w:rFonts w:ascii="宋体" w:hAnsi="宋体" w:eastAsia="宋体" w:cs="宋体"/>
          <w:color w:val="auto"/>
          <w:sz w:val="24"/>
          <w:szCs w:val="24"/>
        </w:rPr>
      </w:pPr>
      <w:r>
        <w:rPr>
          <w:rFonts w:ascii="宋体" w:hAnsi="宋体" w:eastAsia="宋体" w:cs="宋体"/>
          <w:color w:val="auto"/>
          <w:spacing w:val="14"/>
          <w:sz w:val="24"/>
          <w:szCs w:val="24"/>
        </w:rPr>
        <w:t>根据磋商文件规定及供应商提供的材料自行编写目录（部分格</w:t>
      </w:r>
      <w:r>
        <w:rPr>
          <w:rFonts w:ascii="宋体" w:hAnsi="宋体" w:eastAsia="宋体" w:cs="宋体"/>
          <w:color w:val="auto"/>
          <w:spacing w:val="2"/>
          <w:sz w:val="24"/>
          <w:szCs w:val="24"/>
        </w:rPr>
        <w:t>式后附）。</w:t>
      </w:r>
    </w:p>
    <w:p w14:paraId="4559F835">
      <w:pPr>
        <w:spacing w:line="373" w:lineRule="auto"/>
        <w:rPr>
          <w:rFonts w:ascii="宋体" w:hAnsi="宋体" w:eastAsia="宋体" w:cs="宋体"/>
          <w:color w:val="auto"/>
          <w:sz w:val="31"/>
          <w:szCs w:val="31"/>
        </w:rPr>
        <w:sectPr>
          <w:footerReference r:id="rId21" w:type="default"/>
          <w:pgSz w:w="11906" w:h="16839"/>
          <w:pgMar w:top="1338" w:right="1247" w:bottom="1362" w:left="1266" w:header="0" w:footer="1200" w:gutter="0"/>
          <w:pgNumType w:fmt="decimal"/>
          <w:cols w:space="720" w:num="1"/>
        </w:sectPr>
      </w:pPr>
    </w:p>
    <w:p w14:paraId="6616D0C3">
      <w:pPr>
        <w:spacing w:before="88" w:line="223" w:lineRule="auto"/>
        <w:ind w:left="2297"/>
        <w:rPr>
          <w:rFonts w:ascii="宋体" w:hAnsi="宋体" w:eastAsia="宋体" w:cs="宋体"/>
          <w:color w:val="auto"/>
          <w:sz w:val="43"/>
          <w:szCs w:val="43"/>
        </w:rPr>
      </w:pPr>
      <w:r>
        <w:rPr>
          <w:rFonts w:ascii="宋体" w:hAnsi="宋体" w:eastAsia="宋体" w:cs="宋体"/>
          <w:color w:val="auto"/>
          <w:spacing w:val="7"/>
          <w:sz w:val="43"/>
          <w:szCs w:val="43"/>
        </w:rPr>
        <w:t>无串通竞标行为的承诺函</w:t>
      </w:r>
    </w:p>
    <w:p w14:paraId="1B6F5B79">
      <w:pPr>
        <w:spacing w:line="274" w:lineRule="auto"/>
        <w:rPr>
          <w:rFonts w:ascii="Arial"/>
          <w:color w:val="auto"/>
          <w:sz w:val="21"/>
        </w:rPr>
      </w:pPr>
    </w:p>
    <w:p w14:paraId="18C6BC5E">
      <w:pPr>
        <w:spacing w:line="275" w:lineRule="auto"/>
        <w:rPr>
          <w:rFonts w:ascii="Arial"/>
          <w:color w:val="auto"/>
          <w:sz w:val="21"/>
        </w:rPr>
      </w:pPr>
    </w:p>
    <w:p w14:paraId="31AC04A8">
      <w:pPr>
        <w:spacing w:before="78" w:line="219" w:lineRule="auto"/>
        <w:ind w:left="4"/>
        <w:rPr>
          <w:rFonts w:ascii="宋体" w:hAnsi="宋体" w:eastAsia="宋体" w:cs="宋体"/>
          <w:color w:val="auto"/>
          <w:sz w:val="24"/>
          <w:szCs w:val="24"/>
        </w:rPr>
      </w:pPr>
      <w:r>
        <w:rPr>
          <w:rFonts w:ascii="宋体" w:hAnsi="宋体" w:eastAsia="宋体" w:cs="宋体"/>
          <w:b/>
          <w:bCs/>
          <w:color w:val="auto"/>
          <w:spacing w:val="-3"/>
          <w:sz w:val="24"/>
          <w:szCs w:val="24"/>
        </w:rPr>
        <w:t>一、我方承诺无下列相互串通投标的情形：</w:t>
      </w:r>
    </w:p>
    <w:p w14:paraId="42904041">
      <w:pPr>
        <w:spacing w:before="154" w:line="278" w:lineRule="auto"/>
        <w:ind w:firstLine="485"/>
        <w:rPr>
          <w:rFonts w:ascii="宋体" w:hAnsi="宋体" w:eastAsia="宋体" w:cs="宋体"/>
          <w:color w:val="auto"/>
          <w:sz w:val="24"/>
          <w:szCs w:val="24"/>
        </w:rPr>
      </w:pPr>
      <w:r>
        <w:rPr>
          <w:rFonts w:ascii="宋体" w:hAnsi="宋体" w:eastAsia="宋体" w:cs="宋体"/>
          <w:color w:val="auto"/>
          <w:spacing w:val="-3"/>
          <w:sz w:val="24"/>
          <w:szCs w:val="24"/>
        </w:rPr>
        <w:t>1.不同投标人的投标文件由同一单位或者个人编制；或者不同投标人报名的</w:t>
      </w:r>
      <w:r>
        <w:rPr>
          <w:rFonts w:ascii="宋体" w:hAnsi="宋体" w:eastAsia="宋体" w:cs="宋体"/>
          <w:color w:val="auto"/>
          <w:spacing w:val="-38"/>
          <w:sz w:val="24"/>
          <w:szCs w:val="24"/>
        </w:rPr>
        <w:t xml:space="preserve"> </w:t>
      </w:r>
      <w:r>
        <w:rPr>
          <w:rFonts w:ascii="宋体" w:hAnsi="宋体" w:eastAsia="宋体" w:cs="宋体"/>
          <w:color w:val="auto"/>
          <w:spacing w:val="-3"/>
          <w:sz w:val="24"/>
          <w:szCs w:val="24"/>
        </w:rPr>
        <w:t>IP</w:t>
      </w:r>
      <w:r>
        <w:rPr>
          <w:rFonts w:ascii="宋体" w:hAnsi="宋体" w:eastAsia="宋体" w:cs="宋体"/>
          <w:color w:val="auto"/>
          <w:spacing w:val="-51"/>
          <w:sz w:val="24"/>
          <w:szCs w:val="24"/>
        </w:rPr>
        <w:t xml:space="preserve"> </w:t>
      </w:r>
      <w:r>
        <w:rPr>
          <w:rFonts w:ascii="宋体" w:hAnsi="宋体" w:eastAsia="宋体" w:cs="宋体"/>
          <w:color w:val="auto"/>
          <w:spacing w:val="-3"/>
          <w:sz w:val="24"/>
          <w:szCs w:val="24"/>
        </w:rPr>
        <w:t>地址一</w:t>
      </w:r>
      <w:r>
        <w:rPr>
          <w:rFonts w:ascii="宋体" w:hAnsi="宋体" w:eastAsia="宋体" w:cs="宋体"/>
          <w:color w:val="auto"/>
          <w:spacing w:val="-1"/>
          <w:sz w:val="24"/>
          <w:szCs w:val="24"/>
        </w:rPr>
        <w:t>致的；或者编制标书硬件设备</w:t>
      </w:r>
      <w:r>
        <w:rPr>
          <w:rFonts w:ascii="宋体" w:hAnsi="宋体" w:eastAsia="宋体" w:cs="宋体"/>
          <w:color w:val="auto"/>
          <w:spacing w:val="-48"/>
          <w:sz w:val="24"/>
          <w:szCs w:val="24"/>
        </w:rPr>
        <w:t xml:space="preserve"> </w:t>
      </w:r>
      <w:r>
        <w:rPr>
          <w:rFonts w:ascii="宋体" w:hAnsi="宋体" w:eastAsia="宋体" w:cs="宋体"/>
          <w:color w:val="auto"/>
          <w:spacing w:val="-1"/>
          <w:sz w:val="24"/>
          <w:szCs w:val="24"/>
        </w:rPr>
        <w:t>CPU</w:t>
      </w:r>
      <w:r>
        <w:rPr>
          <w:rFonts w:ascii="宋体" w:hAnsi="宋体" w:eastAsia="宋体" w:cs="宋体"/>
          <w:color w:val="auto"/>
          <w:spacing w:val="-49"/>
          <w:sz w:val="24"/>
          <w:szCs w:val="24"/>
        </w:rPr>
        <w:t xml:space="preserve"> </w:t>
      </w:r>
      <w:r>
        <w:rPr>
          <w:rFonts w:ascii="宋体" w:hAnsi="宋体" w:eastAsia="宋体" w:cs="宋体"/>
          <w:color w:val="auto"/>
          <w:spacing w:val="-1"/>
          <w:sz w:val="24"/>
          <w:szCs w:val="24"/>
        </w:rPr>
        <w:t>编号、硬盘编号、网卡地址一致的情况。</w:t>
      </w:r>
    </w:p>
    <w:p w14:paraId="663D19F0">
      <w:pPr>
        <w:spacing w:before="157" w:line="219" w:lineRule="auto"/>
        <w:ind w:left="471"/>
        <w:rPr>
          <w:rFonts w:ascii="宋体" w:hAnsi="宋体" w:eastAsia="宋体" w:cs="宋体"/>
          <w:color w:val="auto"/>
          <w:sz w:val="24"/>
          <w:szCs w:val="24"/>
        </w:rPr>
      </w:pPr>
      <w:r>
        <w:rPr>
          <w:rFonts w:ascii="宋体" w:hAnsi="宋体" w:eastAsia="宋体" w:cs="宋体"/>
          <w:color w:val="auto"/>
          <w:spacing w:val="-1"/>
          <w:sz w:val="24"/>
          <w:szCs w:val="24"/>
        </w:rPr>
        <w:t>2.不同投标人委托同一单位或者个人办理投标事宜；</w:t>
      </w:r>
    </w:p>
    <w:p w14:paraId="6A12F684">
      <w:pPr>
        <w:spacing w:before="154" w:line="219" w:lineRule="auto"/>
        <w:ind w:left="473"/>
        <w:rPr>
          <w:rFonts w:ascii="宋体" w:hAnsi="宋体" w:eastAsia="宋体" w:cs="宋体"/>
          <w:color w:val="auto"/>
          <w:sz w:val="24"/>
          <w:szCs w:val="24"/>
        </w:rPr>
      </w:pPr>
      <w:r>
        <w:rPr>
          <w:rFonts w:ascii="宋体" w:hAnsi="宋体" w:eastAsia="宋体" w:cs="宋体"/>
          <w:color w:val="auto"/>
          <w:spacing w:val="-1"/>
          <w:sz w:val="24"/>
          <w:szCs w:val="24"/>
        </w:rPr>
        <w:t>3.不同的投标人的投标文件载明的项目管理员为同一个人；</w:t>
      </w:r>
    </w:p>
    <w:p w14:paraId="5FC4728B">
      <w:pPr>
        <w:spacing w:before="154" w:line="218" w:lineRule="auto"/>
        <w:ind w:left="468"/>
        <w:rPr>
          <w:rFonts w:ascii="宋体" w:hAnsi="宋体" w:eastAsia="宋体" w:cs="宋体"/>
          <w:color w:val="auto"/>
          <w:sz w:val="24"/>
          <w:szCs w:val="24"/>
        </w:rPr>
      </w:pPr>
      <w:r>
        <w:rPr>
          <w:rFonts w:ascii="宋体" w:hAnsi="宋体" w:eastAsia="宋体" w:cs="宋体"/>
          <w:color w:val="auto"/>
          <w:sz w:val="24"/>
          <w:szCs w:val="24"/>
        </w:rPr>
        <w:t>4.不同投标人的投标文件异常一致或者投</w:t>
      </w:r>
      <w:r>
        <w:rPr>
          <w:rFonts w:ascii="宋体" w:hAnsi="宋体" w:eastAsia="宋体" w:cs="宋体"/>
          <w:color w:val="auto"/>
          <w:spacing w:val="-1"/>
          <w:sz w:val="24"/>
          <w:szCs w:val="24"/>
        </w:rPr>
        <w:t>标报价呈规律性差异；</w:t>
      </w:r>
    </w:p>
    <w:p w14:paraId="7E2DEA97">
      <w:pPr>
        <w:spacing w:before="159" w:line="219" w:lineRule="auto"/>
        <w:ind w:left="473"/>
        <w:rPr>
          <w:rFonts w:ascii="宋体" w:hAnsi="宋体" w:eastAsia="宋体" w:cs="宋体"/>
          <w:color w:val="auto"/>
          <w:sz w:val="24"/>
          <w:szCs w:val="24"/>
        </w:rPr>
      </w:pPr>
      <w:r>
        <w:rPr>
          <w:rFonts w:ascii="宋体" w:hAnsi="宋体" w:eastAsia="宋体" w:cs="宋体"/>
          <w:color w:val="auto"/>
          <w:spacing w:val="-1"/>
          <w:sz w:val="24"/>
          <w:szCs w:val="24"/>
        </w:rPr>
        <w:t>5.不同投标人的投标文件相互混装；</w:t>
      </w:r>
    </w:p>
    <w:p w14:paraId="66BEF6A8">
      <w:pPr>
        <w:spacing w:before="154" w:line="219" w:lineRule="auto"/>
        <w:ind w:left="470"/>
        <w:rPr>
          <w:rFonts w:ascii="宋体" w:hAnsi="宋体" w:eastAsia="宋体" w:cs="宋体"/>
          <w:color w:val="auto"/>
          <w:sz w:val="24"/>
          <w:szCs w:val="24"/>
        </w:rPr>
      </w:pPr>
      <w:r>
        <w:rPr>
          <w:rFonts w:ascii="宋体" w:hAnsi="宋体" w:eastAsia="宋体" w:cs="宋体"/>
          <w:color w:val="auto"/>
          <w:spacing w:val="-1"/>
          <w:sz w:val="24"/>
          <w:szCs w:val="24"/>
        </w:rPr>
        <w:t>6.不同投标人的投标保证金从同一单位或者个人账户转出。</w:t>
      </w:r>
    </w:p>
    <w:p w14:paraId="5335150F">
      <w:pPr>
        <w:spacing w:before="155" w:line="219" w:lineRule="auto"/>
        <w:ind w:left="4"/>
        <w:rPr>
          <w:rFonts w:ascii="宋体" w:hAnsi="宋体" w:eastAsia="宋体" w:cs="宋体"/>
          <w:color w:val="auto"/>
          <w:sz w:val="24"/>
          <w:szCs w:val="24"/>
        </w:rPr>
      </w:pPr>
      <w:r>
        <w:rPr>
          <w:rFonts w:ascii="宋体" w:hAnsi="宋体" w:eastAsia="宋体" w:cs="宋体"/>
          <w:b/>
          <w:bCs/>
          <w:color w:val="auto"/>
          <w:spacing w:val="-3"/>
          <w:sz w:val="24"/>
          <w:szCs w:val="24"/>
        </w:rPr>
        <w:t>二、我方承诺无下列恶意串通的情形：</w:t>
      </w:r>
    </w:p>
    <w:p w14:paraId="0D952795">
      <w:pPr>
        <w:spacing w:before="155" w:line="279" w:lineRule="auto"/>
        <w:ind w:left="9" w:right="62" w:firstLine="477"/>
        <w:rPr>
          <w:rFonts w:ascii="宋体" w:hAnsi="宋体" w:eastAsia="宋体" w:cs="宋体"/>
          <w:color w:val="auto"/>
          <w:sz w:val="24"/>
          <w:szCs w:val="24"/>
        </w:rPr>
      </w:pPr>
      <w:r>
        <w:rPr>
          <w:rFonts w:ascii="宋体" w:hAnsi="宋体" w:eastAsia="宋体" w:cs="宋体"/>
          <w:color w:val="auto"/>
          <w:spacing w:val="-1"/>
          <w:sz w:val="24"/>
          <w:szCs w:val="24"/>
        </w:rPr>
        <w:t>1.投标人直接或者间接从采购人或者采购代理机构处获得其他投标人的相关信息并修</w:t>
      </w:r>
      <w:r>
        <w:rPr>
          <w:rFonts w:ascii="宋体" w:hAnsi="宋体" w:eastAsia="宋体" w:cs="宋体"/>
          <w:color w:val="auto"/>
          <w:spacing w:val="-2"/>
          <w:sz w:val="24"/>
          <w:szCs w:val="24"/>
        </w:rPr>
        <w:t>改其投标文件或者投标文件；</w:t>
      </w:r>
    </w:p>
    <w:p w14:paraId="2ADA91E3">
      <w:pPr>
        <w:spacing w:before="154" w:line="219" w:lineRule="auto"/>
        <w:ind w:left="471"/>
        <w:rPr>
          <w:rFonts w:ascii="宋体" w:hAnsi="宋体" w:eastAsia="宋体" w:cs="宋体"/>
          <w:color w:val="auto"/>
          <w:sz w:val="24"/>
          <w:szCs w:val="24"/>
        </w:rPr>
      </w:pPr>
      <w:r>
        <w:rPr>
          <w:rFonts w:ascii="宋体" w:hAnsi="宋体" w:eastAsia="宋体" w:cs="宋体"/>
          <w:color w:val="auto"/>
          <w:sz w:val="24"/>
          <w:szCs w:val="24"/>
        </w:rPr>
        <w:t>2.投标人按照采购人或者采购代理机构的授意撤换</w:t>
      </w:r>
      <w:r>
        <w:rPr>
          <w:rFonts w:ascii="宋体" w:hAnsi="宋体" w:eastAsia="宋体" w:cs="宋体"/>
          <w:color w:val="auto"/>
          <w:spacing w:val="-1"/>
          <w:sz w:val="24"/>
          <w:szCs w:val="24"/>
        </w:rPr>
        <w:t>、修改投标文件或者投标文件；</w:t>
      </w:r>
    </w:p>
    <w:p w14:paraId="51C54FC1">
      <w:pPr>
        <w:spacing w:before="157" w:line="218" w:lineRule="auto"/>
        <w:ind w:left="473"/>
        <w:rPr>
          <w:rFonts w:ascii="宋体" w:hAnsi="宋体" w:eastAsia="宋体" w:cs="宋体"/>
          <w:color w:val="auto"/>
          <w:sz w:val="24"/>
          <w:szCs w:val="24"/>
        </w:rPr>
      </w:pPr>
      <w:r>
        <w:rPr>
          <w:rFonts w:ascii="宋体" w:hAnsi="宋体" w:eastAsia="宋体" w:cs="宋体"/>
          <w:color w:val="auto"/>
          <w:spacing w:val="-1"/>
          <w:sz w:val="24"/>
          <w:szCs w:val="24"/>
        </w:rPr>
        <w:t>3.投标人之间协商报价、技术方案等投标文件或者投标文件的实质性内容；</w:t>
      </w:r>
    </w:p>
    <w:p w14:paraId="03DB94E5">
      <w:pPr>
        <w:spacing w:before="156" w:line="279" w:lineRule="auto"/>
        <w:ind w:left="4" w:right="62" w:firstLine="463"/>
        <w:rPr>
          <w:rFonts w:ascii="宋体" w:hAnsi="宋体" w:eastAsia="宋体" w:cs="宋体"/>
          <w:color w:val="auto"/>
          <w:sz w:val="24"/>
          <w:szCs w:val="24"/>
        </w:rPr>
      </w:pPr>
      <w:r>
        <w:rPr>
          <w:rFonts w:ascii="宋体" w:hAnsi="宋体" w:eastAsia="宋体" w:cs="宋体"/>
          <w:color w:val="auto"/>
          <w:sz w:val="24"/>
          <w:szCs w:val="24"/>
        </w:rPr>
        <w:t>4.属于同一集团、协会、商会等组织成员的投标人按照该组织</w:t>
      </w:r>
      <w:r>
        <w:rPr>
          <w:rFonts w:ascii="宋体" w:hAnsi="宋体" w:eastAsia="宋体" w:cs="宋体"/>
          <w:color w:val="auto"/>
          <w:spacing w:val="-1"/>
          <w:sz w:val="24"/>
          <w:szCs w:val="24"/>
        </w:rPr>
        <w:t>要求协同参加政府采购</w:t>
      </w:r>
      <w:r>
        <w:rPr>
          <w:rFonts w:ascii="宋体" w:hAnsi="宋体" w:eastAsia="宋体" w:cs="宋体"/>
          <w:color w:val="auto"/>
          <w:spacing w:val="-5"/>
          <w:sz w:val="24"/>
          <w:szCs w:val="24"/>
        </w:rPr>
        <w:t>活动；</w:t>
      </w:r>
    </w:p>
    <w:p w14:paraId="01B3969C">
      <w:pPr>
        <w:spacing w:before="155" w:line="278" w:lineRule="auto"/>
        <w:ind w:left="28" w:right="62" w:firstLine="445"/>
        <w:rPr>
          <w:rFonts w:ascii="宋体" w:hAnsi="宋体" w:eastAsia="宋体" w:cs="宋体"/>
          <w:color w:val="auto"/>
          <w:sz w:val="24"/>
          <w:szCs w:val="24"/>
        </w:rPr>
      </w:pPr>
      <w:r>
        <w:rPr>
          <w:rFonts w:ascii="宋体" w:hAnsi="宋体" w:eastAsia="宋体" w:cs="宋体"/>
          <w:color w:val="auto"/>
          <w:sz w:val="24"/>
          <w:szCs w:val="24"/>
        </w:rPr>
        <w:t>5.投标人之间事先约定一致抬高或者压低投标报</w:t>
      </w:r>
      <w:r>
        <w:rPr>
          <w:rFonts w:ascii="宋体" w:hAnsi="宋体" w:eastAsia="宋体" w:cs="宋体"/>
          <w:color w:val="auto"/>
          <w:spacing w:val="-1"/>
          <w:sz w:val="24"/>
          <w:szCs w:val="24"/>
        </w:rPr>
        <w:t>价，或者在招标项目中事先约定轮流以高价位或者低价位中标，或者事先约定由某一特定投标人中标，然后再参加投标；</w:t>
      </w:r>
    </w:p>
    <w:p w14:paraId="4ACD9650">
      <w:pPr>
        <w:spacing w:before="155" w:line="219" w:lineRule="auto"/>
        <w:ind w:left="470"/>
        <w:rPr>
          <w:rFonts w:ascii="宋体" w:hAnsi="宋体" w:eastAsia="宋体" w:cs="宋体"/>
          <w:color w:val="auto"/>
          <w:sz w:val="24"/>
          <w:szCs w:val="24"/>
        </w:rPr>
      </w:pPr>
      <w:r>
        <w:rPr>
          <w:rFonts w:ascii="宋体" w:hAnsi="宋体" w:eastAsia="宋体" w:cs="宋体"/>
          <w:color w:val="auto"/>
          <w:spacing w:val="-1"/>
          <w:sz w:val="24"/>
          <w:szCs w:val="24"/>
        </w:rPr>
        <w:t>6.投标人之间商定部分投标人放弃参加政府采购活动或者放弃中标；</w:t>
      </w:r>
    </w:p>
    <w:p w14:paraId="1262B653">
      <w:pPr>
        <w:spacing w:before="158" w:line="279" w:lineRule="auto"/>
        <w:ind w:left="3" w:right="62" w:firstLine="470"/>
        <w:rPr>
          <w:rFonts w:ascii="宋体" w:hAnsi="宋体" w:eastAsia="宋体" w:cs="宋体"/>
          <w:color w:val="auto"/>
          <w:sz w:val="24"/>
          <w:szCs w:val="24"/>
        </w:rPr>
      </w:pPr>
      <w:r>
        <w:rPr>
          <w:rFonts w:ascii="宋体" w:hAnsi="宋体" w:eastAsia="宋体" w:cs="宋体"/>
          <w:color w:val="auto"/>
          <w:sz w:val="24"/>
          <w:szCs w:val="24"/>
        </w:rPr>
        <w:t>7.投标人与采购人或者采购代理机构之间、投</w:t>
      </w:r>
      <w:r>
        <w:rPr>
          <w:rFonts w:ascii="宋体" w:hAnsi="宋体" w:eastAsia="宋体" w:cs="宋体"/>
          <w:color w:val="auto"/>
          <w:spacing w:val="-1"/>
          <w:sz w:val="24"/>
          <w:szCs w:val="24"/>
        </w:rPr>
        <w:t>标人相互之间，为谋求特定投标人中标或者排斥其他投标人的其他串通行为。</w:t>
      </w:r>
    </w:p>
    <w:p w14:paraId="4C1F1BC1">
      <w:pPr>
        <w:spacing w:before="152" w:line="342" w:lineRule="auto"/>
        <w:ind w:right="28" w:firstLine="496"/>
        <w:rPr>
          <w:rFonts w:ascii="宋体" w:hAnsi="宋体" w:eastAsia="宋体" w:cs="宋体"/>
          <w:color w:val="auto"/>
          <w:sz w:val="24"/>
          <w:szCs w:val="24"/>
        </w:rPr>
      </w:pPr>
      <w:r>
        <w:rPr>
          <w:rFonts w:ascii="宋体" w:hAnsi="宋体" w:eastAsia="宋体" w:cs="宋体"/>
          <w:b/>
          <w:bCs/>
          <w:color w:val="auto"/>
          <w:spacing w:val="-3"/>
          <w:sz w:val="24"/>
          <w:szCs w:val="24"/>
        </w:rPr>
        <w:t>以上情形一经核查属实，我方愿意承担一切后果，接受政府采购监管部门对我方认定</w:t>
      </w:r>
      <w:r>
        <w:rPr>
          <w:rFonts w:ascii="宋体" w:hAnsi="宋体" w:eastAsia="宋体" w:cs="宋体"/>
          <w:b/>
          <w:bCs/>
          <w:color w:val="auto"/>
          <w:spacing w:val="-2"/>
          <w:sz w:val="24"/>
          <w:szCs w:val="24"/>
        </w:rPr>
        <w:t>存在围标串标行为，并不再寻求任何旨在减轻或者免除法律责任的辩解。</w:t>
      </w:r>
    </w:p>
    <w:p w14:paraId="13BF4E5B">
      <w:pPr>
        <w:spacing w:line="348" w:lineRule="auto"/>
        <w:rPr>
          <w:rFonts w:ascii="Arial"/>
          <w:color w:val="auto"/>
          <w:sz w:val="21"/>
        </w:rPr>
      </w:pPr>
    </w:p>
    <w:p w14:paraId="7436420B">
      <w:pPr>
        <w:spacing w:before="79" w:line="219" w:lineRule="auto"/>
        <w:ind w:left="3600"/>
        <w:rPr>
          <w:rFonts w:ascii="宋体" w:hAnsi="宋体" w:eastAsia="宋体" w:cs="宋体"/>
          <w:color w:val="auto"/>
          <w:sz w:val="24"/>
          <w:szCs w:val="24"/>
        </w:rPr>
      </w:pPr>
      <w:r>
        <w:rPr>
          <w:rFonts w:ascii="宋体" w:hAnsi="宋体" w:eastAsia="宋体" w:cs="宋体"/>
          <w:color w:val="auto"/>
          <w:spacing w:val="-2"/>
          <w:sz w:val="24"/>
          <w:szCs w:val="24"/>
        </w:rPr>
        <w:t>供应商（电子签章</w:t>
      </w:r>
      <w:r>
        <w:rPr>
          <w:rFonts w:ascii="宋体" w:hAnsi="宋体" w:eastAsia="宋体" w:cs="宋体"/>
          <w:color w:val="auto"/>
          <w:spacing w:val="2"/>
          <w:sz w:val="24"/>
          <w:szCs w:val="24"/>
        </w:rPr>
        <w:t>）：</w:t>
      </w:r>
    </w:p>
    <w:p w14:paraId="31EE4C25">
      <w:pPr>
        <w:spacing w:before="184" w:line="219" w:lineRule="auto"/>
        <w:ind w:left="6085"/>
        <w:rPr>
          <w:rFonts w:ascii="宋体" w:hAnsi="宋体" w:eastAsia="宋体" w:cs="宋体"/>
          <w:color w:val="auto"/>
          <w:sz w:val="24"/>
          <w:szCs w:val="24"/>
        </w:rPr>
      </w:pPr>
      <w:r>
        <w:rPr>
          <w:rFonts w:ascii="宋体" w:hAnsi="宋体" w:eastAsia="宋体" w:cs="宋体"/>
          <w:color w:val="auto"/>
          <w:spacing w:val="-9"/>
          <w:sz w:val="24"/>
          <w:szCs w:val="24"/>
        </w:rPr>
        <w:t>年</w:t>
      </w:r>
      <w:r>
        <w:rPr>
          <w:rFonts w:ascii="宋体" w:hAnsi="宋体" w:eastAsia="宋体" w:cs="宋体"/>
          <w:color w:val="auto"/>
          <w:spacing w:val="5"/>
          <w:sz w:val="24"/>
          <w:szCs w:val="24"/>
        </w:rPr>
        <w:t xml:space="preserve">   </w:t>
      </w:r>
      <w:r>
        <w:rPr>
          <w:rFonts w:ascii="宋体" w:hAnsi="宋体" w:eastAsia="宋体" w:cs="宋体"/>
          <w:color w:val="auto"/>
          <w:spacing w:val="-9"/>
          <w:sz w:val="24"/>
          <w:szCs w:val="24"/>
        </w:rPr>
        <w:t>月</w:t>
      </w:r>
      <w:r>
        <w:rPr>
          <w:rFonts w:ascii="宋体" w:hAnsi="宋体" w:eastAsia="宋体" w:cs="宋体"/>
          <w:color w:val="auto"/>
          <w:spacing w:val="17"/>
          <w:sz w:val="24"/>
          <w:szCs w:val="24"/>
        </w:rPr>
        <w:t xml:space="preserve">   </w:t>
      </w:r>
      <w:r>
        <w:rPr>
          <w:rFonts w:ascii="宋体" w:hAnsi="宋体" w:eastAsia="宋体" w:cs="宋体"/>
          <w:color w:val="auto"/>
          <w:spacing w:val="-9"/>
          <w:sz w:val="24"/>
          <w:szCs w:val="24"/>
        </w:rPr>
        <w:t>日</w:t>
      </w:r>
    </w:p>
    <w:p w14:paraId="4ED610C1">
      <w:pPr>
        <w:spacing w:line="219" w:lineRule="auto"/>
        <w:rPr>
          <w:rFonts w:ascii="宋体" w:hAnsi="宋体" w:eastAsia="宋体" w:cs="宋体"/>
          <w:color w:val="auto"/>
          <w:sz w:val="24"/>
          <w:szCs w:val="24"/>
        </w:rPr>
        <w:sectPr>
          <w:footerReference r:id="rId22" w:type="default"/>
          <w:pgSz w:w="11906" w:h="16839"/>
          <w:pgMar w:top="1196" w:right="1247" w:bottom="1362" w:left="1256" w:header="0" w:footer="1200" w:gutter="0"/>
          <w:pgNumType w:fmt="decimal"/>
          <w:cols w:space="720" w:num="1"/>
        </w:sectPr>
      </w:pPr>
    </w:p>
    <w:p w14:paraId="11F57E84">
      <w:pPr>
        <w:spacing w:before="88" w:line="222" w:lineRule="auto"/>
        <w:ind w:left="2954"/>
        <w:rPr>
          <w:rFonts w:ascii="宋体" w:hAnsi="宋体" w:eastAsia="宋体" w:cs="宋体"/>
          <w:color w:val="auto"/>
          <w:sz w:val="43"/>
          <w:szCs w:val="43"/>
        </w:rPr>
      </w:pPr>
      <w:r>
        <w:rPr>
          <w:rFonts w:ascii="宋体" w:hAnsi="宋体" w:eastAsia="宋体" w:cs="宋体"/>
          <w:color w:val="auto"/>
          <w:spacing w:val="7"/>
          <w:sz w:val="43"/>
          <w:szCs w:val="43"/>
        </w:rPr>
        <w:t>法定代表人证明书</w:t>
      </w:r>
    </w:p>
    <w:p w14:paraId="7E8088F2">
      <w:pPr>
        <w:spacing w:line="310" w:lineRule="auto"/>
        <w:rPr>
          <w:rFonts w:ascii="Arial"/>
          <w:color w:val="auto"/>
          <w:sz w:val="21"/>
        </w:rPr>
      </w:pPr>
    </w:p>
    <w:p w14:paraId="275E43FF">
      <w:pPr>
        <w:spacing w:line="311" w:lineRule="auto"/>
        <w:rPr>
          <w:rFonts w:ascii="Arial"/>
          <w:color w:val="auto"/>
          <w:sz w:val="21"/>
        </w:rPr>
      </w:pPr>
    </w:p>
    <w:p w14:paraId="6AAC1F87">
      <w:pPr>
        <w:spacing w:before="78" w:line="219" w:lineRule="auto"/>
        <w:ind w:left="540"/>
        <w:rPr>
          <w:rFonts w:ascii="宋体" w:hAnsi="宋体" w:eastAsia="宋体" w:cs="宋体"/>
          <w:color w:val="auto"/>
          <w:sz w:val="24"/>
          <w:szCs w:val="24"/>
        </w:rPr>
      </w:pPr>
      <w:r>
        <w:rPr>
          <w:rFonts w:ascii="宋体" w:hAnsi="宋体" w:eastAsia="宋体" w:cs="宋体"/>
          <w:color w:val="auto"/>
          <w:spacing w:val="-2"/>
          <w:sz w:val="24"/>
          <w:szCs w:val="24"/>
        </w:rPr>
        <w:t>供应商名称：</w:t>
      </w:r>
      <w:r>
        <w:rPr>
          <w:rFonts w:ascii="宋体" w:hAnsi="宋体" w:eastAsia="宋体" w:cs="宋体"/>
          <w:color w:val="auto"/>
          <w:sz w:val="24"/>
          <w:szCs w:val="24"/>
          <w:u w:val="single" w:color="auto"/>
        </w:rPr>
        <w:t xml:space="preserve">                                                        </w:t>
      </w:r>
    </w:p>
    <w:p w14:paraId="07D6483B">
      <w:pPr>
        <w:spacing w:before="183" w:line="229" w:lineRule="auto"/>
        <w:ind w:left="540"/>
        <w:rPr>
          <w:rFonts w:ascii="宋体" w:hAnsi="宋体" w:eastAsia="宋体" w:cs="宋体"/>
          <w:color w:val="auto"/>
          <w:sz w:val="24"/>
          <w:szCs w:val="24"/>
        </w:rPr>
      </w:pPr>
      <w:r>
        <w:rPr>
          <w:rFonts w:ascii="宋体" w:hAnsi="宋体" w:eastAsia="宋体" w:cs="宋体"/>
          <w:color w:val="auto"/>
          <w:spacing w:val="-17"/>
          <w:sz w:val="24"/>
          <w:szCs w:val="24"/>
        </w:rPr>
        <w:t>地</w:t>
      </w:r>
      <w:r>
        <w:rPr>
          <w:rFonts w:ascii="宋体" w:hAnsi="宋体" w:eastAsia="宋体" w:cs="宋体"/>
          <w:color w:val="auto"/>
          <w:spacing w:val="2"/>
          <w:sz w:val="24"/>
          <w:szCs w:val="24"/>
        </w:rPr>
        <w:t xml:space="preserve">    </w:t>
      </w:r>
      <w:r>
        <w:rPr>
          <w:rFonts w:ascii="宋体" w:hAnsi="宋体" w:eastAsia="宋体" w:cs="宋体"/>
          <w:color w:val="auto"/>
          <w:spacing w:val="-17"/>
          <w:sz w:val="24"/>
          <w:szCs w:val="24"/>
        </w:rPr>
        <w:t>址</w:t>
      </w:r>
      <w:r>
        <w:rPr>
          <w:rFonts w:ascii="宋体" w:hAnsi="宋体" w:eastAsia="宋体" w:cs="宋体"/>
          <w:color w:val="auto"/>
          <w:spacing w:val="-88"/>
          <w:sz w:val="24"/>
          <w:szCs w:val="24"/>
        </w:rPr>
        <w:t xml:space="preserve"> </w:t>
      </w:r>
      <w:r>
        <w:rPr>
          <w:rFonts w:ascii="宋体" w:hAnsi="宋体" w:eastAsia="宋体" w:cs="宋体"/>
          <w:color w:val="auto"/>
          <w:spacing w:val="-17"/>
          <w:sz w:val="24"/>
          <w:szCs w:val="24"/>
        </w:rPr>
        <w:t>：</w:t>
      </w:r>
      <w:r>
        <w:rPr>
          <w:rFonts w:ascii="宋体" w:hAnsi="宋体" w:eastAsia="宋体" w:cs="宋体"/>
          <w:color w:val="auto"/>
          <w:sz w:val="24"/>
          <w:szCs w:val="24"/>
          <w:u w:val="single" w:color="auto"/>
        </w:rPr>
        <w:t xml:space="preserve">                                                        </w:t>
      </w:r>
    </w:p>
    <w:p w14:paraId="25DFF0E5">
      <w:pPr>
        <w:spacing w:before="171" w:line="219" w:lineRule="auto"/>
        <w:ind w:left="540"/>
        <w:rPr>
          <w:rFonts w:ascii="宋体" w:hAnsi="宋体" w:eastAsia="宋体" w:cs="宋体"/>
          <w:color w:val="auto"/>
          <w:sz w:val="24"/>
          <w:szCs w:val="24"/>
        </w:rPr>
      </w:pPr>
      <w:r>
        <w:rPr>
          <w:rFonts w:ascii="宋体" w:hAnsi="宋体" w:eastAsia="宋体" w:cs="宋体"/>
          <w:color w:val="auto"/>
          <w:spacing w:val="-10"/>
          <w:sz w:val="24"/>
          <w:szCs w:val="24"/>
        </w:rPr>
        <w:t>姓</w:t>
      </w:r>
      <w:r>
        <w:rPr>
          <w:rFonts w:ascii="宋体" w:hAnsi="宋体" w:eastAsia="宋体" w:cs="宋体"/>
          <w:color w:val="auto"/>
          <w:spacing w:val="3"/>
          <w:sz w:val="24"/>
          <w:szCs w:val="24"/>
        </w:rPr>
        <w:t xml:space="preserve">    </w:t>
      </w:r>
      <w:r>
        <w:rPr>
          <w:rFonts w:ascii="宋体" w:hAnsi="宋体" w:eastAsia="宋体" w:cs="宋体"/>
          <w:color w:val="auto"/>
          <w:spacing w:val="-10"/>
          <w:sz w:val="24"/>
          <w:szCs w:val="24"/>
        </w:rPr>
        <w:t>名</w:t>
      </w:r>
      <w:r>
        <w:rPr>
          <w:rFonts w:ascii="宋体" w:hAnsi="宋体" w:eastAsia="宋体" w:cs="宋体"/>
          <w:color w:val="auto"/>
          <w:spacing w:val="-87"/>
          <w:sz w:val="24"/>
          <w:szCs w:val="24"/>
        </w:rPr>
        <w:t xml:space="preserve"> </w:t>
      </w:r>
      <w:r>
        <w:rPr>
          <w:rFonts w:ascii="宋体" w:hAnsi="宋体" w:eastAsia="宋体" w:cs="宋体"/>
          <w:color w:val="auto"/>
          <w:spacing w:val="-10"/>
          <w:sz w:val="24"/>
          <w:szCs w:val="24"/>
        </w:rPr>
        <w:t>：</w:t>
      </w:r>
      <w:r>
        <w:rPr>
          <w:rFonts w:ascii="宋体" w:hAnsi="宋体" w:eastAsia="宋体" w:cs="宋体"/>
          <w:color w:val="auto"/>
          <w:spacing w:val="-10"/>
          <w:sz w:val="24"/>
          <w:szCs w:val="24"/>
          <w:u w:val="single" w:color="auto"/>
        </w:rPr>
        <w:t xml:space="preserve">                 </w:t>
      </w:r>
      <w:r>
        <w:rPr>
          <w:rFonts w:ascii="宋体" w:hAnsi="宋体" w:eastAsia="宋体" w:cs="宋体"/>
          <w:color w:val="auto"/>
          <w:spacing w:val="-108"/>
          <w:sz w:val="24"/>
          <w:szCs w:val="24"/>
        </w:rPr>
        <w:t xml:space="preserve"> </w:t>
      </w:r>
      <w:r>
        <w:rPr>
          <w:rFonts w:ascii="宋体" w:hAnsi="宋体" w:eastAsia="宋体" w:cs="宋体"/>
          <w:color w:val="auto"/>
          <w:spacing w:val="-10"/>
          <w:sz w:val="24"/>
          <w:szCs w:val="24"/>
        </w:rPr>
        <w:t>性</w:t>
      </w:r>
      <w:r>
        <w:rPr>
          <w:rFonts w:ascii="宋体" w:hAnsi="宋体" w:eastAsia="宋体" w:cs="宋体"/>
          <w:color w:val="auto"/>
          <w:spacing w:val="2"/>
          <w:sz w:val="24"/>
          <w:szCs w:val="24"/>
        </w:rPr>
        <w:t xml:space="preserve">     </w:t>
      </w:r>
      <w:r>
        <w:rPr>
          <w:rFonts w:ascii="宋体" w:hAnsi="宋体" w:eastAsia="宋体" w:cs="宋体"/>
          <w:color w:val="auto"/>
          <w:spacing w:val="-10"/>
          <w:sz w:val="24"/>
          <w:szCs w:val="24"/>
        </w:rPr>
        <w:t>别</w:t>
      </w:r>
      <w:r>
        <w:rPr>
          <w:rFonts w:ascii="宋体" w:hAnsi="宋体" w:eastAsia="宋体" w:cs="宋体"/>
          <w:color w:val="auto"/>
          <w:spacing w:val="-88"/>
          <w:sz w:val="24"/>
          <w:szCs w:val="24"/>
        </w:rPr>
        <w:t xml:space="preserve"> </w:t>
      </w:r>
      <w:r>
        <w:rPr>
          <w:rFonts w:ascii="宋体" w:hAnsi="宋体" w:eastAsia="宋体" w:cs="宋体"/>
          <w:color w:val="auto"/>
          <w:spacing w:val="-10"/>
          <w:sz w:val="24"/>
          <w:szCs w:val="24"/>
        </w:rPr>
        <w:t>：</w:t>
      </w:r>
      <w:r>
        <w:rPr>
          <w:rFonts w:ascii="宋体" w:hAnsi="宋体" w:eastAsia="宋体" w:cs="宋体"/>
          <w:color w:val="auto"/>
          <w:sz w:val="24"/>
          <w:szCs w:val="24"/>
          <w:u w:val="single" w:color="auto"/>
        </w:rPr>
        <w:t xml:space="preserve">                </w:t>
      </w:r>
    </w:p>
    <w:p w14:paraId="5AB4C74F">
      <w:pPr>
        <w:spacing w:before="183" w:line="219" w:lineRule="auto"/>
        <w:ind w:left="540"/>
        <w:rPr>
          <w:rFonts w:ascii="宋体" w:hAnsi="宋体" w:eastAsia="宋体" w:cs="宋体"/>
          <w:color w:val="auto"/>
          <w:sz w:val="24"/>
          <w:szCs w:val="24"/>
        </w:rPr>
      </w:pPr>
      <w:r>
        <w:rPr>
          <w:rFonts w:ascii="宋体" w:hAnsi="宋体" w:eastAsia="宋体" w:cs="宋体"/>
          <w:color w:val="auto"/>
          <w:spacing w:val="-10"/>
          <w:sz w:val="24"/>
          <w:szCs w:val="24"/>
        </w:rPr>
        <w:t>年</w:t>
      </w:r>
      <w:r>
        <w:rPr>
          <w:rFonts w:ascii="宋体" w:hAnsi="宋体" w:eastAsia="宋体" w:cs="宋体"/>
          <w:color w:val="auto"/>
          <w:spacing w:val="4"/>
          <w:sz w:val="24"/>
          <w:szCs w:val="24"/>
        </w:rPr>
        <w:t xml:space="preserve">    </w:t>
      </w:r>
      <w:r>
        <w:rPr>
          <w:rFonts w:ascii="宋体" w:hAnsi="宋体" w:eastAsia="宋体" w:cs="宋体"/>
          <w:color w:val="auto"/>
          <w:spacing w:val="-10"/>
          <w:sz w:val="24"/>
          <w:szCs w:val="24"/>
        </w:rPr>
        <w:t>龄</w:t>
      </w:r>
      <w:r>
        <w:rPr>
          <w:rFonts w:ascii="宋体" w:hAnsi="宋体" w:eastAsia="宋体" w:cs="宋体"/>
          <w:color w:val="auto"/>
          <w:spacing w:val="-89"/>
          <w:sz w:val="24"/>
          <w:szCs w:val="24"/>
        </w:rPr>
        <w:t xml:space="preserve"> </w:t>
      </w:r>
      <w:r>
        <w:rPr>
          <w:rFonts w:ascii="宋体" w:hAnsi="宋体" w:eastAsia="宋体" w:cs="宋体"/>
          <w:color w:val="auto"/>
          <w:spacing w:val="-10"/>
          <w:sz w:val="24"/>
          <w:szCs w:val="24"/>
        </w:rPr>
        <w:t>：</w:t>
      </w:r>
      <w:r>
        <w:rPr>
          <w:rFonts w:ascii="宋体" w:hAnsi="宋体" w:eastAsia="宋体" w:cs="宋体"/>
          <w:color w:val="auto"/>
          <w:spacing w:val="-10"/>
          <w:sz w:val="24"/>
          <w:szCs w:val="24"/>
          <w:u w:val="single" w:color="auto"/>
        </w:rPr>
        <w:t xml:space="preserve">                 </w:t>
      </w:r>
      <w:r>
        <w:rPr>
          <w:rFonts w:ascii="宋体" w:hAnsi="宋体" w:eastAsia="宋体" w:cs="宋体"/>
          <w:color w:val="auto"/>
          <w:spacing w:val="-110"/>
          <w:sz w:val="24"/>
          <w:szCs w:val="24"/>
        </w:rPr>
        <w:t xml:space="preserve"> </w:t>
      </w:r>
      <w:r>
        <w:rPr>
          <w:rFonts w:ascii="宋体" w:hAnsi="宋体" w:eastAsia="宋体" w:cs="宋体"/>
          <w:color w:val="auto"/>
          <w:spacing w:val="-10"/>
          <w:sz w:val="24"/>
          <w:szCs w:val="24"/>
        </w:rPr>
        <w:t>职</w:t>
      </w:r>
      <w:r>
        <w:rPr>
          <w:rFonts w:ascii="宋体" w:hAnsi="宋体" w:eastAsia="宋体" w:cs="宋体"/>
          <w:color w:val="auto"/>
          <w:spacing w:val="2"/>
          <w:sz w:val="24"/>
          <w:szCs w:val="24"/>
        </w:rPr>
        <w:t xml:space="preserve">     </w:t>
      </w:r>
      <w:r>
        <w:rPr>
          <w:rFonts w:ascii="宋体" w:hAnsi="宋体" w:eastAsia="宋体" w:cs="宋体"/>
          <w:color w:val="auto"/>
          <w:spacing w:val="-10"/>
          <w:sz w:val="24"/>
          <w:szCs w:val="24"/>
        </w:rPr>
        <w:t>务</w:t>
      </w:r>
      <w:r>
        <w:rPr>
          <w:rFonts w:ascii="宋体" w:hAnsi="宋体" w:eastAsia="宋体" w:cs="宋体"/>
          <w:color w:val="auto"/>
          <w:spacing w:val="-89"/>
          <w:sz w:val="24"/>
          <w:szCs w:val="24"/>
        </w:rPr>
        <w:t xml:space="preserve"> </w:t>
      </w:r>
      <w:r>
        <w:rPr>
          <w:rFonts w:ascii="宋体" w:hAnsi="宋体" w:eastAsia="宋体" w:cs="宋体"/>
          <w:color w:val="auto"/>
          <w:spacing w:val="-10"/>
          <w:sz w:val="24"/>
          <w:szCs w:val="24"/>
        </w:rPr>
        <w:t>：</w:t>
      </w:r>
      <w:r>
        <w:rPr>
          <w:rFonts w:ascii="宋体" w:hAnsi="宋体" w:eastAsia="宋体" w:cs="宋体"/>
          <w:color w:val="auto"/>
          <w:sz w:val="24"/>
          <w:szCs w:val="24"/>
          <w:u w:val="single" w:color="auto"/>
        </w:rPr>
        <w:t xml:space="preserve">                </w:t>
      </w:r>
    </w:p>
    <w:p w14:paraId="1DC8DC43">
      <w:pPr>
        <w:spacing w:before="183" w:line="219" w:lineRule="auto"/>
        <w:ind w:left="546"/>
        <w:rPr>
          <w:rFonts w:ascii="宋体" w:hAnsi="宋体" w:eastAsia="宋体" w:cs="宋体"/>
          <w:color w:val="auto"/>
          <w:sz w:val="24"/>
          <w:szCs w:val="24"/>
        </w:rPr>
      </w:pPr>
      <w:r>
        <w:rPr>
          <w:rFonts w:ascii="宋体" w:hAnsi="宋体" w:eastAsia="宋体" w:cs="宋体"/>
          <w:color w:val="auto"/>
          <w:spacing w:val="-3"/>
          <w:sz w:val="24"/>
          <w:szCs w:val="24"/>
        </w:rPr>
        <w:t>身份证号码：</w:t>
      </w:r>
      <w:r>
        <w:rPr>
          <w:rFonts w:ascii="宋体" w:hAnsi="宋体" w:eastAsia="宋体" w:cs="宋体"/>
          <w:color w:val="auto"/>
          <w:sz w:val="24"/>
          <w:szCs w:val="24"/>
          <w:u w:val="single" w:color="auto"/>
        </w:rPr>
        <w:t xml:space="preserve">                                        </w:t>
      </w:r>
    </w:p>
    <w:p w14:paraId="42404349">
      <w:pPr>
        <w:spacing w:before="182" w:line="219" w:lineRule="auto"/>
        <w:ind w:left="484"/>
        <w:rPr>
          <w:rFonts w:ascii="宋体" w:hAnsi="宋体" w:eastAsia="宋体" w:cs="宋体"/>
          <w:color w:val="auto"/>
          <w:sz w:val="24"/>
          <w:szCs w:val="24"/>
        </w:rPr>
      </w:pPr>
      <w:r>
        <w:rPr>
          <w:rFonts w:ascii="宋体" w:hAnsi="宋体" w:eastAsia="宋体" w:cs="宋体"/>
          <w:color w:val="auto"/>
          <w:spacing w:val="-1"/>
          <w:sz w:val="24"/>
          <w:szCs w:val="24"/>
        </w:rPr>
        <w:t>系</w:t>
      </w:r>
      <w:r>
        <w:rPr>
          <w:rFonts w:ascii="宋体" w:hAnsi="宋体" w:eastAsia="宋体" w:cs="宋体"/>
          <w:color w:val="auto"/>
          <w:spacing w:val="-1"/>
          <w:sz w:val="24"/>
          <w:szCs w:val="24"/>
          <w:u w:val="single" w:color="auto"/>
        </w:rPr>
        <w:t>（供应商名称）</w:t>
      </w:r>
      <w:r>
        <w:rPr>
          <w:rFonts w:ascii="宋体" w:hAnsi="宋体" w:eastAsia="宋体" w:cs="宋体"/>
          <w:color w:val="auto"/>
          <w:spacing w:val="-1"/>
          <w:sz w:val="24"/>
          <w:szCs w:val="24"/>
        </w:rPr>
        <w:t>的法定代表人。</w:t>
      </w:r>
    </w:p>
    <w:p w14:paraId="620A2FE2">
      <w:pPr>
        <w:spacing w:before="185" w:line="219" w:lineRule="auto"/>
        <w:ind w:left="540"/>
        <w:rPr>
          <w:rFonts w:ascii="宋体" w:hAnsi="宋体" w:eastAsia="宋体" w:cs="宋体"/>
          <w:color w:val="auto"/>
          <w:sz w:val="24"/>
          <w:szCs w:val="24"/>
        </w:rPr>
      </w:pPr>
      <w:r>
        <w:rPr>
          <w:rFonts w:ascii="宋体" w:hAnsi="宋体" w:eastAsia="宋体" w:cs="宋体"/>
          <w:color w:val="auto"/>
          <w:spacing w:val="-2"/>
          <w:sz w:val="24"/>
          <w:szCs w:val="24"/>
        </w:rPr>
        <w:t>特此证明。</w:t>
      </w:r>
    </w:p>
    <w:p w14:paraId="1D267067">
      <w:pPr>
        <w:spacing w:line="249" w:lineRule="auto"/>
        <w:rPr>
          <w:rFonts w:ascii="Arial"/>
          <w:color w:val="auto"/>
          <w:sz w:val="21"/>
        </w:rPr>
      </w:pPr>
    </w:p>
    <w:p w14:paraId="19F1F989">
      <w:pPr>
        <w:spacing w:line="250" w:lineRule="auto"/>
        <w:rPr>
          <w:rFonts w:ascii="Arial"/>
          <w:color w:val="auto"/>
          <w:sz w:val="21"/>
        </w:rPr>
      </w:pPr>
    </w:p>
    <w:p w14:paraId="133CEEA9">
      <w:pPr>
        <w:spacing w:line="250" w:lineRule="auto"/>
        <w:rPr>
          <w:rFonts w:ascii="Arial"/>
          <w:color w:val="auto"/>
          <w:sz w:val="21"/>
        </w:rPr>
      </w:pPr>
    </w:p>
    <w:p w14:paraId="70462D3E">
      <w:pPr>
        <w:spacing w:line="250" w:lineRule="auto"/>
        <w:rPr>
          <w:rFonts w:ascii="Arial"/>
          <w:color w:val="auto"/>
          <w:sz w:val="21"/>
        </w:rPr>
      </w:pPr>
    </w:p>
    <w:p w14:paraId="7F59B0B0">
      <w:pPr>
        <w:spacing w:line="250" w:lineRule="auto"/>
        <w:rPr>
          <w:rFonts w:ascii="Arial"/>
          <w:color w:val="auto"/>
          <w:sz w:val="21"/>
        </w:rPr>
      </w:pPr>
    </w:p>
    <w:p w14:paraId="7C046B65">
      <w:pPr>
        <w:spacing w:line="250" w:lineRule="auto"/>
        <w:rPr>
          <w:rFonts w:ascii="Arial"/>
          <w:color w:val="auto"/>
          <w:sz w:val="21"/>
        </w:rPr>
      </w:pPr>
    </w:p>
    <w:p w14:paraId="7DAF8BD2">
      <w:pPr>
        <w:spacing w:before="78" w:line="219" w:lineRule="auto"/>
        <w:ind w:left="558"/>
        <w:rPr>
          <w:rFonts w:ascii="宋体" w:hAnsi="宋体" w:eastAsia="宋体" w:cs="宋体"/>
          <w:color w:val="auto"/>
          <w:sz w:val="24"/>
          <w:szCs w:val="24"/>
        </w:rPr>
      </w:pPr>
      <w:r>
        <w:rPr>
          <w:rFonts w:ascii="宋体" w:hAnsi="宋体" w:eastAsia="宋体" w:cs="宋体"/>
          <w:color w:val="auto"/>
          <w:spacing w:val="-2"/>
          <w:sz w:val="24"/>
          <w:szCs w:val="24"/>
        </w:rPr>
        <w:t>附件：法定代表人有效身份证正反面复印件</w:t>
      </w:r>
    </w:p>
    <w:p w14:paraId="0F69B6A1">
      <w:pPr>
        <w:spacing w:line="284" w:lineRule="auto"/>
        <w:rPr>
          <w:rFonts w:ascii="Arial"/>
          <w:color w:val="auto"/>
          <w:sz w:val="21"/>
        </w:rPr>
      </w:pPr>
    </w:p>
    <w:p w14:paraId="5B24D705">
      <w:pPr>
        <w:spacing w:line="285" w:lineRule="auto"/>
        <w:rPr>
          <w:rFonts w:ascii="Arial"/>
          <w:color w:val="auto"/>
          <w:sz w:val="21"/>
        </w:rPr>
      </w:pPr>
    </w:p>
    <w:p w14:paraId="03658941">
      <w:pPr>
        <w:spacing w:before="79" w:line="219" w:lineRule="auto"/>
        <w:jc w:val="right"/>
        <w:rPr>
          <w:rFonts w:ascii="宋体" w:hAnsi="宋体" w:eastAsia="宋体" w:cs="宋体"/>
          <w:color w:val="auto"/>
          <w:sz w:val="24"/>
          <w:szCs w:val="24"/>
        </w:rPr>
      </w:pPr>
      <w:r>
        <w:rPr>
          <w:rFonts w:ascii="宋体" w:hAnsi="宋体" w:eastAsia="宋体" w:cs="宋体"/>
          <w:color w:val="auto"/>
          <w:spacing w:val="-2"/>
          <w:sz w:val="24"/>
          <w:szCs w:val="24"/>
        </w:rPr>
        <w:t>供应商（电子签章</w:t>
      </w:r>
      <w:r>
        <w:rPr>
          <w:rFonts w:ascii="宋体" w:hAnsi="宋体" w:eastAsia="宋体" w:cs="宋体"/>
          <w:color w:val="auto"/>
          <w:spacing w:val="-28"/>
          <w:sz w:val="24"/>
          <w:szCs w:val="24"/>
        </w:rPr>
        <w:t>）：</w:t>
      </w:r>
    </w:p>
    <w:p w14:paraId="6D07B612">
      <w:pPr>
        <w:tabs>
          <w:tab w:val="left" w:pos="4670"/>
        </w:tabs>
        <w:spacing w:before="184" w:line="219" w:lineRule="auto"/>
        <w:ind w:left="4070"/>
        <w:rPr>
          <w:rFonts w:ascii="宋体" w:hAnsi="宋体" w:eastAsia="宋体" w:cs="宋体"/>
          <w:color w:val="auto"/>
          <w:sz w:val="24"/>
          <w:szCs w:val="24"/>
        </w:rPr>
      </w:pPr>
      <w:r>
        <w:rPr>
          <w:rFonts w:ascii="宋体" w:hAnsi="宋体" w:eastAsia="宋体" w:cs="宋体"/>
          <w:color w:val="auto"/>
          <w:sz w:val="24"/>
          <w:szCs w:val="24"/>
          <w:u w:val="single" w:color="auto"/>
        </w:rPr>
        <w:tab/>
      </w:r>
      <w:r>
        <w:rPr>
          <w:rFonts w:ascii="宋体" w:hAnsi="宋体" w:eastAsia="宋体" w:cs="宋体"/>
          <w:color w:val="auto"/>
          <w:spacing w:val="-109"/>
          <w:sz w:val="24"/>
          <w:szCs w:val="24"/>
        </w:rPr>
        <w:t xml:space="preserve"> </w:t>
      </w:r>
      <w:r>
        <w:rPr>
          <w:rFonts w:ascii="宋体" w:hAnsi="宋体" w:eastAsia="宋体" w:cs="宋体"/>
          <w:color w:val="auto"/>
          <w:spacing w:val="-9"/>
          <w:sz w:val="24"/>
          <w:szCs w:val="24"/>
        </w:rPr>
        <w:t>年</w:t>
      </w:r>
      <w:r>
        <w:rPr>
          <w:rFonts w:ascii="宋体" w:hAnsi="宋体" w:eastAsia="宋体" w:cs="宋体"/>
          <w:color w:val="auto"/>
          <w:sz w:val="24"/>
          <w:szCs w:val="24"/>
          <w:u w:val="single" w:color="auto"/>
        </w:rPr>
        <w:t xml:space="preserve">     </w:t>
      </w:r>
      <w:r>
        <w:rPr>
          <w:rFonts w:ascii="宋体" w:hAnsi="宋体" w:eastAsia="宋体" w:cs="宋体"/>
          <w:color w:val="auto"/>
          <w:spacing w:val="-105"/>
          <w:sz w:val="24"/>
          <w:szCs w:val="24"/>
        </w:rPr>
        <w:t xml:space="preserve"> </w:t>
      </w:r>
      <w:r>
        <w:rPr>
          <w:rFonts w:ascii="宋体" w:hAnsi="宋体" w:eastAsia="宋体" w:cs="宋体"/>
          <w:color w:val="auto"/>
          <w:spacing w:val="-9"/>
          <w:sz w:val="24"/>
          <w:szCs w:val="24"/>
        </w:rPr>
        <w:t>月</w:t>
      </w:r>
      <w:r>
        <w:rPr>
          <w:rFonts w:ascii="宋体" w:hAnsi="宋体" w:eastAsia="宋体" w:cs="宋体"/>
          <w:color w:val="auto"/>
          <w:sz w:val="24"/>
          <w:szCs w:val="24"/>
          <w:u w:val="single" w:color="auto"/>
        </w:rPr>
        <w:t xml:space="preserve">     </w:t>
      </w:r>
      <w:r>
        <w:rPr>
          <w:rFonts w:ascii="宋体" w:hAnsi="宋体" w:eastAsia="宋体" w:cs="宋体"/>
          <w:color w:val="auto"/>
          <w:spacing w:val="-69"/>
          <w:sz w:val="24"/>
          <w:szCs w:val="24"/>
        </w:rPr>
        <w:t xml:space="preserve"> </w:t>
      </w:r>
      <w:r>
        <w:rPr>
          <w:rFonts w:ascii="宋体" w:hAnsi="宋体" w:eastAsia="宋体" w:cs="宋体"/>
          <w:color w:val="auto"/>
          <w:spacing w:val="-9"/>
          <w:sz w:val="24"/>
          <w:szCs w:val="24"/>
        </w:rPr>
        <w:t>日</w:t>
      </w:r>
    </w:p>
    <w:p w14:paraId="6C4B5C1A">
      <w:pPr>
        <w:spacing w:line="258" w:lineRule="auto"/>
        <w:rPr>
          <w:rFonts w:ascii="Arial"/>
          <w:color w:val="auto"/>
          <w:sz w:val="21"/>
        </w:rPr>
      </w:pPr>
    </w:p>
    <w:p w14:paraId="37AE7FC4">
      <w:pPr>
        <w:spacing w:line="258" w:lineRule="auto"/>
        <w:rPr>
          <w:rFonts w:ascii="Arial"/>
          <w:color w:val="auto"/>
          <w:sz w:val="21"/>
        </w:rPr>
      </w:pPr>
    </w:p>
    <w:p w14:paraId="59F7C83C">
      <w:pPr>
        <w:spacing w:line="258" w:lineRule="auto"/>
        <w:rPr>
          <w:rFonts w:ascii="Arial"/>
          <w:color w:val="auto"/>
          <w:sz w:val="21"/>
        </w:rPr>
      </w:pPr>
    </w:p>
    <w:p w14:paraId="2125A439">
      <w:pPr>
        <w:spacing w:line="259" w:lineRule="auto"/>
        <w:rPr>
          <w:rFonts w:ascii="Arial"/>
          <w:color w:val="auto"/>
          <w:sz w:val="21"/>
        </w:rPr>
      </w:pPr>
    </w:p>
    <w:p w14:paraId="18E5E315">
      <w:pPr>
        <w:spacing w:before="79" w:line="219" w:lineRule="auto"/>
        <w:rPr>
          <w:rFonts w:ascii="宋体" w:hAnsi="宋体" w:eastAsia="宋体" w:cs="宋体"/>
          <w:color w:val="auto"/>
          <w:sz w:val="24"/>
          <w:szCs w:val="24"/>
        </w:rPr>
      </w:pPr>
      <w:r>
        <w:rPr>
          <w:rFonts w:ascii="宋体" w:hAnsi="宋体" w:eastAsia="宋体" w:cs="宋体"/>
          <w:color w:val="auto"/>
          <w:spacing w:val="-2"/>
          <w:sz w:val="24"/>
          <w:szCs w:val="24"/>
        </w:rPr>
        <w:t>注：</w:t>
      </w:r>
      <w:r>
        <w:rPr>
          <w:rFonts w:ascii="宋体" w:hAnsi="宋体" w:eastAsia="宋体" w:cs="宋体"/>
          <w:color w:val="auto"/>
          <w:spacing w:val="-72"/>
          <w:sz w:val="24"/>
          <w:szCs w:val="24"/>
        </w:rPr>
        <w:t xml:space="preserve"> </w:t>
      </w:r>
      <w:r>
        <w:rPr>
          <w:rFonts w:ascii="宋体" w:hAnsi="宋体" w:eastAsia="宋体" w:cs="宋体"/>
          <w:color w:val="auto"/>
          <w:spacing w:val="-2"/>
          <w:sz w:val="24"/>
          <w:szCs w:val="24"/>
        </w:rPr>
        <w:t>自然人竞标的无需提供，联合体竞标的只需牵</w:t>
      </w:r>
      <w:r>
        <w:rPr>
          <w:rFonts w:ascii="宋体" w:hAnsi="宋体" w:eastAsia="宋体" w:cs="宋体"/>
          <w:color w:val="auto"/>
          <w:spacing w:val="-3"/>
          <w:sz w:val="24"/>
          <w:szCs w:val="24"/>
        </w:rPr>
        <w:t>头人出具。</w:t>
      </w:r>
    </w:p>
    <w:p w14:paraId="4B6B6E5E">
      <w:pPr>
        <w:spacing w:line="219" w:lineRule="auto"/>
        <w:rPr>
          <w:rFonts w:ascii="宋体" w:hAnsi="宋体" w:eastAsia="宋体" w:cs="宋体"/>
          <w:color w:val="auto"/>
          <w:sz w:val="24"/>
          <w:szCs w:val="24"/>
        </w:rPr>
        <w:sectPr>
          <w:footerReference r:id="rId23" w:type="default"/>
          <w:pgSz w:w="11906" w:h="16839"/>
          <w:pgMar w:top="1196" w:right="1307" w:bottom="1362" w:left="1257" w:header="0" w:footer="1200" w:gutter="0"/>
          <w:pgNumType w:fmt="decimal"/>
          <w:cols w:space="720" w:num="1"/>
        </w:sectPr>
      </w:pPr>
    </w:p>
    <w:p w14:paraId="45830C2F">
      <w:pPr>
        <w:spacing w:before="88" w:line="222" w:lineRule="auto"/>
        <w:ind w:left="3611"/>
        <w:rPr>
          <w:rFonts w:ascii="宋体" w:hAnsi="宋体" w:eastAsia="宋体" w:cs="宋体"/>
          <w:color w:val="auto"/>
          <w:sz w:val="43"/>
          <w:szCs w:val="43"/>
        </w:rPr>
      </w:pPr>
      <w:r>
        <w:rPr>
          <w:rFonts w:ascii="宋体" w:hAnsi="宋体" w:eastAsia="宋体" w:cs="宋体"/>
          <w:color w:val="auto"/>
          <w:spacing w:val="6"/>
          <w:sz w:val="43"/>
          <w:szCs w:val="43"/>
        </w:rPr>
        <w:t>授权委托书</w:t>
      </w:r>
    </w:p>
    <w:p w14:paraId="4A1DA8A8">
      <w:pPr>
        <w:spacing w:before="100" w:line="225" w:lineRule="auto"/>
        <w:ind w:left="3122"/>
        <w:rPr>
          <w:rFonts w:ascii="宋体" w:hAnsi="宋体" w:eastAsia="宋体" w:cs="宋体"/>
          <w:color w:val="auto"/>
          <w:sz w:val="31"/>
          <w:szCs w:val="31"/>
        </w:rPr>
      </w:pPr>
      <w:r>
        <w:rPr>
          <w:rFonts w:ascii="宋体" w:hAnsi="宋体" w:eastAsia="宋体" w:cs="宋体"/>
          <w:color w:val="auto"/>
          <w:spacing w:val="6"/>
          <w:sz w:val="31"/>
          <w:szCs w:val="31"/>
        </w:rPr>
        <w:t>（非联合体竞标格式）</w:t>
      </w:r>
    </w:p>
    <w:p w14:paraId="611E4266">
      <w:pPr>
        <w:spacing w:before="144" w:line="225" w:lineRule="auto"/>
        <w:ind w:left="3602"/>
        <w:rPr>
          <w:rFonts w:ascii="宋体" w:hAnsi="宋体" w:eastAsia="宋体" w:cs="宋体"/>
          <w:color w:val="auto"/>
          <w:sz w:val="31"/>
          <w:szCs w:val="31"/>
        </w:rPr>
      </w:pPr>
      <w:r>
        <w:rPr>
          <w:rFonts w:ascii="宋体" w:hAnsi="宋体" w:eastAsia="宋体" w:cs="宋体"/>
          <w:color w:val="auto"/>
          <w:spacing w:val="4"/>
          <w:sz w:val="31"/>
          <w:szCs w:val="31"/>
        </w:rPr>
        <w:t>（如有委托时）</w:t>
      </w:r>
    </w:p>
    <w:p w14:paraId="15100197">
      <w:pPr>
        <w:spacing w:line="275" w:lineRule="auto"/>
        <w:rPr>
          <w:rFonts w:ascii="Arial"/>
          <w:color w:val="auto"/>
          <w:sz w:val="21"/>
        </w:rPr>
      </w:pPr>
    </w:p>
    <w:p w14:paraId="6116F781">
      <w:pPr>
        <w:spacing w:line="275" w:lineRule="auto"/>
        <w:rPr>
          <w:rFonts w:ascii="Arial"/>
          <w:color w:val="auto"/>
          <w:sz w:val="21"/>
        </w:rPr>
      </w:pPr>
    </w:p>
    <w:p w14:paraId="2C248108">
      <w:pPr>
        <w:spacing w:before="78" w:line="219" w:lineRule="auto"/>
        <w:rPr>
          <w:rFonts w:ascii="宋体" w:hAnsi="宋体" w:eastAsia="宋体" w:cs="宋体"/>
          <w:color w:val="auto"/>
          <w:sz w:val="24"/>
          <w:szCs w:val="24"/>
        </w:rPr>
      </w:pPr>
      <w:r>
        <w:rPr>
          <w:rFonts w:ascii="宋体" w:hAnsi="宋体" w:eastAsia="宋体" w:cs="宋体"/>
          <w:color w:val="auto"/>
          <w:spacing w:val="9"/>
          <w:sz w:val="24"/>
          <w:szCs w:val="24"/>
        </w:rPr>
        <w:t>致</w:t>
      </w:r>
      <w:r>
        <w:rPr>
          <w:rFonts w:ascii="宋体" w:hAnsi="宋体" w:eastAsia="宋体" w:cs="宋体"/>
          <w:color w:val="auto"/>
          <w:spacing w:val="-17"/>
          <w:sz w:val="24"/>
          <w:szCs w:val="24"/>
        </w:rPr>
        <w:t>：</w:t>
      </w:r>
      <w:r>
        <w:rPr>
          <w:rFonts w:ascii="宋体" w:hAnsi="宋体" w:eastAsia="宋体" w:cs="宋体"/>
          <w:color w:val="auto"/>
          <w:spacing w:val="-17"/>
          <w:sz w:val="24"/>
          <w:szCs w:val="24"/>
          <w:u w:val="single" w:color="auto"/>
        </w:rPr>
        <w:t>（</w:t>
      </w:r>
      <w:r>
        <w:rPr>
          <w:rFonts w:ascii="宋体" w:hAnsi="宋体" w:eastAsia="宋体" w:cs="宋体"/>
          <w:color w:val="auto"/>
          <w:spacing w:val="9"/>
          <w:sz w:val="24"/>
          <w:szCs w:val="24"/>
          <w:u w:val="single" w:color="auto"/>
        </w:rPr>
        <w:t>采购人名称</w:t>
      </w:r>
      <w:r>
        <w:rPr>
          <w:rFonts w:ascii="宋体" w:hAnsi="宋体" w:eastAsia="宋体" w:cs="宋体"/>
          <w:color w:val="auto"/>
          <w:spacing w:val="-17"/>
          <w:sz w:val="24"/>
          <w:szCs w:val="24"/>
          <w:u w:val="single" w:color="auto"/>
        </w:rPr>
        <w:t>）</w:t>
      </w:r>
      <w:r>
        <w:rPr>
          <w:rFonts w:ascii="宋体" w:hAnsi="宋体" w:eastAsia="宋体" w:cs="宋体"/>
          <w:color w:val="auto"/>
          <w:spacing w:val="-17"/>
          <w:sz w:val="24"/>
          <w:szCs w:val="24"/>
        </w:rPr>
        <w:t>：</w:t>
      </w:r>
    </w:p>
    <w:p w14:paraId="47948202">
      <w:pPr>
        <w:spacing w:before="184" w:line="324" w:lineRule="auto"/>
        <w:ind w:left="2" w:firstLine="480"/>
        <w:jc w:val="both"/>
        <w:rPr>
          <w:rFonts w:ascii="宋体" w:hAnsi="宋体" w:eastAsia="宋体" w:cs="宋体"/>
          <w:color w:val="auto"/>
          <w:sz w:val="24"/>
          <w:szCs w:val="24"/>
        </w:rPr>
      </w:pPr>
      <w:r>
        <w:rPr>
          <w:rFonts w:ascii="宋体" w:hAnsi="宋体" w:eastAsia="宋体" w:cs="宋体"/>
          <w:color w:val="auto"/>
          <w:spacing w:val="-2"/>
          <w:sz w:val="24"/>
          <w:szCs w:val="24"/>
        </w:rPr>
        <w:t>我</w:t>
      </w:r>
      <w:r>
        <w:rPr>
          <w:rFonts w:ascii="宋体" w:hAnsi="宋体" w:eastAsia="宋体" w:cs="宋体"/>
          <w:color w:val="auto"/>
          <w:spacing w:val="-2"/>
          <w:sz w:val="24"/>
          <w:szCs w:val="24"/>
          <w:u w:val="single" w:color="auto"/>
        </w:rPr>
        <w:t>（姓名）</w:t>
      </w:r>
      <w:r>
        <w:rPr>
          <w:rFonts w:ascii="宋体" w:hAnsi="宋体" w:eastAsia="宋体" w:cs="宋体"/>
          <w:color w:val="auto"/>
          <w:spacing w:val="112"/>
          <w:sz w:val="24"/>
          <w:szCs w:val="24"/>
          <w:u w:val="single" w:color="auto"/>
        </w:rPr>
        <w:t xml:space="preserve"> </w:t>
      </w:r>
      <w:r>
        <w:rPr>
          <w:rFonts w:ascii="宋体" w:hAnsi="宋体" w:eastAsia="宋体" w:cs="宋体"/>
          <w:color w:val="auto"/>
          <w:spacing w:val="-105"/>
          <w:sz w:val="24"/>
          <w:szCs w:val="24"/>
        </w:rPr>
        <w:t xml:space="preserve"> </w:t>
      </w:r>
      <w:r>
        <w:rPr>
          <w:rFonts w:ascii="宋体" w:hAnsi="宋体" w:eastAsia="宋体" w:cs="宋体"/>
          <w:color w:val="auto"/>
          <w:spacing w:val="-2"/>
          <w:sz w:val="24"/>
          <w:szCs w:val="24"/>
        </w:rPr>
        <w:t>系</w:t>
      </w:r>
      <w:r>
        <w:rPr>
          <w:rFonts w:ascii="宋体" w:hAnsi="宋体" w:eastAsia="宋体" w:cs="宋体"/>
          <w:color w:val="auto"/>
          <w:spacing w:val="113"/>
          <w:sz w:val="24"/>
          <w:szCs w:val="24"/>
          <w:u w:val="single" w:color="auto"/>
        </w:rPr>
        <w:t xml:space="preserve"> </w:t>
      </w:r>
      <w:r>
        <w:rPr>
          <w:rFonts w:ascii="宋体" w:hAnsi="宋体" w:eastAsia="宋体" w:cs="宋体"/>
          <w:color w:val="auto"/>
          <w:spacing w:val="-2"/>
          <w:sz w:val="24"/>
          <w:szCs w:val="24"/>
          <w:u w:val="single" w:color="auto"/>
        </w:rPr>
        <w:t>（供应商名称）</w:t>
      </w:r>
      <w:r>
        <w:rPr>
          <w:rFonts w:ascii="宋体" w:hAnsi="宋体" w:eastAsia="宋体" w:cs="宋体"/>
          <w:color w:val="auto"/>
          <w:spacing w:val="112"/>
          <w:sz w:val="24"/>
          <w:szCs w:val="24"/>
          <w:u w:val="single" w:color="auto"/>
        </w:rPr>
        <w:t xml:space="preserve"> </w:t>
      </w:r>
      <w:r>
        <w:rPr>
          <w:rFonts w:ascii="宋体" w:hAnsi="宋体" w:eastAsia="宋体" w:cs="宋体"/>
          <w:color w:val="auto"/>
          <w:spacing w:val="-90"/>
          <w:sz w:val="24"/>
          <w:szCs w:val="24"/>
        </w:rPr>
        <w:t xml:space="preserve"> </w:t>
      </w:r>
      <w:r>
        <w:rPr>
          <w:rFonts w:ascii="宋体" w:hAnsi="宋体" w:eastAsia="宋体" w:cs="宋体"/>
          <w:color w:val="auto"/>
          <w:spacing w:val="-2"/>
          <w:sz w:val="24"/>
          <w:szCs w:val="24"/>
        </w:rPr>
        <w:t xml:space="preserve">的 </w:t>
      </w:r>
      <w:r>
        <w:rPr>
          <w:rFonts w:hint="eastAsia" w:ascii="宋体" w:hAnsi="宋体" w:eastAsia="宋体" w:cs="宋体"/>
          <w:color w:val="auto"/>
          <w:spacing w:val="-2"/>
          <w:sz w:val="24"/>
          <w:szCs w:val="24"/>
          <w:lang w:eastAsia="zh-CN"/>
        </w:rPr>
        <w:t>（</w:t>
      </w:r>
      <w:r>
        <w:rPr>
          <w:rFonts w:ascii="宋体" w:hAnsi="宋体" w:eastAsia="宋体" w:cs="宋体"/>
          <w:color w:val="auto"/>
          <w:spacing w:val="-86"/>
          <w:sz w:val="24"/>
          <w:szCs w:val="24"/>
        </w:rPr>
        <w:t xml:space="preserve"> </w:t>
      </w:r>
      <w:r>
        <w:rPr>
          <w:rFonts w:ascii="微软雅黑" w:hAnsi="微软雅黑" w:eastAsia="微软雅黑" w:cs="微软雅黑"/>
          <w:color w:val="auto"/>
          <w:spacing w:val="-50"/>
          <w:sz w:val="24"/>
          <w:szCs w:val="24"/>
          <w:u w:val="single" w:color="auto"/>
        </w:rPr>
        <w:t xml:space="preserve"> </w:t>
      </w:r>
      <w:r>
        <w:rPr>
          <w:rFonts w:ascii="微软雅黑" w:hAnsi="微软雅黑" w:eastAsia="微软雅黑" w:cs="微软雅黑"/>
          <w:color w:val="auto"/>
          <w:spacing w:val="-2"/>
          <w:sz w:val="24"/>
          <w:szCs w:val="24"/>
          <w:u w:val="single" w:color="auto"/>
        </w:rPr>
        <w:t>□</w:t>
      </w:r>
      <w:r>
        <w:rPr>
          <w:rFonts w:ascii="宋体" w:hAnsi="宋体" w:eastAsia="宋体" w:cs="宋体"/>
          <w:color w:val="auto"/>
          <w:spacing w:val="-2"/>
          <w:sz w:val="24"/>
          <w:szCs w:val="24"/>
          <w:u w:val="single" w:color="auto"/>
        </w:rPr>
        <w:t>法定代表人/□负责人/□自然人本人</w:t>
      </w:r>
      <w:r>
        <w:rPr>
          <w:rFonts w:ascii="宋体" w:hAnsi="宋体" w:eastAsia="宋体" w:cs="宋体"/>
          <w:color w:val="auto"/>
          <w:spacing w:val="-30"/>
          <w:sz w:val="24"/>
          <w:szCs w:val="24"/>
        </w:rPr>
        <w:t>），</w:t>
      </w:r>
      <w:r>
        <w:rPr>
          <w:rFonts w:ascii="宋体" w:hAnsi="宋体" w:eastAsia="宋体" w:cs="宋体"/>
          <w:color w:val="auto"/>
          <w:sz w:val="24"/>
          <w:szCs w:val="24"/>
        </w:rPr>
        <w:t>现授权</w:t>
      </w:r>
      <w:r>
        <w:rPr>
          <w:rFonts w:ascii="宋体" w:hAnsi="宋体" w:eastAsia="宋体" w:cs="宋体"/>
          <w:color w:val="auto"/>
          <w:sz w:val="24"/>
          <w:szCs w:val="24"/>
          <w:u w:val="single" w:color="auto"/>
        </w:rPr>
        <w:t xml:space="preserve"> （姓名） </w:t>
      </w:r>
      <w:r>
        <w:rPr>
          <w:rFonts w:ascii="宋体" w:hAnsi="宋体" w:eastAsia="宋体" w:cs="宋体"/>
          <w:color w:val="auto"/>
          <w:spacing w:val="-83"/>
          <w:sz w:val="24"/>
          <w:szCs w:val="24"/>
        </w:rPr>
        <w:t xml:space="preserve"> </w:t>
      </w:r>
      <w:r>
        <w:rPr>
          <w:rFonts w:ascii="宋体" w:hAnsi="宋体" w:eastAsia="宋体" w:cs="宋体"/>
          <w:color w:val="auto"/>
          <w:sz w:val="24"/>
          <w:szCs w:val="24"/>
        </w:rPr>
        <w:t>以我方的名义参加</w:t>
      </w:r>
      <w:r>
        <w:rPr>
          <w:rFonts w:ascii="宋体" w:hAnsi="宋体" w:eastAsia="宋体" w:cs="宋体"/>
          <w:color w:val="auto"/>
          <w:sz w:val="24"/>
          <w:szCs w:val="24"/>
          <w:u w:val="single" w:color="auto"/>
        </w:rPr>
        <w:t xml:space="preserve">              </w:t>
      </w:r>
      <w:r>
        <w:rPr>
          <w:rFonts w:ascii="宋体" w:hAnsi="宋体" w:eastAsia="宋体" w:cs="宋体"/>
          <w:color w:val="auto"/>
          <w:spacing w:val="-106"/>
          <w:sz w:val="24"/>
          <w:szCs w:val="24"/>
        </w:rPr>
        <w:t xml:space="preserve"> </w:t>
      </w:r>
      <w:r>
        <w:rPr>
          <w:rFonts w:ascii="宋体" w:hAnsi="宋体" w:eastAsia="宋体" w:cs="宋体"/>
          <w:color w:val="auto"/>
          <w:sz w:val="24"/>
          <w:szCs w:val="24"/>
        </w:rPr>
        <w:t>项目的</w:t>
      </w:r>
      <w:r>
        <w:rPr>
          <w:rFonts w:ascii="宋体" w:hAnsi="宋体" w:eastAsia="宋体" w:cs="宋体"/>
          <w:color w:val="auto"/>
          <w:spacing w:val="-1"/>
          <w:sz w:val="24"/>
          <w:szCs w:val="24"/>
        </w:rPr>
        <w:t>竞标活动，并代表我方全权办理针对上述项目的所有采购程序和环节的具体事务和签署相关文件。</w:t>
      </w:r>
    </w:p>
    <w:p w14:paraId="2C2328EB">
      <w:pPr>
        <w:spacing w:before="5" w:line="219" w:lineRule="auto"/>
        <w:ind w:left="482"/>
        <w:rPr>
          <w:rFonts w:ascii="宋体" w:hAnsi="宋体" w:eastAsia="宋体" w:cs="宋体"/>
          <w:color w:val="auto"/>
          <w:sz w:val="24"/>
          <w:szCs w:val="24"/>
        </w:rPr>
      </w:pPr>
      <w:r>
        <w:rPr>
          <w:rFonts w:ascii="宋体" w:hAnsi="宋体" w:eastAsia="宋体" w:cs="宋体"/>
          <w:color w:val="auto"/>
          <w:spacing w:val="-1"/>
          <w:sz w:val="24"/>
          <w:szCs w:val="24"/>
        </w:rPr>
        <w:t>我方对委托代理人的签字或者电子签名事项负全部责任。</w:t>
      </w:r>
    </w:p>
    <w:p w14:paraId="586FC269">
      <w:pPr>
        <w:spacing w:before="183" w:line="360" w:lineRule="auto"/>
        <w:ind w:right="59" w:firstLine="481"/>
        <w:rPr>
          <w:rFonts w:ascii="宋体" w:hAnsi="宋体" w:eastAsia="宋体" w:cs="宋体"/>
          <w:color w:val="auto"/>
          <w:sz w:val="24"/>
          <w:szCs w:val="24"/>
        </w:rPr>
      </w:pPr>
      <w:r>
        <w:rPr>
          <w:rFonts w:ascii="宋体" w:hAnsi="宋体" w:eastAsia="宋体" w:cs="宋体"/>
          <w:color w:val="auto"/>
          <w:spacing w:val="1"/>
          <w:sz w:val="24"/>
          <w:szCs w:val="24"/>
        </w:rPr>
        <w:t>本授权书自签署之日起生效，在撤销授权的书面通知以前，本授权书一直有效。委托</w:t>
      </w:r>
      <w:r>
        <w:rPr>
          <w:rFonts w:ascii="宋体" w:hAnsi="宋体" w:eastAsia="宋体" w:cs="宋体"/>
          <w:color w:val="auto"/>
          <w:sz w:val="24"/>
          <w:szCs w:val="24"/>
        </w:rPr>
        <w:t>代理人在授权书有效期内签署的所有文件不</w:t>
      </w:r>
      <w:r>
        <w:rPr>
          <w:rFonts w:ascii="宋体" w:hAnsi="宋体" w:eastAsia="宋体" w:cs="宋体"/>
          <w:color w:val="auto"/>
          <w:spacing w:val="-1"/>
          <w:sz w:val="24"/>
          <w:szCs w:val="24"/>
        </w:rPr>
        <w:t>因授权的撤销而失效。</w:t>
      </w:r>
    </w:p>
    <w:p w14:paraId="44D2EB7A">
      <w:pPr>
        <w:spacing w:before="1" w:line="219" w:lineRule="auto"/>
        <w:ind w:left="480"/>
        <w:rPr>
          <w:rFonts w:ascii="宋体" w:hAnsi="宋体" w:eastAsia="宋体" w:cs="宋体"/>
          <w:color w:val="auto"/>
          <w:sz w:val="24"/>
          <w:szCs w:val="24"/>
        </w:rPr>
      </w:pPr>
      <w:r>
        <w:rPr>
          <w:rFonts w:ascii="宋体" w:hAnsi="宋体" w:eastAsia="宋体" w:cs="宋体"/>
          <w:color w:val="auto"/>
          <w:spacing w:val="-1"/>
          <w:sz w:val="24"/>
          <w:szCs w:val="24"/>
        </w:rPr>
        <w:t>委托代理人无转委托权，特此委托。</w:t>
      </w:r>
    </w:p>
    <w:p w14:paraId="657B36DD">
      <w:pPr>
        <w:spacing w:before="182" w:line="219" w:lineRule="auto"/>
        <w:ind w:left="499"/>
        <w:rPr>
          <w:rFonts w:ascii="宋体" w:hAnsi="宋体" w:eastAsia="宋体" w:cs="宋体"/>
          <w:color w:val="auto"/>
          <w:sz w:val="24"/>
          <w:szCs w:val="24"/>
        </w:rPr>
      </w:pPr>
      <w:r>
        <w:rPr>
          <w:rFonts w:ascii="宋体" w:hAnsi="宋体" w:eastAsia="宋体" w:cs="宋体"/>
          <w:color w:val="auto"/>
          <w:spacing w:val="-1"/>
          <w:sz w:val="24"/>
          <w:szCs w:val="24"/>
        </w:rPr>
        <w:t>附：法定代表人身份证明书及委托代理人有效身份证正反面复印件</w:t>
      </w:r>
    </w:p>
    <w:p w14:paraId="6F14CDAD">
      <w:pPr>
        <w:spacing w:line="284" w:lineRule="auto"/>
        <w:rPr>
          <w:rFonts w:ascii="Arial"/>
          <w:color w:val="auto"/>
          <w:sz w:val="21"/>
        </w:rPr>
      </w:pPr>
    </w:p>
    <w:p w14:paraId="68B5DEB6">
      <w:pPr>
        <w:spacing w:line="285" w:lineRule="auto"/>
        <w:rPr>
          <w:rFonts w:ascii="Arial"/>
          <w:color w:val="auto"/>
          <w:sz w:val="21"/>
        </w:rPr>
      </w:pPr>
    </w:p>
    <w:p w14:paraId="1D6D9285">
      <w:pPr>
        <w:spacing w:before="79" w:line="219" w:lineRule="auto"/>
        <w:rPr>
          <w:rFonts w:ascii="宋体" w:hAnsi="宋体" w:eastAsia="宋体" w:cs="宋体"/>
          <w:color w:val="auto"/>
          <w:sz w:val="24"/>
          <w:szCs w:val="24"/>
        </w:rPr>
      </w:pPr>
      <w:r>
        <w:rPr>
          <w:rFonts w:ascii="宋体" w:hAnsi="宋体" w:eastAsia="宋体" w:cs="宋体"/>
          <w:color w:val="auto"/>
          <w:spacing w:val="-1"/>
          <w:sz w:val="24"/>
          <w:szCs w:val="24"/>
        </w:rPr>
        <w:t>委托代理人（签字或者电子签名</w:t>
      </w:r>
      <w:r>
        <w:rPr>
          <w:rFonts w:ascii="宋体" w:hAnsi="宋体" w:eastAsia="宋体" w:cs="宋体"/>
          <w:color w:val="auto"/>
          <w:spacing w:val="3"/>
          <w:sz w:val="24"/>
          <w:szCs w:val="24"/>
        </w:rPr>
        <w:t>）：</w:t>
      </w:r>
      <w:r>
        <w:rPr>
          <w:rFonts w:ascii="宋体" w:hAnsi="宋体" w:eastAsia="宋体" w:cs="宋体"/>
          <w:color w:val="auto"/>
          <w:spacing w:val="2"/>
          <w:sz w:val="24"/>
          <w:szCs w:val="24"/>
        </w:rPr>
        <w:t xml:space="preserve">     </w:t>
      </w:r>
      <w:r>
        <w:rPr>
          <w:rFonts w:ascii="宋体" w:hAnsi="宋体" w:eastAsia="宋体" w:cs="宋体"/>
          <w:color w:val="auto"/>
          <w:spacing w:val="-1"/>
          <w:sz w:val="24"/>
          <w:szCs w:val="24"/>
        </w:rPr>
        <w:t>法定代表人（签字或者盖章或者电子签名</w:t>
      </w:r>
      <w:r>
        <w:rPr>
          <w:rFonts w:ascii="宋体" w:hAnsi="宋体" w:eastAsia="宋体" w:cs="宋体"/>
          <w:color w:val="auto"/>
          <w:spacing w:val="3"/>
          <w:sz w:val="24"/>
          <w:szCs w:val="24"/>
        </w:rPr>
        <w:t>）：</w:t>
      </w:r>
    </w:p>
    <w:p w14:paraId="3DFDA685">
      <w:pPr>
        <w:spacing w:before="184" w:line="219" w:lineRule="auto"/>
        <w:rPr>
          <w:rFonts w:ascii="宋体" w:hAnsi="宋体" w:eastAsia="宋体" w:cs="宋体"/>
          <w:color w:val="auto"/>
          <w:sz w:val="24"/>
          <w:szCs w:val="24"/>
        </w:rPr>
      </w:pPr>
      <w:r>
        <w:rPr>
          <w:rFonts w:ascii="宋体" w:hAnsi="宋体" w:eastAsia="宋体" w:cs="宋体"/>
          <w:color w:val="auto"/>
          <w:spacing w:val="-1"/>
          <w:sz w:val="24"/>
          <w:szCs w:val="24"/>
        </w:rPr>
        <w:t>委托代理人身份证号码：</w:t>
      </w:r>
    </w:p>
    <w:p w14:paraId="2F2CD543">
      <w:pPr>
        <w:spacing w:line="284" w:lineRule="auto"/>
        <w:rPr>
          <w:rFonts w:ascii="Arial"/>
          <w:color w:val="auto"/>
          <w:sz w:val="21"/>
        </w:rPr>
      </w:pPr>
    </w:p>
    <w:p w14:paraId="6161C33F">
      <w:pPr>
        <w:spacing w:line="284" w:lineRule="auto"/>
        <w:rPr>
          <w:rFonts w:ascii="Arial"/>
          <w:color w:val="auto"/>
          <w:sz w:val="21"/>
        </w:rPr>
      </w:pPr>
    </w:p>
    <w:p w14:paraId="1F916965">
      <w:pPr>
        <w:spacing w:before="79" w:line="219" w:lineRule="auto"/>
        <w:ind w:left="3000"/>
        <w:rPr>
          <w:rFonts w:ascii="宋体" w:hAnsi="宋体" w:eastAsia="宋体" w:cs="宋体"/>
          <w:color w:val="auto"/>
          <w:sz w:val="24"/>
          <w:szCs w:val="24"/>
        </w:rPr>
      </w:pPr>
      <w:r>
        <w:rPr>
          <w:rFonts w:ascii="宋体" w:hAnsi="宋体" w:eastAsia="宋体" w:cs="宋体"/>
          <w:color w:val="auto"/>
          <w:spacing w:val="-2"/>
          <w:sz w:val="24"/>
          <w:szCs w:val="24"/>
        </w:rPr>
        <w:t>供应商（电子签章</w:t>
      </w:r>
      <w:r>
        <w:rPr>
          <w:rFonts w:ascii="宋体" w:hAnsi="宋体" w:eastAsia="宋体" w:cs="宋体"/>
          <w:color w:val="auto"/>
          <w:spacing w:val="2"/>
          <w:sz w:val="24"/>
          <w:szCs w:val="24"/>
        </w:rPr>
        <w:t>）：</w:t>
      </w:r>
    </w:p>
    <w:p w14:paraId="6F297643">
      <w:pPr>
        <w:spacing w:before="184" w:line="219" w:lineRule="auto"/>
        <w:ind w:left="4921"/>
        <w:rPr>
          <w:rFonts w:ascii="宋体" w:hAnsi="宋体" w:eastAsia="宋体" w:cs="宋体"/>
          <w:color w:val="auto"/>
          <w:sz w:val="24"/>
          <w:szCs w:val="24"/>
        </w:rPr>
      </w:pPr>
      <w:r>
        <w:rPr>
          <w:rFonts w:ascii="宋体" w:hAnsi="宋体" w:eastAsia="宋体" w:cs="宋体"/>
          <w:color w:val="auto"/>
          <w:spacing w:val="-9"/>
          <w:sz w:val="24"/>
          <w:szCs w:val="24"/>
        </w:rPr>
        <w:t>年</w:t>
      </w:r>
      <w:r>
        <w:rPr>
          <w:rFonts w:ascii="宋体" w:hAnsi="宋体" w:eastAsia="宋体" w:cs="宋体"/>
          <w:color w:val="auto"/>
          <w:spacing w:val="3"/>
          <w:sz w:val="24"/>
          <w:szCs w:val="24"/>
        </w:rPr>
        <w:t xml:space="preserve">    </w:t>
      </w:r>
      <w:r>
        <w:rPr>
          <w:rFonts w:ascii="宋体" w:hAnsi="宋体" w:eastAsia="宋体" w:cs="宋体"/>
          <w:color w:val="auto"/>
          <w:spacing w:val="-9"/>
          <w:sz w:val="24"/>
          <w:szCs w:val="24"/>
        </w:rPr>
        <w:t>月</w:t>
      </w:r>
      <w:r>
        <w:rPr>
          <w:rFonts w:ascii="宋体" w:hAnsi="宋体" w:eastAsia="宋体" w:cs="宋体"/>
          <w:color w:val="auto"/>
          <w:spacing w:val="13"/>
          <w:sz w:val="24"/>
          <w:szCs w:val="24"/>
        </w:rPr>
        <w:t xml:space="preserve">    </w:t>
      </w:r>
      <w:r>
        <w:rPr>
          <w:rFonts w:ascii="宋体" w:hAnsi="宋体" w:eastAsia="宋体" w:cs="宋体"/>
          <w:color w:val="auto"/>
          <w:spacing w:val="-9"/>
          <w:sz w:val="24"/>
          <w:szCs w:val="24"/>
        </w:rPr>
        <w:t>日</w:t>
      </w:r>
    </w:p>
    <w:p w14:paraId="7A13235C">
      <w:pPr>
        <w:spacing w:line="284" w:lineRule="auto"/>
        <w:rPr>
          <w:rFonts w:ascii="Arial"/>
          <w:color w:val="auto"/>
          <w:sz w:val="21"/>
        </w:rPr>
      </w:pPr>
    </w:p>
    <w:p w14:paraId="7F869550">
      <w:pPr>
        <w:spacing w:line="285" w:lineRule="auto"/>
        <w:rPr>
          <w:rFonts w:ascii="Arial"/>
          <w:color w:val="auto"/>
          <w:sz w:val="21"/>
        </w:rPr>
      </w:pPr>
    </w:p>
    <w:p w14:paraId="0D67C47D">
      <w:pPr>
        <w:spacing w:before="79" w:line="360" w:lineRule="auto"/>
        <w:ind w:right="61"/>
        <w:rPr>
          <w:rFonts w:ascii="宋体" w:hAnsi="宋体" w:eastAsia="宋体" w:cs="宋体"/>
          <w:color w:val="auto"/>
          <w:sz w:val="24"/>
          <w:szCs w:val="24"/>
        </w:rPr>
      </w:pPr>
      <w:r>
        <w:rPr>
          <w:rFonts w:ascii="宋体" w:hAnsi="宋体" w:eastAsia="宋体" w:cs="宋体"/>
          <w:color w:val="auto"/>
          <w:spacing w:val="-2"/>
          <w:sz w:val="24"/>
          <w:szCs w:val="24"/>
        </w:rPr>
        <w:t>注：1. 法定代表人必须在授权委托书上签字或者盖章或者电子签名，委托代理人必须在授</w:t>
      </w:r>
      <w:r>
        <w:rPr>
          <w:rFonts w:ascii="宋体" w:hAnsi="宋体" w:eastAsia="宋体" w:cs="宋体"/>
          <w:color w:val="auto"/>
          <w:spacing w:val="-1"/>
          <w:sz w:val="24"/>
          <w:szCs w:val="24"/>
        </w:rPr>
        <w:t>权委托书上签字或者电子签名，</w:t>
      </w:r>
      <w:r>
        <w:rPr>
          <w:rFonts w:ascii="宋体" w:hAnsi="宋体" w:eastAsia="宋体" w:cs="宋体"/>
          <w:b/>
          <w:bCs/>
          <w:color w:val="auto"/>
          <w:spacing w:val="-1"/>
          <w:sz w:val="24"/>
          <w:szCs w:val="24"/>
        </w:rPr>
        <w:t>否则其响应文件按</w:t>
      </w:r>
      <w:r>
        <w:rPr>
          <w:rFonts w:ascii="宋体" w:hAnsi="宋体" w:eastAsia="宋体" w:cs="宋体"/>
          <w:b/>
          <w:bCs/>
          <w:color w:val="auto"/>
          <w:spacing w:val="-2"/>
          <w:sz w:val="24"/>
          <w:szCs w:val="24"/>
        </w:rPr>
        <w:t>无效响应处理。</w:t>
      </w:r>
    </w:p>
    <w:p w14:paraId="17513F5F">
      <w:pPr>
        <w:spacing w:before="1" w:line="363" w:lineRule="auto"/>
        <w:ind w:left="2" w:right="111" w:firstLine="480"/>
        <w:rPr>
          <w:rFonts w:ascii="宋体" w:hAnsi="宋体" w:eastAsia="宋体" w:cs="宋体"/>
          <w:color w:val="auto"/>
          <w:sz w:val="24"/>
          <w:szCs w:val="24"/>
        </w:rPr>
        <w:sectPr>
          <w:footerReference r:id="rId24" w:type="default"/>
          <w:pgSz w:w="11906" w:h="16839"/>
          <w:pgMar w:top="1182" w:right="1186" w:bottom="1362" w:left="1256" w:header="0" w:footer="1200" w:gutter="0"/>
          <w:pgNumType w:fmt="decimal"/>
          <w:cols w:space="720" w:num="1"/>
        </w:sectPr>
      </w:pPr>
      <w:r>
        <w:rPr>
          <w:rFonts w:ascii="宋体" w:hAnsi="宋体" w:eastAsia="宋体" w:cs="宋体"/>
          <w:color w:val="auto"/>
          <w:spacing w:val="-4"/>
          <w:sz w:val="24"/>
          <w:szCs w:val="24"/>
        </w:rPr>
        <w:t>2.法人、其他组织竞标时“我方</w:t>
      </w:r>
      <w:r>
        <w:rPr>
          <w:rFonts w:ascii="宋体" w:hAnsi="宋体" w:eastAsia="宋体" w:cs="宋体"/>
          <w:color w:val="auto"/>
          <w:spacing w:val="-88"/>
          <w:sz w:val="24"/>
          <w:szCs w:val="24"/>
        </w:rPr>
        <w:t xml:space="preserve"> </w:t>
      </w:r>
      <w:r>
        <w:rPr>
          <w:rFonts w:ascii="宋体" w:hAnsi="宋体" w:eastAsia="宋体" w:cs="宋体"/>
          <w:color w:val="auto"/>
          <w:spacing w:val="-4"/>
          <w:sz w:val="24"/>
          <w:szCs w:val="24"/>
        </w:rPr>
        <w:t>”是指“我单位</w:t>
      </w:r>
      <w:r>
        <w:rPr>
          <w:rFonts w:ascii="宋体" w:hAnsi="宋体" w:eastAsia="宋体" w:cs="宋体"/>
          <w:color w:val="auto"/>
          <w:spacing w:val="-88"/>
          <w:sz w:val="24"/>
          <w:szCs w:val="24"/>
        </w:rPr>
        <w:t xml:space="preserve"> </w:t>
      </w:r>
      <w:r>
        <w:rPr>
          <w:rFonts w:ascii="宋体" w:hAnsi="宋体" w:eastAsia="宋体" w:cs="宋体"/>
          <w:color w:val="auto"/>
          <w:spacing w:val="-4"/>
          <w:sz w:val="24"/>
          <w:szCs w:val="24"/>
        </w:rPr>
        <w:t>”，</w:t>
      </w:r>
      <w:r>
        <w:rPr>
          <w:rFonts w:ascii="宋体" w:hAnsi="宋体" w:eastAsia="宋体" w:cs="宋体"/>
          <w:color w:val="auto"/>
          <w:spacing w:val="-72"/>
          <w:sz w:val="24"/>
          <w:szCs w:val="24"/>
        </w:rPr>
        <w:t xml:space="preserve"> </w:t>
      </w:r>
      <w:r>
        <w:rPr>
          <w:rFonts w:ascii="宋体" w:hAnsi="宋体" w:eastAsia="宋体" w:cs="宋体"/>
          <w:color w:val="auto"/>
          <w:spacing w:val="-4"/>
          <w:sz w:val="24"/>
          <w:szCs w:val="24"/>
        </w:rPr>
        <w:t>自然人竞标时“我</w:t>
      </w:r>
      <w:r>
        <w:rPr>
          <w:rFonts w:ascii="宋体" w:hAnsi="宋体" w:eastAsia="宋体" w:cs="宋体"/>
          <w:color w:val="auto"/>
          <w:spacing w:val="-5"/>
          <w:sz w:val="24"/>
          <w:szCs w:val="24"/>
        </w:rPr>
        <w:t>方</w:t>
      </w:r>
      <w:r>
        <w:rPr>
          <w:rFonts w:ascii="宋体" w:hAnsi="宋体" w:eastAsia="宋体" w:cs="宋体"/>
          <w:color w:val="auto"/>
          <w:spacing w:val="-88"/>
          <w:sz w:val="24"/>
          <w:szCs w:val="24"/>
        </w:rPr>
        <w:t xml:space="preserve"> </w:t>
      </w:r>
      <w:r>
        <w:rPr>
          <w:rFonts w:ascii="宋体" w:hAnsi="宋体" w:eastAsia="宋体" w:cs="宋体"/>
          <w:color w:val="auto"/>
          <w:spacing w:val="-5"/>
          <w:sz w:val="24"/>
          <w:szCs w:val="24"/>
        </w:rPr>
        <w:t>”是指“本</w:t>
      </w:r>
      <w:r>
        <w:rPr>
          <w:rFonts w:ascii="宋体" w:hAnsi="宋体" w:eastAsia="宋体" w:cs="宋体"/>
          <w:color w:val="auto"/>
          <w:spacing w:val="-4"/>
          <w:sz w:val="24"/>
          <w:szCs w:val="24"/>
        </w:rPr>
        <w:t>人</w:t>
      </w:r>
      <w:r>
        <w:rPr>
          <w:rFonts w:ascii="宋体" w:hAnsi="宋体" w:eastAsia="宋体" w:cs="宋体"/>
          <w:color w:val="auto"/>
          <w:spacing w:val="-88"/>
          <w:sz w:val="24"/>
          <w:szCs w:val="24"/>
        </w:rPr>
        <w:t xml:space="preserve"> </w:t>
      </w:r>
      <w:r>
        <w:rPr>
          <w:rFonts w:ascii="宋体" w:hAnsi="宋体" w:eastAsia="宋体" w:cs="宋体"/>
          <w:color w:val="auto"/>
          <w:spacing w:val="-4"/>
          <w:sz w:val="24"/>
          <w:szCs w:val="24"/>
        </w:rPr>
        <w:t>”</w:t>
      </w:r>
      <w:r>
        <w:rPr>
          <w:rFonts w:hint="eastAsia" w:ascii="宋体" w:hAnsi="宋体" w:eastAsia="宋体" w:cs="宋体"/>
          <w:color w:val="auto"/>
          <w:spacing w:val="-4"/>
          <w:sz w:val="24"/>
          <w:szCs w:val="24"/>
          <w:lang w:eastAsia="zh-CN"/>
        </w:rPr>
        <w:t>。</w:t>
      </w:r>
    </w:p>
    <w:p w14:paraId="5F65CEB6">
      <w:pPr>
        <w:spacing w:before="88" w:line="222" w:lineRule="auto"/>
        <w:ind w:left="3611"/>
        <w:rPr>
          <w:rFonts w:ascii="宋体" w:hAnsi="宋体" w:eastAsia="宋体" w:cs="宋体"/>
          <w:color w:val="auto"/>
          <w:sz w:val="43"/>
          <w:szCs w:val="43"/>
        </w:rPr>
      </w:pPr>
      <w:r>
        <w:rPr>
          <w:rFonts w:ascii="宋体" w:hAnsi="宋体" w:eastAsia="宋体" w:cs="宋体"/>
          <w:color w:val="auto"/>
          <w:spacing w:val="6"/>
          <w:sz w:val="43"/>
          <w:szCs w:val="43"/>
        </w:rPr>
        <w:t>授权委托书</w:t>
      </w:r>
    </w:p>
    <w:p w14:paraId="75D7B388">
      <w:pPr>
        <w:spacing w:before="85" w:line="225" w:lineRule="auto"/>
        <w:ind w:left="3281"/>
        <w:rPr>
          <w:rFonts w:ascii="宋体" w:hAnsi="宋体" w:eastAsia="宋体" w:cs="宋体"/>
          <w:color w:val="auto"/>
          <w:sz w:val="31"/>
          <w:szCs w:val="31"/>
        </w:rPr>
      </w:pPr>
      <w:r>
        <w:rPr>
          <w:rFonts w:ascii="宋体" w:hAnsi="宋体" w:eastAsia="宋体" w:cs="宋体"/>
          <w:color w:val="auto"/>
          <w:spacing w:val="5"/>
          <w:sz w:val="31"/>
          <w:szCs w:val="31"/>
        </w:rPr>
        <w:t>（联合体竞标格式）</w:t>
      </w:r>
    </w:p>
    <w:p w14:paraId="18C2F1A3">
      <w:pPr>
        <w:spacing w:before="122" w:line="225" w:lineRule="auto"/>
        <w:ind w:left="3602"/>
        <w:rPr>
          <w:rFonts w:ascii="宋体" w:hAnsi="宋体" w:eastAsia="宋体" w:cs="宋体"/>
          <w:color w:val="auto"/>
          <w:sz w:val="31"/>
          <w:szCs w:val="31"/>
        </w:rPr>
      </w:pPr>
      <w:r>
        <w:rPr>
          <w:rFonts w:ascii="宋体" w:hAnsi="宋体" w:eastAsia="宋体" w:cs="宋体"/>
          <w:color w:val="auto"/>
          <w:spacing w:val="4"/>
          <w:sz w:val="31"/>
          <w:szCs w:val="31"/>
        </w:rPr>
        <w:t>（如有委托时）</w:t>
      </w:r>
    </w:p>
    <w:p w14:paraId="789CC598">
      <w:pPr>
        <w:spacing w:line="256" w:lineRule="auto"/>
        <w:rPr>
          <w:rFonts w:ascii="Arial"/>
          <w:color w:val="auto"/>
          <w:sz w:val="21"/>
        </w:rPr>
      </w:pPr>
    </w:p>
    <w:p w14:paraId="63426270">
      <w:pPr>
        <w:spacing w:line="256" w:lineRule="auto"/>
        <w:rPr>
          <w:rFonts w:ascii="Arial"/>
          <w:color w:val="auto"/>
          <w:sz w:val="21"/>
        </w:rPr>
      </w:pPr>
    </w:p>
    <w:p w14:paraId="17D5CC97">
      <w:pPr>
        <w:spacing w:line="256" w:lineRule="auto"/>
        <w:rPr>
          <w:rFonts w:ascii="Arial"/>
          <w:color w:val="auto"/>
          <w:sz w:val="21"/>
        </w:rPr>
      </w:pPr>
    </w:p>
    <w:p w14:paraId="04ACFEE6">
      <w:pPr>
        <w:spacing w:line="257" w:lineRule="auto"/>
        <w:rPr>
          <w:rFonts w:ascii="Arial"/>
          <w:color w:val="auto"/>
          <w:sz w:val="21"/>
        </w:rPr>
      </w:pPr>
    </w:p>
    <w:p w14:paraId="337EA808">
      <w:pPr>
        <w:spacing w:before="79" w:line="360" w:lineRule="auto"/>
        <w:ind w:right="2" w:firstLine="480"/>
        <w:jc w:val="both"/>
        <w:rPr>
          <w:rFonts w:ascii="宋体" w:hAnsi="宋体" w:eastAsia="宋体" w:cs="宋体"/>
          <w:color w:val="auto"/>
          <w:sz w:val="24"/>
          <w:szCs w:val="24"/>
        </w:rPr>
      </w:pPr>
      <w:r>
        <w:rPr>
          <w:rFonts w:ascii="宋体" w:hAnsi="宋体" w:eastAsia="宋体" w:cs="宋体"/>
          <w:color w:val="auto"/>
          <w:sz w:val="24"/>
          <w:szCs w:val="24"/>
        </w:rPr>
        <w:t>本授权委托书声明：根据</w:t>
      </w:r>
      <w:r>
        <w:rPr>
          <w:rFonts w:ascii="宋体" w:hAnsi="宋体" w:eastAsia="宋体" w:cs="宋体"/>
          <w:color w:val="auto"/>
          <w:sz w:val="24"/>
          <w:szCs w:val="24"/>
          <w:u w:val="single" w:color="auto"/>
        </w:rPr>
        <w:t xml:space="preserve">                </w:t>
      </w:r>
      <w:r>
        <w:rPr>
          <w:rFonts w:ascii="宋体" w:hAnsi="宋体" w:eastAsia="宋体" w:cs="宋体"/>
          <w:color w:val="auto"/>
          <w:sz w:val="24"/>
          <w:szCs w:val="24"/>
        </w:rPr>
        <w:t>（牵头人名称）与</w:t>
      </w:r>
      <w:r>
        <w:rPr>
          <w:rFonts w:ascii="宋体" w:hAnsi="宋体" w:eastAsia="宋体" w:cs="宋体"/>
          <w:color w:val="auto"/>
          <w:sz w:val="24"/>
          <w:szCs w:val="24"/>
          <w:u w:val="single" w:color="auto"/>
        </w:rPr>
        <w:t xml:space="preserve">     </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1"/>
          <w:sz w:val="24"/>
          <w:szCs w:val="24"/>
        </w:rPr>
        <w:t>（联合体其他成员名称）签订的《联合体竞标协议书》的内容</w:t>
      </w:r>
      <w:r>
        <w:rPr>
          <w:rFonts w:ascii="宋体" w:hAnsi="宋体" w:eastAsia="宋体" w:cs="宋体"/>
          <w:color w:val="auto"/>
          <w:spacing w:val="-27"/>
          <w:sz w:val="24"/>
          <w:szCs w:val="24"/>
        </w:rPr>
        <w:t>，</w:t>
      </w:r>
      <w:r>
        <w:rPr>
          <w:rFonts w:ascii="宋体" w:hAnsi="宋体" w:eastAsia="宋体" w:cs="宋体"/>
          <w:color w:val="auto"/>
          <w:sz w:val="24"/>
          <w:szCs w:val="24"/>
          <w:u w:val="single" w:color="auto"/>
        </w:rPr>
        <w:t xml:space="preserve">                       </w:t>
      </w:r>
      <w:r>
        <w:rPr>
          <w:rFonts w:ascii="宋体" w:hAnsi="宋体" w:eastAsia="宋体" w:cs="宋体"/>
          <w:color w:val="auto"/>
          <w:spacing w:val="-27"/>
          <w:sz w:val="24"/>
          <w:szCs w:val="24"/>
        </w:rPr>
        <w:t>（</w:t>
      </w:r>
      <w:r>
        <w:rPr>
          <w:rFonts w:ascii="宋体" w:hAnsi="宋体" w:eastAsia="宋体" w:cs="宋体"/>
          <w:color w:val="auto"/>
          <w:spacing w:val="-1"/>
          <w:sz w:val="24"/>
          <w:szCs w:val="24"/>
        </w:rPr>
        <w:t>牵头</w:t>
      </w:r>
      <w:r>
        <w:rPr>
          <w:rFonts w:ascii="宋体" w:hAnsi="宋体" w:eastAsia="宋体" w:cs="宋体"/>
          <w:color w:val="auto"/>
          <w:sz w:val="24"/>
          <w:szCs w:val="24"/>
        </w:rPr>
        <w:t>人名称）的法定代表人</w:t>
      </w:r>
      <w:r>
        <w:rPr>
          <w:rFonts w:ascii="宋体" w:hAnsi="宋体" w:eastAsia="宋体" w:cs="宋体"/>
          <w:color w:val="auto"/>
          <w:sz w:val="24"/>
          <w:szCs w:val="24"/>
          <w:u w:val="single" w:color="auto"/>
        </w:rPr>
        <w:t xml:space="preserve">      </w:t>
      </w:r>
      <w:r>
        <w:rPr>
          <w:rFonts w:ascii="宋体" w:hAnsi="宋体" w:eastAsia="宋体" w:cs="宋体"/>
          <w:color w:val="auto"/>
          <w:sz w:val="24"/>
          <w:szCs w:val="24"/>
        </w:rPr>
        <w:t>（姓名）现授权</w:t>
      </w:r>
      <w:r>
        <w:rPr>
          <w:rFonts w:ascii="宋体" w:hAnsi="宋体" w:eastAsia="宋体" w:cs="宋体"/>
          <w:color w:val="auto"/>
          <w:sz w:val="24"/>
          <w:szCs w:val="24"/>
          <w:u w:val="single" w:color="auto"/>
        </w:rPr>
        <w:t xml:space="preserve">      </w:t>
      </w:r>
      <w:r>
        <w:rPr>
          <w:rFonts w:ascii="宋体" w:hAnsi="宋体" w:eastAsia="宋体" w:cs="宋体"/>
          <w:color w:val="auto"/>
          <w:sz w:val="24"/>
          <w:szCs w:val="24"/>
        </w:rPr>
        <w:t>（姓名）为</w:t>
      </w:r>
      <w:r>
        <w:rPr>
          <w:rFonts w:ascii="宋体" w:hAnsi="宋体" w:eastAsia="宋体" w:cs="宋体"/>
          <w:color w:val="auto"/>
          <w:spacing w:val="-1"/>
          <w:sz w:val="24"/>
          <w:szCs w:val="24"/>
        </w:rPr>
        <w:t>联合委托代理人，并代表</w:t>
      </w:r>
      <w:r>
        <w:rPr>
          <w:rFonts w:ascii="宋体" w:hAnsi="宋体" w:eastAsia="宋体" w:cs="宋体"/>
          <w:color w:val="auto"/>
          <w:sz w:val="24"/>
          <w:szCs w:val="24"/>
        </w:rPr>
        <w:t>我方全权办理针对上述项目的所有采购程序和环节的具</w:t>
      </w:r>
      <w:r>
        <w:rPr>
          <w:rFonts w:ascii="宋体" w:hAnsi="宋体" w:eastAsia="宋体" w:cs="宋体"/>
          <w:color w:val="auto"/>
          <w:spacing w:val="-1"/>
          <w:sz w:val="24"/>
          <w:szCs w:val="24"/>
        </w:rPr>
        <w:t>体事务和签署相关文件。</w:t>
      </w:r>
    </w:p>
    <w:p w14:paraId="4A1E30CE">
      <w:pPr>
        <w:spacing w:line="219" w:lineRule="auto"/>
        <w:ind w:left="482"/>
        <w:rPr>
          <w:rFonts w:ascii="宋体" w:hAnsi="宋体" w:eastAsia="宋体" w:cs="宋体"/>
          <w:color w:val="auto"/>
          <w:sz w:val="24"/>
          <w:szCs w:val="24"/>
        </w:rPr>
      </w:pPr>
      <w:r>
        <w:rPr>
          <w:rFonts w:ascii="宋体" w:hAnsi="宋体" w:eastAsia="宋体" w:cs="宋体"/>
          <w:color w:val="auto"/>
          <w:spacing w:val="-1"/>
          <w:sz w:val="24"/>
          <w:szCs w:val="24"/>
        </w:rPr>
        <w:t>我方对委托代理人的签字或者电子签名事项负全部责任。</w:t>
      </w:r>
    </w:p>
    <w:p w14:paraId="7873F8F5">
      <w:pPr>
        <w:spacing w:before="183" w:line="360" w:lineRule="auto"/>
        <w:ind w:firstLine="481"/>
        <w:rPr>
          <w:rFonts w:ascii="宋体" w:hAnsi="宋体" w:eastAsia="宋体" w:cs="宋体"/>
          <w:color w:val="auto"/>
          <w:sz w:val="24"/>
          <w:szCs w:val="24"/>
        </w:rPr>
      </w:pPr>
      <w:r>
        <w:rPr>
          <w:rFonts w:ascii="宋体" w:hAnsi="宋体" w:eastAsia="宋体" w:cs="宋体"/>
          <w:color w:val="auto"/>
          <w:spacing w:val="1"/>
          <w:sz w:val="24"/>
          <w:szCs w:val="24"/>
        </w:rPr>
        <w:t>本授权书自签署之日起生效，在撤销授权的书面通知以前，本授权书一直有效。委托</w:t>
      </w:r>
      <w:r>
        <w:rPr>
          <w:rFonts w:ascii="宋体" w:hAnsi="宋体" w:eastAsia="宋体" w:cs="宋体"/>
          <w:color w:val="auto"/>
          <w:sz w:val="24"/>
          <w:szCs w:val="24"/>
        </w:rPr>
        <w:t>代理人在授权书有效期内签署的所有文件不</w:t>
      </w:r>
      <w:r>
        <w:rPr>
          <w:rFonts w:ascii="宋体" w:hAnsi="宋体" w:eastAsia="宋体" w:cs="宋体"/>
          <w:color w:val="auto"/>
          <w:spacing w:val="-1"/>
          <w:sz w:val="24"/>
          <w:szCs w:val="24"/>
        </w:rPr>
        <w:t>因授权的撤销而失效。</w:t>
      </w:r>
    </w:p>
    <w:p w14:paraId="7B3B4DCC">
      <w:pPr>
        <w:spacing w:line="219" w:lineRule="auto"/>
        <w:ind w:left="480"/>
        <w:rPr>
          <w:rFonts w:ascii="宋体" w:hAnsi="宋体" w:eastAsia="宋体" w:cs="宋体"/>
          <w:color w:val="auto"/>
          <w:sz w:val="24"/>
          <w:szCs w:val="24"/>
        </w:rPr>
      </w:pPr>
      <w:r>
        <w:rPr>
          <w:rFonts w:ascii="宋体" w:hAnsi="宋体" w:eastAsia="宋体" w:cs="宋体"/>
          <w:color w:val="auto"/>
          <w:spacing w:val="-1"/>
          <w:sz w:val="24"/>
          <w:szCs w:val="24"/>
        </w:rPr>
        <w:t>委托代理人无转委托权，特此委托。</w:t>
      </w:r>
    </w:p>
    <w:p w14:paraId="0B03451B">
      <w:pPr>
        <w:spacing w:before="183" w:line="219" w:lineRule="auto"/>
        <w:ind w:left="499"/>
        <w:rPr>
          <w:rFonts w:ascii="宋体" w:hAnsi="宋体" w:eastAsia="宋体" w:cs="宋体"/>
          <w:color w:val="auto"/>
          <w:sz w:val="24"/>
          <w:szCs w:val="24"/>
        </w:rPr>
      </w:pPr>
      <w:r>
        <w:rPr>
          <w:rFonts w:ascii="宋体" w:hAnsi="宋体" w:eastAsia="宋体" w:cs="宋体"/>
          <w:color w:val="auto"/>
          <w:spacing w:val="-1"/>
          <w:sz w:val="24"/>
          <w:szCs w:val="24"/>
        </w:rPr>
        <w:t>附：法定代表人身份证明书及委托代理人有效身份证正反面复印件</w:t>
      </w:r>
    </w:p>
    <w:p w14:paraId="25AD9C53">
      <w:pPr>
        <w:spacing w:before="183" w:line="219" w:lineRule="auto"/>
        <w:ind w:left="482"/>
        <w:rPr>
          <w:rFonts w:ascii="宋体" w:hAnsi="宋体" w:eastAsia="宋体" w:cs="宋体"/>
          <w:color w:val="auto"/>
          <w:sz w:val="24"/>
          <w:szCs w:val="24"/>
        </w:rPr>
      </w:pPr>
      <w:r>
        <w:rPr>
          <w:rFonts w:ascii="宋体" w:hAnsi="宋体" w:eastAsia="宋体" w:cs="宋体"/>
          <w:color w:val="auto"/>
          <w:spacing w:val="-1"/>
          <w:sz w:val="24"/>
          <w:szCs w:val="24"/>
        </w:rPr>
        <w:t>牵头人法定代表人（签字或者盖章或者电子签名</w:t>
      </w:r>
      <w:r>
        <w:rPr>
          <w:rFonts w:ascii="宋体" w:hAnsi="宋体" w:eastAsia="宋体" w:cs="宋体"/>
          <w:color w:val="auto"/>
          <w:spacing w:val="4"/>
          <w:sz w:val="24"/>
          <w:szCs w:val="24"/>
        </w:rPr>
        <w:t>）：</w:t>
      </w:r>
    </w:p>
    <w:p w14:paraId="4398183C">
      <w:pPr>
        <w:spacing w:before="183" w:line="219" w:lineRule="auto"/>
        <w:ind w:left="3122"/>
        <w:rPr>
          <w:rFonts w:ascii="宋体" w:hAnsi="宋体" w:eastAsia="宋体" w:cs="宋体"/>
          <w:color w:val="auto"/>
          <w:sz w:val="24"/>
          <w:szCs w:val="24"/>
        </w:rPr>
      </w:pPr>
      <w:r>
        <w:rPr>
          <w:rFonts w:ascii="宋体" w:hAnsi="宋体" w:eastAsia="宋体" w:cs="宋体"/>
          <w:color w:val="auto"/>
          <w:spacing w:val="-2"/>
          <w:sz w:val="24"/>
          <w:szCs w:val="24"/>
        </w:rPr>
        <w:t>牵头人（电子签章</w:t>
      </w:r>
      <w:r>
        <w:rPr>
          <w:rFonts w:ascii="宋体" w:hAnsi="宋体" w:eastAsia="宋体" w:cs="宋体"/>
          <w:color w:val="auto"/>
          <w:spacing w:val="1"/>
          <w:sz w:val="24"/>
          <w:szCs w:val="24"/>
        </w:rPr>
        <w:t>）：</w:t>
      </w:r>
    </w:p>
    <w:p w14:paraId="3ECF8CDE">
      <w:pPr>
        <w:spacing w:before="185" w:line="219" w:lineRule="auto"/>
        <w:ind w:left="3882"/>
        <w:rPr>
          <w:rFonts w:ascii="宋体" w:hAnsi="宋体" w:eastAsia="宋体" w:cs="宋体"/>
          <w:color w:val="auto"/>
          <w:sz w:val="24"/>
          <w:szCs w:val="24"/>
        </w:rPr>
      </w:pPr>
      <w:r>
        <w:rPr>
          <w:rFonts w:ascii="宋体" w:hAnsi="宋体" w:eastAsia="宋体" w:cs="宋体"/>
          <w:color w:val="auto"/>
          <w:spacing w:val="-13"/>
          <w:sz w:val="24"/>
          <w:szCs w:val="24"/>
        </w:rPr>
        <w:t>日期：</w:t>
      </w:r>
      <w:r>
        <w:rPr>
          <w:rFonts w:ascii="宋体" w:hAnsi="宋体" w:eastAsia="宋体" w:cs="宋体"/>
          <w:color w:val="auto"/>
          <w:spacing w:val="2"/>
          <w:sz w:val="24"/>
          <w:szCs w:val="24"/>
        </w:rPr>
        <w:t xml:space="preserve">    </w:t>
      </w:r>
      <w:r>
        <w:rPr>
          <w:rFonts w:ascii="宋体" w:hAnsi="宋体" w:eastAsia="宋体" w:cs="宋体"/>
          <w:color w:val="auto"/>
          <w:spacing w:val="-13"/>
          <w:sz w:val="24"/>
          <w:szCs w:val="24"/>
        </w:rPr>
        <w:t>年</w:t>
      </w:r>
      <w:r>
        <w:rPr>
          <w:rFonts w:ascii="宋体" w:hAnsi="宋体" w:eastAsia="宋体" w:cs="宋体"/>
          <w:color w:val="auto"/>
          <w:spacing w:val="6"/>
          <w:sz w:val="24"/>
          <w:szCs w:val="24"/>
        </w:rPr>
        <w:t xml:space="preserve">   </w:t>
      </w:r>
      <w:r>
        <w:rPr>
          <w:rFonts w:ascii="宋体" w:hAnsi="宋体" w:eastAsia="宋体" w:cs="宋体"/>
          <w:color w:val="auto"/>
          <w:spacing w:val="-13"/>
          <w:sz w:val="24"/>
          <w:szCs w:val="24"/>
        </w:rPr>
        <w:t>月</w:t>
      </w:r>
      <w:r>
        <w:rPr>
          <w:rFonts w:ascii="宋体" w:hAnsi="宋体" w:eastAsia="宋体" w:cs="宋体"/>
          <w:color w:val="auto"/>
          <w:spacing w:val="17"/>
          <w:sz w:val="24"/>
          <w:szCs w:val="24"/>
        </w:rPr>
        <w:t xml:space="preserve">   </w:t>
      </w:r>
      <w:r>
        <w:rPr>
          <w:rFonts w:ascii="宋体" w:hAnsi="宋体" w:eastAsia="宋体" w:cs="宋体"/>
          <w:color w:val="auto"/>
          <w:spacing w:val="-13"/>
          <w:sz w:val="24"/>
          <w:szCs w:val="24"/>
        </w:rPr>
        <w:t>日</w:t>
      </w:r>
    </w:p>
    <w:p w14:paraId="5B3CF7D7">
      <w:pPr>
        <w:spacing w:line="284" w:lineRule="auto"/>
        <w:rPr>
          <w:rFonts w:ascii="Arial"/>
          <w:color w:val="auto"/>
          <w:sz w:val="21"/>
        </w:rPr>
      </w:pPr>
    </w:p>
    <w:p w14:paraId="7E4F9745">
      <w:pPr>
        <w:spacing w:line="285" w:lineRule="auto"/>
        <w:rPr>
          <w:rFonts w:ascii="Arial"/>
          <w:color w:val="auto"/>
          <w:sz w:val="21"/>
        </w:rPr>
      </w:pPr>
    </w:p>
    <w:p w14:paraId="4F4C3497">
      <w:pPr>
        <w:spacing w:before="78" w:line="219" w:lineRule="auto"/>
        <w:ind w:left="3120"/>
        <w:rPr>
          <w:rFonts w:ascii="宋体" w:hAnsi="宋体" w:eastAsia="宋体" w:cs="宋体"/>
          <w:color w:val="auto"/>
          <w:sz w:val="24"/>
          <w:szCs w:val="24"/>
        </w:rPr>
      </w:pPr>
      <w:r>
        <w:rPr>
          <w:rFonts w:ascii="宋体" w:hAnsi="宋体" w:eastAsia="宋体" w:cs="宋体"/>
          <w:color w:val="auto"/>
          <w:spacing w:val="-1"/>
          <w:sz w:val="24"/>
          <w:szCs w:val="24"/>
        </w:rPr>
        <w:t>被授权人（签字或者电子签名</w:t>
      </w:r>
      <w:r>
        <w:rPr>
          <w:rFonts w:ascii="宋体" w:hAnsi="宋体" w:eastAsia="宋体" w:cs="宋体"/>
          <w:color w:val="auto"/>
          <w:spacing w:val="1"/>
          <w:sz w:val="24"/>
          <w:szCs w:val="24"/>
        </w:rPr>
        <w:t>）：</w:t>
      </w:r>
    </w:p>
    <w:p w14:paraId="413CDEDF">
      <w:pPr>
        <w:spacing w:before="184" w:line="219" w:lineRule="auto"/>
        <w:ind w:left="3882"/>
        <w:rPr>
          <w:rFonts w:ascii="宋体" w:hAnsi="宋体" w:eastAsia="宋体" w:cs="宋体"/>
          <w:color w:val="auto"/>
          <w:sz w:val="24"/>
          <w:szCs w:val="24"/>
        </w:rPr>
      </w:pPr>
      <w:r>
        <w:rPr>
          <w:rFonts w:ascii="宋体" w:hAnsi="宋体" w:eastAsia="宋体" w:cs="宋体"/>
          <w:color w:val="auto"/>
          <w:spacing w:val="-13"/>
          <w:sz w:val="24"/>
          <w:szCs w:val="24"/>
        </w:rPr>
        <w:t>日期：</w:t>
      </w:r>
      <w:r>
        <w:rPr>
          <w:rFonts w:ascii="宋体" w:hAnsi="宋体" w:eastAsia="宋体" w:cs="宋体"/>
          <w:color w:val="auto"/>
          <w:spacing w:val="2"/>
          <w:sz w:val="24"/>
          <w:szCs w:val="24"/>
        </w:rPr>
        <w:t xml:space="preserve">    </w:t>
      </w:r>
      <w:r>
        <w:rPr>
          <w:rFonts w:ascii="宋体" w:hAnsi="宋体" w:eastAsia="宋体" w:cs="宋体"/>
          <w:color w:val="auto"/>
          <w:spacing w:val="-13"/>
          <w:sz w:val="24"/>
          <w:szCs w:val="24"/>
        </w:rPr>
        <w:t>年</w:t>
      </w:r>
      <w:r>
        <w:rPr>
          <w:rFonts w:ascii="宋体" w:hAnsi="宋体" w:eastAsia="宋体" w:cs="宋体"/>
          <w:color w:val="auto"/>
          <w:spacing w:val="6"/>
          <w:sz w:val="24"/>
          <w:szCs w:val="24"/>
        </w:rPr>
        <w:t xml:space="preserve">   </w:t>
      </w:r>
      <w:r>
        <w:rPr>
          <w:rFonts w:ascii="宋体" w:hAnsi="宋体" w:eastAsia="宋体" w:cs="宋体"/>
          <w:color w:val="auto"/>
          <w:spacing w:val="-13"/>
          <w:sz w:val="24"/>
          <w:szCs w:val="24"/>
        </w:rPr>
        <w:t>月</w:t>
      </w:r>
      <w:r>
        <w:rPr>
          <w:rFonts w:ascii="宋体" w:hAnsi="宋体" w:eastAsia="宋体" w:cs="宋体"/>
          <w:color w:val="auto"/>
          <w:spacing w:val="17"/>
          <w:sz w:val="24"/>
          <w:szCs w:val="24"/>
        </w:rPr>
        <w:t xml:space="preserve">   </w:t>
      </w:r>
      <w:r>
        <w:rPr>
          <w:rFonts w:ascii="宋体" w:hAnsi="宋体" w:eastAsia="宋体" w:cs="宋体"/>
          <w:color w:val="auto"/>
          <w:spacing w:val="-13"/>
          <w:sz w:val="24"/>
          <w:szCs w:val="24"/>
        </w:rPr>
        <w:t>日</w:t>
      </w:r>
    </w:p>
    <w:p w14:paraId="6F25F1C5">
      <w:pPr>
        <w:spacing w:line="284" w:lineRule="auto"/>
        <w:rPr>
          <w:rFonts w:ascii="Arial"/>
          <w:color w:val="auto"/>
          <w:sz w:val="21"/>
        </w:rPr>
      </w:pPr>
    </w:p>
    <w:p w14:paraId="63B01506">
      <w:pPr>
        <w:spacing w:line="285" w:lineRule="auto"/>
        <w:rPr>
          <w:rFonts w:ascii="Arial"/>
          <w:color w:val="auto"/>
          <w:sz w:val="21"/>
        </w:rPr>
      </w:pPr>
    </w:p>
    <w:p w14:paraId="5E12ADE7">
      <w:pPr>
        <w:spacing w:before="78" w:line="360" w:lineRule="auto"/>
        <w:ind w:right="2"/>
        <w:rPr>
          <w:rFonts w:ascii="宋体" w:hAnsi="宋体" w:eastAsia="宋体" w:cs="宋体"/>
          <w:color w:val="auto"/>
          <w:sz w:val="24"/>
          <w:szCs w:val="24"/>
        </w:rPr>
      </w:pPr>
      <w:r>
        <w:rPr>
          <w:rFonts w:ascii="宋体" w:hAnsi="宋体" w:eastAsia="宋体" w:cs="宋体"/>
          <w:color w:val="auto"/>
          <w:spacing w:val="-2"/>
          <w:sz w:val="24"/>
          <w:szCs w:val="24"/>
        </w:rPr>
        <w:t>注：1. 法定代表人必须在授权委托书上签字或者盖章或者电子签名，委托代理人必须在授</w:t>
      </w:r>
      <w:r>
        <w:rPr>
          <w:rFonts w:ascii="宋体" w:hAnsi="宋体" w:eastAsia="宋体" w:cs="宋体"/>
          <w:color w:val="auto"/>
          <w:spacing w:val="-1"/>
          <w:sz w:val="24"/>
          <w:szCs w:val="24"/>
        </w:rPr>
        <w:t>权委托书上签字或者电子签名，</w:t>
      </w:r>
      <w:r>
        <w:rPr>
          <w:rFonts w:ascii="宋体" w:hAnsi="宋体" w:eastAsia="宋体" w:cs="宋体"/>
          <w:b/>
          <w:bCs/>
          <w:color w:val="auto"/>
          <w:spacing w:val="-1"/>
          <w:sz w:val="24"/>
          <w:szCs w:val="24"/>
        </w:rPr>
        <w:t>否则其响应文件按</w:t>
      </w:r>
      <w:r>
        <w:rPr>
          <w:rFonts w:ascii="宋体" w:hAnsi="宋体" w:eastAsia="宋体" w:cs="宋体"/>
          <w:b/>
          <w:bCs/>
          <w:color w:val="auto"/>
          <w:spacing w:val="-2"/>
          <w:sz w:val="24"/>
          <w:szCs w:val="24"/>
        </w:rPr>
        <w:t>无效响应处理。</w:t>
      </w:r>
    </w:p>
    <w:p w14:paraId="2C6EFBF6">
      <w:pPr>
        <w:spacing w:before="1" w:line="363" w:lineRule="auto"/>
        <w:ind w:left="2" w:right="52" w:firstLine="480"/>
        <w:rPr>
          <w:rFonts w:ascii="宋体" w:hAnsi="宋体" w:eastAsia="宋体" w:cs="宋体"/>
          <w:color w:val="auto"/>
          <w:sz w:val="24"/>
          <w:szCs w:val="24"/>
        </w:rPr>
      </w:pPr>
      <w:r>
        <w:rPr>
          <w:rFonts w:ascii="宋体" w:hAnsi="宋体" w:eastAsia="宋体" w:cs="宋体"/>
          <w:color w:val="auto"/>
          <w:spacing w:val="-4"/>
          <w:sz w:val="24"/>
          <w:szCs w:val="24"/>
        </w:rPr>
        <w:t>2.法人、其他组织竞标时“我方</w:t>
      </w:r>
      <w:r>
        <w:rPr>
          <w:rFonts w:ascii="宋体" w:hAnsi="宋体" w:eastAsia="宋体" w:cs="宋体"/>
          <w:color w:val="auto"/>
          <w:spacing w:val="-88"/>
          <w:sz w:val="24"/>
          <w:szCs w:val="24"/>
        </w:rPr>
        <w:t xml:space="preserve"> </w:t>
      </w:r>
      <w:r>
        <w:rPr>
          <w:rFonts w:ascii="宋体" w:hAnsi="宋体" w:eastAsia="宋体" w:cs="宋体"/>
          <w:color w:val="auto"/>
          <w:spacing w:val="-4"/>
          <w:sz w:val="24"/>
          <w:szCs w:val="24"/>
        </w:rPr>
        <w:t>”是指“我单位</w:t>
      </w:r>
      <w:r>
        <w:rPr>
          <w:rFonts w:ascii="宋体" w:hAnsi="宋体" w:eastAsia="宋体" w:cs="宋体"/>
          <w:color w:val="auto"/>
          <w:spacing w:val="-88"/>
          <w:sz w:val="24"/>
          <w:szCs w:val="24"/>
        </w:rPr>
        <w:t xml:space="preserve"> </w:t>
      </w:r>
      <w:r>
        <w:rPr>
          <w:rFonts w:ascii="宋体" w:hAnsi="宋体" w:eastAsia="宋体" w:cs="宋体"/>
          <w:color w:val="auto"/>
          <w:spacing w:val="-4"/>
          <w:sz w:val="24"/>
          <w:szCs w:val="24"/>
        </w:rPr>
        <w:t>”，</w:t>
      </w:r>
      <w:r>
        <w:rPr>
          <w:rFonts w:ascii="宋体" w:hAnsi="宋体" w:eastAsia="宋体" w:cs="宋体"/>
          <w:color w:val="auto"/>
          <w:spacing w:val="-72"/>
          <w:sz w:val="24"/>
          <w:szCs w:val="24"/>
        </w:rPr>
        <w:t xml:space="preserve"> </w:t>
      </w:r>
      <w:r>
        <w:rPr>
          <w:rFonts w:ascii="宋体" w:hAnsi="宋体" w:eastAsia="宋体" w:cs="宋体"/>
          <w:color w:val="auto"/>
          <w:spacing w:val="-4"/>
          <w:sz w:val="24"/>
          <w:szCs w:val="24"/>
        </w:rPr>
        <w:t>自然人竞标时“我</w:t>
      </w:r>
      <w:r>
        <w:rPr>
          <w:rFonts w:ascii="宋体" w:hAnsi="宋体" w:eastAsia="宋体" w:cs="宋体"/>
          <w:color w:val="auto"/>
          <w:spacing w:val="-5"/>
          <w:sz w:val="24"/>
          <w:szCs w:val="24"/>
        </w:rPr>
        <w:t>方</w:t>
      </w:r>
      <w:r>
        <w:rPr>
          <w:rFonts w:ascii="宋体" w:hAnsi="宋体" w:eastAsia="宋体" w:cs="宋体"/>
          <w:color w:val="auto"/>
          <w:spacing w:val="-88"/>
          <w:sz w:val="24"/>
          <w:szCs w:val="24"/>
        </w:rPr>
        <w:t xml:space="preserve"> </w:t>
      </w:r>
      <w:r>
        <w:rPr>
          <w:rFonts w:ascii="宋体" w:hAnsi="宋体" w:eastAsia="宋体" w:cs="宋体"/>
          <w:color w:val="auto"/>
          <w:spacing w:val="-5"/>
          <w:sz w:val="24"/>
          <w:szCs w:val="24"/>
        </w:rPr>
        <w:t>”是指“本</w:t>
      </w:r>
      <w:r>
        <w:rPr>
          <w:rFonts w:ascii="宋体" w:hAnsi="宋体" w:eastAsia="宋体" w:cs="宋体"/>
          <w:color w:val="auto"/>
          <w:spacing w:val="-4"/>
          <w:sz w:val="24"/>
          <w:szCs w:val="24"/>
        </w:rPr>
        <w:t>人</w:t>
      </w:r>
      <w:r>
        <w:rPr>
          <w:rFonts w:ascii="宋体" w:hAnsi="宋体" w:eastAsia="宋体" w:cs="宋体"/>
          <w:color w:val="auto"/>
          <w:spacing w:val="-88"/>
          <w:sz w:val="24"/>
          <w:szCs w:val="24"/>
        </w:rPr>
        <w:t xml:space="preserve"> </w:t>
      </w:r>
      <w:r>
        <w:rPr>
          <w:rFonts w:ascii="宋体" w:hAnsi="宋体" w:eastAsia="宋体" w:cs="宋体"/>
          <w:color w:val="auto"/>
          <w:spacing w:val="-4"/>
          <w:sz w:val="24"/>
          <w:szCs w:val="24"/>
        </w:rPr>
        <w:t>”</w:t>
      </w:r>
      <w:r>
        <w:rPr>
          <w:rFonts w:hint="eastAsia" w:ascii="宋体" w:hAnsi="宋体" w:eastAsia="宋体" w:cs="宋体"/>
          <w:color w:val="auto"/>
          <w:spacing w:val="-4"/>
          <w:sz w:val="24"/>
          <w:szCs w:val="24"/>
          <w:lang w:eastAsia="zh-CN"/>
        </w:rPr>
        <w:t>。</w:t>
      </w:r>
    </w:p>
    <w:p w14:paraId="2E540B61">
      <w:pPr>
        <w:spacing w:line="363" w:lineRule="auto"/>
        <w:rPr>
          <w:rFonts w:ascii="宋体" w:hAnsi="宋体" w:eastAsia="宋体" w:cs="宋体"/>
          <w:color w:val="auto"/>
          <w:sz w:val="24"/>
          <w:szCs w:val="24"/>
        </w:rPr>
      </w:pPr>
    </w:p>
    <w:p w14:paraId="10F94A4F">
      <w:pPr>
        <w:spacing w:line="363" w:lineRule="auto"/>
        <w:rPr>
          <w:rFonts w:ascii="宋体" w:hAnsi="宋体" w:eastAsia="宋体" w:cs="宋体"/>
          <w:color w:val="auto"/>
          <w:sz w:val="24"/>
          <w:szCs w:val="24"/>
        </w:rPr>
      </w:pPr>
    </w:p>
    <w:p w14:paraId="3F1E4565">
      <w:pPr>
        <w:spacing w:line="363" w:lineRule="auto"/>
        <w:rPr>
          <w:rFonts w:ascii="宋体" w:hAnsi="宋体" w:eastAsia="宋体" w:cs="宋体"/>
          <w:color w:val="auto"/>
          <w:sz w:val="24"/>
          <w:szCs w:val="24"/>
        </w:rPr>
      </w:pPr>
    </w:p>
    <w:p w14:paraId="5A44B0BD">
      <w:pPr>
        <w:spacing w:line="363" w:lineRule="auto"/>
        <w:rPr>
          <w:rFonts w:ascii="宋体" w:hAnsi="宋体" w:eastAsia="宋体" w:cs="宋体"/>
          <w:color w:val="auto"/>
          <w:sz w:val="24"/>
          <w:szCs w:val="24"/>
        </w:rPr>
      </w:pPr>
    </w:p>
    <w:p w14:paraId="2A38BD8C">
      <w:pPr>
        <w:spacing w:line="363" w:lineRule="auto"/>
        <w:rPr>
          <w:rFonts w:ascii="宋体" w:hAnsi="宋体" w:eastAsia="宋体" w:cs="宋体"/>
          <w:color w:val="auto"/>
          <w:sz w:val="24"/>
          <w:szCs w:val="24"/>
        </w:rPr>
      </w:pPr>
    </w:p>
    <w:p w14:paraId="39071DD3">
      <w:pPr>
        <w:spacing w:line="363" w:lineRule="auto"/>
        <w:rPr>
          <w:rFonts w:ascii="宋体" w:hAnsi="宋体" w:eastAsia="宋体" w:cs="宋体"/>
          <w:color w:val="auto"/>
          <w:sz w:val="24"/>
          <w:szCs w:val="24"/>
        </w:rPr>
        <w:sectPr>
          <w:footerReference r:id="rId25" w:type="default"/>
          <w:pgSz w:w="11906" w:h="16839"/>
          <w:pgMar w:top="1182" w:right="1245" w:bottom="1362" w:left="1256" w:header="0" w:footer="1200" w:gutter="0"/>
          <w:pgNumType w:fmt="decimal"/>
          <w:cols w:space="720" w:num="1"/>
        </w:sectPr>
      </w:pPr>
    </w:p>
    <w:p w14:paraId="01DBB4C6">
      <w:pPr>
        <w:spacing w:before="88" w:line="223" w:lineRule="auto"/>
        <w:ind w:left="2863"/>
        <w:rPr>
          <w:rFonts w:ascii="宋体" w:hAnsi="宋体" w:eastAsia="宋体" w:cs="宋体"/>
          <w:color w:val="auto"/>
          <w:sz w:val="43"/>
          <w:szCs w:val="43"/>
        </w:rPr>
      </w:pPr>
      <w:r>
        <w:rPr>
          <w:rFonts w:ascii="宋体" w:hAnsi="宋体" w:eastAsia="宋体" w:cs="宋体"/>
          <w:color w:val="auto"/>
          <w:spacing w:val="7"/>
          <w:sz w:val="43"/>
          <w:szCs w:val="43"/>
        </w:rPr>
        <w:t>商务要求偏离表格式</w:t>
      </w:r>
    </w:p>
    <w:p w14:paraId="3D147D22">
      <w:pPr>
        <w:spacing w:before="85" w:line="212" w:lineRule="auto"/>
        <w:ind w:left="2463"/>
        <w:rPr>
          <w:rFonts w:ascii="宋体" w:hAnsi="宋体" w:eastAsia="宋体" w:cs="宋体"/>
          <w:color w:val="auto"/>
          <w:sz w:val="33"/>
          <w:szCs w:val="33"/>
        </w:rPr>
      </w:pPr>
      <w:r>
        <w:rPr>
          <w:rFonts w:ascii="宋体" w:hAnsi="宋体" w:eastAsia="宋体" w:cs="宋体"/>
          <w:i/>
          <w:iCs/>
          <w:color w:val="auto"/>
          <w:spacing w:val="-10"/>
          <w:sz w:val="33"/>
          <w:szCs w:val="33"/>
        </w:rPr>
        <w:t>（注：按采购需求具体条款修改）</w:t>
      </w:r>
    </w:p>
    <w:p w14:paraId="7C27D2A4">
      <w:pPr>
        <w:spacing w:line="247" w:lineRule="auto"/>
        <w:rPr>
          <w:rFonts w:ascii="Arial"/>
          <w:color w:val="auto"/>
          <w:sz w:val="21"/>
        </w:rPr>
      </w:pPr>
    </w:p>
    <w:p w14:paraId="029C9CE7">
      <w:pPr>
        <w:spacing w:line="248" w:lineRule="auto"/>
        <w:rPr>
          <w:rFonts w:ascii="Arial"/>
          <w:color w:val="auto"/>
          <w:sz w:val="21"/>
        </w:rPr>
      </w:pPr>
    </w:p>
    <w:p w14:paraId="710BCCE1">
      <w:pPr>
        <w:spacing w:before="78" w:line="220" w:lineRule="auto"/>
        <w:ind w:left="123"/>
        <w:rPr>
          <w:rFonts w:ascii="宋体" w:hAnsi="宋体" w:eastAsia="宋体" w:cs="宋体"/>
          <w:color w:val="auto"/>
          <w:sz w:val="24"/>
          <w:szCs w:val="24"/>
        </w:rPr>
      </w:pPr>
      <w:r>
        <w:rPr>
          <w:rFonts w:ascii="宋体" w:hAnsi="宋体" w:eastAsia="宋体" w:cs="宋体"/>
          <w:color w:val="auto"/>
          <w:spacing w:val="-1"/>
          <w:sz w:val="24"/>
          <w:szCs w:val="24"/>
        </w:rPr>
        <w:t>项目名称：</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107"/>
          <w:sz w:val="24"/>
          <w:szCs w:val="24"/>
        </w:rPr>
        <w:t xml:space="preserve"> </w:t>
      </w:r>
      <w:r>
        <w:rPr>
          <w:rFonts w:ascii="宋体" w:hAnsi="宋体" w:eastAsia="宋体" w:cs="宋体"/>
          <w:color w:val="auto"/>
          <w:spacing w:val="-1"/>
          <w:sz w:val="24"/>
          <w:szCs w:val="24"/>
        </w:rPr>
        <w:t>项目编</w:t>
      </w:r>
      <w:r>
        <w:rPr>
          <w:rFonts w:ascii="宋体" w:hAnsi="宋体" w:eastAsia="宋体" w:cs="宋体"/>
          <w:color w:val="auto"/>
          <w:spacing w:val="-2"/>
          <w:sz w:val="24"/>
          <w:szCs w:val="24"/>
        </w:rPr>
        <w:t>号：</w:t>
      </w:r>
      <w:r>
        <w:rPr>
          <w:rFonts w:ascii="宋体" w:hAnsi="宋体" w:eastAsia="宋体" w:cs="宋体"/>
          <w:color w:val="auto"/>
          <w:sz w:val="24"/>
          <w:szCs w:val="24"/>
          <w:u w:val="single" w:color="auto"/>
        </w:rPr>
        <w:t xml:space="preserve">                   </w:t>
      </w:r>
    </w:p>
    <w:p w14:paraId="6E6E5440">
      <w:pPr>
        <w:spacing w:before="21"/>
        <w:rPr>
          <w:color w:val="auto"/>
        </w:rPr>
      </w:pPr>
    </w:p>
    <w:p w14:paraId="52D4699B">
      <w:pPr>
        <w:spacing w:before="21"/>
        <w:rPr>
          <w:color w:val="auto"/>
        </w:rPr>
      </w:pPr>
    </w:p>
    <w:tbl>
      <w:tblPr>
        <w:tblStyle w:val="10"/>
        <w:tblW w:w="93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1"/>
        <w:gridCol w:w="2666"/>
        <w:gridCol w:w="2349"/>
        <w:gridCol w:w="2116"/>
      </w:tblGrid>
      <w:tr w14:paraId="7BA39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2181" w:type="dxa"/>
            <w:vAlign w:val="top"/>
          </w:tcPr>
          <w:p w14:paraId="314B8AD4">
            <w:pPr>
              <w:pStyle w:val="9"/>
              <w:spacing w:before="206" w:line="220" w:lineRule="auto"/>
              <w:ind w:left="861"/>
              <w:rPr>
                <w:color w:val="auto"/>
                <w:sz w:val="24"/>
                <w:szCs w:val="24"/>
              </w:rPr>
            </w:pPr>
            <w:r>
              <w:rPr>
                <w:color w:val="auto"/>
                <w:spacing w:val="-7"/>
                <w:sz w:val="24"/>
                <w:szCs w:val="24"/>
              </w:rPr>
              <w:t>项目</w:t>
            </w:r>
          </w:p>
        </w:tc>
        <w:tc>
          <w:tcPr>
            <w:tcW w:w="2666" w:type="dxa"/>
            <w:vAlign w:val="top"/>
          </w:tcPr>
          <w:p w14:paraId="1B239B4C">
            <w:pPr>
              <w:pStyle w:val="9"/>
              <w:spacing w:before="206" w:line="219" w:lineRule="auto"/>
              <w:ind w:left="379"/>
              <w:rPr>
                <w:color w:val="auto"/>
                <w:sz w:val="24"/>
                <w:szCs w:val="24"/>
              </w:rPr>
            </w:pPr>
            <w:r>
              <w:rPr>
                <w:color w:val="auto"/>
                <w:spacing w:val="-2"/>
                <w:sz w:val="24"/>
                <w:szCs w:val="24"/>
              </w:rPr>
              <w:t>磋商文件商务要求</w:t>
            </w:r>
          </w:p>
        </w:tc>
        <w:tc>
          <w:tcPr>
            <w:tcW w:w="2349" w:type="dxa"/>
            <w:vAlign w:val="top"/>
          </w:tcPr>
          <w:p w14:paraId="32B7B85C">
            <w:pPr>
              <w:pStyle w:val="9"/>
              <w:spacing w:before="205" w:line="219" w:lineRule="auto"/>
              <w:ind w:left="462"/>
              <w:rPr>
                <w:color w:val="auto"/>
                <w:sz w:val="24"/>
                <w:szCs w:val="24"/>
              </w:rPr>
            </w:pPr>
            <w:r>
              <w:rPr>
                <w:color w:val="auto"/>
                <w:spacing w:val="-2"/>
                <w:sz w:val="24"/>
                <w:szCs w:val="24"/>
              </w:rPr>
              <w:t>供应商的响应</w:t>
            </w:r>
          </w:p>
        </w:tc>
        <w:tc>
          <w:tcPr>
            <w:tcW w:w="2116" w:type="dxa"/>
            <w:vAlign w:val="top"/>
          </w:tcPr>
          <w:p w14:paraId="7C3E7195">
            <w:pPr>
              <w:pStyle w:val="9"/>
              <w:spacing w:before="206" w:line="219" w:lineRule="auto"/>
              <w:ind w:left="585"/>
              <w:rPr>
                <w:color w:val="auto"/>
                <w:sz w:val="24"/>
                <w:szCs w:val="24"/>
              </w:rPr>
            </w:pPr>
            <w:r>
              <w:rPr>
                <w:color w:val="auto"/>
                <w:spacing w:val="-3"/>
                <w:sz w:val="24"/>
                <w:szCs w:val="24"/>
              </w:rPr>
              <w:t>偏离说明</w:t>
            </w:r>
          </w:p>
        </w:tc>
      </w:tr>
      <w:tr w14:paraId="06984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2181" w:type="dxa"/>
            <w:vAlign w:val="top"/>
          </w:tcPr>
          <w:p w14:paraId="2E146991">
            <w:pPr>
              <w:rPr>
                <w:rFonts w:ascii="Arial"/>
                <w:color w:val="auto"/>
                <w:sz w:val="21"/>
              </w:rPr>
            </w:pPr>
          </w:p>
        </w:tc>
        <w:tc>
          <w:tcPr>
            <w:tcW w:w="2666" w:type="dxa"/>
            <w:vAlign w:val="top"/>
          </w:tcPr>
          <w:p w14:paraId="0E82E48F">
            <w:pPr>
              <w:rPr>
                <w:rFonts w:ascii="Arial"/>
                <w:color w:val="auto"/>
                <w:sz w:val="21"/>
              </w:rPr>
            </w:pPr>
          </w:p>
        </w:tc>
        <w:tc>
          <w:tcPr>
            <w:tcW w:w="2349" w:type="dxa"/>
            <w:vAlign w:val="top"/>
          </w:tcPr>
          <w:p w14:paraId="2D9A8CA7">
            <w:pPr>
              <w:rPr>
                <w:rFonts w:ascii="Arial"/>
                <w:color w:val="auto"/>
                <w:sz w:val="21"/>
              </w:rPr>
            </w:pPr>
          </w:p>
        </w:tc>
        <w:tc>
          <w:tcPr>
            <w:tcW w:w="2116" w:type="dxa"/>
            <w:vAlign w:val="top"/>
          </w:tcPr>
          <w:p w14:paraId="3493F165">
            <w:pPr>
              <w:rPr>
                <w:rFonts w:ascii="Arial"/>
                <w:color w:val="auto"/>
                <w:sz w:val="21"/>
              </w:rPr>
            </w:pPr>
          </w:p>
        </w:tc>
      </w:tr>
      <w:tr w14:paraId="4AEDA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2181" w:type="dxa"/>
            <w:vAlign w:val="top"/>
          </w:tcPr>
          <w:p w14:paraId="52F518F2">
            <w:pPr>
              <w:rPr>
                <w:rFonts w:ascii="Arial"/>
                <w:color w:val="auto"/>
                <w:sz w:val="21"/>
              </w:rPr>
            </w:pPr>
          </w:p>
        </w:tc>
        <w:tc>
          <w:tcPr>
            <w:tcW w:w="2666" w:type="dxa"/>
            <w:vAlign w:val="top"/>
          </w:tcPr>
          <w:p w14:paraId="65F61EF3">
            <w:pPr>
              <w:rPr>
                <w:rFonts w:ascii="Arial"/>
                <w:color w:val="auto"/>
                <w:sz w:val="21"/>
              </w:rPr>
            </w:pPr>
          </w:p>
        </w:tc>
        <w:tc>
          <w:tcPr>
            <w:tcW w:w="2349" w:type="dxa"/>
            <w:vAlign w:val="top"/>
          </w:tcPr>
          <w:p w14:paraId="641C377C">
            <w:pPr>
              <w:rPr>
                <w:rFonts w:ascii="Arial"/>
                <w:color w:val="auto"/>
                <w:sz w:val="21"/>
              </w:rPr>
            </w:pPr>
          </w:p>
        </w:tc>
        <w:tc>
          <w:tcPr>
            <w:tcW w:w="2116" w:type="dxa"/>
            <w:vAlign w:val="top"/>
          </w:tcPr>
          <w:p w14:paraId="78E09A41">
            <w:pPr>
              <w:rPr>
                <w:rFonts w:ascii="Arial"/>
                <w:color w:val="auto"/>
                <w:sz w:val="21"/>
              </w:rPr>
            </w:pPr>
          </w:p>
        </w:tc>
      </w:tr>
      <w:tr w14:paraId="1F302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81" w:type="dxa"/>
            <w:vAlign w:val="top"/>
          </w:tcPr>
          <w:p w14:paraId="73B23556">
            <w:pPr>
              <w:rPr>
                <w:rFonts w:ascii="Arial"/>
                <w:color w:val="auto"/>
                <w:sz w:val="21"/>
              </w:rPr>
            </w:pPr>
          </w:p>
        </w:tc>
        <w:tc>
          <w:tcPr>
            <w:tcW w:w="2666" w:type="dxa"/>
            <w:vAlign w:val="top"/>
          </w:tcPr>
          <w:p w14:paraId="4867A696">
            <w:pPr>
              <w:rPr>
                <w:rFonts w:ascii="Arial"/>
                <w:color w:val="auto"/>
                <w:sz w:val="21"/>
              </w:rPr>
            </w:pPr>
          </w:p>
        </w:tc>
        <w:tc>
          <w:tcPr>
            <w:tcW w:w="2349" w:type="dxa"/>
            <w:vAlign w:val="top"/>
          </w:tcPr>
          <w:p w14:paraId="155A0375">
            <w:pPr>
              <w:rPr>
                <w:rFonts w:ascii="Arial"/>
                <w:color w:val="auto"/>
                <w:sz w:val="21"/>
              </w:rPr>
            </w:pPr>
          </w:p>
        </w:tc>
        <w:tc>
          <w:tcPr>
            <w:tcW w:w="2116" w:type="dxa"/>
            <w:vAlign w:val="top"/>
          </w:tcPr>
          <w:p w14:paraId="706A7508">
            <w:pPr>
              <w:rPr>
                <w:rFonts w:ascii="Arial"/>
                <w:color w:val="auto"/>
                <w:sz w:val="21"/>
              </w:rPr>
            </w:pPr>
          </w:p>
        </w:tc>
      </w:tr>
      <w:tr w14:paraId="29363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81" w:type="dxa"/>
            <w:vAlign w:val="top"/>
          </w:tcPr>
          <w:p w14:paraId="093C7506">
            <w:pPr>
              <w:rPr>
                <w:rFonts w:ascii="Arial"/>
                <w:color w:val="auto"/>
                <w:sz w:val="21"/>
              </w:rPr>
            </w:pPr>
          </w:p>
        </w:tc>
        <w:tc>
          <w:tcPr>
            <w:tcW w:w="2666" w:type="dxa"/>
            <w:vAlign w:val="top"/>
          </w:tcPr>
          <w:p w14:paraId="46528AD4">
            <w:pPr>
              <w:rPr>
                <w:rFonts w:ascii="Arial"/>
                <w:color w:val="auto"/>
                <w:sz w:val="21"/>
              </w:rPr>
            </w:pPr>
          </w:p>
        </w:tc>
        <w:tc>
          <w:tcPr>
            <w:tcW w:w="2349" w:type="dxa"/>
            <w:vAlign w:val="top"/>
          </w:tcPr>
          <w:p w14:paraId="7FDD61AE">
            <w:pPr>
              <w:rPr>
                <w:rFonts w:ascii="Arial"/>
                <w:color w:val="auto"/>
                <w:sz w:val="21"/>
              </w:rPr>
            </w:pPr>
          </w:p>
        </w:tc>
        <w:tc>
          <w:tcPr>
            <w:tcW w:w="2116" w:type="dxa"/>
            <w:vAlign w:val="top"/>
          </w:tcPr>
          <w:p w14:paraId="5547D844">
            <w:pPr>
              <w:rPr>
                <w:rFonts w:ascii="Arial"/>
                <w:color w:val="auto"/>
                <w:sz w:val="21"/>
              </w:rPr>
            </w:pPr>
          </w:p>
        </w:tc>
      </w:tr>
      <w:tr w14:paraId="69917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81" w:type="dxa"/>
            <w:vAlign w:val="top"/>
          </w:tcPr>
          <w:p w14:paraId="4965EB66">
            <w:pPr>
              <w:pStyle w:val="9"/>
              <w:spacing w:before="119" w:line="348" w:lineRule="exact"/>
              <w:ind w:left="992"/>
              <w:rPr>
                <w:color w:val="auto"/>
                <w:sz w:val="24"/>
                <w:szCs w:val="24"/>
              </w:rPr>
            </w:pPr>
            <w:r>
              <w:rPr>
                <w:color w:val="auto"/>
                <w:position w:val="2"/>
                <w:sz w:val="24"/>
                <w:szCs w:val="24"/>
              </w:rPr>
              <w:t>…</w:t>
            </w:r>
          </w:p>
        </w:tc>
        <w:tc>
          <w:tcPr>
            <w:tcW w:w="2666" w:type="dxa"/>
            <w:vAlign w:val="top"/>
          </w:tcPr>
          <w:p w14:paraId="77605BEC">
            <w:pPr>
              <w:rPr>
                <w:rFonts w:ascii="Arial"/>
                <w:color w:val="auto"/>
                <w:sz w:val="21"/>
              </w:rPr>
            </w:pPr>
          </w:p>
        </w:tc>
        <w:tc>
          <w:tcPr>
            <w:tcW w:w="2349" w:type="dxa"/>
            <w:vAlign w:val="top"/>
          </w:tcPr>
          <w:p w14:paraId="2D823440">
            <w:pPr>
              <w:rPr>
                <w:rFonts w:ascii="Arial"/>
                <w:color w:val="auto"/>
                <w:sz w:val="21"/>
              </w:rPr>
            </w:pPr>
          </w:p>
        </w:tc>
        <w:tc>
          <w:tcPr>
            <w:tcW w:w="2116" w:type="dxa"/>
            <w:vAlign w:val="top"/>
          </w:tcPr>
          <w:p w14:paraId="279818F7">
            <w:pPr>
              <w:rPr>
                <w:rFonts w:ascii="Arial"/>
                <w:color w:val="auto"/>
                <w:sz w:val="21"/>
              </w:rPr>
            </w:pPr>
          </w:p>
        </w:tc>
      </w:tr>
    </w:tbl>
    <w:p w14:paraId="0D6BB674">
      <w:pPr>
        <w:spacing w:line="251" w:lineRule="auto"/>
        <w:rPr>
          <w:rFonts w:ascii="Arial"/>
          <w:color w:val="auto"/>
          <w:sz w:val="21"/>
        </w:rPr>
      </w:pPr>
    </w:p>
    <w:p w14:paraId="40AB977C">
      <w:pPr>
        <w:spacing w:line="252" w:lineRule="auto"/>
        <w:rPr>
          <w:rFonts w:ascii="Arial"/>
          <w:color w:val="auto"/>
          <w:sz w:val="21"/>
        </w:rPr>
      </w:pPr>
    </w:p>
    <w:p w14:paraId="4975EB49">
      <w:pPr>
        <w:spacing w:before="78" w:line="224" w:lineRule="auto"/>
        <w:ind w:left="123"/>
        <w:rPr>
          <w:rFonts w:ascii="宋体" w:hAnsi="宋体" w:eastAsia="宋体" w:cs="宋体"/>
          <w:color w:val="auto"/>
          <w:sz w:val="24"/>
          <w:szCs w:val="24"/>
        </w:rPr>
      </w:pPr>
      <w:r>
        <w:rPr>
          <w:rFonts w:ascii="宋体" w:hAnsi="宋体" w:eastAsia="宋体" w:cs="宋体"/>
          <w:color w:val="auto"/>
          <w:spacing w:val="-5"/>
          <w:sz w:val="24"/>
          <w:szCs w:val="24"/>
        </w:rPr>
        <w:t>注：</w:t>
      </w:r>
    </w:p>
    <w:p w14:paraId="2837AD53">
      <w:pPr>
        <w:spacing w:before="176" w:line="290" w:lineRule="auto"/>
        <w:ind w:left="123" w:firstLine="496" w:firstLineChars="207"/>
        <w:rPr>
          <w:rFonts w:ascii="宋体" w:hAnsi="宋体" w:eastAsia="宋体" w:cs="宋体"/>
          <w:color w:val="auto"/>
          <w:sz w:val="24"/>
          <w:szCs w:val="24"/>
        </w:rPr>
      </w:pPr>
      <w:r>
        <w:rPr>
          <w:rFonts w:ascii="宋体" w:hAnsi="宋体" w:eastAsia="宋体" w:cs="宋体"/>
          <w:color w:val="auto"/>
          <w:sz w:val="24"/>
          <w:szCs w:val="24"/>
        </w:rPr>
        <w:t>1. 说明：应对照磋商文件“第三章 采购需求</w:t>
      </w:r>
      <w:r>
        <w:rPr>
          <w:rFonts w:ascii="宋体" w:hAnsi="宋体" w:eastAsia="宋体" w:cs="宋体"/>
          <w:color w:val="auto"/>
          <w:spacing w:val="-85"/>
          <w:sz w:val="24"/>
          <w:szCs w:val="24"/>
        </w:rPr>
        <w:t xml:space="preserve"> </w:t>
      </w:r>
      <w:r>
        <w:rPr>
          <w:rFonts w:ascii="宋体" w:hAnsi="宋体" w:eastAsia="宋体" w:cs="宋体"/>
          <w:color w:val="auto"/>
          <w:sz w:val="24"/>
          <w:szCs w:val="24"/>
        </w:rPr>
        <w:t>”中的商务要</w:t>
      </w:r>
      <w:r>
        <w:rPr>
          <w:rFonts w:ascii="宋体" w:hAnsi="宋体" w:eastAsia="宋体" w:cs="宋体"/>
          <w:color w:val="auto"/>
          <w:spacing w:val="-1"/>
          <w:sz w:val="24"/>
          <w:szCs w:val="24"/>
        </w:rPr>
        <w:t>求逐条作出明确响应，并作出</w:t>
      </w:r>
      <w:r>
        <w:rPr>
          <w:rFonts w:ascii="宋体" w:hAnsi="宋体" w:eastAsia="宋体" w:cs="宋体"/>
          <w:color w:val="auto"/>
          <w:spacing w:val="-2"/>
          <w:sz w:val="24"/>
          <w:szCs w:val="24"/>
        </w:rPr>
        <w:t>偏离说明。</w:t>
      </w:r>
    </w:p>
    <w:p w14:paraId="1EFDD5E9">
      <w:pPr>
        <w:spacing w:before="182" w:line="290" w:lineRule="auto"/>
        <w:ind w:left="123" w:right="50" w:firstLine="472" w:firstLineChars="200"/>
        <w:rPr>
          <w:rFonts w:ascii="宋体" w:hAnsi="宋体" w:eastAsia="宋体" w:cs="宋体"/>
          <w:color w:val="auto"/>
          <w:sz w:val="24"/>
          <w:szCs w:val="24"/>
        </w:rPr>
      </w:pPr>
      <w:r>
        <w:rPr>
          <w:rFonts w:ascii="宋体" w:hAnsi="宋体" w:eastAsia="宋体" w:cs="宋体"/>
          <w:color w:val="auto"/>
          <w:spacing w:val="-2"/>
          <w:sz w:val="24"/>
          <w:szCs w:val="24"/>
        </w:rPr>
        <w:t>2.供应商应根据自身的承诺，对照磋商文件要求在“偏离说明</w:t>
      </w:r>
      <w:r>
        <w:rPr>
          <w:rFonts w:ascii="宋体" w:hAnsi="宋体" w:eastAsia="宋体" w:cs="宋体"/>
          <w:color w:val="auto"/>
          <w:spacing w:val="-86"/>
          <w:sz w:val="24"/>
          <w:szCs w:val="24"/>
        </w:rPr>
        <w:t xml:space="preserve"> </w:t>
      </w:r>
      <w:r>
        <w:rPr>
          <w:rFonts w:ascii="宋体" w:hAnsi="宋体" w:eastAsia="宋体" w:cs="宋体"/>
          <w:color w:val="auto"/>
          <w:spacing w:val="-2"/>
          <w:sz w:val="24"/>
          <w:szCs w:val="24"/>
        </w:rPr>
        <w:t>”中注明“正偏离</w:t>
      </w:r>
      <w:r>
        <w:rPr>
          <w:rFonts w:ascii="宋体" w:hAnsi="宋体" w:eastAsia="宋体" w:cs="宋体"/>
          <w:color w:val="auto"/>
          <w:spacing w:val="-88"/>
          <w:sz w:val="24"/>
          <w:szCs w:val="24"/>
        </w:rPr>
        <w:t xml:space="preserve"> </w:t>
      </w:r>
      <w:r>
        <w:rPr>
          <w:rFonts w:hint="eastAsia" w:ascii="宋体" w:hAnsi="宋体" w:eastAsia="宋体" w:cs="宋体"/>
          <w:color w:val="auto"/>
          <w:spacing w:val="-88"/>
          <w:sz w:val="24"/>
          <w:szCs w:val="24"/>
          <w:lang w:eastAsia="zh-CN"/>
        </w:rPr>
        <w:t>”“</w:t>
      </w:r>
      <w:r>
        <w:rPr>
          <w:rFonts w:ascii="宋体" w:hAnsi="宋体" w:eastAsia="宋体" w:cs="宋体"/>
          <w:color w:val="auto"/>
          <w:spacing w:val="-2"/>
          <w:sz w:val="24"/>
          <w:szCs w:val="24"/>
        </w:rPr>
        <w:t>负</w:t>
      </w:r>
      <w:r>
        <w:rPr>
          <w:rFonts w:ascii="宋体" w:hAnsi="宋体" w:eastAsia="宋体" w:cs="宋体"/>
          <w:color w:val="auto"/>
          <w:spacing w:val="-4"/>
          <w:sz w:val="24"/>
          <w:szCs w:val="24"/>
        </w:rPr>
        <w:t>偏离</w:t>
      </w:r>
      <w:r>
        <w:rPr>
          <w:rFonts w:ascii="宋体" w:hAnsi="宋体" w:eastAsia="宋体" w:cs="宋体"/>
          <w:color w:val="auto"/>
          <w:spacing w:val="-78"/>
          <w:sz w:val="24"/>
          <w:szCs w:val="24"/>
        </w:rPr>
        <w:t xml:space="preserve"> </w:t>
      </w:r>
      <w:r>
        <w:rPr>
          <w:rFonts w:ascii="宋体" w:hAnsi="宋体" w:eastAsia="宋体" w:cs="宋体"/>
          <w:color w:val="auto"/>
          <w:spacing w:val="-4"/>
          <w:sz w:val="24"/>
          <w:szCs w:val="24"/>
        </w:rPr>
        <w:t>”或者“无偏离</w:t>
      </w:r>
      <w:r>
        <w:rPr>
          <w:rFonts w:ascii="宋体" w:hAnsi="宋体" w:eastAsia="宋体" w:cs="宋体"/>
          <w:color w:val="auto"/>
          <w:spacing w:val="-88"/>
          <w:sz w:val="24"/>
          <w:szCs w:val="24"/>
        </w:rPr>
        <w:t xml:space="preserve"> </w:t>
      </w:r>
      <w:r>
        <w:rPr>
          <w:rFonts w:ascii="宋体" w:hAnsi="宋体" w:eastAsia="宋体" w:cs="宋体"/>
          <w:color w:val="auto"/>
          <w:spacing w:val="-4"/>
          <w:sz w:val="24"/>
          <w:szCs w:val="24"/>
        </w:rPr>
        <w:t>”。既不属于“正偏离</w:t>
      </w:r>
      <w:r>
        <w:rPr>
          <w:rFonts w:ascii="宋体" w:hAnsi="宋体" w:eastAsia="宋体" w:cs="宋体"/>
          <w:color w:val="auto"/>
          <w:spacing w:val="-88"/>
          <w:sz w:val="24"/>
          <w:szCs w:val="24"/>
        </w:rPr>
        <w:t xml:space="preserve"> </w:t>
      </w:r>
      <w:r>
        <w:rPr>
          <w:rFonts w:ascii="宋体" w:hAnsi="宋体" w:eastAsia="宋体" w:cs="宋体"/>
          <w:color w:val="auto"/>
          <w:spacing w:val="-4"/>
          <w:sz w:val="24"/>
          <w:szCs w:val="24"/>
        </w:rPr>
        <w:t>”也不属于“负偏离</w:t>
      </w:r>
      <w:r>
        <w:rPr>
          <w:rFonts w:ascii="宋体" w:hAnsi="宋体" w:eastAsia="宋体" w:cs="宋体"/>
          <w:color w:val="auto"/>
          <w:spacing w:val="-88"/>
          <w:sz w:val="24"/>
          <w:szCs w:val="24"/>
        </w:rPr>
        <w:t xml:space="preserve"> </w:t>
      </w:r>
      <w:r>
        <w:rPr>
          <w:rFonts w:ascii="宋体" w:hAnsi="宋体" w:eastAsia="宋体" w:cs="宋体"/>
          <w:color w:val="auto"/>
          <w:spacing w:val="-4"/>
          <w:sz w:val="24"/>
          <w:szCs w:val="24"/>
        </w:rPr>
        <w:t>”即为“无偏离</w:t>
      </w:r>
      <w:r>
        <w:rPr>
          <w:rFonts w:ascii="宋体" w:hAnsi="宋体" w:eastAsia="宋体" w:cs="宋体"/>
          <w:color w:val="auto"/>
          <w:spacing w:val="-88"/>
          <w:sz w:val="24"/>
          <w:szCs w:val="24"/>
        </w:rPr>
        <w:t xml:space="preserve"> </w:t>
      </w:r>
      <w:r>
        <w:rPr>
          <w:rFonts w:ascii="宋体" w:hAnsi="宋体" w:eastAsia="宋体" w:cs="宋体"/>
          <w:color w:val="auto"/>
          <w:spacing w:val="-4"/>
          <w:sz w:val="24"/>
          <w:szCs w:val="24"/>
        </w:rPr>
        <w:t>”。</w:t>
      </w:r>
    </w:p>
    <w:p w14:paraId="5B41BFFB">
      <w:pPr>
        <w:spacing w:line="284" w:lineRule="auto"/>
        <w:rPr>
          <w:rFonts w:ascii="Arial"/>
          <w:color w:val="auto"/>
          <w:sz w:val="21"/>
        </w:rPr>
      </w:pPr>
    </w:p>
    <w:p w14:paraId="178215EA">
      <w:pPr>
        <w:spacing w:line="284" w:lineRule="auto"/>
        <w:rPr>
          <w:rFonts w:ascii="Arial"/>
          <w:color w:val="auto"/>
          <w:sz w:val="21"/>
        </w:rPr>
      </w:pPr>
    </w:p>
    <w:p w14:paraId="39623997">
      <w:pPr>
        <w:spacing w:before="78" w:line="219" w:lineRule="auto"/>
        <w:ind w:left="2763"/>
        <w:rPr>
          <w:rFonts w:ascii="宋体" w:hAnsi="宋体" w:eastAsia="宋体" w:cs="宋体"/>
          <w:color w:val="auto"/>
          <w:sz w:val="24"/>
          <w:szCs w:val="24"/>
        </w:rPr>
      </w:pPr>
      <w:r>
        <w:rPr>
          <w:rFonts w:ascii="宋体" w:hAnsi="宋体" w:eastAsia="宋体" w:cs="宋体"/>
          <w:color w:val="auto"/>
          <w:spacing w:val="-2"/>
          <w:sz w:val="24"/>
          <w:szCs w:val="24"/>
        </w:rPr>
        <w:t>供应商（电子签章</w:t>
      </w:r>
      <w:r>
        <w:rPr>
          <w:rFonts w:ascii="宋体" w:hAnsi="宋体" w:eastAsia="宋体" w:cs="宋体"/>
          <w:color w:val="auto"/>
          <w:spacing w:val="2"/>
          <w:sz w:val="24"/>
          <w:szCs w:val="24"/>
        </w:rPr>
        <w:t>）：</w:t>
      </w:r>
    </w:p>
    <w:p w14:paraId="519C4C84">
      <w:pPr>
        <w:spacing w:before="184" w:line="219" w:lineRule="auto"/>
        <w:ind w:left="4244"/>
        <w:rPr>
          <w:rFonts w:ascii="宋体" w:hAnsi="宋体" w:eastAsia="宋体" w:cs="宋体"/>
          <w:color w:val="auto"/>
          <w:sz w:val="24"/>
          <w:szCs w:val="24"/>
        </w:rPr>
      </w:pPr>
      <w:r>
        <w:rPr>
          <w:rFonts w:ascii="宋体" w:hAnsi="宋体" w:eastAsia="宋体" w:cs="宋体"/>
          <w:color w:val="auto"/>
          <w:spacing w:val="-13"/>
          <w:sz w:val="24"/>
          <w:szCs w:val="24"/>
        </w:rPr>
        <w:t>日期：</w:t>
      </w:r>
      <w:r>
        <w:rPr>
          <w:rFonts w:ascii="宋体" w:hAnsi="宋体" w:eastAsia="宋体" w:cs="宋体"/>
          <w:color w:val="auto"/>
          <w:spacing w:val="3"/>
          <w:sz w:val="24"/>
          <w:szCs w:val="24"/>
        </w:rPr>
        <w:t xml:space="preserve">   </w:t>
      </w:r>
      <w:r>
        <w:rPr>
          <w:rFonts w:ascii="宋体" w:hAnsi="宋体" w:eastAsia="宋体" w:cs="宋体"/>
          <w:color w:val="auto"/>
          <w:spacing w:val="-13"/>
          <w:sz w:val="24"/>
          <w:szCs w:val="24"/>
        </w:rPr>
        <w:t>年</w:t>
      </w:r>
      <w:r>
        <w:rPr>
          <w:rFonts w:ascii="宋体" w:hAnsi="宋体" w:eastAsia="宋体" w:cs="宋体"/>
          <w:color w:val="auto"/>
          <w:spacing w:val="5"/>
          <w:sz w:val="24"/>
          <w:szCs w:val="24"/>
        </w:rPr>
        <w:t xml:space="preserve">   </w:t>
      </w:r>
      <w:r>
        <w:rPr>
          <w:rFonts w:ascii="宋体" w:hAnsi="宋体" w:eastAsia="宋体" w:cs="宋体"/>
          <w:color w:val="auto"/>
          <w:spacing w:val="-13"/>
          <w:sz w:val="24"/>
          <w:szCs w:val="24"/>
        </w:rPr>
        <w:t>月</w:t>
      </w:r>
      <w:r>
        <w:rPr>
          <w:rFonts w:ascii="宋体" w:hAnsi="宋体" w:eastAsia="宋体" w:cs="宋体"/>
          <w:color w:val="auto"/>
          <w:spacing w:val="17"/>
          <w:sz w:val="24"/>
          <w:szCs w:val="24"/>
        </w:rPr>
        <w:t xml:space="preserve">   </w:t>
      </w:r>
      <w:r>
        <w:rPr>
          <w:rFonts w:ascii="宋体" w:hAnsi="宋体" w:eastAsia="宋体" w:cs="宋体"/>
          <w:color w:val="auto"/>
          <w:spacing w:val="-13"/>
          <w:sz w:val="24"/>
          <w:szCs w:val="24"/>
        </w:rPr>
        <w:t>日</w:t>
      </w:r>
    </w:p>
    <w:p w14:paraId="06FAC058">
      <w:pPr>
        <w:spacing w:line="219" w:lineRule="auto"/>
        <w:rPr>
          <w:rFonts w:ascii="宋体" w:hAnsi="宋体" w:eastAsia="宋体" w:cs="宋体"/>
          <w:color w:val="auto"/>
          <w:sz w:val="24"/>
          <w:szCs w:val="24"/>
        </w:rPr>
        <w:sectPr>
          <w:footerReference r:id="rId26" w:type="default"/>
          <w:pgSz w:w="11906" w:h="16839"/>
          <w:pgMar w:top="1182" w:right="1247" w:bottom="1362" w:left="1134" w:header="0" w:footer="1200" w:gutter="0"/>
          <w:pgNumType w:fmt="decimal"/>
          <w:cols w:space="720" w:num="1"/>
        </w:sectPr>
      </w:pPr>
    </w:p>
    <w:p w14:paraId="4E6487EB">
      <w:pPr>
        <w:spacing w:before="88" w:line="223" w:lineRule="auto"/>
        <w:ind w:left="3298"/>
        <w:rPr>
          <w:rFonts w:ascii="宋体" w:hAnsi="宋体" w:eastAsia="宋体" w:cs="宋体"/>
          <w:color w:val="auto"/>
          <w:sz w:val="43"/>
          <w:szCs w:val="43"/>
        </w:rPr>
      </w:pPr>
      <w:r>
        <w:rPr>
          <w:rFonts w:ascii="宋体" w:hAnsi="宋体" w:eastAsia="宋体" w:cs="宋体"/>
          <w:color w:val="auto"/>
          <w:spacing w:val="7"/>
          <w:sz w:val="43"/>
          <w:szCs w:val="43"/>
        </w:rPr>
        <w:t>技术要求偏离表</w:t>
      </w:r>
    </w:p>
    <w:p w14:paraId="71F90797">
      <w:pPr>
        <w:spacing w:line="339" w:lineRule="auto"/>
        <w:rPr>
          <w:rFonts w:ascii="Arial"/>
          <w:color w:val="auto"/>
          <w:sz w:val="21"/>
        </w:rPr>
      </w:pPr>
    </w:p>
    <w:p w14:paraId="0DBBEF2C">
      <w:pPr>
        <w:spacing w:line="340" w:lineRule="auto"/>
        <w:rPr>
          <w:rFonts w:ascii="Arial"/>
          <w:color w:val="auto"/>
          <w:sz w:val="21"/>
        </w:rPr>
      </w:pPr>
    </w:p>
    <w:p w14:paraId="0D0B6AE2">
      <w:pPr>
        <w:spacing w:before="183" w:line="219" w:lineRule="auto"/>
        <w:ind w:left="122"/>
        <w:rPr>
          <w:rFonts w:ascii="宋体" w:hAnsi="宋体" w:eastAsia="宋体" w:cs="宋体"/>
          <w:color w:val="auto"/>
          <w:sz w:val="24"/>
          <w:szCs w:val="24"/>
        </w:rPr>
      </w:pPr>
      <w:r>
        <w:rPr>
          <w:rFonts w:ascii="宋体" w:hAnsi="宋体" w:eastAsia="宋体" w:cs="宋体"/>
          <w:color w:val="auto"/>
          <w:spacing w:val="-1"/>
          <w:sz w:val="24"/>
          <w:szCs w:val="24"/>
        </w:rPr>
        <w:t>项目名称：</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107"/>
          <w:sz w:val="24"/>
          <w:szCs w:val="24"/>
        </w:rPr>
        <w:t xml:space="preserve"> </w:t>
      </w:r>
      <w:r>
        <w:rPr>
          <w:rFonts w:ascii="宋体" w:hAnsi="宋体" w:eastAsia="宋体" w:cs="宋体"/>
          <w:color w:val="auto"/>
          <w:spacing w:val="-1"/>
          <w:sz w:val="24"/>
          <w:szCs w:val="24"/>
        </w:rPr>
        <w:t>项目编</w:t>
      </w:r>
      <w:r>
        <w:rPr>
          <w:rFonts w:ascii="宋体" w:hAnsi="宋体" w:eastAsia="宋体" w:cs="宋体"/>
          <w:color w:val="auto"/>
          <w:spacing w:val="-2"/>
          <w:sz w:val="24"/>
          <w:szCs w:val="24"/>
        </w:rPr>
        <w:t>号：</w:t>
      </w:r>
      <w:r>
        <w:rPr>
          <w:rFonts w:ascii="宋体" w:hAnsi="宋体" w:eastAsia="宋体" w:cs="宋体"/>
          <w:color w:val="auto"/>
          <w:sz w:val="24"/>
          <w:szCs w:val="24"/>
          <w:u w:val="single" w:color="auto"/>
        </w:rPr>
        <w:t xml:space="preserve">                   </w:t>
      </w:r>
    </w:p>
    <w:p w14:paraId="1525D736">
      <w:pPr>
        <w:spacing w:before="183" w:line="220" w:lineRule="auto"/>
        <w:ind w:left="126"/>
        <w:rPr>
          <w:rFonts w:ascii="宋体" w:hAnsi="宋体" w:eastAsia="宋体" w:cs="宋体"/>
          <w:color w:val="auto"/>
          <w:sz w:val="24"/>
          <w:szCs w:val="24"/>
        </w:rPr>
      </w:pPr>
    </w:p>
    <w:p w14:paraId="6F6915A3">
      <w:pPr>
        <w:spacing w:line="66" w:lineRule="exact"/>
        <w:rPr>
          <w:color w:val="auto"/>
        </w:rPr>
      </w:pPr>
    </w:p>
    <w:tbl>
      <w:tblPr>
        <w:tblStyle w:val="10"/>
        <w:tblW w:w="9632"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3"/>
        <w:gridCol w:w="968"/>
        <w:gridCol w:w="3214"/>
        <w:gridCol w:w="2894"/>
        <w:gridCol w:w="1583"/>
      </w:tblGrid>
      <w:tr w14:paraId="29644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973" w:type="dxa"/>
            <w:tcBorders>
              <w:top w:val="single" w:color="000000" w:sz="2" w:space="0"/>
              <w:left w:val="single" w:color="000000" w:sz="2" w:space="0"/>
            </w:tcBorders>
            <w:vAlign w:val="top"/>
          </w:tcPr>
          <w:p w14:paraId="49CA8874">
            <w:pPr>
              <w:pStyle w:val="9"/>
              <w:spacing w:before="119" w:line="221" w:lineRule="auto"/>
              <w:ind w:left="251"/>
              <w:rPr>
                <w:color w:val="auto"/>
                <w:sz w:val="24"/>
                <w:szCs w:val="24"/>
              </w:rPr>
            </w:pPr>
            <w:r>
              <w:rPr>
                <w:color w:val="auto"/>
                <w:spacing w:val="-5"/>
                <w:sz w:val="24"/>
                <w:szCs w:val="24"/>
              </w:rPr>
              <w:t>序号</w:t>
            </w:r>
          </w:p>
        </w:tc>
        <w:tc>
          <w:tcPr>
            <w:tcW w:w="968" w:type="dxa"/>
            <w:tcBorders>
              <w:top w:val="single" w:color="000000" w:sz="2" w:space="0"/>
              <w:right w:val="single" w:color="000000" w:sz="2" w:space="0"/>
            </w:tcBorders>
            <w:vAlign w:val="top"/>
          </w:tcPr>
          <w:p w14:paraId="24140032">
            <w:pPr>
              <w:pStyle w:val="9"/>
              <w:spacing w:before="120" w:line="221" w:lineRule="auto"/>
              <w:ind w:left="249"/>
              <w:rPr>
                <w:color w:val="auto"/>
                <w:sz w:val="24"/>
                <w:szCs w:val="24"/>
              </w:rPr>
            </w:pPr>
            <w:r>
              <w:rPr>
                <w:color w:val="auto"/>
                <w:spacing w:val="-7"/>
                <w:sz w:val="24"/>
                <w:szCs w:val="24"/>
              </w:rPr>
              <w:t>名称</w:t>
            </w:r>
          </w:p>
        </w:tc>
        <w:tc>
          <w:tcPr>
            <w:tcW w:w="3214" w:type="dxa"/>
            <w:tcBorders>
              <w:top w:val="single" w:color="000000" w:sz="2" w:space="0"/>
              <w:left w:val="single" w:color="000000" w:sz="2" w:space="0"/>
            </w:tcBorders>
            <w:vAlign w:val="top"/>
          </w:tcPr>
          <w:p w14:paraId="7CA29AB8">
            <w:pPr>
              <w:pStyle w:val="9"/>
              <w:spacing w:before="120" w:line="219" w:lineRule="auto"/>
              <w:ind w:left="652"/>
              <w:rPr>
                <w:color w:val="auto"/>
                <w:sz w:val="24"/>
                <w:szCs w:val="24"/>
              </w:rPr>
            </w:pPr>
            <w:r>
              <w:rPr>
                <w:color w:val="auto"/>
                <w:spacing w:val="-2"/>
                <w:sz w:val="24"/>
                <w:szCs w:val="24"/>
              </w:rPr>
              <w:t>磋商文件技术要求</w:t>
            </w:r>
          </w:p>
        </w:tc>
        <w:tc>
          <w:tcPr>
            <w:tcW w:w="2894" w:type="dxa"/>
            <w:tcBorders>
              <w:top w:val="single" w:color="000000" w:sz="2" w:space="0"/>
            </w:tcBorders>
            <w:vAlign w:val="top"/>
          </w:tcPr>
          <w:p w14:paraId="28591FCA">
            <w:pPr>
              <w:pStyle w:val="9"/>
              <w:spacing w:before="120" w:line="220" w:lineRule="auto"/>
              <w:ind w:left="975"/>
              <w:rPr>
                <w:color w:val="auto"/>
                <w:sz w:val="24"/>
                <w:szCs w:val="24"/>
              </w:rPr>
            </w:pPr>
            <w:r>
              <w:rPr>
                <w:color w:val="auto"/>
                <w:spacing w:val="-4"/>
                <w:sz w:val="24"/>
                <w:szCs w:val="24"/>
              </w:rPr>
              <w:t>竞标响应</w:t>
            </w:r>
          </w:p>
        </w:tc>
        <w:tc>
          <w:tcPr>
            <w:tcW w:w="1583" w:type="dxa"/>
            <w:tcBorders>
              <w:top w:val="single" w:color="000000" w:sz="2" w:space="0"/>
              <w:right w:val="single" w:color="000000" w:sz="2" w:space="0"/>
            </w:tcBorders>
            <w:vAlign w:val="top"/>
          </w:tcPr>
          <w:p w14:paraId="50A2F541">
            <w:pPr>
              <w:pStyle w:val="9"/>
              <w:spacing w:before="120" w:line="219" w:lineRule="auto"/>
              <w:ind w:left="315"/>
              <w:rPr>
                <w:color w:val="auto"/>
                <w:sz w:val="24"/>
                <w:szCs w:val="24"/>
              </w:rPr>
            </w:pPr>
            <w:r>
              <w:rPr>
                <w:color w:val="auto"/>
                <w:spacing w:val="-3"/>
                <w:sz w:val="24"/>
                <w:szCs w:val="24"/>
              </w:rPr>
              <w:t>偏离说明</w:t>
            </w:r>
          </w:p>
        </w:tc>
      </w:tr>
      <w:tr w14:paraId="33B4E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973" w:type="dxa"/>
            <w:tcBorders>
              <w:left w:val="single" w:color="000000" w:sz="2" w:space="0"/>
            </w:tcBorders>
            <w:vAlign w:val="top"/>
          </w:tcPr>
          <w:p w14:paraId="5D425AAB">
            <w:pPr>
              <w:pStyle w:val="9"/>
              <w:spacing w:before="112" w:line="241" w:lineRule="auto"/>
              <w:ind w:left="450"/>
              <w:rPr>
                <w:color w:val="auto"/>
                <w:sz w:val="24"/>
                <w:szCs w:val="24"/>
              </w:rPr>
            </w:pPr>
            <w:r>
              <w:rPr>
                <w:color w:val="auto"/>
                <w:sz w:val="24"/>
                <w:szCs w:val="24"/>
              </w:rPr>
              <w:t>1</w:t>
            </w:r>
          </w:p>
        </w:tc>
        <w:tc>
          <w:tcPr>
            <w:tcW w:w="968" w:type="dxa"/>
            <w:tcBorders>
              <w:right w:val="single" w:color="000000" w:sz="2" w:space="0"/>
            </w:tcBorders>
            <w:vAlign w:val="top"/>
          </w:tcPr>
          <w:p w14:paraId="211F6733">
            <w:pPr>
              <w:rPr>
                <w:rFonts w:ascii="Arial"/>
                <w:color w:val="auto"/>
                <w:sz w:val="21"/>
              </w:rPr>
            </w:pPr>
          </w:p>
        </w:tc>
        <w:tc>
          <w:tcPr>
            <w:tcW w:w="3214" w:type="dxa"/>
            <w:tcBorders>
              <w:left w:val="single" w:color="000000" w:sz="2" w:space="0"/>
            </w:tcBorders>
            <w:vAlign w:val="top"/>
          </w:tcPr>
          <w:p w14:paraId="493E4295">
            <w:pPr>
              <w:rPr>
                <w:rFonts w:ascii="Arial"/>
                <w:color w:val="auto"/>
                <w:sz w:val="21"/>
              </w:rPr>
            </w:pPr>
          </w:p>
        </w:tc>
        <w:tc>
          <w:tcPr>
            <w:tcW w:w="2894" w:type="dxa"/>
            <w:vAlign w:val="top"/>
          </w:tcPr>
          <w:p w14:paraId="560BD00F">
            <w:pPr>
              <w:rPr>
                <w:rFonts w:ascii="Arial"/>
                <w:color w:val="auto"/>
                <w:sz w:val="21"/>
              </w:rPr>
            </w:pPr>
          </w:p>
        </w:tc>
        <w:tc>
          <w:tcPr>
            <w:tcW w:w="1583" w:type="dxa"/>
            <w:tcBorders>
              <w:right w:val="single" w:color="000000" w:sz="2" w:space="0"/>
            </w:tcBorders>
            <w:vAlign w:val="top"/>
          </w:tcPr>
          <w:p w14:paraId="16F82816">
            <w:pPr>
              <w:rPr>
                <w:rFonts w:ascii="Arial"/>
                <w:color w:val="auto"/>
                <w:sz w:val="21"/>
              </w:rPr>
            </w:pPr>
          </w:p>
        </w:tc>
      </w:tr>
      <w:tr w14:paraId="40837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973" w:type="dxa"/>
            <w:tcBorders>
              <w:left w:val="single" w:color="000000" w:sz="2" w:space="0"/>
            </w:tcBorders>
            <w:vAlign w:val="top"/>
          </w:tcPr>
          <w:p w14:paraId="46BF61C2">
            <w:pPr>
              <w:pStyle w:val="9"/>
              <w:spacing w:before="112" w:line="241" w:lineRule="auto"/>
              <w:ind w:left="435"/>
              <w:rPr>
                <w:color w:val="auto"/>
                <w:sz w:val="24"/>
                <w:szCs w:val="24"/>
              </w:rPr>
            </w:pPr>
            <w:r>
              <w:rPr>
                <w:color w:val="auto"/>
                <w:sz w:val="24"/>
                <w:szCs w:val="24"/>
              </w:rPr>
              <w:t>2</w:t>
            </w:r>
          </w:p>
        </w:tc>
        <w:tc>
          <w:tcPr>
            <w:tcW w:w="968" w:type="dxa"/>
            <w:tcBorders>
              <w:right w:val="single" w:color="000000" w:sz="2" w:space="0"/>
            </w:tcBorders>
            <w:vAlign w:val="top"/>
          </w:tcPr>
          <w:p w14:paraId="769D7F94">
            <w:pPr>
              <w:rPr>
                <w:rFonts w:ascii="Arial"/>
                <w:color w:val="auto"/>
                <w:sz w:val="21"/>
              </w:rPr>
            </w:pPr>
          </w:p>
        </w:tc>
        <w:tc>
          <w:tcPr>
            <w:tcW w:w="3214" w:type="dxa"/>
            <w:tcBorders>
              <w:left w:val="single" w:color="000000" w:sz="2" w:space="0"/>
            </w:tcBorders>
            <w:vAlign w:val="top"/>
          </w:tcPr>
          <w:p w14:paraId="097AEB09">
            <w:pPr>
              <w:rPr>
                <w:rFonts w:ascii="Arial"/>
                <w:color w:val="auto"/>
                <w:sz w:val="21"/>
              </w:rPr>
            </w:pPr>
          </w:p>
        </w:tc>
        <w:tc>
          <w:tcPr>
            <w:tcW w:w="2894" w:type="dxa"/>
            <w:vAlign w:val="top"/>
          </w:tcPr>
          <w:p w14:paraId="4F4E5457">
            <w:pPr>
              <w:rPr>
                <w:rFonts w:ascii="Arial"/>
                <w:color w:val="auto"/>
                <w:sz w:val="21"/>
              </w:rPr>
            </w:pPr>
          </w:p>
        </w:tc>
        <w:tc>
          <w:tcPr>
            <w:tcW w:w="1583" w:type="dxa"/>
            <w:tcBorders>
              <w:right w:val="single" w:color="000000" w:sz="2" w:space="0"/>
            </w:tcBorders>
            <w:vAlign w:val="top"/>
          </w:tcPr>
          <w:p w14:paraId="5C0BA21E">
            <w:pPr>
              <w:rPr>
                <w:rFonts w:ascii="Arial"/>
                <w:color w:val="auto"/>
                <w:sz w:val="21"/>
              </w:rPr>
            </w:pPr>
          </w:p>
        </w:tc>
      </w:tr>
      <w:tr w14:paraId="2B533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973" w:type="dxa"/>
            <w:tcBorders>
              <w:left w:val="single" w:color="000000" w:sz="2" w:space="0"/>
            </w:tcBorders>
            <w:vAlign w:val="top"/>
          </w:tcPr>
          <w:p w14:paraId="0B321A48">
            <w:pPr>
              <w:pStyle w:val="9"/>
              <w:spacing w:before="115"/>
              <w:ind w:left="437"/>
              <w:rPr>
                <w:color w:val="auto"/>
                <w:sz w:val="24"/>
                <w:szCs w:val="24"/>
              </w:rPr>
            </w:pPr>
            <w:r>
              <w:rPr>
                <w:color w:val="auto"/>
                <w:sz w:val="24"/>
                <w:szCs w:val="24"/>
              </w:rPr>
              <w:t>3</w:t>
            </w:r>
          </w:p>
        </w:tc>
        <w:tc>
          <w:tcPr>
            <w:tcW w:w="968" w:type="dxa"/>
            <w:tcBorders>
              <w:right w:val="single" w:color="000000" w:sz="2" w:space="0"/>
            </w:tcBorders>
            <w:vAlign w:val="top"/>
          </w:tcPr>
          <w:p w14:paraId="38DEC073">
            <w:pPr>
              <w:rPr>
                <w:rFonts w:ascii="Arial"/>
                <w:color w:val="auto"/>
                <w:sz w:val="21"/>
              </w:rPr>
            </w:pPr>
          </w:p>
        </w:tc>
        <w:tc>
          <w:tcPr>
            <w:tcW w:w="3214" w:type="dxa"/>
            <w:tcBorders>
              <w:left w:val="single" w:color="000000" w:sz="2" w:space="0"/>
            </w:tcBorders>
            <w:vAlign w:val="top"/>
          </w:tcPr>
          <w:p w14:paraId="3D9F4989">
            <w:pPr>
              <w:rPr>
                <w:rFonts w:ascii="Arial"/>
                <w:color w:val="auto"/>
                <w:sz w:val="21"/>
              </w:rPr>
            </w:pPr>
          </w:p>
        </w:tc>
        <w:tc>
          <w:tcPr>
            <w:tcW w:w="2894" w:type="dxa"/>
            <w:vAlign w:val="top"/>
          </w:tcPr>
          <w:p w14:paraId="18DEF845">
            <w:pPr>
              <w:rPr>
                <w:rFonts w:ascii="Arial"/>
                <w:color w:val="auto"/>
                <w:sz w:val="21"/>
              </w:rPr>
            </w:pPr>
          </w:p>
        </w:tc>
        <w:tc>
          <w:tcPr>
            <w:tcW w:w="1583" w:type="dxa"/>
            <w:tcBorders>
              <w:right w:val="single" w:color="000000" w:sz="2" w:space="0"/>
            </w:tcBorders>
            <w:vAlign w:val="top"/>
          </w:tcPr>
          <w:p w14:paraId="181999E5">
            <w:pPr>
              <w:rPr>
                <w:rFonts w:ascii="Arial"/>
                <w:color w:val="auto"/>
                <w:sz w:val="21"/>
              </w:rPr>
            </w:pPr>
          </w:p>
        </w:tc>
      </w:tr>
      <w:tr w14:paraId="127EB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973" w:type="dxa"/>
            <w:tcBorders>
              <w:left w:val="single" w:color="000000" w:sz="2" w:space="0"/>
            </w:tcBorders>
            <w:vAlign w:val="top"/>
          </w:tcPr>
          <w:p w14:paraId="77C54CDE">
            <w:pPr>
              <w:pStyle w:val="9"/>
              <w:spacing w:before="116" w:line="241" w:lineRule="auto"/>
              <w:ind w:left="431"/>
              <w:rPr>
                <w:color w:val="auto"/>
                <w:sz w:val="24"/>
                <w:szCs w:val="24"/>
              </w:rPr>
            </w:pPr>
            <w:r>
              <w:rPr>
                <w:color w:val="auto"/>
                <w:sz w:val="24"/>
                <w:szCs w:val="24"/>
              </w:rPr>
              <w:t>4</w:t>
            </w:r>
          </w:p>
        </w:tc>
        <w:tc>
          <w:tcPr>
            <w:tcW w:w="968" w:type="dxa"/>
            <w:tcBorders>
              <w:right w:val="single" w:color="000000" w:sz="2" w:space="0"/>
            </w:tcBorders>
            <w:vAlign w:val="top"/>
          </w:tcPr>
          <w:p w14:paraId="2AD85568">
            <w:pPr>
              <w:rPr>
                <w:rFonts w:ascii="Arial"/>
                <w:color w:val="auto"/>
                <w:sz w:val="21"/>
              </w:rPr>
            </w:pPr>
          </w:p>
        </w:tc>
        <w:tc>
          <w:tcPr>
            <w:tcW w:w="3214" w:type="dxa"/>
            <w:tcBorders>
              <w:left w:val="single" w:color="000000" w:sz="2" w:space="0"/>
            </w:tcBorders>
            <w:vAlign w:val="top"/>
          </w:tcPr>
          <w:p w14:paraId="26972364">
            <w:pPr>
              <w:rPr>
                <w:rFonts w:ascii="Arial"/>
                <w:color w:val="auto"/>
                <w:sz w:val="21"/>
              </w:rPr>
            </w:pPr>
          </w:p>
        </w:tc>
        <w:tc>
          <w:tcPr>
            <w:tcW w:w="2894" w:type="dxa"/>
            <w:vAlign w:val="top"/>
          </w:tcPr>
          <w:p w14:paraId="14E5A4C5">
            <w:pPr>
              <w:rPr>
                <w:rFonts w:ascii="Arial"/>
                <w:color w:val="auto"/>
                <w:sz w:val="21"/>
              </w:rPr>
            </w:pPr>
          </w:p>
        </w:tc>
        <w:tc>
          <w:tcPr>
            <w:tcW w:w="1583" w:type="dxa"/>
            <w:tcBorders>
              <w:right w:val="single" w:color="000000" w:sz="2" w:space="0"/>
            </w:tcBorders>
            <w:vAlign w:val="top"/>
          </w:tcPr>
          <w:p w14:paraId="68D49598">
            <w:pPr>
              <w:rPr>
                <w:rFonts w:ascii="Arial"/>
                <w:color w:val="auto"/>
                <w:sz w:val="21"/>
              </w:rPr>
            </w:pPr>
          </w:p>
        </w:tc>
      </w:tr>
      <w:tr w14:paraId="3DB67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973" w:type="dxa"/>
            <w:tcBorders>
              <w:left w:val="single" w:color="000000" w:sz="2" w:space="0"/>
            </w:tcBorders>
            <w:vAlign w:val="top"/>
          </w:tcPr>
          <w:p w14:paraId="7B3C680F">
            <w:pPr>
              <w:pStyle w:val="9"/>
              <w:spacing w:before="116"/>
              <w:ind w:left="437"/>
              <w:rPr>
                <w:color w:val="auto"/>
                <w:sz w:val="24"/>
                <w:szCs w:val="24"/>
              </w:rPr>
            </w:pPr>
            <w:r>
              <w:rPr>
                <w:color w:val="auto"/>
                <w:sz w:val="24"/>
                <w:szCs w:val="24"/>
              </w:rPr>
              <w:t>5</w:t>
            </w:r>
          </w:p>
        </w:tc>
        <w:tc>
          <w:tcPr>
            <w:tcW w:w="968" w:type="dxa"/>
            <w:tcBorders>
              <w:right w:val="single" w:color="000000" w:sz="2" w:space="0"/>
            </w:tcBorders>
            <w:vAlign w:val="top"/>
          </w:tcPr>
          <w:p w14:paraId="75B82CF7">
            <w:pPr>
              <w:rPr>
                <w:rFonts w:ascii="Arial"/>
                <w:color w:val="auto"/>
                <w:sz w:val="21"/>
              </w:rPr>
            </w:pPr>
          </w:p>
        </w:tc>
        <w:tc>
          <w:tcPr>
            <w:tcW w:w="3214" w:type="dxa"/>
            <w:tcBorders>
              <w:left w:val="single" w:color="000000" w:sz="2" w:space="0"/>
            </w:tcBorders>
            <w:vAlign w:val="top"/>
          </w:tcPr>
          <w:p w14:paraId="7C8BF520">
            <w:pPr>
              <w:rPr>
                <w:rFonts w:ascii="Arial"/>
                <w:color w:val="auto"/>
                <w:sz w:val="21"/>
              </w:rPr>
            </w:pPr>
          </w:p>
        </w:tc>
        <w:tc>
          <w:tcPr>
            <w:tcW w:w="2894" w:type="dxa"/>
            <w:vAlign w:val="top"/>
          </w:tcPr>
          <w:p w14:paraId="7A041131">
            <w:pPr>
              <w:rPr>
                <w:rFonts w:ascii="Arial"/>
                <w:color w:val="auto"/>
                <w:sz w:val="21"/>
              </w:rPr>
            </w:pPr>
          </w:p>
        </w:tc>
        <w:tc>
          <w:tcPr>
            <w:tcW w:w="1583" w:type="dxa"/>
            <w:tcBorders>
              <w:right w:val="single" w:color="000000" w:sz="2" w:space="0"/>
            </w:tcBorders>
            <w:vAlign w:val="top"/>
          </w:tcPr>
          <w:p w14:paraId="290BC1C1">
            <w:pPr>
              <w:rPr>
                <w:rFonts w:ascii="Arial"/>
                <w:color w:val="auto"/>
                <w:sz w:val="21"/>
              </w:rPr>
            </w:pPr>
          </w:p>
        </w:tc>
      </w:tr>
      <w:tr w14:paraId="2D72F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973" w:type="dxa"/>
            <w:tcBorders>
              <w:left w:val="single" w:color="000000" w:sz="2" w:space="0"/>
              <w:bottom w:val="single" w:color="000000" w:sz="2" w:space="0"/>
            </w:tcBorders>
            <w:vAlign w:val="top"/>
          </w:tcPr>
          <w:p w14:paraId="2A0EFC74">
            <w:pPr>
              <w:pStyle w:val="9"/>
              <w:spacing w:before="117" w:line="347" w:lineRule="exact"/>
              <w:ind w:left="387"/>
              <w:rPr>
                <w:color w:val="auto"/>
                <w:sz w:val="24"/>
                <w:szCs w:val="24"/>
              </w:rPr>
            </w:pPr>
            <w:r>
              <w:rPr>
                <w:color w:val="auto"/>
                <w:position w:val="2"/>
                <w:sz w:val="24"/>
                <w:szCs w:val="24"/>
              </w:rPr>
              <w:t>…</w:t>
            </w:r>
          </w:p>
        </w:tc>
        <w:tc>
          <w:tcPr>
            <w:tcW w:w="968" w:type="dxa"/>
            <w:tcBorders>
              <w:bottom w:val="single" w:color="000000" w:sz="2" w:space="0"/>
              <w:right w:val="single" w:color="000000" w:sz="2" w:space="0"/>
            </w:tcBorders>
            <w:vAlign w:val="top"/>
          </w:tcPr>
          <w:p w14:paraId="64B8A8F1">
            <w:pPr>
              <w:rPr>
                <w:rFonts w:ascii="Arial"/>
                <w:color w:val="auto"/>
                <w:sz w:val="21"/>
              </w:rPr>
            </w:pPr>
          </w:p>
        </w:tc>
        <w:tc>
          <w:tcPr>
            <w:tcW w:w="3214" w:type="dxa"/>
            <w:tcBorders>
              <w:left w:val="single" w:color="000000" w:sz="2" w:space="0"/>
              <w:bottom w:val="single" w:color="000000" w:sz="2" w:space="0"/>
            </w:tcBorders>
            <w:vAlign w:val="top"/>
          </w:tcPr>
          <w:p w14:paraId="766AFF76">
            <w:pPr>
              <w:rPr>
                <w:rFonts w:ascii="Arial"/>
                <w:color w:val="auto"/>
                <w:sz w:val="21"/>
              </w:rPr>
            </w:pPr>
          </w:p>
        </w:tc>
        <w:tc>
          <w:tcPr>
            <w:tcW w:w="2894" w:type="dxa"/>
            <w:tcBorders>
              <w:bottom w:val="single" w:color="000000" w:sz="2" w:space="0"/>
            </w:tcBorders>
            <w:vAlign w:val="top"/>
          </w:tcPr>
          <w:p w14:paraId="4958B0E1">
            <w:pPr>
              <w:rPr>
                <w:rFonts w:ascii="Arial"/>
                <w:color w:val="auto"/>
                <w:sz w:val="21"/>
              </w:rPr>
            </w:pPr>
          </w:p>
        </w:tc>
        <w:tc>
          <w:tcPr>
            <w:tcW w:w="1583" w:type="dxa"/>
            <w:tcBorders>
              <w:bottom w:val="single" w:color="000000" w:sz="2" w:space="0"/>
              <w:right w:val="single" w:color="000000" w:sz="2" w:space="0"/>
            </w:tcBorders>
            <w:vAlign w:val="top"/>
          </w:tcPr>
          <w:p w14:paraId="3435B101">
            <w:pPr>
              <w:rPr>
                <w:rFonts w:ascii="Arial"/>
                <w:color w:val="auto"/>
                <w:sz w:val="21"/>
              </w:rPr>
            </w:pPr>
          </w:p>
        </w:tc>
      </w:tr>
    </w:tbl>
    <w:p w14:paraId="50FDB4A0">
      <w:pPr>
        <w:spacing w:line="250" w:lineRule="auto"/>
        <w:rPr>
          <w:rFonts w:ascii="Arial"/>
          <w:color w:val="auto"/>
          <w:sz w:val="21"/>
        </w:rPr>
      </w:pPr>
    </w:p>
    <w:p w14:paraId="6129265E">
      <w:pPr>
        <w:spacing w:line="250" w:lineRule="auto"/>
        <w:rPr>
          <w:rFonts w:ascii="Arial"/>
          <w:color w:val="auto"/>
          <w:sz w:val="21"/>
        </w:rPr>
      </w:pPr>
    </w:p>
    <w:p w14:paraId="75315487">
      <w:pPr>
        <w:spacing w:before="78" w:line="224" w:lineRule="auto"/>
        <w:ind w:left="123"/>
        <w:rPr>
          <w:rFonts w:ascii="宋体" w:hAnsi="宋体" w:eastAsia="宋体" w:cs="宋体"/>
          <w:color w:val="auto"/>
          <w:sz w:val="24"/>
          <w:szCs w:val="24"/>
        </w:rPr>
      </w:pPr>
      <w:r>
        <w:rPr>
          <w:rFonts w:ascii="宋体" w:hAnsi="宋体" w:eastAsia="宋体" w:cs="宋体"/>
          <w:color w:val="auto"/>
          <w:spacing w:val="-5"/>
          <w:sz w:val="24"/>
          <w:szCs w:val="24"/>
        </w:rPr>
        <w:t>注：</w:t>
      </w:r>
    </w:p>
    <w:p w14:paraId="7C98274B">
      <w:pPr>
        <w:spacing w:before="177" w:line="290" w:lineRule="auto"/>
        <w:ind w:left="123" w:right="113" w:firstLine="496" w:firstLineChars="207"/>
        <w:rPr>
          <w:rFonts w:ascii="宋体" w:hAnsi="宋体" w:eastAsia="宋体" w:cs="宋体"/>
          <w:color w:val="auto"/>
          <w:sz w:val="24"/>
          <w:szCs w:val="24"/>
        </w:rPr>
      </w:pPr>
      <w:r>
        <w:rPr>
          <w:rFonts w:ascii="宋体" w:hAnsi="宋体" w:eastAsia="宋体" w:cs="宋体"/>
          <w:color w:val="auto"/>
          <w:sz w:val="24"/>
          <w:szCs w:val="24"/>
        </w:rPr>
        <w:t>1. 说明：应对照磋商文件“第三章 采购需求</w:t>
      </w:r>
      <w:r>
        <w:rPr>
          <w:rFonts w:ascii="宋体" w:hAnsi="宋体" w:eastAsia="宋体" w:cs="宋体"/>
          <w:color w:val="auto"/>
          <w:spacing w:val="-85"/>
          <w:sz w:val="24"/>
          <w:szCs w:val="24"/>
        </w:rPr>
        <w:t xml:space="preserve"> </w:t>
      </w:r>
      <w:r>
        <w:rPr>
          <w:rFonts w:ascii="宋体" w:hAnsi="宋体" w:eastAsia="宋体" w:cs="宋体"/>
          <w:color w:val="auto"/>
          <w:sz w:val="24"/>
          <w:szCs w:val="24"/>
        </w:rPr>
        <w:t>”中的技术要</w:t>
      </w:r>
      <w:r>
        <w:rPr>
          <w:rFonts w:ascii="宋体" w:hAnsi="宋体" w:eastAsia="宋体" w:cs="宋体"/>
          <w:color w:val="auto"/>
          <w:spacing w:val="-1"/>
          <w:sz w:val="24"/>
          <w:szCs w:val="24"/>
        </w:rPr>
        <w:t>求逐条作出明确响应，并作出</w:t>
      </w:r>
      <w:r>
        <w:rPr>
          <w:rFonts w:ascii="宋体" w:hAnsi="宋体" w:eastAsia="宋体" w:cs="宋体"/>
          <w:color w:val="auto"/>
          <w:spacing w:val="-2"/>
          <w:sz w:val="24"/>
          <w:szCs w:val="24"/>
        </w:rPr>
        <w:t>偏离说明。</w:t>
      </w:r>
    </w:p>
    <w:p w14:paraId="79EFDBD6">
      <w:pPr>
        <w:spacing w:before="177" w:line="290" w:lineRule="auto"/>
        <w:ind w:left="123" w:right="113" w:firstLine="496" w:firstLineChars="207"/>
        <w:rPr>
          <w:rFonts w:ascii="宋体" w:hAnsi="宋体" w:eastAsia="宋体" w:cs="宋体"/>
          <w:color w:val="auto"/>
          <w:sz w:val="24"/>
          <w:szCs w:val="24"/>
        </w:rPr>
      </w:pPr>
      <w:r>
        <w:rPr>
          <w:rFonts w:ascii="宋体" w:hAnsi="宋体" w:eastAsia="宋体" w:cs="宋体"/>
          <w:color w:val="auto"/>
          <w:sz w:val="24"/>
          <w:szCs w:val="24"/>
        </w:rPr>
        <w:t xml:space="preserve">2.供应商应根据自身的承诺，对照磋商文件要求，在“偏离说明”中注明“正偏离 </w:t>
      </w:r>
      <w:r>
        <w:rPr>
          <w:rFonts w:hint="eastAsia" w:ascii="宋体" w:hAnsi="宋体" w:eastAsia="宋体" w:cs="宋体"/>
          <w:color w:val="auto"/>
          <w:sz w:val="24"/>
          <w:szCs w:val="24"/>
          <w:lang w:eastAsia="zh-CN"/>
        </w:rPr>
        <w:t>”“</w:t>
      </w:r>
      <w:r>
        <w:rPr>
          <w:rFonts w:ascii="宋体" w:hAnsi="宋体" w:eastAsia="宋体" w:cs="宋体"/>
          <w:color w:val="auto"/>
          <w:sz w:val="24"/>
          <w:szCs w:val="24"/>
        </w:rPr>
        <w:t>负偏离”或者“无偏离”。既不属于“正偏离”也不属于“负偏离”即为“无偏离”。</w:t>
      </w:r>
    </w:p>
    <w:p w14:paraId="5847D983">
      <w:pPr>
        <w:spacing w:line="284" w:lineRule="auto"/>
        <w:rPr>
          <w:rFonts w:ascii="Arial"/>
          <w:color w:val="auto"/>
          <w:sz w:val="21"/>
        </w:rPr>
      </w:pPr>
    </w:p>
    <w:p w14:paraId="1CBE9530">
      <w:pPr>
        <w:spacing w:line="284" w:lineRule="auto"/>
        <w:rPr>
          <w:rFonts w:ascii="Arial"/>
          <w:color w:val="auto"/>
          <w:sz w:val="21"/>
        </w:rPr>
      </w:pPr>
    </w:p>
    <w:p w14:paraId="43C3B5C3">
      <w:pPr>
        <w:spacing w:before="78" w:line="219" w:lineRule="auto"/>
        <w:ind w:left="2763"/>
        <w:rPr>
          <w:rFonts w:ascii="宋体" w:hAnsi="宋体" w:eastAsia="宋体" w:cs="宋体"/>
          <w:color w:val="auto"/>
          <w:sz w:val="24"/>
          <w:szCs w:val="24"/>
        </w:rPr>
      </w:pPr>
      <w:r>
        <w:rPr>
          <w:rFonts w:ascii="宋体" w:hAnsi="宋体" w:eastAsia="宋体" w:cs="宋体"/>
          <w:color w:val="auto"/>
          <w:spacing w:val="-2"/>
          <w:sz w:val="24"/>
          <w:szCs w:val="24"/>
        </w:rPr>
        <w:t>供应商（电子签章</w:t>
      </w:r>
      <w:r>
        <w:rPr>
          <w:rFonts w:ascii="宋体" w:hAnsi="宋体" w:eastAsia="宋体" w:cs="宋体"/>
          <w:color w:val="auto"/>
          <w:spacing w:val="2"/>
          <w:sz w:val="24"/>
          <w:szCs w:val="24"/>
        </w:rPr>
        <w:t>）：</w:t>
      </w:r>
    </w:p>
    <w:p w14:paraId="7523AE38">
      <w:pPr>
        <w:spacing w:before="185" w:line="219" w:lineRule="auto"/>
        <w:ind w:left="4244"/>
        <w:rPr>
          <w:rFonts w:ascii="宋体" w:hAnsi="宋体" w:eastAsia="宋体" w:cs="宋体"/>
          <w:color w:val="auto"/>
          <w:sz w:val="24"/>
          <w:szCs w:val="24"/>
        </w:rPr>
      </w:pPr>
      <w:r>
        <w:rPr>
          <w:rFonts w:ascii="宋体" w:hAnsi="宋体" w:eastAsia="宋体" w:cs="宋体"/>
          <w:color w:val="auto"/>
          <w:spacing w:val="-13"/>
          <w:sz w:val="24"/>
          <w:szCs w:val="24"/>
        </w:rPr>
        <w:t>日期：</w:t>
      </w:r>
      <w:r>
        <w:rPr>
          <w:rFonts w:ascii="宋体" w:hAnsi="宋体" w:eastAsia="宋体" w:cs="宋体"/>
          <w:color w:val="auto"/>
          <w:spacing w:val="3"/>
          <w:sz w:val="24"/>
          <w:szCs w:val="24"/>
        </w:rPr>
        <w:t xml:space="preserve">   </w:t>
      </w:r>
      <w:r>
        <w:rPr>
          <w:rFonts w:ascii="宋体" w:hAnsi="宋体" w:eastAsia="宋体" w:cs="宋体"/>
          <w:color w:val="auto"/>
          <w:spacing w:val="-13"/>
          <w:sz w:val="24"/>
          <w:szCs w:val="24"/>
        </w:rPr>
        <w:t>年</w:t>
      </w:r>
      <w:r>
        <w:rPr>
          <w:rFonts w:ascii="宋体" w:hAnsi="宋体" w:eastAsia="宋体" w:cs="宋体"/>
          <w:color w:val="auto"/>
          <w:spacing w:val="5"/>
          <w:sz w:val="24"/>
          <w:szCs w:val="24"/>
        </w:rPr>
        <w:t xml:space="preserve">   </w:t>
      </w:r>
      <w:r>
        <w:rPr>
          <w:rFonts w:ascii="宋体" w:hAnsi="宋体" w:eastAsia="宋体" w:cs="宋体"/>
          <w:color w:val="auto"/>
          <w:spacing w:val="-13"/>
          <w:sz w:val="24"/>
          <w:szCs w:val="24"/>
        </w:rPr>
        <w:t>月</w:t>
      </w:r>
      <w:r>
        <w:rPr>
          <w:rFonts w:ascii="宋体" w:hAnsi="宋体" w:eastAsia="宋体" w:cs="宋体"/>
          <w:color w:val="auto"/>
          <w:spacing w:val="17"/>
          <w:sz w:val="24"/>
          <w:szCs w:val="24"/>
        </w:rPr>
        <w:t xml:space="preserve">   </w:t>
      </w:r>
      <w:r>
        <w:rPr>
          <w:rFonts w:ascii="宋体" w:hAnsi="宋体" w:eastAsia="宋体" w:cs="宋体"/>
          <w:color w:val="auto"/>
          <w:spacing w:val="-13"/>
          <w:sz w:val="24"/>
          <w:szCs w:val="24"/>
        </w:rPr>
        <w:t>日</w:t>
      </w:r>
    </w:p>
    <w:p w14:paraId="4BAB563A">
      <w:pPr>
        <w:spacing w:line="219" w:lineRule="auto"/>
        <w:rPr>
          <w:rFonts w:ascii="宋体" w:hAnsi="宋体" w:eastAsia="宋体" w:cs="宋体"/>
          <w:color w:val="auto"/>
          <w:sz w:val="24"/>
          <w:szCs w:val="24"/>
        </w:rPr>
        <w:sectPr>
          <w:footerReference r:id="rId27" w:type="default"/>
          <w:pgSz w:w="11906" w:h="16839"/>
          <w:pgMar w:top="1225" w:right="1134" w:bottom="1362" w:left="1134" w:header="0" w:footer="1200" w:gutter="0"/>
          <w:pgNumType w:fmt="decimal"/>
          <w:cols w:space="720" w:num="1"/>
        </w:sectPr>
      </w:pPr>
    </w:p>
    <w:p w14:paraId="60BB2EBF">
      <w:pPr>
        <w:spacing w:before="48" w:line="219" w:lineRule="auto"/>
        <w:ind w:left="268"/>
        <w:rPr>
          <w:rFonts w:ascii="宋体" w:hAnsi="宋体" w:eastAsia="宋体" w:cs="宋体"/>
          <w:color w:val="auto"/>
          <w:sz w:val="24"/>
          <w:szCs w:val="24"/>
        </w:rPr>
      </w:pPr>
      <w:r>
        <w:rPr>
          <w:rFonts w:ascii="宋体" w:hAnsi="宋体" w:eastAsia="宋体" w:cs="宋体"/>
          <w:b/>
          <w:bCs/>
          <w:color w:val="auto"/>
          <w:spacing w:val="-3"/>
          <w:sz w:val="24"/>
          <w:szCs w:val="24"/>
        </w:rPr>
        <w:t>项目实施人员一览表格式</w:t>
      </w:r>
    </w:p>
    <w:p w14:paraId="06CA5C34">
      <w:pPr>
        <w:spacing w:line="278" w:lineRule="auto"/>
        <w:rPr>
          <w:rFonts w:ascii="Arial"/>
          <w:color w:val="auto"/>
          <w:sz w:val="21"/>
        </w:rPr>
      </w:pPr>
    </w:p>
    <w:p w14:paraId="0A72AFDA">
      <w:pPr>
        <w:spacing w:line="278" w:lineRule="auto"/>
        <w:rPr>
          <w:rFonts w:ascii="Arial"/>
          <w:color w:val="auto"/>
          <w:sz w:val="21"/>
        </w:rPr>
      </w:pPr>
    </w:p>
    <w:p w14:paraId="5BB2C128">
      <w:pPr>
        <w:spacing w:before="101" w:line="225" w:lineRule="auto"/>
        <w:ind w:left="3460"/>
        <w:rPr>
          <w:rFonts w:ascii="宋体" w:hAnsi="宋体" w:eastAsia="宋体" w:cs="宋体"/>
          <w:color w:val="auto"/>
          <w:sz w:val="31"/>
          <w:szCs w:val="31"/>
        </w:rPr>
      </w:pPr>
      <w:r>
        <w:rPr>
          <w:rFonts w:ascii="宋体" w:hAnsi="宋体" w:eastAsia="宋体" w:cs="宋体"/>
          <w:b/>
          <w:bCs/>
          <w:color w:val="auto"/>
          <w:spacing w:val="5"/>
          <w:sz w:val="31"/>
          <w:szCs w:val="31"/>
        </w:rPr>
        <w:t>项目实施人员一览表</w:t>
      </w:r>
    </w:p>
    <w:p w14:paraId="476D9575">
      <w:pPr>
        <w:spacing w:before="207" w:line="220" w:lineRule="auto"/>
        <w:ind w:left="123"/>
        <w:rPr>
          <w:rFonts w:ascii="宋体" w:hAnsi="宋体" w:eastAsia="宋体" w:cs="宋体"/>
          <w:color w:val="auto"/>
          <w:sz w:val="24"/>
          <w:szCs w:val="24"/>
        </w:rPr>
      </w:pPr>
      <w:r>
        <w:rPr>
          <w:rFonts w:ascii="宋体" w:hAnsi="宋体" w:eastAsia="宋体" w:cs="宋体"/>
          <w:color w:val="auto"/>
          <w:spacing w:val="-1"/>
          <w:sz w:val="24"/>
          <w:szCs w:val="24"/>
        </w:rPr>
        <w:t>项目名称：</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107"/>
          <w:sz w:val="24"/>
          <w:szCs w:val="24"/>
        </w:rPr>
        <w:t xml:space="preserve"> </w:t>
      </w:r>
      <w:r>
        <w:rPr>
          <w:rFonts w:ascii="宋体" w:hAnsi="宋体" w:eastAsia="宋体" w:cs="宋体"/>
          <w:color w:val="auto"/>
          <w:spacing w:val="-1"/>
          <w:sz w:val="24"/>
          <w:szCs w:val="24"/>
        </w:rPr>
        <w:t>项目编</w:t>
      </w:r>
      <w:r>
        <w:rPr>
          <w:rFonts w:ascii="宋体" w:hAnsi="宋体" w:eastAsia="宋体" w:cs="宋体"/>
          <w:color w:val="auto"/>
          <w:spacing w:val="-2"/>
          <w:sz w:val="24"/>
          <w:szCs w:val="24"/>
        </w:rPr>
        <w:t>号：</w:t>
      </w:r>
      <w:r>
        <w:rPr>
          <w:rFonts w:ascii="宋体" w:hAnsi="宋体" w:eastAsia="宋体" w:cs="宋体"/>
          <w:color w:val="auto"/>
          <w:sz w:val="24"/>
          <w:szCs w:val="24"/>
          <w:u w:val="single" w:color="auto"/>
        </w:rPr>
        <w:t xml:space="preserve">                   </w:t>
      </w:r>
    </w:p>
    <w:p w14:paraId="0E845A04">
      <w:pPr>
        <w:spacing w:line="67" w:lineRule="exact"/>
        <w:rPr>
          <w:color w:val="auto"/>
        </w:rPr>
      </w:pPr>
    </w:p>
    <w:tbl>
      <w:tblPr>
        <w:tblStyle w:val="10"/>
        <w:tblpPr w:leftFromText="180" w:rightFromText="180" w:vertAnchor="text" w:horzAnchor="page" w:tblpX="1129" w:tblpY="198"/>
        <w:tblOverlap w:val="never"/>
        <w:tblW w:w="945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709"/>
        <w:gridCol w:w="2752"/>
        <w:gridCol w:w="1447"/>
        <w:gridCol w:w="1999"/>
        <w:gridCol w:w="1728"/>
      </w:tblGrid>
      <w:tr w14:paraId="7F829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1" w:hRule="atLeast"/>
        </w:trPr>
        <w:tc>
          <w:tcPr>
            <w:tcW w:w="821" w:type="dxa"/>
            <w:vAlign w:val="top"/>
          </w:tcPr>
          <w:p w14:paraId="2B10E9B7">
            <w:pPr>
              <w:spacing w:line="252" w:lineRule="auto"/>
              <w:rPr>
                <w:rFonts w:ascii="Arial"/>
                <w:color w:val="auto"/>
                <w:sz w:val="21"/>
              </w:rPr>
            </w:pPr>
          </w:p>
          <w:p w14:paraId="2F057A22">
            <w:pPr>
              <w:spacing w:line="253" w:lineRule="auto"/>
              <w:rPr>
                <w:rFonts w:ascii="Arial"/>
                <w:color w:val="auto"/>
                <w:sz w:val="21"/>
              </w:rPr>
            </w:pPr>
          </w:p>
          <w:p w14:paraId="38C35B3C">
            <w:pPr>
              <w:pStyle w:val="9"/>
              <w:spacing w:before="78" w:line="219" w:lineRule="auto"/>
              <w:ind w:left="178"/>
              <w:rPr>
                <w:color w:val="auto"/>
                <w:sz w:val="24"/>
                <w:szCs w:val="24"/>
              </w:rPr>
            </w:pPr>
            <w:r>
              <w:rPr>
                <w:color w:val="auto"/>
                <w:spacing w:val="-5"/>
                <w:sz w:val="24"/>
                <w:szCs w:val="24"/>
              </w:rPr>
              <w:t>姓名</w:t>
            </w:r>
          </w:p>
        </w:tc>
        <w:tc>
          <w:tcPr>
            <w:tcW w:w="709" w:type="dxa"/>
            <w:vAlign w:val="top"/>
          </w:tcPr>
          <w:p w14:paraId="138691E8">
            <w:pPr>
              <w:spacing w:line="252" w:lineRule="auto"/>
              <w:rPr>
                <w:rFonts w:ascii="Arial"/>
                <w:color w:val="auto"/>
                <w:sz w:val="21"/>
              </w:rPr>
            </w:pPr>
          </w:p>
          <w:p w14:paraId="3BA6A299">
            <w:pPr>
              <w:spacing w:line="253" w:lineRule="auto"/>
              <w:rPr>
                <w:rFonts w:ascii="Arial"/>
                <w:color w:val="auto"/>
                <w:sz w:val="21"/>
              </w:rPr>
            </w:pPr>
          </w:p>
          <w:p w14:paraId="496E9E71">
            <w:pPr>
              <w:pStyle w:val="9"/>
              <w:spacing w:before="78" w:line="219" w:lineRule="auto"/>
              <w:ind w:left="118"/>
              <w:rPr>
                <w:color w:val="auto"/>
                <w:sz w:val="24"/>
                <w:szCs w:val="24"/>
              </w:rPr>
            </w:pPr>
            <w:r>
              <w:rPr>
                <w:color w:val="auto"/>
                <w:spacing w:val="-6"/>
                <w:sz w:val="24"/>
                <w:szCs w:val="24"/>
              </w:rPr>
              <w:t>职务</w:t>
            </w:r>
          </w:p>
        </w:tc>
        <w:tc>
          <w:tcPr>
            <w:tcW w:w="2752" w:type="dxa"/>
            <w:vAlign w:val="top"/>
          </w:tcPr>
          <w:p w14:paraId="226C209D">
            <w:pPr>
              <w:pStyle w:val="9"/>
              <w:spacing w:before="119" w:line="219" w:lineRule="auto"/>
              <w:ind w:left="113"/>
              <w:rPr>
                <w:color w:val="auto"/>
                <w:sz w:val="24"/>
                <w:szCs w:val="24"/>
              </w:rPr>
            </w:pPr>
            <w:r>
              <w:rPr>
                <w:color w:val="auto"/>
                <w:spacing w:val="-9"/>
                <w:sz w:val="24"/>
                <w:szCs w:val="24"/>
              </w:rPr>
              <w:t>专业技术资格（职称）或</w:t>
            </w:r>
          </w:p>
          <w:p w14:paraId="2F4E4629">
            <w:pPr>
              <w:pStyle w:val="9"/>
              <w:spacing w:before="183" w:line="219" w:lineRule="auto"/>
              <w:ind w:left="183"/>
              <w:rPr>
                <w:color w:val="auto"/>
                <w:sz w:val="24"/>
                <w:szCs w:val="24"/>
              </w:rPr>
            </w:pPr>
            <w:r>
              <w:rPr>
                <w:color w:val="auto"/>
                <w:spacing w:val="-2"/>
                <w:sz w:val="24"/>
                <w:szCs w:val="24"/>
              </w:rPr>
              <w:t>者职业资格或者执业资</w:t>
            </w:r>
          </w:p>
          <w:p w14:paraId="20F05F4D">
            <w:pPr>
              <w:pStyle w:val="9"/>
              <w:spacing w:before="182" w:line="219" w:lineRule="auto"/>
              <w:ind w:left="421"/>
              <w:rPr>
                <w:color w:val="auto"/>
                <w:sz w:val="24"/>
                <w:szCs w:val="24"/>
              </w:rPr>
            </w:pPr>
            <w:r>
              <w:rPr>
                <w:color w:val="auto"/>
                <w:spacing w:val="-2"/>
                <w:sz w:val="24"/>
                <w:szCs w:val="24"/>
              </w:rPr>
              <w:t>格证或者其他证书</w:t>
            </w:r>
          </w:p>
        </w:tc>
        <w:tc>
          <w:tcPr>
            <w:tcW w:w="1447" w:type="dxa"/>
            <w:vAlign w:val="top"/>
          </w:tcPr>
          <w:p w14:paraId="6F0D4BDB">
            <w:pPr>
              <w:spacing w:line="252" w:lineRule="auto"/>
              <w:rPr>
                <w:rFonts w:ascii="Arial"/>
                <w:color w:val="auto"/>
                <w:sz w:val="21"/>
              </w:rPr>
            </w:pPr>
          </w:p>
          <w:p w14:paraId="79991F6A">
            <w:pPr>
              <w:spacing w:line="253" w:lineRule="auto"/>
              <w:rPr>
                <w:rFonts w:ascii="Arial"/>
                <w:color w:val="auto"/>
                <w:sz w:val="21"/>
              </w:rPr>
            </w:pPr>
          </w:p>
          <w:p w14:paraId="7BFB9329">
            <w:pPr>
              <w:pStyle w:val="9"/>
              <w:spacing w:before="78" w:line="219" w:lineRule="auto"/>
              <w:ind w:left="252"/>
              <w:rPr>
                <w:color w:val="auto"/>
                <w:sz w:val="24"/>
                <w:szCs w:val="24"/>
              </w:rPr>
            </w:pPr>
            <w:r>
              <w:rPr>
                <w:color w:val="auto"/>
                <w:spacing w:val="-3"/>
                <w:sz w:val="24"/>
                <w:szCs w:val="24"/>
              </w:rPr>
              <w:t>证书编号</w:t>
            </w:r>
          </w:p>
        </w:tc>
        <w:tc>
          <w:tcPr>
            <w:tcW w:w="1999" w:type="dxa"/>
            <w:vAlign w:val="top"/>
          </w:tcPr>
          <w:p w14:paraId="255FFDCF">
            <w:pPr>
              <w:spacing w:line="275" w:lineRule="auto"/>
              <w:rPr>
                <w:rFonts w:ascii="Arial"/>
                <w:color w:val="auto"/>
                <w:sz w:val="21"/>
              </w:rPr>
            </w:pPr>
          </w:p>
          <w:p w14:paraId="761E80AD">
            <w:pPr>
              <w:pStyle w:val="9"/>
              <w:spacing w:before="78" w:line="362" w:lineRule="auto"/>
              <w:ind w:left="530" w:right="395" w:hanging="120"/>
              <w:rPr>
                <w:color w:val="auto"/>
                <w:sz w:val="24"/>
                <w:szCs w:val="24"/>
              </w:rPr>
            </w:pPr>
            <w:r>
              <w:rPr>
                <w:color w:val="auto"/>
                <w:spacing w:val="-3"/>
                <w:sz w:val="24"/>
                <w:szCs w:val="24"/>
              </w:rPr>
              <w:t>参加本单位</w:t>
            </w:r>
            <w:r>
              <w:rPr>
                <w:color w:val="auto"/>
                <w:spacing w:val="-4"/>
                <w:sz w:val="24"/>
                <w:szCs w:val="24"/>
              </w:rPr>
              <w:t>工作时间</w:t>
            </w:r>
          </w:p>
        </w:tc>
        <w:tc>
          <w:tcPr>
            <w:tcW w:w="1728" w:type="dxa"/>
            <w:vAlign w:val="top"/>
          </w:tcPr>
          <w:p w14:paraId="38B2311C">
            <w:pPr>
              <w:spacing w:line="252" w:lineRule="auto"/>
              <w:rPr>
                <w:rFonts w:ascii="Arial"/>
                <w:color w:val="auto"/>
                <w:sz w:val="21"/>
              </w:rPr>
            </w:pPr>
          </w:p>
          <w:p w14:paraId="04DA5715">
            <w:pPr>
              <w:spacing w:line="253" w:lineRule="auto"/>
              <w:rPr>
                <w:rFonts w:ascii="Arial"/>
                <w:color w:val="auto"/>
                <w:sz w:val="21"/>
              </w:rPr>
            </w:pPr>
          </w:p>
          <w:p w14:paraId="351DD97D">
            <w:pPr>
              <w:pStyle w:val="9"/>
              <w:spacing w:before="78" w:line="219" w:lineRule="auto"/>
              <w:ind w:left="157"/>
              <w:rPr>
                <w:color w:val="auto"/>
                <w:sz w:val="24"/>
                <w:szCs w:val="24"/>
              </w:rPr>
            </w:pPr>
            <w:r>
              <w:rPr>
                <w:color w:val="auto"/>
                <w:spacing w:val="-3"/>
                <w:sz w:val="24"/>
                <w:szCs w:val="24"/>
              </w:rPr>
              <w:t>劳动合同编号</w:t>
            </w:r>
          </w:p>
        </w:tc>
      </w:tr>
      <w:tr w14:paraId="6D08C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21" w:type="dxa"/>
            <w:vAlign w:val="top"/>
          </w:tcPr>
          <w:p w14:paraId="4E4102DB">
            <w:pPr>
              <w:rPr>
                <w:rFonts w:ascii="Arial"/>
                <w:color w:val="auto"/>
                <w:sz w:val="21"/>
              </w:rPr>
            </w:pPr>
          </w:p>
        </w:tc>
        <w:tc>
          <w:tcPr>
            <w:tcW w:w="709" w:type="dxa"/>
            <w:vAlign w:val="top"/>
          </w:tcPr>
          <w:p w14:paraId="7EC4F400">
            <w:pPr>
              <w:rPr>
                <w:rFonts w:ascii="Arial"/>
                <w:color w:val="auto"/>
                <w:sz w:val="21"/>
              </w:rPr>
            </w:pPr>
          </w:p>
        </w:tc>
        <w:tc>
          <w:tcPr>
            <w:tcW w:w="2752" w:type="dxa"/>
            <w:vAlign w:val="top"/>
          </w:tcPr>
          <w:p w14:paraId="7D361505">
            <w:pPr>
              <w:rPr>
                <w:rFonts w:ascii="Arial"/>
                <w:color w:val="auto"/>
                <w:sz w:val="21"/>
              </w:rPr>
            </w:pPr>
          </w:p>
        </w:tc>
        <w:tc>
          <w:tcPr>
            <w:tcW w:w="1447" w:type="dxa"/>
            <w:vAlign w:val="top"/>
          </w:tcPr>
          <w:p w14:paraId="595DBF5B">
            <w:pPr>
              <w:rPr>
                <w:rFonts w:ascii="Arial"/>
                <w:color w:val="auto"/>
                <w:sz w:val="21"/>
              </w:rPr>
            </w:pPr>
          </w:p>
        </w:tc>
        <w:tc>
          <w:tcPr>
            <w:tcW w:w="1999" w:type="dxa"/>
            <w:vAlign w:val="top"/>
          </w:tcPr>
          <w:p w14:paraId="622FCEF4">
            <w:pPr>
              <w:rPr>
                <w:rFonts w:ascii="Arial"/>
                <w:color w:val="auto"/>
                <w:sz w:val="21"/>
              </w:rPr>
            </w:pPr>
          </w:p>
        </w:tc>
        <w:tc>
          <w:tcPr>
            <w:tcW w:w="1728" w:type="dxa"/>
            <w:vAlign w:val="top"/>
          </w:tcPr>
          <w:p w14:paraId="7E20BB76">
            <w:pPr>
              <w:rPr>
                <w:rFonts w:ascii="Arial"/>
                <w:color w:val="auto"/>
                <w:sz w:val="21"/>
              </w:rPr>
            </w:pPr>
          </w:p>
        </w:tc>
      </w:tr>
      <w:tr w14:paraId="7B192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21" w:type="dxa"/>
            <w:vAlign w:val="top"/>
          </w:tcPr>
          <w:p w14:paraId="796138C9">
            <w:pPr>
              <w:rPr>
                <w:rFonts w:ascii="Arial"/>
                <w:color w:val="auto"/>
                <w:sz w:val="21"/>
              </w:rPr>
            </w:pPr>
          </w:p>
        </w:tc>
        <w:tc>
          <w:tcPr>
            <w:tcW w:w="709" w:type="dxa"/>
            <w:vAlign w:val="top"/>
          </w:tcPr>
          <w:p w14:paraId="6E73F080">
            <w:pPr>
              <w:rPr>
                <w:rFonts w:ascii="Arial"/>
                <w:color w:val="auto"/>
                <w:sz w:val="21"/>
              </w:rPr>
            </w:pPr>
          </w:p>
        </w:tc>
        <w:tc>
          <w:tcPr>
            <w:tcW w:w="2752" w:type="dxa"/>
            <w:vAlign w:val="top"/>
          </w:tcPr>
          <w:p w14:paraId="1A6D6DE2">
            <w:pPr>
              <w:rPr>
                <w:rFonts w:ascii="Arial"/>
                <w:color w:val="auto"/>
                <w:sz w:val="21"/>
              </w:rPr>
            </w:pPr>
          </w:p>
        </w:tc>
        <w:tc>
          <w:tcPr>
            <w:tcW w:w="1447" w:type="dxa"/>
            <w:vAlign w:val="top"/>
          </w:tcPr>
          <w:p w14:paraId="7336FBF1">
            <w:pPr>
              <w:rPr>
                <w:rFonts w:ascii="Arial"/>
                <w:color w:val="auto"/>
                <w:sz w:val="21"/>
              </w:rPr>
            </w:pPr>
          </w:p>
        </w:tc>
        <w:tc>
          <w:tcPr>
            <w:tcW w:w="1999" w:type="dxa"/>
            <w:vAlign w:val="top"/>
          </w:tcPr>
          <w:p w14:paraId="73FC8A22">
            <w:pPr>
              <w:rPr>
                <w:rFonts w:ascii="Arial"/>
                <w:color w:val="auto"/>
                <w:sz w:val="21"/>
              </w:rPr>
            </w:pPr>
          </w:p>
        </w:tc>
        <w:tc>
          <w:tcPr>
            <w:tcW w:w="1728" w:type="dxa"/>
            <w:vAlign w:val="top"/>
          </w:tcPr>
          <w:p w14:paraId="6BF08F85">
            <w:pPr>
              <w:rPr>
                <w:rFonts w:ascii="Arial"/>
                <w:color w:val="auto"/>
                <w:sz w:val="21"/>
              </w:rPr>
            </w:pPr>
          </w:p>
        </w:tc>
      </w:tr>
      <w:tr w14:paraId="4B44A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21" w:type="dxa"/>
            <w:vAlign w:val="top"/>
          </w:tcPr>
          <w:p w14:paraId="13F8F2CF">
            <w:pPr>
              <w:rPr>
                <w:rFonts w:ascii="Arial"/>
                <w:color w:val="auto"/>
                <w:sz w:val="21"/>
              </w:rPr>
            </w:pPr>
          </w:p>
        </w:tc>
        <w:tc>
          <w:tcPr>
            <w:tcW w:w="709" w:type="dxa"/>
            <w:vAlign w:val="top"/>
          </w:tcPr>
          <w:p w14:paraId="55025FEA">
            <w:pPr>
              <w:rPr>
                <w:rFonts w:ascii="Arial"/>
                <w:color w:val="auto"/>
                <w:sz w:val="21"/>
              </w:rPr>
            </w:pPr>
          </w:p>
        </w:tc>
        <w:tc>
          <w:tcPr>
            <w:tcW w:w="2752" w:type="dxa"/>
            <w:vAlign w:val="top"/>
          </w:tcPr>
          <w:p w14:paraId="0F655BBE">
            <w:pPr>
              <w:rPr>
                <w:rFonts w:ascii="Arial"/>
                <w:color w:val="auto"/>
                <w:sz w:val="21"/>
              </w:rPr>
            </w:pPr>
          </w:p>
        </w:tc>
        <w:tc>
          <w:tcPr>
            <w:tcW w:w="1447" w:type="dxa"/>
            <w:vAlign w:val="top"/>
          </w:tcPr>
          <w:p w14:paraId="6D4BC64A">
            <w:pPr>
              <w:rPr>
                <w:rFonts w:ascii="Arial"/>
                <w:color w:val="auto"/>
                <w:sz w:val="21"/>
              </w:rPr>
            </w:pPr>
          </w:p>
        </w:tc>
        <w:tc>
          <w:tcPr>
            <w:tcW w:w="1999" w:type="dxa"/>
            <w:vAlign w:val="top"/>
          </w:tcPr>
          <w:p w14:paraId="44030C91">
            <w:pPr>
              <w:rPr>
                <w:rFonts w:ascii="Arial"/>
                <w:color w:val="auto"/>
                <w:sz w:val="21"/>
              </w:rPr>
            </w:pPr>
          </w:p>
        </w:tc>
        <w:tc>
          <w:tcPr>
            <w:tcW w:w="1728" w:type="dxa"/>
            <w:vAlign w:val="top"/>
          </w:tcPr>
          <w:p w14:paraId="69C9FEF0">
            <w:pPr>
              <w:rPr>
                <w:rFonts w:ascii="Arial"/>
                <w:color w:val="auto"/>
                <w:sz w:val="21"/>
              </w:rPr>
            </w:pPr>
          </w:p>
        </w:tc>
      </w:tr>
    </w:tbl>
    <w:p w14:paraId="63B75BCE">
      <w:pPr>
        <w:spacing w:before="114" w:line="224" w:lineRule="auto"/>
        <w:ind w:left="123"/>
        <w:rPr>
          <w:rFonts w:ascii="宋体" w:hAnsi="宋体" w:eastAsia="宋体" w:cs="宋体"/>
          <w:color w:val="auto"/>
          <w:sz w:val="24"/>
          <w:szCs w:val="24"/>
        </w:rPr>
      </w:pPr>
      <w:r>
        <w:rPr>
          <w:rFonts w:ascii="宋体" w:hAnsi="宋体" w:eastAsia="宋体" w:cs="宋体"/>
          <w:color w:val="auto"/>
          <w:spacing w:val="-5"/>
          <w:sz w:val="24"/>
          <w:szCs w:val="24"/>
        </w:rPr>
        <w:t>注：</w:t>
      </w:r>
    </w:p>
    <w:p w14:paraId="5C220AA5">
      <w:pPr>
        <w:spacing w:before="177" w:line="219" w:lineRule="auto"/>
        <w:ind w:left="140"/>
        <w:rPr>
          <w:rFonts w:ascii="宋体" w:hAnsi="宋体" w:eastAsia="宋体" w:cs="宋体"/>
          <w:color w:val="auto"/>
          <w:sz w:val="24"/>
          <w:szCs w:val="24"/>
        </w:rPr>
      </w:pPr>
      <w:r>
        <w:rPr>
          <w:rFonts w:ascii="宋体" w:hAnsi="宋体" w:eastAsia="宋体" w:cs="宋体"/>
          <w:color w:val="auto"/>
          <w:spacing w:val="-1"/>
          <w:sz w:val="24"/>
          <w:szCs w:val="24"/>
        </w:rPr>
        <w:t>1.在填写时，如本表格不适合供应商的实际情况，可根据本表格式自行制表填写。</w:t>
      </w:r>
    </w:p>
    <w:p w14:paraId="176E02CF">
      <w:pPr>
        <w:spacing w:before="183" w:line="219" w:lineRule="auto"/>
        <w:ind w:left="126"/>
        <w:rPr>
          <w:rFonts w:ascii="宋体" w:hAnsi="宋体" w:eastAsia="宋体" w:cs="宋体"/>
          <w:color w:val="auto"/>
          <w:sz w:val="24"/>
          <w:szCs w:val="24"/>
        </w:rPr>
      </w:pPr>
      <w:r>
        <w:rPr>
          <w:rFonts w:ascii="宋体" w:hAnsi="宋体" w:eastAsia="宋体" w:cs="宋体"/>
          <w:color w:val="auto"/>
          <w:spacing w:val="-1"/>
          <w:sz w:val="24"/>
          <w:szCs w:val="24"/>
        </w:rPr>
        <w:t>2.供应商应当附本表所列证书的复印件并加盖供应商电子签章。</w:t>
      </w:r>
    </w:p>
    <w:p w14:paraId="52BAA5AE">
      <w:pPr>
        <w:spacing w:line="284" w:lineRule="auto"/>
        <w:rPr>
          <w:rFonts w:ascii="Arial"/>
          <w:color w:val="auto"/>
          <w:sz w:val="21"/>
        </w:rPr>
      </w:pPr>
    </w:p>
    <w:p w14:paraId="282DB413">
      <w:pPr>
        <w:spacing w:line="285" w:lineRule="auto"/>
        <w:rPr>
          <w:rFonts w:ascii="Arial"/>
          <w:color w:val="auto"/>
          <w:sz w:val="21"/>
        </w:rPr>
      </w:pPr>
    </w:p>
    <w:p w14:paraId="7E5D782C">
      <w:pPr>
        <w:spacing w:before="79" w:line="219" w:lineRule="auto"/>
        <w:ind w:left="123"/>
        <w:rPr>
          <w:rFonts w:ascii="宋体" w:hAnsi="宋体" w:eastAsia="宋体" w:cs="宋体"/>
          <w:color w:val="auto"/>
          <w:sz w:val="24"/>
          <w:szCs w:val="24"/>
        </w:rPr>
      </w:pPr>
      <w:r>
        <w:rPr>
          <w:rFonts w:ascii="宋体" w:hAnsi="宋体" w:eastAsia="宋体" w:cs="宋体"/>
          <w:color w:val="auto"/>
          <w:spacing w:val="16"/>
          <w:sz w:val="24"/>
          <w:szCs w:val="24"/>
        </w:rPr>
        <w:t>供应商（ 电子签章</w:t>
      </w:r>
      <w:r>
        <w:rPr>
          <w:rFonts w:ascii="宋体" w:hAnsi="宋体" w:eastAsia="宋体" w:cs="宋体"/>
          <w:color w:val="auto"/>
          <w:spacing w:val="-45"/>
          <w:sz w:val="24"/>
          <w:szCs w:val="24"/>
        </w:rPr>
        <w:t xml:space="preserve"> </w:t>
      </w:r>
      <w:r>
        <w:rPr>
          <w:rFonts w:ascii="宋体" w:hAnsi="宋体" w:eastAsia="宋体" w:cs="宋体"/>
          <w:color w:val="auto"/>
          <w:spacing w:val="-30"/>
          <w:sz w:val="24"/>
          <w:szCs w:val="24"/>
        </w:rPr>
        <w:t>）</w:t>
      </w:r>
      <w:r>
        <w:rPr>
          <w:rFonts w:ascii="宋体" w:hAnsi="宋体" w:eastAsia="宋体" w:cs="宋体"/>
          <w:color w:val="auto"/>
          <w:spacing w:val="-50"/>
          <w:sz w:val="24"/>
          <w:szCs w:val="24"/>
        </w:rPr>
        <w:t xml:space="preserve"> </w:t>
      </w:r>
      <w:r>
        <w:rPr>
          <w:rFonts w:ascii="宋体" w:hAnsi="宋体" w:eastAsia="宋体" w:cs="宋体"/>
          <w:color w:val="auto"/>
          <w:spacing w:val="-30"/>
          <w:sz w:val="24"/>
          <w:szCs w:val="24"/>
        </w:rPr>
        <w:t>：</w:t>
      </w:r>
      <w:r>
        <w:rPr>
          <w:rFonts w:ascii="宋体" w:hAnsi="宋体" w:eastAsia="宋体" w:cs="宋体"/>
          <w:color w:val="auto"/>
          <w:spacing w:val="-82"/>
          <w:sz w:val="24"/>
          <w:szCs w:val="24"/>
        </w:rPr>
        <w:t xml:space="preserve"> </w:t>
      </w:r>
      <w:r>
        <w:rPr>
          <w:rFonts w:ascii="宋体" w:hAnsi="宋体" w:eastAsia="宋体" w:cs="宋体"/>
          <w:color w:val="auto"/>
          <w:sz w:val="24"/>
          <w:szCs w:val="24"/>
          <w:u w:val="single" w:color="auto"/>
        </w:rPr>
        <w:t xml:space="preserve">                </w:t>
      </w:r>
    </w:p>
    <w:p w14:paraId="474E1849">
      <w:pPr>
        <w:spacing w:before="184" w:line="220" w:lineRule="auto"/>
        <w:ind w:left="322"/>
        <w:rPr>
          <w:rFonts w:ascii="宋体" w:hAnsi="宋体" w:eastAsia="宋体" w:cs="宋体"/>
          <w:color w:val="auto"/>
          <w:sz w:val="24"/>
          <w:szCs w:val="24"/>
        </w:rPr>
      </w:pPr>
      <w:r>
        <w:rPr>
          <w:rFonts w:ascii="宋体" w:hAnsi="宋体" w:eastAsia="宋体" w:cs="宋体"/>
          <w:color w:val="auto"/>
          <w:spacing w:val="-24"/>
          <w:sz w:val="24"/>
          <w:szCs w:val="24"/>
        </w:rPr>
        <w:t>日  期</w:t>
      </w:r>
      <w:r>
        <w:rPr>
          <w:rFonts w:ascii="宋体" w:hAnsi="宋体" w:eastAsia="宋体" w:cs="宋体"/>
          <w:color w:val="auto"/>
          <w:spacing w:val="-50"/>
          <w:sz w:val="24"/>
          <w:szCs w:val="24"/>
        </w:rPr>
        <w:t xml:space="preserve"> </w:t>
      </w:r>
      <w:r>
        <w:rPr>
          <w:rFonts w:ascii="宋体" w:hAnsi="宋体" w:eastAsia="宋体" w:cs="宋体"/>
          <w:color w:val="auto"/>
          <w:spacing w:val="-24"/>
          <w:sz w:val="24"/>
          <w:szCs w:val="24"/>
        </w:rPr>
        <w:t>：</w:t>
      </w:r>
      <w:r>
        <w:rPr>
          <w:rFonts w:ascii="宋体" w:hAnsi="宋体" w:eastAsia="宋体" w:cs="宋体"/>
          <w:color w:val="auto"/>
          <w:spacing w:val="-82"/>
          <w:sz w:val="24"/>
          <w:szCs w:val="24"/>
        </w:rPr>
        <w:t xml:space="preserve"> </w:t>
      </w:r>
      <w:r>
        <w:rPr>
          <w:rFonts w:ascii="宋体" w:hAnsi="宋体" w:eastAsia="宋体" w:cs="宋体"/>
          <w:color w:val="auto"/>
          <w:sz w:val="24"/>
          <w:szCs w:val="24"/>
          <w:u w:val="single" w:color="auto"/>
        </w:rPr>
        <w:t xml:space="preserve">            </w:t>
      </w:r>
    </w:p>
    <w:p w14:paraId="0453D280">
      <w:pPr>
        <w:spacing w:line="220" w:lineRule="auto"/>
        <w:rPr>
          <w:rFonts w:ascii="宋体" w:hAnsi="宋体" w:eastAsia="宋体" w:cs="宋体"/>
          <w:color w:val="auto"/>
          <w:sz w:val="24"/>
          <w:szCs w:val="24"/>
        </w:rPr>
        <w:sectPr>
          <w:footerReference r:id="rId28" w:type="default"/>
          <w:pgSz w:w="11906" w:h="16839"/>
          <w:pgMar w:top="1390" w:right="1310" w:bottom="1360" w:left="1134" w:header="0" w:footer="1200" w:gutter="0"/>
          <w:pgNumType w:fmt="decimal"/>
          <w:cols w:space="720" w:num="1"/>
        </w:sectPr>
      </w:pPr>
    </w:p>
    <w:p w14:paraId="6B7A6BFF">
      <w:pPr>
        <w:spacing w:before="47" w:line="219" w:lineRule="auto"/>
        <w:ind w:left="2"/>
        <w:rPr>
          <w:rFonts w:ascii="宋体" w:hAnsi="宋体" w:eastAsia="宋体" w:cs="宋体"/>
          <w:color w:val="auto"/>
          <w:sz w:val="24"/>
          <w:szCs w:val="24"/>
        </w:rPr>
      </w:pPr>
      <w:r>
        <w:rPr>
          <w:rFonts w:ascii="宋体" w:hAnsi="宋体" w:eastAsia="宋体" w:cs="宋体"/>
          <w:b/>
          <w:bCs/>
          <w:color w:val="auto"/>
          <w:spacing w:val="-3"/>
          <w:sz w:val="24"/>
          <w:szCs w:val="24"/>
        </w:rPr>
        <w:t>其他文书、文件格式</w:t>
      </w:r>
    </w:p>
    <w:p w14:paraId="7A39ABA1">
      <w:pPr>
        <w:spacing w:before="121" w:line="223" w:lineRule="auto"/>
        <w:ind w:left="2335"/>
        <w:rPr>
          <w:rFonts w:ascii="宋体" w:hAnsi="宋体" w:eastAsia="宋体" w:cs="宋体"/>
          <w:color w:val="auto"/>
          <w:sz w:val="43"/>
          <w:szCs w:val="43"/>
        </w:rPr>
      </w:pPr>
      <w:r>
        <w:rPr>
          <w:rFonts w:ascii="宋体" w:hAnsi="宋体" w:eastAsia="宋体" w:cs="宋体"/>
          <w:color w:val="auto"/>
          <w:spacing w:val="3"/>
          <w:sz w:val="43"/>
          <w:szCs w:val="43"/>
        </w:rPr>
        <w:t>中小企业声明函（服务）</w:t>
      </w:r>
    </w:p>
    <w:p w14:paraId="568585CC">
      <w:pPr>
        <w:spacing w:line="313" w:lineRule="auto"/>
        <w:rPr>
          <w:rFonts w:ascii="Arial"/>
          <w:color w:val="auto"/>
          <w:sz w:val="21"/>
        </w:rPr>
      </w:pPr>
    </w:p>
    <w:p w14:paraId="5B82AC3D">
      <w:pPr>
        <w:spacing w:line="313" w:lineRule="auto"/>
        <w:rPr>
          <w:rFonts w:ascii="Arial"/>
          <w:color w:val="auto"/>
          <w:sz w:val="21"/>
        </w:rPr>
      </w:pPr>
    </w:p>
    <w:p w14:paraId="60699FB2">
      <w:pPr>
        <w:spacing w:before="78" w:line="386" w:lineRule="auto"/>
        <w:ind w:left="1" w:right="160" w:firstLine="706"/>
        <w:jc w:val="both"/>
        <w:rPr>
          <w:rFonts w:ascii="宋体" w:hAnsi="宋体" w:eastAsia="宋体" w:cs="宋体"/>
          <w:color w:val="auto"/>
          <w:sz w:val="24"/>
          <w:szCs w:val="24"/>
        </w:rPr>
      </w:pPr>
      <w:r>
        <w:rPr>
          <w:rFonts w:ascii="宋体" w:hAnsi="宋体" w:eastAsia="宋体" w:cs="宋体"/>
          <w:color w:val="auto"/>
          <w:spacing w:val="-2"/>
          <w:sz w:val="24"/>
          <w:szCs w:val="24"/>
        </w:rPr>
        <w:t>本公司（联合体）郑重声明，根据《政府采</w:t>
      </w:r>
      <w:r>
        <w:rPr>
          <w:rFonts w:ascii="宋体" w:hAnsi="宋体" w:eastAsia="宋体" w:cs="宋体"/>
          <w:color w:val="auto"/>
          <w:spacing w:val="-3"/>
          <w:sz w:val="24"/>
          <w:szCs w:val="24"/>
        </w:rPr>
        <w:t>购促进中小企业发展管理办法》（财库﹝2020﹞46</w:t>
      </w:r>
      <w:r>
        <w:rPr>
          <w:rFonts w:ascii="宋体" w:hAnsi="宋体" w:eastAsia="宋体" w:cs="宋体"/>
          <w:color w:val="auto"/>
          <w:spacing w:val="-35"/>
          <w:sz w:val="24"/>
          <w:szCs w:val="24"/>
        </w:rPr>
        <w:t xml:space="preserve"> </w:t>
      </w:r>
      <w:r>
        <w:rPr>
          <w:rFonts w:ascii="宋体" w:hAnsi="宋体" w:eastAsia="宋体" w:cs="宋体"/>
          <w:color w:val="auto"/>
          <w:spacing w:val="-3"/>
          <w:sz w:val="24"/>
          <w:szCs w:val="24"/>
        </w:rPr>
        <w:t>号）的规定，本公司（联合体）参加</w:t>
      </w:r>
      <w:r>
        <w:rPr>
          <w:rFonts w:ascii="宋体" w:hAnsi="宋体" w:eastAsia="宋体" w:cs="宋体"/>
          <w:color w:val="auto"/>
          <w:spacing w:val="-3"/>
          <w:sz w:val="24"/>
          <w:szCs w:val="24"/>
          <w:u w:val="single" w:color="auto"/>
        </w:rPr>
        <w:t>（单位名称）</w:t>
      </w:r>
      <w:r>
        <w:rPr>
          <w:rFonts w:ascii="宋体" w:hAnsi="宋体" w:eastAsia="宋体" w:cs="宋体"/>
          <w:color w:val="auto"/>
          <w:spacing w:val="-3"/>
          <w:sz w:val="24"/>
          <w:szCs w:val="24"/>
        </w:rPr>
        <w:t>的</w:t>
      </w:r>
      <w:r>
        <w:rPr>
          <w:rFonts w:ascii="宋体" w:hAnsi="宋体" w:eastAsia="宋体" w:cs="宋体"/>
          <w:color w:val="auto"/>
          <w:spacing w:val="-3"/>
          <w:sz w:val="24"/>
          <w:szCs w:val="24"/>
          <w:u w:val="single" w:color="auto"/>
        </w:rPr>
        <w:t>（项目名称）</w:t>
      </w:r>
      <w:r>
        <w:rPr>
          <w:rFonts w:ascii="宋体" w:hAnsi="宋体" w:eastAsia="宋体" w:cs="宋体"/>
          <w:color w:val="auto"/>
          <w:spacing w:val="-3"/>
          <w:sz w:val="24"/>
          <w:szCs w:val="24"/>
        </w:rPr>
        <w:t>采购活动，服务全部由符合政策要求的中小企业承接。相关企业（含联合体中的中小企业、签订分包</w:t>
      </w:r>
      <w:r>
        <w:rPr>
          <w:rFonts w:ascii="宋体" w:hAnsi="宋体" w:eastAsia="宋体" w:cs="宋体"/>
          <w:color w:val="auto"/>
          <w:spacing w:val="-1"/>
          <w:sz w:val="24"/>
          <w:szCs w:val="24"/>
        </w:rPr>
        <w:t>意向协议的中小企业）的具体情况如下：</w:t>
      </w:r>
    </w:p>
    <w:p w14:paraId="7AD7EEB0">
      <w:pPr>
        <w:spacing w:before="111" w:line="330" w:lineRule="auto"/>
        <w:ind w:left="4" w:right="160" w:firstLine="787"/>
        <w:rPr>
          <w:rFonts w:ascii="宋体" w:hAnsi="宋体" w:eastAsia="宋体" w:cs="宋体"/>
          <w:color w:val="auto"/>
          <w:sz w:val="24"/>
          <w:szCs w:val="24"/>
        </w:rPr>
      </w:pPr>
      <w:r>
        <w:rPr>
          <w:rFonts w:ascii="宋体" w:hAnsi="宋体" w:eastAsia="宋体" w:cs="宋体"/>
          <w:color w:val="auto"/>
          <w:spacing w:val="-4"/>
          <w:sz w:val="24"/>
          <w:szCs w:val="24"/>
        </w:rPr>
        <w:t>1.</w:t>
      </w:r>
      <w:r>
        <w:rPr>
          <w:rFonts w:ascii="宋体" w:hAnsi="宋体" w:eastAsia="宋体" w:cs="宋体"/>
          <w:color w:val="auto"/>
          <w:spacing w:val="-4"/>
          <w:sz w:val="24"/>
          <w:szCs w:val="24"/>
          <w:u w:val="single" w:color="auto"/>
        </w:rPr>
        <w:t>（标的名称</w:t>
      </w:r>
      <w:r>
        <w:rPr>
          <w:rFonts w:ascii="宋体" w:hAnsi="宋体" w:eastAsia="宋体" w:cs="宋体"/>
          <w:color w:val="auto"/>
          <w:spacing w:val="-38"/>
          <w:sz w:val="24"/>
          <w:szCs w:val="24"/>
          <w:u w:val="single" w:color="auto"/>
        </w:rPr>
        <w:t>）</w:t>
      </w:r>
      <w:r>
        <w:rPr>
          <w:rFonts w:ascii="宋体" w:hAnsi="宋体" w:eastAsia="宋体" w:cs="宋体"/>
          <w:color w:val="auto"/>
          <w:spacing w:val="-38"/>
          <w:sz w:val="24"/>
          <w:szCs w:val="24"/>
        </w:rPr>
        <w:t>，</w:t>
      </w:r>
      <w:r>
        <w:rPr>
          <w:rFonts w:ascii="宋体" w:hAnsi="宋体" w:eastAsia="宋体" w:cs="宋体"/>
          <w:color w:val="auto"/>
          <w:spacing w:val="-4"/>
          <w:sz w:val="24"/>
          <w:szCs w:val="24"/>
        </w:rPr>
        <w:t>属于</w:t>
      </w:r>
      <w:r>
        <w:rPr>
          <w:rFonts w:ascii="宋体" w:hAnsi="宋体" w:eastAsia="宋体" w:cs="宋体"/>
          <w:color w:val="auto"/>
          <w:spacing w:val="-4"/>
          <w:sz w:val="24"/>
          <w:szCs w:val="24"/>
          <w:u w:val="single" w:color="auto"/>
        </w:rPr>
        <w:t>（采购文件中明确的所属行业</w:t>
      </w:r>
      <w:r>
        <w:rPr>
          <w:rFonts w:ascii="宋体" w:hAnsi="宋体" w:eastAsia="宋体" w:cs="宋体"/>
          <w:color w:val="auto"/>
          <w:spacing w:val="-38"/>
          <w:sz w:val="24"/>
          <w:szCs w:val="24"/>
          <w:u w:val="single" w:color="auto"/>
        </w:rPr>
        <w:t>）</w:t>
      </w:r>
      <w:r>
        <w:rPr>
          <w:rFonts w:ascii="宋体" w:hAnsi="宋体" w:eastAsia="宋体" w:cs="宋体"/>
          <w:color w:val="auto"/>
          <w:spacing w:val="-38"/>
          <w:sz w:val="24"/>
          <w:szCs w:val="24"/>
        </w:rPr>
        <w:t>；</w:t>
      </w:r>
      <w:r>
        <w:rPr>
          <w:rFonts w:ascii="宋体" w:hAnsi="宋体" w:eastAsia="宋体" w:cs="宋体"/>
          <w:color w:val="auto"/>
          <w:spacing w:val="-4"/>
          <w:sz w:val="24"/>
          <w:szCs w:val="24"/>
        </w:rPr>
        <w:t>承接企业为</w:t>
      </w:r>
      <w:r>
        <w:rPr>
          <w:rFonts w:ascii="宋体" w:hAnsi="宋体" w:eastAsia="宋体" w:cs="宋体"/>
          <w:color w:val="auto"/>
          <w:spacing w:val="-4"/>
          <w:sz w:val="24"/>
          <w:szCs w:val="24"/>
          <w:u w:val="single" w:color="auto"/>
        </w:rPr>
        <w:t>（企业名称</w:t>
      </w:r>
      <w:r>
        <w:rPr>
          <w:rFonts w:ascii="宋体" w:hAnsi="宋体" w:eastAsia="宋体" w:cs="宋体"/>
          <w:color w:val="auto"/>
          <w:spacing w:val="-38"/>
          <w:sz w:val="24"/>
          <w:szCs w:val="24"/>
          <w:u w:val="single" w:color="auto"/>
        </w:rPr>
        <w:t>）</w:t>
      </w:r>
      <w:r>
        <w:rPr>
          <w:rFonts w:ascii="宋体" w:hAnsi="宋体" w:eastAsia="宋体" w:cs="宋体"/>
          <w:color w:val="auto"/>
          <w:spacing w:val="-38"/>
          <w:sz w:val="24"/>
          <w:szCs w:val="24"/>
        </w:rPr>
        <w:t>，</w:t>
      </w:r>
      <w:r>
        <w:rPr>
          <w:rFonts w:ascii="宋体" w:hAnsi="宋体" w:eastAsia="宋体" w:cs="宋体"/>
          <w:color w:val="auto"/>
          <w:spacing w:val="-2"/>
          <w:sz w:val="24"/>
          <w:szCs w:val="24"/>
        </w:rPr>
        <w:t>从业人员</w:t>
      </w:r>
      <w:r>
        <w:rPr>
          <w:rFonts w:ascii="宋体" w:hAnsi="宋体" w:eastAsia="宋体" w:cs="宋体"/>
          <w:color w:val="auto"/>
          <w:spacing w:val="-2"/>
          <w:sz w:val="24"/>
          <w:szCs w:val="24"/>
          <w:u w:val="single" w:color="auto"/>
        </w:rPr>
        <w:t xml:space="preserve">      </w:t>
      </w:r>
      <w:r>
        <w:rPr>
          <w:rFonts w:ascii="宋体" w:hAnsi="宋体" w:eastAsia="宋体" w:cs="宋体"/>
          <w:color w:val="auto"/>
          <w:spacing w:val="-98"/>
          <w:sz w:val="24"/>
          <w:szCs w:val="24"/>
        </w:rPr>
        <w:t xml:space="preserve"> </w:t>
      </w:r>
      <w:r>
        <w:rPr>
          <w:rFonts w:ascii="宋体" w:hAnsi="宋体" w:eastAsia="宋体" w:cs="宋体"/>
          <w:color w:val="auto"/>
          <w:spacing w:val="-2"/>
          <w:sz w:val="24"/>
          <w:szCs w:val="24"/>
        </w:rPr>
        <w:t>人，营业收入为</w:t>
      </w:r>
      <w:r>
        <w:rPr>
          <w:rFonts w:ascii="宋体" w:hAnsi="宋体" w:eastAsia="宋体" w:cs="宋体"/>
          <w:color w:val="auto"/>
          <w:spacing w:val="-2"/>
          <w:sz w:val="24"/>
          <w:szCs w:val="24"/>
          <w:u w:val="single" w:color="auto"/>
        </w:rPr>
        <w:t xml:space="preserve">      </w:t>
      </w:r>
      <w:r>
        <w:rPr>
          <w:rFonts w:ascii="宋体" w:hAnsi="宋体" w:eastAsia="宋体" w:cs="宋体"/>
          <w:color w:val="auto"/>
          <w:spacing w:val="-105"/>
          <w:sz w:val="24"/>
          <w:szCs w:val="24"/>
        </w:rPr>
        <w:t xml:space="preserve"> </w:t>
      </w:r>
      <w:r>
        <w:rPr>
          <w:rFonts w:ascii="宋体" w:hAnsi="宋体" w:eastAsia="宋体" w:cs="宋体"/>
          <w:color w:val="auto"/>
          <w:spacing w:val="-2"/>
          <w:sz w:val="24"/>
          <w:szCs w:val="24"/>
        </w:rPr>
        <w:t>万元，资产总额为</w:t>
      </w:r>
      <w:r>
        <w:rPr>
          <w:rFonts w:ascii="宋体" w:hAnsi="宋体" w:eastAsia="宋体" w:cs="宋体"/>
          <w:color w:val="auto"/>
          <w:spacing w:val="-2"/>
          <w:sz w:val="24"/>
          <w:szCs w:val="24"/>
          <w:u w:val="single" w:color="auto"/>
        </w:rPr>
        <w:t xml:space="preserve">      </w:t>
      </w:r>
      <w:r>
        <w:rPr>
          <w:rFonts w:ascii="宋体" w:hAnsi="宋体" w:eastAsia="宋体" w:cs="宋体"/>
          <w:color w:val="auto"/>
          <w:spacing w:val="-104"/>
          <w:sz w:val="24"/>
          <w:szCs w:val="24"/>
        </w:rPr>
        <w:t xml:space="preserve"> </w:t>
      </w:r>
      <w:r>
        <w:rPr>
          <w:rFonts w:ascii="宋体" w:hAnsi="宋体" w:eastAsia="宋体" w:cs="宋体"/>
          <w:color w:val="auto"/>
          <w:spacing w:val="-2"/>
          <w:sz w:val="24"/>
          <w:szCs w:val="24"/>
        </w:rPr>
        <w:t>万元，属于</w:t>
      </w:r>
      <w:r>
        <w:rPr>
          <w:rFonts w:ascii="宋体" w:hAnsi="宋体" w:eastAsia="宋体" w:cs="宋体"/>
          <w:color w:val="auto"/>
          <w:spacing w:val="-2"/>
          <w:sz w:val="24"/>
          <w:szCs w:val="24"/>
          <w:u w:val="single" w:color="auto"/>
        </w:rPr>
        <w:t>（中型企业、小型企业、微型企业</w:t>
      </w:r>
      <w:r>
        <w:rPr>
          <w:rFonts w:ascii="宋体" w:hAnsi="宋体" w:eastAsia="宋体" w:cs="宋体"/>
          <w:color w:val="auto"/>
          <w:spacing w:val="2"/>
          <w:sz w:val="24"/>
          <w:szCs w:val="24"/>
          <w:u w:val="single" w:color="auto"/>
        </w:rPr>
        <w:t>）</w:t>
      </w:r>
      <w:r>
        <w:rPr>
          <w:rFonts w:ascii="宋体" w:hAnsi="宋体" w:eastAsia="宋体" w:cs="宋体"/>
          <w:color w:val="auto"/>
          <w:spacing w:val="2"/>
          <w:sz w:val="24"/>
          <w:szCs w:val="24"/>
        </w:rPr>
        <w:t>；</w:t>
      </w:r>
    </w:p>
    <w:p w14:paraId="6D4481F7">
      <w:pPr>
        <w:spacing w:before="236" w:line="329" w:lineRule="auto"/>
        <w:ind w:left="4" w:right="102" w:firstLine="772"/>
        <w:rPr>
          <w:rFonts w:ascii="宋体" w:hAnsi="宋体" w:eastAsia="宋体" w:cs="宋体"/>
          <w:color w:val="auto"/>
          <w:sz w:val="24"/>
          <w:szCs w:val="24"/>
        </w:rPr>
      </w:pPr>
      <w:r>
        <w:rPr>
          <w:rFonts w:ascii="宋体" w:hAnsi="宋体" w:eastAsia="宋体" w:cs="宋体"/>
          <w:color w:val="auto"/>
          <w:spacing w:val="-3"/>
          <w:sz w:val="24"/>
          <w:szCs w:val="24"/>
        </w:rPr>
        <w:t>2.</w:t>
      </w:r>
      <w:r>
        <w:rPr>
          <w:rFonts w:ascii="宋体" w:hAnsi="宋体" w:eastAsia="宋体" w:cs="宋体"/>
          <w:color w:val="auto"/>
          <w:spacing w:val="-3"/>
          <w:sz w:val="24"/>
          <w:szCs w:val="24"/>
          <w:u w:val="single" w:color="auto"/>
        </w:rPr>
        <w:t>（标的名称</w:t>
      </w:r>
      <w:r>
        <w:rPr>
          <w:rFonts w:ascii="宋体" w:hAnsi="宋体" w:eastAsia="宋体" w:cs="宋体"/>
          <w:color w:val="auto"/>
          <w:spacing w:val="-31"/>
          <w:sz w:val="24"/>
          <w:szCs w:val="24"/>
          <w:u w:val="single" w:color="auto"/>
        </w:rPr>
        <w:t>）</w:t>
      </w:r>
      <w:r>
        <w:rPr>
          <w:rFonts w:ascii="宋体" w:hAnsi="宋体" w:eastAsia="宋体" w:cs="宋体"/>
          <w:color w:val="auto"/>
          <w:spacing w:val="-31"/>
          <w:sz w:val="24"/>
          <w:szCs w:val="24"/>
        </w:rPr>
        <w:t>，</w:t>
      </w:r>
      <w:r>
        <w:rPr>
          <w:rFonts w:ascii="宋体" w:hAnsi="宋体" w:eastAsia="宋体" w:cs="宋体"/>
          <w:color w:val="auto"/>
          <w:spacing w:val="-3"/>
          <w:sz w:val="24"/>
          <w:szCs w:val="24"/>
        </w:rPr>
        <w:t>属于</w:t>
      </w:r>
      <w:r>
        <w:rPr>
          <w:rFonts w:ascii="宋体" w:hAnsi="宋体" w:eastAsia="宋体" w:cs="宋体"/>
          <w:color w:val="auto"/>
          <w:spacing w:val="-3"/>
          <w:sz w:val="24"/>
          <w:szCs w:val="24"/>
          <w:u w:val="single" w:color="auto"/>
        </w:rPr>
        <w:t>（采购文件中明确的所属行业</w:t>
      </w:r>
      <w:r>
        <w:rPr>
          <w:rFonts w:ascii="宋体" w:hAnsi="宋体" w:eastAsia="宋体" w:cs="宋体"/>
          <w:color w:val="auto"/>
          <w:spacing w:val="-31"/>
          <w:sz w:val="24"/>
          <w:szCs w:val="24"/>
          <w:u w:val="single" w:color="auto"/>
        </w:rPr>
        <w:t>）</w:t>
      </w:r>
      <w:r>
        <w:rPr>
          <w:rFonts w:ascii="宋体" w:hAnsi="宋体" w:eastAsia="宋体" w:cs="宋体"/>
          <w:color w:val="auto"/>
          <w:spacing w:val="-31"/>
          <w:sz w:val="24"/>
          <w:szCs w:val="24"/>
        </w:rPr>
        <w:t>；</w:t>
      </w:r>
      <w:r>
        <w:rPr>
          <w:rFonts w:ascii="宋体" w:hAnsi="宋体" w:eastAsia="宋体" w:cs="宋体"/>
          <w:color w:val="auto"/>
          <w:spacing w:val="-3"/>
          <w:sz w:val="24"/>
          <w:szCs w:val="24"/>
        </w:rPr>
        <w:t>承接企业为</w:t>
      </w:r>
      <w:r>
        <w:rPr>
          <w:rFonts w:ascii="宋体" w:hAnsi="宋体" w:eastAsia="宋体" w:cs="宋体"/>
          <w:color w:val="auto"/>
          <w:spacing w:val="-3"/>
          <w:sz w:val="24"/>
          <w:szCs w:val="24"/>
          <w:u w:val="single" w:color="auto"/>
        </w:rPr>
        <w:t>（企业名称</w:t>
      </w:r>
      <w:r>
        <w:rPr>
          <w:rFonts w:ascii="宋体" w:hAnsi="宋体" w:eastAsia="宋体" w:cs="宋体"/>
          <w:color w:val="auto"/>
          <w:spacing w:val="-31"/>
          <w:sz w:val="24"/>
          <w:szCs w:val="24"/>
          <w:u w:val="single" w:color="auto"/>
        </w:rPr>
        <w:t>）</w:t>
      </w:r>
      <w:r>
        <w:rPr>
          <w:rFonts w:ascii="宋体" w:hAnsi="宋体" w:eastAsia="宋体" w:cs="宋体"/>
          <w:color w:val="auto"/>
          <w:spacing w:val="-31"/>
          <w:sz w:val="24"/>
          <w:szCs w:val="24"/>
        </w:rPr>
        <w:t>，</w:t>
      </w:r>
      <w:r>
        <w:rPr>
          <w:rFonts w:ascii="宋体" w:hAnsi="宋体" w:eastAsia="宋体" w:cs="宋体"/>
          <w:color w:val="auto"/>
          <w:spacing w:val="-2"/>
          <w:sz w:val="24"/>
          <w:szCs w:val="24"/>
        </w:rPr>
        <w:t>从业人员</w:t>
      </w:r>
      <w:r>
        <w:rPr>
          <w:rFonts w:ascii="宋体" w:hAnsi="宋体" w:eastAsia="宋体" w:cs="宋体"/>
          <w:color w:val="auto"/>
          <w:spacing w:val="-2"/>
          <w:sz w:val="24"/>
          <w:szCs w:val="24"/>
          <w:u w:val="single" w:color="auto"/>
        </w:rPr>
        <w:t xml:space="preserve">      </w:t>
      </w:r>
      <w:r>
        <w:rPr>
          <w:rFonts w:ascii="宋体" w:hAnsi="宋体" w:eastAsia="宋体" w:cs="宋体"/>
          <w:color w:val="auto"/>
          <w:spacing w:val="-102"/>
          <w:sz w:val="24"/>
          <w:szCs w:val="24"/>
        </w:rPr>
        <w:t xml:space="preserve"> </w:t>
      </w:r>
      <w:r>
        <w:rPr>
          <w:rFonts w:ascii="宋体" w:hAnsi="宋体" w:eastAsia="宋体" w:cs="宋体"/>
          <w:color w:val="auto"/>
          <w:spacing w:val="-2"/>
          <w:sz w:val="24"/>
          <w:szCs w:val="24"/>
        </w:rPr>
        <w:t>人，营业收入为</w:t>
      </w:r>
      <w:r>
        <w:rPr>
          <w:rFonts w:ascii="宋体" w:hAnsi="宋体" w:eastAsia="宋体" w:cs="宋体"/>
          <w:color w:val="auto"/>
          <w:spacing w:val="-2"/>
          <w:sz w:val="24"/>
          <w:szCs w:val="24"/>
          <w:u w:val="single" w:color="auto"/>
        </w:rPr>
        <w:t xml:space="preserve">      </w:t>
      </w:r>
      <w:r>
        <w:rPr>
          <w:rFonts w:ascii="宋体" w:hAnsi="宋体" w:eastAsia="宋体" w:cs="宋体"/>
          <w:color w:val="auto"/>
          <w:spacing w:val="-105"/>
          <w:sz w:val="24"/>
          <w:szCs w:val="24"/>
        </w:rPr>
        <w:t xml:space="preserve"> </w:t>
      </w:r>
      <w:r>
        <w:rPr>
          <w:rFonts w:ascii="宋体" w:hAnsi="宋体" w:eastAsia="宋体" w:cs="宋体"/>
          <w:color w:val="auto"/>
          <w:spacing w:val="-2"/>
          <w:sz w:val="24"/>
          <w:szCs w:val="24"/>
        </w:rPr>
        <w:t>万元，资产总额为</w:t>
      </w:r>
      <w:r>
        <w:rPr>
          <w:rFonts w:ascii="宋体" w:hAnsi="宋体" w:eastAsia="宋体" w:cs="宋体"/>
          <w:color w:val="auto"/>
          <w:spacing w:val="-2"/>
          <w:sz w:val="24"/>
          <w:szCs w:val="24"/>
          <w:u w:val="single" w:color="auto"/>
        </w:rPr>
        <w:t xml:space="preserve">      </w:t>
      </w:r>
      <w:r>
        <w:rPr>
          <w:rFonts w:ascii="宋体" w:hAnsi="宋体" w:eastAsia="宋体" w:cs="宋体"/>
          <w:color w:val="auto"/>
          <w:spacing w:val="-105"/>
          <w:sz w:val="24"/>
          <w:szCs w:val="24"/>
        </w:rPr>
        <w:t xml:space="preserve"> </w:t>
      </w:r>
      <w:r>
        <w:rPr>
          <w:rFonts w:ascii="宋体" w:hAnsi="宋体" w:eastAsia="宋体" w:cs="宋体"/>
          <w:color w:val="auto"/>
          <w:spacing w:val="-2"/>
          <w:sz w:val="24"/>
          <w:szCs w:val="24"/>
        </w:rPr>
        <w:t>万元，属于</w:t>
      </w:r>
      <w:r>
        <w:rPr>
          <w:rFonts w:ascii="宋体" w:hAnsi="宋体" w:eastAsia="宋体" w:cs="宋体"/>
          <w:color w:val="auto"/>
          <w:spacing w:val="-2"/>
          <w:sz w:val="24"/>
          <w:szCs w:val="24"/>
          <w:u w:val="single" w:color="auto"/>
        </w:rPr>
        <w:t>（中型企业、小型企业、微型企业</w:t>
      </w:r>
      <w:r>
        <w:rPr>
          <w:rFonts w:ascii="宋体" w:hAnsi="宋体" w:eastAsia="宋体" w:cs="宋体"/>
          <w:color w:val="auto"/>
          <w:spacing w:val="2"/>
          <w:sz w:val="24"/>
          <w:szCs w:val="24"/>
          <w:u w:val="single" w:color="auto"/>
        </w:rPr>
        <w:t>）</w:t>
      </w:r>
      <w:r>
        <w:rPr>
          <w:rFonts w:ascii="宋体" w:hAnsi="宋体" w:eastAsia="宋体" w:cs="宋体"/>
          <w:color w:val="auto"/>
          <w:spacing w:val="2"/>
          <w:sz w:val="24"/>
          <w:szCs w:val="24"/>
        </w:rPr>
        <w:t>；</w:t>
      </w:r>
    </w:p>
    <w:p w14:paraId="7AAEBCCF">
      <w:pPr>
        <w:spacing w:before="250" w:line="378" w:lineRule="exact"/>
        <w:ind w:left="722"/>
        <w:rPr>
          <w:rFonts w:ascii="宋体" w:hAnsi="宋体" w:eastAsia="宋体" w:cs="宋体"/>
          <w:color w:val="auto"/>
          <w:sz w:val="24"/>
          <w:szCs w:val="24"/>
        </w:rPr>
      </w:pPr>
      <w:r>
        <w:rPr>
          <w:rFonts w:ascii="宋体" w:hAnsi="宋体" w:eastAsia="宋体" w:cs="宋体"/>
          <w:color w:val="auto"/>
          <w:spacing w:val="-13"/>
          <w:position w:val="3"/>
          <w:sz w:val="24"/>
          <w:szCs w:val="24"/>
        </w:rPr>
        <w:t>……</w:t>
      </w:r>
    </w:p>
    <w:p w14:paraId="7ADCFBAE">
      <w:pPr>
        <w:spacing w:before="241" w:line="386" w:lineRule="auto"/>
        <w:ind w:left="6" w:right="221" w:firstLine="727"/>
        <w:rPr>
          <w:rFonts w:ascii="宋体" w:hAnsi="宋体" w:eastAsia="宋体" w:cs="宋体"/>
          <w:color w:val="auto"/>
          <w:sz w:val="24"/>
          <w:szCs w:val="24"/>
        </w:rPr>
      </w:pPr>
      <w:r>
        <w:rPr>
          <w:rFonts w:ascii="宋体" w:hAnsi="宋体" w:eastAsia="宋体" w:cs="宋体"/>
          <w:color w:val="auto"/>
          <w:spacing w:val="-3"/>
          <w:sz w:val="24"/>
          <w:szCs w:val="24"/>
        </w:rPr>
        <w:t>以上企业，不属于大企业的分支机构，不存在控股股东为大企业的</w:t>
      </w:r>
      <w:r>
        <w:rPr>
          <w:rFonts w:ascii="宋体" w:hAnsi="宋体" w:eastAsia="宋体" w:cs="宋体"/>
          <w:color w:val="auto"/>
          <w:spacing w:val="-4"/>
          <w:sz w:val="24"/>
          <w:szCs w:val="24"/>
        </w:rPr>
        <w:t>情形，也不存在</w:t>
      </w:r>
      <w:r>
        <w:rPr>
          <w:rFonts w:ascii="宋体" w:hAnsi="宋体" w:eastAsia="宋体" w:cs="宋体"/>
          <w:color w:val="auto"/>
          <w:spacing w:val="-1"/>
          <w:sz w:val="24"/>
          <w:szCs w:val="24"/>
        </w:rPr>
        <w:t>与大企业的负责人为同一人的情形。</w:t>
      </w:r>
    </w:p>
    <w:p w14:paraId="7619443D">
      <w:pPr>
        <w:spacing w:before="117" w:line="219" w:lineRule="auto"/>
        <w:ind w:left="708"/>
        <w:rPr>
          <w:rFonts w:ascii="宋体" w:hAnsi="宋体" w:eastAsia="宋体" w:cs="宋体"/>
          <w:color w:val="auto"/>
          <w:sz w:val="24"/>
          <w:szCs w:val="24"/>
        </w:rPr>
      </w:pPr>
      <w:r>
        <w:rPr>
          <w:rFonts w:ascii="宋体" w:hAnsi="宋体" w:eastAsia="宋体" w:cs="宋体"/>
          <w:color w:val="auto"/>
          <w:sz w:val="24"/>
          <w:szCs w:val="24"/>
        </w:rPr>
        <w:t>本企业对上述声明内容的真实性负责。如有虚</w:t>
      </w:r>
      <w:r>
        <w:rPr>
          <w:rFonts w:ascii="宋体" w:hAnsi="宋体" w:eastAsia="宋体" w:cs="宋体"/>
          <w:color w:val="auto"/>
          <w:spacing w:val="-1"/>
          <w:sz w:val="24"/>
          <w:szCs w:val="24"/>
        </w:rPr>
        <w:t>假，将依法承担相应责任。</w:t>
      </w:r>
    </w:p>
    <w:p w14:paraId="48C518AB">
      <w:pPr>
        <w:spacing w:line="290" w:lineRule="auto"/>
        <w:rPr>
          <w:rFonts w:ascii="Arial"/>
          <w:color w:val="auto"/>
          <w:sz w:val="21"/>
        </w:rPr>
      </w:pPr>
    </w:p>
    <w:p w14:paraId="6BA22990">
      <w:pPr>
        <w:spacing w:line="290" w:lineRule="auto"/>
        <w:rPr>
          <w:rFonts w:ascii="Arial"/>
          <w:color w:val="auto"/>
          <w:sz w:val="21"/>
        </w:rPr>
      </w:pPr>
    </w:p>
    <w:p w14:paraId="19F4420C">
      <w:pPr>
        <w:spacing w:line="290" w:lineRule="auto"/>
        <w:rPr>
          <w:rFonts w:ascii="Arial"/>
          <w:color w:val="auto"/>
          <w:sz w:val="21"/>
        </w:rPr>
      </w:pPr>
    </w:p>
    <w:p w14:paraId="00C9263C">
      <w:pPr>
        <w:spacing w:before="78" w:line="219" w:lineRule="auto"/>
        <w:ind w:left="5631"/>
        <w:rPr>
          <w:rFonts w:ascii="宋体" w:hAnsi="宋体" w:eastAsia="宋体" w:cs="宋体"/>
          <w:color w:val="auto"/>
          <w:sz w:val="24"/>
          <w:szCs w:val="24"/>
        </w:rPr>
      </w:pPr>
      <w:r>
        <w:rPr>
          <w:rFonts w:ascii="宋体" w:hAnsi="宋体" w:eastAsia="宋体" w:cs="宋体"/>
          <w:color w:val="auto"/>
          <w:spacing w:val="-3"/>
          <w:sz w:val="24"/>
          <w:szCs w:val="24"/>
        </w:rPr>
        <w:t>企业名称（章</w:t>
      </w:r>
      <w:r>
        <w:rPr>
          <w:rFonts w:ascii="宋体" w:hAnsi="宋体" w:eastAsia="宋体" w:cs="宋体"/>
          <w:color w:val="auto"/>
          <w:spacing w:val="1"/>
          <w:sz w:val="24"/>
          <w:szCs w:val="24"/>
        </w:rPr>
        <w:t>）：</w:t>
      </w:r>
    </w:p>
    <w:p w14:paraId="07840023">
      <w:pPr>
        <w:spacing w:line="257" w:lineRule="auto"/>
        <w:rPr>
          <w:rFonts w:ascii="Arial"/>
          <w:color w:val="auto"/>
          <w:sz w:val="21"/>
        </w:rPr>
      </w:pPr>
    </w:p>
    <w:p w14:paraId="00FE30F4">
      <w:pPr>
        <w:spacing w:before="79" w:line="220" w:lineRule="auto"/>
        <w:ind w:left="5668"/>
        <w:rPr>
          <w:rFonts w:ascii="宋体" w:hAnsi="宋体" w:eastAsia="宋体" w:cs="宋体"/>
          <w:color w:val="auto"/>
          <w:sz w:val="24"/>
          <w:szCs w:val="24"/>
        </w:rPr>
      </w:pPr>
      <w:r>
        <w:rPr>
          <w:rFonts w:ascii="宋体" w:hAnsi="宋体" w:eastAsia="宋体" w:cs="宋体"/>
          <w:color w:val="auto"/>
          <w:spacing w:val="-21"/>
          <w:sz w:val="24"/>
          <w:szCs w:val="24"/>
        </w:rPr>
        <w:t>日</w:t>
      </w:r>
      <w:r>
        <w:rPr>
          <w:rFonts w:ascii="宋体" w:hAnsi="宋体" w:eastAsia="宋体" w:cs="宋体"/>
          <w:color w:val="auto"/>
          <w:spacing w:val="12"/>
          <w:sz w:val="24"/>
          <w:szCs w:val="24"/>
        </w:rPr>
        <w:t xml:space="preserve"> </w:t>
      </w:r>
      <w:r>
        <w:rPr>
          <w:rFonts w:ascii="宋体" w:hAnsi="宋体" w:eastAsia="宋体" w:cs="宋体"/>
          <w:color w:val="auto"/>
          <w:spacing w:val="-21"/>
          <w:sz w:val="24"/>
          <w:szCs w:val="24"/>
        </w:rPr>
        <w:t>期：</w:t>
      </w:r>
    </w:p>
    <w:p w14:paraId="613D1BE5">
      <w:pPr>
        <w:spacing w:line="270" w:lineRule="auto"/>
        <w:rPr>
          <w:rFonts w:ascii="Arial"/>
          <w:color w:val="auto"/>
          <w:sz w:val="21"/>
        </w:rPr>
      </w:pPr>
    </w:p>
    <w:p w14:paraId="18928B5C">
      <w:pPr>
        <w:spacing w:before="79" w:line="401" w:lineRule="auto"/>
        <w:ind w:firstLine="1"/>
        <w:jc w:val="both"/>
        <w:rPr>
          <w:rFonts w:ascii="宋体" w:hAnsi="宋体" w:eastAsia="宋体" w:cs="宋体"/>
          <w:color w:val="auto"/>
          <w:sz w:val="24"/>
          <w:szCs w:val="24"/>
        </w:rPr>
      </w:pPr>
      <w:r>
        <w:rPr>
          <w:rFonts w:ascii="宋体" w:hAnsi="宋体" w:eastAsia="宋体" w:cs="宋体"/>
          <w:color w:val="auto"/>
          <w:spacing w:val="-1"/>
          <w:sz w:val="24"/>
          <w:szCs w:val="24"/>
        </w:rPr>
        <w:t>注：享受《政府采购促进中小企业发展管理办法》（财库〔2020〕46</w:t>
      </w:r>
      <w:r>
        <w:rPr>
          <w:rFonts w:ascii="宋体" w:hAnsi="宋体" w:eastAsia="宋体" w:cs="宋体"/>
          <w:color w:val="auto"/>
          <w:spacing w:val="-38"/>
          <w:sz w:val="24"/>
          <w:szCs w:val="24"/>
        </w:rPr>
        <w:t xml:space="preserve"> </w:t>
      </w:r>
      <w:r>
        <w:rPr>
          <w:rFonts w:ascii="宋体" w:hAnsi="宋体" w:eastAsia="宋体" w:cs="宋体"/>
          <w:color w:val="auto"/>
          <w:spacing w:val="-1"/>
          <w:sz w:val="24"/>
          <w:szCs w:val="24"/>
        </w:rPr>
        <w:t>号）规定的中小企业</w:t>
      </w:r>
      <w:r>
        <w:rPr>
          <w:rFonts w:ascii="宋体" w:hAnsi="宋体" w:eastAsia="宋体" w:cs="宋体"/>
          <w:color w:val="auto"/>
          <w:spacing w:val="-9"/>
          <w:sz w:val="24"/>
          <w:szCs w:val="24"/>
        </w:rPr>
        <w:t>扶持政策的，采购人、采购代理机构应当随成交结果公开成交供应商的《中小企业声明函》。</w:t>
      </w:r>
      <w:r>
        <w:rPr>
          <w:rFonts w:ascii="宋体" w:hAnsi="宋体" w:eastAsia="宋体" w:cs="宋体"/>
          <w:color w:val="auto"/>
          <w:sz w:val="24"/>
          <w:szCs w:val="24"/>
        </w:rPr>
        <w:t>从业人员、营业收入、资产总额填报上一年度数据，无上一年度数据</w:t>
      </w:r>
      <w:r>
        <w:rPr>
          <w:rFonts w:ascii="宋体" w:hAnsi="宋体" w:eastAsia="宋体" w:cs="宋体"/>
          <w:color w:val="auto"/>
          <w:spacing w:val="-1"/>
          <w:sz w:val="24"/>
          <w:szCs w:val="24"/>
        </w:rPr>
        <w:t>的新成立企业可不填</w:t>
      </w:r>
      <w:r>
        <w:rPr>
          <w:rFonts w:ascii="宋体" w:hAnsi="宋体" w:eastAsia="宋体" w:cs="宋体"/>
          <w:color w:val="auto"/>
          <w:spacing w:val="-4"/>
          <w:sz w:val="24"/>
          <w:szCs w:val="24"/>
        </w:rPr>
        <w:t>报。</w:t>
      </w:r>
    </w:p>
    <w:p w14:paraId="1E2E6AE0">
      <w:pPr>
        <w:spacing w:line="401" w:lineRule="auto"/>
        <w:rPr>
          <w:rFonts w:ascii="宋体" w:hAnsi="宋体" w:eastAsia="宋体" w:cs="宋体"/>
          <w:color w:val="auto"/>
          <w:sz w:val="24"/>
          <w:szCs w:val="24"/>
        </w:rPr>
        <w:sectPr>
          <w:footerReference r:id="rId29" w:type="default"/>
          <w:pgSz w:w="11906" w:h="16839"/>
          <w:pgMar w:top="1275" w:right="1167" w:bottom="1362" w:left="1255" w:header="0" w:footer="1200" w:gutter="0"/>
          <w:pgNumType w:fmt="decimal"/>
          <w:cols w:space="720" w:num="1"/>
        </w:sectPr>
      </w:pPr>
    </w:p>
    <w:p w14:paraId="2337C599">
      <w:pPr>
        <w:spacing w:before="56" w:line="219" w:lineRule="auto"/>
        <w:ind w:left="300"/>
        <w:rPr>
          <w:rFonts w:ascii="宋体" w:hAnsi="宋体" w:eastAsia="宋体" w:cs="宋体"/>
          <w:color w:val="auto"/>
          <w:sz w:val="28"/>
          <w:szCs w:val="28"/>
        </w:rPr>
      </w:pPr>
      <w:r>
        <w:rPr>
          <w:rFonts w:ascii="宋体" w:hAnsi="宋体" w:eastAsia="宋体" w:cs="宋体"/>
          <w:color w:val="auto"/>
          <w:spacing w:val="-11"/>
          <w:sz w:val="28"/>
          <w:szCs w:val="28"/>
        </w:rPr>
        <w:t>附件：</w:t>
      </w:r>
    </w:p>
    <w:p w14:paraId="48B5900C">
      <w:pPr>
        <w:spacing w:before="195" w:line="220" w:lineRule="auto"/>
        <w:ind w:left="3612"/>
        <w:rPr>
          <w:rFonts w:ascii="宋体" w:hAnsi="宋体" w:eastAsia="宋体" w:cs="宋体"/>
          <w:color w:val="auto"/>
          <w:sz w:val="28"/>
          <w:szCs w:val="28"/>
        </w:rPr>
      </w:pPr>
      <w:r>
        <w:rPr>
          <w:rFonts w:ascii="宋体" w:hAnsi="宋体" w:eastAsia="宋体" w:cs="宋体"/>
          <w:color w:val="auto"/>
          <w:spacing w:val="-4"/>
          <w:sz w:val="28"/>
          <w:szCs w:val="28"/>
        </w:rPr>
        <w:t>中小微企业划型标准</w:t>
      </w:r>
    </w:p>
    <w:p w14:paraId="25A4BD39">
      <w:pPr>
        <w:spacing w:line="143" w:lineRule="auto"/>
        <w:rPr>
          <w:rFonts w:ascii="Arial"/>
          <w:color w:val="auto"/>
          <w:sz w:val="2"/>
        </w:rPr>
      </w:pPr>
    </w:p>
    <w:tbl>
      <w:tblPr>
        <w:tblStyle w:val="10"/>
        <w:tblW w:w="8710" w:type="dxa"/>
        <w:tblInd w:w="1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0"/>
        <w:gridCol w:w="1700"/>
        <w:gridCol w:w="1133"/>
        <w:gridCol w:w="1845"/>
        <w:gridCol w:w="1569"/>
        <w:gridCol w:w="1013"/>
      </w:tblGrid>
      <w:tr w14:paraId="7B78D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450" w:type="dxa"/>
            <w:vAlign w:val="top"/>
          </w:tcPr>
          <w:p w14:paraId="7220D573">
            <w:pPr>
              <w:pStyle w:val="9"/>
              <w:spacing w:before="57" w:line="228" w:lineRule="auto"/>
              <w:ind w:left="119"/>
              <w:rPr>
                <w:color w:val="auto"/>
              </w:rPr>
            </w:pPr>
            <w:r>
              <w:rPr>
                <w:color w:val="auto"/>
                <w:spacing w:val="6"/>
              </w:rPr>
              <w:t>行业名称</w:t>
            </w:r>
          </w:p>
        </w:tc>
        <w:tc>
          <w:tcPr>
            <w:tcW w:w="1700" w:type="dxa"/>
            <w:vAlign w:val="top"/>
          </w:tcPr>
          <w:p w14:paraId="5F67B0C6">
            <w:pPr>
              <w:pStyle w:val="9"/>
              <w:spacing w:before="57" w:line="228" w:lineRule="auto"/>
              <w:ind w:left="113"/>
              <w:rPr>
                <w:color w:val="auto"/>
              </w:rPr>
            </w:pPr>
            <w:r>
              <w:rPr>
                <w:color w:val="auto"/>
                <w:spacing w:val="6"/>
              </w:rPr>
              <w:t>指标名称</w:t>
            </w:r>
          </w:p>
        </w:tc>
        <w:tc>
          <w:tcPr>
            <w:tcW w:w="1133" w:type="dxa"/>
            <w:vAlign w:val="top"/>
          </w:tcPr>
          <w:p w14:paraId="132FEC8B">
            <w:pPr>
              <w:pStyle w:val="9"/>
              <w:spacing w:before="57" w:line="228" w:lineRule="auto"/>
              <w:ind w:left="112"/>
              <w:rPr>
                <w:color w:val="auto"/>
              </w:rPr>
            </w:pPr>
            <w:r>
              <w:rPr>
                <w:color w:val="auto"/>
                <w:spacing w:val="7"/>
              </w:rPr>
              <w:t>计量单位</w:t>
            </w:r>
          </w:p>
        </w:tc>
        <w:tc>
          <w:tcPr>
            <w:tcW w:w="1845" w:type="dxa"/>
            <w:vAlign w:val="top"/>
          </w:tcPr>
          <w:p w14:paraId="2991878C">
            <w:pPr>
              <w:pStyle w:val="9"/>
              <w:spacing w:before="57" w:line="228" w:lineRule="auto"/>
              <w:ind w:left="132"/>
              <w:rPr>
                <w:color w:val="auto"/>
              </w:rPr>
            </w:pPr>
            <w:r>
              <w:rPr>
                <w:color w:val="auto"/>
                <w:spacing w:val="-5"/>
              </w:rPr>
              <w:t>中型</w:t>
            </w:r>
          </w:p>
        </w:tc>
        <w:tc>
          <w:tcPr>
            <w:tcW w:w="1569" w:type="dxa"/>
            <w:vAlign w:val="top"/>
          </w:tcPr>
          <w:p w14:paraId="28FD025D">
            <w:pPr>
              <w:pStyle w:val="9"/>
              <w:spacing w:before="57" w:line="230" w:lineRule="auto"/>
              <w:ind w:left="121"/>
              <w:rPr>
                <w:color w:val="auto"/>
              </w:rPr>
            </w:pPr>
            <w:r>
              <w:rPr>
                <w:color w:val="auto"/>
                <w:spacing w:val="2"/>
              </w:rPr>
              <w:t>小型</w:t>
            </w:r>
          </w:p>
        </w:tc>
        <w:tc>
          <w:tcPr>
            <w:tcW w:w="1013" w:type="dxa"/>
            <w:vAlign w:val="top"/>
          </w:tcPr>
          <w:p w14:paraId="52F1C21B">
            <w:pPr>
              <w:pStyle w:val="9"/>
              <w:spacing w:before="57" w:line="228" w:lineRule="auto"/>
              <w:ind w:left="116"/>
              <w:rPr>
                <w:color w:val="auto"/>
              </w:rPr>
            </w:pPr>
            <w:r>
              <w:rPr>
                <w:color w:val="auto"/>
                <w:spacing w:val="4"/>
              </w:rPr>
              <w:t>微型</w:t>
            </w:r>
          </w:p>
        </w:tc>
      </w:tr>
      <w:tr w14:paraId="5A6B0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50" w:type="dxa"/>
            <w:vAlign w:val="top"/>
          </w:tcPr>
          <w:p w14:paraId="6EF7978E">
            <w:pPr>
              <w:pStyle w:val="9"/>
              <w:spacing w:before="52" w:line="261" w:lineRule="auto"/>
              <w:ind w:left="625" w:right="113" w:hanging="509"/>
              <w:rPr>
                <w:color w:val="auto"/>
              </w:rPr>
            </w:pPr>
            <w:r>
              <w:rPr>
                <w:color w:val="auto"/>
                <w:spacing w:val="2"/>
              </w:rPr>
              <w:t>农、林、牧、</w:t>
            </w:r>
            <w:r>
              <w:rPr>
                <w:color w:val="auto"/>
              </w:rPr>
              <w:t>渔</w:t>
            </w:r>
          </w:p>
        </w:tc>
        <w:tc>
          <w:tcPr>
            <w:tcW w:w="1700" w:type="dxa"/>
            <w:vAlign w:val="top"/>
          </w:tcPr>
          <w:p w14:paraId="0F7D91AD">
            <w:pPr>
              <w:pStyle w:val="9"/>
              <w:spacing w:before="208" w:line="228" w:lineRule="auto"/>
              <w:ind w:left="117"/>
              <w:rPr>
                <w:color w:val="auto"/>
              </w:rPr>
            </w:pPr>
            <w:r>
              <w:rPr>
                <w:color w:val="auto"/>
                <w:spacing w:val="6"/>
              </w:rPr>
              <w:t>营业收入（</w:t>
            </w:r>
            <w:r>
              <w:rPr>
                <w:rFonts w:ascii="Times New Roman" w:hAnsi="Times New Roman" w:eastAsia="Times New Roman" w:cs="Times New Roman"/>
                <w:color w:val="auto"/>
                <w:spacing w:val="6"/>
              </w:rPr>
              <w:t>Y</w:t>
            </w:r>
            <w:r>
              <w:rPr>
                <w:color w:val="auto"/>
                <w:spacing w:val="6"/>
              </w:rPr>
              <w:t>）</w:t>
            </w:r>
          </w:p>
        </w:tc>
        <w:tc>
          <w:tcPr>
            <w:tcW w:w="1133" w:type="dxa"/>
            <w:vAlign w:val="top"/>
          </w:tcPr>
          <w:p w14:paraId="7C2F41AE">
            <w:pPr>
              <w:pStyle w:val="9"/>
              <w:spacing w:before="209" w:line="228" w:lineRule="auto"/>
              <w:ind w:left="117"/>
              <w:rPr>
                <w:color w:val="auto"/>
              </w:rPr>
            </w:pPr>
            <w:r>
              <w:rPr>
                <w:color w:val="auto"/>
                <w:spacing w:val="2"/>
              </w:rPr>
              <w:t>万元</w:t>
            </w:r>
          </w:p>
        </w:tc>
        <w:tc>
          <w:tcPr>
            <w:tcW w:w="1845" w:type="dxa"/>
            <w:vAlign w:val="top"/>
          </w:tcPr>
          <w:p w14:paraId="22C32D23">
            <w:pPr>
              <w:pStyle w:val="9"/>
              <w:spacing w:before="209" w:line="264" w:lineRule="exact"/>
              <w:ind w:left="114"/>
              <w:rPr>
                <w:rFonts w:ascii="Times New Roman" w:hAnsi="Times New Roman" w:eastAsia="Times New Roman" w:cs="Times New Roman"/>
                <w:color w:val="auto"/>
              </w:rPr>
            </w:pPr>
            <w:r>
              <w:rPr>
                <w:rFonts w:ascii="Times New Roman" w:hAnsi="Times New Roman" w:eastAsia="Times New Roman" w:cs="Times New Roman"/>
                <w:color w:val="auto"/>
                <w:spacing w:val="5"/>
                <w:position w:val="1"/>
              </w:rPr>
              <w:t>500</w:t>
            </w:r>
            <w:r>
              <w:rPr>
                <w:color w:val="auto"/>
                <w:spacing w:val="5"/>
                <w:position w:val="1"/>
              </w:rPr>
              <w:t>≤</w:t>
            </w:r>
            <w:r>
              <w:rPr>
                <w:rFonts w:ascii="Times New Roman" w:hAnsi="Times New Roman" w:eastAsia="Times New Roman" w:cs="Times New Roman"/>
                <w:color w:val="auto"/>
                <w:spacing w:val="5"/>
                <w:position w:val="1"/>
              </w:rPr>
              <w:t>Y</w:t>
            </w:r>
            <w:r>
              <w:rPr>
                <w:color w:val="auto"/>
                <w:spacing w:val="5"/>
                <w:position w:val="1"/>
              </w:rPr>
              <w:t>＜</w:t>
            </w:r>
            <w:r>
              <w:rPr>
                <w:rFonts w:ascii="Times New Roman" w:hAnsi="Times New Roman" w:eastAsia="Times New Roman" w:cs="Times New Roman"/>
                <w:color w:val="auto"/>
                <w:spacing w:val="5"/>
                <w:position w:val="1"/>
              </w:rPr>
              <w:t>20000</w:t>
            </w:r>
          </w:p>
        </w:tc>
        <w:tc>
          <w:tcPr>
            <w:tcW w:w="1569" w:type="dxa"/>
            <w:vAlign w:val="top"/>
          </w:tcPr>
          <w:p w14:paraId="24866F2B">
            <w:pPr>
              <w:pStyle w:val="9"/>
              <w:spacing w:before="209" w:line="264" w:lineRule="exact"/>
              <w:ind w:left="117"/>
              <w:rPr>
                <w:rFonts w:ascii="Times New Roman" w:hAnsi="Times New Roman" w:eastAsia="Times New Roman" w:cs="Times New Roman"/>
                <w:color w:val="auto"/>
              </w:rPr>
            </w:pPr>
            <w:r>
              <w:rPr>
                <w:rFonts w:ascii="Times New Roman" w:hAnsi="Times New Roman" w:eastAsia="Times New Roman" w:cs="Times New Roman"/>
                <w:color w:val="auto"/>
                <w:spacing w:val="5"/>
                <w:position w:val="1"/>
              </w:rPr>
              <w:t>50</w:t>
            </w:r>
            <w:r>
              <w:rPr>
                <w:color w:val="auto"/>
                <w:spacing w:val="5"/>
                <w:position w:val="1"/>
              </w:rPr>
              <w:t>≤</w:t>
            </w:r>
            <w:r>
              <w:rPr>
                <w:rFonts w:ascii="Times New Roman" w:hAnsi="Times New Roman" w:eastAsia="Times New Roman" w:cs="Times New Roman"/>
                <w:color w:val="auto"/>
                <w:spacing w:val="5"/>
                <w:position w:val="1"/>
              </w:rPr>
              <w:t>Y</w:t>
            </w:r>
            <w:r>
              <w:rPr>
                <w:color w:val="auto"/>
                <w:spacing w:val="5"/>
                <w:position w:val="1"/>
              </w:rPr>
              <w:t>＜</w:t>
            </w:r>
            <w:r>
              <w:rPr>
                <w:rFonts w:ascii="Times New Roman" w:hAnsi="Times New Roman" w:eastAsia="Times New Roman" w:cs="Times New Roman"/>
                <w:color w:val="auto"/>
                <w:spacing w:val="5"/>
                <w:position w:val="1"/>
              </w:rPr>
              <w:t>500</w:t>
            </w:r>
          </w:p>
        </w:tc>
        <w:tc>
          <w:tcPr>
            <w:tcW w:w="1013" w:type="dxa"/>
            <w:vAlign w:val="top"/>
          </w:tcPr>
          <w:p w14:paraId="7C0B4C67">
            <w:pPr>
              <w:pStyle w:val="9"/>
              <w:spacing w:before="209" w:line="264" w:lineRule="exact"/>
              <w:ind w:left="110"/>
              <w:rPr>
                <w:rFonts w:ascii="Times New Roman" w:hAnsi="Times New Roman" w:eastAsia="Times New Roman" w:cs="Times New Roman"/>
                <w:color w:val="auto"/>
              </w:rPr>
            </w:pPr>
            <w:r>
              <w:rPr>
                <w:rFonts w:ascii="Times New Roman" w:hAnsi="Times New Roman" w:eastAsia="Times New Roman" w:cs="Times New Roman"/>
                <w:color w:val="auto"/>
                <w:spacing w:val="5"/>
                <w:position w:val="1"/>
              </w:rPr>
              <w:t>Y</w:t>
            </w:r>
            <w:r>
              <w:rPr>
                <w:color w:val="auto"/>
                <w:spacing w:val="5"/>
                <w:position w:val="1"/>
              </w:rPr>
              <w:t>＜</w:t>
            </w:r>
            <w:r>
              <w:rPr>
                <w:rFonts w:ascii="Times New Roman" w:hAnsi="Times New Roman" w:eastAsia="Times New Roman" w:cs="Times New Roman"/>
                <w:color w:val="auto"/>
                <w:spacing w:val="5"/>
                <w:position w:val="1"/>
              </w:rPr>
              <w:t>50</w:t>
            </w:r>
          </w:p>
        </w:tc>
      </w:tr>
      <w:tr w14:paraId="64E0F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450" w:type="dxa"/>
            <w:vMerge w:val="restart"/>
            <w:tcBorders>
              <w:bottom w:val="nil"/>
            </w:tcBorders>
            <w:vAlign w:val="top"/>
          </w:tcPr>
          <w:p w14:paraId="1DCE6BF6">
            <w:pPr>
              <w:spacing w:line="308" w:lineRule="auto"/>
              <w:rPr>
                <w:rFonts w:ascii="Arial"/>
                <w:color w:val="auto"/>
                <w:sz w:val="21"/>
              </w:rPr>
            </w:pPr>
          </w:p>
          <w:p w14:paraId="44754520">
            <w:pPr>
              <w:pStyle w:val="9"/>
              <w:spacing w:before="65" w:line="233" w:lineRule="auto"/>
              <w:ind w:left="522"/>
              <w:rPr>
                <w:color w:val="auto"/>
              </w:rPr>
            </w:pPr>
            <w:r>
              <w:rPr>
                <w:color w:val="auto"/>
                <w:spacing w:val="3"/>
              </w:rPr>
              <w:t>工业</w:t>
            </w:r>
          </w:p>
        </w:tc>
        <w:tc>
          <w:tcPr>
            <w:tcW w:w="1700" w:type="dxa"/>
            <w:vAlign w:val="top"/>
          </w:tcPr>
          <w:p w14:paraId="701B7258">
            <w:pPr>
              <w:pStyle w:val="9"/>
              <w:spacing w:before="54" w:line="228" w:lineRule="auto"/>
              <w:ind w:left="113"/>
              <w:rPr>
                <w:color w:val="auto"/>
              </w:rPr>
            </w:pPr>
            <w:r>
              <w:rPr>
                <w:color w:val="auto"/>
                <w:spacing w:val="6"/>
              </w:rPr>
              <w:t>从业人员（</w:t>
            </w:r>
            <w:r>
              <w:rPr>
                <w:rFonts w:ascii="Times New Roman" w:hAnsi="Times New Roman" w:eastAsia="Times New Roman" w:cs="Times New Roman"/>
                <w:color w:val="auto"/>
                <w:spacing w:val="6"/>
              </w:rPr>
              <w:t>X</w:t>
            </w:r>
            <w:r>
              <w:rPr>
                <w:color w:val="auto"/>
                <w:spacing w:val="6"/>
              </w:rPr>
              <w:t>）</w:t>
            </w:r>
          </w:p>
        </w:tc>
        <w:tc>
          <w:tcPr>
            <w:tcW w:w="1133" w:type="dxa"/>
            <w:vAlign w:val="top"/>
          </w:tcPr>
          <w:p w14:paraId="1EF9461D">
            <w:pPr>
              <w:pStyle w:val="9"/>
              <w:spacing w:before="53" w:line="231" w:lineRule="auto"/>
              <w:ind w:left="114"/>
              <w:rPr>
                <w:color w:val="auto"/>
              </w:rPr>
            </w:pPr>
            <w:r>
              <w:rPr>
                <w:color w:val="auto"/>
              </w:rPr>
              <w:t>人</w:t>
            </w:r>
          </w:p>
        </w:tc>
        <w:tc>
          <w:tcPr>
            <w:tcW w:w="1845" w:type="dxa"/>
            <w:vAlign w:val="top"/>
          </w:tcPr>
          <w:p w14:paraId="59B66F02">
            <w:pPr>
              <w:pStyle w:val="9"/>
              <w:spacing w:before="53" w:line="234" w:lineRule="auto"/>
              <w:ind w:left="113"/>
              <w:rPr>
                <w:rFonts w:ascii="Times New Roman" w:hAnsi="Times New Roman" w:eastAsia="Times New Roman" w:cs="Times New Roman"/>
                <w:color w:val="auto"/>
              </w:rPr>
            </w:pPr>
            <w:r>
              <w:rPr>
                <w:rFonts w:ascii="Times New Roman" w:hAnsi="Times New Roman" w:eastAsia="Times New Roman" w:cs="Times New Roman"/>
                <w:color w:val="auto"/>
                <w:spacing w:val="5"/>
              </w:rPr>
              <w:t>300</w:t>
            </w:r>
            <w:r>
              <w:rPr>
                <w:color w:val="auto"/>
                <w:spacing w:val="5"/>
              </w:rPr>
              <w:t>≤</w:t>
            </w:r>
            <w:r>
              <w:rPr>
                <w:rFonts w:ascii="Times New Roman" w:hAnsi="Times New Roman" w:eastAsia="Times New Roman" w:cs="Times New Roman"/>
                <w:color w:val="auto"/>
                <w:spacing w:val="5"/>
              </w:rPr>
              <w:t>X</w:t>
            </w:r>
            <w:r>
              <w:rPr>
                <w:color w:val="auto"/>
                <w:spacing w:val="5"/>
              </w:rPr>
              <w:t>＜</w:t>
            </w:r>
            <w:r>
              <w:rPr>
                <w:rFonts w:ascii="Times New Roman" w:hAnsi="Times New Roman" w:eastAsia="Times New Roman" w:cs="Times New Roman"/>
                <w:color w:val="auto"/>
                <w:spacing w:val="5"/>
              </w:rPr>
              <w:t>1000</w:t>
            </w:r>
          </w:p>
        </w:tc>
        <w:tc>
          <w:tcPr>
            <w:tcW w:w="1569" w:type="dxa"/>
            <w:vAlign w:val="top"/>
          </w:tcPr>
          <w:p w14:paraId="4CF805BB">
            <w:pPr>
              <w:pStyle w:val="9"/>
              <w:spacing w:before="53" w:line="234" w:lineRule="auto"/>
              <w:ind w:left="111"/>
              <w:rPr>
                <w:rFonts w:ascii="Times New Roman" w:hAnsi="Times New Roman" w:eastAsia="Times New Roman" w:cs="Times New Roman"/>
                <w:color w:val="auto"/>
              </w:rPr>
            </w:pPr>
            <w:r>
              <w:rPr>
                <w:rFonts w:ascii="Times New Roman" w:hAnsi="Times New Roman" w:eastAsia="Times New Roman" w:cs="Times New Roman"/>
                <w:color w:val="auto"/>
                <w:spacing w:val="5"/>
              </w:rPr>
              <w:t>20</w:t>
            </w:r>
            <w:r>
              <w:rPr>
                <w:color w:val="auto"/>
                <w:spacing w:val="5"/>
              </w:rPr>
              <w:t>≤</w:t>
            </w:r>
            <w:r>
              <w:rPr>
                <w:rFonts w:ascii="Times New Roman" w:hAnsi="Times New Roman" w:eastAsia="Times New Roman" w:cs="Times New Roman"/>
                <w:color w:val="auto"/>
                <w:spacing w:val="5"/>
              </w:rPr>
              <w:t>X</w:t>
            </w:r>
            <w:r>
              <w:rPr>
                <w:color w:val="auto"/>
                <w:spacing w:val="5"/>
              </w:rPr>
              <w:t>＜</w:t>
            </w:r>
            <w:r>
              <w:rPr>
                <w:rFonts w:ascii="Times New Roman" w:hAnsi="Times New Roman" w:eastAsia="Times New Roman" w:cs="Times New Roman"/>
                <w:color w:val="auto"/>
                <w:spacing w:val="5"/>
              </w:rPr>
              <w:t>300</w:t>
            </w:r>
          </w:p>
        </w:tc>
        <w:tc>
          <w:tcPr>
            <w:tcW w:w="1013" w:type="dxa"/>
            <w:vAlign w:val="top"/>
          </w:tcPr>
          <w:p w14:paraId="4D3F6960">
            <w:pPr>
              <w:pStyle w:val="9"/>
              <w:spacing w:before="53" w:line="234" w:lineRule="auto"/>
              <w:ind w:left="109"/>
              <w:rPr>
                <w:rFonts w:ascii="Times New Roman" w:hAnsi="Times New Roman" w:eastAsia="Times New Roman" w:cs="Times New Roman"/>
                <w:color w:val="auto"/>
              </w:rPr>
            </w:pPr>
            <w:r>
              <w:rPr>
                <w:rFonts w:ascii="Times New Roman" w:hAnsi="Times New Roman" w:eastAsia="Times New Roman" w:cs="Times New Roman"/>
                <w:color w:val="auto"/>
                <w:spacing w:val="6"/>
              </w:rPr>
              <w:t>X</w:t>
            </w:r>
            <w:r>
              <w:rPr>
                <w:color w:val="auto"/>
                <w:spacing w:val="6"/>
              </w:rPr>
              <w:t>＜</w:t>
            </w:r>
            <w:r>
              <w:rPr>
                <w:rFonts w:ascii="Times New Roman" w:hAnsi="Times New Roman" w:eastAsia="Times New Roman" w:cs="Times New Roman"/>
                <w:color w:val="auto"/>
                <w:spacing w:val="6"/>
              </w:rPr>
              <w:t>20</w:t>
            </w:r>
          </w:p>
        </w:tc>
      </w:tr>
      <w:tr w14:paraId="364C2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450" w:type="dxa"/>
            <w:vMerge w:val="continue"/>
            <w:tcBorders>
              <w:top w:val="nil"/>
            </w:tcBorders>
            <w:vAlign w:val="top"/>
          </w:tcPr>
          <w:p w14:paraId="3A3D1CF9">
            <w:pPr>
              <w:rPr>
                <w:rFonts w:ascii="Arial"/>
                <w:color w:val="auto"/>
                <w:sz w:val="21"/>
              </w:rPr>
            </w:pPr>
          </w:p>
        </w:tc>
        <w:tc>
          <w:tcPr>
            <w:tcW w:w="1700" w:type="dxa"/>
            <w:vAlign w:val="top"/>
          </w:tcPr>
          <w:p w14:paraId="55E20C71">
            <w:pPr>
              <w:pStyle w:val="9"/>
              <w:spacing w:before="52" w:line="228" w:lineRule="auto"/>
              <w:ind w:left="117"/>
              <w:rPr>
                <w:color w:val="auto"/>
              </w:rPr>
            </w:pPr>
            <w:r>
              <w:rPr>
                <w:color w:val="auto"/>
                <w:spacing w:val="6"/>
              </w:rPr>
              <w:t>营业收入（</w:t>
            </w:r>
            <w:r>
              <w:rPr>
                <w:rFonts w:ascii="Times New Roman" w:hAnsi="Times New Roman" w:eastAsia="Times New Roman" w:cs="Times New Roman"/>
                <w:color w:val="auto"/>
                <w:spacing w:val="6"/>
              </w:rPr>
              <w:t>Y</w:t>
            </w:r>
            <w:r>
              <w:rPr>
                <w:color w:val="auto"/>
                <w:spacing w:val="6"/>
              </w:rPr>
              <w:t>）</w:t>
            </w:r>
          </w:p>
        </w:tc>
        <w:tc>
          <w:tcPr>
            <w:tcW w:w="1133" w:type="dxa"/>
            <w:vAlign w:val="top"/>
          </w:tcPr>
          <w:p w14:paraId="1B38BE5D">
            <w:pPr>
              <w:pStyle w:val="9"/>
              <w:spacing w:before="53" w:line="228" w:lineRule="auto"/>
              <w:ind w:left="117"/>
              <w:rPr>
                <w:color w:val="auto"/>
              </w:rPr>
            </w:pPr>
            <w:r>
              <w:rPr>
                <w:color w:val="auto"/>
                <w:spacing w:val="2"/>
              </w:rPr>
              <w:t>万元</w:t>
            </w:r>
          </w:p>
        </w:tc>
        <w:tc>
          <w:tcPr>
            <w:tcW w:w="1845" w:type="dxa"/>
            <w:vAlign w:val="top"/>
          </w:tcPr>
          <w:p w14:paraId="6B5FBCF1">
            <w:pPr>
              <w:pStyle w:val="9"/>
              <w:spacing w:before="53" w:line="233" w:lineRule="auto"/>
              <w:ind w:left="108"/>
              <w:rPr>
                <w:rFonts w:ascii="Times New Roman" w:hAnsi="Times New Roman" w:eastAsia="Times New Roman" w:cs="Times New Roman"/>
                <w:color w:val="auto"/>
              </w:rPr>
            </w:pPr>
            <w:r>
              <w:rPr>
                <w:rFonts w:ascii="Times New Roman" w:hAnsi="Times New Roman" w:eastAsia="Times New Roman" w:cs="Times New Roman"/>
                <w:color w:val="auto"/>
                <w:spacing w:val="5"/>
              </w:rPr>
              <w:t>2000</w:t>
            </w:r>
            <w:r>
              <w:rPr>
                <w:color w:val="auto"/>
                <w:spacing w:val="5"/>
              </w:rPr>
              <w:t>≤</w:t>
            </w:r>
            <w:r>
              <w:rPr>
                <w:rFonts w:ascii="Times New Roman" w:hAnsi="Times New Roman" w:eastAsia="Times New Roman" w:cs="Times New Roman"/>
                <w:color w:val="auto"/>
                <w:spacing w:val="5"/>
              </w:rPr>
              <w:t>Y</w:t>
            </w:r>
            <w:r>
              <w:rPr>
                <w:color w:val="auto"/>
                <w:spacing w:val="5"/>
              </w:rPr>
              <w:t>＜</w:t>
            </w:r>
            <w:r>
              <w:rPr>
                <w:rFonts w:ascii="Times New Roman" w:hAnsi="Times New Roman" w:eastAsia="Times New Roman" w:cs="Times New Roman"/>
                <w:color w:val="auto"/>
                <w:spacing w:val="5"/>
              </w:rPr>
              <w:t>40000</w:t>
            </w:r>
          </w:p>
        </w:tc>
        <w:tc>
          <w:tcPr>
            <w:tcW w:w="1569" w:type="dxa"/>
            <w:vAlign w:val="top"/>
          </w:tcPr>
          <w:p w14:paraId="1D336902">
            <w:pPr>
              <w:pStyle w:val="9"/>
              <w:spacing w:before="53" w:line="233" w:lineRule="auto"/>
              <w:ind w:left="116"/>
              <w:rPr>
                <w:rFonts w:ascii="Times New Roman" w:hAnsi="Times New Roman" w:eastAsia="Times New Roman" w:cs="Times New Roman"/>
                <w:color w:val="auto"/>
              </w:rPr>
            </w:pPr>
            <w:r>
              <w:rPr>
                <w:rFonts w:ascii="Times New Roman" w:hAnsi="Times New Roman" w:eastAsia="Times New Roman" w:cs="Times New Roman"/>
                <w:color w:val="auto"/>
                <w:spacing w:val="5"/>
              </w:rPr>
              <w:t>300</w:t>
            </w:r>
            <w:r>
              <w:rPr>
                <w:color w:val="auto"/>
                <w:spacing w:val="5"/>
              </w:rPr>
              <w:t>≤</w:t>
            </w:r>
            <w:r>
              <w:rPr>
                <w:rFonts w:ascii="Times New Roman" w:hAnsi="Times New Roman" w:eastAsia="Times New Roman" w:cs="Times New Roman"/>
                <w:color w:val="auto"/>
                <w:spacing w:val="5"/>
              </w:rPr>
              <w:t>Y</w:t>
            </w:r>
            <w:r>
              <w:rPr>
                <w:color w:val="auto"/>
                <w:spacing w:val="5"/>
              </w:rPr>
              <w:t>＜</w:t>
            </w:r>
            <w:r>
              <w:rPr>
                <w:rFonts w:ascii="Times New Roman" w:hAnsi="Times New Roman" w:eastAsia="Times New Roman" w:cs="Times New Roman"/>
                <w:color w:val="auto"/>
                <w:spacing w:val="5"/>
              </w:rPr>
              <w:t>2000</w:t>
            </w:r>
          </w:p>
        </w:tc>
        <w:tc>
          <w:tcPr>
            <w:tcW w:w="1013" w:type="dxa"/>
            <w:vAlign w:val="top"/>
          </w:tcPr>
          <w:p w14:paraId="649D10F1">
            <w:pPr>
              <w:pStyle w:val="9"/>
              <w:spacing w:before="53" w:line="233" w:lineRule="auto"/>
              <w:ind w:left="110"/>
              <w:rPr>
                <w:rFonts w:ascii="Times New Roman" w:hAnsi="Times New Roman" w:eastAsia="Times New Roman" w:cs="Times New Roman"/>
                <w:color w:val="auto"/>
              </w:rPr>
            </w:pPr>
            <w:r>
              <w:rPr>
                <w:rFonts w:ascii="Times New Roman" w:hAnsi="Times New Roman" w:eastAsia="Times New Roman" w:cs="Times New Roman"/>
                <w:color w:val="auto"/>
                <w:spacing w:val="5"/>
              </w:rPr>
              <w:t>Y</w:t>
            </w:r>
            <w:r>
              <w:rPr>
                <w:color w:val="auto"/>
                <w:spacing w:val="5"/>
              </w:rPr>
              <w:t>＜</w:t>
            </w:r>
            <w:r>
              <w:rPr>
                <w:rFonts w:ascii="Times New Roman" w:hAnsi="Times New Roman" w:eastAsia="Times New Roman" w:cs="Times New Roman"/>
                <w:color w:val="auto"/>
                <w:spacing w:val="5"/>
              </w:rPr>
              <w:t>300</w:t>
            </w:r>
          </w:p>
        </w:tc>
      </w:tr>
      <w:tr w14:paraId="58370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450" w:type="dxa"/>
            <w:vMerge w:val="restart"/>
            <w:tcBorders>
              <w:bottom w:val="nil"/>
            </w:tcBorders>
            <w:vAlign w:val="top"/>
          </w:tcPr>
          <w:p w14:paraId="5ADA1803">
            <w:pPr>
              <w:spacing w:line="308" w:lineRule="auto"/>
              <w:rPr>
                <w:rFonts w:ascii="Arial"/>
                <w:color w:val="auto"/>
                <w:sz w:val="21"/>
              </w:rPr>
            </w:pPr>
          </w:p>
          <w:p w14:paraId="585A5B5C">
            <w:pPr>
              <w:pStyle w:val="9"/>
              <w:spacing w:before="65" w:line="228" w:lineRule="auto"/>
              <w:ind w:left="419"/>
              <w:rPr>
                <w:color w:val="auto"/>
              </w:rPr>
            </w:pPr>
            <w:r>
              <w:rPr>
                <w:color w:val="auto"/>
                <w:spacing w:val="6"/>
              </w:rPr>
              <w:t>建筑业</w:t>
            </w:r>
          </w:p>
        </w:tc>
        <w:tc>
          <w:tcPr>
            <w:tcW w:w="1700" w:type="dxa"/>
            <w:vAlign w:val="top"/>
          </w:tcPr>
          <w:p w14:paraId="546B6F68">
            <w:pPr>
              <w:pStyle w:val="9"/>
              <w:spacing w:before="53" w:line="228" w:lineRule="auto"/>
              <w:ind w:left="117"/>
              <w:rPr>
                <w:color w:val="auto"/>
              </w:rPr>
            </w:pPr>
            <w:r>
              <w:rPr>
                <w:color w:val="auto"/>
                <w:spacing w:val="6"/>
              </w:rPr>
              <w:t>营业收入（</w:t>
            </w:r>
            <w:r>
              <w:rPr>
                <w:rFonts w:ascii="Times New Roman" w:hAnsi="Times New Roman" w:eastAsia="Times New Roman" w:cs="Times New Roman"/>
                <w:color w:val="auto"/>
                <w:spacing w:val="6"/>
              </w:rPr>
              <w:t>Y</w:t>
            </w:r>
            <w:r>
              <w:rPr>
                <w:color w:val="auto"/>
                <w:spacing w:val="6"/>
              </w:rPr>
              <w:t>）</w:t>
            </w:r>
          </w:p>
        </w:tc>
        <w:tc>
          <w:tcPr>
            <w:tcW w:w="1133" w:type="dxa"/>
            <w:vAlign w:val="top"/>
          </w:tcPr>
          <w:p w14:paraId="5BE893DC">
            <w:pPr>
              <w:pStyle w:val="9"/>
              <w:spacing w:before="54" w:line="228" w:lineRule="auto"/>
              <w:ind w:left="117"/>
              <w:rPr>
                <w:color w:val="auto"/>
              </w:rPr>
            </w:pPr>
            <w:r>
              <w:rPr>
                <w:color w:val="auto"/>
                <w:spacing w:val="2"/>
              </w:rPr>
              <w:t>万元</w:t>
            </w:r>
          </w:p>
        </w:tc>
        <w:tc>
          <w:tcPr>
            <w:tcW w:w="1845" w:type="dxa"/>
            <w:vAlign w:val="top"/>
          </w:tcPr>
          <w:p w14:paraId="3F24D82F">
            <w:pPr>
              <w:pStyle w:val="9"/>
              <w:spacing w:before="53" w:line="234" w:lineRule="auto"/>
              <w:ind w:left="113"/>
              <w:rPr>
                <w:rFonts w:ascii="Times New Roman" w:hAnsi="Times New Roman" w:eastAsia="Times New Roman" w:cs="Times New Roman"/>
                <w:color w:val="auto"/>
              </w:rPr>
            </w:pPr>
            <w:r>
              <w:rPr>
                <w:rFonts w:ascii="Times New Roman" w:hAnsi="Times New Roman" w:eastAsia="Times New Roman" w:cs="Times New Roman"/>
                <w:color w:val="auto"/>
                <w:spacing w:val="5"/>
              </w:rPr>
              <w:t>6000</w:t>
            </w:r>
            <w:r>
              <w:rPr>
                <w:color w:val="auto"/>
                <w:spacing w:val="5"/>
              </w:rPr>
              <w:t>≤</w:t>
            </w:r>
            <w:r>
              <w:rPr>
                <w:rFonts w:ascii="Times New Roman" w:hAnsi="Times New Roman" w:eastAsia="Times New Roman" w:cs="Times New Roman"/>
                <w:color w:val="auto"/>
                <w:spacing w:val="5"/>
              </w:rPr>
              <w:t>Y</w:t>
            </w:r>
            <w:r>
              <w:rPr>
                <w:color w:val="auto"/>
                <w:spacing w:val="5"/>
              </w:rPr>
              <w:t>＜</w:t>
            </w:r>
            <w:r>
              <w:rPr>
                <w:rFonts w:ascii="Times New Roman" w:hAnsi="Times New Roman" w:eastAsia="Times New Roman" w:cs="Times New Roman"/>
                <w:color w:val="auto"/>
                <w:spacing w:val="5"/>
              </w:rPr>
              <w:t>80000</w:t>
            </w:r>
          </w:p>
        </w:tc>
        <w:tc>
          <w:tcPr>
            <w:tcW w:w="1569" w:type="dxa"/>
            <w:vAlign w:val="top"/>
          </w:tcPr>
          <w:p w14:paraId="56EA0660">
            <w:pPr>
              <w:pStyle w:val="9"/>
              <w:spacing w:before="53" w:line="234" w:lineRule="auto"/>
              <w:ind w:left="116"/>
              <w:rPr>
                <w:rFonts w:ascii="Times New Roman" w:hAnsi="Times New Roman" w:eastAsia="Times New Roman" w:cs="Times New Roman"/>
                <w:color w:val="auto"/>
              </w:rPr>
            </w:pPr>
            <w:r>
              <w:rPr>
                <w:rFonts w:ascii="Times New Roman" w:hAnsi="Times New Roman" w:eastAsia="Times New Roman" w:cs="Times New Roman"/>
                <w:color w:val="auto"/>
                <w:spacing w:val="5"/>
              </w:rPr>
              <w:t>300</w:t>
            </w:r>
            <w:r>
              <w:rPr>
                <w:color w:val="auto"/>
                <w:spacing w:val="5"/>
              </w:rPr>
              <w:t>≤</w:t>
            </w:r>
            <w:r>
              <w:rPr>
                <w:rFonts w:ascii="Times New Roman" w:hAnsi="Times New Roman" w:eastAsia="Times New Roman" w:cs="Times New Roman"/>
                <w:color w:val="auto"/>
                <w:spacing w:val="5"/>
              </w:rPr>
              <w:t>Y</w:t>
            </w:r>
            <w:r>
              <w:rPr>
                <w:color w:val="auto"/>
                <w:spacing w:val="5"/>
              </w:rPr>
              <w:t>＜</w:t>
            </w:r>
            <w:r>
              <w:rPr>
                <w:rFonts w:ascii="Times New Roman" w:hAnsi="Times New Roman" w:eastAsia="Times New Roman" w:cs="Times New Roman"/>
                <w:color w:val="auto"/>
                <w:spacing w:val="5"/>
              </w:rPr>
              <w:t>6000</w:t>
            </w:r>
          </w:p>
        </w:tc>
        <w:tc>
          <w:tcPr>
            <w:tcW w:w="1013" w:type="dxa"/>
            <w:vAlign w:val="top"/>
          </w:tcPr>
          <w:p w14:paraId="483AA0CC">
            <w:pPr>
              <w:pStyle w:val="9"/>
              <w:spacing w:before="53" w:line="234" w:lineRule="auto"/>
              <w:ind w:left="110"/>
              <w:rPr>
                <w:rFonts w:ascii="Times New Roman" w:hAnsi="Times New Roman" w:eastAsia="Times New Roman" w:cs="Times New Roman"/>
                <w:color w:val="auto"/>
              </w:rPr>
            </w:pPr>
            <w:r>
              <w:rPr>
                <w:rFonts w:ascii="Times New Roman" w:hAnsi="Times New Roman" w:eastAsia="Times New Roman" w:cs="Times New Roman"/>
                <w:color w:val="auto"/>
                <w:spacing w:val="5"/>
              </w:rPr>
              <w:t>Y</w:t>
            </w:r>
            <w:r>
              <w:rPr>
                <w:color w:val="auto"/>
                <w:spacing w:val="5"/>
              </w:rPr>
              <w:t>＜</w:t>
            </w:r>
            <w:r>
              <w:rPr>
                <w:rFonts w:ascii="Times New Roman" w:hAnsi="Times New Roman" w:eastAsia="Times New Roman" w:cs="Times New Roman"/>
                <w:color w:val="auto"/>
                <w:spacing w:val="5"/>
              </w:rPr>
              <w:t>300</w:t>
            </w:r>
          </w:p>
        </w:tc>
      </w:tr>
      <w:tr w14:paraId="196D6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450" w:type="dxa"/>
            <w:vMerge w:val="continue"/>
            <w:tcBorders>
              <w:top w:val="nil"/>
            </w:tcBorders>
            <w:vAlign w:val="top"/>
          </w:tcPr>
          <w:p w14:paraId="6C9B7235">
            <w:pPr>
              <w:rPr>
                <w:rFonts w:ascii="Arial"/>
                <w:color w:val="auto"/>
                <w:sz w:val="21"/>
              </w:rPr>
            </w:pPr>
          </w:p>
        </w:tc>
        <w:tc>
          <w:tcPr>
            <w:tcW w:w="1700" w:type="dxa"/>
            <w:vAlign w:val="top"/>
          </w:tcPr>
          <w:p w14:paraId="0D4EEC5D">
            <w:pPr>
              <w:pStyle w:val="9"/>
              <w:spacing w:before="53" w:line="228" w:lineRule="auto"/>
              <w:ind w:left="120"/>
              <w:rPr>
                <w:color w:val="auto"/>
              </w:rPr>
            </w:pPr>
            <w:r>
              <w:rPr>
                <w:color w:val="auto"/>
                <w:spacing w:val="5"/>
              </w:rPr>
              <w:t>资产总额（</w:t>
            </w:r>
            <w:r>
              <w:rPr>
                <w:rFonts w:ascii="Times New Roman" w:hAnsi="Times New Roman" w:eastAsia="Times New Roman" w:cs="Times New Roman"/>
                <w:color w:val="auto"/>
                <w:spacing w:val="5"/>
              </w:rPr>
              <w:t>Z</w:t>
            </w:r>
            <w:r>
              <w:rPr>
                <w:color w:val="auto"/>
                <w:spacing w:val="5"/>
              </w:rPr>
              <w:t>）</w:t>
            </w:r>
          </w:p>
        </w:tc>
        <w:tc>
          <w:tcPr>
            <w:tcW w:w="1133" w:type="dxa"/>
            <w:vAlign w:val="top"/>
          </w:tcPr>
          <w:p w14:paraId="7E90D71C">
            <w:pPr>
              <w:pStyle w:val="9"/>
              <w:spacing w:before="53" w:line="228" w:lineRule="auto"/>
              <w:ind w:left="117"/>
              <w:rPr>
                <w:color w:val="auto"/>
              </w:rPr>
            </w:pPr>
            <w:r>
              <w:rPr>
                <w:color w:val="auto"/>
                <w:spacing w:val="2"/>
              </w:rPr>
              <w:t>万元</w:t>
            </w:r>
          </w:p>
        </w:tc>
        <w:tc>
          <w:tcPr>
            <w:tcW w:w="1845" w:type="dxa"/>
            <w:vAlign w:val="top"/>
          </w:tcPr>
          <w:p w14:paraId="6896E90C">
            <w:pPr>
              <w:pStyle w:val="9"/>
              <w:spacing w:before="53" w:line="234" w:lineRule="auto"/>
              <w:ind w:left="114"/>
              <w:rPr>
                <w:rFonts w:ascii="Times New Roman" w:hAnsi="Times New Roman" w:eastAsia="Times New Roman" w:cs="Times New Roman"/>
                <w:color w:val="auto"/>
              </w:rPr>
            </w:pPr>
            <w:r>
              <w:rPr>
                <w:rFonts w:ascii="Times New Roman" w:hAnsi="Times New Roman" w:eastAsia="Times New Roman" w:cs="Times New Roman"/>
                <w:color w:val="auto"/>
                <w:spacing w:val="5"/>
              </w:rPr>
              <w:t>5000</w:t>
            </w:r>
            <w:r>
              <w:rPr>
                <w:color w:val="auto"/>
                <w:spacing w:val="5"/>
              </w:rPr>
              <w:t>≤</w:t>
            </w:r>
            <w:r>
              <w:rPr>
                <w:rFonts w:ascii="Times New Roman" w:hAnsi="Times New Roman" w:eastAsia="Times New Roman" w:cs="Times New Roman"/>
                <w:color w:val="auto"/>
                <w:spacing w:val="5"/>
              </w:rPr>
              <w:t>Z</w:t>
            </w:r>
            <w:r>
              <w:rPr>
                <w:color w:val="auto"/>
                <w:spacing w:val="5"/>
              </w:rPr>
              <w:t>＜</w:t>
            </w:r>
            <w:r>
              <w:rPr>
                <w:rFonts w:ascii="Times New Roman" w:hAnsi="Times New Roman" w:eastAsia="Times New Roman" w:cs="Times New Roman"/>
                <w:color w:val="auto"/>
                <w:spacing w:val="5"/>
              </w:rPr>
              <w:t>80000</w:t>
            </w:r>
          </w:p>
        </w:tc>
        <w:tc>
          <w:tcPr>
            <w:tcW w:w="1569" w:type="dxa"/>
            <w:vAlign w:val="top"/>
          </w:tcPr>
          <w:p w14:paraId="62F1861B">
            <w:pPr>
              <w:pStyle w:val="9"/>
              <w:spacing w:before="53" w:line="234" w:lineRule="auto"/>
              <w:ind w:left="116"/>
              <w:rPr>
                <w:rFonts w:ascii="Times New Roman" w:hAnsi="Times New Roman" w:eastAsia="Times New Roman" w:cs="Times New Roman"/>
                <w:color w:val="auto"/>
              </w:rPr>
            </w:pPr>
            <w:r>
              <w:rPr>
                <w:rFonts w:ascii="Times New Roman" w:hAnsi="Times New Roman" w:eastAsia="Times New Roman" w:cs="Times New Roman"/>
                <w:color w:val="auto"/>
                <w:spacing w:val="5"/>
              </w:rPr>
              <w:t>300</w:t>
            </w:r>
            <w:r>
              <w:rPr>
                <w:color w:val="auto"/>
                <w:spacing w:val="5"/>
              </w:rPr>
              <w:t>≤</w:t>
            </w:r>
            <w:r>
              <w:rPr>
                <w:rFonts w:ascii="Times New Roman" w:hAnsi="Times New Roman" w:eastAsia="Times New Roman" w:cs="Times New Roman"/>
                <w:color w:val="auto"/>
                <w:spacing w:val="5"/>
              </w:rPr>
              <w:t>Z</w:t>
            </w:r>
            <w:r>
              <w:rPr>
                <w:color w:val="auto"/>
                <w:spacing w:val="5"/>
              </w:rPr>
              <w:t>＜</w:t>
            </w:r>
            <w:r>
              <w:rPr>
                <w:rFonts w:ascii="Times New Roman" w:hAnsi="Times New Roman" w:eastAsia="Times New Roman" w:cs="Times New Roman"/>
                <w:color w:val="auto"/>
                <w:spacing w:val="5"/>
              </w:rPr>
              <w:t>5000</w:t>
            </w:r>
          </w:p>
        </w:tc>
        <w:tc>
          <w:tcPr>
            <w:tcW w:w="1013" w:type="dxa"/>
            <w:vAlign w:val="top"/>
          </w:tcPr>
          <w:p w14:paraId="2EDC6D89">
            <w:pPr>
              <w:pStyle w:val="9"/>
              <w:spacing w:before="53" w:line="234" w:lineRule="auto"/>
              <w:ind w:left="110"/>
              <w:rPr>
                <w:rFonts w:ascii="Times New Roman" w:hAnsi="Times New Roman" w:eastAsia="Times New Roman" w:cs="Times New Roman"/>
                <w:color w:val="auto"/>
              </w:rPr>
            </w:pPr>
            <w:r>
              <w:rPr>
                <w:rFonts w:ascii="Times New Roman" w:hAnsi="Times New Roman" w:eastAsia="Times New Roman" w:cs="Times New Roman"/>
                <w:color w:val="auto"/>
                <w:spacing w:val="5"/>
              </w:rPr>
              <w:t>Z</w:t>
            </w:r>
            <w:r>
              <w:rPr>
                <w:color w:val="auto"/>
                <w:spacing w:val="5"/>
              </w:rPr>
              <w:t>＜</w:t>
            </w:r>
            <w:r>
              <w:rPr>
                <w:rFonts w:ascii="Times New Roman" w:hAnsi="Times New Roman" w:eastAsia="Times New Roman" w:cs="Times New Roman"/>
                <w:color w:val="auto"/>
                <w:spacing w:val="5"/>
              </w:rPr>
              <w:t>300</w:t>
            </w:r>
          </w:p>
        </w:tc>
      </w:tr>
      <w:tr w14:paraId="41E55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450" w:type="dxa"/>
            <w:vMerge w:val="restart"/>
            <w:tcBorders>
              <w:bottom w:val="nil"/>
            </w:tcBorders>
            <w:vAlign w:val="top"/>
          </w:tcPr>
          <w:p w14:paraId="1ACADEA3">
            <w:pPr>
              <w:spacing w:line="310" w:lineRule="auto"/>
              <w:rPr>
                <w:rFonts w:ascii="Arial"/>
                <w:color w:val="auto"/>
                <w:sz w:val="21"/>
              </w:rPr>
            </w:pPr>
          </w:p>
          <w:p w14:paraId="70DD9DE6">
            <w:pPr>
              <w:spacing w:line="310" w:lineRule="auto"/>
              <w:rPr>
                <w:rFonts w:ascii="Arial"/>
                <w:color w:val="auto"/>
                <w:sz w:val="21"/>
              </w:rPr>
            </w:pPr>
          </w:p>
          <w:p w14:paraId="0C537DEA">
            <w:pPr>
              <w:pStyle w:val="9"/>
              <w:spacing w:before="65" w:line="228" w:lineRule="auto"/>
              <w:ind w:left="430"/>
              <w:rPr>
                <w:color w:val="auto"/>
              </w:rPr>
            </w:pPr>
            <w:r>
              <w:rPr>
                <w:color w:val="auto"/>
                <w:spacing w:val="7"/>
              </w:rPr>
              <w:t>批发业</w:t>
            </w:r>
          </w:p>
        </w:tc>
        <w:tc>
          <w:tcPr>
            <w:tcW w:w="1700" w:type="dxa"/>
            <w:vAlign w:val="top"/>
          </w:tcPr>
          <w:p w14:paraId="5CEEA0AF">
            <w:pPr>
              <w:pStyle w:val="9"/>
              <w:spacing w:before="55" w:line="228" w:lineRule="auto"/>
              <w:ind w:left="113"/>
              <w:rPr>
                <w:color w:val="auto"/>
              </w:rPr>
            </w:pPr>
            <w:r>
              <w:rPr>
                <w:color w:val="auto"/>
                <w:spacing w:val="6"/>
              </w:rPr>
              <w:t>从业人员（</w:t>
            </w:r>
            <w:r>
              <w:rPr>
                <w:rFonts w:ascii="Times New Roman" w:hAnsi="Times New Roman" w:eastAsia="Times New Roman" w:cs="Times New Roman"/>
                <w:color w:val="auto"/>
                <w:spacing w:val="6"/>
              </w:rPr>
              <w:t>X</w:t>
            </w:r>
            <w:r>
              <w:rPr>
                <w:color w:val="auto"/>
                <w:spacing w:val="6"/>
              </w:rPr>
              <w:t>）</w:t>
            </w:r>
          </w:p>
        </w:tc>
        <w:tc>
          <w:tcPr>
            <w:tcW w:w="1133" w:type="dxa"/>
            <w:vAlign w:val="top"/>
          </w:tcPr>
          <w:p w14:paraId="2CD21850">
            <w:pPr>
              <w:pStyle w:val="9"/>
              <w:spacing w:before="54" w:line="231" w:lineRule="auto"/>
              <w:ind w:left="114"/>
              <w:rPr>
                <w:color w:val="auto"/>
              </w:rPr>
            </w:pPr>
            <w:r>
              <w:rPr>
                <w:color w:val="auto"/>
              </w:rPr>
              <w:t>人</w:t>
            </w:r>
          </w:p>
        </w:tc>
        <w:tc>
          <w:tcPr>
            <w:tcW w:w="1845" w:type="dxa"/>
            <w:vAlign w:val="top"/>
          </w:tcPr>
          <w:p w14:paraId="73766686">
            <w:pPr>
              <w:pStyle w:val="9"/>
              <w:spacing w:before="55" w:line="232" w:lineRule="auto"/>
              <w:ind w:left="108"/>
              <w:rPr>
                <w:rFonts w:ascii="Times New Roman" w:hAnsi="Times New Roman" w:eastAsia="Times New Roman" w:cs="Times New Roman"/>
                <w:color w:val="auto"/>
              </w:rPr>
            </w:pPr>
            <w:r>
              <w:rPr>
                <w:rFonts w:ascii="Times New Roman" w:hAnsi="Times New Roman" w:eastAsia="Times New Roman" w:cs="Times New Roman"/>
                <w:color w:val="auto"/>
                <w:spacing w:val="6"/>
              </w:rPr>
              <w:t>20</w:t>
            </w:r>
            <w:r>
              <w:rPr>
                <w:color w:val="auto"/>
                <w:spacing w:val="6"/>
              </w:rPr>
              <w:t>≤</w:t>
            </w:r>
            <w:r>
              <w:rPr>
                <w:rFonts w:ascii="Times New Roman" w:hAnsi="Times New Roman" w:eastAsia="Times New Roman" w:cs="Times New Roman"/>
                <w:color w:val="auto"/>
                <w:spacing w:val="6"/>
              </w:rPr>
              <w:t>X</w:t>
            </w:r>
            <w:r>
              <w:rPr>
                <w:color w:val="auto"/>
                <w:spacing w:val="6"/>
              </w:rPr>
              <w:t>＜</w:t>
            </w:r>
            <w:r>
              <w:rPr>
                <w:rFonts w:ascii="Times New Roman" w:hAnsi="Times New Roman" w:eastAsia="Times New Roman" w:cs="Times New Roman"/>
                <w:color w:val="auto"/>
                <w:spacing w:val="6"/>
              </w:rPr>
              <w:t>200</w:t>
            </w:r>
          </w:p>
        </w:tc>
        <w:tc>
          <w:tcPr>
            <w:tcW w:w="1569" w:type="dxa"/>
            <w:vAlign w:val="top"/>
          </w:tcPr>
          <w:p w14:paraId="68E8CA31">
            <w:pPr>
              <w:pStyle w:val="9"/>
              <w:spacing w:before="55" w:line="232" w:lineRule="auto"/>
              <w:ind w:left="117"/>
              <w:rPr>
                <w:rFonts w:ascii="Times New Roman" w:hAnsi="Times New Roman" w:eastAsia="Times New Roman" w:cs="Times New Roman"/>
                <w:color w:val="auto"/>
              </w:rPr>
            </w:pPr>
            <w:r>
              <w:rPr>
                <w:rFonts w:ascii="Times New Roman" w:hAnsi="Times New Roman" w:eastAsia="Times New Roman" w:cs="Times New Roman"/>
                <w:color w:val="auto"/>
                <w:spacing w:val="5"/>
              </w:rPr>
              <w:t>5</w:t>
            </w:r>
            <w:r>
              <w:rPr>
                <w:color w:val="auto"/>
                <w:spacing w:val="5"/>
              </w:rPr>
              <w:t>≤</w:t>
            </w:r>
            <w:r>
              <w:rPr>
                <w:rFonts w:ascii="Times New Roman" w:hAnsi="Times New Roman" w:eastAsia="Times New Roman" w:cs="Times New Roman"/>
                <w:color w:val="auto"/>
                <w:spacing w:val="5"/>
              </w:rPr>
              <w:t>X</w:t>
            </w:r>
            <w:r>
              <w:rPr>
                <w:color w:val="auto"/>
                <w:spacing w:val="5"/>
              </w:rPr>
              <w:t>＜</w:t>
            </w:r>
            <w:r>
              <w:rPr>
                <w:rFonts w:ascii="Times New Roman" w:hAnsi="Times New Roman" w:eastAsia="Times New Roman" w:cs="Times New Roman"/>
                <w:color w:val="auto"/>
                <w:spacing w:val="5"/>
              </w:rPr>
              <w:t>20</w:t>
            </w:r>
          </w:p>
        </w:tc>
        <w:tc>
          <w:tcPr>
            <w:tcW w:w="1013" w:type="dxa"/>
            <w:vAlign w:val="top"/>
          </w:tcPr>
          <w:p w14:paraId="5815C7BE">
            <w:pPr>
              <w:pStyle w:val="9"/>
              <w:spacing w:before="55" w:line="232" w:lineRule="auto"/>
              <w:ind w:left="109"/>
              <w:rPr>
                <w:rFonts w:ascii="Times New Roman" w:hAnsi="Times New Roman" w:eastAsia="Times New Roman" w:cs="Times New Roman"/>
                <w:color w:val="auto"/>
              </w:rPr>
            </w:pPr>
            <w:r>
              <w:rPr>
                <w:rFonts w:ascii="Times New Roman" w:hAnsi="Times New Roman" w:eastAsia="Times New Roman" w:cs="Times New Roman"/>
                <w:color w:val="auto"/>
                <w:spacing w:val="6"/>
              </w:rPr>
              <w:t>X</w:t>
            </w:r>
            <w:r>
              <w:rPr>
                <w:color w:val="auto"/>
                <w:spacing w:val="6"/>
              </w:rPr>
              <w:t>＜</w:t>
            </w:r>
            <w:r>
              <w:rPr>
                <w:rFonts w:ascii="Times New Roman" w:hAnsi="Times New Roman" w:eastAsia="Times New Roman" w:cs="Times New Roman"/>
                <w:color w:val="auto"/>
                <w:spacing w:val="6"/>
              </w:rPr>
              <w:t>5</w:t>
            </w:r>
          </w:p>
        </w:tc>
      </w:tr>
      <w:tr w14:paraId="7C0D2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50" w:type="dxa"/>
            <w:vMerge w:val="continue"/>
            <w:tcBorders>
              <w:top w:val="nil"/>
            </w:tcBorders>
            <w:vAlign w:val="top"/>
          </w:tcPr>
          <w:p w14:paraId="2866FA99">
            <w:pPr>
              <w:rPr>
                <w:rFonts w:ascii="Arial"/>
                <w:color w:val="auto"/>
                <w:sz w:val="21"/>
              </w:rPr>
            </w:pPr>
          </w:p>
        </w:tc>
        <w:tc>
          <w:tcPr>
            <w:tcW w:w="1700" w:type="dxa"/>
            <w:vAlign w:val="top"/>
          </w:tcPr>
          <w:p w14:paraId="7AB9DD69">
            <w:pPr>
              <w:pStyle w:val="9"/>
              <w:spacing w:before="210" w:line="228" w:lineRule="auto"/>
              <w:ind w:left="117"/>
              <w:rPr>
                <w:color w:val="auto"/>
              </w:rPr>
            </w:pPr>
            <w:r>
              <w:rPr>
                <w:color w:val="auto"/>
                <w:spacing w:val="6"/>
              </w:rPr>
              <w:t>营业收入（</w:t>
            </w:r>
            <w:r>
              <w:rPr>
                <w:rFonts w:ascii="Times New Roman" w:hAnsi="Times New Roman" w:eastAsia="Times New Roman" w:cs="Times New Roman"/>
                <w:color w:val="auto"/>
                <w:spacing w:val="6"/>
              </w:rPr>
              <w:t>Y</w:t>
            </w:r>
            <w:r>
              <w:rPr>
                <w:color w:val="auto"/>
                <w:spacing w:val="6"/>
              </w:rPr>
              <w:t>）</w:t>
            </w:r>
          </w:p>
        </w:tc>
        <w:tc>
          <w:tcPr>
            <w:tcW w:w="1133" w:type="dxa"/>
            <w:vAlign w:val="top"/>
          </w:tcPr>
          <w:p w14:paraId="06FAB19C">
            <w:pPr>
              <w:pStyle w:val="9"/>
              <w:spacing w:before="211" w:line="228" w:lineRule="auto"/>
              <w:ind w:left="117"/>
              <w:rPr>
                <w:color w:val="auto"/>
              </w:rPr>
            </w:pPr>
            <w:r>
              <w:rPr>
                <w:color w:val="auto"/>
                <w:spacing w:val="2"/>
              </w:rPr>
              <w:t>万元</w:t>
            </w:r>
          </w:p>
        </w:tc>
        <w:tc>
          <w:tcPr>
            <w:tcW w:w="1845" w:type="dxa"/>
            <w:vAlign w:val="top"/>
          </w:tcPr>
          <w:p w14:paraId="7F7C0E15">
            <w:pPr>
              <w:pStyle w:val="9"/>
              <w:spacing w:before="211" w:line="264" w:lineRule="exact"/>
              <w:ind w:left="114"/>
              <w:rPr>
                <w:rFonts w:ascii="Times New Roman" w:hAnsi="Times New Roman" w:eastAsia="Times New Roman" w:cs="Times New Roman"/>
                <w:color w:val="auto"/>
              </w:rPr>
            </w:pPr>
            <w:r>
              <w:rPr>
                <w:rFonts w:ascii="Times New Roman" w:hAnsi="Times New Roman" w:eastAsia="Times New Roman" w:cs="Times New Roman"/>
                <w:color w:val="auto"/>
                <w:spacing w:val="5"/>
                <w:position w:val="1"/>
              </w:rPr>
              <w:t>5000</w:t>
            </w:r>
            <w:r>
              <w:rPr>
                <w:color w:val="auto"/>
                <w:spacing w:val="5"/>
                <w:position w:val="1"/>
              </w:rPr>
              <w:t>≤</w:t>
            </w:r>
            <w:r>
              <w:rPr>
                <w:rFonts w:ascii="Times New Roman" w:hAnsi="Times New Roman" w:eastAsia="Times New Roman" w:cs="Times New Roman"/>
                <w:color w:val="auto"/>
                <w:spacing w:val="5"/>
                <w:position w:val="1"/>
              </w:rPr>
              <w:t>Y</w:t>
            </w:r>
            <w:r>
              <w:rPr>
                <w:color w:val="auto"/>
                <w:spacing w:val="5"/>
                <w:position w:val="1"/>
              </w:rPr>
              <w:t>＜</w:t>
            </w:r>
            <w:r>
              <w:rPr>
                <w:rFonts w:ascii="Times New Roman" w:hAnsi="Times New Roman" w:eastAsia="Times New Roman" w:cs="Times New Roman"/>
                <w:color w:val="auto"/>
                <w:spacing w:val="5"/>
                <w:position w:val="1"/>
              </w:rPr>
              <w:t>40000</w:t>
            </w:r>
          </w:p>
        </w:tc>
        <w:tc>
          <w:tcPr>
            <w:tcW w:w="1569" w:type="dxa"/>
            <w:vAlign w:val="top"/>
          </w:tcPr>
          <w:p w14:paraId="4829D9FB">
            <w:pPr>
              <w:pStyle w:val="9"/>
              <w:spacing w:before="54" w:line="276" w:lineRule="auto"/>
              <w:ind w:left="117" w:right="492" w:firstLine="14"/>
              <w:rPr>
                <w:rFonts w:ascii="Times New Roman" w:hAnsi="Times New Roman" w:eastAsia="Times New Roman" w:cs="Times New Roman"/>
                <w:color w:val="auto"/>
              </w:rPr>
            </w:pPr>
            <w:r>
              <w:rPr>
                <w:rFonts w:ascii="Times New Roman" w:hAnsi="Times New Roman" w:eastAsia="Times New Roman" w:cs="Times New Roman"/>
                <w:color w:val="auto"/>
                <w:spacing w:val="13"/>
              </w:rPr>
              <w:t>1000</w:t>
            </w:r>
            <w:r>
              <w:rPr>
                <w:color w:val="auto"/>
                <w:spacing w:val="13"/>
              </w:rPr>
              <w:t>≤</w:t>
            </w:r>
            <w:r>
              <w:rPr>
                <w:rFonts w:ascii="Times New Roman" w:hAnsi="Times New Roman" w:eastAsia="Times New Roman" w:cs="Times New Roman"/>
                <w:color w:val="auto"/>
                <w:spacing w:val="13"/>
              </w:rPr>
              <w:t>Y</w:t>
            </w:r>
            <w:r>
              <w:rPr>
                <w:color w:val="auto"/>
                <w:spacing w:val="13"/>
              </w:rPr>
              <w:t>&lt;</w:t>
            </w:r>
            <w:r>
              <w:rPr>
                <w:color w:val="auto"/>
                <w:spacing w:val="2"/>
              </w:rPr>
              <w:t xml:space="preserve"> </w:t>
            </w:r>
            <w:r>
              <w:rPr>
                <w:rFonts w:ascii="Times New Roman" w:hAnsi="Times New Roman" w:eastAsia="Times New Roman" w:cs="Times New Roman"/>
                <w:color w:val="auto"/>
                <w:spacing w:val="2"/>
              </w:rPr>
              <w:t>5000</w:t>
            </w:r>
          </w:p>
        </w:tc>
        <w:tc>
          <w:tcPr>
            <w:tcW w:w="1013" w:type="dxa"/>
            <w:vAlign w:val="top"/>
          </w:tcPr>
          <w:p w14:paraId="3A55D52F">
            <w:pPr>
              <w:pStyle w:val="9"/>
              <w:spacing w:before="211" w:line="264" w:lineRule="exact"/>
              <w:ind w:left="110"/>
              <w:rPr>
                <w:rFonts w:ascii="Times New Roman" w:hAnsi="Times New Roman" w:eastAsia="Times New Roman" w:cs="Times New Roman"/>
                <w:color w:val="auto"/>
              </w:rPr>
            </w:pPr>
            <w:r>
              <w:rPr>
                <w:rFonts w:ascii="Times New Roman" w:hAnsi="Times New Roman" w:eastAsia="Times New Roman" w:cs="Times New Roman"/>
                <w:color w:val="auto"/>
                <w:spacing w:val="5"/>
                <w:position w:val="1"/>
              </w:rPr>
              <w:t>Y</w:t>
            </w:r>
            <w:r>
              <w:rPr>
                <w:color w:val="auto"/>
                <w:spacing w:val="5"/>
                <w:position w:val="1"/>
              </w:rPr>
              <w:t>＜</w:t>
            </w:r>
            <w:r>
              <w:rPr>
                <w:rFonts w:ascii="Times New Roman" w:hAnsi="Times New Roman" w:eastAsia="Times New Roman" w:cs="Times New Roman"/>
                <w:color w:val="auto"/>
                <w:spacing w:val="5"/>
                <w:position w:val="1"/>
              </w:rPr>
              <w:t>1000</w:t>
            </w:r>
          </w:p>
        </w:tc>
      </w:tr>
      <w:tr w14:paraId="5BDE6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450" w:type="dxa"/>
            <w:vMerge w:val="restart"/>
            <w:tcBorders>
              <w:bottom w:val="nil"/>
            </w:tcBorders>
            <w:vAlign w:val="top"/>
          </w:tcPr>
          <w:p w14:paraId="307DD224">
            <w:pPr>
              <w:spacing w:line="309" w:lineRule="auto"/>
              <w:rPr>
                <w:rFonts w:ascii="Arial"/>
                <w:color w:val="auto"/>
                <w:sz w:val="21"/>
              </w:rPr>
            </w:pPr>
          </w:p>
          <w:p w14:paraId="0CFEAC34">
            <w:pPr>
              <w:pStyle w:val="9"/>
              <w:spacing w:before="65" w:line="228" w:lineRule="auto"/>
              <w:ind w:left="417"/>
              <w:rPr>
                <w:color w:val="auto"/>
              </w:rPr>
            </w:pPr>
            <w:r>
              <w:rPr>
                <w:color w:val="auto"/>
                <w:spacing w:val="6"/>
              </w:rPr>
              <w:t>零售业</w:t>
            </w:r>
          </w:p>
        </w:tc>
        <w:tc>
          <w:tcPr>
            <w:tcW w:w="1700" w:type="dxa"/>
            <w:vAlign w:val="top"/>
          </w:tcPr>
          <w:p w14:paraId="501AA940">
            <w:pPr>
              <w:pStyle w:val="9"/>
              <w:spacing w:before="56" w:line="228" w:lineRule="auto"/>
              <w:ind w:left="113"/>
              <w:rPr>
                <w:color w:val="auto"/>
              </w:rPr>
            </w:pPr>
            <w:r>
              <w:rPr>
                <w:color w:val="auto"/>
                <w:spacing w:val="6"/>
              </w:rPr>
              <w:t>从业人员（</w:t>
            </w:r>
            <w:r>
              <w:rPr>
                <w:rFonts w:ascii="Times New Roman" w:hAnsi="Times New Roman" w:eastAsia="Times New Roman" w:cs="Times New Roman"/>
                <w:color w:val="auto"/>
                <w:spacing w:val="6"/>
              </w:rPr>
              <w:t>X</w:t>
            </w:r>
            <w:r>
              <w:rPr>
                <w:color w:val="auto"/>
                <w:spacing w:val="6"/>
              </w:rPr>
              <w:t>）</w:t>
            </w:r>
          </w:p>
        </w:tc>
        <w:tc>
          <w:tcPr>
            <w:tcW w:w="1133" w:type="dxa"/>
            <w:vAlign w:val="top"/>
          </w:tcPr>
          <w:p w14:paraId="76FFE9F6">
            <w:pPr>
              <w:pStyle w:val="9"/>
              <w:spacing w:before="55" w:line="231" w:lineRule="auto"/>
              <w:ind w:left="114"/>
              <w:rPr>
                <w:color w:val="auto"/>
              </w:rPr>
            </w:pPr>
            <w:r>
              <w:rPr>
                <w:color w:val="auto"/>
              </w:rPr>
              <w:t>人</w:t>
            </w:r>
          </w:p>
        </w:tc>
        <w:tc>
          <w:tcPr>
            <w:tcW w:w="1845" w:type="dxa"/>
            <w:vAlign w:val="top"/>
          </w:tcPr>
          <w:p w14:paraId="6203B1C7">
            <w:pPr>
              <w:pStyle w:val="9"/>
              <w:spacing w:before="55" w:line="232" w:lineRule="auto"/>
              <w:ind w:left="114"/>
              <w:rPr>
                <w:rFonts w:ascii="Times New Roman" w:hAnsi="Times New Roman" w:eastAsia="Times New Roman" w:cs="Times New Roman"/>
                <w:color w:val="auto"/>
              </w:rPr>
            </w:pPr>
            <w:r>
              <w:rPr>
                <w:rFonts w:ascii="Times New Roman" w:hAnsi="Times New Roman" w:eastAsia="Times New Roman" w:cs="Times New Roman"/>
                <w:color w:val="auto"/>
                <w:spacing w:val="5"/>
              </w:rPr>
              <w:t>50</w:t>
            </w:r>
            <w:r>
              <w:rPr>
                <w:color w:val="auto"/>
                <w:spacing w:val="5"/>
              </w:rPr>
              <w:t>≤</w:t>
            </w:r>
            <w:r>
              <w:rPr>
                <w:rFonts w:ascii="Times New Roman" w:hAnsi="Times New Roman" w:eastAsia="Times New Roman" w:cs="Times New Roman"/>
                <w:color w:val="auto"/>
                <w:spacing w:val="5"/>
              </w:rPr>
              <w:t>X</w:t>
            </w:r>
            <w:r>
              <w:rPr>
                <w:color w:val="auto"/>
                <w:spacing w:val="5"/>
              </w:rPr>
              <w:t>＜</w:t>
            </w:r>
            <w:r>
              <w:rPr>
                <w:rFonts w:ascii="Times New Roman" w:hAnsi="Times New Roman" w:eastAsia="Times New Roman" w:cs="Times New Roman"/>
                <w:color w:val="auto"/>
                <w:spacing w:val="5"/>
              </w:rPr>
              <w:t>300</w:t>
            </w:r>
          </w:p>
        </w:tc>
        <w:tc>
          <w:tcPr>
            <w:tcW w:w="1569" w:type="dxa"/>
            <w:vAlign w:val="top"/>
          </w:tcPr>
          <w:p w14:paraId="4AC01683">
            <w:pPr>
              <w:pStyle w:val="9"/>
              <w:spacing w:before="55" w:line="232" w:lineRule="auto"/>
              <w:ind w:left="132"/>
              <w:rPr>
                <w:rFonts w:ascii="Times New Roman" w:hAnsi="Times New Roman" w:eastAsia="Times New Roman" w:cs="Times New Roman"/>
                <w:color w:val="auto"/>
              </w:rPr>
            </w:pPr>
            <w:r>
              <w:rPr>
                <w:rFonts w:ascii="Times New Roman" w:hAnsi="Times New Roman" w:eastAsia="Times New Roman" w:cs="Times New Roman"/>
                <w:color w:val="auto"/>
                <w:spacing w:val="3"/>
              </w:rPr>
              <w:t>10</w:t>
            </w:r>
            <w:r>
              <w:rPr>
                <w:color w:val="auto"/>
                <w:spacing w:val="3"/>
              </w:rPr>
              <w:t>≤</w:t>
            </w:r>
            <w:r>
              <w:rPr>
                <w:rFonts w:ascii="Times New Roman" w:hAnsi="Times New Roman" w:eastAsia="Times New Roman" w:cs="Times New Roman"/>
                <w:color w:val="auto"/>
                <w:spacing w:val="3"/>
              </w:rPr>
              <w:t>X</w:t>
            </w:r>
            <w:r>
              <w:rPr>
                <w:color w:val="auto"/>
                <w:spacing w:val="3"/>
              </w:rPr>
              <w:t>＜</w:t>
            </w:r>
            <w:r>
              <w:rPr>
                <w:rFonts w:ascii="Times New Roman" w:hAnsi="Times New Roman" w:eastAsia="Times New Roman" w:cs="Times New Roman"/>
                <w:color w:val="auto"/>
                <w:spacing w:val="3"/>
              </w:rPr>
              <w:t>50</w:t>
            </w:r>
          </w:p>
        </w:tc>
        <w:tc>
          <w:tcPr>
            <w:tcW w:w="1013" w:type="dxa"/>
            <w:vAlign w:val="top"/>
          </w:tcPr>
          <w:p w14:paraId="395320C3">
            <w:pPr>
              <w:pStyle w:val="9"/>
              <w:spacing w:before="55" w:line="232" w:lineRule="auto"/>
              <w:ind w:left="109"/>
              <w:rPr>
                <w:rFonts w:ascii="Times New Roman" w:hAnsi="Times New Roman" w:eastAsia="Times New Roman" w:cs="Times New Roman"/>
                <w:color w:val="auto"/>
              </w:rPr>
            </w:pPr>
            <w:r>
              <w:rPr>
                <w:rFonts w:ascii="Times New Roman" w:hAnsi="Times New Roman" w:eastAsia="Times New Roman" w:cs="Times New Roman"/>
                <w:color w:val="auto"/>
                <w:spacing w:val="6"/>
              </w:rPr>
              <w:t>X</w:t>
            </w:r>
            <w:r>
              <w:rPr>
                <w:color w:val="auto"/>
                <w:spacing w:val="6"/>
              </w:rPr>
              <w:t>＜</w:t>
            </w:r>
            <w:r>
              <w:rPr>
                <w:rFonts w:ascii="Times New Roman" w:hAnsi="Times New Roman" w:eastAsia="Times New Roman" w:cs="Times New Roman"/>
                <w:color w:val="auto"/>
                <w:spacing w:val="6"/>
              </w:rPr>
              <w:t>10</w:t>
            </w:r>
          </w:p>
        </w:tc>
      </w:tr>
      <w:tr w14:paraId="46DEA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450" w:type="dxa"/>
            <w:vMerge w:val="continue"/>
            <w:tcBorders>
              <w:top w:val="nil"/>
            </w:tcBorders>
            <w:vAlign w:val="top"/>
          </w:tcPr>
          <w:p w14:paraId="04C60298">
            <w:pPr>
              <w:rPr>
                <w:rFonts w:ascii="Arial"/>
                <w:color w:val="auto"/>
                <w:sz w:val="21"/>
              </w:rPr>
            </w:pPr>
          </w:p>
        </w:tc>
        <w:tc>
          <w:tcPr>
            <w:tcW w:w="1700" w:type="dxa"/>
            <w:vAlign w:val="top"/>
          </w:tcPr>
          <w:p w14:paraId="6F828B1F">
            <w:pPr>
              <w:pStyle w:val="9"/>
              <w:spacing w:before="54" w:line="228" w:lineRule="auto"/>
              <w:ind w:left="117"/>
              <w:rPr>
                <w:color w:val="auto"/>
              </w:rPr>
            </w:pPr>
            <w:r>
              <w:rPr>
                <w:color w:val="auto"/>
                <w:spacing w:val="6"/>
              </w:rPr>
              <w:t>营业收入（</w:t>
            </w:r>
            <w:r>
              <w:rPr>
                <w:rFonts w:ascii="Times New Roman" w:hAnsi="Times New Roman" w:eastAsia="Times New Roman" w:cs="Times New Roman"/>
                <w:color w:val="auto"/>
                <w:spacing w:val="6"/>
              </w:rPr>
              <w:t>Y</w:t>
            </w:r>
            <w:r>
              <w:rPr>
                <w:color w:val="auto"/>
                <w:spacing w:val="6"/>
              </w:rPr>
              <w:t>）</w:t>
            </w:r>
          </w:p>
        </w:tc>
        <w:tc>
          <w:tcPr>
            <w:tcW w:w="1133" w:type="dxa"/>
            <w:vAlign w:val="top"/>
          </w:tcPr>
          <w:p w14:paraId="7C3C792C">
            <w:pPr>
              <w:pStyle w:val="9"/>
              <w:spacing w:before="55" w:line="228" w:lineRule="auto"/>
              <w:ind w:left="117"/>
              <w:rPr>
                <w:color w:val="auto"/>
              </w:rPr>
            </w:pPr>
            <w:r>
              <w:rPr>
                <w:color w:val="auto"/>
                <w:spacing w:val="2"/>
              </w:rPr>
              <w:t>万元</w:t>
            </w:r>
          </w:p>
        </w:tc>
        <w:tc>
          <w:tcPr>
            <w:tcW w:w="1845" w:type="dxa"/>
            <w:vAlign w:val="top"/>
          </w:tcPr>
          <w:p w14:paraId="11150F42">
            <w:pPr>
              <w:pStyle w:val="9"/>
              <w:spacing w:before="55" w:line="232" w:lineRule="auto"/>
              <w:ind w:left="114"/>
              <w:rPr>
                <w:rFonts w:ascii="Times New Roman" w:hAnsi="Times New Roman" w:eastAsia="Times New Roman" w:cs="Times New Roman"/>
                <w:color w:val="auto"/>
              </w:rPr>
            </w:pPr>
            <w:r>
              <w:rPr>
                <w:rFonts w:ascii="Times New Roman" w:hAnsi="Times New Roman" w:eastAsia="Times New Roman" w:cs="Times New Roman"/>
                <w:color w:val="auto"/>
                <w:spacing w:val="5"/>
              </w:rPr>
              <w:t>500</w:t>
            </w:r>
            <w:r>
              <w:rPr>
                <w:color w:val="auto"/>
                <w:spacing w:val="5"/>
              </w:rPr>
              <w:t>≤</w:t>
            </w:r>
            <w:r>
              <w:rPr>
                <w:rFonts w:ascii="Times New Roman" w:hAnsi="Times New Roman" w:eastAsia="Times New Roman" w:cs="Times New Roman"/>
                <w:color w:val="auto"/>
                <w:spacing w:val="5"/>
              </w:rPr>
              <w:t>Y</w:t>
            </w:r>
            <w:r>
              <w:rPr>
                <w:color w:val="auto"/>
                <w:spacing w:val="5"/>
              </w:rPr>
              <w:t>＜</w:t>
            </w:r>
            <w:r>
              <w:rPr>
                <w:rFonts w:ascii="Times New Roman" w:hAnsi="Times New Roman" w:eastAsia="Times New Roman" w:cs="Times New Roman"/>
                <w:color w:val="auto"/>
                <w:spacing w:val="5"/>
              </w:rPr>
              <w:t>20000</w:t>
            </w:r>
          </w:p>
        </w:tc>
        <w:tc>
          <w:tcPr>
            <w:tcW w:w="1569" w:type="dxa"/>
            <w:vAlign w:val="top"/>
          </w:tcPr>
          <w:p w14:paraId="04282396">
            <w:pPr>
              <w:pStyle w:val="9"/>
              <w:spacing w:before="55" w:line="232" w:lineRule="auto"/>
              <w:ind w:left="132"/>
              <w:rPr>
                <w:rFonts w:ascii="Times New Roman" w:hAnsi="Times New Roman" w:eastAsia="Times New Roman" w:cs="Times New Roman"/>
                <w:color w:val="auto"/>
              </w:rPr>
            </w:pPr>
            <w:r>
              <w:rPr>
                <w:rFonts w:ascii="Times New Roman" w:hAnsi="Times New Roman" w:eastAsia="Times New Roman" w:cs="Times New Roman"/>
                <w:color w:val="auto"/>
                <w:spacing w:val="3"/>
              </w:rPr>
              <w:t>100</w:t>
            </w:r>
            <w:r>
              <w:rPr>
                <w:color w:val="auto"/>
                <w:spacing w:val="3"/>
              </w:rPr>
              <w:t>≤</w:t>
            </w:r>
            <w:r>
              <w:rPr>
                <w:rFonts w:ascii="Times New Roman" w:hAnsi="Times New Roman" w:eastAsia="Times New Roman" w:cs="Times New Roman"/>
                <w:color w:val="auto"/>
                <w:spacing w:val="3"/>
              </w:rPr>
              <w:t>Y</w:t>
            </w:r>
            <w:r>
              <w:rPr>
                <w:color w:val="auto"/>
                <w:spacing w:val="3"/>
              </w:rPr>
              <w:t>＜</w:t>
            </w:r>
            <w:r>
              <w:rPr>
                <w:rFonts w:ascii="Times New Roman" w:hAnsi="Times New Roman" w:eastAsia="Times New Roman" w:cs="Times New Roman"/>
                <w:color w:val="auto"/>
                <w:spacing w:val="3"/>
              </w:rPr>
              <w:t>500</w:t>
            </w:r>
          </w:p>
        </w:tc>
        <w:tc>
          <w:tcPr>
            <w:tcW w:w="1013" w:type="dxa"/>
            <w:vAlign w:val="top"/>
          </w:tcPr>
          <w:p w14:paraId="2B6D0D95">
            <w:pPr>
              <w:pStyle w:val="9"/>
              <w:spacing w:before="55" w:line="232" w:lineRule="auto"/>
              <w:ind w:left="110"/>
              <w:rPr>
                <w:rFonts w:ascii="Times New Roman" w:hAnsi="Times New Roman" w:eastAsia="Times New Roman" w:cs="Times New Roman"/>
                <w:color w:val="auto"/>
              </w:rPr>
            </w:pPr>
            <w:r>
              <w:rPr>
                <w:rFonts w:ascii="Times New Roman" w:hAnsi="Times New Roman" w:eastAsia="Times New Roman" w:cs="Times New Roman"/>
                <w:color w:val="auto"/>
                <w:spacing w:val="5"/>
              </w:rPr>
              <w:t>Y</w:t>
            </w:r>
            <w:r>
              <w:rPr>
                <w:color w:val="auto"/>
                <w:spacing w:val="5"/>
              </w:rPr>
              <w:t>＜</w:t>
            </w:r>
            <w:r>
              <w:rPr>
                <w:rFonts w:ascii="Times New Roman" w:hAnsi="Times New Roman" w:eastAsia="Times New Roman" w:cs="Times New Roman"/>
                <w:color w:val="auto"/>
                <w:spacing w:val="5"/>
              </w:rPr>
              <w:t>100</w:t>
            </w:r>
          </w:p>
        </w:tc>
      </w:tr>
      <w:tr w14:paraId="0FBA9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450" w:type="dxa"/>
            <w:vMerge w:val="restart"/>
            <w:tcBorders>
              <w:bottom w:val="nil"/>
            </w:tcBorders>
            <w:vAlign w:val="top"/>
          </w:tcPr>
          <w:p w14:paraId="6BE73332">
            <w:pPr>
              <w:spacing w:line="309" w:lineRule="auto"/>
              <w:rPr>
                <w:rFonts w:ascii="Arial"/>
                <w:color w:val="auto"/>
                <w:sz w:val="21"/>
              </w:rPr>
            </w:pPr>
          </w:p>
          <w:p w14:paraId="733E72DE">
            <w:pPr>
              <w:pStyle w:val="9"/>
              <w:spacing w:before="65" w:line="228" w:lineRule="auto"/>
              <w:ind w:left="209"/>
              <w:rPr>
                <w:color w:val="auto"/>
              </w:rPr>
            </w:pPr>
            <w:r>
              <w:rPr>
                <w:color w:val="auto"/>
                <w:spacing w:val="7"/>
              </w:rPr>
              <w:t>交通运输业</w:t>
            </w:r>
          </w:p>
        </w:tc>
        <w:tc>
          <w:tcPr>
            <w:tcW w:w="1700" w:type="dxa"/>
            <w:vAlign w:val="top"/>
          </w:tcPr>
          <w:p w14:paraId="5AEEA301">
            <w:pPr>
              <w:pStyle w:val="9"/>
              <w:spacing w:before="55" w:line="228" w:lineRule="auto"/>
              <w:ind w:left="113"/>
              <w:rPr>
                <w:color w:val="auto"/>
              </w:rPr>
            </w:pPr>
            <w:r>
              <w:rPr>
                <w:color w:val="auto"/>
                <w:spacing w:val="6"/>
              </w:rPr>
              <w:t>从业人员（</w:t>
            </w:r>
            <w:r>
              <w:rPr>
                <w:rFonts w:ascii="Times New Roman" w:hAnsi="Times New Roman" w:eastAsia="Times New Roman" w:cs="Times New Roman"/>
                <w:color w:val="auto"/>
                <w:spacing w:val="6"/>
              </w:rPr>
              <w:t>X</w:t>
            </w:r>
            <w:r>
              <w:rPr>
                <w:color w:val="auto"/>
                <w:spacing w:val="6"/>
              </w:rPr>
              <w:t>）</w:t>
            </w:r>
          </w:p>
        </w:tc>
        <w:tc>
          <w:tcPr>
            <w:tcW w:w="1133" w:type="dxa"/>
            <w:vAlign w:val="top"/>
          </w:tcPr>
          <w:p w14:paraId="20E71C8E">
            <w:pPr>
              <w:pStyle w:val="9"/>
              <w:spacing w:before="54" w:line="231" w:lineRule="auto"/>
              <w:ind w:left="114"/>
              <w:rPr>
                <w:color w:val="auto"/>
              </w:rPr>
            </w:pPr>
            <w:r>
              <w:rPr>
                <w:color w:val="auto"/>
              </w:rPr>
              <w:t>人</w:t>
            </w:r>
          </w:p>
        </w:tc>
        <w:tc>
          <w:tcPr>
            <w:tcW w:w="1845" w:type="dxa"/>
            <w:vAlign w:val="top"/>
          </w:tcPr>
          <w:p w14:paraId="52F29519">
            <w:pPr>
              <w:pStyle w:val="9"/>
              <w:spacing w:before="54" w:line="233" w:lineRule="auto"/>
              <w:ind w:left="113"/>
              <w:rPr>
                <w:rFonts w:ascii="Times New Roman" w:hAnsi="Times New Roman" w:eastAsia="Times New Roman" w:cs="Times New Roman"/>
                <w:color w:val="auto"/>
              </w:rPr>
            </w:pPr>
            <w:r>
              <w:rPr>
                <w:rFonts w:ascii="Times New Roman" w:hAnsi="Times New Roman" w:eastAsia="Times New Roman" w:cs="Times New Roman"/>
                <w:color w:val="auto"/>
                <w:spacing w:val="5"/>
              </w:rPr>
              <w:t>300</w:t>
            </w:r>
            <w:r>
              <w:rPr>
                <w:color w:val="auto"/>
                <w:spacing w:val="5"/>
              </w:rPr>
              <w:t>≤</w:t>
            </w:r>
            <w:r>
              <w:rPr>
                <w:rFonts w:ascii="Times New Roman" w:hAnsi="Times New Roman" w:eastAsia="Times New Roman" w:cs="Times New Roman"/>
                <w:color w:val="auto"/>
                <w:spacing w:val="5"/>
              </w:rPr>
              <w:t>X</w:t>
            </w:r>
            <w:r>
              <w:rPr>
                <w:color w:val="auto"/>
                <w:spacing w:val="5"/>
              </w:rPr>
              <w:t>＜</w:t>
            </w:r>
            <w:r>
              <w:rPr>
                <w:rFonts w:ascii="Times New Roman" w:hAnsi="Times New Roman" w:eastAsia="Times New Roman" w:cs="Times New Roman"/>
                <w:color w:val="auto"/>
                <w:spacing w:val="5"/>
              </w:rPr>
              <w:t>1000</w:t>
            </w:r>
          </w:p>
        </w:tc>
        <w:tc>
          <w:tcPr>
            <w:tcW w:w="1569" w:type="dxa"/>
            <w:vAlign w:val="top"/>
          </w:tcPr>
          <w:p w14:paraId="16D19562">
            <w:pPr>
              <w:pStyle w:val="9"/>
              <w:spacing w:before="54" w:line="233" w:lineRule="auto"/>
              <w:ind w:left="111"/>
              <w:rPr>
                <w:rFonts w:ascii="Times New Roman" w:hAnsi="Times New Roman" w:eastAsia="Times New Roman" w:cs="Times New Roman"/>
                <w:color w:val="auto"/>
              </w:rPr>
            </w:pPr>
            <w:r>
              <w:rPr>
                <w:rFonts w:ascii="Times New Roman" w:hAnsi="Times New Roman" w:eastAsia="Times New Roman" w:cs="Times New Roman"/>
                <w:color w:val="auto"/>
                <w:spacing w:val="5"/>
              </w:rPr>
              <w:t>20</w:t>
            </w:r>
            <w:r>
              <w:rPr>
                <w:color w:val="auto"/>
                <w:spacing w:val="5"/>
              </w:rPr>
              <w:t>≤</w:t>
            </w:r>
            <w:r>
              <w:rPr>
                <w:rFonts w:ascii="Times New Roman" w:hAnsi="Times New Roman" w:eastAsia="Times New Roman" w:cs="Times New Roman"/>
                <w:color w:val="auto"/>
                <w:spacing w:val="5"/>
              </w:rPr>
              <w:t>X</w:t>
            </w:r>
            <w:r>
              <w:rPr>
                <w:color w:val="auto"/>
                <w:spacing w:val="5"/>
              </w:rPr>
              <w:t>＜</w:t>
            </w:r>
            <w:r>
              <w:rPr>
                <w:rFonts w:ascii="Times New Roman" w:hAnsi="Times New Roman" w:eastAsia="Times New Roman" w:cs="Times New Roman"/>
                <w:color w:val="auto"/>
                <w:spacing w:val="5"/>
              </w:rPr>
              <w:t>300</w:t>
            </w:r>
          </w:p>
        </w:tc>
        <w:tc>
          <w:tcPr>
            <w:tcW w:w="1013" w:type="dxa"/>
            <w:vAlign w:val="top"/>
          </w:tcPr>
          <w:p w14:paraId="793FCEE0">
            <w:pPr>
              <w:pStyle w:val="9"/>
              <w:spacing w:before="54" w:line="233" w:lineRule="auto"/>
              <w:ind w:left="109"/>
              <w:rPr>
                <w:rFonts w:ascii="Times New Roman" w:hAnsi="Times New Roman" w:eastAsia="Times New Roman" w:cs="Times New Roman"/>
                <w:color w:val="auto"/>
              </w:rPr>
            </w:pPr>
            <w:r>
              <w:rPr>
                <w:rFonts w:ascii="Times New Roman" w:hAnsi="Times New Roman" w:eastAsia="Times New Roman" w:cs="Times New Roman"/>
                <w:color w:val="auto"/>
                <w:spacing w:val="6"/>
              </w:rPr>
              <w:t>X</w:t>
            </w:r>
            <w:r>
              <w:rPr>
                <w:color w:val="auto"/>
                <w:spacing w:val="6"/>
              </w:rPr>
              <w:t>＜</w:t>
            </w:r>
            <w:r>
              <w:rPr>
                <w:rFonts w:ascii="Times New Roman" w:hAnsi="Times New Roman" w:eastAsia="Times New Roman" w:cs="Times New Roman"/>
                <w:color w:val="auto"/>
                <w:spacing w:val="6"/>
              </w:rPr>
              <w:t>20</w:t>
            </w:r>
          </w:p>
        </w:tc>
      </w:tr>
      <w:tr w14:paraId="4A6B4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450" w:type="dxa"/>
            <w:vMerge w:val="continue"/>
            <w:tcBorders>
              <w:top w:val="nil"/>
            </w:tcBorders>
            <w:vAlign w:val="top"/>
          </w:tcPr>
          <w:p w14:paraId="63057C3D">
            <w:pPr>
              <w:rPr>
                <w:rFonts w:ascii="Arial"/>
                <w:color w:val="auto"/>
                <w:sz w:val="21"/>
              </w:rPr>
            </w:pPr>
          </w:p>
        </w:tc>
        <w:tc>
          <w:tcPr>
            <w:tcW w:w="1700" w:type="dxa"/>
            <w:vAlign w:val="top"/>
          </w:tcPr>
          <w:p w14:paraId="4BCCC77A">
            <w:pPr>
              <w:pStyle w:val="9"/>
              <w:spacing w:before="54" w:line="228" w:lineRule="auto"/>
              <w:ind w:left="117"/>
              <w:rPr>
                <w:color w:val="auto"/>
              </w:rPr>
            </w:pPr>
            <w:r>
              <w:rPr>
                <w:color w:val="auto"/>
                <w:spacing w:val="6"/>
              </w:rPr>
              <w:t>营业收入（</w:t>
            </w:r>
            <w:r>
              <w:rPr>
                <w:rFonts w:ascii="Times New Roman" w:hAnsi="Times New Roman" w:eastAsia="Times New Roman" w:cs="Times New Roman"/>
                <w:color w:val="auto"/>
                <w:spacing w:val="6"/>
              </w:rPr>
              <w:t>Y</w:t>
            </w:r>
            <w:r>
              <w:rPr>
                <w:color w:val="auto"/>
                <w:spacing w:val="6"/>
              </w:rPr>
              <w:t>）</w:t>
            </w:r>
          </w:p>
        </w:tc>
        <w:tc>
          <w:tcPr>
            <w:tcW w:w="1133" w:type="dxa"/>
            <w:vAlign w:val="top"/>
          </w:tcPr>
          <w:p w14:paraId="17B0AC59">
            <w:pPr>
              <w:pStyle w:val="9"/>
              <w:spacing w:before="54" w:line="228" w:lineRule="auto"/>
              <w:ind w:left="117"/>
              <w:rPr>
                <w:color w:val="auto"/>
              </w:rPr>
            </w:pPr>
            <w:r>
              <w:rPr>
                <w:color w:val="auto"/>
                <w:spacing w:val="2"/>
              </w:rPr>
              <w:t>万元</w:t>
            </w:r>
          </w:p>
        </w:tc>
        <w:tc>
          <w:tcPr>
            <w:tcW w:w="1845" w:type="dxa"/>
            <w:vAlign w:val="top"/>
          </w:tcPr>
          <w:p w14:paraId="1BAD1BFD">
            <w:pPr>
              <w:pStyle w:val="9"/>
              <w:spacing w:before="54" w:line="233" w:lineRule="auto"/>
              <w:ind w:left="113"/>
              <w:rPr>
                <w:rFonts w:ascii="Times New Roman" w:hAnsi="Times New Roman" w:eastAsia="Times New Roman" w:cs="Times New Roman"/>
                <w:color w:val="auto"/>
              </w:rPr>
            </w:pPr>
            <w:r>
              <w:rPr>
                <w:rFonts w:ascii="Times New Roman" w:hAnsi="Times New Roman" w:eastAsia="Times New Roman" w:cs="Times New Roman"/>
                <w:color w:val="auto"/>
                <w:spacing w:val="5"/>
              </w:rPr>
              <w:t>3000</w:t>
            </w:r>
            <w:r>
              <w:rPr>
                <w:color w:val="auto"/>
                <w:spacing w:val="5"/>
              </w:rPr>
              <w:t>≤</w:t>
            </w:r>
            <w:r>
              <w:rPr>
                <w:rFonts w:ascii="Times New Roman" w:hAnsi="Times New Roman" w:eastAsia="Times New Roman" w:cs="Times New Roman"/>
                <w:color w:val="auto"/>
                <w:spacing w:val="5"/>
              </w:rPr>
              <w:t>Y</w:t>
            </w:r>
            <w:r>
              <w:rPr>
                <w:color w:val="auto"/>
                <w:spacing w:val="5"/>
              </w:rPr>
              <w:t>＜</w:t>
            </w:r>
            <w:r>
              <w:rPr>
                <w:rFonts w:ascii="Times New Roman" w:hAnsi="Times New Roman" w:eastAsia="Times New Roman" w:cs="Times New Roman"/>
                <w:color w:val="auto"/>
                <w:spacing w:val="5"/>
              </w:rPr>
              <w:t>30000</w:t>
            </w:r>
          </w:p>
        </w:tc>
        <w:tc>
          <w:tcPr>
            <w:tcW w:w="1569" w:type="dxa"/>
            <w:vAlign w:val="top"/>
          </w:tcPr>
          <w:p w14:paraId="538A8277">
            <w:pPr>
              <w:pStyle w:val="9"/>
              <w:spacing w:before="54" w:line="233" w:lineRule="auto"/>
              <w:ind w:left="111"/>
              <w:rPr>
                <w:rFonts w:ascii="Times New Roman" w:hAnsi="Times New Roman" w:eastAsia="Times New Roman" w:cs="Times New Roman"/>
                <w:color w:val="auto"/>
              </w:rPr>
            </w:pPr>
            <w:r>
              <w:rPr>
                <w:rFonts w:ascii="Times New Roman" w:hAnsi="Times New Roman" w:eastAsia="Times New Roman" w:cs="Times New Roman"/>
                <w:color w:val="auto"/>
                <w:spacing w:val="5"/>
              </w:rPr>
              <w:t>200</w:t>
            </w:r>
            <w:r>
              <w:rPr>
                <w:color w:val="auto"/>
                <w:spacing w:val="5"/>
              </w:rPr>
              <w:t>≤</w:t>
            </w:r>
            <w:r>
              <w:rPr>
                <w:rFonts w:ascii="Times New Roman" w:hAnsi="Times New Roman" w:eastAsia="Times New Roman" w:cs="Times New Roman"/>
                <w:color w:val="auto"/>
                <w:spacing w:val="5"/>
              </w:rPr>
              <w:t>Y</w:t>
            </w:r>
            <w:r>
              <w:rPr>
                <w:color w:val="auto"/>
                <w:spacing w:val="5"/>
              </w:rPr>
              <w:t>＜</w:t>
            </w:r>
            <w:r>
              <w:rPr>
                <w:rFonts w:ascii="Times New Roman" w:hAnsi="Times New Roman" w:eastAsia="Times New Roman" w:cs="Times New Roman"/>
                <w:color w:val="auto"/>
                <w:spacing w:val="5"/>
              </w:rPr>
              <w:t>3000</w:t>
            </w:r>
          </w:p>
        </w:tc>
        <w:tc>
          <w:tcPr>
            <w:tcW w:w="1013" w:type="dxa"/>
            <w:vAlign w:val="top"/>
          </w:tcPr>
          <w:p w14:paraId="48254F34">
            <w:pPr>
              <w:pStyle w:val="9"/>
              <w:spacing w:before="54" w:line="233" w:lineRule="auto"/>
              <w:ind w:left="110"/>
              <w:rPr>
                <w:rFonts w:ascii="Times New Roman" w:hAnsi="Times New Roman" w:eastAsia="Times New Roman" w:cs="Times New Roman"/>
                <w:color w:val="auto"/>
              </w:rPr>
            </w:pPr>
            <w:r>
              <w:rPr>
                <w:rFonts w:ascii="Times New Roman" w:hAnsi="Times New Roman" w:eastAsia="Times New Roman" w:cs="Times New Roman"/>
                <w:color w:val="auto"/>
                <w:spacing w:val="5"/>
              </w:rPr>
              <w:t>Y</w:t>
            </w:r>
            <w:r>
              <w:rPr>
                <w:color w:val="auto"/>
                <w:spacing w:val="5"/>
              </w:rPr>
              <w:t>＜</w:t>
            </w:r>
            <w:r>
              <w:rPr>
                <w:rFonts w:ascii="Times New Roman" w:hAnsi="Times New Roman" w:eastAsia="Times New Roman" w:cs="Times New Roman"/>
                <w:color w:val="auto"/>
                <w:spacing w:val="5"/>
              </w:rPr>
              <w:t>200</w:t>
            </w:r>
          </w:p>
        </w:tc>
      </w:tr>
      <w:tr w14:paraId="5979C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450" w:type="dxa"/>
            <w:vMerge w:val="restart"/>
            <w:tcBorders>
              <w:bottom w:val="nil"/>
            </w:tcBorders>
            <w:vAlign w:val="top"/>
          </w:tcPr>
          <w:p w14:paraId="5A7C08C6">
            <w:pPr>
              <w:spacing w:line="311" w:lineRule="auto"/>
              <w:rPr>
                <w:rFonts w:ascii="Arial"/>
                <w:color w:val="auto"/>
                <w:sz w:val="21"/>
              </w:rPr>
            </w:pPr>
          </w:p>
          <w:p w14:paraId="16537617">
            <w:pPr>
              <w:pStyle w:val="9"/>
              <w:spacing w:before="65" w:line="228" w:lineRule="auto"/>
              <w:ind w:left="415"/>
              <w:rPr>
                <w:color w:val="auto"/>
              </w:rPr>
            </w:pPr>
            <w:r>
              <w:rPr>
                <w:color w:val="auto"/>
                <w:spacing w:val="7"/>
              </w:rPr>
              <w:t>仓储业</w:t>
            </w:r>
          </w:p>
        </w:tc>
        <w:tc>
          <w:tcPr>
            <w:tcW w:w="1700" w:type="dxa"/>
            <w:vAlign w:val="top"/>
          </w:tcPr>
          <w:p w14:paraId="41517AD8">
            <w:pPr>
              <w:pStyle w:val="9"/>
              <w:spacing w:before="56" w:line="228" w:lineRule="auto"/>
              <w:ind w:left="113"/>
              <w:rPr>
                <w:color w:val="auto"/>
              </w:rPr>
            </w:pPr>
            <w:r>
              <w:rPr>
                <w:color w:val="auto"/>
                <w:spacing w:val="6"/>
              </w:rPr>
              <w:t>从业人员（</w:t>
            </w:r>
            <w:r>
              <w:rPr>
                <w:rFonts w:ascii="Times New Roman" w:hAnsi="Times New Roman" w:eastAsia="Times New Roman" w:cs="Times New Roman"/>
                <w:color w:val="auto"/>
                <w:spacing w:val="6"/>
              </w:rPr>
              <w:t>X</w:t>
            </w:r>
            <w:r>
              <w:rPr>
                <w:color w:val="auto"/>
                <w:spacing w:val="6"/>
              </w:rPr>
              <w:t>）</w:t>
            </w:r>
          </w:p>
        </w:tc>
        <w:tc>
          <w:tcPr>
            <w:tcW w:w="1133" w:type="dxa"/>
            <w:vAlign w:val="top"/>
          </w:tcPr>
          <w:p w14:paraId="06B3E898">
            <w:pPr>
              <w:pStyle w:val="9"/>
              <w:spacing w:before="55" w:line="231" w:lineRule="auto"/>
              <w:ind w:left="114"/>
              <w:rPr>
                <w:color w:val="auto"/>
              </w:rPr>
            </w:pPr>
            <w:r>
              <w:rPr>
                <w:color w:val="auto"/>
              </w:rPr>
              <w:t>人</w:t>
            </w:r>
          </w:p>
        </w:tc>
        <w:tc>
          <w:tcPr>
            <w:tcW w:w="1845" w:type="dxa"/>
            <w:vAlign w:val="top"/>
          </w:tcPr>
          <w:p w14:paraId="12270B41">
            <w:pPr>
              <w:pStyle w:val="9"/>
              <w:spacing w:before="56" w:line="231" w:lineRule="auto"/>
              <w:ind w:left="129"/>
              <w:rPr>
                <w:rFonts w:ascii="Times New Roman" w:hAnsi="Times New Roman" w:eastAsia="Times New Roman" w:cs="Times New Roman"/>
                <w:color w:val="auto"/>
              </w:rPr>
            </w:pPr>
            <w:r>
              <w:rPr>
                <w:rFonts w:ascii="Times New Roman" w:hAnsi="Times New Roman" w:eastAsia="Times New Roman" w:cs="Times New Roman"/>
                <w:color w:val="auto"/>
                <w:spacing w:val="3"/>
              </w:rPr>
              <w:t>100</w:t>
            </w:r>
            <w:r>
              <w:rPr>
                <w:color w:val="auto"/>
                <w:spacing w:val="3"/>
              </w:rPr>
              <w:t>≤</w:t>
            </w:r>
            <w:r>
              <w:rPr>
                <w:rFonts w:ascii="Times New Roman" w:hAnsi="Times New Roman" w:eastAsia="Times New Roman" w:cs="Times New Roman"/>
                <w:color w:val="auto"/>
                <w:spacing w:val="3"/>
              </w:rPr>
              <w:t>X</w:t>
            </w:r>
            <w:r>
              <w:rPr>
                <w:color w:val="auto"/>
                <w:spacing w:val="3"/>
              </w:rPr>
              <w:t>＜</w:t>
            </w:r>
            <w:r>
              <w:rPr>
                <w:rFonts w:ascii="Times New Roman" w:hAnsi="Times New Roman" w:eastAsia="Times New Roman" w:cs="Times New Roman"/>
                <w:color w:val="auto"/>
                <w:spacing w:val="3"/>
              </w:rPr>
              <w:t>200</w:t>
            </w:r>
          </w:p>
        </w:tc>
        <w:tc>
          <w:tcPr>
            <w:tcW w:w="1569" w:type="dxa"/>
            <w:vAlign w:val="top"/>
          </w:tcPr>
          <w:p w14:paraId="3C71A1D2">
            <w:pPr>
              <w:pStyle w:val="9"/>
              <w:spacing w:before="56" w:line="231" w:lineRule="auto"/>
              <w:ind w:left="111"/>
              <w:rPr>
                <w:rFonts w:ascii="Times New Roman" w:hAnsi="Times New Roman" w:eastAsia="Times New Roman" w:cs="Times New Roman"/>
                <w:color w:val="auto"/>
              </w:rPr>
            </w:pPr>
            <w:r>
              <w:rPr>
                <w:rFonts w:ascii="Times New Roman" w:hAnsi="Times New Roman" w:eastAsia="Times New Roman" w:cs="Times New Roman"/>
                <w:color w:val="auto"/>
                <w:spacing w:val="5"/>
              </w:rPr>
              <w:t>20</w:t>
            </w:r>
            <w:r>
              <w:rPr>
                <w:color w:val="auto"/>
                <w:spacing w:val="5"/>
              </w:rPr>
              <w:t>≤</w:t>
            </w:r>
            <w:r>
              <w:rPr>
                <w:rFonts w:ascii="Times New Roman" w:hAnsi="Times New Roman" w:eastAsia="Times New Roman" w:cs="Times New Roman"/>
                <w:color w:val="auto"/>
                <w:spacing w:val="5"/>
              </w:rPr>
              <w:t>X</w:t>
            </w:r>
            <w:r>
              <w:rPr>
                <w:color w:val="auto"/>
                <w:spacing w:val="5"/>
              </w:rPr>
              <w:t>＜</w:t>
            </w:r>
            <w:r>
              <w:rPr>
                <w:rFonts w:ascii="Times New Roman" w:hAnsi="Times New Roman" w:eastAsia="Times New Roman" w:cs="Times New Roman"/>
                <w:color w:val="auto"/>
                <w:spacing w:val="5"/>
              </w:rPr>
              <w:t>100</w:t>
            </w:r>
          </w:p>
        </w:tc>
        <w:tc>
          <w:tcPr>
            <w:tcW w:w="1013" w:type="dxa"/>
            <w:vAlign w:val="top"/>
          </w:tcPr>
          <w:p w14:paraId="156C391F">
            <w:pPr>
              <w:pStyle w:val="9"/>
              <w:spacing w:before="56" w:line="231" w:lineRule="auto"/>
              <w:ind w:left="109"/>
              <w:rPr>
                <w:rFonts w:ascii="Times New Roman" w:hAnsi="Times New Roman" w:eastAsia="Times New Roman" w:cs="Times New Roman"/>
                <w:color w:val="auto"/>
              </w:rPr>
            </w:pPr>
            <w:r>
              <w:rPr>
                <w:rFonts w:ascii="Times New Roman" w:hAnsi="Times New Roman" w:eastAsia="Times New Roman" w:cs="Times New Roman"/>
                <w:color w:val="auto"/>
                <w:spacing w:val="6"/>
              </w:rPr>
              <w:t>X</w:t>
            </w:r>
            <w:r>
              <w:rPr>
                <w:color w:val="auto"/>
                <w:spacing w:val="6"/>
              </w:rPr>
              <w:t>＜</w:t>
            </w:r>
            <w:r>
              <w:rPr>
                <w:rFonts w:ascii="Times New Roman" w:hAnsi="Times New Roman" w:eastAsia="Times New Roman" w:cs="Times New Roman"/>
                <w:color w:val="auto"/>
                <w:spacing w:val="6"/>
              </w:rPr>
              <w:t>20</w:t>
            </w:r>
          </w:p>
        </w:tc>
      </w:tr>
      <w:tr w14:paraId="454C6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450" w:type="dxa"/>
            <w:vMerge w:val="continue"/>
            <w:tcBorders>
              <w:top w:val="nil"/>
            </w:tcBorders>
            <w:vAlign w:val="top"/>
          </w:tcPr>
          <w:p w14:paraId="6969AE6D">
            <w:pPr>
              <w:rPr>
                <w:rFonts w:ascii="Arial"/>
                <w:color w:val="auto"/>
                <w:sz w:val="21"/>
              </w:rPr>
            </w:pPr>
          </w:p>
        </w:tc>
        <w:tc>
          <w:tcPr>
            <w:tcW w:w="1700" w:type="dxa"/>
            <w:vAlign w:val="top"/>
          </w:tcPr>
          <w:p w14:paraId="65573C5B">
            <w:pPr>
              <w:pStyle w:val="9"/>
              <w:spacing w:before="55" w:line="228" w:lineRule="auto"/>
              <w:ind w:left="117"/>
              <w:rPr>
                <w:color w:val="auto"/>
              </w:rPr>
            </w:pPr>
            <w:r>
              <w:rPr>
                <w:color w:val="auto"/>
                <w:spacing w:val="6"/>
              </w:rPr>
              <w:t>营业收入（</w:t>
            </w:r>
            <w:r>
              <w:rPr>
                <w:rFonts w:ascii="Times New Roman" w:hAnsi="Times New Roman" w:eastAsia="Times New Roman" w:cs="Times New Roman"/>
                <w:color w:val="auto"/>
                <w:spacing w:val="6"/>
              </w:rPr>
              <w:t>Y</w:t>
            </w:r>
            <w:r>
              <w:rPr>
                <w:color w:val="auto"/>
                <w:spacing w:val="6"/>
              </w:rPr>
              <w:t>）</w:t>
            </w:r>
          </w:p>
        </w:tc>
        <w:tc>
          <w:tcPr>
            <w:tcW w:w="1133" w:type="dxa"/>
            <w:vAlign w:val="top"/>
          </w:tcPr>
          <w:p w14:paraId="6BC0257E">
            <w:pPr>
              <w:pStyle w:val="9"/>
              <w:spacing w:before="56" w:line="228" w:lineRule="auto"/>
              <w:ind w:left="117"/>
              <w:rPr>
                <w:color w:val="auto"/>
              </w:rPr>
            </w:pPr>
            <w:r>
              <w:rPr>
                <w:color w:val="auto"/>
                <w:spacing w:val="2"/>
              </w:rPr>
              <w:t>万元</w:t>
            </w:r>
          </w:p>
        </w:tc>
        <w:tc>
          <w:tcPr>
            <w:tcW w:w="1845" w:type="dxa"/>
            <w:vAlign w:val="top"/>
          </w:tcPr>
          <w:p w14:paraId="0AD27C8A">
            <w:pPr>
              <w:pStyle w:val="9"/>
              <w:spacing w:before="55" w:line="232" w:lineRule="auto"/>
              <w:ind w:left="129"/>
              <w:rPr>
                <w:rFonts w:ascii="Times New Roman" w:hAnsi="Times New Roman" w:eastAsia="Times New Roman" w:cs="Times New Roman"/>
                <w:color w:val="auto"/>
              </w:rPr>
            </w:pPr>
            <w:r>
              <w:rPr>
                <w:rFonts w:ascii="Times New Roman" w:hAnsi="Times New Roman" w:eastAsia="Times New Roman" w:cs="Times New Roman"/>
                <w:color w:val="auto"/>
                <w:spacing w:val="3"/>
              </w:rPr>
              <w:t>1000</w:t>
            </w:r>
            <w:r>
              <w:rPr>
                <w:color w:val="auto"/>
                <w:spacing w:val="3"/>
              </w:rPr>
              <w:t>≤</w:t>
            </w:r>
            <w:r>
              <w:rPr>
                <w:rFonts w:ascii="Times New Roman" w:hAnsi="Times New Roman" w:eastAsia="Times New Roman" w:cs="Times New Roman"/>
                <w:color w:val="auto"/>
                <w:spacing w:val="3"/>
              </w:rPr>
              <w:t>Y</w:t>
            </w:r>
            <w:r>
              <w:rPr>
                <w:color w:val="auto"/>
                <w:spacing w:val="3"/>
              </w:rPr>
              <w:t>＜</w:t>
            </w:r>
            <w:r>
              <w:rPr>
                <w:rFonts w:ascii="Times New Roman" w:hAnsi="Times New Roman" w:eastAsia="Times New Roman" w:cs="Times New Roman"/>
                <w:color w:val="auto"/>
                <w:spacing w:val="3"/>
              </w:rPr>
              <w:t>30000</w:t>
            </w:r>
          </w:p>
        </w:tc>
        <w:tc>
          <w:tcPr>
            <w:tcW w:w="1569" w:type="dxa"/>
            <w:vAlign w:val="top"/>
          </w:tcPr>
          <w:p w14:paraId="0D864DE1">
            <w:pPr>
              <w:pStyle w:val="9"/>
              <w:spacing w:before="55" w:line="232" w:lineRule="auto"/>
              <w:ind w:left="132"/>
              <w:rPr>
                <w:rFonts w:ascii="Times New Roman" w:hAnsi="Times New Roman" w:eastAsia="Times New Roman" w:cs="Times New Roman"/>
                <w:color w:val="auto"/>
              </w:rPr>
            </w:pPr>
            <w:r>
              <w:rPr>
                <w:rFonts w:ascii="Times New Roman" w:hAnsi="Times New Roman" w:eastAsia="Times New Roman" w:cs="Times New Roman"/>
                <w:color w:val="auto"/>
                <w:spacing w:val="3"/>
              </w:rPr>
              <w:t>100</w:t>
            </w:r>
            <w:r>
              <w:rPr>
                <w:color w:val="auto"/>
                <w:spacing w:val="3"/>
              </w:rPr>
              <w:t>≤</w:t>
            </w:r>
            <w:r>
              <w:rPr>
                <w:rFonts w:ascii="Times New Roman" w:hAnsi="Times New Roman" w:eastAsia="Times New Roman" w:cs="Times New Roman"/>
                <w:color w:val="auto"/>
                <w:spacing w:val="3"/>
              </w:rPr>
              <w:t>Y</w:t>
            </w:r>
            <w:r>
              <w:rPr>
                <w:color w:val="auto"/>
                <w:spacing w:val="3"/>
              </w:rPr>
              <w:t>＜</w:t>
            </w:r>
            <w:r>
              <w:rPr>
                <w:rFonts w:ascii="Times New Roman" w:hAnsi="Times New Roman" w:eastAsia="Times New Roman" w:cs="Times New Roman"/>
                <w:color w:val="auto"/>
                <w:spacing w:val="3"/>
              </w:rPr>
              <w:t>1000</w:t>
            </w:r>
          </w:p>
        </w:tc>
        <w:tc>
          <w:tcPr>
            <w:tcW w:w="1013" w:type="dxa"/>
            <w:vAlign w:val="top"/>
          </w:tcPr>
          <w:p w14:paraId="13673F69">
            <w:pPr>
              <w:pStyle w:val="9"/>
              <w:spacing w:before="55" w:line="232" w:lineRule="auto"/>
              <w:ind w:left="110"/>
              <w:rPr>
                <w:rFonts w:ascii="Times New Roman" w:hAnsi="Times New Roman" w:eastAsia="Times New Roman" w:cs="Times New Roman"/>
                <w:color w:val="auto"/>
              </w:rPr>
            </w:pPr>
            <w:r>
              <w:rPr>
                <w:rFonts w:ascii="Times New Roman" w:hAnsi="Times New Roman" w:eastAsia="Times New Roman" w:cs="Times New Roman"/>
                <w:color w:val="auto"/>
                <w:spacing w:val="5"/>
              </w:rPr>
              <w:t>Y</w:t>
            </w:r>
            <w:r>
              <w:rPr>
                <w:color w:val="auto"/>
                <w:spacing w:val="5"/>
              </w:rPr>
              <w:t>＜</w:t>
            </w:r>
            <w:r>
              <w:rPr>
                <w:rFonts w:ascii="Times New Roman" w:hAnsi="Times New Roman" w:eastAsia="Times New Roman" w:cs="Times New Roman"/>
                <w:color w:val="auto"/>
                <w:spacing w:val="5"/>
              </w:rPr>
              <w:t>100</w:t>
            </w:r>
          </w:p>
        </w:tc>
      </w:tr>
      <w:tr w14:paraId="43DD5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450" w:type="dxa"/>
            <w:vMerge w:val="restart"/>
            <w:tcBorders>
              <w:bottom w:val="nil"/>
            </w:tcBorders>
            <w:vAlign w:val="top"/>
          </w:tcPr>
          <w:p w14:paraId="79FAD55B">
            <w:pPr>
              <w:spacing w:line="310" w:lineRule="auto"/>
              <w:rPr>
                <w:rFonts w:ascii="Arial"/>
                <w:color w:val="auto"/>
                <w:sz w:val="21"/>
              </w:rPr>
            </w:pPr>
          </w:p>
          <w:p w14:paraId="2F198DED">
            <w:pPr>
              <w:pStyle w:val="9"/>
              <w:spacing w:before="65" w:line="229" w:lineRule="auto"/>
              <w:ind w:left="432"/>
              <w:rPr>
                <w:color w:val="auto"/>
              </w:rPr>
            </w:pPr>
            <w:r>
              <w:rPr>
                <w:color w:val="auto"/>
                <w:spacing w:val="1"/>
              </w:rPr>
              <w:t>邮政业</w:t>
            </w:r>
          </w:p>
        </w:tc>
        <w:tc>
          <w:tcPr>
            <w:tcW w:w="1700" w:type="dxa"/>
            <w:vAlign w:val="top"/>
          </w:tcPr>
          <w:p w14:paraId="2A25E4E8">
            <w:pPr>
              <w:pStyle w:val="9"/>
              <w:spacing w:before="56" w:line="228" w:lineRule="auto"/>
              <w:ind w:left="113"/>
              <w:rPr>
                <w:color w:val="auto"/>
              </w:rPr>
            </w:pPr>
            <w:r>
              <w:rPr>
                <w:color w:val="auto"/>
                <w:spacing w:val="6"/>
              </w:rPr>
              <w:t>从业人员（</w:t>
            </w:r>
            <w:r>
              <w:rPr>
                <w:rFonts w:ascii="Times New Roman" w:hAnsi="Times New Roman" w:eastAsia="Times New Roman" w:cs="Times New Roman"/>
                <w:color w:val="auto"/>
                <w:spacing w:val="6"/>
              </w:rPr>
              <w:t>X</w:t>
            </w:r>
            <w:r>
              <w:rPr>
                <w:color w:val="auto"/>
                <w:spacing w:val="6"/>
              </w:rPr>
              <w:t>）</w:t>
            </w:r>
          </w:p>
        </w:tc>
        <w:tc>
          <w:tcPr>
            <w:tcW w:w="1133" w:type="dxa"/>
            <w:vAlign w:val="top"/>
          </w:tcPr>
          <w:p w14:paraId="1917EF41">
            <w:pPr>
              <w:pStyle w:val="9"/>
              <w:spacing w:before="55" w:line="231" w:lineRule="auto"/>
              <w:ind w:left="114"/>
              <w:rPr>
                <w:color w:val="auto"/>
              </w:rPr>
            </w:pPr>
            <w:r>
              <w:rPr>
                <w:color w:val="auto"/>
              </w:rPr>
              <w:t>人</w:t>
            </w:r>
          </w:p>
        </w:tc>
        <w:tc>
          <w:tcPr>
            <w:tcW w:w="1845" w:type="dxa"/>
            <w:vAlign w:val="top"/>
          </w:tcPr>
          <w:p w14:paraId="13BE1958">
            <w:pPr>
              <w:pStyle w:val="9"/>
              <w:spacing w:before="55" w:line="232" w:lineRule="auto"/>
              <w:ind w:left="113"/>
              <w:rPr>
                <w:rFonts w:ascii="Times New Roman" w:hAnsi="Times New Roman" w:eastAsia="Times New Roman" w:cs="Times New Roman"/>
                <w:color w:val="auto"/>
              </w:rPr>
            </w:pPr>
            <w:r>
              <w:rPr>
                <w:rFonts w:ascii="Times New Roman" w:hAnsi="Times New Roman" w:eastAsia="Times New Roman" w:cs="Times New Roman"/>
                <w:color w:val="auto"/>
                <w:spacing w:val="5"/>
              </w:rPr>
              <w:t>300</w:t>
            </w:r>
            <w:r>
              <w:rPr>
                <w:color w:val="auto"/>
                <w:spacing w:val="5"/>
              </w:rPr>
              <w:t>≤</w:t>
            </w:r>
            <w:r>
              <w:rPr>
                <w:rFonts w:ascii="Times New Roman" w:hAnsi="Times New Roman" w:eastAsia="Times New Roman" w:cs="Times New Roman"/>
                <w:color w:val="auto"/>
                <w:spacing w:val="5"/>
              </w:rPr>
              <w:t>X</w:t>
            </w:r>
            <w:r>
              <w:rPr>
                <w:color w:val="auto"/>
                <w:spacing w:val="5"/>
              </w:rPr>
              <w:t>＜</w:t>
            </w:r>
            <w:r>
              <w:rPr>
                <w:rFonts w:ascii="Times New Roman" w:hAnsi="Times New Roman" w:eastAsia="Times New Roman" w:cs="Times New Roman"/>
                <w:color w:val="auto"/>
                <w:spacing w:val="5"/>
              </w:rPr>
              <w:t>1000</w:t>
            </w:r>
          </w:p>
        </w:tc>
        <w:tc>
          <w:tcPr>
            <w:tcW w:w="1569" w:type="dxa"/>
            <w:vAlign w:val="top"/>
          </w:tcPr>
          <w:p w14:paraId="688CE27C">
            <w:pPr>
              <w:pStyle w:val="9"/>
              <w:spacing w:before="55" w:line="232" w:lineRule="auto"/>
              <w:ind w:left="111"/>
              <w:rPr>
                <w:rFonts w:ascii="Times New Roman" w:hAnsi="Times New Roman" w:eastAsia="Times New Roman" w:cs="Times New Roman"/>
                <w:color w:val="auto"/>
              </w:rPr>
            </w:pPr>
            <w:r>
              <w:rPr>
                <w:rFonts w:ascii="Times New Roman" w:hAnsi="Times New Roman" w:eastAsia="Times New Roman" w:cs="Times New Roman"/>
                <w:color w:val="auto"/>
                <w:spacing w:val="5"/>
              </w:rPr>
              <w:t>20</w:t>
            </w:r>
            <w:r>
              <w:rPr>
                <w:color w:val="auto"/>
                <w:spacing w:val="5"/>
              </w:rPr>
              <w:t>≤</w:t>
            </w:r>
            <w:r>
              <w:rPr>
                <w:rFonts w:ascii="Times New Roman" w:hAnsi="Times New Roman" w:eastAsia="Times New Roman" w:cs="Times New Roman"/>
                <w:color w:val="auto"/>
                <w:spacing w:val="5"/>
              </w:rPr>
              <w:t>X</w:t>
            </w:r>
            <w:r>
              <w:rPr>
                <w:color w:val="auto"/>
                <w:spacing w:val="5"/>
              </w:rPr>
              <w:t>＜</w:t>
            </w:r>
            <w:r>
              <w:rPr>
                <w:rFonts w:ascii="Times New Roman" w:hAnsi="Times New Roman" w:eastAsia="Times New Roman" w:cs="Times New Roman"/>
                <w:color w:val="auto"/>
                <w:spacing w:val="5"/>
              </w:rPr>
              <w:t>300</w:t>
            </w:r>
          </w:p>
        </w:tc>
        <w:tc>
          <w:tcPr>
            <w:tcW w:w="1013" w:type="dxa"/>
            <w:vAlign w:val="top"/>
          </w:tcPr>
          <w:p w14:paraId="6C2EAAFC">
            <w:pPr>
              <w:pStyle w:val="9"/>
              <w:spacing w:before="55" w:line="232" w:lineRule="auto"/>
              <w:ind w:left="109"/>
              <w:rPr>
                <w:rFonts w:ascii="Times New Roman" w:hAnsi="Times New Roman" w:eastAsia="Times New Roman" w:cs="Times New Roman"/>
                <w:color w:val="auto"/>
              </w:rPr>
            </w:pPr>
            <w:r>
              <w:rPr>
                <w:rFonts w:ascii="Times New Roman" w:hAnsi="Times New Roman" w:eastAsia="Times New Roman" w:cs="Times New Roman"/>
                <w:color w:val="auto"/>
                <w:spacing w:val="6"/>
              </w:rPr>
              <w:t>X</w:t>
            </w:r>
            <w:r>
              <w:rPr>
                <w:color w:val="auto"/>
                <w:spacing w:val="6"/>
              </w:rPr>
              <w:t>＜</w:t>
            </w:r>
            <w:r>
              <w:rPr>
                <w:rFonts w:ascii="Times New Roman" w:hAnsi="Times New Roman" w:eastAsia="Times New Roman" w:cs="Times New Roman"/>
                <w:color w:val="auto"/>
                <w:spacing w:val="6"/>
              </w:rPr>
              <w:t>20</w:t>
            </w:r>
          </w:p>
        </w:tc>
      </w:tr>
      <w:tr w14:paraId="78692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450" w:type="dxa"/>
            <w:vMerge w:val="continue"/>
            <w:tcBorders>
              <w:top w:val="nil"/>
            </w:tcBorders>
            <w:vAlign w:val="top"/>
          </w:tcPr>
          <w:p w14:paraId="3BF55FDC">
            <w:pPr>
              <w:rPr>
                <w:rFonts w:ascii="Arial"/>
                <w:color w:val="auto"/>
                <w:sz w:val="21"/>
              </w:rPr>
            </w:pPr>
          </w:p>
        </w:tc>
        <w:tc>
          <w:tcPr>
            <w:tcW w:w="1700" w:type="dxa"/>
            <w:vAlign w:val="top"/>
          </w:tcPr>
          <w:p w14:paraId="585700D2">
            <w:pPr>
              <w:pStyle w:val="9"/>
              <w:spacing w:before="54" w:line="228" w:lineRule="auto"/>
              <w:ind w:left="117"/>
              <w:rPr>
                <w:color w:val="auto"/>
              </w:rPr>
            </w:pPr>
            <w:r>
              <w:rPr>
                <w:color w:val="auto"/>
                <w:spacing w:val="6"/>
              </w:rPr>
              <w:t>营业收入（</w:t>
            </w:r>
            <w:r>
              <w:rPr>
                <w:rFonts w:ascii="Times New Roman" w:hAnsi="Times New Roman" w:eastAsia="Times New Roman" w:cs="Times New Roman"/>
                <w:color w:val="auto"/>
                <w:spacing w:val="6"/>
              </w:rPr>
              <w:t>Y</w:t>
            </w:r>
            <w:r>
              <w:rPr>
                <w:color w:val="auto"/>
                <w:spacing w:val="6"/>
              </w:rPr>
              <w:t>）</w:t>
            </w:r>
          </w:p>
        </w:tc>
        <w:tc>
          <w:tcPr>
            <w:tcW w:w="1133" w:type="dxa"/>
            <w:vAlign w:val="top"/>
          </w:tcPr>
          <w:p w14:paraId="7CDF3045">
            <w:pPr>
              <w:pStyle w:val="9"/>
              <w:spacing w:before="55" w:line="228" w:lineRule="auto"/>
              <w:ind w:left="117"/>
              <w:rPr>
                <w:color w:val="auto"/>
              </w:rPr>
            </w:pPr>
            <w:r>
              <w:rPr>
                <w:color w:val="auto"/>
                <w:spacing w:val="2"/>
              </w:rPr>
              <w:t>万元</w:t>
            </w:r>
          </w:p>
        </w:tc>
        <w:tc>
          <w:tcPr>
            <w:tcW w:w="1845" w:type="dxa"/>
            <w:vAlign w:val="top"/>
          </w:tcPr>
          <w:p w14:paraId="64D37DE1">
            <w:pPr>
              <w:pStyle w:val="9"/>
              <w:spacing w:before="55" w:line="232" w:lineRule="auto"/>
              <w:ind w:left="108"/>
              <w:rPr>
                <w:rFonts w:ascii="Times New Roman" w:hAnsi="Times New Roman" w:eastAsia="Times New Roman" w:cs="Times New Roman"/>
                <w:color w:val="auto"/>
              </w:rPr>
            </w:pPr>
            <w:r>
              <w:rPr>
                <w:rFonts w:ascii="Times New Roman" w:hAnsi="Times New Roman" w:eastAsia="Times New Roman" w:cs="Times New Roman"/>
                <w:color w:val="auto"/>
                <w:spacing w:val="5"/>
              </w:rPr>
              <w:t>2000</w:t>
            </w:r>
            <w:r>
              <w:rPr>
                <w:color w:val="auto"/>
                <w:spacing w:val="5"/>
              </w:rPr>
              <w:t>≤</w:t>
            </w:r>
            <w:r>
              <w:rPr>
                <w:rFonts w:ascii="Times New Roman" w:hAnsi="Times New Roman" w:eastAsia="Times New Roman" w:cs="Times New Roman"/>
                <w:color w:val="auto"/>
                <w:spacing w:val="5"/>
              </w:rPr>
              <w:t>Y</w:t>
            </w:r>
            <w:r>
              <w:rPr>
                <w:color w:val="auto"/>
                <w:spacing w:val="5"/>
              </w:rPr>
              <w:t>＜</w:t>
            </w:r>
            <w:r>
              <w:rPr>
                <w:rFonts w:ascii="Times New Roman" w:hAnsi="Times New Roman" w:eastAsia="Times New Roman" w:cs="Times New Roman"/>
                <w:color w:val="auto"/>
                <w:spacing w:val="5"/>
              </w:rPr>
              <w:t>30000</w:t>
            </w:r>
          </w:p>
        </w:tc>
        <w:tc>
          <w:tcPr>
            <w:tcW w:w="1569" w:type="dxa"/>
            <w:vAlign w:val="top"/>
          </w:tcPr>
          <w:p w14:paraId="5502EBBE">
            <w:pPr>
              <w:pStyle w:val="9"/>
              <w:spacing w:before="55" w:line="232" w:lineRule="auto"/>
              <w:ind w:left="132"/>
              <w:rPr>
                <w:rFonts w:ascii="Times New Roman" w:hAnsi="Times New Roman" w:eastAsia="Times New Roman" w:cs="Times New Roman"/>
                <w:color w:val="auto"/>
              </w:rPr>
            </w:pPr>
            <w:r>
              <w:rPr>
                <w:rFonts w:ascii="Times New Roman" w:hAnsi="Times New Roman" w:eastAsia="Times New Roman" w:cs="Times New Roman"/>
                <w:color w:val="auto"/>
                <w:spacing w:val="3"/>
              </w:rPr>
              <w:t>100</w:t>
            </w:r>
            <w:r>
              <w:rPr>
                <w:color w:val="auto"/>
                <w:spacing w:val="3"/>
              </w:rPr>
              <w:t>≤</w:t>
            </w:r>
            <w:r>
              <w:rPr>
                <w:rFonts w:ascii="Times New Roman" w:hAnsi="Times New Roman" w:eastAsia="Times New Roman" w:cs="Times New Roman"/>
                <w:color w:val="auto"/>
                <w:spacing w:val="3"/>
              </w:rPr>
              <w:t>Y</w:t>
            </w:r>
            <w:r>
              <w:rPr>
                <w:color w:val="auto"/>
                <w:spacing w:val="3"/>
              </w:rPr>
              <w:t>＜</w:t>
            </w:r>
            <w:r>
              <w:rPr>
                <w:rFonts w:ascii="Times New Roman" w:hAnsi="Times New Roman" w:eastAsia="Times New Roman" w:cs="Times New Roman"/>
                <w:color w:val="auto"/>
                <w:spacing w:val="3"/>
              </w:rPr>
              <w:t>2000</w:t>
            </w:r>
          </w:p>
        </w:tc>
        <w:tc>
          <w:tcPr>
            <w:tcW w:w="1013" w:type="dxa"/>
            <w:vAlign w:val="top"/>
          </w:tcPr>
          <w:p w14:paraId="4797E881">
            <w:pPr>
              <w:pStyle w:val="9"/>
              <w:spacing w:before="55" w:line="232" w:lineRule="auto"/>
              <w:ind w:left="110"/>
              <w:rPr>
                <w:rFonts w:ascii="Times New Roman" w:hAnsi="Times New Roman" w:eastAsia="Times New Roman" w:cs="Times New Roman"/>
                <w:color w:val="auto"/>
              </w:rPr>
            </w:pPr>
            <w:r>
              <w:rPr>
                <w:rFonts w:ascii="Times New Roman" w:hAnsi="Times New Roman" w:eastAsia="Times New Roman" w:cs="Times New Roman"/>
                <w:color w:val="auto"/>
                <w:spacing w:val="5"/>
              </w:rPr>
              <w:t>Y</w:t>
            </w:r>
            <w:r>
              <w:rPr>
                <w:color w:val="auto"/>
                <w:spacing w:val="5"/>
              </w:rPr>
              <w:t>＜</w:t>
            </w:r>
            <w:r>
              <w:rPr>
                <w:rFonts w:ascii="Times New Roman" w:hAnsi="Times New Roman" w:eastAsia="Times New Roman" w:cs="Times New Roman"/>
                <w:color w:val="auto"/>
                <w:spacing w:val="5"/>
              </w:rPr>
              <w:t>100</w:t>
            </w:r>
          </w:p>
        </w:tc>
      </w:tr>
      <w:tr w14:paraId="313A7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450" w:type="dxa"/>
            <w:vMerge w:val="restart"/>
            <w:tcBorders>
              <w:bottom w:val="nil"/>
            </w:tcBorders>
            <w:vAlign w:val="top"/>
          </w:tcPr>
          <w:p w14:paraId="39AF27A8">
            <w:pPr>
              <w:spacing w:line="309" w:lineRule="auto"/>
              <w:rPr>
                <w:rFonts w:ascii="Arial"/>
                <w:color w:val="auto"/>
                <w:sz w:val="21"/>
              </w:rPr>
            </w:pPr>
          </w:p>
          <w:p w14:paraId="1A876BD1">
            <w:pPr>
              <w:pStyle w:val="9"/>
              <w:spacing w:before="65" w:line="228" w:lineRule="auto"/>
              <w:ind w:left="415"/>
              <w:rPr>
                <w:color w:val="auto"/>
              </w:rPr>
            </w:pPr>
            <w:r>
              <w:rPr>
                <w:color w:val="auto"/>
                <w:spacing w:val="7"/>
              </w:rPr>
              <w:t>住宿业</w:t>
            </w:r>
          </w:p>
        </w:tc>
        <w:tc>
          <w:tcPr>
            <w:tcW w:w="1700" w:type="dxa"/>
            <w:vAlign w:val="top"/>
          </w:tcPr>
          <w:p w14:paraId="0A787691">
            <w:pPr>
              <w:pStyle w:val="9"/>
              <w:spacing w:before="55" w:line="228" w:lineRule="auto"/>
              <w:ind w:left="113"/>
              <w:rPr>
                <w:color w:val="auto"/>
              </w:rPr>
            </w:pPr>
            <w:r>
              <w:rPr>
                <w:color w:val="auto"/>
                <w:spacing w:val="6"/>
              </w:rPr>
              <w:t>从业人员（</w:t>
            </w:r>
            <w:r>
              <w:rPr>
                <w:rFonts w:ascii="Times New Roman" w:hAnsi="Times New Roman" w:eastAsia="Times New Roman" w:cs="Times New Roman"/>
                <w:color w:val="auto"/>
                <w:spacing w:val="6"/>
              </w:rPr>
              <w:t>X</w:t>
            </w:r>
            <w:r>
              <w:rPr>
                <w:color w:val="auto"/>
                <w:spacing w:val="6"/>
              </w:rPr>
              <w:t>）</w:t>
            </w:r>
          </w:p>
        </w:tc>
        <w:tc>
          <w:tcPr>
            <w:tcW w:w="1133" w:type="dxa"/>
            <w:vAlign w:val="top"/>
          </w:tcPr>
          <w:p w14:paraId="19558585">
            <w:pPr>
              <w:pStyle w:val="9"/>
              <w:spacing w:before="54" w:line="231" w:lineRule="auto"/>
              <w:ind w:left="114"/>
              <w:rPr>
                <w:color w:val="auto"/>
              </w:rPr>
            </w:pPr>
            <w:r>
              <w:rPr>
                <w:color w:val="auto"/>
              </w:rPr>
              <w:t>人</w:t>
            </w:r>
          </w:p>
        </w:tc>
        <w:tc>
          <w:tcPr>
            <w:tcW w:w="1845" w:type="dxa"/>
            <w:vAlign w:val="top"/>
          </w:tcPr>
          <w:p w14:paraId="04AFC41B">
            <w:pPr>
              <w:pStyle w:val="9"/>
              <w:spacing w:before="54" w:line="233" w:lineRule="auto"/>
              <w:ind w:left="129"/>
              <w:rPr>
                <w:rFonts w:ascii="Times New Roman" w:hAnsi="Times New Roman" w:eastAsia="Times New Roman" w:cs="Times New Roman"/>
                <w:color w:val="auto"/>
              </w:rPr>
            </w:pPr>
            <w:r>
              <w:rPr>
                <w:rFonts w:ascii="Times New Roman" w:hAnsi="Times New Roman" w:eastAsia="Times New Roman" w:cs="Times New Roman"/>
                <w:color w:val="auto"/>
                <w:spacing w:val="3"/>
              </w:rPr>
              <w:t>100</w:t>
            </w:r>
            <w:r>
              <w:rPr>
                <w:color w:val="auto"/>
                <w:spacing w:val="3"/>
              </w:rPr>
              <w:t>≤</w:t>
            </w:r>
            <w:r>
              <w:rPr>
                <w:rFonts w:ascii="Times New Roman" w:hAnsi="Times New Roman" w:eastAsia="Times New Roman" w:cs="Times New Roman"/>
                <w:color w:val="auto"/>
                <w:spacing w:val="3"/>
              </w:rPr>
              <w:t>X</w:t>
            </w:r>
            <w:r>
              <w:rPr>
                <w:color w:val="auto"/>
                <w:spacing w:val="3"/>
              </w:rPr>
              <w:t>＜</w:t>
            </w:r>
            <w:r>
              <w:rPr>
                <w:rFonts w:ascii="Times New Roman" w:hAnsi="Times New Roman" w:eastAsia="Times New Roman" w:cs="Times New Roman"/>
                <w:color w:val="auto"/>
                <w:spacing w:val="3"/>
              </w:rPr>
              <w:t>300</w:t>
            </w:r>
          </w:p>
        </w:tc>
        <w:tc>
          <w:tcPr>
            <w:tcW w:w="1569" w:type="dxa"/>
            <w:vAlign w:val="top"/>
          </w:tcPr>
          <w:p w14:paraId="1340C008">
            <w:pPr>
              <w:pStyle w:val="9"/>
              <w:spacing w:before="54" w:line="233" w:lineRule="auto"/>
              <w:ind w:left="132"/>
              <w:rPr>
                <w:rFonts w:ascii="Times New Roman" w:hAnsi="Times New Roman" w:eastAsia="Times New Roman" w:cs="Times New Roman"/>
                <w:color w:val="auto"/>
              </w:rPr>
            </w:pPr>
            <w:r>
              <w:rPr>
                <w:rFonts w:ascii="Times New Roman" w:hAnsi="Times New Roman" w:eastAsia="Times New Roman" w:cs="Times New Roman"/>
                <w:color w:val="auto"/>
                <w:spacing w:val="3"/>
              </w:rPr>
              <w:t>10</w:t>
            </w:r>
            <w:r>
              <w:rPr>
                <w:color w:val="auto"/>
                <w:spacing w:val="3"/>
              </w:rPr>
              <w:t>≤</w:t>
            </w:r>
            <w:r>
              <w:rPr>
                <w:rFonts w:ascii="Times New Roman" w:hAnsi="Times New Roman" w:eastAsia="Times New Roman" w:cs="Times New Roman"/>
                <w:color w:val="auto"/>
                <w:spacing w:val="3"/>
              </w:rPr>
              <w:t>X</w:t>
            </w:r>
            <w:r>
              <w:rPr>
                <w:color w:val="auto"/>
                <w:spacing w:val="3"/>
              </w:rPr>
              <w:t>＜</w:t>
            </w:r>
            <w:r>
              <w:rPr>
                <w:rFonts w:ascii="Times New Roman" w:hAnsi="Times New Roman" w:eastAsia="Times New Roman" w:cs="Times New Roman"/>
                <w:color w:val="auto"/>
                <w:spacing w:val="3"/>
              </w:rPr>
              <w:t>100</w:t>
            </w:r>
          </w:p>
        </w:tc>
        <w:tc>
          <w:tcPr>
            <w:tcW w:w="1013" w:type="dxa"/>
            <w:vAlign w:val="top"/>
          </w:tcPr>
          <w:p w14:paraId="11CA0183">
            <w:pPr>
              <w:pStyle w:val="9"/>
              <w:spacing w:before="54" w:line="233" w:lineRule="auto"/>
              <w:ind w:left="109"/>
              <w:rPr>
                <w:rFonts w:ascii="Times New Roman" w:hAnsi="Times New Roman" w:eastAsia="Times New Roman" w:cs="Times New Roman"/>
                <w:color w:val="auto"/>
              </w:rPr>
            </w:pPr>
            <w:r>
              <w:rPr>
                <w:rFonts w:ascii="Times New Roman" w:hAnsi="Times New Roman" w:eastAsia="Times New Roman" w:cs="Times New Roman"/>
                <w:color w:val="auto"/>
                <w:spacing w:val="6"/>
              </w:rPr>
              <w:t>X</w:t>
            </w:r>
            <w:r>
              <w:rPr>
                <w:color w:val="auto"/>
                <w:spacing w:val="6"/>
              </w:rPr>
              <w:t>＜</w:t>
            </w:r>
            <w:r>
              <w:rPr>
                <w:rFonts w:ascii="Times New Roman" w:hAnsi="Times New Roman" w:eastAsia="Times New Roman" w:cs="Times New Roman"/>
                <w:color w:val="auto"/>
                <w:spacing w:val="6"/>
              </w:rPr>
              <w:t>10</w:t>
            </w:r>
          </w:p>
        </w:tc>
      </w:tr>
      <w:tr w14:paraId="042BE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450" w:type="dxa"/>
            <w:vMerge w:val="continue"/>
            <w:tcBorders>
              <w:top w:val="nil"/>
            </w:tcBorders>
            <w:vAlign w:val="top"/>
          </w:tcPr>
          <w:p w14:paraId="62D05A7C">
            <w:pPr>
              <w:rPr>
                <w:rFonts w:ascii="Arial"/>
                <w:color w:val="auto"/>
                <w:sz w:val="21"/>
              </w:rPr>
            </w:pPr>
          </w:p>
        </w:tc>
        <w:tc>
          <w:tcPr>
            <w:tcW w:w="1700" w:type="dxa"/>
            <w:vAlign w:val="top"/>
          </w:tcPr>
          <w:p w14:paraId="7E9E28E5">
            <w:pPr>
              <w:pStyle w:val="9"/>
              <w:spacing w:before="54" w:line="228" w:lineRule="auto"/>
              <w:ind w:left="117"/>
              <w:rPr>
                <w:color w:val="auto"/>
              </w:rPr>
            </w:pPr>
            <w:r>
              <w:rPr>
                <w:color w:val="auto"/>
                <w:spacing w:val="6"/>
              </w:rPr>
              <w:t>营业收入（</w:t>
            </w:r>
            <w:r>
              <w:rPr>
                <w:rFonts w:ascii="Times New Roman" w:hAnsi="Times New Roman" w:eastAsia="Times New Roman" w:cs="Times New Roman"/>
                <w:color w:val="auto"/>
                <w:spacing w:val="6"/>
              </w:rPr>
              <w:t>Y</w:t>
            </w:r>
            <w:r>
              <w:rPr>
                <w:color w:val="auto"/>
                <w:spacing w:val="6"/>
              </w:rPr>
              <w:t>）</w:t>
            </w:r>
          </w:p>
        </w:tc>
        <w:tc>
          <w:tcPr>
            <w:tcW w:w="1133" w:type="dxa"/>
            <w:vAlign w:val="top"/>
          </w:tcPr>
          <w:p w14:paraId="0F903D0D">
            <w:pPr>
              <w:pStyle w:val="9"/>
              <w:spacing w:before="54" w:line="228" w:lineRule="auto"/>
              <w:ind w:left="117"/>
              <w:rPr>
                <w:color w:val="auto"/>
              </w:rPr>
            </w:pPr>
            <w:r>
              <w:rPr>
                <w:color w:val="auto"/>
                <w:spacing w:val="2"/>
              </w:rPr>
              <w:t>万元</w:t>
            </w:r>
          </w:p>
        </w:tc>
        <w:tc>
          <w:tcPr>
            <w:tcW w:w="1845" w:type="dxa"/>
            <w:vAlign w:val="top"/>
          </w:tcPr>
          <w:p w14:paraId="484DEAB8">
            <w:pPr>
              <w:pStyle w:val="9"/>
              <w:spacing w:before="54" w:line="233" w:lineRule="auto"/>
              <w:ind w:left="108"/>
              <w:rPr>
                <w:rFonts w:ascii="Times New Roman" w:hAnsi="Times New Roman" w:eastAsia="Times New Roman" w:cs="Times New Roman"/>
                <w:color w:val="auto"/>
              </w:rPr>
            </w:pPr>
            <w:r>
              <w:rPr>
                <w:rFonts w:ascii="Times New Roman" w:hAnsi="Times New Roman" w:eastAsia="Times New Roman" w:cs="Times New Roman"/>
                <w:color w:val="auto"/>
                <w:spacing w:val="5"/>
              </w:rPr>
              <w:t>2000</w:t>
            </w:r>
            <w:r>
              <w:rPr>
                <w:color w:val="auto"/>
                <w:spacing w:val="5"/>
              </w:rPr>
              <w:t>≤</w:t>
            </w:r>
            <w:r>
              <w:rPr>
                <w:rFonts w:ascii="Times New Roman" w:hAnsi="Times New Roman" w:eastAsia="Times New Roman" w:cs="Times New Roman"/>
                <w:color w:val="auto"/>
                <w:spacing w:val="5"/>
              </w:rPr>
              <w:t>Y</w:t>
            </w:r>
            <w:r>
              <w:rPr>
                <w:color w:val="auto"/>
                <w:spacing w:val="5"/>
              </w:rPr>
              <w:t>＜</w:t>
            </w:r>
            <w:r>
              <w:rPr>
                <w:rFonts w:ascii="Times New Roman" w:hAnsi="Times New Roman" w:eastAsia="Times New Roman" w:cs="Times New Roman"/>
                <w:color w:val="auto"/>
                <w:spacing w:val="5"/>
              </w:rPr>
              <w:t>10000</w:t>
            </w:r>
          </w:p>
        </w:tc>
        <w:tc>
          <w:tcPr>
            <w:tcW w:w="1569" w:type="dxa"/>
            <w:vAlign w:val="top"/>
          </w:tcPr>
          <w:p w14:paraId="22EF51C8">
            <w:pPr>
              <w:pStyle w:val="9"/>
              <w:spacing w:before="54" w:line="233" w:lineRule="auto"/>
              <w:ind w:left="132"/>
              <w:rPr>
                <w:rFonts w:ascii="Times New Roman" w:hAnsi="Times New Roman" w:eastAsia="Times New Roman" w:cs="Times New Roman"/>
                <w:color w:val="auto"/>
              </w:rPr>
            </w:pPr>
            <w:r>
              <w:rPr>
                <w:rFonts w:ascii="Times New Roman" w:hAnsi="Times New Roman" w:eastAsia="Times New Roman" w:cs="Times New Roman"/>
                <w:color w:val="auto"/>
                <w:spacing w:val="3"/>
              </w:rPr>
              <w:t>100</w:t>
            </w:r>
            <w:r>
              <w:rPr>
                <w:color w:val="auto"/>
                <w:spacing w:val="3"/>
              </w:rPr>
              <w:t>≤</w:t>
            </w:r>
            <w:r>
              <w:rPr>
                <w:rFonts w:ascii="Times New Roman" w:hAnsi="Times New Roman" w:eastAsia="Times New Roman" w:cs="Times New Roman"/>
                <w:color w:val="auto"/>
                <w:spacing w:val="3"/>
              </w:rPr>
              <w:t>Y</w:t>
            </w:r>
            <w:r>
              <w:rPr>
                <w:color w:val="auto"/>
                <w:spacing w:val="3"/>
              </w:rPr>
              <w:t>＜</w:t>
            </w:r>
            <w:r>
              <w:rPr>
                <w:rFonts w:ascii="Times New Roman" w:hAnsi="Times New Roman" w:eastAsia="Times New Roman" w:cs="Times New Roman"/>
                <w:color w:val="auto"/>
                <w:spacing w:val="3"/>
              </w:rPr>
              <w:t>2000</w:t>
            </w:r>
          </w:p>
        </w:tc>
        <w:tc>
          <w:tcPr>
            <w:tcW w:w="1013" w:type="dxa"/>
            <w:vAlign w:val="top"/>
          </w:tcPr>
          <w:p w14:paraId="60588106">
            <w:pPr>
              <w:pStyle w:val="9"/>
              <w:spacing w:before="54" w:line="233" w:lineRule="auto"/>
              <w:ind w:left="110"/>
              <w:rPr>
                <w:rFonts w:ascii="Times New Roman" w:hAnsi="Times New Roman" w:eastAsia="Times New Roman" w:cs="Times New Roman"/>
                <w:color w:val="auto"/>
              </w:rPr>
            </w:pPr>
            <w:r>
              <w:rPr>
                <w:rFonts w:ascii="Times New Roman" w:hAnsi="Times New Roman" w:eastAsia="Times New Roman" w:cs="Times New Roman"/>
                <w:color w:val="auto"/>
                <w:spacing w:val="5"/>
              </w:rPr>
              <w:t>Y</w:t>
            </w:r>
            <w:r>
              <w:rPr>
                <w:color w:val="auto"/>
                <w:spacing w:val="5"/>
              </w:rPr>
              <w:t>＜</w:t>
            </w:r>
            <w:r>
              <w:rPr>
                <w:rFonts w:ascii="Times New Roman" w:hAnsi="Times New Roman" w:eastAsia="Times New Roman" w:cs="Times New Roman"/>
                <w:color w:val="auto"/>
                <w:spacing w:val="5"/>
              </w:rPr>
              <w:t>100</w:t>
            </w:r>
          </w:p>
        </w:tc>
      </w:tr>
      <w:tr w14:paraId="4B562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450" w:type="dxa"/>
            <w:vMerge w:val="restart"/>
            <w:tcBorders>
              <w:bottom w:val="nil"/>
            </w:tcBorders>
            <w:vAlign w:val="top"/>
          </w:tcPr>
          <w:p w14:paraId="739A56C4">
            <w:pPr>
              <w:spacing w:line="310" w:lineRule="auto"/>
              <w:rPr>
                <w:rFonts w:ascii="Arial"/>
                <w:color w:val="auto"/>
                <w:sz w:val="21"/>
              </w:rPr>
            </w:pPr>
          </w:p>
          <w:p w14:paraId="649ADD58">
            <w:pPr>
              <w:pStyle w:val="9"/>
              <w:spacing w:before="65" w:line="228" w:lineRule="auto"/>
              <w:ind w:left="418"/>
              <w:rPr>
                <w:color w:val="auto"/>
              </w:rPr>
            </w:pPr>
            <w:r>
              <w:rPr>
                <w:color w:val="auto"/>
                <w:spacing w:val="6"/>
              </w:rPr>
              <w:t>餐饮业</w:t>
            </w:r>
          </w:p>
        </w:tc>
        <w:tc>
          <w:tcPr>
            <w:tcW w:w="1700" w:type="dxa"/>
            <w:vAlign w:val="top"/>
          </w:tcPr>
          <w:p w14:paraId="36C96114">
            <w:pPr>
              <w:pStyle w:val="9"/>
              <w:spacing w:before="56" w:line="228" w:lineRule="auto"/>
              <w:ind w:left="113"/>
              <w:rPr>
                <w:color w:val="auto"/>
              </w:rPr>
            </w:pPr>
            <w:r>
              <w:rPr>
                <w:color w:val="auto"/>
                <w:spacing w:val="6"/>
              </w:rPr>
              <w:t>从业人员（</w:t>
            </w:r>
            <w:r>
              <w:rPr>
                <w:rFonts w:ascii="Times New Roman" w:hAnsi="Times New Roman" w:eastAsia="Times New Roman" w:cs="Times New Roman"/>
                <w:color w:val="auto"/>
                <w:spacing w:val="6"/>
              </w:rPr>
              <w:t>X</w:t>
            </w:r>
            <w:r>
              <w:rPr>
                <w:color w:val="auto"/>
                <w:spacing w:val="6"/>
              </w:rPr>
              <w:t>）</w:t>
            </w:r>
          </w:p>
        </w:tc>
        <w:tc>
          <w:tcPr>
            <w:tcW w:w="1133" w:type="dxa"/>
            <w:vAlign w:val="top"/>
          </w:tcPr>
          <w:p w14:paraId="38A7B7E8">
            <w:pPr>
              <w:pStyle w:val="9"/>
              <w:spacing w:before="55" w:line="231" w:lineRule="auto"/>
              <w:ind w:left="114"/>
              <w:rPr>
                <w:color w:val="auto"/>
              </w:rPr>
            </w:pPr>
            <w:r>
              <w:rPr>
                <w:color w:val="auto"/>
              </w:rPr>
              <w:t>人</w:t>
            </w:r>
          </w:p>
        </w:tc>
        <w:tc>
          <w:tcPr>
            <w:tcW w:w="1845" w:type="dxa"/>
            <w:vAlign w:val="top"/>
          </w:tcPr>
          <w:p w14:paraId="7371FE12">
            <w:pPr>
              <w:pStyle w:val="9"/>
              <w:spacing w:before="56" w:line="231" w:lineRule="auto"/>
              <w:ind w:left="129"/>
              <w:rPr>
                <w:rFonts w:ascii="Times New Roman" w:hAnsi="Times New Roman" w:eastAsia="Times New Roman" w:cs="Times New Roman"/>
                <w:color w:val="auto"/>
              </w:rPr>
            </w:pPr>
            <w:r>
              <w:rPr>
                <w:rFonts w:ascii="Times New Roman" w:hAnsi="Times New Roman" w:eastAsia="Times New Roman" w:cs="Times New Roman"/>
                <w:color w:val="auto"/>
                <w:spacing w:val="3"/>
              </w:rPr>
              <w:t>100</w:t>
            </w:r>
            <w:r>
              <w:rPr>
                <w:color w:val="auto"/>
                <w:spacing w:val="3"/>
              </w:rPr>
              <w:t>≤</w:t>
            </w:r>
            <w:r>
              <w:rPr>
                <w:rFonts w:ascii="Times New Roman" w:hAnsi="Times New Roman" w:eastAsia="Times New Roman" w:cs="Times New Roman"/>
                <w:color w:val="auto"/>
                <w:spacing w:val="3"/>
              </w:rPr>
              <w:t>X</w:t>
            </w:r>
            <w:r>
              <w:rPr>
                <w:color w:val="auto"/>
                <w:spacing w:val="3"/>
              </w:rPr>
              <w:t>＜</w:t>
            </w:r>
            <w:r>
              <w:rPr>
                <w:rFonts w:ascii="Times New Roman" w:hAnsi="Times New Roman" w:eastAsia="Times New Roman" w:cs="Times New Roman"/>
                <w:color w:val="auto"/>
                <w:spacing w:val="3"/>
              </w:rPr>
              <w:t>300</w:t>
            </w:r>
          </w:p>
        </w:tc>
        <w:tc>
          <w:tcPr>
            <w:tcW w:w="1569" w:type="dxa"/>
            <w:vAlign w:val="top"/>
          </w:tcPr>
          <w:p w14:paraId="5199C3D2">
            <w:pPr>
              <w:pStyle w:val="9"/>
              <w:spacing w:before="56" w:line="231" w:lineRule="auto"/>
              <w:ind w:left="132"/>
              <w:rPr>
                <w:rFonts w:ascii="Times New Roman" w:hAnsi="Times New Roman" w:eastAsia="Times New Roman" w:cs="Times New Roman"/>
                <w:color w:val="auto"/>
              </w:rPr>
            </w:pPr>
            <w:r>
              <w:rPr>
                <w:rFonts w:ascii="Times New Roman" w:hAnsi="Times New Roman" w:eastAsia="Times New Roman" w:cs="Times New Roman"/>
                <w:color w:val="auto"/>
                <w:spacing w:val="3"/>
              </w:rPr>
              <w:t>10</w:t>
            </w:r>
            <w:r>
              <w:rPr>
                <w:color w:val="auto"/>
                <w:spacing w:val="3"/>
              </w:rPr>
              <w:t>≤</w:t>
            </w:r>
            <w:r>
              <w:rPr>
                <w:rFonts w:ascii="Times New Roman" w:hAnsi="Times New Roman" w:eastAsia="Times New Roman" w:cs="Times New Roman"/>
                <w:color w:val="auto"/>
                <w:spacing w:val="3"/>
              </w:rPr>
              <w:t>X</w:t>
            </w:r>
            <w:r>
              <w:rPr>
                <w:color w:val="auto"/>
                <w:spacing w:val="3"/>
              </w:rPr>
              <w:t>＜</w:t>
            </w:r>
            <w:r>
              <w:rPr>
                <w:rFonts w:ascii="Times New Roman" w:hAnsi="Times New Roman" w:eastAsia="Times New Roman" w:cs="Times New Roman"/>
                <w:color w:val="auto"/>
                <w:spacing w:val="3"/>
              </w:rPr>
              <w:t>100</w:t>
            </w:r>
          </w:p>
        </w:tc>
        <w:tc>
          <w:tcPr>
            <w:tcW w:w="1013" w:type="dxa"/>
            <w:vAlign w:val="top"/>
          </w:tcPr>
          <w:p w14:paraId="5743B07A">
            <w:pPr>
              <w:pStyle w:val="9"/>
              <w:spacing w:before="56" w:line="231" w:lineRule="auto"/>
              <w:ind w:left="109"/>
              <w:rPr>
                <w:rFonts w:ascii="Times New Roman" w:hAnsi="Times New Roman" w:eastAsia="Times New Roman" w:cs="Times New Roman"/>
                <w:color w:val="auto"/>
              </w:rPr>
            </w:pPr>
            <w:r>
              <w:rPr>
                <w:rFonts w:ascii="Times New Roman" w:hAnsi="Times New Roman" w:eastAsia="Times New Roman" w:cs="Times New Roman"/>
                <w:color w:val="auto"/>
                <w:spacing w:val="6"/>
              </w:rPr>
              <w:t>X</w:t>
            </w:r>
            <w:r>
              <w:rPr>
                <w:color w:val="auto"/>
                <w:spacing w:val="6"/>
              </w:rPr>
              <w:t>＜</w:t>
            </w:r>
            <w:r>
              <w:rPr>
                <w:rFonts w:ascii="Times New Roman" w:hAnsi="Times New Roman" w:eastAsia="Times New Roman" w:cs="Times New Roman"/>
                <w:color w:val="auto"/>
                <w:spacing w:val="6"/>
              </w:rPr>
              <w:t>10</w:t>
            </w:r>
          </w:p>
        </w:tc>
      </w:tr>
      <w:tr w14:paraId="5162E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450" w:type="dxa"/>
            <w:vMerge w:val="continue"/>
            <w:tcBorders>
              <w:top w:val="nil"/>
            </w:tcBorders>
            <w:vAlign w:val="top"/>
          </w:tcPr>
          <w:p w14:paraId="4D71319A">
            <w:pPr>
              <w:rPr>
                <w:rFonts w:ascii="Arial"/>
                <w:color w:val="auto"/>
                <w:sz w:val="21"/>
              </w:rPr>
            </w:pPr>
          </w:p>
        </w:tc>
        <w:tc>
          <w:tcPr>
            <w:tcW w:w="1700" w:type="dxa"/>
            <w:vAlign w:val="top"/>
          </w:tcPr>
          <w:p w14:paraId="7D7BD55A">
            <w:pPr>
              <w:pStyle w:val="9"/>
              <w:spacing w:before="55" w:line="228" w:lineRule="auto"/>
              <w:ind w:left="117"/>
              <w:rPr>
                <w:color w:val="auto"/>
              </w:rPr>
            </w:pPr>
            <w:r>
              <w:rPr>
                <w:color w:val="auto"/>
                <w:spacing w:val="6"/>
              </w:rPr>
              <w:t>营业收入（</w:t>
            </w:r>
            <w:r>
              <w:rPr>
                <w:rFonts w:ascii="Times New Roman" w:hAnsi="Times New Roman" w:eastAsia="Times New Roman" w:cs="Times New Roman"/>
                <w:color w:val="auto"/>
                <w:spacing w:val="6"/>
              </w:rPr>
              <w:t>Y</w:t>
            </w:r>
            <w:r>
              <w:rPr>
                <w:color w:val="auto"/>
                <w:spacing w:val="6"/>
              </w:rPr>
              <w:t>）</w:t>
            </w:r>
          </w:p>
        </w:tc>
        <w:tc>
          <w:tcPr>
            <w:tcW w:w="1133" w:type="dxa"/>
            <w:vAlign w:val="top"/>
          </w:tcPr>
          <w:p w14:paraId="6934CD62">
            <w:pPr>
              <w:pStyle w:val="9"/>
              <w:spacing w:before="56" w:line="228" w:lineRule="auto"/>
              <w:ind w:left="117"/>
              <w:rPr>
                <w:color w:val="auto"/>
              </w:rPr>
            </w:pPr>
            <w:r>
              <w:rPr>
                <w:color w:val="auto"/>
                <w:spacing w:val="2"/>
              </w:rPr>
              <w:t>万元</w:t>
            </w:r>
          </w:p>
        </w:tc>
        <w:tc>
          <w:tcPr>
            <w:tcW w:w="1845" w:type="dxa"/>
            <w:vAlign w:val="top"/>
          </w:tcPr>
          <w:p w14:paraId="44FEFC90">
            <w:pPr>
              <w:pStyle w:val="9"/>
              <w:spacing w:before="55" w:line="232" w:lineRule="auto"/>
              <w:ind w:left="108"/>
              <w:rPr>
                <w:rFonts w:ascii="Times New Roman" w:hAnsi="Times New Roman" w:eastAsia="Times New Roman" w:cs="Times New Roman"/>
                <w:color w:val="auto"/>
              </w:rPr>
            </w:pPr>
            <w:r>
              <w:rPr>
                <w:rFonts w:ascii="Times New Roman" w:hAnsi="Times New Roman" w:eastAsia="Times New Roman" w:cs="Times New Roman"/>
                <w:color w:val="auto"/>
                <w:spacing w:val="5"/>
              </w:rPr>
              <w:t>2000</w:t>
            </w:r>
            <w:r>
              <w:rPr>
                <w:color w:val="auto"/>
                <w:spacing w:val="5"/>
              </w:rPr>
              <w:t>≤</w:t>
            </w:r>
            <w:r>
              <w:rPr>
                <w:rFonts w:ascii="Times New Roman" w:hAnsi="Times New Roman" w:eastAsia="Times New Roman" w:cs="Times New Roman"/>
                <w:color w:val="auto"/>
                <w:spacing w:val="5"/>
              </w:rPr>
              <w:t>Y</w:t>
            </w:r>
            <w:r>
              <w:rPr>
                <w:color w:val="auto"/>
                <w:spacing w:val="5"/>
              </w:rPr>
              <w:t>＜</w:t>
            </w:r>
            <w:r>
              <w:rPr>
                <w:rFonts w:ascii="Times New Roman" w:hAnsi="Times New Roman" w:eastAsia="Times New Roman" w:cs="Times New Roman"/>
                <w:color w:val="auto"/>
                <w:spacing w:val="5"/>
              </w:rPr>
              <w:t>10000</w:t>
            </w:r>
          </w:p>
        </w:tc>
        <w:tc>
          <w:tcPr>
            <w:tcW w:w="1569" w:type="dxa"/>
            <w:vAlign w:val="top"/>
          </w:tcPr>
          <w:p w14:paraId="2EF9DA31">
            <w:pPr>
              <w:pStyle w:val="9"/>
              <w:spacing w:before="55" w:line="232" w:lineRule="auto"/>
              <w:ind w:left="132"/>
              <w:rPr>
                <w:rFonts w:ascii="Times New Roman" w:hAnsi="Times New Roman" w:eastAsia="Times New Roman" w:cs="Times New Roman"/>
                <w:color w:val="auto"/>
              </w:rPr>
            </w:pPr>
            <w:r>
              <w:rPr>
                <w:rFonts w:ascii="Times New Roman" w:hAnsi="Times New Roman" w:eastAsia="Times New Roman" w:cs="Times New Roman"/>
                <w:color w:val="auto"/>
                <w:spacing w:val="3"/>
              </w:rPr>
              <w:t>100</w:t>
            </w:r>
            <w:r>
              <w:rPr>
                <w:color w:val="auto"/>
                <w:spacing w:val="3"/>
              </w:rPr>
              <w:t>≤</w:t>
            </w:r>
            <w:r>
              <w:rPr>
                <w:rFonts w:ascii="Times New Roman" w:hAnsi="Times New Roman" w:eastAsia="Times New Roman" w:cs="Times New Roman"/>
                <w:color w:val="auto"/>
                <w:spacing w:val="3"/>
              </w:rPr>
              <w:t>Y</w:t>
            </w:r>
            <w:r>
              <w:rPr>
                <w:color w:val="auto"/>
                <w:spacing w:val="3"/>
              </w:rPr>
              <w:t>＜</w:t>
            </w:r>
            <w:r>
              <w:rPr>
                <w:rFonts w:ascii="Times New Roman" w:hAnsi="Times New Roman" w:eastAsia="Times New Roman" w:cs="Times New Roman"/>
                <w:color w:val="auto"/>
                <w:spacing w:val="3"/>
              </w:rPr>
              <w:t>2000</w:t>
            </w:r>
          </w:p>
        </w:tc>
        <w:tc>
          <w:tcPr>
            <w:tcW w:w="1013" w:type="dxa"/>
            <w:vAlign w:val="top"/>
          </w:tcPr>
          <w:p w14:paraId="4F2D4707">
            <w:pPr>
              <w:pStyle w:val="9"/>
              <w:spacing w:before="55" w:line="232" w:lineRule="auto"/>
              <w:ind w:left="110"/>
              <w:rPr>
                <w:rFonts w:ascii="Times New Roman" w:hAnsi="Times New Roman" w:eastAsia="Times New Roman" w:cs="Times New Roman"/>
                <w:color w:val="auto"/>
              </w:rPr>
            </w:pPr>
            <w:r>
              <w:rPr>
                <w:rFonts w:ascii="Times New Roman" w:hAnsi="Times New Roman" w:eastAsia="Times New Roman" w:cs="Times New Roman"/>
                <w:color w:val="auto"/>
                <w:spacing w:val="5"/>
              </w:rPr>
              <w:t>Y</w:t>
            </w:r>
            <w:r>
              <w:rPr>
                <w:color w:val="auto"/>
                <w:spacing w:val="5"/>
              </w:rPr>
              <w:t>＜</w:t>
            </w:r>
            <w:r>
              <w:rPr>
                <w:rFonts w:ascii="Times New Roman" w:hAnsi="Times New Roman" w:eastAsia="Times New Roman" w:cs="Times New Roman"/>
                <w:color w:val="auto"/>
                <w:spacing w:val="5"/>
              </w:rPr>
              <w:t>100</w:t>
            </w:r>
          </w:p>
        </w:tc>
      </w:tr>
      <w:tr w14:paraId="23EDF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450" w:type="dxa"/>
            <w:vMerge w:val="restart"/>
            <w:tcBorders>
              <w:bottom w:val="nil"/>
            </w:tcBorders>
            <w:vAlign w:val="top"/>
          </w:tcPr>
          <w:p w14:paraId="284B1D66">
            <w:pPr>
              <w:spacing w:line="310" w:lineRule="auto"/>
              <w:rPr>
                <w:rFonts w:ascii="Arial"/>
                <w:color w:val="auto"/>
                <w:sz w:val="21"/>
              </w:rPr>
            </w:pPr>
          </w:p>
          <w:p w14:paraId="6DA7B36C">
            <w:pPr>
              <w:pStyle w:val="9"/>
              <w:spacing w:before="65" w:line="227" w:lineRule="auto"/>
              <w:ind w:left="205"/>
              <w:rPr>
                <w:color w:val="auto"/>
              </w:rPr>
            </w:pPr>
            <w:r>
              <w:rPr>
                <w:color w:val="auto"/>
                <w:spacing w:val="8"/>
              </w:rPr>
              <w:t>信息传输业</w:t>
            </w:r>
          </w:p>
        </w:tc>
        <w:tc>
          <w:tcPr>
            <w:tcW w:w="1700" w:type="dxa"/>
            <w:vAlign w:val="top"/>
          </w:tcPr>
          <w:p w14:paraId="4497BCF7">
            <w:pPr>
              <w:pStyle w:val="9"/>
              <w:spacing w:before="56" w:line="228" w:lineRule="auto"/>
              <w:ind w:left="113"/>
              <w:rPr>
                <w:color w:val="auto"/>
              </w:rPr>
            </w:pPr>
            <w:r>
              <w:rPr>
                <w:color w:val="auto"/>
                <w:spacing w:val="6"/>
              </w:rPr>
              <w:t>从业人员（</w:t>
            </w:r>
            <w:r>
              <w:rPr>
                <w:rFonts w:ascii="Times New Roman" w:hAnsi="Times New Roman" w:eastAsia="Times New Roman" w:cs="Times New Roman"/>
                <w:color w:val="auto"/>
                <w:spacing w:val="6"/>
              </w:rPr>
              <w:t>X</w:t>
            </w:r>
            <w:r>
              <w:rPr>
                <w:color w:val="auto"/>
                <w:spacing w:val="6"/>
              </w:rPr>
              <w:t>）</w:t>
            </w:r>
          </w:p>
        </w:tc>
        <w:tc>
          <w:tcPr>
            <w:tcW w:w="1133" w:type="dxa"/>
            <w:vAlign w:val="top"/>
          </w:tcPr>
          <w:p w14:paraId="5939E29F">
            <w:pPr>
              <w:pStyle w:val="9"/>
              <w:spacing w:before="55" w:line="231" w:lineRule="auto"/>
              <w:ind w:left="114"/>
              <w:rPr>
                <w:color w:val="auto"/>
              </w:rPr>
            </w:pPr>
            <w:r>
              <w:rPr>
                <w:color w:val="auto"/>
              </w:rPr>
              <w:t>人</w:t>
            </w:r>
          </w:p>
        </w:tc>
        <w:tc>
          <w:tcPr>
            <w:tcW w:w="1845" w:type="dxa"/>
            <w:vAlign w:val="top"/>
          </w:tcPr>
          <w:p w14:paraId="038C9FB8">
            <w:pPr>
              <w:pStyle w:val="9"/>
              <w:spacing w:before="55" w:line="232" w:lineRule="auto"/>
              <w:ind w:left="129"/>
              <w:rPr>
                <w:rFonts w:ascii="Times New Roman" w:hAnsi="Times New Roman" w:eastAsia="Times New Roman" w:cs="Times New Roman"/>
                <w:color w:val="auto"/>
              </w:rPr>
            </w:pPr>
            <w:r>
              <w:rPr>
                <w:rFonts w:ascii="Times New Roman" w:hAnsi="Times New Roman" w:eastAsia="Times New Roman" w:cs="Times New Roman"/>
                <w:color w:val="auto"/>
                <w:spacing w:val="3"/>
              </w:rPr>
              <w:t>100</w:t>
            </w:r>
            <w:r>
              <w:rPr>
                <w:color w:val="auto"/>
                <w:spacing w:val="3"/>
              </w:rPr>
              <w:t>≤</w:t>
            </w:r>
            <w:r>
              <w:rPr>
                <w:rFonts w:ascii="Times New Roman" w:hAnsi="Times New Roman" w:eastAsia="Times New Roman" w:cs="Times New Roman"/>
                <w:color w:val="auto"/>
                <w:spacing w:val="3"/>
              </w:rPr>
              <w:t>X</w:t>
            </w:r>
            <w:r>
              <w:rPr>
                <w:color w:val="auto"/>
                <w:spacing w:val="3"/>
              </w:rPr>
              <w:t>＜</w:t>
            </w:r>
            <w:r>
              <w:rPr>
                <w:rFonts w:ascii="Times New Roman" w:hAnsi="Times New Roman" w:eastAsia="Times New Roman" w:cs="Times New Roman"/>
                <w:color w:val="auto"/>
                <w:spacing w:val="3"/>
              </w:rPr>
              <w:t>2000</w:t>
            </w:r>
          </w:p>
        </w:tc>
        <w:tc>
          <w:tcPr>
            <w:tcW w:w="1569" w:type="dxa"/>
            <w:vAlign w:val="top"/>
          </w:tcPr>
          <w:p w14:paraId="438E2492">
            <w:pPr>
              <w:pStyle w:val="9"/>
              <w:spacing w:before="55" w:line="232" w:lineRule="auto"/>
              <w:ind w:left="132"/>
              <w:rPr>
                <w:rFonts w:ascii="Times New Roman" w:hAnsi="Times New Roman" w:eastAsia="Times New Roman" w:cs="Times New Roman"/>
                <w:color w:val="auto"/>
              </w:rPr>
            </w:pPr>
            <w:r>
              <w:rPr>
                <w:rFonts w:ascii="Times New Roman" w:hAnsi="Times New Roman" w:eastAsia="Times New Roman" w:cs="Times New Roman"/>
                <w:color w:val="auto"/>
                <w:spacing w:val="3"/>
              </w:rPr>
              <w:t>10</w:t>
            </w:r>
            <w:r>
              <w:rPr>
                <w:color w:val="auto"/>
                <w:spacing w:val="3"/>
              </w:rPr>
              <w:t>≤</w:t>
            </w:r>
            <w:r>
              <w:rPr>
                <w:rFonts w:ascii="Times New Roman" w:hAnsi="Times New Roman" w:eastAsia="Times New Roman" w:cs="Times New Roman"/>
                <w:color w:val="auto"/>
                <w:spacing w:val="3"/>
              </w:rPr>
              <w:t>X</w:t>
            </w:r>
            <w:r>
              <w:rPr>
                <w:color w:val="auto"/>
                <w:spacing w:val="3"/>
              </w:rPr>
              <w:t>＜</w:t>
            </w:r>
            <w:r>
              <w:rPr>
                <w:rFonts w:ascii="Times New Roman" w:hAnsi="Times New Roman" w:eastAsia="Times New Roman" w:cs="Times New Roman"/>
                <w:color w:val="auto"/>
                <w:spacing w:val="3"/>
              </w:rPr>
              <w:t>100</w:t>
            </w:r>
          </w:p>
        </w:tc>
        <w:tc>
          <w:tcPr>
            <w:tcW w:w="1013" w:type="dxa"/>
            <w:vAlign w:val="top"/>
          </w:tcPr>
          <w:p w14:paraId="446FBB6F">
            <w:pPr>
              <w:pStyle w:val="9"/>
              <w:spacing w:before="55" w:line="232" w:lineRule="auto"/>
              <w:ind w:left="109"/>
              <w:rPr>
                <w:rFonts w:ascii="Times New Roman" w:hAnsi="Times New Roman" w:eastAsia="Times New Roman" w:cs="Times New Roman"/>
                <w:color w:val="auto"/>
              </w:rPr>
            </w:pPr>
            <w:r>
              <w:rPr>
                <w:rFonts w:ascii="Times New Roman" w:hAnsi="Times New Roman" w:eastAsia="Times New Roman" w:cs="Times New Roman"/>
                <w:color w:val="auto"/>
                <w:spacing w:val="6"/>
              </w:rPr>
              <w:t>X</w:t>
            </w:r>
            <w:r>
              <w:rPr>
                <w:color w:val="auto"/>
                <w:spacing w:val="6"/>
              </w:rPr>
              <w:t>＜</w:t>
            </w:r>
            <w:r>
              <w:rPr>
                <w:rFonts w:ascii="Times New Roman" w:hAnsi="Times New Roman" w:eastAsia="Times New Roman" w:cs="Times New Roman"/>
                <w:color w:val="auto"/>
                <w:spacing w:val="6"/>
              </w:rPr>
              <w:t>10</w:t>
            </w:r>
          </w:p>
        </w:tc>
      </w:tr>
      <w:tr w14:paraId="2F092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450" w:type="dxa"/>
            <w:vMerge w:val="continue"/>
            <w:tcBorders>
              <w:top w:val="nil"/>
            </w:tcBorders>
            <w:vAlign w:val="top"/>
          </w:tcPr>
          <w:p w14:paraId="38408183">
            <w:pPr>
              <w:rPr>
                <w:rFonts w:ascii="Arial"/>
                <w:color w:val="auto"/>
                <w:sz w:val="21"/>
              </w:rPr>
            </w:pPr>
          </w:p>
        </w:tc>
        <w:tc>
          <w:tcPr>
            <w:tcW w:w="1700" w:type="dxa"/>
            <w:vAlign w:val="top"/>
          </w:tcPr>
          <w:p w14:paraId="5996715D">
            <w:pPr>
              <w:pStyle w:val="9"/>
              <w:spacing w:before="54" w:line="228" w:lineRule="auto"/>
              <w:ind w:left="117"/>
              <w:rPr>
                <w:color w:val="auto"/>
              </w:rPr>
            </w:pPr>
            <w:r>
              <w:rPr>
                <w:color w:val="auto"/>
                <w:spacing w:val="6"/>
              </w:rPr>
              <w:t>营业收入（</w:t>
            </w:r>
            <w:r>
              <w:rPr>
                <w:rFonts w:ascii="Times New Roman" w:hAnsi="Times New Roman" w:eastAsia="Times New Roman" w:cs="Times New Roman"/>
                <w:color w:val="auto"/>
                <w:spacing w:val="6"/>
              </w:rPr>
              <w:t>Y</w:t>
            </w:r>
            <w:r>
              <w:rPr>
                <w:color w:val="auto"/>
                <w:spacing w:val="6"/>
              </w:rPr>
              <w:t>）</w:t>
            </w:r>
          </w:p>
        </w:tc>
        <w:tc>
          <w:tcPr>
            <w:tcW w:w="1133" w:type="dxa"/>
            <w:vAlign w:val="top"/>
          </w:tcPr>
          <w:p w14:paraId="38B5DFF0">
            <w:pPr>
              <w:pStyle w:val="9"/>
              <w:spacing w:before="55" w:line="228" w:lineRule="auto"/>
              <w:ind w:left="117"/>
              <w:rPr>
                <w:color w:val="auto"/>
              </w:rPr>
            </w:pPr>
            <w:r>
              <w:rPr>
                <w:color w:val="auto"/>
                <w:spacing w:val="2"/>
              </w:rPr>
              <w:t>万元</w:t>
            </w:r>
          </w:p>
        </w:tc>
        <w:tc>
          <w:tcPr>
            <w:tcW w:w="1845" w:type="dxa"/>
            <w:vAlign w:val="top"/>
          </w:tcPr>
          <w:p w14:paraId="00AE16D6">
            <w:pPr>
              <w:pStyle w:val="9"/>
              <w:spacing w:before="55" w:line="232" w:lineRule="auto"/>
              <w:ind w:left="129"/>
              <w:rPr>
                <w:rFonts w:ascii="Times New Roman" w:hAnsi="Times New Roman" w:eastAsia="Times New Roman" w:cs="Times New Roman"/>
                <w:color w:val="auto"/>
              </w:rPr>
            </w:pPr>
            <w:r>
              <w:rPr>
                <w:rFonts w:ascii="Times New Roman" w:hAnsi="Times New Roman" w:eastAsia="Times New Roman" w:cs="Times New Roman"/>
                <w:color w:val="auto"/>
                <w:spacing w:val="4"/>
              </w:rPr>
              <w:t>1000</w:t>
            </w:r>
            <w:r>
              <w:rPr>
                <w:color w:val="auto"/>
                <w:spacing w:val="4"/>
              </w:rPr>
              <w:t>≤</w:t>
            </w:r>
            <w:r>
              <w:rPr>
                <w:rFonts w:ascii="Times New Roman" w:hAnsi="Times New Roman" w:eastAsia="Times New Roman" w:cs="Times New Roman"/>
                <w:color w:val="auto"/>
                <w:spacing w:val="4"/>
              </w:rPr>
              <w:t>Y</w:t>
            </w:r>
            <w:r>
              <w:rPr>
                <w:color w:val="auto"/>
                <w:spacing w:val="4"/>
              </w:rPr>
              <w:t>＜</w:t>
            </w:r>
            <w:r>
              <w:rPr>
                <w:rFonts w:ascii="Times New Roman" w:hAnsi="Times New Roman" w:eastAsia="Times New Roman" w:cs="Times New Roman"/>
                <w:color w:val="auto"/>
                <w:spacing w:val="4"/>
              </w:rPr>
              <w:t>100000</w:t>
            </w:r>
          </w:p>
        </w:tc>
        <w:tc>
          <w:tcPr>
            <w:tcW w:w="1569" w:type="dxa"/>
            <w:vAlign w:val="top"/>
          </w:tcPr>
          <w:p w14:paraId="0A19522F">
            <w:pPr>
              <w:pStyle w:val="9"/>
              <w:spacing w:before="55" w:line="232" w:lineRule="auto"/>
              <w:ind w:left="132"/>
              <w:rPr>
                <w:rFonts w:ascii="Times New Roman" w:hAnsi="Times New Roman" w:eastAsia="Times New Roman" w:cs="Times New Roman"/>
                <w:color w:val="auto"/>
              </w:rPr>
            </w:pPr>
            <w:r>
              <w:rPr>
                <w:rFonts w:ascii="Times New Roman" w:hAnsi="Times New Roman" w:eastAsia="Times New Roman" w:cs="Times New Roman"/>
                <w:color w:val="auto"/>
                <w:spacing w:val="3"/>
              </w:rPr>
              <w:t>100</w:t>
            </w:r>
            <w:r>
              <w:rPr>
                <w:color w:val="auto"/>
                <w:spacing w:val="3"/>
              </w:rPr>
              <w:t>≤</w:t>
            </w:r>
            <w:r>
              <w:rPr>
                <w:rFonts w:ascii="Times New Roman" w:hAnsi="Times New Roman" w:eastAsia="Times New Roman" w:cs="Times New Roman"/>
                <w:color w:val="auto"/>
                <w:spacing w:val="3"/>
              </w:rPr>
              <w:t>Y</w:t>
            </w:r>
            <w:r>
              <w:rPr>
                <w:color w:val="auto"/>
                <w:spacing w:val="3"/>
              </w:rPr>
              <w:t>＜</w:t>
            </w:r>
            <w:r>
              <w:rPr>
                <w:rFonts w:ascii="Times New Roman" w:hAnsi="Times New Roman" w:eastAsia="Times New Roman" w:cs="Times New Roman"/>
                <w:color w:val="auto"/>
                <w:spacing w:val="3"/>
              </w:rPr>
              <w:t>1000</w:t>
            </w:r>
          </w:p>
        </w:tc>
        <w:tc>
          <w:tcPr>
            <w:tcW w:w="1013" w:type="dxa"/>
            <w:vAlign w:val="top"/>
          </w:tcPr>
          <w:p w14:paraId="2C45602A">
            <w:pPr>
              <w:pStyle w:val="9"/>
              <w:spacing w:before="55" w:line="232" w:lineRule="auto"/>
              <w:ind w:left="110"/>
              <w:rPr>
                <w:rFonts w:ascii="Times New Roman" w:hAnsi="Times New Roman" w:eastAsia="Times New Roman" w:cs="Times New Roman"/>
                <w:color w:val="auto"/>
              </w:rPr>
            </w:pPr>
            <w:r>
              <w:rPr>
                <w:rFonts w:ascii="Times New Roman" w:hAnsi="Times New Roman" w:eastAsia="Times New Roman" w:cs="Times New Roman"/>
                <w:color w:val="auto"/>
                <w:spacing w:val="5"/>
              </w:rPr>
              <w:t>Y</w:t>
            </w:r>
            <w:r>
              <w:rPr>
                <w:color w:val="auto"/>
                <w:spacing w:val="5"/>
              </w:rPr>
              <w:t>＜</w:t>
            </w:r>
            <w:r>
              <w:rPr>
                <w:rFonts w:ascii="Times New Roman" w:hAnsi="Times New Roman" w:eastAsia="Times New Roman" w:cs="Times New Roman"/>
                <w:color w:val="auto"/>
                <w:spacing w:val="5"/>
              </w:rPr>
              <w:t>100</w:t>
            </w:r>
          </w:p>
        </w:tc>
      </w:tr>
      <w:tr w14:paraId="3B953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450" w:type="dxa"/>
            <w:vMerge w:val="restart"/>
            <w:tcBorders>
              <w:bottom w:val="nil"/>
            </w:tcBorders>
            <w:vAlign w:val="top"/>
          </w:tcPr>
          <w:p w14:paraId="416F3AB6">
            <w:pPr>
              <w:pStyle w:val="9"/>
              <w:spacing w:before="64" w:line="228" w:lineRule="auto"/>
              <w:ind w:left="207"/>
              <w:rPr>
                <w:color w:val="auto"/>
              </w:rPr>
            </w:pPr>
            <w:r>
              <w:rPr>
                <w:color w:val="auto"/>
                <w:spacing w:val="7"/>
              </w:rPr>
              <w:t>软件和信息</w:t>
            </w:r>
          </w:p>
          <w:p w14:paraId="603A86BA">
            <w:pPr>
              <w:pStyle w:val="9"/>
              <w:spacing w:before="64" w:line="228" w:lineRule="auto"/>
              <w:ind w:left="206"/>
              <w:rPr>
                <w:color w:val="auto"/>
              </w:rPr>
            </w:pPr>
            <w:r>
              <w:rPr>
                <w:color w:val="auto"/>
                <w:spacing w:val="7"/>
              </w:rPr>
              <w:t>技术服务业</w:t>
            </w:r>
          </w:p>
        </w:tc>
        <w:tc>
          <w:tcPr>
            <w:tcW w:w="1700" w:type="dxa"/>
            <w:vAlign w:val="top"/>
          </w:tcPr>
          <w:p w14:paraId="4B3129F4">
            <w:pPr>
              <w:pStyle w:val="9"/>
              <w:spacing w:before="55" w:line="228" w:lineRule="auto"/>
              <w:ind w:left="113"/>
              <w:rPr>
                <w:color w:val="auto"/>
              </w:rPr>
            </w:pPr>
            <w:r>
              <w:rPr>
                <w:color w:val="auto"/>
                <w:spacing w:val="6"/>
              </w:rPr>
              <w:t>从业人员（</w:t>
            </w:r>
            <w:r>
              <w:rPr>
                <w:rFonts w:ascii="Times New Roman" w:hAnsi="Times New Roman" w:eastAsia="Times New Roman" w:cs="Times New Roman"/>
                <w:color w:val="auto"/>
                <w:spacing w:val="6"/>
              </w:rPr>
              <w:t>X</w:t>
            </w:r>
            <w:r>
              <w:rPr>
                <w:color w:val="auto"/>
                <w:spacing w:val="6"/>
              </w:rPr>
              <w:t>）</w:t>
            </w:r>
          </w:p>
        </w:tc>
        <w:tc>
          <w:tcPr>
            <w:tcW w:w="1133" w:type="dxa"/>
            <w:vAlign w:val="top"/>
          </w:tcPr>
          <w:p w14:paraId="2694B1CC">
            <w:pPr>
              <w:pStyle w:val="9"/>
              <w:spacing w:before="54" w:line="231" w:lineRule="auto"/>
              <w:ind w:left="114"/>
              <w:rPr>
                <w:color w:val="auto"/>
              </w:rPr>
            </w:pPr>
            <w:r>
              <w:rPr>
                <w:color w:val="auto"/>
              </w:rPr>
              <w:t>人</w:t>
            </w:r>
          </w:p>
        </w:tc>
        <w:tc>
          <w:tcPr>
            <w:tcW w:w="1845" w:type="dxa"/>
            <w:vAlign w:val="top"/>
          </w:tcPr>
          <w:p w14:paraId="56C288B3">
            <w:pPr>
              <w:pStyle w:val="9"/>
              <w:spacing w:before="54" w:line="233" w:lineRule="auto"/>
              <w:ind w:left="129"/>
              <w:rPr>
                <w:rFonts w:ascii="Times New Roman" w:hAnsi="Times New Roman" w:eastAsia="Times New Roman" w:cs="Times New Roman"/>
                <w:color w:val="auto"/>
              </w:rPr>
            </w:pPr>
            <w:r>
              <w:rPr>
                <w:rFonts w:ascii="Times New Roman" w:hAnsi="Times New Roman" w:eastAsia="Times New Roman" w:cs="Times New Roman"/>
                <w:color w:val="auto"/>
                <w:spacing w:val="3"/>
              </w:rPr>
              <w:t>100</w:t>
            </w:r>
            <w:r>
              <w:rPr>
                <w:color w:val="auto"/>
                <w:spacing w:val="3"/>
              </w:rPr>
              <w:t>≤</w:t>
            </w:r>
            <w:r>
              <w:rPr>
                <w:rFonts w:ascii="Times New Roman" w:hAnsi="Times New Roman" w:eastAsia="Times New Roman" w:cs="Times New Roman"/>
                <w:color w:val="auto"/>
                <w:spacing w:val="3"/>
              </w:rPr>
              <w:t>X</w:t>
            </w:r>
            <w:r>
              <w:rPr>
                <w:color w:val="auto"/>
                <w:spacing w:val="3"/>
              </w:rPr>
              <w:t>＜</w:t>
            </w:r>
            <w:r>
              <w:rPr>
                <w:rFonts w:ascii="Times New Roman" w:hAnsi="Times New Roman" w:eastAsia="Times New Roman" w:cs="Times New Roman"/>
                <w:color w:val="auto"/>
                <w:spacing w:val="3"/>
              </w:rPr>
              <w:t>300</w:t>
            </w:r>
          </w:p>
        </w:tc>
        <w:tc>
          <w:tcPr>
            <w:tcW w:w="1569" w:type="dxa"/>
            <w:vAlign w:val="top"/>
          </w:tcPr>
          <w:p w14:paraId="7B4B1A80">
            <w:pPr>
              <w:pStyle w:val="9"/>
              <w:spacing w:before="54" w:line="233" w:lineRule="auto"/>
              <w:ind w:left="132"/>
              <w:rPr>
                <w:rFonts w:ascii="Times New Roman" w:hAnsi="Times New Roman" w:eastAsia="Times New Roman" w:cs="Times New Roman"/>
                <w:color w:val="auto"/>
              </w:rPr>
            </w:pPr>
            <w:r>
              <w:rPr>
                <w:rFonts w:ascii="Times New Roman" w:hAnsi="Times New Roman" w:eastAsia="Times New Roman" w:cs="Times New Roman"/>
                <w:color w:val="auto"/>
                <w:spacing w:val="3"/>
              </w:rPr>
              <w:t>10</w:t>
            </w:r>
            <w:r>
              <w:rPr>
                <w:color w:val="auto"/>
                <w:spacing w:val="3"/>
              </w:rPr>
              <w:t>≤</w:t>
            </w:r>
            <w:r>
              <w:rPr>
                <w:rFonts w:ascii="Times New Roman" w:hAnsi="Times New Roman" w:eastAsia="Times New Roman" w:cs="Times New Roman"/>
                <w:color w:val="auto"/>
                <w:spacing w:val="3"/>
              </w:rPr>
              <w:t>X</w:t>
            </w:r>
            <w:r>
              <w:rPr>
                <w:color w:val="auto"/>
                <w:spacing w:val="3"/>
              </w:rPr>
              <w:t>＜</w:t>
            </w:r>
            <w:r>
              <w:rPr>
                <w:rFonts w:ascii="Times New Roman" w:hAnsi="Times New Roman" w:eastAsia="Times New Roman" w:cs="Times New Roman"/>
                <w:color w:val="auto"/>
                <w:spacing w:val="3"/>
              </w:rPr>
              <w:t>100</w:t>
            </w:r>
          </w:p>
        </w:tc>
        <w:tc>
          <w:tcPr>
            <w:tcW w:w="1013" w:type="dxa"/>
            <w:vAlign w:val="top"/>
          </w:tcPr>
          <w:p w14:paraId="0FBB598C">
            <w:pPr>
              <w:pStyle w:val="9"/>
              <w:spacing w:before="54" w:line="233" w:lineRule="auto"/>
              <w:ind w:left="109"/>
              <w:rPr>
                <w:rFonts w:ascii="Times New Roman" w:hAnsi="Times New Roman" w:eastAsia="Times New Roman" w:cs="Times New Roman"/>
                <w:color w:val="auto"/>
              </w:rPr>
            </w:pPr>
            <w:r>
              <w:rPr>
                <w:rFonts w:ascii="Times New Roman" w:hAnsi="Times New Roman" w:eastAsia="Times New Roman" w:cs="Times New Roman"/>
                <w:color w:val="auto"/>
                <w:spacing w:val="6"/>
              </w:rPr>
              <w:t>X</w:t>
            </w:r>
            <w:r>
              <w:rPr>
                <w:color w:val="auto"/>
                <w:spacing w:val="6"/>
              </w:rPr>
              <w:t>＜</w:t>
            </w:r>
            <w:r>
              <w:rPr>
                <w:rFonts w:ascii="Times New Roman" w:hAnsi="Times New Roman" w:eastAsia="Times New Roman" w:cs="Times New Roman"/>
                <w:color w:val="auto"/>
                <w:spacing w:val="6"/>
              </w:rPr>
              <w:t>10</w:t>
            </w:r>
          </w:p>
        </w:tc>
      </w:tr>
      <w:tr w14:paraId="3D7D2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450" w:type="dxa"/>
            <w:vMerge w:val="continue"/>
            <w:tcBorders>
              <w:top w:val="nil"/>
            </w:tcBorders>
            <w:vAlign w:val="top"/>
          </w:tcPr>
          <w:p w14:paraId="087AE29C">
            <w:pPr>
              <w:rPr>
                <w:rFonts w:ascii="Arial"/>
                <w:color w:val="auto"/>
                <w:sz w:val="21"/>
              </w:rPr>
            </w:pPr>
          </w:p>
        </w:tc>
        <w:tc>
          <w:tcPr>
            <w:tcW w:w="1700" w:type="dxa"/>
            <w:vAlign w:val="top"/>
          </w:tcPr>
          <w:p w14:paraId="3221AD6B">
            <w:pPr>
              <w:pStyle w:val="9"/>
              <w:spacing w:before="54" w:line="228" w:lineRule="auto"/>
              <w:ind w:left="117"/>
              <w:rPr>
                <w:color w:val="auto"/>
              </w:rPr>
            </w:pPr>
            <w:r>
              <w:rPr>
                <w:color w:val="auto"/>
                <w:spacing w:val="6"/>
              </w:rPr>
              <w:t>营业收入（</w:t>
            </w:r>
            <w:r>
              <w:rPr>
                <w:rFonts w:ascii="Times New Roman" w:hAnsi="Times New Roman" w:eastAsia="Times New Roman" w:cs="Times New Roman"/>
                <w:color w:val="auto"/>
                <w:spacing w:val="6"/>
              </w:rPr>
              <w:t>Y</w:t>
            </w:r>
            <w:r>
              <w:rPr>
                <w:color w:val="auto"/>
                <w:spacing w:val="6"/>
              </w:rPr>
              <w:t>）</w:t>
            </w:r>
          </w:p>
        </w:tc>
        <w:tc>
          <w:tcPr>
            <w:tcW w:w="1133" w:type="dxa"/>
            <w:vAlign w:val="top"/>
          </w:tcPr>
          <w:p w14:paraId="500B5F2E">
            <w:pPr>
              <w:pStyle w:val="9"/>
              <w:spacing w:before="54" w:line="228" w:lineRule="auto"/>
              <w:ind w:left="117"/>
              <w:rPr>
                <w:color w:val="auto"/>
              </w:rPr>
            </w:pPr>
            <w:r>
              <w:rPr>
                <w:color w:val="auto"/>
                <w:spacing w:val="2"/>
              </w:rPr>
              <w:t>万元</w:t>
            </w:r>
          </w:p>
        </w:tc>
        <w:tc>
          <w:tcPr>
            <w:tcW w:w="1845" w:type="dxa"/>
            <w:vAlign w:val="top"/>
          </w:tcPr>
          <w:p w14:paraId="61C459C6">
            <w:pPr>
              <w:pStyle w:val="9"/>
              <w:spacing w:before="54" w:line="233" w:lineRule="auto"/>
              <w:ind w:left="129"/>
              <w:rPr>
                <w:rFonts w:ascii="Times New Roman" w:hAnsi="Times New Roman" w:eastAsia="Times New Roman" w:cs="Times New Roman"/>
                <w:color w:val="auto"/>
              </w:rPr>
            </w:pPr>
            <w:r>
              <w:rPr>
                <w:rFonts w:ascii="Times New Roman" w:hAnsi="Times New Roman" w:eastAsia="Times New Roman" w:cs="Times New Roman"/>
                <w:color w:val="auto"/>
                <w:spacing w:val="3"/>
              </w:rPr>
              <w:t>1000</w:t>
            </w:r>
            <w:r>
              <w:rPr>
                <w:color w:val="auto"/>
                <w:spacing w:val="3"/>
              </w:rPr>
              <w:t>≤</w:t>
            </w:r>
            <w:r>
              <w:rPr>
                <w:rFonts w:ascii="Times New Roman" w:hAnsi="Times New Roman" w:eastAsia="Times New Roman" w:cs="Times New Roman"/>
                <w:color w:val="auto"/>
                <w:spacing w:val="3"/>
              </w:rPr>
              <w:t>Y</w:t>
            </w:r>
            <w:r>
              <w:rPr>
                <w:color w:val="auto"/>
                <w:spacing w:val="3"/>
              </w:rPr>
              <w:t>＜</w:t>
            </w:r>
            <w:r>
              <w:rPr>
                <w:rFonts w:ascii="Times New Roman" w:hAnsi="Times New Roman" w:eastAsia="Times New Roman" w:cs="Times New Roman"/>
                <w:color w:val="auto"/>
                <w:spacing w:val="3"/>
              </w:rPr>
              <w:t>10000</w:t>
            </w:r>
          </w:p>
        </w:tc>
        <w:tc>
          <w:tcPr>
            <w:tcW w:w="1569" w:type="dxa"/>
            <w:vAlign w:val="top"/>
          </w:tcPr>
          <w:p w14:paraId="099089A1">
            <w:pPr>
              <w:pStyle w:val="9"/>
              <w:spacing w:before="54" w:line="233" w:lineRule="auto"/>
              <w:ind w:left="117"/>
              <w:rPr>
                <w:rFonts w:ascii="Times New Roman" w:hAnsi="Times New Roman" w:eastAsia="Times New Roman" w:cs="Times New Roman"/>
                <w:color w:val="auto"/>
              </w:rPr>
            </w:pPr>
            <w:r>
              <w:rPr>
                <w:rFonts w:ascii="Times New Roman" w:hAnsi="Times New Roman" w:eastAsia="Times New Roman" w:cs="Times New Roman"/>
                <w:color w:val="auto"/>
                <w:spacing w:val="5"/>
              </w:rPr>
              <w:t>50</w:t>
            </w:r>
            <w:r>
              <w:rPr>
                <w:color w:val="auto"/>
                <w:spacing w:val="5"/>
              </w:rPr>
              <w:t>≤</w:t>
            </w:r>
            <w:r>
              <w:rPr>
                <w:rFonts w:ascii="Times New Roman" w:hAnsi="Times New Roman" w:eastAsia="Times New Roman" w:cs="Times New Roman"/>
                <w:color w:val="auto"/>
                <w:spacing w:val="5"/>
              </w:rPr>
              <w:t>Y</w:t>
            </w:r>
            <w:r>
              <w:rPr>
                <w:color w:val="auto"/>
                <w:spacing w:val="5"/>
              </w:rPr>
              <w:t>＜</w:t>
            </w:r>
            <w:r>
              <w:rPr>
                <w:rFonts w:ascii="Times New Roman" w:hAnsi="Times New Roman" w:eastAsia="Times New Roman" w:cs="Times New Roman"/>
                <w:color w:val="auto"/>
                <w:spacing w:val="5"/>
              </w:rPr>
              <w:t>1000</w:t>
            </w:r>
          </w:p>
        </w:tc>
        <w:tc>
          <w:tcPr>
            <w:tcW w:w="1013" w:type="dxa"/>
            <w:vAlign w:val="top"/>
          </w:tcPr>
          <w:p w14:paraId="643980DA">
            <w:pPr>
              <w:pStyle w:val="9"/>
              <w:spacing w:before="54" w:line="233" w:lineRule="auto"/>
              <w:ind w:left="110"/>
              <w:rPr>
                <w:rFonts w:ascii="Times New Roman" w:hAnsi="Times New Roman" w:eastAsia="Times New Roman" w:cs="Times New Roman"/>
                <w:color w:val="auto"/>
              </w:rPr>
            </w:pPr>
            <w:r>
              <w:rPr>
                <w:rFonts w:ascii="Times New Roman" w:hAnsi="Times New Roman" w:eastAsia="Times New Roman" w:cs="Times New Roman"/>
                <w:color w:val="auto"/>
                <w:spacing w:val="5"/>
              </w:rPr>
              <w:t>Y</w:t>
            </w:r>
            <w:r>
              <w:rPr>
                <w:color w:val="auto"/>
                <w:spacing w:val="5"/>
              </w:rPr>
              <w:t>＜</w:t>
            </w:r>
            <w:r>
              <w:rPr>
                <w:rFonts w:ascii="Times New Roman" w:hAnsi="Times New Roman" w:eastAsia="Times New Roman" w:cs="Times New Roman"/>
                <w:color w:val="auto"/>
                <w:spacing w:val="5"/>
              </w:rPr>
              <w:t>50</w:t>
            </w:r>
          </w:p>
        </w:tc>
      </w:tr>
      <w:tr w14:paraId="57702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450" w:type="dxa"/>
            <w:vMerge w:val="restart"/>
            <w:tcBorders>
              <w:bottom w:val="nil"/>
            </w:tcBorders>
            <w:vAlign w:val="top"/>
          </w:tcPr>
          <w:p w14:paraId="63BED3DE">
            <w:pPr>
              <w:spacing w:line="311" w:lineRule="auto"/>
              <w:rPr>
                <w:rFonts w:ascii="Arial"/>
                <w:color w:val="auto"/>
                <w:sz w:val="21"/>
              </w:rPr>
            </w:pPr>
          </w:p>
          <w:p w14:paraId="120F7871">
            <w:pPr>
              <w:pStyle w:val="9"/>
              <w:spacing w:before="65" w:line="259" w:lineRule="auto"/>
              <w:ind w:left="521" w:right="198" w:hanging="315"/>
              <w:rPr>
                <w:color w:val="auto"/>
              </w:rPr>
            </w:pPr>
            <w:r>
              <w:rPr>
                <w:color w:val="auto"/>
                <w:spacing w:val="7"/>
              </w:rPr>
              <w:t>房地产开发</w:t>
            </w:r>
            <w:r>
              <w:rPr>
                <w:color w:val="auto"/>
                <w:spacing w:val="3"/>
              </w:rPr>
              <w:t>经营</w:t>
            </w:r>
          </w:p>
        </w:tc>
        <w:tc>
          <w:tcPr>
            <w:tcW w:w="1700" w:type="dxa"/>
            <w:vAlign w:val="top"/>
          </w:tcPr>
          <w:p w14:paraId="24AEAEDE">
            <w:pPr>
              <w:pStyle w:val="9"/>
              <w:spacing w:before="56" w:line="228" w:lineRule="auto"/>
              <w:ind w:left="117"/>
              <w:rPr>
                <w:color w:val="auto"/>
              </w:rPr>
            </w:pPr>
            <w:r>
              <w:rPr>
                <w:color w:val="auto"/>
                <w:spacing w:val="6"/>
              </w:rPr>
              <w:t>营业收入（</w:t>
            </w:r>
            <w:r>
              <w:rPr>
                <w:rFonts w:ascii="Times New Roman" w:hAnsi="Times New Roman" w:eastAsia="Times New Roman" w:cs="Times New Roman"/>
                <w:color w:val="auto"/>
                <w:spacing w:val="6"/>
              </w:rPr>
              <w:t>Y</w:t>
            </w:r>
            <w:r>
              <w:rPr>
                <w:color w:val="auto"/>
                <w:spacing w:val="6"/>
              </w:rPr>
              <w:t>）</w:t>
            </w:r>
          </w:p>
        </w:tc>
        <w:tc>
          <w:tcPr>
            <w:tcW w:w="1133" w:type="dxa"/>
            <w:vAlign w:val="top"/>
          </w:tcPr>
          <w:p w14:paraId="697A58AB">
            <w:pPr>
              <w:pStyle w:val="9"/>
              <w:spacing w:before="56" w:line="228" w:lineRule="auto"/>
              <w:ind w:left="117"/>
              <w:rPr>
                <w:color w:val="auto"/>
              </w:rPr>
            </w:pPr>
            <w:r>
              <w:rPr>
                <w:color w:val="auto"/>
                <w:spacing w:val="2"/>
              </w:rPr>
              <w:t>万元</w:t>
            </w:r>
          </w:p>
        </w:tc>
        <w:tc>
          <w:tcPr>
            <w:tcW w:w="1845" w:type="dxa"/>
            <w:vAlign w:val="top"/>
          </w:tcPr>
          <w:p w14:paraId="0FDE3B74">
            <w:pPr>
              <w:pStyle w:val="9"/>
              <w:spacing w:before="56" w:line="231" w:lineRule="auto"/>
              <w:ind w:left="129"/>
              <w:rPr>
                <w:rFonts w:ascii="Times New Roman" w:hAnsi="Times New Roman" w:eastAsia="Times New Roman" w:cs="Times New Roman"/>
                <w:color w:val="auto"/>
              </w:rPr>
            </w:pPr>
            <w:r>
              <w:rPr>
                <w:rFonts w:ascii="Times New Roman" w:hAnsi="Times New Roman" w:eastAsia="Times New Roman" w:cs="Times New Roman"/>
                <w:color w:val="auto"/>
                <w:spacing w:val="4"/>
              </w:rPr>
              <w:t>1000</w:t>
            </w:r>
            <w:r>
              <w:rPr>
                <w:color w:val="auto"/>
                <w:spacing w:val="4"/>
              </w:rPr>
              <w:t>≤</w:t>
            </w:r>
            <w:r>
              <w:rPr>
                <w:rFonts w:ascii="Times New Roman" w:hAnsi="Times New Roman" w:eastAsia="Times New Roman" w:cs="Times New Roman"/>
                <w:color w:val="auto"/>
                <w:spacing w:val="4"/>
              </w:rPr>
              <w:t>Y</w:t>
            </w:r>
            <w:r>
              <w:rPr>
                <w:color w:val="auto"/>
                <w:spacing w:val="4"/>
              </w:rPr>
              <w:t>＜</w:t>
            </w:r>
            <w:r>
              <w:rPr>
                <w:rFonts w:ascii="Times New Roman" w:hAnsi="Times New Roman" w:eastAsia="Times New Roman" w:cs="Times New Roman"/>
                <w:color w:val="auto"/>
                <w:spacing w:val="4"/>
              </w:rPr>
              <w:t>200000</w:t>
            </w:r>
          </w:p>
        </w:tc>
        <w:tc>
          <w:tcPr>
            <w:tcW w:w="1569" w:type="dxa"/>
            <w:vAlign w:val="top"/>
          </w:tcPr>
          <w:p w14:paraId="34F8AA40">
            <w:pPr>
              <w:pStyle w:val="9"/>
              <w:spacing w:before="56" w:line="231" w:lineRule="auto"/>
              <w:ind w:left="132"/>
              <w:rPr>
                <w:rFonts w:ascii="Times New Roman" w:hAnsi="Times New Roman" w:eastAsia="Times New Roman" w:cs="Times New Roman"/>
                <w:color w:val="auto"/>
              </w:rPr>
            </w:pPr>
            <w:r>
              <w:rPr>
                <w:rFonts w:ascii="Times New Roman" w:hAnsi="Times New Roman" w:eastAsia="Times New Roman" w:cs="Times New Roman"/>
                <w:color w:val="auto"/>
                <w:spacing w:val="3"/>
              </w:rPr>
              <w:t>100</w:t>
            </w:r>
            <w:r>
              <w:rPr>
                <w:color w:val="auto"/>
                <w:spacing w:val="3"/>
              </w:rPr>
              <w:t>≤</w:t>
            </w:r>
            <w:r>
              <w:rPr>
                <w:rFonts w:ascii="Times New Roman" w:hAnsi="Times New Roman" w:eastAsia="Times New Roman" w:cs="Times New Roman"/>
                <w:color w:val="auto"/>
                <w:spacing w:val="3"/>
              </w:rPr>
              <w:t>X</w:t>
            </w:r>
            <w:r>
              <w:rPr>
                <w:color w:val="auto"/>
                <w:spacing w:val="3"/>
              </w:rPr>
              <w:t>＜</w:t>
            </w:r>
            <w:r>
              <w:rPr>
                <w:rFonts w:ascii="Times New Roman" w:hAnsi="Times New Roman" w:eastAsia="Times New Roman" w:cs="Times New Roman"/>
                <w:color w:val="auto"/>
                <w:spacing w:val="3"/>
              </w:rPr>
              <w:t>1000</w:t>
            </w:r>
          </w:p>
        </w:tc>
        <w:tc>
          <w:tcPr>
            <w:tcW w:w="1013" w:type="dxa"/>
            <w:vAlign w:val="top"/>
          </w:tcPr>
          <w:p w14:paraId="018C65C0">
            <w:pPr>
              <w:pStyle w:val="9"/>
              <w:spacing w:before="56" w:line="231" w:lineRule="auto"/>
              <w:ind w:left="109"/>
              <w:rPr>
                <w:rFonts w:ascii="Times New Roman" w:hAnsi="Times New Roman" w:eastAsia="Times New Roman" w:cs="Times New Roman"/>
                <w:color w:val="auto"/>
              </w:rPr>
            </w:pPr>
            <w:r>
              <w:rPr>
                <w:rFonts w:ascii="Times New Roman" w:hAnsi="Times New Roman" w:eastAsia="Times New Roman" w:cs="Times New Roman"/>
                <w:color w:val="auto"/>
                <w:spacing w:val="5"/>
              </w:rPr>
              <w:t>X</w:t>
            </w:r>
            <w:r>
              <w:rPr>
                <w:color w:val="auto"/>
                <w:spacing w:val="5"/>
              </w:rPr>
              <w:t>＜</w:t>
            </w:r>
            <w:r>
              <w:rPr>
                <w:rFonts w:ascii="Times New Roman" w:hAnsi="Times New Roman" w:eastAsia="Times New Roman" w:cs="Times New Roman"/>
                <w:color w:val="auto"/>
                <w:spacing w:val="5"/>
              </w:rPr>
              <w:t>100</w:t>
            </w:r>
          </w:p>
        </w:tc>
      </w:tr>
      <w:tr w14:paraId="6B9B4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50" w:type="dxa"/>
            <w:vMerge w:val="continue"/>
            <w:tcBorders>
              <w:top w:val="nil"/>
            </w:tcBorders>
            <w:vAlign w:val="top"/>
          </w:tcPr>
          <w:p w14:paraId="58D27495">
            <w:pPr>
              <w:rPr>
                <w:rFonts w:ascii="Arial"/>
                <w:color w:val="auto"/>
                <w:sz w:val="21"/>
              </w:rPr>
            </w:pPr>
          </w:p>
        </w:tc>
        <w:tc>
          <w:tcPr>
            <w:tcW w:w="1700" w:type="dxa"/>
            <w:vAlign w:val="top"/>
          </w:tcPr>
          <w:p w14:paraId="35458938">
            <w:pPr>
              <w:pStyle w:val="9"/>
              <w:spacing w:before="211" w:line="228" w:lineRule="auto"/>
              <w:ind w:left="120"/>
              <w:rPr>
                <w:color w:val="auto"/>
              </w:rPr>
            </w:pPr>
            <w:r>
              <w:rPr>
                <w:color w:val="auto"/>
                <w:spacing w:val="5"/>
              </w:rPr>
              <w:t>资产总额（</w:t>
            </w:r>
            <w:r>
              <w:rPr>
                <w:rFonts w:ascii="Times New Roman" w:hAnsi="Times New Roman" w:eastAsia="Times New Roman" w:cs="Times New Roman"/>
                <w:color w:val="auto"/>
                <w:spacing w:val="5"/>
              </w:rPr>
              <w:t>Z</w:t>
            </w:r>
            <w:r>
              <w:rPr>
                <w:color w:val="auto"/>
                <w:spacing w:val="5"/>
              </w:rPr>
              <w:t>）</w:t>
            </w:r>
          </w:p>
        </w:tc>
        <w:tc>
          <w:tcPr>
            <w:tcW w:w="1133" w:type="dxa"/>
            <w:vAlign w:val="top"/>
          </w:tcPr>
          <w:p w14:paraId="71DC556A">
            <w:pPr>
              <w:pStyle w:val="9"/>
              <w:spacing w:before="212" w:line="228" w:lineRule="auto"/>
              <w:ind w:left="117"/>
              <w:rPr>
                <w:color w:val="auto"/>
              </w:rPr>
            </w:pPr>
            <w:r>
              <w:rPr>
                <w:color w:val="auto"/>
                <w:spacing w:val="2"/>
              </w:rPr>
              <w:t>万元</w:t>
            </w:r>
          </w:p>
        </w:tc>
        <w:tc>
          <w:tcPr>
            <w:tcW w:w="1845" w:type="dxa"/>
            <w:vAlign w:val="top"/>
          </w:tcPr>
          <w:p w14:paraId="716CA2F8">
            <w:pPr>
              <w:pStyle w:val="9"/>
              <w:spacing w:before="212" w:line="264" w:lineRule="exact"/>
              <w:ind w:left="114"/>
              <w:rPr>
                <w:rFonts w:ascii="Times New Roman" w:hAnsi="Times New Roman" w:eastAsia="Times New Roman" w:cs="Times New Roman"/>
                <w:color w:val="auto"/>
              </w:rPr>
            </w:pPr>
            <w:r>
              <w:rPr>
                <w:rFonts w:ascii="Times New Roman" w:hAnsi="Times New Roman" w:eastAsia="Times New Roman" w:cs="Times New Roman"/>
                <w:color w:val="auto"/>
                <w:spacing w:val="5"/>
                <w:position w:val="1"/>
              </w:rPr>
              <w:t>5000</w:t>
            </w:r>
            <w:r>
              <w:rPr>
                <w:color w:val="auto"/>
                <w:spacing w:val="5"/>
                <w:position w:val="1"/>
              </w:rPr>
              <w:t>≤</w:t>
            </w:r>
            <w:r>
              <w:rPr>
                <w:rFonts w:ascii="Times New Roman" w:hAnsi="Times New Roman" w:eastAsia="Times New Roman" w:cs="Times New Roman"/>
                <w:color w:val="auto"/>
                <w:spacing w:val="5"/>
                <w:position w:val="1"/>
              </w:rPr>
              <w:t>Z</w:t>
            </w:r>
            <w:r>
              <w:rPr>
                <w:color w:val="auto"/>
                <w:spacing w:val="5"/>
                <w:position w:val="1"/>
              </w:rPr>
              <w:t>＜</w:t>
            </w:r>
            <w:r>
              <w:rPr>
                <w:rFonts w:ascii="Times New Roman" w:hAnsi="Times New Roman" w:eastAsia="Times New Roman" w:cs="Times New Roman"/>
                <w:color w:val="auto"/>
                <w:spacing w:val="5"/>
                <w:position w:val="1"/>
              </w:rPr>
              <w:t>10000</w:t>
            </w:r>
          </w:p>
        </w:tc>
        <w:tc>
          <w:tcPr>
            <w:tcW w:w="1569" w:type="dxa"/>
            <w:vAlign w:val="top"/>
          </w:tcPr>
          <w:p w14:paraId="0CC6ED9A">
            <w:pPr>
              <w:pStyle w:val="9"/>
              <w:spacing w:before="56" w:line="275" w:lineRule="auto"/>
              <w:ind w:left="116" w:right="492" w:hanging="5"/>
              <w:rPr>
                <w:rFonts w:ascii="Times New Roman" w:hAnsi="Times New Roman" w:eastAsia="Times New Roman" w:cs="Times New Roman"/>
                <w:color w:val="auto"/>
              </w:rPr>
            </w:pPr>
            <w:r>
              <w:rPr>
                <w:rFonts w:ascii="Times New Roman" w:hAnsi="Times New Roman" w:eastAsia="Times New Roman" w:cs="Times New Roman"/>
                <w:color w:val="auto"/>
                <w:spacing w:val="16"/>
              </w:rPr>
              <w:t>2000</w:t>
            </w:r>
            <w:r>
              <w:rPr>
                <w:color w:val="auto"/>
                <w:spacing w:val="16"/>
              </w:rPr>
              <w:t>≤</w:t>
            </w:r>
            <w:r>
              <w:rPr>
                <w:rFonts w:ascii="Times New Roman" w:hAnsi="Times New Roman" w:eastAsia="Times New Roman" w:cs="Times New Roman"/>
                <w:color w:val="auto"/>
                <w:spacing w:val="16"/>
              </w:rPr>
              <w:t>Y</w:t>
            </w:r>
            <w:r>
              <w:rPr>
                <w:color w:val="auto"/>
                <w:spacing w:val="16"/>
              </w:rPr>
              <w:t>&lt;</w:t>
            </w:r>
            <w:r>
              <w:rPr>
                <w:color w:val="auto"/>
                <w:spacing w:val="1"/>
              </w:rPr>
              <w:t xml:space="preserve"> </w:t>
            </w:r>
            <w:r>
              <w:rPr>
                <w:rFonts w:ascii="Times New Roman" w:hAnsi="Times New Roman" w:eastAsia="Times New Roman" w:cs="Times New Roman"/>
                <w:color w:val="auto"/>
                <w:spacing w:val="2"/>
              </w:rPr>
              <w:t>5000</w:t>
            </w:r>
          </w:p>
        </w:tc>
        <w:tc>
          <w:tcPr>
            <w:tcW w:w="1013" w:type="dxa"/>
            <w:vAlign w:val="top"/>
          </w:tcPr>
          <w:p w14:paraId="10760C3A">
            <w:pPr>
              <w:pStyle w:val="9"/>
              <w:spacing w:before="212" w:line="264" w:lineRule="exact"/>
              <w:ind w:left="110"/>
              <w:rPr>
                <w:rFonts w:ascii="Times New Roman" w:hAnsi="Times New Roman" w:eastAsia="Times New Roman" w:cs="Times New Roman"/>
                <w:color w:val="auto"/>
              </w:rPr>
            </w:pPr>
            <w:r>
              <w:rPr>
                <w:rFonts w:ascii="Times New Roman" w:hAnsi="Times New Roman" w:eastAsia="Times New Roman" w:cs="Times New Roman"/>
                <w:color w:val="auto"/>
                <w:spacing w:val="5"/>
                <w:position w:val="1"/>
              </w:rPr>
              <w:t>Y</w:t>
            </w:r>
            <w:r>
              <w:rPr>
                <w:color w:val="auto"/>
                <w:spacing w:val="5"/>
                <w:position w:val="1"/>
              </w:rPr>
              <w:t>＜</w:t>
            </w:r>
            <w:r>
              <w:rPr>
                <w:rFonts w:ascii="Times New Roman" w:hAnsi="Times New Roman" w:eastAsia="Times New Roman" w:cs="Times New Roman"/>
                <w:color w:val="auto"/>
                <w:spacing w:val="5"/>
                <w:position w:val="1"/>
              </w:rPr>
              <w:t>2000</w:t>
            </w:r>
          </w:p>
        </w:tc>
      </w:tr>
      <w:tr w14:paraId="2B8A2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450" w:type="dxa"/>
            <w:vMerge w:val="restart"/>
            <w:tcBorders>
              <w:bottom w:val="nil"/>
            </w:tcBorders>
            <w:vAlign w:val="top"/>
          </w:tcPr>
          <w:p w14:paraId="1652BE40">
            <w:pPr>
              <w:spacing w:line="310" w:lineRule="auto"/>
              <w:rPr>
                <w:rFonts w:ascii="Arial"/>
                <w:color w:val="auto"/>
                <w:sz w:val="21"/>
              </w:rPr>
            </w:pPr>
          </w:p>
          <w:p w14:paraId="76BA4A01">
            <w:pPr>
              <w:pStyle w:val="9"/>
              <w:spacing w:before="65" w:line="228" w:lineRule="auto"/>
              <w:ind w:left="310"/>
              <w:rPr>
                <w:color w:val="auto"/>
              </w:rPr>
            </w:pPr>
            <w:r>
              <w:rPr>
                <w:color w:val="auto"/>
                <w:spacing w:val="7"/>
              </w:rPr>
              <w:t>物业管理</w:t>
            </w:r>
          </w:p>
        </w:tc>
        <w:tc>
          <w:tcPr>
            <w:tcW w:w="1700" w:type="dxa"/>
            <w:vAlign w:val="top"/>
          </w:tcPr>
          <w:p w14:paraId="24A0B513">
            <w:pPr>
              <w:pStyle w:val="9"/>
              <w:spacing w:before="57" w:line="228" w:lineRule="auto"/>
              <w:ind w:left="113"/>
              <w:rPr>
                <w:color w:val="auto"/>
              </w:rPr>
            </w:pPr>
            <w:r>
              <w:rPr>
                <w:color w:val="auto"/>
                <w:spacing w:val="6"/>
              </w:rPr>
              <w:t>从业人员（</w:t>
            </w:r>
            <w:r>
              <w:rPr>
                <w:rFonts w:ascii="Times New Roman" w:hAnsi="Times New Roman" w:eastAsia="Times New Roman" w:cs="Times New Roman"/>
                <w:color w:val="auto"/>
                <w:spacing w:val="6"/>
              </w:rPr>
              <w:t>X</w:t>
            </w:r>
            <w:r>
              <w:rPr>
                <w:color w:val="auto"/>
                <w:spacing w:val="6"/>
              </w:rPr>
              <w:t>）</w:t>
            </w:r>
          </w:p>
        </w:tc>
        <w:tc>
          <w:tcPr>
            <w:tcW w:w="1133" w:type="dxa"/>
            <w:vAlign w:val="top"/>
          </w:tcPr>
          <w:p w14:paraId="63792262">
            <w:pPr>
              <w:pStyle w:val="9"/>
              <w:spacing w:before="56" w:line="231" w:lineRule="auto"/>
              <w:ind w:left="114"/>
              <w:rPr>
                <w:color w:val="auto"/>
              </w:rPr>
            </w:pPr>
            <w:r>
              <w:rPr>
                <w:color w:val="auto"/>
              </w:rPr>
              <w:t>人</w:t>
            </w:r>
          </w:p>
        </w:tc>
        <w:tc>
          <w:tcPr>
            <w:tcW w:w="1845" w:type="dxa"/>
            <w:vAlign w:val="top"/>
          </w:tcPr>
          <w:p w14:paraId="1E27A58D">
            <w:pPr>
              <w:pStyle w:val="9"/>
              <w:spacing w:before="56" w:line="231" w:lineRule="auto"/>
              <w:ind w:left="113"/>
              <w:rPr>
                <w:rFonts w:ascii="Times New Roman" w:hAnsi="Times New Roman" w:eastAsia="Times New Roman" w:cs="Times New Roman"/>
                <w:color w:val="auto"/>
              </w:rPr>
            </w:pPr>
            <w:r>
              <w:rPr>
                <w:rFonts w:ascii="Times New Roman" w:hAnsi="Times New Roman" w:eastAsia="Times New Roman" w:cs="Times New Roman"/>
                <w:color w:val="auto"/>
                <w:spacing w:val="5"/>
              </w:rPr>
              <w:t>300</w:t>
            </w:r>
            <w:r>
              <w:rPr>
                <w:color w:val="auto"/>
                <w:spacing w:val="5"/>
              </w:rPr>
              <w:t>≤</w:t>
            </w:r>
            <w:r>
              <w:rPr>
                <w:rFonts w:ascii="Times New Roman" w:hAnsi="Times New Roman" w:eastAsia="Times New Roman" w:cs="Times New Roman"/>
                <w:color w:val="auto"/>
                <w:spacing w:val="5"/>
              </w:rPr>
              <w:t>X</w:t>
            </w:r>
            <w:r>
              <w:rPr>
                <w:color w:val="auto"/>
                <w:spacing w:val="5"/>
              </w:rPr>
              <w:t>＜</w:t>
            </w:r>
            <w:r>
              <w:rPr>
                <w:rFonts w:ascii="Times New Roman" w:hAnsi="Times New Roman" w:eastAsia="Times New Roman" w:cs="Times New Roman"/>
                <w:color w:val="auto"/>
                <w:spacing w:val="5"/>
              </w:rPr>
              <w:t>1000</w:t>
            </w:r>
          </w:p>
        </w:tc>
        <w:tc>
          <w:tcPr>
            <w:tcW w:w="1569" w:type="dxa"/>
            <w:vAlign w:val="top"/>
          </w:tcPr>
          <w:p w14:paraId="083D420F">
            <w:pPr>
              <w:pStyle w:val="9"/>
              <w:spacing w:before="56" w:line="231" w:lineRule="auto"/>
              <w:ind w:left="132"/>
              <w:rPr>
                <w:rFonts w:ascii="Times New Roman" w:hAnsi="Times New Roman" w:eastAsia="Times New Roman" w:cs="Times New Roman"/>
                <w:color w:val="auto"/>
              </w:rPr>
            </w:pPr>
            <w:r>
              <w:rPr>
                <w:rFonts w:ascii="Times New Roman" w:hAnsi="Times New Roman" w:eastAsia="Times New Roman" w:cs="Times New Roman"/>
                <w:color w:val="auto"/>
                <w:spacing w:val="3"/>
              </w:rPr>
              <w:t>100</w:t>
            </w:r>
            <w:r>
              <w:rPr>
                <w:color w:val="auto"/>
                <w:spacing w:val="3"/>
              </w:rPr>
              <w:t>≤</w:t>
            </w:r>
            <w:r>
              <w:rPr>
                <w:rFonts w:ascii="Times New Roman" w:hAnsi="Times New Roman" w:eastAsia="Times New Roman" w:cs="Times New Roman"/>
                <w:color w:val="auto"/>
                <w:spacing w:val="3"/>
              </w:rPr>
              <w:t>X</w:t>
            </w:r>
            <w:r>
              <w:rPr>
                <w:color w:val="auto"/>
                <w:spacing w:val="3"/>
              </w:rPr>
              <w:t>＜</w:t>
            </w:r>
            <w:r>
              <w:rPr>
                <w:rFonts w:ascii="Times New Roman" w:hAnsi="Times New Roman" w:eastAsia="Times New Roman" w:cs="Times New Roman"/>
                <w:color w:val="auto"/>
                <w:spacing w:val="3"/>
              </w:rPr>
              <w:t>300</w:t>
            </w:r>
          </w:p>
        </w:tc>
        <w:tc>
          <w:tcPr>
            <w:tcW w:w="1013" w:type="dxa"/>
            <w:vAlign w:val="top"/>
          </w:tcPr>
          <w:p w14:paraId="79AE977B">
            <w:pPr>
              <w:pStyle w:val="9"/>
              <w:spacing w:before="56" w:line="231" w:lineRule="auto"/>
              <w:ind w:left="109"/>
              <w:rPr>
                <w:rFonts w:ascii="Times New Roman" w:hAnsi="Times New Roman" w:eastAsia="Times New Roman" w:cs="Times New Roman"/>
                <w:color w:val="auto"/>
              </w:rPr>
            </w:pPr>
            <w:r>
              <w:rPr>
                <w:rFonts w:ascii="Times New Roman" w:hAnsi="Times New Roman" w:eastAsia="Times New Roman" w:cs="Times New Roman"/>
                <w:color w:val="auto"/>
                <w:spacing w:val="5"/>
              </w:rPr>
              <w:t>X</w:t>
            </w:r>
            <w:r>
              <w:rPr>
                <w:color w:val="auto"/>
                <w:spacing w:val="5"/>
              </w:rPr>
              <w:t>＜</w:t>
            </w:r>
            <w:r>
              <w:rPr>
                <w:rFonts w:ascii="Times New Roman" w:hAnsi="Times New Roman" w:eastAsia="Times New Roman" w:cs="Times New Roman"/>
                <w:color w:val="auto"/>
                <w:spacing w:val="5"/>
              </w:rPr>
              <w:t>100</w:t>
            </w:r>
          </w:p>
        </w:tc>
      </w:tr>
      <w:tr w14:paraId="5B25C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450" w:type="dxa"/>
            <w:vMerge w:val="continue"/>
            <w:tcBorders>
              <w:top w:val="nil"/>
            </w:tcBorders>
            <w:vAlign w:val="top"/>
          </w:tcPr>
          <w:p w14:paraId="0ACB3E84">
            <w:pPr>
              <w:rPr>
                <w:rFonts w:ascii="Arial"/>
                <w:color w:val="auto"/>
                <w:sz w:val="21"/>
              </w:rPr>
            </w:pPr>
          </w:p>
        </w:tc>
        <w:tc>
          <w:tcPr>
            <w:tcW w:w="1700" w:type="dxa"/>
            <w:vAlign w:val="top"/>
          </w:tcPr>
          <w:p w14:paraId="5966B14B">
            <w:pPr>
              <w:pStyle w:val="9"/>
              <w:spacing w:before="55" w:line="228" w:lineRule="auto"/>
              <w:ind w:left="117"/>
              <w:rPr>
                <w:color w:val="auto"/>
              </w:rPr>
            </w:pPr>
            <w:r>
              <w:rPr>
                <w:color w:val="auto"/>
                <w:spacing w:val="6"/>
              </w:rPr>
              <w:t>营业收入（</w:t>
            </w:r>
            <w:r>
              <w:rPr>
                <w:rFonts w:ascii="Times New Roman" w:hAnsi="Times New Roman" w:eastAsia="Times New Roman" w:cs="Times New Roman"/>
                <w:color w:val="auto"/>
                <w:spacing w:val="6"/>
              </w:rPr>
              <w:t>Y</w:t>
            </w:r>
            <w:r>
              <w:rPr>
                <w:color w:val="auto"/>
                <w:spacing w:val="6"/>
              </w:rPr>
              <w:t>）</w:t>
            </w:r>
          </w:p>
        </w:tc>
        <w:tc>
          <w:tcPr>
            <w:tcW w:w="1133" w:type="dxa"/>
            <w:vAlign w:val="top"/>
          </w:tcPr>
          <w:p w14:paraId="6334E828">
            <w:pPr>
              <w:pStyle w:val="9"/>
              <w:spacing w:before="56" w:line="228" w:lineRule="auto"/>
              <w:ind w:left="117"/>
              <w:rPr>
                <w:color w:val="auto"/>
              </w:rPr>
            </w:pPr>
            <w:r>
              <w:rPr>
                <w:color w:val="auto"/>
                <w:spacing w:val="2"/>
              </w:rPr>
              <w:t>万元</w:t>
            </w:r>
          </w:p>
        </w:tc>
        <w:tc>
          <w:tcPr>
            <w:tcW w:w="1845" w:type="dxa"/>
            <w:vAlign w:val="top"/>
          </w:tcPr>
          <w:p w14:paraId="179AC3EC">
            <w:pPr>
              <w:pStyle w:val="9"/>
              <w:spacing w:before="56" w:line="231" w:lineRule="auto"/>
              <w:ind w:left="129"/>
              <w:rPr>
                <w:rFonts w:ascii="Times New Roman" w:hAnsi="Times New Roman" w:eastAsia="Times New Roman" w:cs="Times New Roman"/>
                <w:color w:val="auto"/>
              </w:rPr>
            </w:pPr>
            <w:r>
              <w:rPr>
                <w:rFonts w:ascii="Times New Roman" w:hAnsi="Times New Roman" w:eastAsia="Times New Roman" w:cs="Times New Roman"/>
                <w:color w:val="auto"/>
                <w:spacing w:val="3"/>
              </w:rPr>
              <w:t>1000</w:t>
            </w:r>
            <w:r>
              <w:rPr>
                <w:color w:val="auto"/>
                <w:spacing w:val="3"/>
              </w:rPr>
              <w:t>≤</w:t>
            </w:r>
            <w:r>
              <w:rPr>
                <w:rFonts w:ascii="Times New Roman" w:hAnsi="Times New Roman" w:eastAsia="Times New Roman" w:cs="Times New Roman"/>
                <w:color w:val="auto"/>
                <w:spacing w:val="3"/>
              </w:rPr>
              <w:t>Y</w:t>
            </w:r>
            <w:r>
              <w:rPr>
                <w:color w:val="auto"/>
                <w:spacing w:val="3"/>
              </w:rPr>
              <w:t>＜</w:t>
            </w:r>
            <w:r>
              <w:rPr>
                <w:rFonts w:ascii="Times New Roman" w:hAnsi="Times New Roman" w:eastAsia="Times New Roman" w:cs="Times New Roman"/>
                <w:color w:val="auto"/>
                <w:spacing w:val="3"/>
              </w:rPr>
              <w:t>5000</w:t>
            </w:r>
          </w:p>
        </w:tc>
        <w:tc>
          <w:tcPr>
            <w:tcW w:w="1569" w:type="dxa"/>
            <w:vAlign w:val="top"/>
          </w:tcPr>
          <w:p w14:paraId="76469C23">
            <w:pPr>
              <w:pStyle w:val="9"/>
              <w:spacing w:before="56" w:line="231" w:lineRule="auto"/>
              <w:ind w:left="117"/>
              <w:rPr>
                <w:rFonts w:ascii="Times New Roman" w:hAnsi="Times New Roman" w:eastAsia="Times New Roman" w:cs="Times New Roman"/>
                <w:color w:val="auto"/>
              </w:rPr>
            </w:pPr>
            <w:r>
              <w:rPr>
                <w:rFonts w:ascii="Times New Roman" w:hAnsi="Times New Roman" w:eastAsia="Times New Roman" w:cs="Times New Roman"/>
                <w:color w:val="auto"/>
                <w:spacing w:val="5"/>
              </w:rPr>
              <w:t>500</w:t>
            </w:r>
            <w:r>
              <w:rPr>
                <w:color w:val="auto"/>
                <w:spacing w:val="5"/>
              </w:rPr>
              <w:t>≤</w:t>
            </w:r>
            <w:r>
              <w:rPr>
                <w:rFonts w:ascii="Times New Roman" w:hAnsi="Times New Roman" w:eastAsia="Times New Roman" w:cs="Times New Roman"/>
                <w:color w:val="auto"/>
                <w:spacing w:val="5"/>
              </w:rPr>
              <w:t>Y</w:t>
            </w:r>
            <w:r>
              <w:rPr>
                <w:color w:val="auto"/>
                <w:spacing w:val="5"/>
              </w:rPr>
              <w:t>＜</w:t>
            </w:r>
            <w:r>
              <w:rPr>
                <w:rFonts w:ascii="Times New Roman" w:hAnsi="Times New Roman" w:eastAsia="Times New Roman" w:cs="Times New Roman"/>
                <w:color w:val="auto"/>
                <w:spacing w:val="5"/>
              </w:rPr>
              <w:t>1000</w:t>
            </w:r>
          </w:p>
        </w:tc>
        <w:tc>
          <w:tcPr>
            <w:tcW w:w="1013" w:type="dxa"/>
            <w:vAlign w:val="top"/>
          </w:tcPr>
          <w:p w14:paraId="34AD49ED">
            <w:pPr>
              <w:pStyle w:val="9"/>
              <w:spacing w:before="56" w:line="231" w:lineRule="auto"/>
              <w:ind w:left="110"/>
              <w:rPr>
                <w:rFonts w:ascii="Times New Roman" w:hAnsi="Times New Roman" w:eastAsia="Times New Roman" w:cs="Times New Roman"/>
                <w:color w:val="auto"/>
              </w:rPr>
            </w:pPr>
            <w:r>
              <w:rPr>
                <w:rFonts w:ascii="Times New Roman" w:hAnsi="Times New Roman" w:eastAsia="Times New Roman" w:cs="Times New Roman"/>
                <w:color w:val="auto"/>
                <w:spacing w:val="5"/>
              </w:rPr>
              <w:t>Y</w:t>
            </w:r>
            <w:r>
              <w:rPr>
                <w:color w:val="auto"/>
                <w:spacing w:val="5"/>
              </w:rPr>
              <w:t>＜</w:t>
            </w:r>
            <w:r>
              <w:rPr>
                <w:rFonts w:ascii="Times New Roman" w:hAnsi="Times New Roman" w:eastAsia="Times New Roman" w:cs="Times New Roman"/>
                <w:color w:val="auto"/>
                <w:spacing w:val="5"/>
              </w:rPr>
              <w:t>500</w:t>
            </w:r>
          </w:p>
        </w:tc>
      </w:tr>
      <w:tr w14:paraId="1A66C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450" w:type="dxa"/>
            <w:vMerge w:val="restart"/>
            <w:tcBorders>
              <w:bottom w:val="nil"/>
            </w:tcBorders>
            <w:vAlign w:val="top"/>
          </w:tcPr>
          <w:p w14:paraId="6417D1E3">
            <w:pPr>
              <w:pStyle w:val="9"/>
              <w:spacing w:before="65" w:line="260" w:lineRule="auto"/>
              <w:ind w:left="416" w:right="198" w:hanging="209"/>
              <w:rPr>
                <w:color w:val="auto"/>
              </w:rPr>
            </w:pPr>
            <w:r>
              <w:rPr>
                <w:color w:val="auto"/>
                <w:spacing w:val="7"/>
              </w:rPr>
              <w:t>租赁和商务</w:t>
            </w:r>
            <w:r>
              <w:rPr>
                <w:color w:val="auto"/>
                <w:spacing w:val="6"/>
              </w:rPr>
              <w:t>服务业</w:t>
            </w:r>
          </w:p>
        </w:tc>
        <w:tc>
          <w:tcPr>
            <w:tcW w:w="1700" w:type="dxa"/>
            <w:vAlign w:val="top"/>
          </w:tcPr>
          <w:p w14:paraId="69785136">
            <w:pPr>
              <w:pStyle w:val="9"/>
              <w:spacing w:before="56" w:line="228" w:lineRule="auto"/>
              <w:ind w:left="113"/>
              <w:rPr>
                <w:color w:val="auto"/>
              </w:rPr>
            </w:pPr>
            <w:r>
              <w:rPr>
                <w:color w:val="auto"/>
                <w:spacing w:val="6"/>
              </w:rPr>
              <w:t>从业人员（</w:t>
            </w:r>
            <w:r>
              <w:rPr>
                <w:rFonts w:ascii="Times New Roman" w:hAnsi="Times New Roman" w:eastAsia="Times New Roman" w:cs="Times New Roman"/>
                <w:color w:val="auto"/>
                <w:spacing w:val="6"/>
              </w:rPr>
              <w:t>X</w:t>
            </w:r>
            <w:r>
              <w:rPr>
                <w:color w:val="auto"/>
                <w:spacing w:val="6"/>
              </w:rPr>
              <w:t>）</w:t>
            </w:r>
          </w:p>
        </w:tc>
        <w:tc>
          <w:tcPr>
            <w:tcW w:w="1133" w:type="dxa"/>
            <w:vAlign w:val="top"/>
          </w:tcPr>
          <w:p w14:paraId="10CA13A5">
            <w:pPr>
              <w:pStyle w:val="9"/>
              <w:spacing w:before="55" w:line="231" w:lineRule="auto"/>
              <w:ind w:left="114"/>
              <w:rPr>
                <w:color w:val="auto"/>
              </w:rPr>
            </w:pPr>
            <w:r>
              <w:rPr>
                <w:color w:val="auto"/>
              </w:rPr>
              <w:t>人</w:t>
            </w:r>
          </w:p>
        </w:tc>
        <w:tc>
          <w:tcPr>
            <w:tcW w:w="1845" w:type="dxa"/>
            <w:vAlign w:val="top"/>
          </w:tcPr>
          <w:p w14:paraId="44AD810B">
            <w:pPr>
              <w:pStyle w:val="9"/>
              <w:spacing w:before="55" w:line="232" w:lineRule="auto"/>
              <w:ind w:left="129"/>
              <w:rPr>
                <w:rFonts w:ascii="Times New Roman" w:hAnsi="Times New Roman" w:eastAsia="Times New Roman" w:cs="Times New Roman"/>
                <w:color w:val="auto"/>
              </w:rPr>
            </w:pPr>
            <w:r>
              <w:rPr>
                <w:rFonts w:ascii="Times New Roman" w:hAnsi="Times New Roman" w:eastAsia="Times New Roman" w:cs="Times New Roman"/>
                <w:color w:val="auto"/>
                <w:spacing w:val="3"/>
              </w:rPr>
              <w:t>100</w:t>
            </w:r>
            <w:r>
              <w:rPr>
                <w:color w:val="auto"/>
                <w:spacing w:val="3"/>
              </w:rPr>
              <w:t>≤</w:t>
            </w:r>
            <w:r>
              <w:rPr>
                <w:rFonts w:ascii="Times New Roman" w:hAnsi="Times New Roman" w:eastAsia="Times New Roman" w:cs="Times New Roman"/>
                <w:color w:val="auto"/>
                <w:spacing w:val="3"/>
              </w:rPr>
              <w:t>X</w:t>
            </w:r>
            <w:r>
              <w:rPr>
                <w:color w:val="auto"/>
                <w:spacing w:val="3"/>
              </w:rPr>
              <w:t>＜</w:t>
            </w:r>
            <w:r>
              <w:rPr>
                <w:rFonts w:ascii="Times New Roman" w:hAnsi="Times New Roman" w:eastAsia="Times New Roman" w:cs="Times New Roman"/>
                <w:color w:val="auto"/>
                <w:spacing w:val="3"/>
              </w:rPr>
              <w:t>300</w:t>
            </w:r>
          </w:p>
        </w:tc>
        <w:tc>
          <w:tcPr>
            <w:tcW w:w="1569" w:type="dxa"/>
            <w:vAlign w:val="top"/>
          </w:tcPr>
          <w:p w14:paraId="38B744DE">
            <w:pPr>
              <w:pStyle w:val="9"/>
              <w:spacing w:before="55" w:line="232" w:lineRule="auto"/>
              <w:ind w:left="132"/>
              <w:rPr>
                <w:rFonts w:ascii="Times New Roman" w:hAnsi="Times New Roman" w:eastAsia="Times New Roman" w:cs="Times New Roman"/>
                <w:color w:val="auto"/>
              </w:rPr>
            </w:pPr>
            <w:r>
              <w:rPr>
                <w:rFonts w:ascii="Times New Roman" w:hAnsi="Times New Roman" w:eastAsia="Times New Roman" w:cs="Times New Roman"/>
                <w:color w:val="auto"/>
                <w:spacing w:val="3"/>
              </w:rPr>
              <w:t>10</w:t>
            </w:r>
            <w:r>
              <w:rPr>
                <w:color w:val="auto"/>
                <w:spacing w:val="3"/>
              </w:rPr>
              <w:t>≤</w:t>
            </w:r>
            <w:r>
              <w:rPr>
                <w:rFonts w:ascii="Times New Roman" w:hAnsi="Times New Roman" w:eastAsia="Times New Roman" w:cs="Times New Roman"/>
                <w:color w:val="auto"/>
                <w:spacing w:val="3"/>
              </w:rPr>
              <w:t>X</w:t>
            </w:r>
            <w:r>
              <w:rPr>
                <w:color w:val="auto"/>
                <w:spacing w:val="3"/>
              </w:rPr>
              <w:t>＜</w:t>
            </w:r>
            <w:r>
              <w:rPr>
                <w:rFonts w:ascii="Times New Roman" w:hAnsi="Times New Roman" w:eastAsia="Times New Roman" w:cs="Times New Roman"/>
                <w:color w:val="auto"/>
                <w:spacing w:val="3"/>
              </w:rPr>
              <w:t>100</w:t>
            </w:r>
          </w:p>
        </w:tc>
        <w:tc>
          <w:tcPr>
            <w:tcW w:w="1013" w:type="dxa"/>
            <w:vAlign w:val="top"/>
          </w:tcPr>
          <w:p w14:paraId="40D3445F">
            <w:pPr>
              <w:pStyle w:val="9"/>
              <w:spacing w:before="55" w:line="232" w:lineRule="auto"/>
              <w:ind w:left="109"/>
              <w:rPr>
                <w:rFonts w:ascii="Times New Roman" w:hAnsi="Times New Roman" w:eastAsia="Times New Roman" w:cs="Times New Roman"/>
                <w:color w:val="auto"/>
              </w:rPr>
            </w:pPr>
            <w:r>
              <w:rPr>
                <w:rFonts w:ascii="Times New Roman" w:hAnsi="Times New Roman" w:eastAsia="Times New Roman" w:cs="Times New Roman"/>
                <w:color w:val="auto"/>
                <w:spacing w:val="6"/>
              </w:rPr>
              <w:t>X</w:t>
            </w:r>
            <w:r>
              <w:rPr>
                <w:color w:val="auto"/>
                <w:spacing w:val="6"/>
              </w:rPr>
              <w:t>＜</w:t>
            </w:r>
            <w:r>
              <w:rPr>
                <w:rFonts w:ascii="Times New Roman" w:hAnsi="Times New Roman" w:eastAsia="Times New Roman" w:cs="Times New Roman"/>
                <w:color w:val="auto"/>
                <w:spacing w:val="6"/>
              </w:rPr>
              <w:t>10</w:t>
            </w:r>
          </w:p>
        </w:tc>
      </w:tr>
      <w:tr w14:paraId="212DD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450" w:type="dxa"/>
            <w:vMerge w:val="continue"/>
            <w:tcBorders>
              <w:top w:val="nil"/>
            </w:tcBorders>
            <w:vAlign w:val="top"/>
          </w:tcPr>
          <w:p w14:paraId="5D944E88">
            <w:pPr>
              <w:rPr>
                <w:rFonts w:ascii="Arial"/>
                <w:color w:val="auto"/>
                <w:sz w:val="21"/>
              </w:rPr>
            </w:pPr>
          </w:p>
        </w:tc>
        <w:tc>
          <w:tcPr>
            <w:tcW w:w="1700" w:type="dxa"/>
            <w:vAlign w:val="top"/>
          </w:tcPr>
          <w:p w14:paraId="7A9C7CC6">
            <w:pPr>
              <w:pStyle w:val="9"/>
              <w:spacing w:before="55" w:line="228" w:lineRule="auto"/>
              <w:ind w:left="120"/>
              <w:rPr>
                <w:color w:val="auto"/>
              </w:rPr>
            </w:pPr>
            <w:r>
              <w:rPr>
                <w:color w:val="auto"/>
                <w:spacing w:val="5"/>
              </w:rPr>
              <w:t>资产总额（</w:t>
            </w:r>
            <w:r>
              <w:rPr>
                <w:rFonts w:ascii="Times New Roman" w:hAnsi="Times New Roman" w:eastAsia="Times New Roman" w:cs="Times New Roman"/>
                <w:color w:val="auto"/>
                <w:spacing w:val="5"/>
              </w:rPr>
              <w:t>Z</w:t>
            </w:r>
            <w:r>
              <w:rPr>
                <w:color w:val="auto"/>
                <w:spacing w:val="5"/>
              </w:rPr>
              <w:t>）</w:t>
            </w:r>
          </w:p>
        </w:tc>
        <w:tc>
          <w:tcPr>
            <w:tcW w:w="1133" w:type="dxa"/>
            <w:vAlign w:val="top"/>
          </w:tcPr>
          <w:p w14:paraId="1C28F9EB">
            <w:pPr>
              <w:pStyle w:val="9"/>
              <w:spacing w:before="55" w:line="228" w:lineRule="auto"/>
              <w:ind w:left="117"/>
              <w:rPr>
                <w:color w:val="auto"/>
              </w:rPr>
            </w:pPr>
            <w:r>
              <w:rPr>
                <w:color w:val="auto"/>
                <w:spacing w:val="2"/>
              </w:rPr>
              <w:t>万元</w:t>
            </w:r>
          </w:p>
        </w:tc>
        <w:tc>
          <w:tcPr>
            <w:tcW w:w="1845" w:type="dxa"/>
            <w:vAlign w:val="top"/>
          </w:tcPr>
          <w:p w14:paraId="5B88CE36">
            <w:pPr>
              <w:pStyle w:val="9"/>
              <w:spacing w:before="55" w:line="232" w:lineRule="auto"/>
              <w:ind w:left="117"/>
              <w:rPr>
                <w:rFonts w:ascii="Times New Roman" w:hAnsi="Times New Roman" w:eastAsia="Times New Roman" w:cs="Times New Roman"/>
                <w:color w:val="auto"/>
              </w:rPr>
            </w:pPr>
            <w:r>
              <w:rPr>
                <w:rFonts w:ascii="Times New Roman" w:hAnsi="Times New Roman" w:eastAsia="Times New Roman" w:cs="Times New Roman"/>
                <w:color w:val="auto"/>
                <w:spacing w:val="4"/>
              </w:rPr>
              <w:t>8000</w:t>
            </w:r>
            <w:r>
              <w:rPr>
                <w:color w:val="auto"/>
                <w:spacing w:val="4"/>
              </w:rPr>
              <w:t>≤</w:t>
            </w:r>
            <w:r>
              <w:rPr>
                <w:rFonts w:ascii="Times New Roman" w:hAnsi="Times New Roman" w:eastAsia="Times New Roman" w:cs="Times New Roman"/>
                <w:color w:val="auto"/>
                <w:spacing w:val="4"/>
              </w:rPr>
              <w:t>Z</w:t>
            </w:r>
            <w:r>
              <w:rPr>
                <w:color w:val="auto"/>
                <w:spacing w:val="4"/>
              </w:rPr>
              <w:t>＜</w:t>
            </w:r>
            <w:r>
              <w:rPr>
                <w:rFonts w:ascii="Times New Roman" w:hAnsi="Times New Roman" w:eastAsia="Times New Roman" w:cs="Times New Roman"/>
                <w:color w:val="auto"/>
                <w:spacing w:val="4"/>
              </w:rPr>
              <w:t>120000</w:t>
            </w:r>
          </w:p>
        </w:tc>
        <w:tc>
          <w:tcPr>
            <w:tcW w:w="1569" w:type="dxa"/>
            <w:vAlign w:val="top"/>
          </w:tcPr>
          <w:p w14:paraId="06B04706">
            <w:pPr>
              <w:pStyle w:val="9"/>
              <w:spacing w:before="55" w:line="232" w:lineRule="auto"/>
              <w:ind w:left="132"/>
              <w:rPr>
                <w:rFonts w:ascii="Times New Roman" w:hAnsi="Times New Roman" w:eastAsia="Times New Roman" w:cs="Times New Roman"/>
                <w:color w:val="auto"/>
              </w:rPr>
            </w:pPr>
            <w:r>
              <w:rPr>
                <w:rFonts w:ascii="Times New Roman" w:hAnsi="Times New Roman" w:eastAsia="Times New Roman" w:cs="Times New Roman"/>
                <w:color w:val="auto"/>
                <w:spacing w:val="3"/>
              </w:rPr>
              <w:t>100</w:t>
            </w:r>
            <w:r>
              <w:rPr>
                <w:color w:val="auto"/>
                <w:spacing w:val="3"/>
              </w:rPr>
              <w:t>≤</w:t>
            </w:r>
            <w:r>
              <w:rPr>
                <w:rFonts w:ascii="Times New Roman" w:hAnsi="Times New Roman" w:eastAsia="Times New Roman" w:cs="Times New Roman"/>
                <w:color w:val="auto"/>
                <w:spacing w:val="3"/>
              </w:rPr>
              <w:t>Z</w:t>
            </w:r>
            <w:r>
              <w:rPr>
                <w:color w:val="auto"/>
                <w:spacing w:val="3"/>
              </w:rPr>
              <w:t>＜</w:t>
            </w:r>
            <w:r>
              <w:rPr>
                <w:rFonts w:ascii="Times New Roman" w:hAnsi="Times New Roman" w:eastAsia="Times New Roman" w:cs="Times New Roman"/>
                <w:color w:val="auto"/>
                <w:spacing w:val="3"/>
              </w:rPr>
              <w:t>8000</w:t>
            </w:r>
          </w:p>
        </w:tc>
        <w:tc>
          <w:tcPr>
            <w:tcW w:w="1013" w:type="dxa"/>
            <w:vAlign w:val="top"/>
          </w:tcPr>
          <w:p w14:paraId="5D424384">
            <w:pPr>
              <w:pStyle w:val="9"/>
              <w:spacing w:before="55" w:line="232" w:lineRule="auto"/>
              <w:ind w:left="110"/>
              <w:rPr>
                <w:rFonts w:ascii="Times New Roman" w:hAnsi="Times New Roman" w:eastAsia="Times New Roman" w:cs="Times New Roman"/>
                <w:color w:val="auto"/>
              </w:rPr>
            </w:pPr>
            <w:r>
              <w:rPr>
                <w:rFonts w:ascii="Times New Roman" w:hAnsi="Times New Roman" w:eastAsia="Times New Roman" w:cs="Times New Roman"/>
                <w:color w:val="auto"/>
                <w:spacing w:val="5"/>
              </w:rPr>
              <w:t>Y</w:t>
            </w:r>
            <w:r>
              <w:rPr>
                <w:color w:val="auto"/>
                <w:spacing w:val="5"/>
              </w:rPr>
              <w:t>＜</w:t>
            </w:r>
            <w:r>
              <w:rPr>
                <w:rFonts w:ascii="Times New Roman" w:hAnsi="Times New Roman" w:eastAsia="Times New Roman" w:cs="Times New Roman"/>
                <w:color w:val="auto"/>
                <w:spacing w:val="5"/>
              </w:rPr>
              <w:t>100</w:t>
            </w:r>
          </w:p>
        </w:tc>
      </w:tr>
      <w:tr w14:paraId="2EBF1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50" w:type="dxa"/>
            <w:vAlign w:val="top"/>
          </w:tcPr>
          <w:p w14:paraId="75EC6BAE">
            <w:pPr>
              <w:pStyle w:val="9"/>
              <w:spacing w:before="57" w:line="261" w:lineRule="auto"/>
              <w:ind w:left="522" w:right="198" w:hanging="316"/>
              <w:rPr>
                <w:color w:val="auto"/>
              </w:rPr>
            </w:pPr>
            <w:r>
              <w:rPr>
                <w:color w:val="auto"/>
                <w:spacing w:val="7"/>
              </w:rPr>
              <w:t>其他未列明</w:t>
            </w:r>
            <w:r>
              <w:rPr>
                <w:color w:val="auto"/>
                <w:spacing w:val="3"/>
              </w:rPr>
              <w:t>行业</w:t>
            </w:r>
          </w:p>
        </w:tc>
        <w:tc>
          <w:tcPr>
            <w:tcW w:w="1700" w:type="dxa"/>
            <w:vAlign w:val="top"/>
          </w:tcPr>
          <w:p w14:paraId="1CBE367E">
            <w:pPr>
              <w:pStyle w:val="9"/>
              <w:spacing w:before="213" w:line="228" w:lineRule="auto"/>
              <w:ind w:left="113"/>
              <w:rPr>
                <w:color w:val="auto"/>
              </w:rPr>
            </w:pPr>
            <w:r>
              <w:rPr>
                <w:color w:val="auto"/>
                <w:spacing w:val="6"/>
              </w:rPr>
              <w:t>从业人员（</w:t>
            </w:r>
            <w:r>
              <w:rPr>
                <w:rFonts w:ascii="Times New Roman" w:hAnsi="Times New Roman" w:eastAsia="Times New Roman" w:cs="Times New Roman"/>
                <w:color w:val="auto"/>
                <w:spacing w:val="6"/>
              </w:rPr>
              <w:t>X</w:t>
            </w:r>
            <w:r>
              <w:rPr>
                <w:color w:val="auto"/>
                <w:spacing w:val="6"/>
              </w:rPr>
              <w:t>）</w:t>
            </w:r>
          </w:p>
        </w:tc>
        <w:tc>
          <w:tcPr>
            <w:tcW w:w="1133" w:type="dxa"/>
            <w:vAlign w:val="top"/>
          </w:tcPr>
          <w:p w14:paraId="7C7DD03E">
            <w:pPr>
              <w:pStyle w:val="9"/>
              <w:spacing w:before="212" w:line="231" w:lineRule="auto"/>
              <w:ind w:left="114"/>
              <w:rPr>
                <w:color w:val="auto"/>
              </w:rPr>
            </w:pPr>
            <w:r>
              <w:rPr>
                <w:color w:val="auto"/>
              </w:rPr>
              <w:t>人</w:t>
            </w:r>
          </w:p>
        </w:tc>
        <w:tc>
          <w:tcPr>
            <w:tcW w:w="1845" w:type="dxa"/>
            <w:vAlign w:val="top"/>
          </w:tcPr>
          <w:p w14:paraId="644AB644">
            <w:pPr>
              <w:pStyle w:val="9"/>
              <w:spacing w:before="213" w:line="265" w:lineRule="exact"/>
              <w:ind w:left="129"/>
              <w:rPr>
                <w:rFonts w:ascii="Times New Roman" w:hAnsi="Times New Roman" w:eastAsia="Times New Roman" w:cs="Times New Roman"/>
                <w:color w:val="auto"/>
              </w:rPr>
            </w:pPr>
            <w:r>
              <w:rPr>
                <w:rFonts w:ascii="Times New Roman" w:hAnsi="Times New Roman" w:eastAsia="Times New Roman" w:cs="Times New Roman"/>
                <w:color w:val="auto"/>
                <w:spacing w:val="3"/>
                <w:position w:val="1"/>
              </w:rPr>
              <w:t>100</w:t>
            </w:r>
            <w:r>
              <w:rPr>
                <w:color w:val="auto"/>
                <w:spacing w:val="3"/>
                <w:position w:val="1"/>
              </w:rPr>
              <w:t>≤</w:t>
            </w:r>
            <w:r>
              <w:rPr>
                <w:rFonts w:ascii="Times New Roman" w:hAnsi="Times New Roman" w:eastAsia="Times New Roman" w:cs="Times New Roman"/>
                <w:color w:val="auto"/>
                <w:spacing w:val="3"/>
                <w:position w:val="1"/>
              </w:rPr>
              <w:t>X</w:t>
            </w:r>
            <w:r>
              <w:rPr>
                <w:color w:val="auto"/>
                <w:spacing w:val="3"/>
                <w:position w:val="1"/>
              </w:rPr>
              <w:t>＜</w:t>
            </w:r>
            <w:r>
              <w:rPr>
                <w:rFonts w:ascii="Times New Roman" w:hAnsi="Times New Roman" w:eastAsia="Times New Roman" w:cs="Times New Roman"/>
                <w:color w:val="auto"/>
                <w:spacing w:val="3"/>
                <w:position w:val="1"/>
              </w:rPr>
              <w:t>300</w:t>
            </w:r>
          </w:p>
        </w:tc>
        <w:tc>
          <w:tcPr>
            <w:tcW w:w="1569" w:type="dxa"/>
            <w:vAlign w:val="top"/>
          </w:tcPr>
          <w:p w14:paraId="0D023751">
            <w:pPr>
              <w:pStyle w:val="9"/>
              <w:spacing w:before="213" w:line="265" w:lineRule="exact"/>
              <w:ind w:left="132"/>
              <w:rPr>
                <w:rFonts w:ascii="Times New Roman" w:hAnsi="Times New Roman" w:eastAsia="Times New Roman" w:cs="Times New Roman"/>
                <w:color w:val="auto"/>
              </w:rPr>
            </w:pPr>
            <w:r>
              <w:rPr>
                <w:rFonts w:ascii="Times New Roman" w:hAnsi="Times New Roman" w:eastAsia="Times New Roman" w:cs="Times New Roman"/>
                <w:color w:val="auto"/>
                <w:spacing w:val="3"/>
                <w:position w:val="1"/>
              </w:rPr>
              <w:t>10</w:t>
            </w:r>
            <w:r>
              <w:rPr>
                <w:color w:val="auto"/>
                <w:spacing w:val="3"/>
                <w:position w:val="1"/>
              </w:rPr>
              <w:t>≤</w:t>
            </w:r>
            <w:r>
              <w:rPr>
                <w:rFonts w:ascii="Times New Roman" w:hAnsi="Times New Roman" w:eastAsia="Times New Roman" w:cs="Times New Roman"/>
                <w:color w:val="auto"/>
                <w:spacing w:val="3"/>
                <w:position w:val="1"/>
              </w:rPr>
              <w:t>X</w:t>
            </w:r>
            <w:r>
              <w:rPr>
                <w:color w:val="auto"/>
                <w:spacing w:val="3"/>
                <w:position w:val="1"/>
              </w:rPr>
              <w:t>＜</w:t>
            </w:r>
            <w:r>
              <w:rPr>
                <w:rFonts w:ascii="Times New Roman" w:hAnsi="Times New Roman" w:eastAsia="Times New Roman" w:cs="Times New Roman"/>
                <w:color w:val="auto"/>
                <w:spacing w:val="3"/>
                <w:position w:val="1"/>
              </w:rPr>
              <w:t>100</w:t>
            </w:r>
          </w:p>
        </w:tc>
        <w:tc>
          <w:tcPr>
            <w:tcW w:w="1013" w:type="dxa"/>
            <w:vAlign w:val="top"/>
          </w:tcPr>
          <w:p w14:paraId="040F9F5F">
            <w:pPr>
              <w:pStyle w:val="9"/>
              <w:spacing w:before="213" w:line="265" w:lineRule="exact"/>
              <w:ind w:left="109"/>
              <w:rPr>
                <w:rFonts w:ascii="Times New Roman" w:hAnsi="Times New Roman" w:eastAsia="Times New Roman" w:cs="Times New Roman"/>
                <w:color w:val="auto"/>
              </w:rPr>
            </w:pPr>
            <w:r>
              <w:rPr>
                <w:rFonts w:ascii="Times New Roman" w:hAnsi="Times New Roman" w:eastAsia="Times New Roman" w:cs="Times New Roman"/>
                <w:color w:val="auto"/>
                <w:spacing w:val="6"/>
                <w:position w:val="1"/>
              </w:rPr>
              <w:t>X</w:t>
            </w:r>
            <w:r>
              <w:rPr>
                <w:color w:val="auto"/>
                <w:spacing w:val="6"/>
                <w:position w:val="1"/>
              </w:rPr>
              <w:t>＜</w:t>
            </w:r>
            <w:r>
              <w:rPr>
                <w:rFonts w:ascii="Times New Roman" w:hAnsi="Times New Roman" w:eastAsia="Times New Roman" w:cs="Times New Roman"/>
                <w:color w:val="auto"/>
                <w:spacing w:val="6"/>
                <w:position w:val="1"/>
              </w:rPr>
              <w:t>10</w:t>
            </w:r>
          </w:p>
        </w:tc>
      </w:tr>
    </w:tbl>
    <w:p w14:paraId="5F70D851">
      <w:pPr>
        <w:spacing w:before="236" w:line="360" w:lineRule="auto"/>
        <w:ind w:left="17" w:hanging="1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说明：上述标准参照《关于印发中小企业划型标准规定的通知》（工信部联企业</w:t>
      </w:r>
      <w:r>
        <w:rPr>
          <w:rFonts w:hint="eastAsia" w:asciiTheme="minorEastAsia" w:hAnsiTheme="minorEastAsia" w:eastAsiaTheme="minorEastAsia" w:cstheme="minorEastAsia"/>
          <w:color w:val="auto"/>
          <w:spacing w:val="7"/>
          <w:sz w:val="24"/>
          <w:szCs w:val="24"/>
          <w:lang w:eastAsia="zh-CN"/>
        </w:rPr>
        <w:t>〔2011〕</w:t>
      </w:r>
      <w:r>
        <w:rPr>
          <w:rFonts w:hint="eastAsia" w:asciiTheme="minorEastAsia" w:hAnsiTheme="minorEastAsia" w:eastAsiaTheme="minorEastAsia" w:cstheme="minorEastAsia"/>
          <w:color w:val="auto"/>
          <w:spacing w:val="7"/>
          <w:sz w:val="24"/>
          <w:szCs w:val="24"/>
        </w:rPr>
        <w:t>300</w:t>
      </w:r>
      <w:r>
        <w:rPr>
          <w:rFonts w:hint="eastAsia" w:asciiTheme="minorEastAsia" w:hAnsiTheme="minorEastAsia" w:eastAsiaTheme="minorEastAsia" w:cstheme="minorEastAsia"/>
          <w:color w:val="auto"/>
          <w:spacing w:val="18"/>
          <w:sz w:val="24"/>
          <w:szCs w:val="24"/>
        </w:rPr>
        <w:t xml:space="preserve"> </w:t>
      </w:r>
      <w:r>
        <w:rPr>
          <w:rFonts w:hint="eastAsia" w:asciiTheme="minorEastAsia" w:hAnsiTheme="minorEastAsia" w:eastAsiaTheme="minorEastAsia" w:cstheme="minorEastAsia"/>
          <w:color w:val="auto"/>
          <w:spacing w:val="7"/>
          <w:sz w:val="24"/>
          <w:szCs w:val="24"/>
        </w:rPr>
        <w:t>号</w:t>
      </w:r>
      <w:r>
        <w:rPr>
          <w:rFonts w:hint="eastAsia" w:asciiTheme="minorEastAsia" w:hAnsiTheme="minorEastAsia" w:eastAsiaTheme="minorEastAsia" w:cstheme="minorEastAsia"/>
          <w:color w:val="auto"/>
          <w:spacing w:val="15"/>
          <w:sz w:val="24"/>
          <w:szCs w:val="24"/>
        </w:rPr>
        <w:t>），</w:t>
      </w:r>
      <w:r>
        <w:rPr>
          <w:rFonts w:hint="eastAsia" w:asciiTheme="minorEastAsia" w:hAnsiTheme="minorEastAsia" w:eastAsiaTheme="minorEastAsia" w:cstheme="minorEastAsia"/>
          <w:color w:val="auto"/>
          <w:spacing w:val="7"/>
          <w:sz w:val="24"/>
          <w:szCs w:val="24"/>
        </w:rPr>
        <w:t>大型、</w:t>
      </w:r>
      <w:r>
        <w:rPr>
          <w:rFonts w:hint="eastAsia" w:asciiTheme="minorEastAsia" w:hAnsiTheme="minorEastAsia" w:eastAsiaTheme="minorEastAsia" w:cstheme="minorEastAsia"/>
          <w:color w:val="auto"/>
          <w:spacing w:val="6"/>
          <w:sz w:val="24"/>
          <w:szCs w:val="24"/>
        </w:rPr>
        <w:t>中型和小型企业须同时满足所列指标的下限，</w:t>
      </w:r>
      <w:r>
        <w:rPr>
          <w:rFonts w:hint="eastAsia" w:asciiTheme="minorEastAsia" w:hAnsiTheme="minorEastAsia" w:eastAsiaTheme="minorEastAsia" w:cstheme="minorEastAsia"/>
          <w:color w:val="auto"/>
          <w:spacing w:val="5"/>
          <w:sz w:val="24"/>
          <w:szCs w:val="24"/>
        </w:rPr>
        <w:t>否则下划一档；微型企业只须满足所列指标中的一项即可。</w:t>
      </w:r>
    </w:p>
    <w:p w14:paraId="1CBB755E">
      <w:pPr>
        <w:spacing w:line="469" w:lineRule="auto"/>
        <w:rPr>
          <w:rFonts w:ascii="宋体" w:hAnsi="宋体" w:eastAsia="宋体" w:cs="宋体"/>
          <w:color w:val="auto"/>
          <w:sz w:val="20"/>
          <w:szCs w:val="20"/>
        </w:rPr>
        <w:sectPr>
          <w:footerReference r:id="rId30" w:type="default"/>
          <w:pgSz w:w="11906" w:h="16839"/>
          <w:pgMar w:top="1371" w:right="1179" w:bottom="1153" w:left="1258" w:header="0" w:footer="994" w:gutter="0"/>
          <w:pgNumType w:fmt="decimal"/>
          <w:cols w:space="720" w:num="1"/>
        </w:sectPr>
      </w:pPr>
    </w:p>
    <w:p w14:paraId="2021766D">
      <w:pPr>
        <w:spacing w:before="88" w:line="223" w:lineRule="auto"/>
        <w:ind w:left="2293"/>
        <w:rPr>
          <w:rFonts w:ascii="宋体" w:hAnsi="宋体" w:eastAsia="宋体" w:cs="宋体"/>
          <w:color w:val="auto"/>
          <w:sz w:val="43"/>
          <w:szCs w:val="43"/>
        </w:rPr>
      </w:pPr>
      <w:r>
        <w:rPr>
          <w:rFonts w:ascii="宋体" w:hAnsi="宋体" w:eastAsia="宋体" w:cs="宋体"/>
          <w:color w:val="auto"/>
          <w:spacing w:val="8"/>
          <w:sz w:val="43"/>
          <w:szCs w:val="43"/>
        </w:rPr>
        <w:t>残疾人福利性单位声明函</w:t>
      </w:r>
    </w:p>
    <w:p w14:paraId="57D4F6C6">
      <w:pPr>
        <w:spacing w:line="310" w:lineRule="auto"/>
        <w:rPr>
          <w:rFonts w:ascii="Arial"/>
          <w:color w:val="auto"/>
          <w:sz w:val="21"/>
        </w:rPr>
      </w:pPr>
    </w:p>
    <w:p w14:paraId="3D508C4A">
      <w:pPr>
        <w:spacing w:line="310" w:lineRule="auto"/>
        <w:rPr>
          <w:rFonts w:ascii="Arial"/>
          <w:color w:val="auto"/>
          <w:sz w:val="21"/>
        </w:rPr>
      </w:pPr>
    </w:p>
    <w:p w14:paraId="51A17F29">
      <w:pPr>
        <w:spacing w:before="78" w:line="360" w:lineRule="auto"/>
        <w:ind w:right="2" w:firstLine="481"/>
        <w:jc w:val="both"/>
        <w:rPr>
          <w:rFonts w:ascii="宋体" w:hAnsi="宋体" w:eastAsia="宋体" w:cs="宋体"/>
          <w:color w:val="auto"/>
          <w:sz w:val="24"/>
          <w:szCs w:val="24"/>
        </w:rPr>
      </w:pPr>
      <w:r>
        <w:rPr>
          <w:rFonts w:ascii="宋体" w:hAnsi="宋体" w:eastAsia="宋体" w:cs="宋体"/>
          <w:color w:val="auto"/>
          <w:spacing w:val="-1"/>
          <w:sz w:val="24"/>
          <w:szCs w:val="24"/>
        </w:rPr>
        <w:t>本单位郑重声明，根据《财政部</w:t>
      </w:r>
      <w:r>
        <w:rPr>
          <w:rFonts w:ascii="宋体" w:hAnsi="宋体" w:eastAsia="宋体" w:cs="宋体"/>
          <w:color w:val="auto"/>
          <w:spacing w:val="40"/>
          <w:sz w:val="24"/>
          <w:szCs w:val="24"/>
        </w:rPr>
        <w:t xml:space="preserve"> </w:t>
      </w:r>
      <w:r>
        <w:rPr>
          <w:rFonts w:ascii="宋体" w:hAnsi="宋体" w:eastAsia="宋体" w:cs="宋体"/>
          <w:color w:val="auto"/>
          <w:spacing w:val="-1"/>
          <w:sz w:val="24"/>
          <w:szCs w:val="24"/>
        </w:rPr>
        <w:t>民政部</w:t>
      </w:r>
      <w:r>
        <w:rPr>
          <w:rFonts w:ascii="宋体" w:hAnsi="宋体" w:eastAsia="宋体" w:cs="宋体"/>
          <w:color w:val="auto"/>
          <w:spacing w:val="34"/>
          <w:sz w:val="24"/>
          <w:szCs w:val="24"/>
        </w:rPr>
        <w:t xml:space="preserve"> </w:t>
      </w:r>
      <w:r>
        <w:rPr>
          <w:rFonts w:ascii="宋体" w:hAnsi="宋体" w:eastAsia="宋体" w:cs="宋体"/>
          <w:color w:val="auto"/>
          <w:spacing w:val="-1"/>
          <w:sz w:val="24"/>
          <w:szCs w:val="24"/>
        </w:rPr>
        <w:t>中国残疾人联合会关于促进残疾人就业政府</w:t>
      </w:r>
      <w:r>
        <w:rPr>
          <w:rFonts w:ascii="宋体" w:hAnsi="宋体" w:eastAsia="宋体" w:cs="宋体"/>
          <w:color w:val="auto"/>
          <w:spacing w:val="2"/>
          <w:sz w:val="24"/>
          <w:szCs w:val="24"/>
        </w:rPr>
        <w:t>采购政策的通知》（财库〔2017〕141</w:t>
      </w:r>
      <w:r>
        <w:rPr>
          <w:rFonts w:ascii="宋体" w:hAnsi="宋体" w:eastAsia="宋体" w:cs="宋体"/>
          <w:color w:val="auto"/>
          <w:spacing w:val="-40"/>
          <w:sz w:val="24"/>
          <w:szCs w:val="24"/>
        </w:rPr>
        <w:t xml:space="preserve"> </w:t>
      </w:r>
      <w:r>
        <w:rPr>
          <w:rFonts w:ascii="宋体" w:hAnsi="宋体" w:eastAsia="宋体" w:cs="宋体"/>
          <w:color w:val="auto"/>
          <w:spacing w:val="2"/>
          <w:sz w:val="24"/>
          <w:szCs w:val="24"/>
        </w:rPr>
        <w:t>号）的规定，本单位为符合条件的残疾人</w:t>
      </w:r>
      <w:r>
        <w:rPr>
          <w:rFonts w:ascii="宋体" w:hAnsi="宋体" w:eastAsia="宋体" w:cs="宋体"/>
          <w:color w:val="auto"/>
          <w:spacing w:val="1"/>
          <w:sz w:val="24"/>
          <w:szCs w:val="24"/>
        </w:rPr>
        <w:t>福利性单</w:t>
      </w:r>
      <w:r>
        <w:rPr>
          <w:rFonts w:ascii="宋体" w:hAnsi="宋体" w:eastAsia="宋体" w:cs="宋体"/>
          <w:color w:val="auto"/>
          <w:spacing w:val="-3"/>
          <w:sz w:val="24"/>
          <w:szCs w:val="24"/>
        </w:rPr>
        <w:t>位，且本单位参加</w:t>
      </w:r>
      <w:r>
        <w:rPr>
          <w:rFonts w:ascii="宋体" w:hAnsi="宋体" w:eastAsia="宋体" w:cs="宋体"/>
          <w:color w:val="auto"/>
          <w:spacing w:val="-104"/>
          <w:sz w:val="24"/>
          <w:szCs w:val="24"/>
        </w:rPr>
        <w:t xml:space="preserve"> </w:t>
      </w:r>
      <w:r>
        <w:rPr>
          <w:rFonts w:ascii="宋体" w:hAnsi="宋体" w:eastAsia="宋体" w:cs="宋体"/>
          <w:color w:val="auto"/>
          <w:sz w:val="24"/>
          <w:szCs w:val="24"/>
          <w:u w:val="single" w:color="auto"/>
        </w:rPr>
        <w:t xml:space="preserve">       </w:t>
      </w:r>
      <w:r>
        <w:rPr>
          <w:rFonts w:ascii="宋体" w:hAnsi="宋体" w:eastAsia="宋体" w:cs="宋体"/>
          <w:color w:val="auto"/>
          <w:spacing w:val="-109"/>
          <w:sz w:val="24"/>
          <w:szCs w:val="24"/>
        </w:rPr>
        <w:t xml:space="preserve"> </w:t>
      </w:r>
      <w:r>
        <w:rPr>
          <w:rFonts w:ascii="宋体" w:hAnsi="宋体" w:eastAsia="宋体" w:cs="宋体"/>
          <w:color w:val="auto"/>
          <w:spacing w:val="-3"/>
          <w:sz w:val="24"/>
          <w:szCs w:val="24"/>
        </w:rPr>
        <w:t>单位的</w:t>
      </w:r>
      <w:r>
        <w:rPr>
          <w:rFonts w:ascii="宋体" w:hAnsi="宋体" w:eastAsia="宋体" w:cs="宋体"/>
          <w:color w:val="auto"/>
          <w:spacing w:val="-3"/>
          <w:sz w:val="24"/>
          <w:szCs w:val="24"/>
          <w:u w:val="single" w:color="auto"/>
        </w:rPr>
        <w:t xml:space="preserve">        </w:t>
      </w:r>
      <w:r>
        <w:rPr>
          <w:rFonts w:ascii="宋体" w:hAnsi="宋体" w:eastAsia="宋体" w:cs="宋体"/>
          <w:color w:val="auto"/>
          <w:spacing w:val="-107"/>
          <w:sz w:val="24"/>
          <w:szCs w:val="24"/>
        </w:rPr>
        <w:t xml:space="preserve"> </w:t>
      </w:r>
      <w:r>
        <w:rPr>
          <w:rFonts w:ascii="宋体" w:hAnsi="宋体" w:eastAsia="宋体" w:cs="宋体"/>
          <w:color w:val="auto"/>
          <w:spacing w:val="-3"/>
          <w:sz w:val="24"/>
          <w:szCs w:val="24"/>
        </w:rPr>
        <w:t>项目采购活动提供本单位制造的货物（由本单位</w:t>
      </w:r>
      <w:r>
        <w:rPr>
          <w:rFonts w:ascii="宋体" w:hAnsi="宋体" w:eastAsia="宋体" w:cs="宋体"/>
          <w:color w:val="auto"/>
          <w:spacing w:val="-1"/>
          <w:sz w:val="24"/>
          <w:szCs w:val="24"/>
        </w:rPr>
        <w:t>承担工程/提供服务</w:t>
      </w:r>
      <w:r>
        <w:rPr>
          <w:rFonts w:ascii="宋体" w:hAnsi="宋体" w:eastAsia="宋体" w:cs="宋体"/>
          <w:color w:val="auto"/>
          <w:spacing w:val="-18"/>
          <w:sz w:val="24"/>
          <w:szCs w:val="24"/>
        </w:rPr>
        <w:t>），</w:t>
      </w:r>
      <w:r>
        <w:rPr>
          <w:rFonts w:ascii="宋体" w:hAnsi="宋体" w:eastAsia="宋体" w:cs="宋体"/>
          <w:color w:val="auto"/>
          <w:spacing w:val="-1"/>
          <w:sz w:val="24"/>
          <w:szCs w:val="24"/>
        </w:rPr>
        <w:t>或者提供其他残疾人福利性单位制造的货物（不包括</w:t>
      </w:r>
      <w:r>
        <w:rPr>
          <w:rFonts w:ascii="宋体" w:hAnsi="宋体" w:eastAsia="宋体" w:cs="宋体"/>
          <w:color w:val="auto"/>
          <w:spacing w:val="-2"/>
          <w:sz w:val="24"/>
          <w:szCs w:val="24"/>
        </w:rPr>
        <w:t>使用非残疾人</w:t>
      </w:r>
      <w:r>
        <w:rPr>
          <w:rFonts w:ascii="宋体" w:hAnsi="宋体" w:eastAsia="宋体" w:cs="宋体"/>
          <w:color w:val="auto"/>
          <w:spacing w:val="-1"/>
          <w:sz w:val="24"/>
          <w:szCs w:val="24"/>
        </w:rPr>
        <w:t>福利性单位注册商标的货物）。</w:t>
      </w:r>
    </w:p>
    <w:p w14:paraId="6FA7D406">
      <w:pPr>
        <w:spacing w:line="218" w:lineRule="auto"/>
        <w:ind w:left="481"/>
        <w:rPr>
          <w:rFonts w:ascii="宋体" w:hAnsi="宋体" w:eastAsia="宋体" w:cs="宋体"/>
          <w:color w:val="auto"/>
          <w:sz w:val="24"/>
          <w:szCs w:val="24"/>
        </w:rPr>
      </w:pPr>
      <w:r>
        <w:rPr>
          <w:rFonts w:ascii="宋体" w:hAnsi="宋体" w:eastAsia="宋体" w:cs="宋体"/>
          <w:color w:val="auto"/>
          <w:spacing w:val="-1"/>
          <w:sz w:val="24"/>
          <w:szCs w:val="24"/>
        </w:rPr>
        <w:t>本单位对上述声明的真实性负责。如有虚假，将依法承担相应责任。</w:t>
      </w:r>
    </w:p>
    <w:p w14:paraId="0DCA0808">
      <w:pPr>
        <w:spacing w:line="250" w:lineRule="auto"/>
        <w:rPr>
          <w:rFonts w:ascii="Arial"/>
          <w:color w:val="auto"/>
          <w:sz w:val="21"/>
        </w:rPr>
      </w:pPr>
    </w:p>
    <w:p w14:paraId="4D2C3C06">
      <w:pPr>
        <w:spacing w:line="250" w:lineRule="auto"/>
        <w:rPr>
          <w:rFonts w:ascii="Arial"/>
          <w:color w:val="auto"/>
          <w:sz w:val="21"/>
        </w:rPr>
      </w:pPr>
    </w:p>
    <w:p w14:paraId="538A1152">
      <w:pPr>
        <w:spacing w:line="250" w:lineRule="auto"/>
        <w:rPr>
          <w:rFonts w:ascii="Arial"/>
          <w:color w:val="auto"/>
          <w:sz w:val="21"/>
        </w:rPr>
      </w:pPr>
    </w:p>
    <w:p w14:paraId="5535C2EB">
      <w:pPr>
        <w:spacing w:line="250" w:lineRule="auto"/>
        <w:rPr>
          <w:rFonts w:ascii="Arial"/>
          <w:color w:val="auto"/>
          <w:sz w:val="21"/>
        </w:rPr>
      </w:pPr>
    </w:p>
    <w:p w14:paraId="74192AE3">
      <w:pPr>
        <w:spacing w:line="250" w:lineRule="auto"/>
        <w:rPr>
          <w:rFonts w:ascii="Arial"/>
          <w:color w:val="auto"/>
          <w:sz w:val="21"/>
        </w:rPr>
      </w:pPr>
    </w:p>
    <w:p w14:paraId="0DBA1144">
      <w:pPr>
        <w:spacing w:line="250" w:lineRule="auto"/>
        <w:rPr>
          <w:rFonts w:ascii="Arial"/>
          <w:color w:val="auto"/>
          <w:sz w:val="21"/>
        </w:rPr>
      </w:pPr>
    </w:p>
    <w:p w14:paraId="11687124">
      <w:pPr>
        <w:spacing w:before="78" w:line="219" w:lineRule="auto"/>
        <w:ind w:left="2402"/>
        <w:rPr>
          <w:rFonts w:ascii="宋体" w:hAnsi="宋体" w:eastAsia="宋体" w:cs="宋体"/>
          <w:color w:val="auto"/>
          <w:sz w:val="24"/>
          <w:szCs w:val="24"/>
        </w:rPr>
      </w:pPr>
      <w:r>
        <w:rPr>
          <w:rFonts w:ascii="宋体" w:hAnsi="宋体" w:eastAsia="宋体" w:cs="宋体"/>
          <w:color w:val="auto"/>
          <w:spacing w:val="-2"/>
          <w:sz w:val="24"/>
          <w:szCs w:val="24"/>
        </w:rPr>
        <w:t>单位名称（盖章</w:t>
      </w:r>
      <w:r>
        <w:rPr>
          <w:rFonts w:ascii="宋体" w:hAnsi="宋体" w:eastAsia="宋体" w:cs="宋体"/>
          <w:color w:val="auto"/>
          <w:sz w:val="24"/>
          <w:szCs w:val="24"/>
        </w:rPr>
        <w:t>）：</w:t>
      </w:r>
    </w:p>
    <w:p w14:paraId="4932C90B">
      <w:pPr>
        <w:spacing w:before="78" w:line="219" w:lineRule="auto"/>
        <w:ind w:left="2402"/>
        <w:rPr>
          <w:rFonts w:ascii="宋体" w:hAnsi="宋体" w:eastAsia="宋体" w:cs="宋体"/>
          <w:color w:val="auto"/>
          <w:sz w:val="24"/>
          <w:szCs w:val="24"/>
        </w:rPr>
      </w:pPr>
      <w:r>
        <w:rPr>
          <w:rFonts w:ascii="宋体" w:hAnsi="宋体" w:eastAsia="宋体" w:cs="宋体"/>
          <w:color w:val="auto"/>
          <w:sz w:val="24"/>
          <w:szCs w:val="24"/>
        </w:rPr>
        <w:t>日  期：</w:t>
      </w:r>
    </w:p>
    <w:p w14:paraId="2D4EA925">
      <w:pPr>
        <w:spacing w:line="249" w:lineRule="auto"/>
        <w:rPr>
          <w:rFonts w:ascii="Arial"/>
          <w:color w:val="auto"/>
          <w:sz w:val="21"/>
        </w:rPr>
      </w:pPr>
    </w:p>
    <w:p w14:paraId="2974D26E">
      <w:pPr>
        <w:spacing w:line="250" w:lineRule="auto"/>
        <w:rPr>
          <w:rFonts w:ascii="Arial"/>
          <w:color w:val="auto"/>
          <w:sz w:val="21"/>
        </w:rPr>
      </w:pPr>
    </w:p>
    <w:p w14:paraId="7962B47C">
      <w:pPr>
        <w:spacing w:line="250" w:lineRule="auto"/>
        <w:rPr>
          <w:rFonts w:ascii="Arial"/>
          <w:color w:val="auto"/>
          <w:sz w:val="21"/>
        </w:rPr>
      </w:pPr>
    </w:p>
    <w:p w14:paraId="74180536">
      <w:pPr>
        <w:spacing w:line="250" w:lineRule="auto"/>
        <w:rPr>
          <w:rFonts w:ascii="Arial"/>
          <w:color w:val="auto"/>
          <w:sz w:val="21"/>
        </w:rPr>
      </w:pPr>
    </w:p>
    <w:p w14:paraId="6ECA6027">
      <w:pPr>
        <w:spacing w:line="250" w:lineRule="auto"/>
        <w:rPr>
          <w:rFonts w:ascii="Arial"/>
          <w:color w:val="auto"/>
          <w:sz w:val="21"/>
        </w:rPr>
      </w:pPr>
    </w:p>
    <w:p w14:paraId="40E48BAB">
      <w:pPr>
        <w:spacing w:line="250" w:lineRule="auto"/>
        <w:rPr>
          <w:rFonts w:ascii="Arial"/>
          <w:color w:val="auto"/>
          <w:sz w:val="21"/>
        </w:rPr>
      </w:pPr>
    </w:p>
    <w:p w14:paraId="5F6D9A83">
      <w:pPr>
        <w:spacing w:before="78" w:line="361" w:lineRule="auto"/>
        <w:ind w:left="1" w:hanging="1"/>
        <w:jc w:val="both"/>
        <w:rPr>
          <w:rFonts w:ascii="宋体" w:hAnsi="宋体" w:eastAsia="宋体" w:cs="宋体"/>
          <w:color w:val="auto"/>
          <w:sz w:val="24"/>
          <w:szCs w:val="24"/>
        </w:rPr>
      </w:pPr>
      <w:r>
        <w:rPr>
          <w:rFonts w:ascii="宋体" w:hAnsi="宋体" w:eastAsia="宋体" w:cs="宋体"/>
          <w:color w:val="auto"/>
          <w:spacing w:val="1"/>
          <w:sz w:val="24"/>
          <w:szCs w:val="24"/>
        </w:rPr>
        <w:t>注：请根据自己的真实情况出具《残疾人福利性单位声明函》。依法享受中小企业优惠政策的，采购人或者采购代理机构在公告中标结果时，同时公告其《残疾人福利性单位声明</w:t>
      </w:r>
      <w:r>
        <w:rPr>
          <w:rFonts w:ascii="宋体" w:hAnsi="宋体" w:eastAsia="宋体" w:cs="宋体"/>
          <w:color w:val="auto"/>
          <w:spacing w:val="-2"/>
          <w:sz w:val="24"/>
          <w:szCs w:val="24"/>
        </w:rPr>
        <w:t>函》，接受社会监督。</w:t>
      </w:r>
    </w:p>
    <w:p w14:paraId="5FA7FE2B">
      <w:pPr>
        <w:spacing w:line="361" w:lineRule="auto"/>
        <w:rPr>
          <w:rFonts w:ascii="宋体" w:hAnsi="宋体" w:eastAsia="宋体" w:cs="宋体"/>
          <w:color w:val="auto"/>
          <w:sz w:val="24"/>
          <w:szCs w:val="24"/>
        </w:rPr>
        <w:sectPr>
          <w:footerReference r:id="rId31" w:type="default"/>
          <w:pgSz w:w="11906" w:h="16839"/>
          <w:pgMar w:top="1196" w:right="1245" w:bottom="1156" w:left="1256" w:header="0" w:footer="994" w:gutter="0"/>
          <w:pgNumType w:fmt="decimal"/>
          <w:cols w:space="720" w:num="1"/>
        </w:sectPr>
      </w:pPr>
    </w:p>
    <w:p w14:paraId="640C5285">
      <w:pPr>
        <w:spacing w:before="88" w:line="223" w:lineRule="auto"/>
        <w:ind w:left="3172"/>
        <w:rPr>
          <w:rFonts w:ascii="宋体" w:hAnsi="宋体" w:eastAsia="宋体" w:cs="宋体"/>
          <w:color w:val="auto"/>
          <w:sz w:val="43"/>
          <w:szCs w:val="43"/>
        </w:rPr>
      </w:pPr>
      <w:r>
        <w:rPr>
          <w:rFonts w:ascii="宋体" w:hAnsi="宋体" w:eastAsia="宋体" w:cs="宋体"/>
          <w:color w:val="auto"/>
          <w:spacing w:val="5"/>
          <w:sz w:val="43"/>
          <w:szCs w:val="43"/>
        </w:rPr>
        <w:t>质疑函（格式）</w:t>
      </w:r>
    </w:p>
    <w:p w14:paraId="3E8229B6">
      <w:pPr>
        <w:spacing w:before="125" w:line="219" w:lineRule="auto"/>
        <w:ind w:left="480"/>
        <w:rPr>
          <w:rFonts w:ascii="宋体" w:hAnsi="宋体" w:eastAsia="宋体" w:cs="宋体"/>
          <w:color w:val="auto"/>
          <w:sz w:val="24"/>
          <w:szCs w:val="24"/>
        </w:rPr>
      </w:pPr>
      <w:r>
        <w:rPr>
          <w:rFonts w:ascii="宋体" w:hAnsi="宋体" w:eastAsia="宋体" w:cs="宋体"/>
          <w:b/>
          <w:bCs/>
          <w:color w:val="auto"/>
          <w:spacing w:val="-3"/>
          <w:sz w:val="24"/>
          <w:szCs w:val="24"/>
        </w:rPr>
        <w:t>一、质疑供应商基本信息：</w:t>
      </w:r>
    </w:p>
    <w:p w14:paraId="6B921F03">
      <w:pPr>
        <w:spacing w:before="183" w:line="219" w:lineRule="auto"/>
        <w:ind w:left="478"/>
        <w:rPr>
          <w:rFonts w:ascii="宋体" w:hAnsi="宋体" w:eastAsia="宋体" w:cs="宋体"/>
          <w:color w:val="auto"/>
          <w:sz w:val="24"/>
          <w:szCs w:val="24"/>
        </w:rPr>
      </w:pPr>
      <w:r>
        <w:rPr>
          <w:rFonts w:ascii="宋体" w:hAnsi="宋体" w:eastAsia="宋体" w:cs="宋体"/>
          <w:color w:val="auto"/>
          <w:spacing w:val="-2"/>
          <w:sz w:val="24"/>
          <w:szCs w:val="24"/>
        </w:rPr>
        <w:t>质疑供应商：</w:t>
      </w:r>
      <w:r>
        <w:rPr>
          <w:rFonts w:ascii="宋体" w:hAnsi="宋体" w:eastAsia="宋体" w:cs="宋体"/>
          <w:color w:val="auto"/>
          <w:sz w:val="24"/>
          <w:szCs w:val="24"/>
          <w:u w:val="single" w:color="auto"/>
        </w:rPr>
        <w:t xml:space="preserve">                                       </w:t>
      </w:r>
    </w:p>
    <w:p w14:paraId="25F2183F">
      <w:pPr>
        <w:spacing w:before="184" w:line="219" w:lineRule="auto"/>
        <w:ind w:left="477"/>
        <w:rPr>
          <w:rFonts w:ascii="宋体" w:hAnsi="宋体" w:eastAsia="宋体" w:cs="宋体"/>
          <w:color w:val="auto"/>
          <w:sz w:val="24"/>
          <w:szCs w:val="24"/>
        </w:rPr>
      </w:pPr>
      <w:r>
        <w:rPr>
          <w:rFonts w:ascii="宋体" w:hAnsi="宋体" w:eastAsia="宋体" w:cs="宋体"/>
          <w:color w:val="auto"/>
          <w:spacing w:val="-4"/>
          <w:sz w:val="24"/>
          <w:szCs w:val="24"/>
        </w:rPr>
        <w:t>地址：</w:t>
      </w:r>
      <w:r>
        <w:rPr>
          <w:rFonts w:ascii="宋体" w:hAnsi="宋体" w:eastAsia="宋体" w:cs="宋体"/>
          <w:color w:val="auto"/>
          <w:spacing w:val="-4"/>
          <w:sz w:val="24"/>
          <w:szCs w:val="24"/>
          <w:u w:val="single" w:color="auto"/>
        </w:rPr>
        <w:t xml:space="preserve">                                           </w:t>
      </w:r>
      <w:r>
        <w:rPr>
          <w:rFonts w:ascii="宋体" w:hAnsi="宋体" w:eastAsia="宋体" w:cs="宋体"/>
          <w:color w:val="auto"/>
          <w:spacing w:val="-93"/>
          <w:sz w:val="24"/>
          <w:szCs w:val="24"/>
        </w:rPr>
        <w:t xml:space="preserve"> </w:t>
      </w:r>
      <w:r>
        <w:rPr>
          <w:rFonts w:ascii="宋体" w:hAnsi="宋体" w:eastAsia="宋体" w:cs="宋体"/>
          <w:color w:val="auto"/>
          <w:spacing w:val="-4"/>
          <w:sz w:val="24"/>
          <w:szCs w:val="24"/>
        </w:rPr>
        <w:t>邮编：</w:t>
      </w:r>
      <w:r>
        <w:rPr>
          <w:rFonts w:ascii="宋体" w:hAnsi="宋体" w:eastAsia="宋体" w:cs="宋体"/>
          <w:color w:val="auto"/>
          <w:spacing w:val="-4"/>
          <w:sz w:val="24"/>
          <w:szCs w:val="24"/>
          <w:u w:val="single" w:color="auto"/>
        </w:rPr>
        <w:t xml:space="preserve">             </w:t>
      </w:r>
      <w:r>
        <w:rPr>
          <w:rFonts w:ascii="宋体" w:hAnsi="宋体" w:eastAsia="宋体" w:cs="宋体"/>
          <w:color w:val="auto"/>
          <w:spacing w:val="-5"/>
          <w:sz w:val="24"/>
          <w:szCs w:val="24"/>
          <w:u w:val="single" w:color="auto"/>
        </w:rPr>
        <w:t xml:space="preserve">      </w:t>
      </w:r>
    </w:p>
    <w:p w14:paraId="2F357536">
      <w:pPr>
        <w:spacing w:before="183" w:line="221" w:lineRule="auto"/>
        <w:ind w:left="478"/>
        <w:rPr>
          <w:rFonts w:ascii="宋体" w:hAnsi="宋体" w:eastAsia="宋体" w:cs="宋体"/>
          <w:color w:val="auto"/>
          <w:sz w:val="24"/>
          <w:szCs w:val="24"/>
        </w:rPr>
      </w:pPr>
      <w:r>
        <w:rPr>
          <w:rFonts w:ascii="宋体" w:hAnsi="宋体" w:eastAsia="宋体" w:cs="宋体"/>
          <w:color w:val="auto"/>
          <w:spacing w:val="-1"/>
          <w:sz w:val="24"/>
          <w:szCs w:val="24"/>
        </w:rPr>
        <w:t>联系人：</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102"/>
          <w:sz w:val="24"/>
          <w:szCs w:val="24"/>
        </w:rPr>
        <w:t xml:space="preserve"> </w:t>
      </w:r>
      <w:r>
        <w:rPr>
          <w:rFonts w:ascii="宋体" w:hAnsi="宋体" w:eastAsia="宋体" w:cs="宋体"/>
          <w:color w:val="auto"/>
          <w:spacing w:val="-1"/>
          <w:sz w:val="24"/>
          <w:szCs w:val="24"/>
        </w:rPr>
        <w:t>联系电话：</w:t>
      </w:r>
      <w:r>
        <w:rPr>
          <w:rFonts w:ascii="宋体" w:hAnsi="宋体" w:eastAsia="宋体" w:cs="宋体"/>
          <w:color w:val="auto"/>
          <w:sz w:val="24"/>
          <w:szCs w:val="24"/>
          <w:u w:val="single" w:color="auto"/>
        </w:rPr>
        <w:t xml:space="preserve">                 </w:t>
      </w:r>
    </w:p>
    <w:p w14:paraId="4C0DC785">
      <w:pPr>
        <w:spacing w:before="180" w:line="219" w:lineRule="auto"/>
        <w:ind w:left="476"/>
        <w:rPr>
          <w:rFonts w:ascii="宋体" w:hAnsi="宋体" w:eastAsia="宋体" w:cs="宋体"/>
          <w:color w:val="auto"/>
          <w:sz w:val="24"/>
          <w:szCs w:val="24"/>
        </w:rPr>
      </w:pPr>
      <w:r>
        <w:rPr>
          <w:rFonts w:ascii="宋体" w:hAnsi="宋体" w:eastAsia="宋体" w:cs="宋体"/>
          <w:color w:val="auto"/>
          <w:spacing w:val="-2"/>
          <w:sz w:val="24"/>
          <w:szCs w:val="24"/>
        </w:rPr>
        <w:t>授权代表：</w:t>
      </w:r>
      <w:r>
        <w:rPr>
          <w:rFonts w:ascii="宋体" w:hAnsi="宋体" w:eastAsia="宋体" w:cs="宋体"/>
          <w:color w:val="auto"/>
          <w:sz w:val="24"/>
          <w:szCs w:val="24"/>
          <w:u w:val="single" w:color="auto"/>
        </w:rPr>
        <w:t xml:space="preserve">                      </w:t>
      </w:r>
    </w:p>
    <w:p w14:paraId="33B8C78A">
      <w:pPr>
        <w:spacing w:before="183" w:line="221" w:lineRule="auto"/>
        <w:ind w:left="478"/>
        <w:rPr>
          <w:rFonts w:ascii="宋体" w:hAnsi="宋体" w:eastAsia="宋体" w:cs="宋体"/>
          <w:color w:val="auto"/>
          <w:sz w:val="24"/>
          <w:szCs w:val="24"/>
        </w:rPr>
      </w:pPr>
      <w:r>
        <w:rPr>
          <w:rFonts w:ascii="宋体" w:hAnsi="宋体" w:eastAsia="宋体" w:cs="宋体"/>
          <w:color w:val="auto"/>
          <w:spacing w:val="-3"/>
          <w:sz w:val="24"/>
          <w:szCs w:val="24"/>
        </w:rPr>
        <w:t>联系电话：</w:t>
      </w:r>
      <w:r>
        <w:rPr>
          <w:rFonts w:ascii="宋体" w:hAnsi="宋体" w:eastAsia="宋体" w:cs="宋体"/>
          <w:color w:val="auto"/>
          <w:sz w:val="24"/>
          <w:szCs w:val="24"/>
          <w:u w:val="single" w:color="auto"/>
        </w:rPr>
        <w:t xml:space="preserve">                      </w:t>
      </w:r>
    </w:p>
    <w:p w14:paraId="6CC1662A">
      <w:pPr>
        <w:spacing w:before="181" w:line="219" w:lineRule="auto"/>
        <w:ind w:left="477"/>
        <w:rPr>
          <w:rFonts w:ascii="宋体" w:hAnsi="宋体" w:eastAsia="宋体" w:cs="宋体"/>
          <w:color w:val="auto"/>
          <w:sz w:val="24"/>
          <w:szCs w:val="24"/>
        </w:rPr>
      </w:pPr>
      <w:r>
        <w:rPr>
          <w:rFonts w:ascii="宋体" w:hAnsi="宋体" w:eastAsia="宋体" w:cs="宋体"/>
          <w:color w:val="auto"/>
          <w:spacing w:val="-7"/>
          <w:sz w:val="24"/>
          <w:szCs w:val="24"/>
        </w:rPr>
        <w:t>地址：</w:t>
      </w:r>
      <w:r>
        <w:rPr>
          <w:rFonts w:ascii="宋体" w:hAnsi="宋体" w:eastAsia="宋体" w:cs="宋体"/>
          <w:color w:val="auto"/>
          <w:spacing w:val="7"/>
          <w:sz w:val="24"/>
          <w:szCs w:val="24"/>
          <w:u w:val="single" w:color="auto"/>
        </w:rPr>
        <w:t xml:space="preserve">                </w:t>
      </w:r>
      <w:r>
        <w:rPr>
          <w:rFonts w:ascii="宋体" w:hAnsi="宋体" w:eastAsia="宋体" w:cs="宋体"/>
          <w:color w:val="auto"/>
          <w:spacing w:val="-81"/>
          <w:sz w:val="24"/>
          <w:szCs w:val="24"/>
        </w:rPr>
        <w:t xml:space="preserve"> </w:t>
      </w:r>
      <w:r>
        <w:rPr>
          <w:rFonts w:ascii="宋体" w:hAnsi="宋体" w:eastAsia="宋体" w:cs="宋体"/>
          <w:color w:val="auto"/>
          <w:spacing w:val="-7"/>
          <w:sz w:val="24"/>
          <w:szCs w:val="24"/>
        </w:rPr>
        <w:t>邮编：</w:t>
      </w:r>
      <w:r>
        <w:rPr>
          <w:rFonts w:ascii="宋体" w:hAnsi="宋体" w:eastAsia="宋体" w:cs="宋体"/>
          <w:color w:val="auto"/>
          <w:sz w:val="24"/>
          <w:szCs w:val="24"/>
          <w:u w:val="single" w:color="auto"/>
        </w:rPr>
        <w:t xml:space="preserve">                  </w:t>
      </w:r>
    </w:p>
    <w:p w14:paraId="2CE9B857">
      <w:pPr>
        <w:spacing w:before="182" w:line="219" w:lineRule="auto"/>
        <w:ind w:left="480"/>
        <w:rPr>
          <w:rFonts w:ascii="宋体" w:hAnsi="宋体" w:eastAsia="宋体" w:cs="宋体"/>
          <w:color w:val="auto"/>
          <w:sz w:val="24"/>
          <w:szCs w:val="24"/>
        </w:rPr>
      </w:pPr>
      <w:r>
        <w:rPr>
          <w:rFonts w:ascii="宋体" w:hAnsi="宋体" w:eastAsia="宋体" w:cs="宋体"/>
          <w:b/>
          <w:bCs/>
          <w:color w:val="auto"/>
          <w:spacing w:val="-3"/>
          <w:sz w:val="24"/>
          <w:szCs w:val="24"/>
        </w:rPr>
        <w:t>二、质疑项目基本情况：</w:t>
      </w:r>
    </w:p>
    <w:p w14:paraId="6893CADF">
      <w:pPr>
        <w:spacing w:before="184" w:line="220" w:lineRule="auto"/>
        <w:ind w:left="494"/>
        <w:rPr>
          <w:rFonts w:ascii="宋体" w:hAnsi="宋体" w:eastAsia="宋体" w:cs="宋体"/>
          <w:color w:val="auto"/>
          <w:sz w:val="24"/>
          <w:szCs w:val="24"/>
        </w:rPr>
      </w:pPr>
      <w:r>
        <w:rPr>
          <w:rFonts w:ascii="宋体" w:hAnsi="宋体" w:eastAsia="宋体" w:cs="宋体"/>
          <w:color w:val="auto"/>
          <w:spacing w:val="-2"/>
          <w:sz w:val="24"/>
          <w:szCs w:val="24"/>
        </w:rPr>
        <w:t>质疑项目的名称：</w:t>
      </w:r>
      <w:r>
        <w:rPr>
          <w:rFonts w:ascii="宋体" w:hAnsi="宋体" w:eastAsia="宋体" w:cs="宋体"/>
          <w:color w:val="auto"/>
          <w:sz w:val="24"/>
          <w:szCs w:val="24"/>
          <w:u w:val="single" w:color="auto"/>
        </w:rPr>
        <w:t xml:space="preserve">                                      </w:t>
      </w:r>
    </w:p>
    <w:p w14:paraId="59F9F283">
      <w:pPr>
        <w:spacing w:before="183" w:line="219" w:lineRule="auto"/>
        <w:ind w:left="494"/>
        <w:rPr>
          <w:rFonts w:ascii="宋体" w:hAnsi="宋体" w:eastAsia="宋体" w:cs="宋体"/>
          <w:color w:val="auto"/>
          <w:sz w:val="24"/>
          <w:szCs w:val="24"/>
        </w:rPr>
      </w:pPr>
      <w:r>
        <w:rPr>
          <w:rFonts w:ascii="宋体" w:hAnsi="宋体" w:eastAsia="宋体" w:cs="宋体"/>
          <w:color w:val="auto"/>
          <w:spacing w:val="-2"/>
          <w:sz w:val="24"/>
          <w:szCs w:val="24"/>
        </w:rPr>
        <w:t>质疑项目的编号：</w:t>
      </w:r>
      <w:r>
        <w:rPr>
          <w:rFonts w:ascii="宋体" w:hAnsi="宋体" w:eastAsia="宋体" w:cs="宋体"/>
          <w:color w:val="auto"/>
          <w:sz w:val="24"/>
          <w:szCs w:val="24"/>
          <w:u w:val="single" w:color="auto"/>
        </w:rPr>
        <w:t xml:space="preserve">                                      </w:t>
      </w:r>
    </w:p>
    <w:p w14:paraId="54AA171D">
      <w:pPr>
        <w:spacing w:before="182" w:line="219" w:lineRule="auto"/>
        <w:ind w:left="492"/>
        <w:rPr>
          <w:rFonts w:ascii="宋体" w:hAnsi="宋体" w:eastAsia="宋体" w:cs="宋体"/>
          <w:color w:val="auto"/>
          <w:sz w:val="24"/>
          <w:szCs w:val="24"/>
        </w:rPr>
      </w:pPr>
      <w:r>
        <w:rPr>
          <w:rFonts w:ascii="宋体" w:hAnsi="宋体" w:eastAsia="宋体" w:cs="宋体"/>
          <w:color w:val="auto"/>
          <w:spacing w:val="-2"/>
          <w:sz w:val="24"/>
          <w:szCs w:val="24"/>
        </w:rPr>
        <w:t>采购人名称：</w:t>
      </w:r>
      <w:r>
        <w:rPr>
          <w:rFonts w:ascii="宋体" w:hAnsi="宋体" w:eastAsia="宋体" w:cs="宋体"/>
          <w:color w:val="auto"/>
          <w:sz w:val="24"/>
          <w:szCs w:val="24"/>
          <w:u w:val="single" w:color="auto"/>
        </w:rPr>
        <w:t xml:space="preserve">                                          </w:t>
      </w:r>
    </w:p>
    <w:p w14:paraId="4017C674">
      <w:pPr>
        <w:spacing w:before="184" w:line="220" w:lineRule="auto"/>
        <w:ind w:left="494"/>
        <w:rPr>
          <w:rFonts w:ascii="宋体" w:hAnsi="宋体" w:eastAsia="宋体" w:cs="宋体"/>
          <w:color w:val="auto"/>
          <w:sz w:val="24"/>
          <w:szCs w:val="24"/>
        </w:rPr>
      </w:pPr>
      <w:r>
        <w:rPr>
          <w:rFonts w:ascii="宋体" w:hAnsi="宋体" w:eastAsia="宋体" w:cs="宋体"/>
          <w:color w:val="auto"/>
          <w:spacing w:val="-3"/>
          <w:sz w:val="24"/>
          <w:szCs w:val="24"/>
        </w:rPr>
        <w:t>质疑事项：</w:t>
      </w:r>
    </w:p>
    <w:p w14:paraId="5A9C4470">
      <w:pPr>
        <w:spacing w:before="181" w:line="219" w:lineRule="auto"/>
        <w:ind w:left="398"/>
        <w:rPr>
          <w:rFonts w:ascii="宋体" w:hAnsi="宋体" w:eastAsia="宋体" w:cs="宋体"/>
          <w:color w:val="auto"/>
          <w:sz w:val="24"/>
          <w:szCs w:val="24"/>
        </w:rPr>
      </w:pPr>
      <w:r>
        <w:rPr>
          <w:rFonts w:ascii="宋体" w:hAnsi="宋体" w:eastAsia="宋体" w:cs="宋体"/>
          <w:color w:val="auto"/>
          <w:spacing w:val="-3"/>
          <w:sz w:val="24"/>
          <w:szCs w:val="24"/>
        </w:rPr>
        <w:t>□采购文件   采购文件获取日期：</w:t>
      </w:r>
      <w:r>
        <w:rPr>
          <w:rFonts w:ascii="宋体" w:hAnsi="宋体" w:eastAsia="宋体" w:cs="宋体"/>
          <w:color w:val="auto"/>
          <w:spacing w:val="-3"/>
          <w:sz w:val="24"/>
          <w:szCs w:val="24"/>
          <w:u w:val="single" w:color="auto"/>
        </w:rPr>
        <w:t xml:space="preserve">                                    </w:t>
      </w:r>
    </w:p>
    <w:p w14:paraId="013F2E9B">
      <w:pPr>
        <w:spacing w:before="184" w:line="219" w:lineRule="auto"/>
        <w:ind w:left="398"/>
        <w:rPr>
          <w:rFonts w:ascii="宋体" w:hAnsi="宋体" w:eastAsia="宋体" w:cs="宋体"/>
          <w:color w:val="auto"/>
          <w:sz w:val="24"/>
          <w:szCs w:val="24"/>
        </w:rPr>
      </w:pPr>
      <w:r>
        <w:rPr>
          <w:rFonts w:ascii="宋体" w:hAnsi="宋体" w:eastAsia="宋体" w:cs="宋体"/>
          <w:color w:val="auto"/>
          <w:spacing w:val="-7"/>
          <w:sz w:val="24"/>
          <w:szCs w:val="24"/>
        </w:rPr>
        <w:t>□采购过程</w:t>
      </w:r>
    </w:p>
    <w:p w14:paraId="41F5114A">
      <w:pPr>
        <w:spacing w:before="183" w:line="220" w:lineRule="auto"/>
        <w:ind w:left="398"/>
        <w:rPr>
          <w:rFonts w:ascii="宋体" w:hAnsi="宋体" w:eastAsia="宋体" w:cs="宋体"/>
          <w:color w:val="auto"/>
          <w:sz w:val="24"/>
          <w:szCs w:val="24"/>
        </w:rPr>
      </w:pPr>
      <w:r>
        <w:rPr>
          <w:rFonts w:ascii="宋体" w:hAnsi="宋体" w:eastAsia="宋体" w:cs="宋体"/>
          <w:color w:val="auto"/>
          <w:spacing w:val="-7"/>
          <w:sz w:val="24"/>
          <w:szCs w:val="24"/>
        </w:rPr>
        <w:t>□成交结果</w:t>
      </w:r>
    </w:p>
    <w:p w14:paraId="5E209D0B">
      <w:pPr>
        <w:spacing w:before="183" w:line="219" w:lineRule="auto"/>
        <w:ind w:left="491"/>
        <w:rPr>
          <w:rFonts w:ascii="宋体" w:hAnsi="宋体" w:eastAsia="宋体" w:cs="宋体"/>
          <w:color w:val="auto"/>
          <w:sz w:val="24"/>
          <w:szCs w:val="24"/>
        </w:rPr>
      </w:pPr>
      <w:r>
        <w:rPr>
          <w:rFonts w:ascii="宋体" w:hAnsi="宋体" w:eastAsia="宋体" w:cs="宋体"/>
          <w:b/>
          <w:bCs/>
          <w:color w:val="auto"/>
          <w:spacing w:val="-3"/>
          <w:sz w:val="24"/>
          <w:szCs w:val="24"/>
        </w:rPr>
        <w:t>三、质疑事项具体内容</w:t>
      </w:r>
    </w:p>
    <w:p w14:paraId="3A1253E6">
      <w:pPr>
        <w:spacing w:before="183" w:line="360" w:lineRule="auto"/>
        <w:ind w:left="493"/>
        <w:rPr>
          <w:rFonts w:ascii="宋体" w:hAnsi="宋体" w:eastAsia="宋体" w:cs="宋体"/>
          <w:color w:val="auto"/>
          <w:spacing w:val="-3"/>
          <w:sz w:val="24"/>
          <w:szCs w:val="24"/>
          <w:u w:val="single" w:color="auto"/>
        </w:rPr>
      </w:pPr>
      <w:r>
        <w:rPr>
          <w:rFonts w:ascii="宋体" w:hAnsi="宋体" w:eastAsia="宋体" w:cs="宋体"/>
          <w:color w:val="auto"/>
          <w:spacing w:val="-2"/>
          <w:sz w:val="24"/>
          <w:szCs w:val="24"/>
        </w:rPr>
        <w:t>质疑事项</w:t>
      </w:r>
      <w:r>
        <w:rPr>
          <w:rFonts w:ascii="宋体" w:hAnsi="宋体" w:eastAsia="宋体" w:cs="宋体"/>
          <w:color w:val="auto"/>
          <w:spacing w:val="-33"/>
          <w:sz w:val="24"/>
          <w:szCs w:val="24"/>
        </w:rPr>
        <w:t xml:space="preserve"> </w:t>
      </w:r>
      <w:r>
        <w:rPr>
          <w:rFonts w:ascii="宋体" w:hAnsi="宋体" w:eastAsia="宋体" w:cs="宋体"/>
          <w:color w:val="auto"/>
          <w:spacing w:val="-2"/>
          <w:sz w:val="24"/>
          <w:szCs w:val="24"/>
        </w:rPr>
        <w:t>1：</w:t>
      </w:r>
      <w:r>
        <w:rPr>
          <w:rFonts w:ascii="宋体" w:hAnsi="宋体" w:eastAsia="宋体" w:cs="宋体"/>
          <w:color w:val="auto"/>
          <w:spacing w:val="-2"/>
          <w:sz w:val="24"/>
          <w:szCs w:val="24"/>
          <w:u w:val="single" w:color="auto"/>
        </w:rPr>
        <w:t xml:space="preserve">                  </w:t>
      </w:r>
      <w:r>
        <w:rPr>
          <w:rFonts w:ascii="宋体" w:hAnsi="宋体" w:eastAsia="宋体" w:cs="宋体"/>
          <w:color w:val="auto"/>
          <w:spacing w:val="-3"/>
          <w:sz w:val="24"/>
          <w:szCs w:val="24"/>
          <w:u w:val="single" w:color="auto"/>
        </w:rPr>
        <w:t xml:space="preserve">                                              </w:t>
      </w:r>
    </w:p>
    <w:p w14:paraId="2E5C92EB">
      <w:pPr>
        <w:spacing w:before="183" w:line="360" w:lineRule="auto"/>
        <w:ind w:left="493"/>
        <w:rPr>
          <w:rFonts w:ascii="宋体" w:hAnsi="宋体" w:eastAsia="宋体" w:cs="宋体"/>
          <w:color w:val="auto"/>
          <w:sz w:val="24"/>
          <w:szCs w:val="24"/>
        </w:rPr>
      </w:pPr>
      <w:r>
        <w:rPr>
          <w:rFonts w:ascii="宋体" w:hAnsi="宋体" w:eastAsia="宋体" w:cs="宋体"/>
          <w:color w:val="auto"/>
          <w:spacing w:val="-1"/>
          <w:sz w:val="24"/>
          <w:szCs w:val="24"/>
        </w:rPr>
        <w:t>事实依据：</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2"/>
          <w:sz w:val="24"/>
          <w:szCs w:val="24"/>
          <w:u w:val="single" w:color="auto"/>
        </w:rPr>
        <w:t xml:space="preserve">                            </w:t>
      </w:r>
    </w:p>
    <w:p w14:paraId="04519309">
      <w:pPr>
        <w:spacing w:before="2" w:line="360" w:lineRule="auto"/>
        <w:ind w:left="494"/>
        <w:rPr>
          <w:rFonts w:ascii="宋体" w:hAnsi="宋体" w:eastAsia="宋体" w:cs="宋体"/>
          <w:color w:val="auto"/>
          <w:sz w:val="24"/>
          <w:szCs w:val="24"/>
        </w:rPr>
      </w:pPr>
      <w:r>
        <w:rPr>
          <w:rFonts w:ascii="宋体" w:hAnsi="宋体" w:eastAsia="宋体" w:cs="宋体"/>
          <w:color w:val="auto"/>
          <w:spacing w:val="-3"/>
          <w:sz w:val="24"/>
          <w:szCs w:val="24"/>
        </w:rPr>
        <w:t>法律依据：</w:t>
      </w:r>
      <w:r>
        <w:rPr>
          <w:rFonts w:ascii="宋体" w:hAnsi="宋体" w:eastAsia="宋体" w:cs="宋体"/>
          <w:color w:val="auto"/>
          <w:spacing w:val="1"/>
          <w:sz w:val="24"/>
          <w:szCs w:val="24"/>
          <w:u w:val="single" w:color="auto"/>
        </w:rPr>
        <w:t xml:space="preserve">                                   </w:t>
      </w:r>
      <w:r>
        <w:rPr>
          <w:rFonts w:ascii="宋体" w:hAnsi="宋体" w:eastAsia="宋体" w:cs="宋体"/>
          <w:color w:val="auto"/>
          <w:sz w:val="24"/>
          <w:szCs w:val="24"/>
          <w:u w:val="single" w:color="auto"/>
        </w:rPr>
        <w:t xml:space="preserve">                             </w:t>
      </w:r>
      <w:r>
        <w:rPr>
          <w:rFonts w:ascii="宋体" w:hAnsi="宋体" w:eastAsia="宋体" w:cs="宋体"/>
          <w:color w:val="auto"/>
          <w:spacing w:val="-3"/>
          <w:sz w:val="24"/>
          <w:szCs w:val="24"/>
        </w:rPr>
        <w:t>质疑事项</w:t>
      </w:r>
      <w:r>
        <w:rPr>
          <w:rFonts w:ascii="宋体" w:hAnsi="宋体" w:eastAsia="宋体" w:cs="宋体"/>
          <w:color w:val="auto"/>
          <w:spacing w:val="-45"/>
          <w:sz w:val="24"/>
          <w:szCs w:val="24"/>
        </w:rPr>
        <w:t xml:space="preserve"> </w:t>
      </w:r>
      <w:r>
        <w:rPr>
          <w:rFonts w:ascii="宋体" w:hAnsi="宋体" w:eastAsia="宋体" w:cs="宋体"/>
          <w:color w:val="auto"/>
          <w:spacing w:val="-3"/>
          <w:sz w:val="24"/>
          <w:szCs w:val="24"/>
        </w:rPr>
        <w:t>2</w:t>
      </w:r>
    </w:p>
    <w:p w14:paraId="395BD169">
      <w:pPr>
        <w:spacing w:line="360" w:lineRule="auto"/>
        <w:ind w:left="509"/>
        <w:rPr>
          <w:rFonts w:ascii="宋体" w:hAnsi="宋体" w:eastAsia="宋体" w:cs="宋体"/>
          <w:color w:val="auto"/>
          <w:sz w:val="24"/>
          <w:szCs w:val="24"/>
        </w:rPr>
      </w:pPr>
      <w:r>
        <w:rPr>
          <w:rFonts w:ascii="宋体" w:hAnsi="宋体" w:eastAsia="宋体" w:cs="宋体"/>
          <w:color w:val="auto"/>
          <w:spacing w:val="-13"/>
          <w:position w:val="3"/>
          <w:sz w:val="24"/>
          <w:szCs w:val="24"/>
        </w:rPr>
        <w:t>……</w:t>
      </w:r>
    </w:p>
    <w:p w14:paraId="48A86E01">
      <w:pPr>
        <w:spacing w:before="90" w:line="220" w:lineRule="auto"/>
        <w:ind w:left="516"/>
        <w:rPr>
          <w:rFonts w:ascii="宋体" w:hAnsi="宋体" w:eastAsia="宋体" w:cs="宋体"/>
          <w:color w:val="auto"/>
          <w:sz w:val="24"/>
          <w:szCs w:val="24"/>
        </w:rPr>
      </w:pPr>
      <w:r>
        <w:rPr>
          <w:rFonts w:ascii="宋体" w:hAnsi="宋体" w:eastAsia="宋体" w:cs="宋体"/>
          <w:color w:val="auto"/>
          <w:spacing w:val="-3"/>
          <w:sz w:val="24"/>
          <w:szCs w:val="24"/>
        </w:rPr>
        <w:t>四、与质疑事项相关的质疑请求：</w:t>
      </w:r>
    </w:p>
    <w:p w14:paraId="7EE43914">
      <w:pPr>
        <w:spacing w:before="182" w:line="220" w:lineRule="auto"/>
        <w:ind w:left="491"/>
        <w:rPr>
          <w:rFonts w:ascii="宋体" w:hAnsi="宋体" w:eastAsia="宋体" w:cs="宋体"/>
          <w:color w:val="auto"/>
          <w:sz w:val="24"/>
          <w:szCs w:val="24"/>
        </w:rPr>
      </w:pPr>
      <w:r>
        <w:rPr>
          <w:rFonts w:ascii="宋体" w:hAnsi="宋体" w:eastAsia="宋体" w:cs="宋体"/>
          <w:color w:val="auto"/>
          <w:spacing w:val="-2"/>
          <w:sz w:val="24"/>
          <w:szCs w:val="24"/>
        </w:rPr>
        <w:t>请求：</w:t>
      </w:r>
      <w:r>
        <w:rPr>
          <w:rFonts w:ascii="宋体" w:hAnsi="宋体" w:eastAsia="宋体" w:cs="宋体"/>
          <w:color w:val="auto"/>
          <w:spacing w:val="-2"/>
          <w:sz w:val="24"/>
          <w:szCs w:val="24"/>
          <w:u w:val="single" w:color="auto"/>
        </w:rPr>
        <w:t xml:space="preserve">                                                                 </w:t>
      </w:r>
    </w:p>
    <w:p w14:paraId="5859D115">
      <w:pPr>
        <w:spacing w:line="283" w:lineRule="auto"/>
        <w:rPr>
          <w:rFonts w:ascii="Arial"/>
          <w:color w:val="auto"/>
          <w:sz w:val="21"/>
        </w:rPr>
      </w:pPr>
    </w:p>
    <w:p w14:paraId="5F434AE7">
      <w:pPr>
        <w:spacing w:line="284" w:lineRule="auto"/>
        <w:rPr>
          <w:rFonts w:ascii="Arial"/>
          <w:color w:val="auto"/>
          <w:sz w:val="21"/>
        </w:rPr>
      </w:pPr>
    </w:p>
    <w:p w14:paraId="0B7E9AA0">
      <w:pPr>
        <w:spacing w:before="79" w:line="219" w:lineRule="auto"/>
        <w:ind w:left="493"/>
        <w:rPr>
          <w:rFonts w:ascii="宋体" w:hAnsi="宋体" w:eastAsia="宋体" w:cs="宋体"/>
          <w:color w:val="auto"/>
          <w:sz w:val="24"/>
          <w:szCs w:val="24"/>
        </w:rPr>
      </w:pPr>
      <w:r>
        <w:rPr>
          <w:rFonts w:ascii="宋体" w:hAnsi="宋体" w:eastAsia="宋体" w:cs="宋体"/>
          <w:color w:val="auto"/>
          <w:spacing w:val="-4"/>
          <w:sz w:val="24"/>
          <w:szCs w:val="24"/>
        </w:rPr>
        <w:t>签字（签章</w:t>
      </w:r>
      <w:r>
        <w:rPr>
          <w:rFonts w:ascii="宋体" w:hAnsi="宋体" w:eastAsia="宋体" w:cs="宋体"/>
          <w:color w:val="auto"/>
          <w:spacing w:val="2"/>
          <w:sz w:val="24"/>
          <w:szCs w:val="24"/>
        </w:rPr>
        <w:t>）：</w:t>
      </w:r>
      <w:r>
        <w:rPr>
          <w:rFonts w:ascii="宋体" w:hAnsi="宋体" w:eastAsia="宋体" w:cs="宋体"/>
          <w:color w:val="auto"/>
          <w:sz w:val="24"/>
          <w:szCs w:val="24"/>
        </w:rPr>
        <w:t xml:space="preserve">                                       </w:t>
      </w:r>
      <w:r>
        <w:rPr>
          <w:rFonts w:ascii="宋体" w:hAnsi="宋体" w:eastAsia="宋体" w:cs="宋体"/>
          <w:color w:val="auto"/>
          <w:spacing w:val="-4"/>
          <w:sz w:val="24"/>
          <w:szCs w:val="24"/>
        </w:rPr>
        <w:t>公章：</w:t>
      </w:r>
    </w:p>
    <w:p w14:paraId="0140D23C">
      <w:pPr>
        <w:spacing w:before="79" w:line="219" w:lineRule="auto"/>
        <w:ind w:left="493"/>
        <w:rPr>
          <w:rFonts w:ascii="宋体" w:hAnsi="宋体" w:eastAsia="宋体" w:cs="宋体"/>
          <w:color w:val="auto"/>
          <w:spacing w:val="-4"/>
          <w:sz w:val="24"/>
          <w:szCs w:val="24"/>
        </w:rPr>
      </w:pPr>
      <w:r>
        <w:rPr>
          <w:rFonts w:ascii="宋体" w:hAnsi="宋体" w:eastAsia="宋体" w:cs="宋体"/>
          <w:color w:val="auto"/>
          <w:spacing w:val="-4"/>
          <w:sz w:val="24"/>
          <w:szCs w:val="24"/>
        </w:rPr>
        <w:t>日期：</w:t>
      </w:r>
    </w:p>
    <w:p w14:paraId="63D499C1">
      <w:pPr>
        <w:spacing w:before="182" w:line="219" w:lineRule="auto"/>
        <w:rPr>
          <w:rFonts w:ascii="宋体" w:hAnsi="宋体" w:eastAsia="宋体" w:cs="宋体"/>
          <w:color w:val="auto"/>
          <w:sz w:val="24"/>
          <w:szCs w:val="24"/>
        </w:rPr>
      </w:pPr>
      <w:r>
        <w:rPr>
          <w:rFonts w:ascii="宋体" w:hAnsi="宋体" w:eastAsia="宋体" w:cs="宋体"/>
          <w:b/>
          <w:bCs/>
          <w:color w:val="auto"/>
          <w:spacing w:val="-7"/>
          <w:sz w:val="24"/>
          <w:szCs w:val="24"/>
        </w:rPr>
        <w:t>说明：</w:t>
      </w:r>
    </w:p>
    <w:p w14:paraId="5B6737A5">
      <w:pPr>
        <w:spacing w:before="183" w:line="219" w:lineRule="auto"/>
        <w:ind w:left="391"/>
        <w:rPr>
          <w:rFonts w:ascii="宋体" w:hAnsi="宋体" w:eastAsia="宋体" w:cs="宋体"/>
          <w:color w:val="auto"/>
          <w:sz w:val="24"/>
          <w:szCs w:val="24"/>
        </w:rPr>
      </w:pPr>
      <w:r>
        <w:rPr>
          <w:rFonts w:ascii="宋体" w:hAnsi="宋体" w:eastAsia="宋体" w:cs="宋体"/>
          <w:b/>
          <w:bCs/>
          <w:color w:val="auto"/>
          <w:spacing w:val="-3"/>
          <w:sz w:val="24"/>
          <w:szCs w:val="24"/>
        </w:rPr>
        <w:t>1.供应商提出质疑时，应提交质疑函和必要的证明材料。</w:t>
      </w:r>
    </w:p>
    <w:p w14:paraId="4A5B6F03">
      <w:pPr>
        <w:spacing w:before="183" w:line="219" w:lineRule="auto"/>
        <w:ind w:right="2"/>
        <w:jc w:val="right"/>
        <w:rPr>
          <w:rFonts w:ascii="宋体" w:hAnsi="宋体" w:eastAsia="宋体" w:cs="宋体"/>
          <w:color w:val="auto"/>
          <w:sz w:val="24"/>
          <w:szCs w:val="24"/>
        </w:rPr>
      </w:pPr>
      <w:r>
        <w:rPr>
          <w:rFonts w:ascii="宋体" w:hAnsi="宋体" w:eastAsia="宋体" w:cs="宋体"/>
          <w:b/>
          <w:bCs/>
          <w:color w:val="auto"/>
          <w:sz w:val="24"/>
          <w:szCs w:val="24"/>
        </w:rPr>
        <w:t>2.质疑供应商若委托代理人进行质疑的，质疑函应按要求列明“授权代表</w:t>
      </w:r>
      <w:r>
        <w:rPr>
          <w:rFonts w:ascii="宋体" w:hAnsi="宋体" w:eastAsia="宋体" w:cs="宋体"/>
          <w:color w:val="auto"/>
          <w:spacing w:val="-78"/>
          <w:sz w:val="24"/>
          <w:szCs w:val="24"/>
        </w:rPr>
        <w:t xml:space="preserve"> </w:t>
      </w:r>
      <w:r>
        <w:rPr>
          <w:rFonts w:ascii="宋体" w:hAnsi="宋体" w:eastAsia="宋体" w:cs="宋体"/>
          <w:b/>
          <w:bCs/>
          <w:color w:val="auto"/>
          <w:sz w:val="24"/>
          <w:szCs w:val="24"/>
        </w:rPr>
        <w:t>”的有关内</w:t>
      </w:r>
    </w:p>
    <w:p w14:paraId="074A8086">
      <w:pPr>
        <w:spacing w:line="219" w:lineRule="auto"/>
        <w:rPr>
          <w:rFonts w:ascii="宋体" w:hAnsi="宋体" w:eastAsia="宋体" w:cs="宋体"/>
          <w:color w:val="auto"/>
          <w:sz w:val="24"/>
          <w:szCs w:val="24"/>
        </w:rPr>
        <w:sectPr>
          <w:footerReference r:id="rId32" w:type="default"/>
          <w:pgSz w:w="11906" w:h="16839"/>
          <w:pgMar w:top="1252" w:right="1247" w:bottom="1362" w:left="1260" w:header="0" w:footer="1200" w:gutter="0"/>
          <w:pgNumType w:fmt="decimal"/>
          <w:cols w:space="720" w:num="1"/>
        </w:sectPr>
      </w:pPr>
    </w:p>
    <w:p w14:paraId="6CF778B7">
      <w:pPr>
        <w:spacing w:before="47" w:line="360" w:lineRule="auto"/>
        <w:ind w:left="2"/>
        <w:rPr>
          <w:rFonts w:ascii="宋体" w:hAnsi="宋体" w:eastAsia="宋体" w:cs="宋体"/>
          <w:color w:val="auto"/>
          <w:sz w:val="24"/>
          <w:szCs w:val="24"/>
        </w:rPr>
      </w:pPr>
      <w:r>
        <w:rPr>
          <w:rFonts w:ascii="宋体" w:hAnsi="宋体" w:eastAsia="宋体" w:cs="宋体"/>
          <w:b/>
          <w:bCs/>
          <w:color w:val="auto"/>
          <w:spacing w:val="-2"/>
          <w:sz w:val="24"/>
          <w:szCs w:val="24"/>
        </w:rPr>
        <w:t>容，并在附件中提交由质疑供应商签署的授权委托书。授权委托书</w:t>
      </w:r>
      <w:r>
        <w:rPr>
          <w:rFonts w:ascii="宋体" w:hAnsi="宋体" w:eastAsia="宋体" w:cs="宋体"/>
          <w:b/>
          <w:bCs/>
          <w:color w:val="auto"/>
          <w:spacing w:val="-3"/>
          <w:sz w:val="24"/>
          <w:szCs w:val="24"/>
        </w:rPr>
        <w:t>应载明代理人的姓名或者名称、代理事项、具体权限、期限和相关事项。</w:t>
      </w:r>
    </w:p>
    <w:p w14:paraId="17613127">
      <w:pPr>
        <w:spacing w:line="218" w:lineRule="auto"/>
        <w:ind w:left="358"/>
        <w:rPr>
          <w:rFonts w:ascii="宋体" w:hAnsi="宋体" w:eastAsia="宋体" w:cs="宋体"/>
          <w:color w:val="auto"/>
          <w:sz w:val="24"/>
          <w:szCs w:val="24"/>
        </w:rPr>
      </w:pPr>
      <w:r>
        <w:rPr>
          <w:rFonts w:ascii="宋体" w:hAnsi="宋体" w:eastAsia="宋体" w:cs="宋体"/>
          <w:b/>
          <w:bCs/>
          <w:color w:val="auto"/>
          <w:spacing w:val="-2"/>
          <w:sz w:val="24"/>
          <w:szCs w:val="24"/>
        </w:rPr>
        <w:t>3.质疑函的质疑事项应具体、明确，并有必要的事实依据</w:t>
      </w:r>
      <w:r>
        <w:rPr>
          <w:rFonts w:ascii="宋体" w:hAnsi="宋体" w:eastAsia="宋体" w:cs="宋体"/>
          <w:b/>
          <w:bCs/>
          <w:color w:val="auto"/>
          <w:spacing w:val="-3"/>
          <w:sz w:val="24"/>
          <w:szCs w:val="24"/>
        </w:rPr>
        <w:t>和法律依据。</w:t>
      </w:r>
    </w:p>
    <w:p w14:paraId="238098EF">
      <w:pPr>
        <w:spacing w:before="183" w:line="220" w:lineRule="auto"/>
        <w:ind w:left="352"/>
        <w:rPr>
          <w:rFonts w:ascii="宋体" w:hAnsi="宋体" w:eastAsia="宋体" w:cs="宋体"/>
          <w:color w:val="auto"/>
          <w:sz w:val="24"/>
          <w:szCs w:val="24"/>
        </w:rPr>
      </w:pPr>
      <w:r>
        <w:rPr>
          <w:rFonts w:ascii="宋体" w:hAnsi="宋体" w:eastAsia="宋体" w:cs="宋体"/>
          <w:b/>
          <w:bCs/>
          <w:color w:val="auto"/>
          <w:spacing w:val="-3"/>
          <w:sz w:val="24"/>
          <w:szCs w:val="24"/>
        </w:rPr>
        <w:t>4.质疑函的质疑请求应与质疑事项相关。</w:t>
      </w:r>
    </w:p>
    <w:p w14:paraId="0EA700E1">
      <w:pPr>
        <w:spacing w:before="183" w:line="289" w:lineRule="auto"/>
        <w:ind w:firstLine="358"/>
        <w:rPr>
          <w:rFonts w:ascii="宋体" w:hAnsi="宋体" w:eastAsia="宋体" w:cs="宋体"/>
          <w:color w:val="auto"/>
          <w:sz w:val="24"/>
          <w:szCs w:val="24"/>
        </w:rPr>
      </w:pPr>
      <w:r>
        <w:rPr>
          <w:rFonts w:ascii="宋体" w:hAnsi="宋体" w:eastAsia="宋体" w:cs="宋体"/>
          <w:b/>
          <w:bCs/>
          <w:color w:val="auto"/>
          <w:spacing w:val="1"/>
          <w:sz w:val="24"/>
          <w:szCs w:val="24"/>
        </w:rPr>
        <w:t>5.质疑供应商为法人或者其他组织的，质疑函应由法定代表人、主要负责人，或者其</w:t>
      </w:r>
      <w:r>
        <w:rPr>
          <w:rFonts w:ascii="宋体" w:hAnsi="宋体" w:eastAsia="宋体" w:cs="宋体"/>
          <w:b/>
          <w:bCs/>
          <w:color w:val="auto"/>
          <w:spacing w:val="-3"/>
          <w:sz w:val="24"/>
          <w:szCs w:val="24"/>
        </w:rPr>
        <w:t>授权代表签字或者盖章，并加盖公章。</w:t>
      </w:r>
    </w:p>
    <w:p w14:paraId="650A049D">
      <w:pPr>
        <w:spacing w:line="289" w:lineRule="auto"/>
        <w:rPr>
          <w:rFonts w:ascii="宋体" w:hAnsi="宋体" w:eastAsia="宋体" w:cs="宋体"/>
          <w:color w:val="auto"/>
          <w:sz w:val="24"/>
          <w:szCs w:val="24"/>
        </w:rPr>
        <w:sectPr>
          <w:footerReference r:id="rId33" w:type="default"/>
          <w:pgSz w:w="11906" w:h="16839"/>
          <w:pgMar w:top="1314" w:right="1250" w:bottom="1362" w:left="1280" w:header="0" w:footer="1200" w:gutter="0"/>
          <w:pgNumType w:fmt="decimal"/>
          <w:cols w:space="720" w:num="1"/>
        </w:sectPr>
      </w:pPr>
    </w:p>
    <w:p w14:paraId="2267C673">
      <w:pPr>
        <w:spacing w:before="88" w:line="222" w:lineRule="auto"/>
        <w:ind w:left="3175"/>
        <w:rPr>
          <w:rFonts w:ascii="宋体" w:hAnsi="宋体" w:eastAsia="宋体" w:cs="宋体"/>
          <w:color w:val="auto"/>
          <w:sz w:val="43"/>
          <w:szCs w:val="43"/>
        </w:rPr>
      </w:pPr>
      <w:r>
        <w:rPr>
          <w:rFonts w:ascii="宋体" w:hAnsi="宋体" w:eastAsia="宋体" w:cs="宋体"/>
          <w:color w:val="auto"/>
          <w:spacing w:val="5"/>
          <w:sz w:val="43"/>
          <w:szCs w:val="43"/>
        </w:rPr>
        <w:t>投诉书（格式）</w:t>
      </w:r>
    </w:p>
    <w:p w14:paraId="11DE5B49">
      <w:pPr>
        <w:spacing w:before="48" w:line="219" w:lineRule="auto"/>
        <w:ind w:left="480"/>
        <w:rPr>
          <w:rFonts w:ascii="宋体" w:hAnsi="宋体" w:eastAsia="宋体" w:cs="宋体"/>
          <w:color w:val="auto"/>
          <w:sz w:val="24"/>
          <w:szCs w:val="24"/>
        </w:rPr>
      </w:pPr>
      <w:r>
        <w:rPr>
          <w:rFonts w:ascii="宋体" w:hAnsi="宋体" w:eastAsia="宋体" w:cs="宋体"/>
          <w:b/>
          <w:bCs/>
          <w:color w:val="auto"/>
          <w:spacing w:val="-3"/>
          <w:sz w:val="24"/>
          <w:szCs w:val="24"/>
        </w:rPr>
        <w:t>一、投诉相关主体基本情况：</w:t>
      </w:r>
    </w:p>
    <w:p w14:paraId="3E225100">
      <w:pPr>
        <w:spacing w:before="180" w:line="219" w:lineRule="auto"/>
        <w:ind w:left="477"/>
        <w:rPr>
          <w:rFonts w:ascii="宋体" w:hAnsi="宋体" w:eastAsia="宋体" w:cs="宋体"/>
          <w:color w:val="auto"/>
          <w:sz w:val="24"/>
          <w:szCs w:val="24"/>
        </w:rPr>
      </w:pPr>
      <w:r>
        <w:rPr>
          <w:rFonts w:ascii="宋体" w:hAnsi="宋体" w:eastAsia="宋体" w:cs="宋体"/>
          <w:color w:val="auto"/>
          <w:spacing w:val="-3"/>
          <w:sz w:val="24"/>
          <w:szCs w:val="24"/>
        </w:rPr>
        <w:t>供应商：</w:t>
      </w:r>
      <w:r>
        <w:rPr>
          <w:rFonts w:ascii="宋体" w:hAnsi="宋体" w:eastAsia="宋体" w:cs="宋体"/>
          <w:color w:val="auto"/>
          <w:sz w:val="24"/>
          <w:szCs w:val="24"/>
          <w:u w:val="single" w:color="auto"/>
        </w:rPr>
        <w:t xml:space="preserve">                                                                   </w:t>
      </w:r>
    </w:p>
    <w:p w14:paraId="1F9901ED">
      <w:pPr>
        <w:spacing w:before="184" w:line="219" w:lineRule="auto"/>
        <w:ind w:left="477"/>
        <w:rPr>
          <w:rFonts w:ascii="宋体" w:hAnsi="宋体" w:eastAsia="宋体" w:cs="宋体"/>
          <w:color w:val="auto"/>
          <w:sz w:val="24"/>
          <w:szCs w:val="24"/>
        </w:rPr>
      </w:pPr>
      <w:r>
        <w:rPr>
          <w:rFonts w:ascii="宋体" w:hAnsi="宋体" w:eastAsia="宋体" w:cs="宋体"/>
          <w:color w:val="auto"/>
          <w:spacing w:val="-3"/>
          <w:sz w:val="24"/>
          <w:szCs w:val="24"/>
        </w:rPr>
        <w:t>地址：</w:t>
      </w:r>
      <w:r>
        <w:rPr>
          <w:rFonts w:ascii="宋体" w:hAnsi="宋体" w:eastAsia="宋体" w:cs="宋体"/>
          <w:color w:val="auto"/>
          <w:spacing w:val="-3"/>
          <w:sz w:val="24"/>
          <w:szCs w:val="24"/>
          <w:u w:val="single" w:color="auto"/>
        </w:rPr>
        <w:t xml:space="preserve">                                           </w:t>
      </w:r>
      <w:r>
        <w:rPr>
          <w:rFonts w:ascii="宋体" w:hAnsi="宋体" w:eastAsia="宋体" w:cs="宋体"/>
          <w:color w:val="auto"/>
          <w:spacing w:val="-93"/>
          <w:sz w:val="24"/>
          <w:szCs w:val="24"/>
        </w:rPr>
        <w:t xml:space="preserve"> </w:t>
      </w:r>
      <w:r>
        <w:rPr>
          <w:rFonts w:ascii="宋体" w:hAnsi="宋体" w:eastAsia="宋体" w:cs="宋体"/>
          <w:color w:val="auto"/>
          <w:spacing w:val="-3"/>
          <w:sz w:val="24"/>
          <w:szCs w:val="24"/>
        </w:rPr>
        <w:t>邮编：</w:t>
      </w:r>
      <w:r>
        <w:rPr>
          <w:rFonts w:ascii="宋体" w:hAnsi="宋体" w:eastAsia="宋体" w:cs="宋体"/>
          <w:color w:val="auto"/>
          <w:spacing w:val="-3"/>
          <w:sz w:val="24"/>
          <w:szCs w:val="24"/>
          <w:u w:val="single" w:color="auto"/>
        </w:rPr>
        <w:t xml:space="preserve">   </w:t>
      </w:r>
      <w:r>
        <w:rPr>
          <w:rFonts w:ascii="宋体" w:hAnsi="宋体" w:eastAsia="宋体" w:cs="宋体"/>
          <w:color w:val="auto"/>
          <w:spacing w:val="-4"/>
          <w:sz w:val="24"/>
          <w:szCs w:val="24"/>
          <w:u w:val="single" w:color="auto"/>
        </w:rPr>
        <w:t xml:space="preserve">                  </w:t>
      </w:r>
    </w:p>
    <w:p w14:paraId="45D5F332">
      <w:pPr>
        <w:spacing w:before="181" w:line="219" w:lineRule="auto"/>
        <w:ind w:left="478"/>
        <w:rPr>
          <w:rFonts w:ascii="宋体" w:hAnsi="宋体" w:eastAsia="宋体" w:cs="宋体"/>
          <w:color w:val="auto"/>
          <w:sz w:val="24"/>
          <w:szCs w:val="24"/>
        </w:rPr>
      </w:pPr>
      <w:r>
        <w:rPr>
          <w:rFonts w:ascii="宋体" w:hAnsi="宋体" w:eastAsia="宋体" w:cs="宋体"/>
          <w:color w:val="auto"/>
          <w:spacing w:val="-1"/>
          <w:sz w:val="24"/>
          <w:szCs w:val="24"/>
        </w:rPr>
        <w:t>法定代表人/主要负责人：</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2"/>
          <w:sz w:val="24"/>
          <w:szCs w:val="24"/>
          <w:u w:val="single" w:color="auto"/>
        </w:rPr>
        <w:t xml:space="preserve">                  </w:t>
      </w:r>
    </w:p>
    <w:p w14:paraId="62696A7A">
      <w:pPr>
        <w:spacing w:before="183" w:line="221" w:lineRule="auto"/>
        <w:ind w:left="478"/>
        <w:rPr>
          <w:rFonts w:ascii="宋体" w:hAnsi="宋体" w:eastAsia="宋体" w:cs="宋体"/>
          <w:color w:val="auto"/>
          <w:sz w:val="24"/>
          <w:szCs w:val="24"/>
        </w:rPr>
      </w:pPr>
      <w:r>
        <w:rPr>
          <w:rFonts w:ascii="宋体" w:hAnsi="宋体" w:eastAsia="宋体" w:cs="宋体"/>
          <w:color w:val="auto"/>
          <w:spacing w:val="-3"/>
          <w:sz w:val="24"/>
          <w:szCs w:val="24"/>
        </w:rPr>
        <w:t>联系电话：</w:t>
      </w:r>
      <w:r>
        <w:rPr>
          <w:rFonts w:ascii="宋体" w:hAnsi="宋体" w:eastAsia="宋体" w:cs="宋体"/>
          <w:color w:val="auto"/>
          <w:sz w:val="24"/>
          <w:szCs w:val="24"/>
          <w:u w:val="single" w:color="auto"/>
        </w:rPr>
        <w:t xml:space="preserve">                                         </w:t>
      </w:r>
    </w:p>
    <w:p w14:paraId="2C0C970A">
      <w:pPr>
        <w:spacing w:before="178" w:line="219" w:lineRule="auto"/>
        <w:ind w:left="476"/>
        <w:rPr>
          <w:rFonts w:ascii="宋体" w:hAnsi="宋体" w:eastAsia="宋体" w:cs="宋体"/>
          <w:color w:val="auto"/>
          <w:sz w:val="24"/>
          <w:szCs w:val="24"/>
        </w:rPr>
      </w:pPr>
      <w:r>
        <w:rPr>
          <w:rFonts w:ascii="宋体" w:hAnsi="宋体" w:eastAsia="宋体" w:cs="宋体"/>
          <w:color w:val="auto"/>
          <w:spacing w:val="-1"/>
          <w:sz w:val="24"/>
          <w:szCs w:val="24"/>
        </w:rPr>
        <w:t>授权代表：</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2"/>
          <w:sz w:val="24"/>
          <w:szCs w:val="24"/>
          <w:u w:val="single" w:color="auto"/>
        </w:rPr>
        <w:t xml:space="preserve">      </w:t>
      </w:r>
      <w:r>
        <w:rPr>
          <w:rFonts w:ascii="宋体" w:hAnsi="宋体" w:eastAsia="宋体" w:cs="宋体"/>
          <w:color w:val="auto"/>
          <w:spacing w:val="-110"/>
          <w:sz w:val="24"/>
          <w:szCs w:val="24"/>
        </w:rPr>
        <w:t xml:space="preserve"> </w:t>
      </w:r>
      <w:r>
        <w:rPr>
          <w:rFonts w:ascii="宋体" w:hAnsi="宋体" w:eastAsia="宋体" w:cs="宋体"/>
          <w:color w:val="auto"/>
          <w:spacing w:val="-2"/>
          <w:sz w:val="24"/>
          <w:szCs w:val="24"/>
        </w:rPr>
        <w:t>联系电话：</w:t>
      </w:r>
      <w:r>
        <w:rPr>
          <w:rFonts w:ascii="宋体" w:hAnsi="宋体" w:eastAsia="宋体" w:cs="宋体"/>
          <w:color w:val="auto"/>
          <w:spacing w:val="-2"/>
          <w:sz w:val="24"/>
          <w:szCs w:val="24"/>
          <w:u w:val="single" w:color="auto"/>
        </w:rPr>
        <w:t xml:space="preserve">              </w:t>
      </w:r>
    </w:p>
    <w:p w14:paraId="66DC74EC">
      <w:pPr>
        <w:spacing w:before="183" w:line="229" w:lineRule="auto"/>
        <w:ind w:left="477"/>
        <w:rPr>
          <w:rFonts w:ascii="宋体" w:hAnsi="宋体" w:eastAsia="宋体" w:cs="宋体"/>
          <w:color w:val="auto"/>
          <w:sz w:val="24"/>
          <w:szCs w:val="24"/>
        </w:rPr>
      </w:pPr>
      <w:r>
        <w:rPr>
          <w:rFonts w:ascii="宋体" w:hAnsi="宋体" w:eastAsia="宋体" w:cs="宋体"/>
          <w:color w:val="auto"/>
          <w:spacing w:val="-2"/>
          <w:sz w:val="24"/>
          <w:szCs w:val="24"/>
        </w:rPr>
        <w:t>地址：</w:t>
      </w:r>
      <w:r>
        <w:rPr>
          <w:rFonts w:ascii="宋体" w:hAnsi="宋体" w:eastAsia="宋体" w:cs="宋体"/>
          <w:color w:val="auto"/>
          <w:spacing w:val="-2"/>
          <w:sz w:val="24"/>
          <w:szCs w:val="24"/>
          <w:u w:val="single" w:color="auto"/>
        </w:rPr>
        <w:t xml:space="preserve">                                                          </w:t>
      </w:r>
      <w:r>
        <w:rPr>
          <w:rFonts w:ascii="宋体" w:hAnsi="宋体" w:eastAsia="宋体" w:cs="宋体"/>
          <w:color w:val="auto"/>
          <w:spacing w:val="-3"/>
          <w:sz w:val="24"/>
          <w:szCs w:val="24"/>
          <w:u w:val="single" w:color="auto"/>
        </w:rPr>
        <w:t xml:space="preserve">   </w:t>
      </w:r>
    </w:p>
    <w:p w14:paraId="00D545FA">
      <w:pPr>
        <w:spacing w:before="171" w:line="219" w:lineRule="auto"/>
        <w:ind w:left="494"/>
        <w:rPr>
          <w:rFonts w:ascii="宋体" w:hAnsi="宋体" w:eastAsia="宋体" w:cs="宋体"/>
          <w:color w:val="auto"/>
          <w:sz w:val="24"/>
          <w:szCs w:val="24"/>
        </w:rPr>
      </w:pPr>
      <w:r>
        <w:rPr>
          <w:rFonts w:ascii="宋体" w:hAnsi="宋体" w:eastAsia="宋体" w:cs="宋体"/>
          <w:color w:val="auto"/>
          <w:spacing w:val="-10"/>
          <w:sz w:val="24"/>
          <w:szCs w:val="24"/>
        </w:rPr>
        <w:t>邮编：</w:t>
      </w:r>
      <w:r>
        <w:rPr>
          <w:rFonts w:ascii="宋体" w:hAnsi="宋体" w:eastAsia="宋体" w:cs="宋体"/>
          <w:color w:val="auto"/>
          <w:sz w:val="24"/>
          <w:szCs w:val="24"/>
          <w:u w:val="single" w:color="auto"/>
        </w:rPr>
        <w:t xml:space="preserve">         </w:t>
      </w:r>
    </w:p>
    <w:p w14:paraId="45251BC1">
      <w:pPr>
        <w:spacing w:before="181" w:line="219" w:lineRule="auto"/>
        <w:ind w:left="477"/>
        <w:rPr>
          <w:rFonts w:ascii="宋体" w:hAnsi="宋体" w:eastAsia="宋体" w:cs="宋体"/>
          <w:color w:val="auto"/>
          <w:sz w:val="24"/>
          <w:szCs w:val="24"/>
        </w:rPr>
      </w:pPr>
      <w:r>
        <w:rPr>
          <w:rFonts w:ascii="宋体" w:hAnsi="宋体" w:eastAsia="宋体" w:cs="宋体"/>
          <w:color w:val="auto"/>
          <w:spacing w:val="-7"/>
          <w:sz w:val="24"/>
          <w:szCs w:val="24"/>
        </w:rPr>
        <w:t>被投诉人</w:t>
      </w:r>
      <w:r>
        <w:rPr>
          <w:rFonts w:ascii="宋体" w:hAnsi="宋体" w:eastAsia="宋体" w:cs="宋体"/>
          <w:color w:val="auto"/>
          <w:spacing w:val="-29"/>
          <w:sz w:val="24"/>
          <w:szCs w:val="24"/>
        </w:rPr>
        <w:t xml:space="preserve"> </w:t>
      </w:r>
      <w:r>
        <w:rPr>
          <w:rFonts w:ascii="宋体" w:hAnsi="宋体" w:eastAsia="宋体" w:cs="宋体"/>
          <w:color w:val="auto"/>
          <w:spacing w:val="-7"/>
          <w:sz w:val="24"/>
          <w:szCs w:val="24"/>
        </w:rPr>
        <w:t>1：</w:t>
      </w:r>
    </w:p>
    <w:p w14:paraId="770D8F2C">
      <w:pPr>
        <w:spacing w:before="180" w:line="229" w:lineRule="auto"/>
        <w:ind w:left="477"/>
        <w:rPr>
          <w:rFonts w:ascii="宋体" w:hAnsi="宋体" w:eastAsia="宋体" w:cs="宋体"/>
          <w:color w:val="auto"/>
          <w:sz w:val="24"/>
          <w:szCs w:val="24"/>
        </w:rPr>
      </w:pPr>
      <w:r>
        <w:rPr>
          <w:rFonts w:ascii="宋体" w:hAnsi="宋体" w:eastAsia="宋体" w:cs="宋体"/>
          <w:color w:val="auto"/>
          <w:spacing w:val="-2"/>
          <w:sz w:val="24"/>
          <w:szCs w:val="24"/>
        </w:rPr>
        <w:t>地址：</w:t>
      </w:r>
      <w:r>
        <w:rPr>
          <w:rFonts w:ascii="宋体" w:hAnsi="宋体" w:eastAsia="宋体" w:cs="宋体"/>
          <w:color w:val="auto"/>
          <w:spacing w:val="-2"/>
          <w:sz w:val="24"/>
          <w:szCs w:val="24"/>
          <w:u w:val="single" w:color="auto"/>
        </w:rPr>
        <w:t xml:space="preserve">                                                          </w:t>
      </w:r>
      <w:r>
        <w:rPr>
          <w:rFonts w:ascii="宋体" w:hAnsi="宋体" w:eastAsia="宋体" w:cs="宋体"/>
          <w:color w:val="auto"/>
          <w:spacing w:val="-3"/>
          <w:sz w:val="24"/>
          <w:szCs w:val="24"/>
          <w:u w:val="single" w:color="auto"/>
        </w:rPr>
        <w:t xml:space="preserve">   </w:t>
      </w:r>
    </w:p>
    <w:p w14:paraId="1D5370C8">
      <w:pPr>
        <w:spacing w:before="171" w:line="219" w:lineRule="auto"/>
        <w:ind w:left="494"/>
        <w:rPr>
          <w:rFonts w:ascii="宋体" w:hAnsi="宋体" w:eastAsia="宋体" w:cs="宋体"/>
          <w:color w:val="auto"/>
          <w:sz w:val="24"/>
          <w:szCs w:val="24"/>
        </w:rPr>
      </w:pPr>
      <w:r>
        <w:rPr>
          <w:rFonts w:ascii="宋体" w:hAnsi="宋体" w:eastAsia="宋体" w:cs="宋体"/>
          <w:color w:val="auto"/>
          <w:spacing w:val="-10"/>
          <w:sz w:val="24"/>
          <w:szCs w:val="24"/>
        </w:rPr>
        <w:t>邮编：</w:t>
      </w:r>
      <w:r>
        <w:rPr>
          <w:rFonts w:ascii="宋体" w:hAnsi="宋体" w:eastAsia="宋体" w:cs="宋体"/>
          <w:color w:val="auto"/>
          <w:sz w:val="24"/>
          <w:szCs w:val="24"/>
          <w:u w:val="single" w:color="auto"/>
        </w:rPr>
        <w:t xml:space="preserve">         </w:t>
      </w:r>
    </w:p>
    <w:p w14:paraId="4C33D208">
      <w:pPr>
        <w:spacing w:before="183" w:line="221" w:lineRule="auto"/>
        <w:ind w:left="478"/>
        <w:rPr>
          <w:rFonts w:ascii="宋体" w:hAnsi="宋体" w:eastAsia="宋体" w:cs="宋体"/>
          <w:color w:val="auto"/>
          <w:sz w:val="24"/>
          <w:szCs w:val="24"/>
        </w:rPr>
      </w:pPr>
      <w:r>
        <w:rPr>
          <w:rFonts w:ascii="宋体" w:hAnsi="宋体" w:eastAsia="宋体" w:cs="宋体"/>
          <w:color w:val="auto"/>
          <w:spacing w:val="-1"/>
          <w:sz w:val="24"/>
          <w:szCs w:val="24"/>
        </w:rPr>
        <w:t>联系人：</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2"/>
          <w:sz w:val="24"/>
          <w:szCs w:val="24"/>
          <w:u w:val="single" w:color="auto"/>
        </w:rPr>
        <w:t xml:space="preserve">            </w:t>
      </w:r>
      <w:r>
        <w:rPr>
          <w:rFonts w:ascii="宋体" w:hAnsi="宋体" w:eastAsia="宋体" w:cs="宋体"/>
          <w:color w:val="auto"/>
          <w:spacing w:val="-110"/>
          <w:sz w:val="24"/>
          <w:szCs w:val="24"/>
        </w:rPr>
        <w:t xml:space="preserve"> </w:t>
      </w:r>
      <w:r>
        <w:rPr>
          <w:rFonts w:ascii="宋体" w:hAnsi="宋体" w:eastAsia="宋体" w:cs="宋体"/>
          <w:color w:val="auto"/>
          <w:spacing w:val="-2"/>
          <w:sz w:val="24"/>
          <w:szCs w:val="24"/>
        </w:rPr>
        <w:t>联系电话：</w:t>
      </w:r>
      <w:r>
        <w:rPr>
          <w:rFonts w:ascii="宋体" w:hAnsi="宋体" w:eastAsia="宋体" w:cs="宋体"/>
          <w:color w:val="auto"/>
          <w:spacing w:val="-2"/>
          <w:sz w:val="24"/>
          <w:szCs w:val="24"/>
          <w:u w:val="single" w:color="auto"/>
        </w:rPr>
        <w:t xml:space="preserve">         </w:t>
      </w:r>
    </w:p>
    <w:p w14:paraId="70109CC1">
      <w:pPr>
        <w:spacing w:before="179" w:line="219" w:lineRule="auto"/>
        <w:ind w:left="477"/>
        <w:rPr>
          <w:rFonts w:ascii="宋体" w:hAnsi="宋体" w:eastAsia="宋体" w:cs="宋体"/>
          <w:color w:val="auto"/>
          <w:sz w:val="24"/>
          <w:szCs w:val="24"/>
        </w:rPr>
      </w:pPr>
      <w:r>
        <w:rPr>
          <w:rFonts w:ascii="宋体" w:hAnsi="宋体" w:eastAsia="宋体" w:cs="宋体"/>
          <w:color w:val="auto"/>
          <w:spacing w:val="-4"/>
          <w:sz w:val="24"/>
          <w:szCs w:val="24"/>
        </w:rPr>
        <w:t>被投诉人</w:t>
      </w:r>
      <w:r>
        <w:rPr>
          <w:rFonts w:ascii="宋体" w:hAnsi="宋体" w:eastAsia="宋体" w:cs="宋体"/>
          <w:color w:val="auto"/>
          <w:spacing w:val="-47"/>
          <w:sz w:val="24"/>
          <w:szCs w:val="24"/>
        </w:rPr>
        <w:t xml:space="preserve"> </w:t>
      </w:r>
      <w:r>
        <w:rPr>
          <w:rFonts w:ascii="宋体" w:hAnsi="宋体" w:eastAsia="宋体" w:cs="宋体"/>
          <w:color w:val="auto"/>
          <w:spacing w:val="-4"/>
          <w:sz w:val="24"/>
          <w:szCs w:val="24"/>
        </w:rPr>
        <w:t>2：</w:t>
      </w:r>
    </w:p>
    <w:p w14:paraId="7317FE85">
      <w:pPr>
        <w:spacing w:before="182" w:line="378" w:lineRule="exact"/>
        <w:ind w:left="492"/>
        <w:rPr>
          <w:rFonts w:ascii="宋体" w:hAnsi="宋体" w:eastAsia="宋体" w:cs="宋体"/>
          <w:color w:val="auto"/>
          <w:sz w:val="24"/>
          <w:szCs w:val="24"/>
        </w:rPr>
      </w:pPr>
      <w:r>
        <w:rPr>
          <w:rFonts w:ascii="宋体" w:hAnsi="宋体" w:eastAsia="宋体" w:cs="宋体"/>
          <w:color w:val="auto"/>
          <w:spacing w:val="-13"/>
          <w:position w:val="3"/>
          <w:sz w:val="24"/>
          <w:szCs w:val="24"/>
        </w:rPr>
        <w:t>……</w:t>
      </w:r>
    </w:p>
    <w:p w14:paraId="21AF5524">
      <w:pPr>
        <w:spacing w:before="87" w:line="219" w:lineRule="auto"/>
        <w:ind w:left="477"/>
        <w:rPr>
          <w:rFonts w:ascii="宋体" w:hAnsi="宋体" w:eastAsia="宋体" w:cs="宋体"/>
          <w:color w:val="auto"/>
          <w:sz w:val="24"/>
          <w:szCs w:val="24"/>
        </w:rPr>
      </w:pPr>
      <w:r>
        <w:rPr>
          <w:rFonts w:ascii="宋体" w:hAnsi="宋体" w:eastAsia="宋体" w:cs="宋体"/>
          <w:color w:val="auto"/>
          <w:spacing w:val="-1"/>
          <w:sz w:val="24"/>
          <w:szCs w:val="24"/>
        </w:rPr>
        <w:t>相关供应商：</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2"/>
          <w:sz w:val="24"/>
          <w:szCs w:val="24"/>
          <w:u w:val="single" w:color="auto"/>
        </w:rPr>
        <w:t xml:space="preserve">            </w:t>
      </w:r>
    </w:p>
    <w:p w14:paraId="7540C8D5">
      <w:pPr>
        <w:spacing w:before="185" w:line="219" w:lineRule="auto"/>
        <w:ind w:left="477"/>
        <w:rPr>
          <w:rFonts w:ascii="宋体" w:hAnsi="宋体" w:eastAsia="宋体" w:cs="宋体"/>
          <w:color w:val="auto"/>
          <w:sz w:val="24"/>
          <w:szCs w:val="24"/>
        </w:rPr>
      </w:pPr>
      <w:r>
        <w:rPr>
          <w:rFonts w:ascii="宋体" w:hAnsi="宋体" w:eastAsia="宋体" w:cs="宋体"/>
          <w:color w:val="auto"/>
          <w:spacing w:val="-3"/>
          <w:sz w:val="24"/>
          <w:szCs w:val="24"/>
        </w:rPr>
        <w:t>地址：</w:t>
      </w:r>
      <w:r>
        <w:rPr>
          <w:rFonts w:ascii="宋体" w:hAnsi="宋体" w:eastAsia="宋体" w:cs="宋体"/>
          <w:color w:val="auto"/>
          <w:spacing w:val="-3"/>
          <w:sz w:val="24"/>
          <w:szCs w:val="24"/>
          <w:u w:val="single" w:color="auto"/>
        </w:rPr>
        <w:t xml:space="preserve">                                               </w:t>
      </w:r>
      <w:r>
        <w:rPr>
          <w:rFonts w:ascii="宋体" w:hAnsi="宋体" w:eastAsia="宋体" w:cs="宋体"/>
          <w:color w:val="auto"/>
          <w:spacing w:val="-93"/>
          <w:sz w:val="24"/>
          <w:szCs w:val="24"/>
        </w:rPr>
        <w:t xml:space="preserve"> </w:t>
      </w:r>
      <w:r>
        <w:rPr>
          <w:rFonts w:ascii="宋体" w:hAnsi="宋体" w:eastAsia="宋体" w:cs="宋体"/>
          <w:color w:val="auto"/>
          <w:spacing w:val="-3"/>
          <w:sz w:val="24"/>
          <w:szCs w:val="24"/>
        </w:rPr>
        <w:t>邮编</w:t>
      </w:r>
      <w:r>
        <w:rPr>
          <w:rFonts w:ascii="宋体" w:hAnsi="宋体" w:eastAsia="宋体" w:cs="宋体"/>
          <w:color w:val="auto"/>
          <w:spacing w:val="-4"/>
          <w:sz w:val="24"/>
          <w:szCs w:val="24"/>
        </w:rPr>
        <w:t>：</w:t>
      </w:r>
      <w:r>
        <w:rPr>
          <w:rFonts w:ascii="宋体" w:hAnsi="宋体" w:eastAsia="宋体" w:cs="宋体"/>
          <w:color w:val="auto"/>
          <w:spacing w:val="-4"/>
          <w:sz w:val="24"/>
          <w:szCs w:val="24"/>
          <w:u w:val="single" w:color="auto"/>
        </w:rPr>
        <w:t xml:space="preserve">                 </w:t>
      </w:r>
    </w:p>
    <w:p w14:paraId="3C2948ED">
      <w:pPr>
        <w:spacing w:before="181" w:line="221" w:lineRule="auto"/>
        <w:ind w:left="478"/>
        <w:rPr>
          <w:rFonts w:ascii="宋体" w:hAnsi="宋体" w:eastAsia="宋体" w:cs="宋体"/>
          <w:color w:val="auto"/>
          <w:sz w:val="24"/>
          <w:szCs w:val="24"/>
        </w:rPr>
      </w:pPr>
      <w:r>
        <w:rPr>
          <w:rFonts w:ascii="宋体" w:hAnsi="宋体" w:eastAsia="宋体" w:cs="宋体"/>
          <w:color w:val="auto"/>
          <w:spacing w:val="-1"/>
          <w:sz w:val="24"/>
          <w:szCs w:val="24"/>
        </w:rPr>
        <w:t>联系人：</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2"/>
          <w:sz w:val="24"/>
          <w:szCs w:val="24"/>
          <w:u w:val="single" w:color="auto"/>
        </w:rPr>
        <w:t xml:space="preserve">        </w:t>
      </w:r>
      <w:r>
        <w:rPr>
          <w:rFonts w:ascii="宋体" w:hAnsi="宋体" w:eastAsia="宋体" w:cs="宋体"/>
          <w:color w:val="auto"/>
          <w:spacing w:val="-110"/>
          <w:sz w:val="24"/>
          <w:szCs w:val="24"/>
        </w:rPr>
        <w:t xml:space="preserve"> </w:t>
      </w:r>
      <w:r>
        <w:rPr>
          <w:rFonts w:ascii="宋体" w:hAnsi="宋体" w:eastAsia="宋体" w:cs="宋体"/>
          <w:color w:val="auto"/>
          <w:spacing w:val="-2"/>
          <w:sz w:val="24"/>
          <w:szCs w:val="24"/>
        </w:rPr>
        <w:t>联系电话：</w:t>
      </w:r>
      <w:r>
        <w:rPr>
          <w:rFonts w:ascii="宋体" w:hAnsi="宋体" w:eastAsia="宋体" w:cs="宋体"/>
          <w:color w:val="auto"/>
          <w:spacing w:val="-2"/>
          <w:sz w:val="24"/>
          <w:szCs w:val="24"/>
          <w:u w:val="single" w:color="auto"/>
        </w:rPr>
        <w:t xml:space="preserve">             </w:t>
      </w:r>
    </w:p>
    <w:p w14:paraId="786A9A25">
      <w:pPr>
        <w:spacing w:before="179" w:line="219" w:lineRule="auto"/>
        <w:ind w:left="480"/>
        <w:rPr>
          <w:rFonts w:ascii="宋体" w:hAnsi="宋体" w:eastAsia="宋体" w:cs="宋体"/>
          <w:color w:val="auto"/>
          <w:sz w:val="24"/>
          <w:szCs w:val="24"/>
        </w:rPr>
      </w:pPr>
      <w:r>
        <w:rPr>
          <w:rFonts w:ascii="宋体" w:hAnsi="宋体" w:eastAsia="宋体" w:cs="宋体"/>
          <w:b/>
          <w:bCs/>
          <w:color w:val="auto"/>
          <w:spacing w:val="-3"/>
          <w:sz w:val="24"/>
          <w:szCs w:val="24"/>
        </w:rPr>
        <w:t>二、投诉项目基本情况：</w:t>
      </w:r>
    </w:p>
    <w:p w14:paraId="4995FA2C">
      <w:pPr>
        <w:spacing w:before="260" w:line="219" w:lineRule="auto"/>
        <w:ind w:left="492"/>
        <w:rPr>
          <w:rFonts w:ascii="宋体" w:hAnsi="宋体" w:eastAsia="宋体" w:cs="宋体"/>
          <w:color w:val="auto"/>
          <w:sz w:val="24"/>
          <w:szCs w:val="24"/>
        </w:rPr>
      </w:pPr>
      <w:r>
        <w:rPr>
          <w:rFonts w:ascii="宋体" w:hAnsi="宋体" w:eastAsia="宋体" w:cs="宋体"/>
          <w:color w:val="auto"/>
          <w:spacing w:val="-1"/>
          <w:sz w:val="24"/>
          <w:szCs w:val="24"/>
        </w:rPr>
        <w:t>采购项目的名称：</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2"/>
          <w:sz w:val="24"/>
          <w:szCs w:val="24"/>
          <w:u w:val="single" w:color="auto"/>
        </w:rPr>
        <w:t xml:space="preserve">                              </w:t>
      </w:r>
    </w:p>
    <w:p w14:paraId="6AA770C7">
      <w:pPr>
        <w:spacing w:before="184" w:line="219" w:lineRule="auto"/>
        <w:ind w:left="492"/>
        <w:rPr>
          <w:rFonts w:ascii="宋体" w:hAnsi="宋体" w:eastAsia="宋体" w:cs="宋体"/>
          <w:color w:val="auto"/>
          <w:sz w:val="24"/>
          <w:szCs w:val="24"/>
        </w:rPr>
      </w:pPr>
      <w:r>
        <w:rPr>
          <w:rFonts w:ascii="宋体" w:hAnsi="宋体" w:eastAsia="宋体" w:cs="宋体"/>
          <w:color w:val="auto"/>
          <w:spacing w:val="-2"/>
          <w:sz w:val="24"/>
          <w:szCs w:val="24"/>
        </w:rPr>
        <w:t>采购项目的编号：</w:t>
      </w:r>
      <w:r>
        <w:rPr>
          <w:rFonts w:ascii="宋体" w:hAnsi="宋体" w:eastAsia="宋体" w:cs="宋体"/>
          <w:color w:val="auto"/>
          <w:sz w:val="24"/>
          <w:szCs w:val="24"/>
          <w:u w:val="single" w:color="auto"/>
        </w:rPr>
        <w:t xml:space="preserve">                                           </w:t>
      </w:r>
    </w:p>
    <w:p w14:paraId="0F000960">
      <w:pPr>
        <w:tabs>
          <w:tab w:val="left" w:pos="9397"/>
        </w:tabs>
        <w:spacing w:before="184" w:line="360" w:lineRule="auto"/>
        <w:ind w:left="492"/>
        <w:jc w:val="both"/>
        <w:rPr>
          <w:rFonts w:ascii="宋体" w:hAnsi="宋体" w:eastAsia="宋体" w:cs="宋体"/>
          <w:color w:val="auto"/>
          <w:sz w:val="24"/>
          <w:szCs w:val="24"/>
        </w:rPr>
      </w:pPr>
      <w:r>
        <w:rPr>
          <w:rFonts w:ascii="宋体" w:hAnsi="宋体" w:eastAsia="宋体" w:cs="宋体"/>
          <w:color w:val="auto"/>
          <w:spacing w:val="-2"/>
          <w:sz w:val="24"/>
          <w:szCs w:val="24"/>
        </w:rPr>
        <w:t>采购人名称：</w:t>
      </w:r>
      <w:r>
        <w:rPr>
          <w:rFonts w:ascii="宋体" w:hAnsi="宋体" w:eastAsia="宋体" w:cs="宋体"/>
          <w:color w:val="auto"/>
          <w:sz w:val="24"/>
          <w:szCs w:val="24"/>
          <w:u w:val="single" w:color="auto"/>
        </w:rPr>
        <w:tab/>
      </w:r>
      <w:r>
        <w:rPr>
          <w:rFonts w:ascii="宋体" w:hAnsi="宋体" w:eastAsia="宋体" w:cs="宋体"/>
          <w:color w:val="auto"/>
          <w:sz w:val="24"/>
          <w:szCs w:val="24"/>
        </w:rPr>
        <w:t xml:space="preserve"> </w:t>
      </w:r>
      <w:r>
        <w:rPr>
          <w:rFonts w:ascii="宋体" w:hAnsi="宋体" w:eastAsia="宋体" w:cs="宋体"/>
          <w:color w:val="auto"/>
          <w:spacing w:val="-2"/>
          <w:sz w:val="24"/>
          <w:szCs w:val="24"/>
        </w:rPr>
        <w:t>代理机构名称：</w:t>
      </w:r>
      <w:r>
        <w:rPr>
          <w:rFonts w:ascii="宋体" w:hAnsi="宋体" w:eastAsia="宋体" w:cs="宋体"/>
          <w:color w:val="auto"/>
          <w:sz w:val="24"/>
          <w:szCs w:val="24"/>
          <w:u w:val="single" w:color="auto"/>
        </w:rPr>
        <w:tab/>
      </w:r>
      <w:r>
        <w:rPr>
          <w:rFonts w:ascii="宋体" w:hAnsi="宋体" w:eastAsia="宋体" w:cs="宋体"/>
          <w:color w:val="auto"/>
          <w:sz w:val="24"/>
          <w:szCs w:val="24"/>
        </w:rPr>
        <w:t xml:space="preserve"> </w:t>
      </w:r>
      <w:r>
        <w:rPr>
          <w:rFonts w:ascii="宋体" w:hAnsi="宋体" w:eastAsia="宋体" w:cs="宋体"/>
          <w:color w:val="auto"/>
          <w:spacing w:val="-1"/>
          <w:sz w:val="24"/>
          <w:szCs w:val="24"/>
        </w:rPr>
        <w:t>采购文件公告：</w:t>
      </w:r>
      <w:r>
        <w:rPr>
          <w:rFonts w:ascii="宋体" w:hAnsi="宋体" w:eastAsia="宋体" w:cs="宋体"/>
          <w:color w:val="auto"/>
          <w:spacing w:val="-1"/>
          <w:sz w:val="24"/>
          <w:szCs w:val="24"/>
          <w:u w:val="single" w:color="auto"/>
        </w:rPr>
        <w:t>是/否</w:t>
      </w:r>
      <w:r>
        <w:rPr>
          <w:rFonts w:ascii="宋体" w:hAnsi="宋体" w:eastAsia="宋体" w:cs="宋体"/>
          <w:color w:val="auto"/>
          <w:spacing w:val="-1"/>
          <w:sz w:val="24"/>
          <w:szCs w:val="24"/>
        </w:rPr>
        <w:t>公告期限：</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2"/>
          <w:sz w:val="24"/>
          <w:szCs w:val="24"/>
          <w:u w:val="single" w:color="auto"/>
        </w:rPr>
        <w:t xml:space="preserve">                                    </w:t>
      </w:r>
    </w:p>
    <w:p w14:paraId="6633AFEC">
      <w:pPr>
        <w:spacing w:before="1" w:line="217" w:lineRule="auto"/>
        <w:ind w:left="492"/>
        <w:rPr>
          <w:rFonts w:ascii="宋体" w:hAnsi="宋体" w:eastAsia="宋体" w:cs="宋体"/>
          <w:color w:val="auto"/>
          <w:sz w:val="24"/>
          <w:szCs w:val="24"/>
        </w:rPr>
      </w:pPr>
      <w:r>
        <w:rPr>
          <w:rFonts w:ascii="宋体" w:hAnsi="宋体" w:eastAsia="宋体" w:cs="宋体"/>
          <w:color w:val="auto"/>
          <w:spacing w:val="-1"/>
          <w:sz w:val="24"/>
          <w:szCs w:val="24"/>
        </w:rPr>
        <w:t>采购结果公告：</w:t>
      </w:r>
      <w:r>
        <w:rPr>
          <w:rFonts w:ascii="宋体" w:hAnsi="宋体" w:eastAsia="宋体" w:cs="宋体"/>
          <w:color w:val="auto"/>
          <w:spacing w:val="-1"/>
          <w:sz w:val="24"/>
          <w:szCs w:val="24"/>
          <w:u w:val="single" w:color="auto"/>
        </w:rPr>
        <w:t>是/否</w:t>
      </w:r>
      <w:r>
        <w:rPr>
          <w:rFonts w:ascii="宋体" w:hAnsi="宋体" w:eastAsia="宋体" w:cs="宋体"/>
          <w:color w:val="auto"/>
          <w:spacing w:val="-1"/>
          <w:sz w:val="24"/>
          <w:szCs w:val="24"/>
        </w:rPr>
        <w:t>公告期限：</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2"/>
          <w:sz w:val="24"/>
          <w:szCs w:val="24"/>
          <w:u w:val="single" w:color="auto"/>
        </w:rPr>
        <w:t xml:space="preserve">                                    </w:t>
      </w:r>
    </w:p>
    <w:p w14:paraId="17874FCB">
      <w:pPr>
        <w:spacing w:before="184" w:line="219" w:lineRule="auto"/>
        <w:ind w:left="491"/>
        <w:rPr>
          <w:rFonts w:ascii="宋体" w:hAnsi="宋体" w:eastAsia="宋体" w:cs="宋体"/>
          <w:color w:val="auto"/>
          <w:sz w:val="24"/>
          <w:szCs w:val="24"/>
        </w:rPr>
      </w:pPr>
      <w:r>
        <w:rPr>
          <w:rFonts w:ascii="宋体" w:hAnsi="宋体" w:eastAsia="宋体" w:cs="宋体"/>
          <w:b/>
          <w:bCs/>
          <w:color w:val="auto"/>
          <w:spacing w:val="-3"/>
          <w:sz w:val="24"/>
          <w:szCs w:val="24"/>
        </w:rPr>
        <w:t>三、质疑基本情况</w:t>
      </w:r>
    </w:p>
    <w:p w14:paraId="00C20BF7">
      <w:pPr>
        <w:spacing w:before="185" w:line="362" w:lineRule="auto"/>
        <w:ind w:firstLine="480"/>
        <w:rPr>
          <w:rFonts w:ascii="宋体" w:hAnsi="宋体" w:eastAsia="宋体" w:cs="宋体"/>
          <w:color w:val="auto"/>
          <w:sz w:val="24"/>
          <w:szCs w:val="24"/>
        </w:rPr>
      </w:pPr>
      <w:r>
        <w:rPr>
          <w:rFonts w:ascii="宋体" w:hAnsi="宋体" w:eastAsia="宋体" w:cs="宋体"/>
          <w:color w:val="auto"/>
          <w:spacing w:val="-3"/>
          <w:sz w:val="24"/>
          <w:szCs w:val="24"/>
        </w:rPr>
        <w:t>投诉人于</w:t>
      </w:r>
      <w:r>
        <w:rPr>
          <w:rFonts w:ascii="宋体" w:hAnsi="宋体" w:eastAsia="宋体" w:cs="宋体"/>
          <w:color w:val="auto"/>
          <w:spacing w:val="-3"/>
          <w:sz w:val="24"/>
          <w:szCs w:val="24"/>
          <w:u w:val="single" w:color="auto"/>
        </w:rPr>
        <w:t xml:space="preserve">      </w:t>
      </w:r>
      <w:r>
        <w:rPr>
          <w:rFonts w:ascii="宋体" w:hAnsi="宋体" w:eastAsia="宋体" w:cs="宋体"/>
          <w:color w:val="auto"/>
          <w:spacing w:val="-109"/>
          <w:sz w:val="24"/>
          <w:szCs w:val="24"/>
        </w:rPr>
        <w:t xml:space="preserve"> </w:t>
      </w:r>
      <w:r>
        <w:rPr>
          <w:rFonts w:ascii="宋体" w:hAnsi="宋体" w:eastAsia="宋体" w:cs="宋体"/>
          <w:color w:val="auto"/>
          <w:spacing w:val="-3"/>
          <w:sz w:val="24"/>
          <w:szCs w:val="24"/>
        </w:rPr>
        <w:t>年</w:t>
      </w:r>
      <w:r>
        <w:rPr>
          <w:rFonts w:ascii="宋体" w:hAnsi="宋体" w:eastAsia="宋体" w:cs="宋体"/>
          <w:color w:val="auto"/>
          <w:spacing w:val="-3"/>
          <w:sz w:val="24"/>
          <w:szCs w:val="24"/>
          <w:u w:val="single" w:color="auto"/>
        </w:rPr>
        <w:t xml:space="preserve">   </w:t>
      </w:r>
      <w:r>
        <w:rPr>
          <w:rFonts w:ascii="宋体" w:hAnsi="宋体" w:eastAsia="宋体" w:cs="宋体"/>
          <w:color w:val="auto"/>
          <w:spacing w:val="-105"/>
          <w:sz w:val="24"/>
          <w:szCs w:val="24"/>
        </w:rPr>
        <w:t xml:space="preserve"> </w:t>
      </w:r>
      <w:r>
        <w:rPr>
          <w:rFonts w:ascii="宋体" w:hAnsi="宋体" w:eastAsia="宋体" w:cs="宋体"/>
          <w:color w:val="auto"/>
          <w:spacing w:val="-3"/>
          <w:sz w:val="24"/>
          <w:szCs w:val="24"/>
        </w:rPr>
        <w:t>月</w:t>
      </w:r>
      <w:r>
        <w:rPr>
          <w:rFonts w:ascii="宋体" w:hAnsi="宋体" w:eastAsia="宋体" w:cs="宋体"/>
          <w:color w:val="auto"/>
          <w:sz w:val="24"/>
          <w:szCs w:val="24"/>
          <w:u w:val="single" w:color="auto"/>
        </w:rPr>
        <w:t xml:space="preserve">   </w:t>
      </w:r>
      <w:r>
        <w:rPr>
          <w:rFonts w:ascii="宋体" w:hAnsi="宋体" w:eastAsia="宋体" w:cs="宋体"/>
          <w:color w:val="auto"/>
          <w:spacing w:val="-67"/>
          <w:sz w:val="24"/>
          <w:szCs w:val="24"/>
        </w:rPr>
        <w:t xml:space="preserve"> </w:t>
      </w:r>
      <w:r>
        <w:rPr>
          <w:rFonts w:ascii="宋体" w:hAnsi="宋体" w:eastAsia="宋体" w:cs="宋体"/>
          <w:color w:val="auto"/>
          <w:spacing w:val="-3"/>
          <w:sz w:val="24"/>
          <w:szCs w:val="24"/>
        </w:rPr>
        <w:t>日，向</w:t>
      </w:r>
      <w:r>
        <w:rPr>
          <w:rFonts w:ascii="宋体" w:hAnsi="宋体" w:eastAsia="宋体" w:cs="宋体"/>
          <w:color w:val="auto"/>
          <w:spacing w:val="-3"/>
          <w:sz w:val="24"/>
          <w:szCs w:val="24"/>
          <w:u w:val="single" w:color="auto"/>
        </w:rPr>
        <w:t xml:space="preserve">                                 </w:t>
      </w:r>
      <w:r>
        <w:rPr>
          <w:rFonts w:ascii="宋体" w:hAnsi="宋体" w:eastAsia="宋体" w:cs="宋体"/>
          <w:color w:val="auto"/>
          <w:spacing w:val="-109"/>
          <w:sz w:val="24"/>
          <w:szCs w:val="24"/>
        </w:rPr>
        <w:t xml:space="preserve"> </w:t>
      </w:r>
      <w:r>
        <w:rPr>
          <w:rFonts w:ascii="宋体" w:hAnsi="宋体" w:eastAsia="宋体" w:cs="宋体"/>
          <w:color w:val="auto"/>
          <w:spacing w:val="-3"/>
          <w:sz w:val="24"/>
          <w:szCs w:val="24"/>
        </w:rPr>
        <w:t>提出质疑</w:t>
      </w:r>
      <w:r>
        <w:rPr>
          <w:rFonts w:ascii="宋体" w:hAnsi="宋体" w:eastAsia="宋体" w:cs="宋体"/>
          <w:color w:val="auto"/>
          <w:spacing w:val="-4"/>
          <w:sz w:val="24"/>
          <w:szCs w:val="24"/>
        </w:rPr>
        <w:t>，质</w:t>
      </w:r>
      <w:r>
        <w:rPr>
          <w:rFonts w:ascii="宋体" w:hAnsi="宋体" w:eastAsia="宋体" w:cs="宋体"/>
          <w:color w:val="auto"/>
          <w:spacing w:val="-3"/>
          <w:sz w:val="24"/>
          <w:szCs w:val="24"/>
        </w:rPr>
        <w:t>疑事项为：</w:t>
      </w:r>
    </w:p>
    <w:p w14:paraId="4D960102">
      <w:pPr>
        <w:spacing w:before="223" w:line="480" w:lineRule="exact"/>
        <w:ind w:firstLine="707"/>
        <w:rPr>
          <w:color w:val="auto"/>
        </w:rPr>
      </w:pPr>
      <w:r>
        <w:rPr>
          <w:color w:val="auto"/>
          <w:position w:val="-9"/>
        </w:rPr>
        <mc:AlternateContent>
          <mc:Choice Requires="wps">
            <w:drawing>
              <wp:inline distT="0" distB="0" distL="114300" distR="114300">
                <wp:extent cx="5518785" cy="304800"/>
                <wp:effectExtent l="0" t="1270" r="13335" b="13970"/>
                <wp:docPr id="1" name="任意多边形 1"/>
                <wp:cNvGraphicFramePr/>
                <a:graphic xmlns:a="http://schemas.openxmlformats.org/drawingml/2006/main">
                  <a:graphicData uri="http://schemas.microsoft.com/office/word/2010/wordprocessingShape">
                    <wps:wsp>
                      <wps:cNvSpPr/>
                      <wps:spPr>
                        <a:xfrm>
                          <a:off x="0" y="0"/>
                          <a:ext cx="5518785" cy="304800"/>
                        </a:xfrm>
                        <a:custGeom>
                          <a:avLst/>
                          <a:gdLst/>
                          <a:ahLst/>
                          <a:cxnLst/>
                          <a:pathLst>
                            <a:path w="8690" h="480">
                              <a:moveTo>
                                <a:pt x="0" y="5"/>
                              </a:moveTo>
                              <a:lnTo>
                                <a:pt x="8690" y="5"/>
                              </a:lnTo>
                              <a:moveTo>
                                <a:pt x="0" y="474"/>
                              </a:moveTo>
                              <a:lnTo>
                                <a:pt x="8690" y="474"/>
                              </a:lnTo>
                            </a:path>
                          </a:pathLst>
                        </a:custGeom>
                        <a:noFill/>
                        <a:ln w="7620" cap="flat" cmpd="sng">
                          <a:solidFill>
                            <a:srgbClr val="000000"/>
                          </a:solidFill>
                          <a:prstDash val="solid"/>
                          <a:bevel/>
                          <a:headEnd type="none" w="med" len="med"/>
                          <a:tailEnd type="none" w="med" len="med"/>
                        </a:ln>
                      </wps:spPr>
                      <wps:bodyPr upright="0"/>
                    </wps:wsp>
                  </a:graphicData>
                </a:graphic>
              </wp:inline>
            </w:drawing>
          </mc:Choice>
          <mc:Fallback>
            <w:pict>
              <v:shape id="_x0000_s1026" o:spid="_x0000_s1026" o:spt="100" style="height:24pt;width:434.55pt;" filled="f" stroked="t" coordsize="8690,480" o:gfxdata="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a3QrNtMAAAAEAQAADwAAAAAAAAABACAA&#10;AAAiAAAAZHJzL2Rvd25yZXYueG1sUEsBAhQAFAAAAAgAh07iQMzWIzBLAgAA7AQAAA4AAAAAAAAA&#10;AQAgAAAAIgEAAGRycy9lMm9Eb2MueG1sUEsFBgAAAAAGAAYAWQEAAN8FAAAAAA==&#10;" path="m0,5l8690,5m0,474l8690,474e">
                <v:fill on="f" focussize="0,0"/>
                <v:stroke weight="0.6pt" color="#000000" joinstyle="bevel"/>
                <v:imagedata o:title=""/>
                <o:lock v:ext="edit" aspectratio="f"/>
                <w10:wrap type="none"/>
                <w10:anchorlock/>
              </v:shape>
            </w:pict>
          </mc:Fallback>
        </mc:AlternateContent>
      </w:r>
    </w:p>
    <w:p w14:paraId="471E08A3">
      <w:pPr>
        <w:spacing w:line="480" w:lineRule="exact"/>
        <w:rPr>
          <w:color w:val="auto"/>
        </w:rPr>
        <w:sectPr>
          <w:footerReference r:id="rId34" w:type="default"/>
          <w:pgSz w:w="11906" w:h="16839"/>
          <w:pgMar w:top="1252" w:right="1247" w:bottom="1362" w:left="1260" w:header="0" w:footer="1200" w:gutter="0"/>
          <w:pgNumType w:fmt="decimal"/>
          <w:cols w:space="720" w:num="1"/>
        </w:sectPr>
      </w:pPr>
    </w:p>
    <w:p w14:paraId="73E4EF2B">
      <w:pPr>
        <w:spacing w:before="47" w:line="360" w:lineRule="auto"/>
        <w:ind w:firstLine="478"/>
        <w:rPr>
          <w:rFonts w:ascii="宋体" w:hAnsi="宋体" w:eastAsia="宋体" w:cs="宋体"/>
          <w:color w:val="auto"/>
          <w:sz w:val="24"/>
          <w:szCs w:val="24"/>
        </w:rPr>
      </w:pPr>
      <w:r>
        <w:rPr>
          <w:rFonts w:ascii="宋体" w:hAnsi="宋体" w:eastAsia="宋体" w:cs="宋体"/>
          <w:color w:val="auto"/>
          <w:spacing w:val="-1"/>
          <w:sz w:val="24"/>
          <w:szCs w:val="24"/>
          <w:u w:val="single" w:color="auto"/>
        </w:rPr>
        <w:t>采购人/代理机构</w:t>
      </w:r>
      <w:r>
        <w:rPr>
          <w:rFonts w:ascii="宋体" w:hAnsi="宋体" w:eastAsia="宋体" w:cs="宋体"/>
          <w:color w:val="auto"/>
          <w:spacing w:val="-1"/>
          <w:sz w:val="24"/>
          <w:szCs w:val="24"/>
        </w:rPr>
        <w:t>于</w:t>
      </w:r>
      <w:r>
        <w:rPr>
          <w:rFonts w:ascii="宋体" w:hAnsi="宋体" w:eastAsia="宋体" w:cs="宋体"/>
          <w:color w:val="auto"/>
          <w:spacing w:val="-118"/>
          <w:sz w:val="24"/>
          <w:szCs w:val="24"/>
        </w:rPr>
        <w:t xml:space="preserve"> </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108"/>
          <w:sz w:val="24"/>
          <w:szCs w:val="24"/>
        </w:rPr>
        <w:t xml:space="preserve"> </w:t>
      </w:r>
      <w:r>
        <w:rPr>
          <w:rFonts w:ascii="宋体" w:hAnsi="宋体" w:eastAsia="宋体" w:cs="宋体"/>
          <w:color w:val="auto"/>
          <w:spacing w:val="-1"/>
          <w:sz w:val="24"/>
          <w:szCs w:val="24"/>
        </w:rPr>
        <w:t>年</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104"/>
          <w:sz w:val="24"/>
          <w:szCs w:val="24"/>
        </w:rPr>
        <w:t xml:space="preserve"> </w:t>
      </w:r>
      <w:r>
        <w:rPr>
          <w:rFonts w:ascii="宋体" w:hAnsi="宋体" w:eastAsia="宋体" w:cs="宋体"/>
          <w:color w:val="auto"/>
          <w:spacing w:val="-1"/>
          <w:sz w:val="24"/>
          <w:szCs w:val="24"/>
        </w:rPr>
        <w:t>月</w:t>
      </w:r>
      <w:r>
        <w:rPr>
          <w:rFonts w:ascii="宋体" w:hAnsi="宋体" w:eastAsia="宋体" w:cs="宋体"/>
          <w:color w:val="auto"/>
          <w:spacing w:val="-118"/>
          <w:sz w:val="24"/>
          <w:szCs w:val="24"/>
        </w:rPr>
        <w:t xml:space="preserve"> </w:t>
      </w:r>
      <w:r>
        <w:rPr>
          <w:rFonts w:ascii="宋体" w:hAnsi="宋体" w:eastAsia="宋体" w:cs="宋体"/>
          <w:color w:val="auto"/>
          <w:sz w:val="24"/>
          <w:szCs w:val="24"/>
          <w:u w:val="single" w:color="auto"/>
        </w:rPr>
        <w:t xml:space="preserve">   </w:t>
      </w:r>
      <w:r>
        <w:rPr>
          <w:rFonts w:ascii="宋体" w:hAnsi="宋体" w:eastAsia="宋体" w:cs="宋体"/>
          <w:color w:val="auto"/>
          <w:spacing w:val="-67"/>
          <w:sz w:val="24"/>
          <w:szCs w:val="24"/>
        </w:rPr>
        <w:t xml:space="preserve"> </w:t>
      </w:r>
      <w:r>
        <w:rPr>
          <w:rFonts w:ascii="宋体" w:hAnsi="宋体" w:eastAsia="宋体" w:cs="宋体"/>
          <w:color w:val="auto"/>
          <w:spacing w:val="-1"/>
          <w:sz w:val="24"/>
          <w:szCs w:val="24"/>
        </w:rPr>
        <w:t>日，就质疑</w:t>
      </w:r>
      <w:r>
        <w:rPr>
          <w:rFonts w:ascii="宋体" w:hAnsi="宋体" w:eastAsia="宋体" w:cs="宋体"/>
          <w:color w:val="auto"/>
          <w:spacing w:val="-2"/>
          <w:sz w:val="24"/>
          <w:szCs w:val="24"/>
        </w:rPr>
        <w:t>事项作出了答复/没有在法定期限内</w:t>
      </w:r>
      <w:r>
        <w:rPr>
          <w:rFonts w:ascii="宋体" w:hAnsi="宋体" w:eastAsia="宋体" w:cs="宋体"/>
          <w:color w:val="auto"/>
          <w:spacing w:val="-3"/>
          <w:sz w:val="24"/>
          <w:szCs w:val="24"/>
        </w:rPr>
        <w:t>作出答复。</w:t>
      </w:r>
    </w:p>
    <w:p w14:paraId="22519BCC">
      <w:pPr>
        <w:spacing w:line="219" w:lineRule="auto"/>
        <w:ind w:left="515"/>
        <w:rPr>
          <w:rFonts w:ascii="宋体" w:hAnsi="宋体" w:eastAsia="宋体" w:cs="宋体"/>
          <w:color w:val="auto"/>
          <w:sz w:val="24"/>
          <w:szCs w:val="24"/>
        </w:rPr>
      </w:pPr>
      <w:bookmarkStart w:id="18" w:name="bookmark18"/>
      <w:bookmarkEnd w:id="18"/>
      <w:r>
        <w:rPr>
          <w:rFonts w:ascii="宋体" w:hAnsi="宋体" w:eastAsia="宋体" w:cs="宋体"/>
          <w:b/>
          <w:bCs/>
          <w:color w:val="auto"/>
          <w:spacing w:val="-5"/>
          <w:sz w:val="24"/>
          <w:szCs w:val="24"/>
        </w:rPr>
        <w:t>四、投诉事项具体内容</w:t>
      </w:r>
    </w:p>
    <w:p w14:paraId="53B3A327">
      <w:pPr>
        <w:spacing w:before="182" w:line="362" w:lineRule="auto"/>
        <w:ind w:left="479" w:firstLine="19"/>
        <w:rPr>
          <w:rFonts w:ascii="宋体" w:hAnsi="宋体" w:eastAsia="宋体" w:cs="宋体"/>
          <w:color w:val="auto"/>
          <w:sz w:val="24"/>
          <w:szCs w:val="24"/>
        </w:rPr>
      </w:pPr>
      <w:r>
        <w:rPr>
          <w:rFonts w:ascii="宋体" w:hAnsi="宋体" w:eastAsia="宋体" w:cs="宋体"/>
          <w:color w:val="auto"/>
          <w:spacing w:val="-7"/>
          <w:sz w:val="24"/>
          <w:szCs w:val="24"/>
        </w:rPr>
        <w:t>投诉事项</w:t>
      </w:r>
      <w:r>
        <w:rPr>
          <w:rFonts w:ascii="宋体" w:hAnsi="宋体" w:eastAsia="宋体" w:cs="宋体"/>
          <w:color w:val="auto"/>
          <w:spacing w:val="-33"/>
          <w:sz w:val="24"/>
          <w:szCs w:val="24"/>
        </w:rPr>
        <w:t xml:space="preserve"> </w:t>
      </w:r>
      <w:r>
        <w:rPr>
          <w:rFonts w:ascii="宋体" w:hAnsi="宋体" w:eastAsia="宋体" w:cs="宋体"/>
          <w:color w:val="auto"/>
          <w:spacing w:val="-7"/>
          <w:sz w:val="24"/>
          <w:szCs w:val="24"/>
        </w:rPr>
        <w:t>1：</w:t>
      </w:r>
      <w:r>
        <w:rPr>
          <w:rFonts w:ascii="宋体" w:hAnsi="宋体" w:eastAsia="宋体" w:cs="宋体"/>
          <w:color w:val="auto"/>
          <w:spacing w:val="2"/>
          <w:sz w:val="24"/>
          <w:szCs w:val="24"/>
          <w:u w:val="single" w:color="auto"/>
        </w:rPr>
        <w:t xml:space="preserve">                               </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1"/>
          <w:sz w:val="24"/>
          <w:szCs w:val="24"/>
        </w:rPr>
        <w:t xml:space="preserve">事实依据： </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2"/>
          <w:sz w:val="24"/>
          <w:szCs w:val="24"/>
          <w:u w:val="single" w:color="auto"/>
        </w:rPr>
        <w:t xml:space="preserve">           </w:t>
      </w:r>
    </w:p>
    <w:p w14:paraId="56DF182E">
      <w:pPr>
        <w:tabs>
          <w:tab w:val="left" w:pos="9399"/>
        </w:tabs>
        <w:spacing w:before="32"/>
        <w:ind w:left="485"/>
        <w:rPr>
          <w:rFonts w:ascii="Arial"/>
          <w:color w:val="auto"/>
          <w:sz w:val="21"/>
        </w:rPr>
      </w:pPr>
      <w:r>
        <w:rPr>
          <w:rFonts w:ascii="Arial" w:hAnsi="Arial" w:eastAsia="Arial" w:cs="Arial"/>
          <w:color w:val="auto"/>
          <w:sz w:val="21"/>
          <w:szCs w:val="21"/>
          <w:u w:val="single" w:color="auto"/>
        </w:rPr>
        <w:tab/>
      </w:r>
    </w:p>
    <w:p w14:paraId="6FB0F815">
      <w:pPr>
        <w:spacing w:before="189" w:line="219" w:lineRule="auto"/>
        <w:ind w:left="480"/>
        <w:rPr>
          <w:rFonts w:ascii="宋体" w:hAnsi="宋体" w:eastAsia="宋体" w:cs="宋体"/>
          <w:color w:val="auto"/>
          <w:sz w:val="24"/>
          <w:szCs w:val="24"/>
        </w:rPr>
      </w:pPr>
      <w:r>
        <w:rPr>
          <w:rFonts w:ascii="宋体" w:hAnsi="宋体" w:eastAsia="宋体" w:cs="宋体"/>
          <w:color w:val="auto"/>
          <w:spacing w:val="-1"/>
          <w:sz w:val="24"/>
          <w:szCs w:val="24"/>
        </w:rPr>
        <w:t xml:space="preserve">法律依据： </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2"/>
          <w:sz w:val="24"/>
          <w:szCs w:val="24"/>
          <w:u w:val="single" w:color="auto"/>
        </w:rPr>
        <w:t xml:space="preserve">            </w:t>
      </w:r>
    </w:p>
    <w:p w14:paraId="66D0E960">
      <w:pPr>
        <w:tabs>
          <w:tab w:val="left" w:pos="9399"/>
        </w:tabs>
        <w:spacing w:before="220"/>
        <w:ind w:left="485"/>
        <w:rPr>
          <w:rFonts w:ascii="Arial"/>
          <w:color w:val="auto"/>
          <w:sz w:val="21"/>
        </w:rPr>
      </w:pPr>
      <w:r>
        <w:rPr>
          <w:rFonts w:ascii="Arial" w:hAnsi="Arial" w:eastAsia="Arial" w:cs="Arial"/>
          <w:color w:val="auto"/>
          <w:sz w:val="21"/>
          <w:szCs w:val="21"/>
          <w:u w:val="single" w:color="auto"/>
        </w:rPr>
        <w:tab/>
      </w:r>
    </w:p>
    <w:p w14:paraId="6A54DF2D">
      <w:pPr>
        <w:spacing w:before="190" w:line="220" w:lineRule="auto"/>
        <w:ind w:left="498"/>
        <w:rPr>
          <w:rFonts w:ascii="宋体" w:hAnsi="宋体" w:eastAsia="宋体" w:cs="宋体"/>
          <w:color w:val="auto"/>
          <w:sz w:val="24"/>
          <w:szCs w:val="24"/>
        </w:rPr>
      </w:pPr>
      <w:r>
        <w:rPr>
          <w:rFonts w:ascii="宋体" w:hAnsi="宋体" w:eastAsia="宋体" w:cs="宋体"/>
          <w:color w:val="auto"/>
          <w:spacing w:val="-3"/>
          <w:sz w:val="24"/>
          <w:szCs w:val="24"/>
        </w:rPr>
        <w:t>投诉事项</w:t>
      </w:r>
      <w:r>
        <w:rPr>
          <w:rFonts w:ascii="宋体" w:hAnsi="宋体" w:eastAsia="宋体" w:cs="宋体"/>
          <w:color w:val="auto"/>
          <w:spacing w:val="-47"/>
          <w:sz w:val="24"/>
          <w:szCs w:val="24"/>
        </w:rPr>
        <w:t xml:space="preserve"> </w:t>
      </w:r>
      <w:r>
        <w:rPr>
          <w:rFonts w:ascii="宋体" w:hAnsi="宋体" w:eastAsia="宋体" w:cs="宋体"/>
          <w:color w:val="auto"/>
          <w:spacing w:val="-3"/>
          <w:sz w:val="24"/>
          <w:szCs w:val="24"/>
        </w:rPr>
        <w:t>2</w:t>
      </w:r>
    </w:p>
    <w:p w14:paraId="4A0000C3">
      <w:pPr>
        <w:spacing w:before="182" w:line="378" w:lineRule="exact"/>
        <w:ind w:left="510"/>
        <w:rPr>
          <w:rFonts w:ascii="宋体" w:hAnsi="宋体" w:eastAsia="宋体" w:cs="宋体"/>
          <w:color w:val="auto"/>
          <w:sz w:val="24"/>
          <w:szCs w:val="24"/>
        </w:rPr>
      </w:pPr>
      <w:r>
        <w:rPr>
          <w:rFonts w:ascii="宋体" w:hAnsi="宋体" w:eastAsia="宋体" w:cs="宋体"/>
          <w:color w:val="auto"/>
          <w:spacing w:val="-13"/>
          <w:position w:val="3"/>
          <w:sz w:val="24"/>
          <w:szCs w:val="24"/>
        </w:rPr>
        <w:t>……</w:t>
      </w:r>
    </w:p>
    <w:p w14:paraId="63078854">
      <w:pPr>
        <w:spacing w:before="90" w:line="220" w:lineRule="auto"/>
        <w:ind w:left="497"/>
        <w:rPr>
          <w:rFonts w:ascii="宋体" w:hAnsi="宋体" w:eastAsia="宋体" w:cs="宋体"/>
          <w:color w:val="auto"/>
          <w:sz w:val="24"/>
          <w:szCs w:val="24"/>
        </w:rPr>
      </w:pPr>
      <w:r>
        <w:rPr>
          <w:rFonts w:ascii="宋体" w:hAnsi="宋体" w:eastAsia="宋体" w:cs="宋体"/>
          <w:b/>
          <w:bCs/>
          <w:color w:val="auto"/>
          <w:spacing w:val="-3"/>
          <w:sz w:val="24"/>
          <w:szCs w:val="24"/>
        </w:rPr>
        <w:t>五、与投诉事项相关的投诉请求：</w:t>
      </w:r>
    </w:p>
    <w:p w14:paraId="4E8BB29F">
      <w:pPr>
        <w:spacing w:before="182" w:line="220" w:lineRule="auto"/>
        <w:ind w:left="493"/>
        <w:rPr>
          <w:rFonts w:ascii="宋体" w:hAnsi="宋体" w:eastAsia="宋体" w:cs="宋体"/>
          <w:color w:val="auto"/>
          <w:sz w:val="24"/>
          <w:szCs w:val="24"/>
        </w:rPr>
      </w:pPr>
      <w:r>
        <w:rPr>
          <w:rFonts w:ascii="宋体" w:hAnsi="宋体" w:eastAsia="宋体" w:cs="宋体"/>
          <w:color w:val="auto"/>
          <w:spacing w:val="-3"/>
          <w:sz w:val="24"/>
          <w:szCs w:val="24"/>
        </w:rPr>
        <w:t>请求：</w:t>
      </w:r>
      <w:r>
        <w:rPr>
          <w:rFonts w:ascii="宋体" w:hAnsi="宋体" w:eastAsia="宋体" w:cs="宋体"/>
          <w:color w:val="auto"/>
          <w:sz w:val="24"/>
          <w:szCs w:val="24"/>
          <w:u w:val="single" w:color="auto"/>
        </w:rPr>
        <w:t xml:space="preserve">                                                                     </w:t>
      </w:r>
    </w:p>
    <w:p w14:paraId="0A724C6A">
      <w:pPr>
        <w:spacing w:line="283" w:lineRule="auto"/>
        <w:rPr>
          <w:rFonts w:ascii="Arial"/>
          <w:color w:val="auto"/>
          <w:sz w:val="21"/>
        </w:rPr>
      </w:pPr>
    </w:p>
    <w:p w14:paraId="7C9DA5FB">
      <w:pPr>
        <w:spacing w:line="284" w:lineRule="auto"/>
        <w:rPr>
          <w:rFonts w:ascii="Arial"/>
          <w:color w:val="auto"/>
          <w:sz w:val="21"/>
        </w:rPr>
      </w:pPr>
    </w:p>
    <w:p w14:paraId="3FCC7658">
      <w:pPr>
        <w:spacing w:before="79" w:line="219" w:lineRule="auto"/>
        <w:ind w:left="495"/>
        <w:rPr>
          <w:rFonts w:ascii="宋体" w:hAnsi="宋体" w:eastAsia="宋体" w:cs="宋体"/>
          <w:color w:val="auto"/>
          <w:sz w:val="24"/>
          <w:szCs w:val="24"/>
        </w:rPr>
      </w:pPr>
      <w:r>
        <w:rPr>
          <w:rFonts w:ascii="宋体" w:hAnsi="宋体" w:eastAsia="宋体" w:cs="宋体"/>
          <w:color w:val="auto"/>
          <w:spacing w:val="-4"/>
          <w:sz w:val="24"/>
          <w:szCs w:val="24"/>
        </w:rPr>
        <w:t>签字（签章</w:t>
      </w:r>
      <w:r>
        <w:rPr>
          <w:rFonts w:ascii="宋体" w:hAnsi="宋体" w:eastAsia="宋体" w:cs="宋体"/>
          <w:color w:val="auto"/>
          <w:spacing w:val="2"/>
          <w:sz w:val="24"/>
          <w:szCs w:val="24"/>
        </w:rPr>
        <w:t>）：</w:t>
      </w:r>
      <w:r>
        <w:rPr>
          <w:rFonts w:ascii="宋体" w:hAnsi="宋体" w:eastAsia="宋体" w:cs="宋体"/>
          <w:color w:val="auto"/>
          <w:sz w:val="24"/>
          <w:szCs w:val="24"/>
        </w:rPr>
        <w:t xml:space="preserve">                                       </w:t>
      </w:r>
      <w:r>
        <w:rPr>
          <w:rFonts w:ascii="宋体" w:hAnsi="宋体" w:eastAsia="宋体" w:cs="宋体"/>
          <w:color w:val="auto"/>
          <w:spacing w:val="-4"/>
          <w:sz w:val="24"/>
          <w:szCs w:val="24"/>
        </w:rPr>
        <w:t>公章：</w:t>
      </w:r>
    </w:p>
    <w:p w14:paraId="4499C271">
      <w:pPr>
        <w:spacing w:line="285" w:lineRule="auto"/>
        <w:rPr>
          <w:rFonts w:ascii="Arial"/>
          <w:color w:val="auto"/>
          <w:sz w:val="21"/>
        </w:rPr>
      </w:pPr>
    </w:p>
    <w:p w14:paraId="52D32F23">
      <w:pPr>
        <w:spacing w:line="285" w:lineRule="auto"/>
        <w:rPr>
          <w:rFonts w:ascii="Arial"/>
          <w:color w:val="auto"/>
          <w:sz w:val="21"/>
        </w:rPr>
      </w:pPr>
    </w:p>
    <w:p w14:paraId="67AFFB2B">
      <w:pPr>
        <w:spacing w:before="78" w:line="220" w:lineRule="auto"/>
        <w:ind w:left="537"/>
        <w:rPr>
          <w:rFonts w:ascii="宋体" w:hAnsi="宋体" w:eastAsia="宋体" w:cs="宋体"/>
          <w:color w:val="auto"/>
          <w:sz w:val="24"/>
          <w:szCs w:val="24"/>
        </w:rPr>
      </w:pPr>
      <w:r>
        <w:rPr>
          <w:rFonts w:ascii="宋体" w:hAnsi="宋体" w:eastAsia="宋体" w:cs="宋体"/>
          <w:color w:val="auto"/>
          <w:spacing w:val="-17"/>
          <w:sz w:val="24"/>
          <w:szCs w:val="24"/>
        </w:rPr>
        <w:t>日期：</w:t>
      </w:r>
    </w:p>
    <w:p w14:paraId="08858582">
      <w:pPr>
        <w:spacing w:line="245" w:lineRule="auto"/>
        <w:rPr>
          <w:rFonts w:ascii="Arial"/>
          <w:color w:val="auto"/>
          <w:sz w:val="21"/>
        </w:rPr>
      </w:pPr>
    </w:p>
    <w:p w14:paraId="47699D66">
      <w:pPr>
        <w:spacing w:line="245" w:lineRule="auto"/>
        <w:rPr>
          <w:rFonts w:ascii="Arial"/>
          <w:color w:val="auto"/>
          <w:sz w:val="21"/>
        </w:rPr>
      </w:pPr>
    </w:p>
    <w:p w14:paraId="5BE968C0">
      <w:pPr>
        <w:spacing w:before="78" w:line="219" w:lineRule="auto"/>
        <w:ind w:left="1"/>
        <w:rPr>
          <w:rFonts w:ascii="宋体" w:hAnsi="宋体" w:eastAsia="宋体" w:cs="宋体"/>
          <w:color w:val="auto"/>
          <w:sz w:val="24"/>
          <w:szCs w:val="24"/>
        </w:rPr>
      </w:pPr>
      <w:r>
        <w:rPr>
          <w:rFonts w:ascii="宋体" w:hAnsi="宋体" w:eastAsia="宋体" w:cs="宋体"/>
          <w:b/>
          <w:bCs/>
          <w:color w:val="auto"/>
          <w:spacing w:val="-7"/>
          <w:sz w:val="24"/>
          <w:szCs w:val="24"/>
        </w:rPr>
        <w:t>说明：</w:t>
      </w:r>
    </w:p>
    <w:p w14:paraId="106AED40">
      <w:pPr>
        <w:spacing w:before="261" w:line="289" w:lineRule="auto"/>
        <w:ind w:left="23" w:right="2" w:firstLine="370"/>
        <w:rPr>
          <w:rFonts w:ascii="宋体" w:hAnsi="宋体" w:eastAsia="宋体" w:cs="宋体"/>
          <w:color w:val="auto"/>
          <w:sz w:val="24"/>
          <w:szCs w:val="24"/>
        </w:rPr>
      </w:pPr>
      <w:r>
        <w:rPr>
          <w:rFonts w:ascii="宋体" w:hAnsi="宋体" w:eastAsia="宋体" w:cs="宋体"/>
          <w:b/>
          <w:bCs/>
          <w:color w:val="auto"/>
          <w:spacing w:val="1"/>
          <w:sz w:val="24"/>
          <w:szCs w:val="24"/>
        </w:rPr>
        <w:t>1.投诉人提起投诉时，应当提交投诉书和必要的证明材料，</w:t>
      </w:r>
      <w:r>
        <w:rPr>
          <w:rFonts w:ascii="宋体" w:hAnsi="宋体" w:eastAsia="宋体" w:cs="宋体"/>
          <w:b/>
          <w:bCs/>
          <w:color w:val="auto"/>
          <w:sz w:val="24"/>
          <w:szCs w:val="24"/>
        </w:rPr>
        <w:t>并按照被投诉人和与投诉</w:t>
      </w:r>
      <w:r>
        <w:rPr>
          <w:rFonts w:ascii="宋体" w:hAnsi="宋体" w:eastAsia="宋体" w:cs="宋体"/>
          <w:b/>
          <w:bCs/>
          <w:color w:val="auto"/>
          <w:spacing w:val="-3"/>
          <w:sz w:val="24"/>
          <w:szCs w:val="24"/>
        </w:rPr>
        <w:t>事项有关的供应商数量提供投诉书副本。</w:t>
      </w:r>
    </w:p>
    <w:p w14:paraId="58BD9F84">
      <w:pPr>
        <w:spacing w:before="184" w:line="313" w:lineRule="auto"/>
        <w:ind w:left="22" w:firstLine="356"/>
        <w:rPr>
          <w:rFonts w:ascii="宋体" w:hAnsi="宋体" w:eastAsia="宋体" w:cs="宋体"/>
          <w:color w:val="auto"/>
          <w:sz w:val="24"/>
          <w:szCs w:val="24"/>
        </w:rPr>
      </w:pPr>
      <w:r>
        <w:rPr>
          <w:rFonts w:ascii="宋体" w:hAnsi="宋体" w:eastAsia="宋体" w:cs="宋体"/>
          <w:b/>
          <w:bCs/>
          <w:color w:val="auto"/>
          <w:sz w:val="24"/>
          <w:szCs w:val="24"/>
        </w:rPr>
        <w:t>2.投诉人若委托代理人进行投诉的，投诉书应按要求列明“授权代表</w:t>
      </w:r>
      <w:r>
        <w:rPr>
          <w:rFonts w:ascii="宋体" w:hAnsi="宋体" w:eastAsia="宋体" w:cs="宋体"/>
          <w:color w:val="auto"/>
          <w:spacing w:val="-76"/>
          <w:sz w:val="24"/>
          <w:szCs w:val="24"/>
        </w:rPr>
        <w:t xml:space="preserve"> </w:t>
      </w:r>
      <w:r>
        <w:rPr>
          <w:rFonts w:ascii="宋体" w:hAnsi="宋体" w:eastAsia="宋体" w:cs="宋体"/>
          <w:b/>
          <w:bCs/>
          <w:color w:val="auto"/>
          <w:sz w:val="24"/>
          <w:szCs w:val="24"/>
        </w:rPr>
        <w:t>”的有关内容，</w:t>
      </w:r>
      <w:r>
        <w:rPr>
          <w:rFonts w:ascii="宋体" w:hAnsi="宋体" w:eastAsia="宋体" w:cs="宋体"/>
          <w:b/>
          <w:bCs/>
          <w:color w:val="auto"/>
          <w:spacing w:val="4"/>
          <w:sz w:val="24"/>
          <w:szCs w:val="24"/>
        </w:rPr>
        <w:t>并在附件中提交由投诉人签署的授权委托书。授权委托书应当载明代理人的姓名或者名</w:t>
      </w:r>
      <w:r>
        <w:rPr>
          <w:rFonts w:ascii="宋体" w:hAnsi="宋体" w:eastAsia="宋体" w:cs="宋体"/>
          <w:b/>
          <w:bCs/>
          <w:color w:val="auto"/>
          <w:spacing w:val="-3"/>
          <w:sz w:val="24"/>
          <w:szCs w:val="24"/>
        </w:rPr>
        <w:t>称、代理事项、具体权限、期限和相关事项。</w:t>
      </w:r>
    </w:p>
    <w:p w14:paraId="6B194794">
      <w:pPr>
        <w:spacing w:before="182" w:line="219" w:lineRule="auto"/>
        <w:ind w:left="380"/>
        <w:rPr>
          <w:rFonts w:ascii="宋体" w:hAnsi="宋体" w:eastAsia="宋体" w:cs="宋体"/>
          <w:color w:val="auto"/>
          <w:sz w:val="24"/>
          <w:szCs w:val="24"/>
        </w:rPr>
      </w:pPr>
      <w:r>
        <w:rPr>
          <w:rFonts w:ascii="宋体" w:hAnsi="宋体" w:eastAsia="宋体" w:cs="宋体"/>
          <w:b/>
          <w:bCs/>
          <w:color w:val="auto"/>
          <w:spacing w:val="-2"/>
          <w:sz w:val="24"/>
          <w:szCs w:val="24"/>
        </w:rPr>
        <w:t>3.投诉书应简要列明质疑事项，质疑函、质疑答复等作为</w:t>
      </w:r>
      <w:r>
        <w:rPr>
          <w:rFonts w:ascii="宋体" w:hAnsi="宋体" w:eastAsia="宋体" w:cs="宋体"/>
          <w:b/>
          <w:bCs/>
          <w:color w:val="auto"/>
          <w:spacing w:val="-3"/>
          <w:sz w:val="24"/>
          <w:szCs w:val="24"/>
        </w:rPr>
        <w:t>附件材料提供。</w:t>
      </w:r>
    </w:p>
    <w:p w14:paraId="0BEB2CC6">
      <w:pPr>
        <w:spacing w:before="184" w:line="219" w:lineRule="auto"/>
        <w:ind w:left="374"/>
        <w:rPr>
          <w:rFonts w:ascii="宋体" w:hAnsi="宋体" w:eastAsia="宋体" w:cs="宋体"/>
          <w:color w:val="auto"/>
          <w:sz w:val="24"/>
          <w:szCs w:val="24"/>
        </w:rPr>
      </w:pPr>
      <w:r>
        <w:rPr>
          <w:rFonts w:ascii="宋体" w:hAnsi="宋体" w:eastAsia="宋体" w:cs="宋体"/>
          <w:b/>
          <w:bCs/>
          <w:color w:val="auto"/>
          <w:spacing w:val="-2"/>
          <w:sz w:val="24"/>
          <w:szCs w:val="24"/>
        </w:rPr>
        <w:t>4.投诉书的投诉事项应具体、明确，并有必要的事实依据和法律依据。</w:t>
      </w:r>
    </w:p>
    <w:p w14:paraId="43F3E6E8">
      <w:pPr>
        <w:spacing w:before="183" w:line="219" w:lineRule="auto"/>
        <w:ind w:left="380"/>
        <w:rPr>
          <w:rFonts w:ascii="宋体" w:hAnsi="宋体" w:eastAsia="宋体" w:cs="宋体"/>
          <w:color w:val="auto"/>
          <w:sz w:val="24"/>
          <w:szCs w:val="24"/>
        </w:rPr>
      </w:pPr>
      <w:r>
        <w:rPr>
          <w:rFonts w:ascii="宋体" w:hAnsi="宋体" w:eastAsia="宋体" w:cs="宋体"/>
          <w:b/>
          <w:bCs/>
          <w:color w:val="auto"/>
          <w:spacing w:val="-3"/>
          <w:sz w:val="24"/>
          <w:szCs w:val="24"/>
        </w:rPr>
        <w:t>5.投诉书的投诉请求应与投诉事项相关。</w:t>
      </w:r>
    </w:p>
    <w:p w14:paraId="2E1EFFFB">
      <w:pPr>
        <w:spacing w:before="185" w:line="289" w:lineRule="auto"/>
        <w:ind w:left="22" w:right="2" w:firstLine="355"/>
        <w:rPr>
          <w:rFonts w:ascii="宋体" w:hAnsi="宋体" w:eastAsia="宋体" w:cs="宋体"/>
          <w:color w:val="auto"/>
          <w:sz w:val="24"/>
          <w:szCs w:val="24"/>
        </w:rPr>
      </w:pPr>
      <w:r>
        <w:rPr>
          <w:rFonts w:ascii="宋体" w:hAnsi="宋体" w:eastAsia="宋体" w:cs="宋体"/>
          <w:b/>
          <w:bCs/>
          <w:color w:val="auto"/>
          <w:spacing w:val="1"/>
          <w:sz w:val="24"/>
          <w:szCs w:val="24"/>
        </w:rPr>
        <w:t>6.投诉人为法人或者其他组织的，投诉书应由法定代表人、主要负责人，或者其授权</w:t>
      </w:r>
      <w:r>
        <w:rPr>
          <w:rFonts w:ascii="宋体" w:hAnsi="宋体" w:eastAsia="宋体" w:cs="宋体"/>
          <w:b/>
          <w:bCs/>
          <w:color w:val="auto"/>
          <w:spacing w:val="-3"/>
          <w:sz w:val="24"/>
          <w:szCs w:val="24"/>
        </w:rPr>
        <w:t>代表签字或者盖章，并加盖公章。</w:t>
      </w:r>
    </w:p>
    <w:p w14:paraId="3D8A272C">
      <w:pPr>
        <w:spacing w:line="289" w:lineRule="auto"/>
        <w:rPr>
          <w:rFonts w:ascii="宋体" w:hAnsi="宋体" w:eastAsia="宋体" w:cs="宋体"/>
          <w:color w:val="auto"/>
          <w:sz w:val="24"/>
          <w:szCs w:val="24"/>
        </w:rPr>
        <w:sectPr>
          <w:footerReference r:id="rId35" w:type="default"/>
          <w:pgSz w:w="11906" w:h="16839"/>
          <w:pgMar w:top="1314" w:right="1247" w:bottom="1362" w:left="1258" w:header="0" w:footer="1200" w:gutter="0"/>
          <w:pgNumType w:fmt="decimal"/>
          <w:cols w:space="720" w:num="1"/>
        </w:sectPr>
      </w:pPr>
    </w:p>
    <w:p w14:paraId="3308D9F8">
      <w:pPr>
        <w:spacing w:before="88" w:line="222" w:lineRule="auto"/>
        <w:ind w:left="2629"/>
        <w:outlineLvl w:val="0"/>
        <w:rPr>
          <w:rFonts w:ascii="宋体" w:hAnsi="宋体" w:eastAsia="宋体" w:cs="宋体"/>
          <w:color w:val="auto"/>
          <w:sz w:val="43"/>
          <w:szCs w:val="43"/>
        </w:rPr>
      </w:pPr>
      <w:bookmarkStart w:id="19" w:name="bookmark19"/>
      <w:bookmarkEnd w:id="19"/>
      <w:bookmarkStart w:id="20" w:name="_Toc1428"/>
      <w:r>
        <w:rPr>
          <w:rFonts w:ascii="宋体" w:hAnsi="宋体" w:eastAsia="宋体" w:cs="宋体"/>
          <w:b/>
          <w:bCs/>
          <w:color w:val="auto"/>
          <w:spacing w:val="4"/>
          <w:sz w:val="43"/>
          <w:szCs w:val="43"/>
        </w:rPr>
        <w:t>第六章</w:t>
      </w:r>
      <w:r>
        <w:rPr>
          <w:rFonts w:ascii="宋体" w:hAnsi="宋体" w:eastAsia="宋体" w:cs="宋体"/>
          <w:color w:val="auto"/>
          <w:spacing w:val="4"/>
          <w:sz w:val="43"/>
          <w:szCs w:val="43"/>
        </w:rPr>
        <w:t xml:space="preserve"> </w:t>
      </w:r>
      <w:r>
        <w:rPr>
          <w:rFonts w:ascii="宋体" w:hAnsi="宋体" w:eastAsia="宋体" w:cs="宋体"/>
          <w:b/>
          <w:bCs/>
          <w:color w:val="auto"/>
          <w:spacing w:val="4"/>
          <w:sz w:val="43"/>
          <w:szCs w:val="43"/>
        </w:rPr>
        <w:t>合同文本</w:t>
      </w:r>
      <w:bookmarkEnd w:id="20"/>
    </w:p>
    <w:p w14:paraId="3EFFB031">
      <w:pPr>
        <w:spacing w:line="285" w:lineRule="auto"/>
        <w:rPr>
          <w:rFonts w:ascii="Arial"/>
          <w:color w:val="auto"/>
          <w:sz w:val="21"/>
        </w:rPr>
      </w:pPr>
    </w:p>
    <w:p w14:paraId="05328006">
      <w:pPr>
        <w:spacing w:line="285" w:lineRule="auto"/>
        <w:rPr>
          <w:rFonts w:ascii="Arial"/>
          <w:color w:val="auto"/>
          <w:sz w:val="21"/>
        </w:rPr>
      </w:pPr>
    </w:p>
    <w:p w14:paraId="602E265F">
      <w:pPr>
        <w:spacing w:before="169" w:line="219" w:lineRule="auto"/>
        <w:ind w:left="1417"/>
        <w:rPr>
          <w:rFonts w:ascii="宋体" w:hAnsi="宋体" w:eastAsia="宋体" w:cs="宋体"/>
          <w:color w:val="auto"/>
          <w:sz w:val="52"/>
          <w:szCs w:val="52"/>
        </w:rPr>
      </w:pPr>
      <w:r>
        <w:rPr>
          <w:rFonts w:ascii="宋体" w:hAnsi="宋体" w:eastAsia="宋体" w:cs="宋体"/>
          <w:b/>
          <w:bCs/>
          <w:color w:val="auto"/>
          <w:spacing w:val="-6"/>
          <w:sz w:val="52"/>
          <w:szCs w:val="52"/>
        </w:rPr>
        <w:t>广西壮族自治区政府采购</w:t>
      </w:r>
    </w:p>
    <w:p w14:paraId="2E424155">
      <w:pPr>
        <w:spacing w:before="364" w:line="219" w:lineRule="auto"/>
        <w:ind w:left="3508"/>
        <w:rPr>
          <w:rFonts w:ascii="宋体" w:hAnsi="宋体" w:eastAsia="宋体" w:cs="宋体"/>
          <w:color w:val="auto"/>
          <w:sz w:val="52"/>
          <w:szCs w:val="52"/>
        </w:rPr>
      </w:pPr>
      <w:r>
        <w:rPr>
          <w:rFonts w:ascii="宋体" w:hAnsi="宋体" w:eastAsia="宋体" w:cs="宋体"/>
          <w:b/>
          <w:bCs/>
          <w:color w:val="auto"/>
          <w:spacing w:val="-12"/>
          <w:sz w:val="52"/>
          <w:szCs w:val="52"/>
        </w:rPr>
        <w:t>合同书</w:t>
      </w:r>
    </w:p>
    <w:p w14:paraId="2AF2E787">
      <w:pPr>
        <w:spacing w:line="250" w:lineRule="auto"/>
        <w:rPr>
          <w:rFonts w:ascii="Arial"/>
          <w:color w:val="auto"/>
          <w:sz w:val="21"/>
        </w:rPr>
      </w:pPr>
    </w:p>
    <w:p w14:paraId="119773DD">
      <w:pPr>
        <w:spacing w:line="250" w:lineRule="auto"/>
        <w:rPr>
          <w:rFonts w:ascii="Arial"/>
          <w:color w:val="auto"/>
          <w:sz w:val="21"/>
        </w:rPr>
      </w:pPr>
    </w:p>
    <w:p w14:paraId="7436FC54">
      <w:pPr>
        <w:spacing w:line="250" w:lineRule="auto"/>
        <w:rPr>
          <w:rFonts w:ascii="Arial"/>
          <w:color w:val="auto"/>
          <w:sz w:val="21"/>
        </w:rPr>
      </w:pPr>
    </w:p>
    <w:p w14:paraId="0C668B3D">
      <w:pPr>
        <w:spacing w:line="250" w:lineRule="auto"/>
        <w:rPr>
          <w:rFonts w:ascii="Arial"/>
          <w:color w:val="auto"/>
          <w:sz w:val="21"/>
        </w:rPr>
      </w:pPr>
    </w:p>
    <w:p w14:paraId="1943D210">
      <w:pPr>
        <w:spacing w:line="251" w:lineRule="auto"/>
        <w:rPr>
          <w:rFonts w:ascii="Arial"/>
          <w:color w:val="auto"/>
          <w:sz w:val="21"/>
        </w:rPr>
      </w:pPr>
    </w:p>
    <w:p w14:paraId="09ED5327">
      <w:pPr>
        <w:spacing w:line="251" w:lineRule="auto"/>
        <w:rPr>
          <w:rFonts w:ascii="Arial"/>
          <w:color w:val="auto"/>
          <w:sz w:val="21"/>
        </w:rPr>
      </w:pPr>
    </w:p>
    <w:p w14:paraId="6664D774">
      <w:pPr>
        <w:widowControl/>
        <w:spacing w:line="520" w:lineRule="exact"/>
        <w:ind w:firstLine="527"/>
        <w:jc w:val="left"/>
        <w:rPr>
          <w:rFonts w:ascii="宋体" w:hAnsi="宋体" w:cs="宋体"/>
          <w:color w:val="auto"/>
          <w:sz w:val="28"/>
          <w:szCs w:val="28"/>
        </w:rPr>
      </w:pPr>
    </w:p>
    <w:p w14:paraId="45AA5C26">
      <w:pPr>
        <w:widowControl/>
        <w:spacing w:line="520" w:lineRule="exact"/>
        <w:ind w:firstLine="527"/>
        <w:jc w:val="left"/>
        <w:rPr>
          <w:rFonts w:ascii="宋体" w:hAnsi="宋体" w:cs="宋体"/>
          <w:color w:val="auto"/>
          <w:sz w:val="28"/>
          <w:szCs w:val="28"/>
        </w:rPr>
      </w:pPr>
    </w:p>
    <w:p w14:paraId="339E03EF">
      <w:pPr>
        <w:widowControl/>
        <w:spacing w:line="580" w:lineRule="exact"/>
        <w:ind w:firstLine="527"/>
        <w:jc w:val="left"/>
        <w:rPr>
          <w:rFonts w:ascii="仿宋_GB2312" w:hAnsi="宋体" w:eastAsia="仿宋_GB2312" w:cs="宋体"/>
          <w:color w:val="auto"/>
          <w:sz w:val="28"/>
          <w:szCs w:val="28"/>
        </w:rPr>
      </w:pPr>
      <w:r>
        <w:rPr>
          <w:rFonts w:hint="eastAsia" w:ascii="仿宋_GB2312" w:hAnsi="宋体" w:eastAsia="仿宋_GB2312" w:cs="宋体"/>
          <w:color w:val="auto"/>
          <w:sz w:val="28"/>
          <w:szCs w:val="28"/>
        </w:rPr>
        <w:t xml:space="preserve">                                    </w:t>
      </w:r>
    </w:p>
    <w:p w14:paraId="5009B167">
      <w:pPr>
        <w:widowControl/>
        <w:spacing w:line="580" w:lineRule="exact"/>
        <w:jc w:val="center"/>
        <w:rPr>
          <w:rFonts w:eastAsia="仿宋_GB2312"/>
          <w:color w:val="auto"/>
          <w:sz w:val="32"/>
          <w:szCs w:val="32"/>
        </w:rPr>
      </w:pPr>
      <w:r>
        <w:rPr>
          <w:rFonts w:hint="eastAsia" w:eastAsia="仿宋_GB2312"/>
          <w:color w:val="auto"/>
          <w:sz w:val="32"/>
          <w:szCs w:val="32"/>
        </w:rPr>
        <w:t>项目名称：2026年广西城市国土空间监测成果核查与验收项目</w:t>
      </w:r>
    </w:p>
    <w:p w14:paraId="1EE7A47F">
      <w:pPr>
        <w:widowControl/>
        <w:spacing w:line="580" w:lineRule="exact"/>
        <w:ind w:firstLine="960" w:firstLineChars="300"/>
        <w:jc w:val="both"/>
        <w:rPr>
          <w:rFonts w:eastAsia="仿宋_GB2312"/>
          <w:color w:val="auto"/>
          <w:sz w:val="32"/>
          <w:szCs w:val="32"/>
        </w:rPr>
      </w:pPr>
      <w:r>
        <w:rPr>
          <w:rFonts w:hint="eastAsia" w:eastAsia="仿宋_GB2312"/>
          <w:color w:val="auto"/>
          <w:sz w:val="32"/>
          <w:szCs w:val="32"/>
        </w:rPr>
        <w:t>项目编号：</w:t>
      </w:r>
    </w:p>
    <w:p w14:paraId="379E5B14">
      <w:pPr>
        <w:widowControl/>
        <w:spacing w:line="580" w:lineRule="exact"/>
        <w:ind w:firstLine="960" w:firstLineChars="300"/>
        <w:jc w:val="both"/>
        <w:rPr>
          <w:rFonts w:eastAsia="仿宋_GB2312"/>
          <w:b/>
          <w:color w:val="auto"/>
          <w:sz w:val="32"/>
          <w:szCs w:val="32"/>
          <w:u w:val="single"/>
        </w:rPr>
      </w:pPr>
      <w:r>
        <w:rPr>
          <w:rFonts w:hint="eastAsia" w:eastAsia="仿宋_GB2312"/>
          <w:color w:val="auto"/>
          <w:sz w:val="32"/>
          <w:szCs w:val="32"/>
        </w:rPr>
        <w:t>合同编号：</w:t>
      </w:r>
    </w:p>
    <w:p w14:paraId="5118D7EB">
      <w:pPr>
        <w:widowControl/>
        <w:spacing w:line="580" w:lineRule="exact"/>
        <w:ind w:left="164" w:leftChars="78" w:firstLine="672" w:firstLineChars="210"/>
        <w:jc w:val="left"/>
        <w:rPr>
          <w:rFonts w:eastAsia="仿宋_GB2312"/>
          <w:color w:val="auto"/>
          <w:sz w:val="32"/>
        </w:rPr>
      </w:pPr>
      <w:r>
        <w:rPr>
          <w:rFonts w:eastAsia="仿宋_GB2312"/>
          <w:color w:val="auto"/>
          <w:sz w:val="32"/>
        </w:rPr>
        <w:t xml:space="preserve"> </w:t>
      </w:r>
    </w:p>
    <w:p w14:paraId="4120416A">
      <w:pPr>
        <w:widowControl/>
        <w:spacing w:line="580" w:lineRule="exact"/>
        <w:jc w:val="center"/>
        <w:rPr>
          <w:rFonts w:eastAsia="仿宋_GB2312"/>
          <w:color w:val="auto"/>
          <w:sz w:val="32"/>
        </w:rPr>
      </w:pPr>
    </w:p>
    <w:p w14:paraId="0D7A60B1">
      <w:pPr>
        <w:spacing w:line="580" w:lineRule="exact"/>
        <w:rPr>
          <w:color w:val="auto"/>
          <w:sz w:val="24"/>
        </w:rPr>
      </w:pPr>
    </w:p>
    <w:p w14:paraId="2ADC3055">
      <w:pPr>
        <w:widowControl/>
        <w:spacing w:line="580" w:lineRule="exact"/>
        <w:ind w:firstLine="1453"/>
        <w:jc w:val="left"/>
        <w:rPr>
          <w:rFonts w:eastAsia="仿宋_GB2312"/>
          <w:color w:val="auto"/>
          <w:sz w:val="28"/>
          <w:u w:val="single"/>
        </w:rPr>
      </w:pPr>
    </w:p>
    <w:p w14:paraId="5C36F209">
      <w:pPr>
        <w:widowControl/>
        <w:tabs>
          <w:tab w:val="left" w:pos="7200"/>
        </w:tabs>
        <w:spacing w:line="580" w:lineRule="exact"/>
        <w:ind w:firstLine="1283" w:firstLineChars="401"/>
        <w:jc w:val="left"/>
        <w:rPr>
          <w:rFonts w:hint="eastAsia" w:asciiTheme="minorEastAsia" w:hAnsiTheme="minorEastAsia" w:eastAsiaTheme="minorEastAsia" w:cstheme="minorEastAsia"/>
          <w:color w:val="auto"/>
          <w:sz w:val="32"/>
        </w:rPr>
      </w:pPr>
      <w:r>
        <w:rPr>
          <w:rFonts w:hint="eastAsia" w:asciiTheme="minorEastAsia" w:hAnsiTheme="minorEastAsia" w:eastAsiaTheme="minorEastAsia" w:cstheme="minorEastAsia"/>
          <w:color w:val="auto"/>
          <w:sz w:val="32"/>
        </w:rPr>
        <w:t>采购人（甲方）：</w:t>
      </w:r>
      <w:r>
        <w:rPr>
          <w:rFonts w:hint="eastAsia" w:asciiTheme="minorEastAsia" w:hAnsiTheme="minorEastAsia" w:eastAsiaTheme="minorEastAsia" w:cstheme="minorEastAsia"/>
          <w:color w:val="auto"/>
          <w:sz w:val="32"/>
          <w:u w:val="single"/>
        </w:rPr>
        <w:t xml:space="preserve">                        </w:t>
      </w:r>
    </w:p>
    <w:p w14:paraId="42F03636">
      <w:pPr>
        <w:widowControl/>
        <w:tabs>
          <w:tab w:val="left" w:pos="7380"/>
        </w:tabs>
        <w:spacing w:line="580" w:lineRule="exact"/>
        <w:ind w:firstLine="1283" w:firstLineChars="401"/>
        <w:jc w:val="left"/>
        <w:rPr>
          <w:rFonts w:hint="eastAsia" w:asciiTheme="minorEastAsia" w:hAnsiTheme="minorEastAsia" w:eastAsiaTheme="minorEastAsia" w:cstheme="minorEastAsia"/>
          <w:color w:val="auto"/>
          <w:sz w:val="32"/>
        </w:rPr>
      </w:pPr>
      <w:r>
        <w:rPr>
          <w:rFonts w:hint="eastAsia" w:asciiTheme="minorEastAsia" w:hAnsiTheme="minorEastAsia" w:eastAsiaTheme="minorEastAsia" w:cstheme="minorEastAsia"/>
          <w:color w:val="auto"/>
          <w:sz w:val="32"/>
        </w:rPr>
        <w:t>中标人（乙方）：</w:t>
      </w:r>
      <w:r>
        <w:rPr>
          <w:rFonts w:hint="eastAsia" w:asciiTheme="minorEastAsia" w:hAnsiTheme="minorEastAsia" w:eastAsiaTheme="minorEastAsia" w:cstheme="minorEastAsia"/>
          <w:color w:val="auto"/>
          <w:sz w:val="32"/>
          <w:u w:val="single"/>
        </w:rPr>
        <w:t xml:space="preserve">                        </w:t>
      </w:r>
      <w:r>
        <w:rPr>
          <w:rFonts w:hint="eastAsia" w:asciiTheme="minorEastAsia" w:hAnsiTheme="minorEastAsia" w:eastAsiaTheme="minorEastAsia" w:cstheme="minorEastAsia"/>
          <w:color w:val="auto"/>
          <w:sz w:val="32"/>
        </w:rPr>
        <w:t xml:space="preserve"> </w:t>
      </w:r>
    </w:p>
    <w:p w14:paraId="145C8186">
      <w:pPr>
        <w:widowControl/>
        <w:tabs>
          <w:tab w:val="left" w:pos="7380"/>
        </w:tabs>
        <w:spacing w:line="580" w:lineRule="exact"/>
        <w:jc w:val="center"/>
        <w:rPr>
          <w:rFonts w:hint="eastAsia" w:asciiTheme="minorEastAsia" w:hAnsiTheme="minorEastAsia" w:eastAsiaTheme="minorEastAsia" w:cstheme="minorEastAsia"/>
          <w:color w:val="auto"/>
          <w:sz w:val="32"/>
        </w:rPr>
      </w:pPr>
    </w:p>
    <w:p w14:paraId="3BE1A53B">
      <w:pPr>
        <w:widowControl/>
        <w:spacing w:line="520" w:lineRule="exact"/>
        <w:jc w:val="center"/>
        <w:rPr>
          <w:rFonts w:eastAsia="方正小标宋简体"/>
          <w:color w:val="auto"/>
          <w:sz w:val="32"/>
        </w:rPr>
      </w:pPr>
      <w:r>
        <w:rPr>
          <w:rFonts w:hint="eastAsia" w:asciiTheme="minorEastAsia" w:hAnsiTheme="minorEastAsia" w:eastAsiaTheme="minorEastAsia" w:cstheme="minorEastAsia"/>
          <w:color w:val="auto"/>
          <w:sz w:val="32"/>
        </w:rPr>
        <w:t>2026</w:t>
      </w:r>
      <w:r>
        <w:rPr>
          <w:rFonts w:hint="eastAsia" w:asciiTheme="minorEastAsia" w:hAnsiTheme="minorEastAsia" w:eastAsiaTheme="minorEastAsia" w:cstheme="minorEastAsia"/>
          <w:color w:val="auto"/>
          <w:sz w:val="32"/>
          <w:lang w:val="en-US" w:eastAsia="zh-CN"/>
        </w:rPr>
        <w:t xml:space="preserve"> </w:t>
      </w:r>
      <w:r>
        <w:rPr>
          <w:rFonts w:hint="eastAsia" w:asciiTheme="minorEastAsia" w:hAnsiTheme="minorEastAsia" w:eastAsiaTheme="minorEastAsia" w:cstheme="minorEastAsia"/>
          <w:color w:val="auto"/>
          <w:sz w:val="32"/>
        </w:rPr>
        <w:t>年  月</w:t>
      </w:r>
      <w:r>
        <w:rPr>
          <w:color w:val="auto"/>
        </w:rPr>
        <w:br w:type="page"/>
      </w:r>
      <w:r>
        <w:rPr>
          <w:rFonts w:hint="eastAsia" w:asciiTheme="minorEastAsia" w:hAnsiTheme="minorEastAsia" w:eastAsiaTheme="minorEastAsia" w:cstheme="minorEastAsia"/>
          <w:snapToGrid/>
          <w:color w:val="auto"/>
          <w:kern w:val="2"/>
          <w:sz w:val="32"/>
          <w:szCs w:val="24"/>
          <w:lang w:eastAsia="zh-CN"/>
        </w:rPr>
        <w:t>广西壮族自治区采购合同书</w:t>
      </w:r>
    </w:p>
    <w:p w14:paraId="5A8CA113">
      <w:pPr>
        <w:widowControl/>
        <w:snapToGrid w:val="0"/>
        <w:spacing w:line="360" w:lineRule="exact"/>
        <w:jc w:val="left"/>
        <w:rPr>
          <w:rFonts w:eastAsia="仿宋_GB2312"/>
          <w:color w:val="auto"/>
          <w:sz w:val="32"/>
        </w:rPr>
      </w:pPr>
    </w:p>
    <w:p w14:paraId="600C2B2B">
      <w:pPr>
        <w:widowControl/>
        <w:snapToGrid w:val="0"/>
        <w:spacing w:line="360" w:lineRule="auto"/>
        <w:ind w:right="419"/>
        <w:jc w:val="left"/>
        <w:rPr>
          <w:rFonts w:hint="eastAsia"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rPr>
        <w:t>合同编号：</w:t>
      </w:r>
      <w:r>
        <w:rPr>
          <w:rFonts w:hint="eastAsia" w:asciiTheme="minorEastAsia" w:hAnsiTheme="minorEastAsia" w:eastAsiaTheme="minorEastAsia" w:cstheme="minorEastAsia"/>
          <w:color w:val="auto"/>
          <w:sz w:val="24"/>
          <w:szCs w:val="24"/>
          <w:u w:val="single"/>
          <w:lang w:val="en-US" w:eastAsia="zh-CN"/>
        </w:rPr>
        <w:t xml:space="preserve">                             </w:t>
      </w:r>
    </w:p>
    <w:p w14:paraId="04726161">
      <w:pPr>
        <w:widowControl/>
        <w:snapToGrid w:val="0"/>
        <w:spacing w:line="360" w:lineRule="auto"/>
        <w:ind w:right="419"/>
        <w:jc w:val="left"/>
        <w:rPr>
          <w:rFonts w:hint="eastAsia"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rPr>
        <w:t>采购计划号：</w:t>
      </w:r>
      <w:r>
        <w:rPr>
          <w:rFonts w:hint="eastAsia" w:asciiTheme="minorEastAsia" w:hAnsiTheme="minorEastAsia" w:eastAsiaTheme="minorEastAsia" w:cstheme="minorEastAsia"/>
          <w:color w:val="auto"/>
          <w:sz w:val="24"/>
          <w:szCs w:val="24"/>
          <w:u w:val="single"/>
          <w:lang w:val="en-US" w:eastAsia="zh-CN"/>
        </w:rPr>
        <w:t xml:space="preserve">                           </w:t>
      </w:r>
    </w:p>
    <w:p w14:paraId="4CA013B9">
      <w:pPr>
        <w:widowControl/>
        <w:snapToGrid w:val="0"/>
        <w:spacing w:line="360" w:lineRule="auto"/>
        <w:ind w:right="419"/>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采购人（甲方）：</w:t>
      </w:r>
      <w:r>
        <w:rPr>
          <w:rFonts w:hint="eastAsia" w:asciiTheme="minorEastAsia" w:hAnsiTheme="minorEastAsia" w:eastAsiaTheme="minorEastAsia" w:cstheme="minorEastAsia"/>
          <w:color w:val="auto"/>
          <w:sz w:val="24"/>
          <w:szCs w:val="24"/>
          <w:u w:val="single"/>
        </w:rPr>
        <w:t>广西壮族自治区自然资源厅</w:t>
      </w:r>
    </w:p>
    <w:p w14:paraId="34217DF2">
      <w:pPr>
        <w:widowControl/>
        <w:snapToGrid w:val="0"/>
        <w:spacing w:line="360" w:lineRule="auto"/>
        <w:jc w:val="left"/>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供应商（乙方）：</w:t>
      </w:r>
      <w:r>
        <w:rPr>
          <w:rFonts w:hint="eastAsia" w:asciiTheme="minorEastAsia" w:hAnsiTheme="minorEastAsia" w:eastAsiaTheme="minorEastAsia" w:cstheme="minorEastAsia"/>
          <w:color w:val="auto"/>
          <w:sz w:val="24"/>
          <w:szCs w:val="24"/>
          <w:u w:val="single"/>
        </w:rPr>
        <w:t xml:space="preserve">                       </w:t>
      </w:r>
    </w:p>
    <w:p w14:paraId="03E9694F">
      <w:pPr>
        <w:widowControl/>
        <w:snapToGrid w:val="0"/>
        <w:spacing w:line="360" w:lineRule="auto"/>
        <w:jc w:val="left"/>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项目名称：</w:t>
      </w:r>
      <w:r>
        <w:rPr>
          <w:rFonts w:hint="eastAsia" w:asciiTheme="minorEastAsia" w:hAnsiTheme="minorEastAsia" w:eastAsiaTheme="minorEastAsia" w:cstheme="minorEastAsia"/>
          <w:color w:val="auto"/>
          <w:sz w:val="24"/>
          <w:szCs w:val="24"/>
          <w:u w:val="single"/>
        </w:rPr>
        <w:t>2026年广西城市国土空间监测成果核查与验收项目</w:t>
      </w:r>
    </w:p>
    <w:p w14:paraId="2C79BE9D">
      <w:pPr>
        <w:widowControl/>
        <w:snapToGrid w:val="0"/>
        <w:spacing w:line="360" w:lineRule="auto"/>
        <w:jc w:val="left"/>
        <w:rPr>
          <w:rFonts w:hint="eastAsia"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rPr>
        <w:t>项目编号：</w:t>
      </w:r>
      <w:r>
        <w:rPr>
          <w:rFonts w:hint="eastAsia" w:asciiTheme="minorEastAsia" w:hAnsiTheme="minorEastAsia" w:eastAsiaTheme="minorEastAsia" w:cstheme="minorEastAsia"/>
          <w:color w:val="auto"/>
          <w:sz w:val="24"/>
          <w:szCs w:val="24"/>
          <w:u w:val="single"/>
          <w:lang w:val="en-US" w:eastAsia="zh-CN"/>
        </w:rPr>
        <w:t xml:space="preserve">                             </w:t>
      </w:r>
    </w:p>
    <w:p w14:paraId="67EF85AE">
      <w:pPr>
        <w:widowControl/>
        <w:snapToGrid w:val="0"/>
        <w:spacing w:line="360" w:lineRule="auto"/>
        <w:jc w:val="left"/>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签订地点：</w:t>
      </w:r>
      <w:r>
        <w:rPr>
          <w:rFonts w:hint="eastAsia" w:asciiTheme="minorEastAsia" w:hAnsiTheme="minorEastAsia" w:eastAsiaTheme="minorEastAsia" w:cstheme="minorEastAsia"/>
          <w:color w:val="auto"/>
          <w:sz w:val="24"/>
          <w:szCs w:val="24"/>
          <w:u w:val="single"/>
        </w:rPr>
        <w:t>广西南宁市青秀区中新路2号</w:t>
      </w:r>
      <w:r>
        <w:rPr>
          <w:rFonts w:hint="eastAsia" w:asciiTheme="minorEastAsia" w:hAnsiTheme="minorEastAsia" w:eastAsiaTheme="minorEastAsia" w:cstheme="minorEastAsia"/>
          <w:color w:val="auto"/>
          <w:sz w:val="24"/>
          <w:szCs w:val="24"/>
        </w:rPr>
        <w:t xml:space="preserve">     签订时间：</w:t>
      </w:r>
      <w:r>
        <w:rPr>
          <w:rFonts w:hint="eastAsia" w:asciiTheme="minorEastAsia" w:hAnsiTheme="minorEastAsia" w:eastAsiaTheme="minorEastAsia" w:cstheme="minorEastAsia"/>
          <w:color w:val="auto"/>
          <w:sz w:val="24"/>
          <w:szCs w:val="24"/>
          <w:u w:val="single"/>
        </w:rPr>
        <w:t xml:space="preserve">     年  月  日 </w:t>
      </w:r>
    </w:p>
    <w:p w14:paraId="6AE8593F">
      <w:pPr>
        <w:widowControl/>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p>
    <w:p w14:paraId="6EB4BB72">
      <w:pPr>
        <w:widowControl/>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根据《中华人民共和国政府采购法》《中华人民共和国民法典》等法律法规规定，按照招、投标文件规定条款和中标人承诺，甲、乙双方签订本合同。</w:t>
      </w:r>
    </w:p>
    <w:p w14:paraId="26880478">
      <w:pPr>
        <w:widowControl/>
        <w:snapToGrid w:val="0"/>
        <w:spacing w:line="360" w:lineRule="auto"/>
        <w:ind w:firstLine="560" w:firstLineChars="200"/>
        <w:jc w:val="left"/>
        <w:rPr>
          <w:rFonts w:ascii="宋体" w:hAnsi="宋体" w:cs="宋体"/>
          <w:b/>
          <w:color w:val="auto"/>
          <w:sz w:val="28"/>
          <w:szCs w:val="28"/>
        </w:rPr>
      </w:pPr>
      <w:r>
        <w:rPr>
          <w:rFonts w:hint="eastAsia" w:ascii="宋体" w:hAnsi="宋体" w:cs="宋体"/>
          <w:b/>
          <w:color w:val="auto"/>
          <w:sz w:val="28"/>
          <w:szCs w:val="28"/>
        </w:rPr>
        <w:t>第一条  合同标的</w:t>
      </w:r>
    </w:p>
    <w:p w14:paraId="4B203367">
      <w:pPr>
        <w:snapToGrid w:val="0"/>
        <w:spacing w:line="560" w:lineRule="exact"/>
        <w:ind w:firstLine="480" w:firstLineChars="200"/>
        <w:jc w:val="center"/>
        <w:rPr>
          <w:rFonts w:ascii="宋体" w:hAnsi="宋体" w:cs="宋体"/>
          <w:color w:val="auto"/>
          <w:sz w:val="24"/>
        </w:rPr>
      </w:pPr>
      <w:r>
        <w:rPr>
          <w:rFonts w:hint="eastAsia" w:ascii="宋体" w:hAnsi="宋体" w:cs="宋体"/>
          <w:color w:val="auto"/>
          <w:sz w:val="24"/>
        </w:rPr>
        <w:t>甲方委托乙方提供的技术服务一览表</w:t>
      </w:r>
    </w:p>
    <w:tbl>
      <w:tblPr>
        <w:tblStyle w:val="7"/>
        <w:tblW w:w="8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900"/>
        <w:gridCol w:w="4383"/>
        <w:gridCol w:w="536"/>
        <w:gridCol w:w="640"/>
        <w:gridCol w:w="873"/>
        <w:gridCol w:w="876"/>
      </w:tblGrid>
      <w:tr w14:paraId="7732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2D60DF05">
            <w:pPr>
              <w:pStyle w:val="4"/>
              <w:ind w:left="0" w:leftChars="0" w:firstLine="0" w:firstLineChars="0"/>
              <w:jc w:val="both"/>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序号</w:t>
            </w:r>
          </w:p>
        </w:tc>
        <w:tc>
          <w:tcPr>
            <w:tcW w:w="900" w:type="dxa"/>
            <w:vAlign w:val="center"/>
          </w:tcPr>
          <w:p w14:paraId="78588C2B">
            <w:pPr>
              <w:pStyle w:val="4"/>
              <w:ind w:firstLine="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服务名称</w:t>
            </w:r>
          </w:p>
        </w:tc>
        <w:tc>
          <w:tcPr>
            <w:tcW w:w="4383" w:type="dxa"/>
            <w:vAlign w:val="center"/>
          </w:tcPr>
          <w:p w14:paraId="78064727">
            <w:pPr>
              <w:pStyle w:val="4"/>
              <w:ind w:firstLine="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服务项目要求（或技术参数需求）</w:t>
            </w:r>
          </w:p>
        </w:tc>
        <w:tc>
          <w:tcPr>
            <w:tcW w:w="536" w:type="dxa"/>
            <w:vAlign w:val="center"/>
          </w:tcPr>
          <w:p w14:paraId="23E494D6">
            <w:pPr>
              <w:pStyle w:val="4"/>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数数量</w:t>
            </w:r>
          </w:p>
        </w:tc>
        <w:tc>
          <w:tcPr>
            <w:tcW w:w="640" w:type="dxa"/>
            <w:vAlign w:val="center"/>
          </w:tcPr>
          <w:p w14:paraId="132E9E5A">
            <w:pPr>
              <w:pStyle w:val="4"/>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单单位</w:t>
            </w:r>
          </w:p>
        </w:tc>
        <w:tc>
          <w:tcPr>
            <w:tcW w:w="873" w:type="dxa"/>
            <w:vAlign w:val="center"/>
          </w:tcPr>
          <w:p w14:paraId="7E7D968B">
            <w:pPr>
              <w:pStyle w:val="4"/>
              <w:ind w:firstLine="0"/>
              <w:jc w:val="center"/>
              <w:rPr>
                <w:rFonts w:hint="eastAsia" w:asciiTheme="minorEastAsia" w:hAnsiTheme="minorEastAsia" w:eastAsiaTheme="minorEastAsia" w:cstheme="minorEastAsia"/>
                <w:color w:val="auto"/>
                <w:sz w:val="24"/>
              </w:rPr>
            </w:pPr>
          </w:p>
          <w:p w14:paraId="33054703">
            <w:pPr>
              <w:pStyle w:val="4"/>
              <w:ind w:firstLine="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单价（元）</w:t>
            </w:r>
          </w:p>
        </w:tc>
        <w:tc>
          <w:tcPr>
            <w:tcW w:w="876" w:type="dxa"/>
            <w:vAlign w:val="center"/>
          </w:tcPr>
          <w:p w14:paraId="6C8202F2">
            <w:pPr>
              <w:pStyle w:val="4"/>
              <w:ind w:firstLine="0"/>
              <w:jc w:val="center"/>
              <w:rPr>
                <w:rFonts w:hint="eastAsia" w:asciiTheme="minorEastAsia" w:hAnsiTheme="minorEastAsia" w:eastAsiaTheme="minorEastAsia" w:cstheme="minorEastAsia"/>
                <w:color w:val="auto"/>
                <w:sz w:val="24"/>
              </w:rPr>
            </w:pPr>
          </w:p>
          <w:p w14:paraId="52B7FB58">
            <w:pPr>
              <w:pStyle w:val="4"/>
              <w:ind w:firstLine="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金额（元）</w:t>
            </w:r>
          </w:p>
        </w:tc>
      </w:tr>
      <w:tr w14:paraId="28F1C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5D1BEA79">
            <w:pPr>
              <w:widowControl/>
              <w:snapToGrid w:val="0"/>
              <w:spacing w:line="380" w:lineRule="exact"/>
              <w:ind w:firstLine="420" w:firstLineChars="200"/>
              <w:rPr>
                <w:rFonts w:hint="eastAsia" w:ascii="宋体" w:hAnsi="宋体" w:cs="宋体"/>
                <w:color w:val="auto"/>
                <w:szCs w:val="21"/>
              </w:rPr>
            </w:pPr>
            <w:r>
              <w:rPr>
                <w:rFonts w:hint="eastAsia" w:ascii="宋体" w:hAnsi="宋体" w:cs="宋体"/>
                <w:color w:val="auto"/>
                <w:szCs w:val="21"/>
              </w:rPr>
              <w:t>1</w:t>
            </w:r>
          </w:p>
        </w:tc>
        <w:tc>
          <w:tcPr>
            <w:tcW w:w="900" w:type="dxa"/>
            <w:vAlign w:val="center"/>
          </w:tcPr>
          <w:p w14:paraId="12FF0AB0">
            <w:pPr>
              <w:widowControl/>
              <w:snapToGrid w:val="0"/>
              <w:spacing w:line="380" w:lineRule="exact"/>
              <w:rPr>
                <w:rFonts w:hint="eastAsia" w:ascii="宋体" w:hAnsi="宋体" w:cs="宋体"/>
                <w:color w:val="auto"/>
                <w:sz w:val="21"/>
                <w:szCs w:val="21"/>
              </w:rPr>
            </w:pPr>
            <w:r>
              <w:rPr>
                <w:rFonts w:hint="eastAsia" w:ascii="宋体" w:hAnsi="宋体" w:cs="宋体"/>
                <w:color w:val="auto"/>
                <w:sz w:val="21"/>
                <w:szCs w:val="21"/>
              </w:rPr>
              <w:t>2026年广西城市国土空间监测成果核查与验收项目</w:t>
            </w:r>
          </w:p>
        </w:tc>
        <w:tc>
          <w:tcPr>
            <w:tcW w:w="4383" w:type="dxa"/>
            <w:vAlign w:val="center"/>
          </w:tcPr>
          <w:p w14:paraId="2AF6AA4C">
            <w:pPr>
              <w:widowControl/>
              <w:snapToGrid w:val="0"/>
              <w:spacing w:line="380" w:lineRule="exact"/>
              <w:ind w:firstLine="420" w:firstLineChars="200"/>
              <w:rPr>
                <w:rFonts w:ascii="宋体" w:hAnsi="宋体" w:cs="宋体"/>
                <w:color w:val="auto"/>
                <w:sz w:val="21"/>
                <w:szCs w:val="21"/>
              </w:rPr>
            </w:pPr>
            <w:r>
              <w:rPr>
                <w:rFonts w:hint="eastAsia" w:ascii="宋体" w:hAnsi="宋体" w:cs="宋体"/>
                <w:color w:val="auto"/>
                <w:sz w:val="21"/>
                <w:szCs w:val="21"/>
              </w:rPr>
              <w:t>根据2026年广西城市国土空间监测实施方案、有关技术规定和成果质量检查验收方案的要求，配合采购方开展广西城市国土空间监测核查与验收工作。具体内容如下：</w:t>
            </w:r>
          </w:p>
          <w:p w14:paraId="53EFDFE7">
            <w:pPr>
              <w:widowControl/>
              <w:tabs>
                <w:tab w:val="left" w:pos="4200"/>
              </w:tabs>
              <w:snapToGrid w:val="0"/>
              <w:spacing w:line="380" w:lineRule="exact"/>
              <w:ind w:firstLine="420" w:firstLineChars="200"/>
              <w:rPr>
                <w:rFonts w:ascii="宋体" w:hAnsi="宋体" w:cs="宋体"/>
                <w:color w:val="auto"/>
                <w:sz w:val="21"/>
                <w:szCs w:val="21"/>
              </w:rPr>
            </w:pPr>
            <w:r>
              <w:rPr>
                <w:rFonts w:hint="eastAsia" w:ascii="宋体" w:hAnsi="宋体" w:cs="宋体"/>
                <w:color w:val="auto"/>
                <w:sz w:val="21"/>
                <w:szCs w:val="21"/>
              </w:rPr>
              <w:t>1.配合开展首件产品质量核查。对承担2026年城市国土空间监测工作的生产单位进行首件产品检查，编制首件产品检查记录表；及时将发现的问题反馈生产单位整改，将有关问题整理汇总并及时向采购方汇报。</w:t>
            </w:r>
          </w:p>
          <w:p w14:paraId="346D86E5">
            <w:pPr>
              <w:widowControl/>
              <w:snapToGrid w:val="0"/>
              <w:spacing w:line="380" w:lineRule="exact"/>
              <w:ind w:firstLine="420" w:firstLineChars="200"/>
              <w:rPr>
                <w:rFonts w:ascii="宋体" w:hAnsi="宋体" w:cs="宋体"/>
                <w:color w:val="auto"/>
                <w:sz w:val="21"/>
                <w:szCs w:val="21"/>
              </w:rPr>
            </w:pPr>
            <w:r>
              <w:rPr>
                <w:rFonts w:hint="eastAsia" w:ascii="宋体" w:hAnsi="宋体" w:cs="宋体"/>
                <w:color w:val="auto"/>
                <w:sz w:val="21"/>
                <w:szCs w:val="21"/>
              </w:rPr>
              <w:t>2.配合开展全区城市国土空间监测成果数据的核查与验收工作。</w:t>
            </w: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rPr>
              <w:t>按照《2026年城市国土空间监测成果质量检查验收方案》要求，对14个设区市城市国土空间监测成果进行质量检查，并出具质量检验报告。</w:t>
            </w:r>
          </w:p>
          <w:p w14:paraId="68DCE132">
            <w:pPr>
              <w:widowControl/>
              <w:snapToGrid w:val="0"/>
              <w:spacing w:line="380" w:lineRule="exact"/>
              <w:ind w:firstLine="420" w:firstLineChars="200"/>
              <w:rPr>
                <w:rFonts w:ascii="宋体" w:hAnsi="宋体" w:cs="宋体"/>
                <w:color w:val="auto"/>
                <w:sz w:val="21"/>
                <w:szCs w:val="21"/>
              </w:rPr>
            </w:pPr>
            <w:r>
              <w:rPr>
                <w:rFonts w:hint="eastAsia" w:ascii="宋体" w:hAnsi="宋体" w:cs="宋体"/>
                <w:color w:val="auto"/>
                <w:sz w:val="21"/>
                <w:szCs w:val="21"/>
              </w:rPr>
              <w:t>3.配合开展国家级核查整改和数据质量复核工作。</w:t>
            </w:r>
          </w:p>
          <w:p w14:paraId="7CB82B7A">
            <w:pPr>
              <w:widowControl/>
              <w:snapToGrid w:val="0"/>
              <w:spacing w:line="38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4.如自然资源部对2026年城市国土空间监测工作有新要求的，以最新要求为准。</w:t>
            </w:r>
          </w:p>
          <w:p w14:paraId="19B521EB">
            <w:pPr>
              <w:widowControl/>
              <w:snapToGrid w:val="0"/>
              <w:spacing w:line="380" w:lineRule="exact"/>
              <w:ind w:firstLine="420" w:firstLineChars="200"/>
              <w:rPr>
                <w:color w:val="auto"/>
                <w:sz w:val="21"/>
                <w:szCs w:val="21"/>
              </w:rPr>
            </w:pPr>
            <w:r>
              <w:rPr>
                <w:rFonts w:hint="eastAsia" w:ascii="宋体" w:hAnsi="宋体" w:cs="宋体"/>
                <w:color w:val="auto"/>
                <w:sz w:val="21"/>
                <w:szCs w:val="21"/>
              </w:rPr>
              <w:t>5.配合采购人做好项目绩效考核工作。</w:t>
            </w:r>
          </w:p>
        </w:tc>
        <w:tc>
          <w:tcPr>
            <w:tcW w:w="536" w:type="dxa"/>
            <w:vAlign w:val="center"/>
          </w:tcPr>
          <w:p w14:paraId="54E2E6F2">
            <w:pPr>
              <w:snapToGrid w:val="0"/>
              <w:jc w:val="center"/>
              <w:rPr>
                <w:color w:val="auto"/>
                <w:sz w:val="24"/>
              </w:rPr>
            </w:pPr>
          </w:p>
        </w:tc>
        <w:tc>
          <w:tcPr>
            <w:tcW w:w="640" w:type="dxa"/>
            <w:vAlign w:val="center"/>
          </w:tcPr>
          <w:p w14:paraId="1FC2C30F">
            <w:pPr>
              <w:snapToGrid w:val="0"/>
              <w:jc w:val="center"/>
              <w:rPr>
                <w:color w:val="auto"/>
                <w:sz w:val="24"/>
              </w:rPr>
            </w:pPr>
          </w:p>
        </w:tc>
        <w:tc>
          <w:tcPr>
            <w:tcW w:w="873" w:type="dxa"/>
            <w:vAlign w:val="center"/>
          </w:tcPr>
          <w:p w14:paraId="0DC1D491">
            <w:pPr>
              <w:snapToGrid w:val="0"/>
              <w:jc w:val="center"/>
              <w:rPr>
                <w:color w:val="auto"/>
                <w:sz w:val="24"/>
              </w:rPr>
            </w:pPr>
          </w:p>
        </w:tc>
        <w:tc>
          <w:tcPr>
            <w:tcW w:w="876" w:type="dxa"/>
            <w:vAlign w:val="center"/>
          </w:tcPr>
          <w:p w14:paraId="60048867">
            <w:pPr>
              <w:snapToGrid w:val="0"/>
              <w:jc w:val="center"/>
              <w:rPr>
                <w:color w:val="auto"/>
                <w:sz w:val="24"/>
              </w:rPr>
            </w:pPr>
          </w:p>
        </w:tc>
      </w:tr>
      <w:tr w14:paraId="7EDD0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7" w:type="dxa"/>
            <w:gridSpan w:val="7"/>
          </w:tcPr>
          <w:p w14:paraId="5F62D205">
            <w:pPr>
              <w:pStyle w:val="4"/>
              <w:spacing w:line="400" w:lineRule="exact"/>
              <w:ind w:firstLine="0"/>
              <w:rPr>
                <w:rFonts w:ascii="宋体" w:hAnsi="宋体" w:cs="宋体"/>
                <w:color w:val="auto"/>
                <w:sz w:val="21"/>
                <w:szCs w:val="21"/>
              </w:rPr>
            </w:pPr>
            <w:r>
              <w:rPr>
                <w:rFonts w:hint="eastAsia" w:ascii="宋体" w:hAnsi="宋体" w:cs="宋体"/>
                <w:color w:val="auto"/>
                <w:sz w:val="21"/>
                <w:szCs w:val="21"/>
              </w:rPr>
              <w:t>合同总价（大写）：人民币</w:t>
            </w:r>
            <w:r>
              <w:rPr>
                <w:rFonts w:hint="eastAsia" w:ascii="宋体" w:hAnsi="宋体" w:cs="宋体"/>
                <w:color w:val="auto"/>
                <w:sz w:val="21"/>
                <w:szCs w:val="21"/>
                <w:u w:val="single"/>
              </w:rPr>
              <w:t xml:space="preserve">     </w:t>
            </w:r>
            <w:r>
              <w:rPr>
                <w:rFonts w:hint="eastAsia" w:ascii="宋体" w:hAnsi="宋体" w:cs="宋体"/>
                <w:color w:val="auto"/>
                <w:sz w:val="21"/>
                <w:szCs w:val="21"/>
              </w:rPr>
              <w:t>万元整（小写 ¥</w:t>
            </w:r>
            <w:r>
              <w:rPr>
                <w:rFonts w:hint="eastAsia" w:ascii="宋体" w:hAnsi="宋体" w:cs="宋体"/>
                <w:color w:val="auto"/>
                <w:sz w:val="21"/>
                <w:szCs w:val="21"/>
                <w:u w:val="single"/>
              </w:rPr>
              <w:t xml:space="preserve">   </w:t>
            </w:r>
            <w:r>
              <w:rPr>
                <w:rFonts w:hint="eastAsia" w:ascii="宋体" w:hAnsi="宋体" w:cs="宋体"/>
                <w:color w:val="auto"/>
                <w:sz w:val="21"/>
                <w:szCs w:val="21"/>
              </w:rPr>
              <w:t>），</w:t>
            </w:r>
          </w:p>
          <w:p w14:paraId="6D1FFA95">
            <w:pPr>
              <w:pStyle w:val="4"/>
              <w:spacing w:line="400" w:lineRule="exact"/>
              <w:ind w:firstLine="0"/>
              <w:rPr>
                <w:color w:val="auto"/>
                <w:sz w:val="24"/>
              </w:rPr>
            </w:pPr>
            <w:r>
              <w:rPr>
                <w:rFonts w:hint="eastAsia" w:ascii="宋体" w:hAnsi="宋体" w:cs="宋体"/>
                <w:color w:val="auto"/>
                <w:sz w:val="21"/>
                <w:szCs w:val="21"/>
              </w:rPr>
              <w:t>其中不含税金额为人民币</w:t>
            </w:r>
            <w:r>
              <w:rPr>
                <w:rFonts w:hint="eastAsia" w:ascii="宋体" w:hAnsi="宋体" w:cs="宋体"/>
                <w:color w:val="auto"/>
                <w:sz w:val="21"/>
                <w:szCs w:val="21"/>
                <w:u w:val="single"/>
              </w:rPr>
              <w:t xml:space="preserve">    </w:t>
            </w:r>
            <w:r>
              <w:rPr>
                <w:rFonts w:hint="eastAsia" w:ascii="宋体" w:hAnsi="宋体" w:cs="宋体"/>
                <w:color w:val="auto"/>
                <w:sz w:val="21"/>
                <w:szCs w:val="21"/>
              </w:rPr>
              <w:t>（小写 ¥</w:t>
            </w:r>
            <w:r>
              <w:rPr>
                <w:rFonts w:hint="eastAsia" w:ascii="宋体" w:hAnsi="宋体" w:cs="宋体"/>
                <w:color w:val="auto"/>
                <w:sz w:val="21"/>
                <w:szCs w:val="21"/>
                <w:u w:val="single"/>
              </w:rPr>
              <w:t xml:space="preserve">   </w:t>
            </w:r>
            <w:r>
              <w:rPr>
                <w:rFonts w:hint="eastAsia" w:ascii="宋体" w:hAnsi="宋体" w:cs="宋体"/>
                <w:color w:val="auto"/>
                <w:sz w:val="21"/>
                <w:szCs w:val="21"/>
              </w:rPr>
              <w:t>），增值税金额为人民币</w:t>
            </w:r>
            <w:r>
              <w:rPr>
                <w:rFonts w:hint="eastAsia" w:ascii="宋体" w:hAnsi="宋体" w:cs="宋体"/>
                <w:color w:val="auto"/>
                <w:sz w:val="21"/>
                <w:szCs w:val="21"/>
                <w:u w:val="single"/>
              </w:rPr>
              <w:t xml:space="preserve">   </w:t>
            </w:r>
            <w:r>
              <w:rPr>
                <w:rFonts w:hint="eastAsia" w:ascii="宋体" w:hAnsi="宋体" w:cs="宋体"/>
                <w:color w:val="auto"/>
                <w:sz w:val="21"/>
                <w:szCs w:val="21"/>
              </w:rPr>
              <w:t>（小写 ¥</w:t>
            </w:r>
            <w:r>
              <w:rPr>
                <w:rFonts w:hint="eastAsia" w:ascii="宋体" w:hAnsi="宋体" w:cs="宋体"/>
                <w:color w:val="auto"/>
                <w:sz w:val="21"/>
                <w:szCs w:val="21"/>
                <w:u w:val="single"/>
              </w:rPr>
              <w:t xml:space="preserve">   </w:t>
            </w:r>
            <w:r>
              <w:rPr>
                <w:rFonts w:hint="eastAsia" w:ascii="宋体" w:hAnsi="宋体" w:cs="宋体"/>
                <w:color w:val="auto"/>
                <w:sz w:val="21"/>
                <w:szCs w:val="21"/>
              </w:rPr>
              <w:t>）。</w:t>
            </w:r>
          </w:p>
        </w:tc>
      </w:tr>
    </w:tbl>
    <w:p w14:paraId="4B447E36">
      <w:pPr>
        <w:widowControl/>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p>
    <w:p w14:paraId="0173E654">
      <w:pPr>
        <w:widowControl/>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本合同价款采用固定总价方式确定。合同总价包括完成本项目采购要求所产生的全部费用及税费，甲方不再另行向乙方支付其他任何费用。</w:t>
      </w:r>
    </w:p>
    <w:p w14:paraId="5657CC00">
      <w:pPr>
        <w:widowControl/>
        <w:snapToGrid w:val="0"/>
        <w:spacing w:line="360" w:lineRule="auto"/>
        <w:ind w:firstLine="482" w:firstLineChars="200"/>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第二条　质量保证</w:t>
      </w:r>
    </w:p>
    <w:p w14:paraId="013A11A5">
      <w:pPr>
        <w:widowControl/>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1、乙方所提供的服务必须与招投标文件和承诺相一致。</w:t>
      </w:r>
    </w:p>
    <w:p w14:paraId="2BC38643">
      <w:pPr>
        <w:widowControl/>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2、乙方所提供的服务质量应达到招投标文件要求和承诺的质量要求。</w:t>
      </w:r>
    </w:p>
    <w:p w14:paraId="07028F56">
      <w:pPr>
        <w:widowControl/>
        <w:snapToGrid w:val="0"/>
        <w:spacing w:line="360" w:lineRule="auto"/>
        <w:ind w:firstLine="482" w:firstLineChars="200"/>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第三条　乙方责任</w:t>
      </w:r>
    </w:p>
    <w:p w14:paraId="084190CD">
      <w:pPr>
        <w:widowControl/>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1、乙方应保证所提供的服务不会侵犯任何第三方的专利权、商标权、工业设计权或其他权利。</w:t>
      </w:r>
    </w:p>
    <w:p w14:paraId="565CCD4B">
      <w:pPr>
        <w:widowControl/>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2、乙方必须按项目绩效目标完成服务事项并配合甲方做好项目绩效考核。</w:t>
      </w:r>
    </w:p>
    <w:p w14:paraId="413C9D03">
      <w:pPr>
        <w:widowControl/>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3、乙方应按招投标文件规定的时间完成本项目。 </w:t>
      </w:r>
    </w:p>
    <w:p w14:paraId="4D604764">
      <w:pPr>
        <w:widowControl/>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没有甲方事先书面同意，乙方不得将由甲方提供的有关合同或任何合同条文、规格、计划或资料提供给与履行本合同无关的任何其他人。即使向履行本合同有关的人员提供，也要严格按照资料的保密等级进行管理使用并限于履行合同的必需范围，如发生泄密事件，将按有关规定追究法律责任</w:t>
      </w:r>
      <w:r>
        <w:rPr>
          <w:rFonts w:hint="eastAsia" w:asciiTheme="minorEastAsia" w:hAnsiTheme="minorEastAsia" w:eastAsiaTheme="minorEastAsia" w:cstheme="minorEastAsia"/>
          <w:color w:val="auto"/>
          <w:sz w:val="24"/>
          <w:szCs w:val="24"/>
          <w:lang w:eastAsia="zh-CN"/>
        </w:rPr>
        <w:t>。</w:t>
      </w:r>
    </w:p>
    <w:p w14:paraId="019FB63A">
      <w:pPr>
        <w:widowControl/>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5、工作中形成的知识产权归甲方所有。</w:t>
      </w:r>
    </w:p>
    <w:p w14:paraId="671E7BF3">
      <w:pPr>
        <w:widowControl/>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6、本项目合同不能全部或者部分转包。</w:t>
      </w:r>
    </w:p>
    <w:p w14:paraId="178611EA">
      <w:pPr>
        <w:widowControl/>
        <w:snapToGrid w:val="0"/>
        <w:spacing w:line="360" w:lineRule="auto"/>
        <w:ind w:firstLine="480" w:firstLineChars="200"/>
        <w:jc w:val="left"/>
        <w:rPr>
          <w:rFonts w:hint="eastAsia" w:asciiTheme="minorEastAsia" w:hAnsiTheme="minorEastAsia" w:eastAsiaTheme="minorEastAsia" w:cstheme="minorEastAsia"/>
          <w:snapToGrid w:val="0"/>
          <w:color w:val="auto"/>
          <w:sz w:val="24"/>
          <w:szCs w:val="24"/>
        </w:rPr>
      </w:pPr>
      <w:r>
        <w:rPr>
          <w:rFonts w:hint="eastAsia" w:asciiTheme="minorEastAsia" w:hAnsiTheme="minorEastAsia" w:eastAsiaTheme="minorEastAsia" w:cstheme="minorEastAsia"/>
          <w:color w:val="auto"/>
          <w:sz w:val="24"/>
          <w:szCs w:val="24"/>
        </w:rPr>
        <w:t>7、分包约定：</w:t>
      </w:r>
      <w:bookmarkStart w:id="21" w:name="OLE_LINK15"/>
      <w:r>
        <w:rPr>
          <w:rFonts w:hint="eastAsia" w:asciiTheme="minorEastAsia" w:hAnsiTheme="minorEastAsia" w:eastAsiaTheme="minorEastAsia" w:cstheme="minorEastAsia"/>
          <w:color w:val="auto"/>
          <w:sz w:val="24"/>
          <w:szCs w:val="24"/>
          <w:lang w:val="en-US" w:eastAsia="zh-CN"/>
        </w:rPr>
        <w:t>本项目不允许分包</w:t>
      </w:r>
      <w:r>
        <w:rPr>
          <w:rFonts w:hint="eastAsia" w:asciiTheme="minorEastAsia" w:hAnsiTheme="minorEastAsia" w:eastAsiaTheme="minorEastAsia" w:cstheme="minorEastAsia"/>
          <w:snapToGrid w:val="0"/>
          <w:color w:val="auto"/>
          <w:sz w:val="24"/>
          <w:szCs w:val="24"/>
        </w:rPr>
        <w:t>。</w:t>
      </w:r>
    </w:p>
    <w:bookmarkEnd w:id="21"/>
    <w:p w14:paraId="0D6A0DE3">
      <w:pPr>
        <w:widowControl/>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8、乙方需配合甲方开展绩效评价相关工作。</w:t>
      </w:r>
    </w:p>
    <w:p w14:paraId="38A362B4">
      <w:pPr>
        <w:widowControl/>
        <w:snapToGrid w:val="0"/>
        <w:spacing w:line="360" w:lineRule="auto"/>
        <w:ind w:firstLine="482" w:firstLineChars="200"/>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第四条　服务期、交付和验收</w:t>
      </w:r>
    </w:p>
    <w:p w14:paraId="6F0E77CB">
      <w:pPr>
        <w:widowControl/>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1、服务期限：</w:t>
      </w:r>
    </w:p>
    <w:p w14:paraId="19168FE0">
      <w:pPr>
        <w:widowControl/>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2、成果交付：按照国家及自治区的时间要求完成工作任务。</w:t>
      </w:r>
    </w:p>
    <w:p w14:paraId="119A31DC">
      <w:pPr>
        <w:widowControl/>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3、乙方提供不符合招投标文件和本合同规定的服务，甲方有权拒绝接受。</w:t>
      </w:r>
    </w:p>
    <w:p w14:paraId="63778236">
      <w:pPr>
        <w:widowControl/>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4、验收：由甲方组织，按照政府采购合同以及招标文件、投标文件、各项承诺、技术方案等内容，依据《广西壮族自治区自然资源厅采购管理办法》进行验收。</w:t>
      </w:r>
    </w:p>
    <w:p w14:paraId="7ACB41C8">
      <w:pPr>
        <w:widowControl/>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5、甲方对验收有异议的，在验收后五个工作日内以书面形式向乙方提出，乙方应自收到甲方书面异议后5日内及时予以解决</w:t>
      </w:r>
      <w:r>
        <w:rPr>
          <w:rFonts w:hint="eastAsia" w:asciiTheme="minorEastAsia" w:hAnsiTheme="minorEastAsia" w:eastAsiaTheme="minorEastAsia" w:cstheme="minorEastAsia"/>
          <w:color w:val="auto"/>
          <w:sz w:val="24"/>
          <w:szCs w:val="24"/>
          <w:lang w:eastAsia="zh-CN"/>
        </w:rPr>
        <w:t>，乙方必须无条件进行整改、修正，直至甲方验收通过</w:t>
      </w:r>
      <w:r>
        <w:rPr>
          <w:rFonts w:hint="eastAsia" w:asciiTheme="minorEastAsia" w:hAnsiTheme="minorEastAsia" w:eastAsiaTheme="minorEastAsia" w:cstheme="minorEastAsia"/>
          <w:color w:val="auto"/>
          <w:sz w:val="24"/>
          <w:szCs w:val="24"/>
        </w:rPr>
        <w:t>。</w:t>
      </w:r>
    </w:p>
    <w:p w14:paraId="62A792A3">
      <w:pPr>
        <w:widowControl/>
        <w:snapToGrid w:val="0"/>
        <w:spacing w:line="360" w:lineRule="auto"/>
        <w:ind w:firstLine="482" w:firstLineChars="200"/>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 xml:space="preserve">第五条　付款方式 </w:t>
      </w:r>
    </w:p>
    <w:p w14:paraId="51B15027">
      <w:pPr>
        <w:widowControl/>
        <w:snapToGrid w:val="0"/>
        <w:spacing w:line="360" w:lineRule="auto"/>
        <w:ind w:firstLine="480" w:firstLineChars="200"/>
        <w:jc w:val="left"/>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1、本项目合同总金额：</w:t>
      </w:r>
      <w:r>
        <w:rPr>
          <w:rFonts w:hint="eastAsia" w:asciiTheme="minorEastAsia" w:hAnsiTheme="minorEastAsia" w:eastAsiaTheme="minorEastAsia" w:cstheme="minorEastAsia"/>
          <w:color w:val="auto"/>
          <w:sz w:val="24"/>
          <w:szCs w:val="24"/>
          <w:u w:val="single"/>
        </w:rPr>
        <w:t xml:space="preserve">   （¥       元）。</w:t>
      </w:r>
    </w:p>
    <w:p w14:paraId="1A5CD950">
      <w:pPr>
        <w:widowControl/>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2、资金性质；财政性资金。</w:t>
      </w:r>
    </w:p>
    <w:p w14:paraId="7709902D">
      <w:pPr>
        <w:widowControl/>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3、付款方式：</w:t>
      </w:r>
    </w:p>
    <w:p w14:paraId="44ECFE71">
      <w:pPr>
        <w:widowControl/>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乙方指定的接收款项的银行账户信息为：</w:t>
      </w:r>
    </w:p>
    <w:p w14:paraId="52EA04B3">
      <w:pPr>
        <w:widowControl/>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开户行： </w:t>
      </w:r>
    </w:p>
    <w:p w14:paraId="76C32416">
      <w:pPr>
        <w:widowControl/>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开户名： </w:t>
      </w:r>
    </w:p>
    <w:p w14:paraId="374C50C3">
      <w:pPr>
        <w:widowControl/>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银行账户：</w:t>
      </w:r>
    </w:p>
    <w:p w14:paraId="05C30A8E">
      <w:pPr>
        <w:pStyle w:val="11"/>
        <w:widowControl/>
        <w:numPr>
          <w:ilvl w:val="0"/>
          <w:numId w:val="1"/>
        </w:numPr>
        <w:snapToGrid w:val="0"/>
        <w:spacing w:line="360" w:lineRule="auto"/>
        <w:ind w:firstLine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同价款采用费用包干合同方式确定。</w:t>
      </w:r>
    </w:p>
    <w:p w14:paraId="6D62B9AB">
      <w:pPr>
        <w:widowControl/>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②合同签订后10个工作日内，甲方向乙方</w:t>
      </w:r>
      <w:r>
        <w:rPr>
          <w:rFonts w:hint="eastAsia" w:asciiTheme="minorEastAsia" w:hAnsiTheme="minorEastAsia" w:eastAsiaTheme="minorEastAsia" w:cstheme="minorEastAsia"/>
          <w:color w:val="auto"/>
          <w:sz w:val="24"/>
          <w:szCs w:val="24"/>
          <w:lang w:eastAsia="zh-CN"/>
        </w:rPr>
        <w:t>预</w:t>
      </w:r>
      <w:r>
        <w:rPr>
          <w:rFonts w:hint="eastAsia" w:asciiTheme="minorEastAsia" w:hAnsiTheme="minorEastAsia" w:eastAsiaTheme="minorEastAsia" w:cstheme="minorEastAsia"/>
          <w:color w:val="auto"/>
          <w:sz w:val="24"/>
          <w:szCs w:val="24"/>
        </w:rPr>
        <w:t>支付合同总金额30%的工作经费，务必用于本项目支出；乙方基本完成检查工作，并出具城市国土空间监测成果质量检验报告提交甲方确认后，甲方向乙方支付合同总金额60%的工作经费；完成2026年工作任务，项目通过甲方组织验收合格后，甲方在十五个工作日内向乙方支付合同总金额10%工作经费。乙方在每次收到货款之日起5个工作日内开具全额发票给甲方。</w:t>
      </w:r>
    </w:p>
    <w:p w14:paraId="7DE60CB2">
      <w:pPr>
        <w:widowControl/>
        <w:snapToGrid w:val="0"/>
        <w:spacing w:line="360" w:lineRule="auto"/>
        <w:ind w:firstLine="482" w:firstLineChars="200"/>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第六条　税费</w:t>
      </w:r>
    </w:p>
    <w:p w14:paraId="7D81F7B4">
      <w:pPr>
        <w:widowControl/>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本合同执行中相关的一切税费均由乙方承担。</w:t>
      </w:r>
    </w:p>
    <w:p w14:paraId="7E08BBEF">
      <w:pPr>
        <w:widowControl/>
        <w:snapToGrid w:val="0"/>
        <w:spacing w:line="360" w:lineRule="auto"/>
        <w:ind w:firstLine="482" w:firstLineChars="200"/>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第七条  售后服务</w:t>
      </w:r>
    </w:p>
    <w:p w14:paraId="301EB04B">
      <w:pPr>
        <w:widowControl/>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1、乙方应按照国家有关法律法规和“三包”规定以及采购文件、投标文件和本合同的所有附件，为甲方提供售后服务。</w:t>
      </w:r>
    </w:p>
    <w:p w14:paraId="245DF973">
      <w:pPr>
        <w:widowControl/>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2、乙方提供的其他具体约定事项。（见合同附件）</w:t>
      </w:r>
    </w:p>
    <w:p w14:paraId="44378034">
      <w:pPr>
        <w:widowControl/>
        <w:snapToGrid w:val="0"/>
        <w:spacing w:line="360" w:lineRule="auto"/>
        <w:ind w:firstLine="482" w:firstLineChars="200"/>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第八条　违约责任</w:t>
      </w:r>
    </w:p>
    <w:p w14:paraId="203E130D">
      <w:pPr>
        <w:widowControl/>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1、乙方所提供的服务质量不合格的，应及时调整，调整不及时的按逾期提交服务成果处罚；因质量问题甲方不同意接收的，乙方应向甲方支付合同总价5%的违约金，并且甲方有权解除合同，乙方应自甲方通知解除合同之日起5日内一次性退还已付款项；因特殊情况甲方同意接收的，乙方应向甲方支付合同总价5%的违约金。                                       </w:t>
      </w:r>
    </w:p>
    <w:p w14:paraId="086D8A21">
      <w:pPr>
        <w:widowControl/>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2、乙方提供的服务如侵犯了第三方合法权益而引发的任何纠纷或诉讼</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均由乙方负责交涉并承担全部责任。若因此给甲方造成损失的，乙方应当赔偿甲方的全部经济损失</w:t>
      </w:r>
      <w:r>
        <w:rPr>
          <w:rFonts w:hint="eastAsia" w:asciiTheme="minorEastAsia" w:hAnsiTheme="minorEastAsia" w:eastAsiaTheme="minorEastAsia" w:cstheme="minorEastAsia"/>
          <w:color w:val="auto"/>
          <w:sz w:val="24"/>
          <w:szCs w:val="24"/>
          <w:lang w:eastAsia="zh-CN"/>
        </w:rPr>
        <w:t>。</w:t>
      </w:r>
    </w:p>
    <w:p w14:paraId="6D58D480">
      <w:pPr>
        <w:widowControl/>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3、乙方逾期完成的，每天向甲方偿付合同总价3‰的违约金，但违约金累计不得超过合同总价的5% ，超过10天甲方有权解除合同。甲方因此解除合同的，乙方还应当自收到甲方要求合同解除的函之日起5日内退还甲方已经支付的全部款项，赔偿因此给甲方造成的全部经济损失。</w:t>
      </w:r>
    </w:p>
    <w:p w14:paraId="03DD1B67">
      <w:pPr>
        <w:widowControl/>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乙方不得将项目全部或部分进行转包，如有违反，乙方应向甲方一次性支付合同总价20%的违约金，且甲方有权解除合同。甲方因此解除合同的，乙方还应当自收到甲方要求合同解除的函之日起5日内退还甲方已经支付的全部款项，赔偿因此给甲方造成的全部经济损失。</w:t>
      </w:r>
    </w:p>
    <w:p w14:paraId="5470FD48">
      <w:pPr>
        <w:widowControl/>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5、乙方未按本合同和投标文件中承诺的事项提供服务的，乙方应按本合同的合同总价5%向甲方支付违约金。</w:t>
      </w:r>
    </w:p>
    <w:p w14:paraId="0DB19C36">
      <w:pPr>
        <w:widowControl/>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6、乙方提供的服务成果在质量保证期内，因乙方和其他质量原因造成的问题，乙方负责，由乙方按实际情况赔偿甲方损失。</w:t>
      </w:r>
    </w:p>
    <w:p w14:paraId="71C26A0D">
      <w:pPr>
        <w:widowControl/>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7、其他违约行为按合同总价5%收取违约金。</w:t>
      </w:r>
    </w:p>
    <w:p w14:paraId="4A6B7BE5">
      <w:pPr>
        <w:widowControl/>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8、乙方支付的违约金不足以弥补甲方损失的，应承担赔偿责任，甲方有权继续向乙方追偿。</w:t>
      </w:r>
    </w:p>
    <w:p w14:paraId="187CCDBF">
      <w:pPr>
        <w:widowControl/>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本合同所称的甲方经济损失或者甲方损失，包括甲方遭受的全部直接经济损失及为此支出的合理费用（包括但不限于为此支出的调查费、诉讼费、鉴定费、保全费、保全责任保险费、律师费、差旅费等）。乙方应支付给甲方的违约金或赔偿金，甲方有权从任何应支付未支付给乙方的款项中直接抵扣。</w:t>
      </w:r>
    </w:p>
    <w:p w14:paraId="06EDCBCB">
      <w:pPr>
        <w:widowControl/>
        <w:snapToGrid w:val="0"/>
        <w:spacing w:line="360" w:lineRule="auto"/>
        <w:ind w:firstLine="482" w:firstLineChars="200"/>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第九条  不可抗力事件处理</w:t>
      </w:r>
    </w:p>
    <w:p w14:paraId="6BAFCF15">
      <w:pPr>
        <w:widowControl/>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1、在合同有效期内，任何一方因不可抗力事件导致不能履行合同，则合同履行期可延长，其延长期与不可抗力影响期相同。</w:t>
      </w:r>
    </w:p>
    <w:p w14:paraId="52A85C80">
      <w:pPr>
        <w:widowControl/>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2、由于不可抗力事件不能全部或部分履行合同义务时，任一方可中止履行其在本合同项下的义务（在不可抗力事件发生前已发生的应付且未付义务除外）。</w:t>
      </w:r>
    </w:p>
    <w:p w14:paraId="1FF18EB7">
      <w:pPr>
        <w:widowControl/>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3、不可抗力事件发生后，应立即通知对方，并寄送有关权威机构出具的证明。声称受到不可抗力的一方应在任何时候采取合理的行动，以避免或尽量减少不可抗力事件的影响。</w:t>
      </w:r>
    </w:p>
    <w:p w14:paraId="10FCD1C2">
      <w:pPr>
        <w:widowControl/>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4、不可抗力事件延续一百二十天以上，双方应通过友好协商，确定是否继续履行合同。</w:t>
      </w:r>
    </w:p>
    <w:p w14:paraId="4E07B9B2">
      <w:pPr>
        <w:widowControl/>
        <w:snapToGrid w:val="0"/>
        <w:spacing w:line="360" w:lineRule="auto"/>
        <w:ind w:firstLine="482" w:firstLineChars="200"/>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第十条  合同争议解决</w:t>
      </w:r>
    </w:p>
    <w:p w14:paraId="196BC0AD">
      <w:pPr>
        <w:widowControl/>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1、因服务质量问题发生争议的，应邀请国家认可的权威机构进行鉴定</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鉴定费由乙方承担。乙方提供服务成果文件的质量保证期按成果文件验收合格之日起计（期限见《招标项目采购需求》中的要求）。在保证期内因服务本身发生问题，乙方应负责免费调整。对达不到技术要求者，根据实际情况</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经双方协商，可按以下办法处理：</w:t>
      </w:r>
    </w:p>
    <w:p w14:paraId="7AA94B1B">
      <w:pPr>
        <w:widowControl/>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（1）退款处理：乙方应退还甲方支付的合同款。</w:t>
      </w:r>
    </w:p>
    <w:p w14:paraId="4BB3568D">
      <w:pPr>
        <w:widowControl/>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2、双方在执行合同中所发生的一切争议，应通过协商解决。如协商不能解决，可向甲方所在地有管辖权限的人民法院提起诉讼。诉讼期间，本合同继续履行。</w:t>
      </w:r>
    </w:p>
    <w:p w14:paraId="3A0C2FEC">
      <w:pPr>
        <w:widowControl/>
        <w:snapToGrid w:val="0"/>
        <w:spacing w:line="360" w:lineRule="auto"/>
        <w:ind w:firstLine="482" w:firstLineChars="200"/>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第十一条  合同生效及其它</w:t>
      </w:r>
    </w:p>
    <w:p w14:paraId="00973C44">
      <w:pPr>
        <w:widowControl/>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1、合同经双方法定代表人或授权代表签字（或盖章）并加盖单位公章或合同专用章后生效。</w:t>
      </w:r>
    </w:p>
    <w:p w14:paraId="44EFB3C7">
      <w:pPr>
        <w:widowControl/>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2、本合同未尽事宜，遵照《中华人民共和国政府采购法</w:t>
      </w:r>
      <w:r>
        <w:rPr>
          <w:rFonts w:hint="eastAsia" w:asciiTheme="minorEastAsia" w:hAnsiTheme="minorEastAsia" w:eastAsiaTheme="minorEastAsia" w:cstheme="minorEastAsia"/>
          <w:color w:val="auto"/>
          <w:sz w:val="24"/>
          <w:szCs w:val="24"/>
          <w:lang w:eastAsia="zh-CN"/>
        </w:rPr>
        <w:t>》和</w:t>
      </w:r>
      <w:r>
        <w:rPr>
          <w:rFonts w:hint="eastAsia" w:asciiTheme="minorEastAsia" w:hAnsiTheme="minorEastAsia" w:eastAsiaTheme="minorEastAsia" w:cstheme="minorEastAsia"/>
          <w:color w:val="auto"/>
          <w:sz w:val="24"/>
          <w:szCs w:val="24"/>
        </w:rPr>
        <w:t>《中华人民共和国民法典》有关条文执行。</w:t>
      </w:r>
    </w:p>
    <w:p w14:paraId="3AD0A02D">
      <w:pPr>
        <w:widowControl/>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3、双方确认，以下为各方真实有效通讯地址：</w:t>
      </w:r>
    </w:p>
    <w:p w14:paraId="709DBD34">
      <w:pPr>
        <w:widowControl/>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u w:val="single"/>
        </w:rPr>
        <w:t>甲方：广西壮族自治区自然资源厅，地址：南宁市中新路2号，收件人</w:t>
      </w:r>
      <w:r>
        <w:rPr>
          <w:rFonts w:hint="eastAsia" w:asciiTheme="minorEastAsia" w:hAnsiTheme="minorEastAsia" w:eastAsiaTheme="minorEastAsia" w:cstheme="minorEastAsia"/>
          <w:color w:val="auto"/>
          <w:sz w:val="24"/>
          <w:szCs w:val="24"/>
          <w:u w:val="single"/>
          <w:lang w:eastAsia="zh-CN"/>
        </w:rPr>
        <w:t>：邹</w:t>
      </w:r>
      <w:r>
        <w:rPr>
          <w:rFonts w:hint="eastAsia" w:asciiTheme="minorEastAsia" w:hAnsiTheme="minorEastAsia" w:eastAsiaTheme="minorEastAsia" w:cstheme="minorEastAsia"/>
          <w:color w:val="auto"/>
          <w:sz w:val="24"/>
          <w:szCs w:val="24"/>
          <w:u w:val="single"/>
        </w:rPr>
        <w:t>工，联系电话：0771-5388295</w:t>
      </w:r>
      <w:r>
        <w:rPr>
          <w:rFonts w:hint="eastAsia" w:asciiTheme="minorEastAsia" w:hAnsiTheme="minorEastAsia" w:eastAsiaTheme="minorEastAsia" w:cstheme="minorEastAsia"/>
          <w:color w:val="auto"/>
          <w:sz w:val="24"/>
          <w:szCs w:val="24"/>
        </w:rPr>
        <w:t>。</w:t>
      </w:r>
    </w:p>
    <w:p w14:paraId="6E707271">
      <w:pPr>
        <w:widowControl/>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乙方：</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，地址：</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 xml:space="preserve"> ，收件人：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，联系电话：</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eastAsia="zh-CN"/>
        </w:rPr>
        <w:t>。</w:t>
      </w:r>
      <w:r>
        <w:rPr>
          <w:rFonts w:hint="eastAsia" w:asciiTheme="minorEastAsia" w:hAnsiTheme="minorEastAsia" w:eastAsiaTheme="minorEastAsia" w:cstheme="minorEastAsia"/>
          <w:color w:val="auto"/>
          <w:sz w:val="24"/>
          <w:szCs w:val="24"/>
          <w:u w:val="single"/>
        </w:rPr>
        <w:t xml:space="preserve"> </w:t>
      </w:r>
    </w:p>
    <w:p w14:paraId="6AE3514F">
      <w:pPr>
        <w:widowControl/>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方向对方发出的任何通知、信函和文件，以挂号信函或快递信函方式向对方地址邮寄有关通知、信函和文件的，自发出之日起第三日视为送达对方，挂号信函或快递信函的邮寄凭证即视为成功送达的有效凭证。一方地址变更的，应及时书面通知对方，否则上述地址仍为真实有效通讯地址。若现场提交的，自对方签收时视为送达对方。</w:t>
      </w:r>
    </w:p>
    <w:p w14:paraId="2DB33212">
      <w:pPr>
        <w:widowControl/>
        <w:snapToGrid w:val="0"/>
        <w:spacing w:line="360" w:lineRule="auto"/>
        <w:ind w:firstLine="482" w:firstLineChars="200"/>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第十二条  合同的变更、终止与转让</w:t>
      </w:r>
    </w:p>
    <w:p w14:paraId="4E94A572">
      <w:pPr>
        <w:widowControl/>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1、除《中华人民共和国政府采购法》第五十条规定的情形外，本合同一经签订，甲乙双方不得擅自变更、中止或终止。</w:t>
      </w:r>
    </w:p>
    <w:p w14:paraId="379BD623">
      <w:pPr>
        <w:widowControl/>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2、乙方不得擅自转让其应履行的合同义务。</w:t>
      </w:r>
    </w:p>
    <w:p w14:paraId="7072E0BE">
      <w:pPr>
        <w:widowControl/>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3、合同执行中涉及采购资金和采购内容修改或补充的，须经财政部门审批，并签订书面补充协议报财政部门备案，方可作为主合同不可分割的一部分。</w:t>
      </w:r>
    </w:p>
    <w:p w14:paraId="0224C5AC">
      <w:pPr>
        <w:widowControl/>
        <w:snapToGrid w:val="0"/>
        <w:spacing w:line="360" w:lineRule="auto"/>
        <w:ind w:firstLine="482" w:firstLineChars="200"/>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第十三条  签订本合同依据</w:t>
      </w:r>
    </w:p>
    <w:p w14:paraId="57C0197F">
      <w:pPr>
        <w:widowControl/>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bookmarkStart w:id="22" w:name="OLE_LINK19"/>
      <w:r>
        <w:rPr>
          <w:rFonts w:hint="eastAsia" w:asciiTheme="minorEastAsia" w:hAnsiTheme="minorEastAsia" w:eastAsiaTheme="minorEastAsia" w:cstheme="minorEastAsia"/>
          <w:color w:val="auto"/>
          <w:sz w:val="24"/>
          <w:szCs w:val="24"/>
        </w:rPr>
        <w:t>1、竞争性磋商采购文件；</w:t>
      </w:r>
      <w:bookmarkEnd w:id="22"/>
    </w:p>
    <w:p w14:paraId="7F9EF7F3">
      <w:pPr>
        <w:widowControl/>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2、乙方提供的响应文件；</w:t>
      </w:r>
    </w:p>
    <w:p w14:paraId="109B1BD1">
      <w:pPr>
        <w:widowControl/>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3、成交通知书。</w:t>
      </w:r>
    </w:p>
    <w:p w14:paraId="2986E20A">
      <w:pPr>
        <w:widowControl/>
        <w:snapToGrid w:val="0"/>
        <w:spacing w:line="360" w:lineRule="auto"/>
        <w:ind w:firstLine="480" w:firstLineChars="20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第十四条  本合同一式肆份，甲</w:t>
      </w:r>
      <w:r>
        <w:rPr>
          <w:rFonts w:hint="eastAsia" w:asciiTheme="minorEastAsia" w:hAnsiTheme="minorEastAsia" w:eastAsiaTheme="minorEastAsia" w:cstheme="minorEastAsia"/>
          <w:color w:val="auto"/>
          <w:sz w:val="24"/>
          <w:szCs w:val="24"/>
          <w:lang w:eastAsia="zh-CN"/>
        </w:rPr>
        <w:t>、乙双</w:t>
      </w:r>
      <w:r>
        <w:rPr>
          <w:rFonts w:hint="eastAsia" w:asciiTheme="minorEastAsia" w:hAnsiTheme="minorEastAsia" w:eastAsiaTheme="minorEastAsia" w:cstheme="minorEastAsia"/>
          <w:color w:val="auto"/>
          <w:sz w:val="24"/>
          <w:szCs w:val="24"/>
        </w:rPr>
        <w:t>方</w:t>
      </w:r>
      <w:r>
        <w:rPr>
          <w:rFonts w:hint="eastAsia" w:asciiTheme="minorEastAsia" w:hAnsiTheme="minorEastAsia" w:eastAsiaTheme="minorEastAsia" w:cstheme="minorEastAsia"/>
          <w:color w:val="auto"/>
          <w:sz w:val="24"/>
          <w:szCs w:val="24"/>
          <w:lang w:eastAsia="zh-CN"/>
        </w:rPr>
        <w:t>各</w:t>
      </w:r>
      <w:r>
        <w:rPr>
          <w:rFonts w:hint="eastAsia" w:asciiTheme="minorEastAsia" w:hAnsiTheme="minorEastAsia" w:eastAsiaTheme="minorEastAsia" w:cstheme="minorEastAsia"/>
          <w:color w:val="auto"/>
          <w:sz w:val="24"/>
          <w:szCs w:val="24"/>
        </w:rPr>
        <w:t>二份</w:t>
      </w:r>
      <w:r>
        <w:rPr>
          <w:rFonts w:hint="eastAsia" w:asciiTheme="minorEastAsia" w:hAnsiTheme="minorEastAsia" w:eastAsiaTheme="minorEastAsia" w:cstheme="minorEastAsia"/>
          <w:color w:val="auto"/>
          <w:sz w:val="24"/>
          <w:szCs w:val="24"/>
          <w:lang w:eastAsia="zh-CN"/>
        </w:rPr>
        <w:t>。</w:t>
      </w:r>
    </w:p>
    <w:p w14:paraId="369A6D8E">
      <w:pPr>
        <w:spacing w:line="360" w:lineRule="auto"/>
        <w:rPr>
          <w:rFonts w:hint="eastAsia" w:asciiTheme="minorEastAsia" w:hAnsiTheme="minorEastAsia" w:eastAsiaTheme="minorEastAsia" w:cstheme="minorEastAsia"/>
          <w:color w:val="auto"/>
          <w:sz w:val="24"/>
          <w:szCs w:val="24"/>
        </w:rPr>
      </w:pPr>
    </w:p>
    <w:tbl>
      <w:tblPr>
        <w:tblStyle w:val="7"/>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9"/>
        <w:gridCol w:w="4340"/>
      </w:tblGrid>
      <w:tr w14:paraId="41E15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7" w:hRule="atLeast"/>
          <w:jc w:val="center"/>
        </w:trPr>
        <w:tc>
          <w:tcPr>
            <w:tcW w:w="4819" w:type="dxa"/>
            <w:tcBorders>
              <w:top w:val="single" w:color="auto" w:sz="4" w:space="0"/>
              <w:left w:val="single" w:color="auto" w:sz="4" w:space="0"/>
              <w:bottom w:val="single" w:color="auto" w:sz="4" w:space="0"/>
              <w:right w:val="single" w:color="auto" w:sz="4" w:space="0"/>
            </w:tcBorders>
            <w:vAlign w:val="center"/>
          </w:tcPr>
          <w:p w14:paraId="38E5DE84">
            <w:pPr>
              <w:widowControl/>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甲方（章）</w:t>
            </w:r>
          </w:p>
          <w:p w14:paraId="659644F1">
            <w:pPr>
              <w:widowControl/>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广西壮族自治区自然资源厅</w:t>
            </w:r>
          </w:p>
          <w:p w14:paraId="50DFCD55">
            <w:pPr>
              <w:widowControl/>
              <w:snapToGrid w:val="0"/>
              <w:spacing w:line="360" w:lineRule="auto"/>
              <w:rPr>
                <w:rFonts w:hint="eastAsia" w:asciiTheme="minorEastAsia" w:hAnsiTheme="minorEastAsia" w:eastAsiaTheme="minorEastAsia" w:cstheme="minorEastAsia"/>
                <w:color w:val="auto"/>
                <w:sz w:val="24"/>
                <w:szCs w:val="24"/>
              </w:rPr>
            </w:pPr>
          </w:p>
          <w:p w14:paraId="34D5126B">
            <w:pPr>
              <w:widowControl/>
              <w:snapToGrid w:val="0"/>
              <w:spacing w:line="360" w:lineRule="auto"/>
              <w:ind w:firstLine="1080" w:firstLineChars="45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2026年   月   日</w:t>
            </w:r>
          </w:p>
        </w:tc>
        <w:tc>
          <w:tcPr>
            <w:tcW w:w="4340" w:type="dxa"/>
            <w:tcBorders>
              <w:top w:val="single" w:color="auto" w:sz="4" w:space="0"/>
              <w:left w:val="single" w:color="auto" w:sz="4" w:space="0"/>
              <w:bottom w:val="single" w:color="auto" w:sz="4" w:space="0"/>
              <w:right w:val="single" w:color="auto" w:sz="4" w:space="0"/>
            </w:tcBorders>
            <w:vAlign w:val="center"/>
          </w:tcPr>
          <w:p w14:paraId="6D3052DC">
            <w:pPr>
              <w:widowControl/>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乙方（章）</w:t>
            </w:r>
          </w:p>
          <w:p w14:paraId="71E7A067">
            <w:pPr>
              <w:widowControl/>
              <w:snapToGrid w:val="0"/>
              <w:spacing w:line="360" w:lineRule="auto"/>
              <w:rPr>
                <w:rFonts w:hint="eastAsia" w:asciiTheme="minorEastAsia" w:hAnsiTheme="minorEastAsia" w:eastAsiaTheme="minorEastAsia" w:cstheme="minorEastAsia"/>
                <w:color w:val="auto"/>
                <w:sz w:val="24"/>
                <w:szCs w:val="24"/>
              </w:rPr>
            </w:pPr>
          </w:p>
          <w:p w14:paraId="7D309CB8">
            <w:pPr>
              <w:widowControl/>
              <w:snapToGrid w:val="0"/>
              <w:spacing w:line="360" w:lineRule="auto"/>
              <w:rPr>
                <w:rFonts w:hint="eastAsia" w:asciiTheme="minorEastAsia" w:hAnsiTheme="minorEastAsia" w:eastAsiaTheme="minorEastAsia" w:cstheme="minorEastAsia"/>
                <w:color w:val="auto"/>
                <w:sz w:val="24"/>
                <w:szCs w:val="24"/>
              </w:rPr>
            </w:pPr>
          </w:p>
          <w:p w14:paraId="7D3A5525">
            <w:pPr>
              <w:widowControl/>
              <w:snapToGrid w:val="0"/>
              <w:spacing w:line="360" w:lineRule="auto"/>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2026年   月   日</w:t>
            </w:r>
          </w:p>
        </w:tc>
      </w:tr>
      <w:tr w14:paraId="685C5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4819" w:type="dxa"/>
            <w:tcBorders>
              <w:top w:val="single" w:color="auto" w:sz="4" w:space="0"/>
              <w:left w:val="single" w:color="auto" w:sz="4" w:space="0"/>
              <w:bottom w:val="single" w:color="auto" w:sz="4" w:space="0"/>
              <w:right w:val="single" w:color="auto" w:sz="4" w:space="0"/>
            </w:tcBorders>
            <w:vAlign w:val="center"/>
          </w:tcPr>
          <w:p w14:paraId="7C7CD0DD">
            <w:pPr>
              <w:widowControl/>
              <w:snapToGrid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单位地址： 南宁市中新路2号</w:t>
            </w:r>
          </w:p>
        </w:tc>
        <w:tc>
          <w:tcPr>
            <w:tcW w:w="4340" w:type="dxa"/>
            <w:tcBorders>
              <w:top w:val="single" w:color="auto" w:sz="4" w:space="0"/>
              <w:left w:val="single" w:color="auto" w:sz="4" w:space="0"/>
              <w:bottom w:val="single" w:color="auto" w:sz="4" w:space="0"/>
              <w:right w:val="single" w:color="auto" w:sz="4" w:space="0"/>
            </w:tcBorders>
            <w:vAlign w:val="center"/>
          </w:tcPr>
          <w:p w14:paraId="5B65B84D">
            <w:pPr>
              <w:widowControl/>
              <w:snapToGrid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单位地址：</w:t>
            </w:r>
          </w:p>
        </w:tc>
      </w:tr>
      <w:tr w14:paraId="51FA4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4819" w:type="dxa"/>
            <w:tcBorders>
              <w:top w:val="single" w:color="auto" w:sz="4" w:space="0"/>
              <w:left w:val="single" w:color="auto" w:sz="4" w:space="0"/>
              <w:bottom w:val="single" w:color="auto" w:sz="4" w:space="0"/>
              <w:right w:val="single" w:color="auto" w:sz="4" w:space="0"/>
            </w:tcBorders>
            <w:vAlign w:val="center"/>
          </w:tcPr>
          <w:p w14:paraId="38C805B2">
            <w:pPr>
              <w:widowControl/>
              <w:snapToGrid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法定代表人签字</w:t>
            </w:r>
            <w:r>
              <w:rPr>
                <w:rFonts w:hint="eastAsia" w:asciiTheme="minorEastAsia" w:hAnsiTheme="minorEastAsia" w:eastAsiaTheme="minorEastAsia" w:cstheme="minorEastAsia"/>
                <w:color w:val="auto"/>
                <w:kern w:val="0"/>
                <w:sz w:val="24"/>
                <w:szCs w:val="24"/>
              </w:rPr>
              <w:t>或盖章</w:t>
            </w:r>
            <w:r>
              <w:rPr>
                <w:rFonts w:hint="eastAsia" w:asciiTheme="minorEastAsia" w:hAnsiTheme="minorEastAsia" w:eastAsiaTheme="minorEastAsia" w:cstheme="minorEastAsia"/>
                <w:color w:val="auto"/>
                <w:sz w:val="24"/>
                <w:szCs w:val="24"/>
              </w:rPr>
              <w:t>：</w:t>
            </w:r>
          </w:p>
        </w:tc>
        <w:tc>
          <w:tcPr>
            <w:tcW w:w="4340" w:type="dxa"/>
            <w:tcBorders>
              <w:top w:val="single" w:color="auto" w:sz="4" w:space="0"/>
              <w:left w:val="single" w:color="auto" w:sz="4" w:space="0"/>
              <w:bottom w:val="single" w:color="auto" w:sz="4" w:space="0"/>
              <w:right w:val="single" w:color="auto" w:sz="4" w:space="0"/>
            </w:tcBorders>
            <w:vAlign w:val="center"/>
          </w:tcPr>
          <w:p w14:paraId="6C8F569A">
            <w:pPr>
              <w:widowControl/>
              <w:snapToGrid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法定代表人签字</w:t>
            </w:r>
            <w:r>
              <w:rPr>
                <w:rFonts w:hint="eastAsia" w:asciiTheme="minorEastAsia" w:hAnsiTheme="minorEastAsia" w:eastAsiaTheme="minorEastAsia" w:cstheme="minorEastAsia"/>
                <w:color w:val="auto"/>
                <w:kern w:val="0"/>
                <w:sz w:val="24"/>
                <w:szCs w:val="24"/>
              </w:rPr>
              <w:t>或盖章</w:t>
            </w:r>
            <w:r>
              <w:rPr>
                <w:rFonts w:hint="eastAsia" w:asciiTheme="minorEastAsia" w:hAnsiTheme="minorEastAsia" w:eastAsiaTheme="minorEastAsia" w:cstheme="minorEastAsia"/>
                <w:color w:val="auto"/>
                <w:sz w:val="24"/>
                <w:szCs w:val="24"/>
              </w:rPr>
              <w:t>：</w:t>
            </w:r>
          </w:p>
        </w:tc>
      </w:tr>
      <w:tr w14:paraId="66A58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819" w:type="dxa"/>
            <w:tcBorders>
              <w:top w:val="single" w:color="auto" w:sz="4" w:space="0"/>
              <w:left w:val="single" w:color="auto" w:sz="4" w:space="0"/>
              <w:bottom w:val="single" w:color="auto" w:sz="4" w:space="0"/>
              <w:right w:val="single" w:color="auto" w:sz="4" w:space="0"/>
            </w:tcBorders>
            <w:vAlign w:val="center"/>
          </w:tcPr>
          <w:p w14:paraId="08EC877A">
            <w:pPr>
              <w:widowControl/>
              <w:snapToGrid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委托代理人签字</w:t>
            </w:r>
            <w:r>
              <w:rPr>
                <w:rFonts w:hint="eastAsia" w:asciiTheme="minorEastAsia" w:hAnsiTheme="minorEastAsia" w:eastAsiaTheme="minorEastAsia" w:cstheme="minorEastAsia"/>
                <w:color w:val="auto"/>
                <w:kern w:val="0"/>
                <w:sz w:val="24"/>
                <w:szCs w:val="24"/>
              </w:rPr>
              <w:t>或盖章</w:t>
            </w:r>
            <w:r>
              <w:rPr>
                <w:rFonts w:hint="eastAsia" w:asciiTheme="minorEastAsia" w:hAnsiTheme="minorEastAsia" w:eastAsiaTheme="minorEastAsia" w:cstheme="minorEastAsia"/>
                <w:color w:val="auto"/>
                <w:sz w:val="24"/>
                <w:szCs w:val="24"/>
              </w:rPr>
              <w:t>：</w:t>
            </w:r>
          </w:p>
        </w:tc>
        <w:tc>
          <w:tcPr>
            <w:tcW w:w="4340" w:type="dxa"/>
            <w:tcBorders>
              <w:top w:val="single" w:color="auto" w:sz="4" w:space="0"/>
              <w:left w:val="single" w:color="auto" w:sz="4" w:space="0"/>
              <w:bottom w:val="single" w:color="auto" w:sz="4" w:space="0"/>
              <w:right w:val="single" w:color="auto" w:sz="4" w:space="0"/>
            </w:tcBorders>
            <w:vAlign w:val="center"/>
          </w:tcPr>
          <w:p w14:paraId="7515F6AF">
            <w:pPr>
              <w:widowControl/>
              <w:snapToGrid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委托代理人签字</w:t>
            </w:r>
            <w:r>
              <w:rPr>
                <w:rFonts w:hint="eastAsia" w:asciiTheme="minorEastAsia" w:hAnsiTheme="minorEastAsia" w:eastAsiaTheme="minorEastAsia" w:cstheme="minorEastAsia"/>
                <w:color w:val="auto"/>
                <w:kern w:val="0"/>
                <w:sz w:val="24"/>
                <w:szCs w:val="24"/>
              </w:rPr>
              <w:t>或盖章</w:t>
            </w:r>
            <w:r>
              <w:rPr>
                <w:rFonts w:hint="eastAsia" w:asciiTheme="minorEastAsia" w:hAnsiTheme="minorEastAsia" w:eastAsiaTheme="minorEastAsia" w:cstheme="minorEastAsia"/>
                <w:color w:val="auto"/>
                <w:sz w:val="24"/>
                <w:szCs w:val="24"/>
              </w:rPr>
              <w:t>：</w:t>
            </w:r>
          </w:p>
        </w:tc>
      </w:tr>
      <w:tr w14:paraId="50BD7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4819" w:type="dxa"/>
            <w:tcBorders>
              <w:top w:val="single" w:color="auto" w:sz="4" w:space="0"/>
              <w:left w:val="single" w:color="auto" w:sz="4" w:space="0"/>
              <w:bottom w:val="single" w:color="auto" w:sz="4" w:space="0"/>
              <w:right w:val="single" w:color="auto" w:sz="4" w:space="0"/>
            </w:tcBorders>
            <w:vAlign w:val="center"/>
          </w:tcPr>
          <w:p w14:paraId="783590A0">
            <w:pPr>
              <w:widowControl/>
              <w:snapToGrid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电话：0771-5388295</w:t>
            </w:r>
          </w:p>
        </w:tc>
        <w:tc>
          <w:tcPr>
            <w:tcW w:w="4340" w:type="dxa"/>
            <w:tcBorders>
              <w:top w:val="single" w:color="auto" w:sz="4" w:space="0"/>
              <w:left w:val="single" w:color="auto" w:sz="4" w:space="0"/>
              <w:bottom w:val="single" w:color="auto" w:sz="4" w:space="0"/>
              <w:right w:val="single" w:color="auto" w:sz="4" w:space="0"/>
            </w:tcBorders>
            <w:vAlign w:val="center"/>
          </w:tcPr>
          <w:p w14:paraId="39FA41DC">
            <w:pPr>
              <w:widowControl/>
              <w:snapToGrid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电话：</w:t>
            </w:r>
          </w:p>
        </w:tc>
      </w:tr>
      <w:tr w14:paraId="1113B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4819" w:type="dxa"/>
            <w:tcBorders>
              <w:top w:val="single" w:color="auto" w:sz="4" w:space="0"/>
              <w:left w:val="single" w:color="auto" w:sz="4" w:space="0"/>
              <w:bottom w:val="single" w:color="auto" w:sz="4" w:space="0"/>
              <w:right w:val="single" w:color="auto" w:sz="4" w:space="0"/>
            </w:tcBorders>
            <w:vAlign w:val="center"/>
          </w:tcPr>
          <w:p w14:paraId="0FD02F2F">
            <w:pPr>
              <w:widowControl/>
              <w:snapToGrid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电子邮箱：</w:t>
            </w:r>
          </w:p>
        </w:tc>
        <w:tc>
          <w:tcPr>
            <w:tcW w:w="4340" w:type="dxa"/>
            <w:tcBorders>
              <w:top w:val="single" w:color="auto" w:sz="4" w:space="0"/>
              <w:left w:val="single" w:color="auto" w:sz="4" w:space="0"/>
              <w:bottom w:val="single" w:color="auto" w:sz="4" w:space="0"/>
              <w:right w:val="single" w:color="auto" w:sz="4" w:space="0"/>
            </w:tcBorders>
            <w:vAlign w:val="center"/>
          </w:tcPr>
          <w:p w14:paraId="40AEE854">
            <w:pPr>
              <w:widowControl/>
              <w:snapToGrid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电子邮箱：</w:t>
            </w:r>
          </w:p>
        </w:tc>
      </w:tr>
      <w:tr w14:paraId="547CD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jc w:val="center"/>
        </w:trPr>
        <w:tc>
          <w:tcPr>
            <w:tcW w:w="4819" w:type="dxa"/>
            <w:tcBorders>
              <w:top w:val="single" w:color="auto" w:sz="4" w:space="0"/>
              <w:left w:val="single" w:color="auto" w:sz="4" w:space="0"/>
              <w:bottom w:val="single" w:color="auto" w:sz="4" w:space="0"/>
              <w:right w:val="single" w:color="auto" w:sz="4" w:space="0"/>
            </w:tcBorders>
            <w:vAlign w:val="center"/>
          </w:tcPr>
          <w:p w14:paraId="3C9CEC58">
            <w:pPr>
              <w:widowControl/>
              <w:snapToGrid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开户银行： </w:t>
            </w:r>
          </w:p>
        </w:tc>
        <w:tc>
          <w:tcPr>
            <w:tcW w:w="4340" w:type="dxa"/>
            <w:tcBorders>
              <w:top w:val="single" w:color="auto" w:sz="4" w:space="0"/>
              <w:left w:val="single" w:color="auto" w:sz="4" w:space="0"/>
              <w:bottom w:val="single" w:color="auto" w:sz="4" w:space="0"/>
              <w:right w:val="single" w:color="auto" w:sz="4" w:space="0"/>
            </w:tcBorders>
            <w:vAlign w:val="center"/>
          </w:tcPr>
          <w:p w14:paraId="6B23B8FE">
            <w:pPr>
              <w:widowControl/>
              <w:snapToGrid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开户银行： </w:t>
            </w:r>
          </w:p>
        </w:tc>
      </w:tr>
      <w:tr w14:paraId="0755A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4819" w:type="dxa"/>
            <w:tcBorders>
              <w:top w:val="single" w:color="auto" w:sz="4" w:space="0"/>
              <w:left w:val="single" w:color="auto" w:sz="4" w:space="0"/>
              <w:bottom w:val="single" w:color="auto" w:sz="4" w:space="0"/>
              <w:right w:val="single" w:color="auto" w:sz="4" w:space="0"/>
            </w:tcBorders>
            <w:vAlign w:val="center"/>
          </w:tcPr>
          <w:p w14:paraId="555CF42C">
            <w:pPr>
              <w:widowControl/>
              <w:snapToGrid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账号：</w:t>
            </w:r>
          </w:p>
        </w:tc>
        <w:tc>
          <w:tcPr>
            <w:tcW w:w="4340" w:type="dxa"/>
            <w:tcBorders>
              <w:top w:val="single" w:color="auto" w:sz="4" w:space="0"/>
              <w:left w:val="single" w:color="auto" w:sz="4" w:space="0"/>
              <w:bottom w:val="single" w:color="auto" w:sz="4" w:space="0"/>
              <w:right w:val="single" w:color="auto" w:sz="4" w:space="0"/>
            </w:tcBorders>
            <w:vAlign w:val="center"/>
          </w:tcPr>
          <w:p w14:paraId="6A101DD7">
            <w:pPr>
              <w:widowControl/>
              <w:snapToGrid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账号：</w:t>
            </w:r>
          </w:p>
        </w:tc>
      </w:tr>
    </w:tbl>
    <w:p w14:paraId="7B6DB8D7">
      <w:pPr>
        <w:snapToGrid w:val="0"/>
        <w:spacing w:line="360" w:lineRule="exact"/>
        <w:jc w:val="center"/>
        <w:rPr>
          <w:rFonts w:ascii="宋体"/>
          <w:b/>
          <w:color w:val="auto"/>
          <w:sz w:val="24"/>
          <w:szCs w:val="24"/>
        </w:rPr>
      </w:pPr>
    </w:p>
    <w:p w14:paraId="3B59066B">
      <w:pPr>
        <w:rPr>
          <w:color w:val="auto"/>
          <w:sz w:val="24"/>
          <w:szCs w:val="24"/>
        </w:rPr>
      </w:pPr>
    </w:p>
    <w:p w14:paraId="4FD9EF38">
      <w:pPr>
        <w:rPr>
          <w:rFonts w:ascii="宋体" w:hAnsi="宋体" w:eastAsia="宋体" w:cs="宋体"/>
          <w:b/>
          <w:bCs/>
          <w:color w:val="auto"/>
          <w:spacing w:val="6"/>
          <w:sz w:val="24"/>
          <w:szCs w:val="24"/>
        </w:rPr>
      </w:pPr>
      <w:r>
        <w:rPr>
          <w:rFonts w:ascii="宋体" w:hAnsi="宋体" w:eastAsia="宋体" w:cs="宋体"/>
          <w:b/>
          <w:bCs/>
          <w:color w:val="auto"/>
          <w:spacing w:val="6"/>
          <w:sz w:val="24"/>
          <w:szCs w:val="24"/>
        </w:rPr>
        <w:br w:type="page"/>
      </w:r>
    </w:p>
    <w:p w14:paraId="179136BD">
      <w:pPr>
        <w:spacing w:before="63" w:line="224" w:lineRule="auto"/>
        <w:ind w:left="1535"/>
        <w:rPr>
          <w:rFonts w:ascii="宋体" w:hAnsi="宋体" w:eastAsia="宋体" w:cs="宋体"/>
          <w:color w:val="auto"/>
          <w:sz w:val="31"/>
          <w:szCs w:val="31"/>
        </w:rPr>
      </w:pPr>
      <w:r>
        <w:rPr>
          <w:rFonts w:ascii="宋体" w:hAnsi="宋体" w:eastAsia="宋体" w:cs="宋体"/>
          <w:b/>
          <w:bCs/>
          <w:color w:val="auto"/>
          <w:spacing w:val="6"/>
          <w:sz w:val="31"/>
          <w:szCs w:val="31"/>
        </w:rPr>
        <w:t>广西壮族自治区政府采购项目合同验收书（格式）</w:t>
      </w:r>
    </w:p>
    <w:p w14:paraId="6F2485A7">
      <w:pPr>
        <w:spacing w:before="65" w:line="298" w:lineRule="auto"/>
        <w:ind w:right="124" w:firstLine="41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根据政府采购项目（</w:t>
      </w:r>
      <w:r>
        <w:rPr>
          <w:rFonts w:hint="eastAsia" w:asciiTheme="minorEastAsia" w:hAnsiTheme="minorEastAsia" w:eastAsiaTheme="minorEastAsia" w:cstheme="minorEastAsia"/>
          <w:color w:val="auto"/>
          <w:spacing w:val="7"/>
          <w:sz w:val="24"/>
          <w:szCs w:val="24"/>
          <w:u w:val="single" w:color="auto"/>
        </w:rPr>
        <w:t>采购合同编号</w:t>
      </w:r>
      <w:r>
        <w:rPr>
          <w:rFonts w:hint="eastAsia" w:asciiTheme="minorEastAsia" w:hAnsiTheme="minorEastAsia" w:eastAsiaTheme="minorEastAsia" w:cstheme="minorEastAsia"/>
          <w:color w:val="auto"/>
          <w:spacing w:val="2"/>
          <w:sz w:val="24"/>
          <w:szCs w:val="24"/>
          <w:u w:val="single" w:color="auto"/>
        </w:rPr>
        <w:t>：</w:t>
      </w:r>
      <w:r>
        <w:rPr>
          <w:rFonts w:hint="eastAsia" w:asciiTheme="minorEastAsia" w:hAnsiTheme="minorEastAsia" w:eastAsiaTheme="minorEastAsia" w:cstheme="minorEastAsia"/>
          <w:color w:val="auto"/>
          <w:spacing w:val="7"/>
          <w:sz w:val="24"/>
          <w:szCs w:val="24"/>
          <w:u w:val="single" w:color="auto"/>
        </w:rPr>
        <w:t xml:space="preserve">      </w:t>
      </w:r>
      <w:r>
        <w:rPr>
          <w:rFonts w:hint="eastAsia" w:asciiTheme="minorEastAsia" w:hAnsiTheme="minorEastAsia" w:eastAsiaTheme="minorEastAsia" w:cstheme="minorEastAsia"/>
          <w:color w:val="auto"/>
          <w:spacing w:val="-69"/>
          <w:sz w:val="24"/>
          <w:szCs w:val="24"/>
        </w:rPr>
        <w:t xml:space="preserve"> </w:t>
      </w:r>
      <w:r>
        <w:rPr>
          <w:rFonts w:hint="eastAsia" w:asciiTheme="minorEastAsia" w:hAnsiTheme="minorEastAsia" w:eastAsiaTheme="minorEastAsia" w:cstheme="minorEastAsia"/>
          <w:color w:val="auto"/>
          <w:spacing w:val="2"/>
          <w:sz w:val="24"/>
          <w:szCs w:val="24"/>
        </w:rPr>
        <w:t>）</w:t>
      </w:r>
      <w:r>
        <w:rPr>
          <w:rFonts w:hint="eastAsia" w:asciiTheme="minorEastAsia" w:hAnsiTheme="minorEastAsia" w:eastAsiaTheme="minorEastAsia" w:cstheme="minorEastAsia"/>
          <w:color w:val="auto"/>
          <w:spacing w:val="7"/>
          <w:sz w:val="24"/>
          <w:szCs w:val="24"/>
        </w:rPr>
        <w:t>的约定，我单位对（</w:t>
      </w:r>
      <w:r>
        <w:rPr>
          <w:rFonts w:hint="eastAsia" w:asciiTheme="minorEastAsia" w:hAnsiTheme="minorEastAsia" w:eastAsiaTheme="minorEastAsia" w:cstheme="minorEastAsia"/>
          <w:color w:val="auto"/>
          <w:spacing w:val="-68"/>
          <w:sz w:val="24"/>
          <w:szCs w:val="24"/>
        </w:rPr>
        <w:t xml:space="preserve"> </w:t>
      </w:r>
      <w:r>
        <w:rPr>
          <w:rFonts w:hint="eastAsia" w:asciiTheme="minorEastAsia" w:hAnsiTheme="minorEastAsia" w:eastAsiaTheme="minorEastAsia" w:cstheme="minorEastAsia"/>
          <w:color w:val="auto"/>
          <w:spacing w:val="7"/>
          <w:sz w:val="24"/>
          <w:szCs w:val="24"/>
          <w:u w:val="single" w:color="auto"/>
        </w:rPr>
        <w:t xml:space="preserve">  项目名称   </w:t>
      </w:r>
      <w:r>
        <w:rPr>
          <w:rFonts w:hint="eastAsia" w:asciiTheme="minorEastAsia" w:hAnsiTheme="minorEastAsia" w:eastAsiaTheme="minorEastAsia" w:cstheme="minorEastAsia"/>
          <w:color w:val="auto"/>
          <w:spacing w:val="-69"/>
          <w:sz w:val="24"/>
          <w:szCs w:val="24"/>
        </w:rPr>
        <w:t xml:space="preserve"> </w:t>
      </w:r>
      <w:r>
        <w:rPr>
          <w:rFonts w:hint="eastAsia" w:asciiTheme="minorEastAsia" w:hAnsiTheme="minorEastAsia" w:eastAsiaTheme="minorEastAsia" w:cstheme="minorEastAsia"/>
          <w:color w:val="auto"/>
          <w:spacing w:val="7"/>
          <w:sz w:val="24"/>
          <w:szCs w:val="24"/>
        </w:rPr>
        <w:t>）政府采购项目成交</w:t>
      </w:r>
      <w:r>
        <w:rPr>
          <w:rFonts w:hint="eastAsia" w:asciiTheme="minorEastAsia" w:hAnsiTheme="minorEastAsia" w:eastAsiaTheme="minorEastAsia" w:cstheme="minorEastAsia"/>
          <w:color w:val="auto"/>
          <w:spacing w:val="6"/>
          <w:sz w:val="24"/>
          <w:szCs w:val="24"/>
        </w:rPr>
        <w:t>供应商（</w:t>
      </w:r>
      <w:r>
        <w:rPr>
          <w:rFonts w:hint="eastAsia" w:asciiTheme="minorEastAsia" w:hAnsiTheme="minorEastAsia" w:eastAsiaTheme="minorEastAsia" w:cstheme="minorEastAsia"/>
          <w:color w:val="auto"/>
          <w:spacing w:val="-59"/>
          <w:sz w:val="24"/>
          <w:szCs w:val="24"/>
        </w:rPr>
        <w:t xml:space="preserve"> </w:t>
      </w:r>
      <w:r>
        <w:rPr>
          <w:rFonts w:hint="eastAsia" w:asciiTheme="minorEastAsia" w:hAnsiTheme="minorEastAsia" w:eastAsiaTheme="minorEastAsia" w:cstheme="minorEastAsia"/>
          <w:color w:val="auto"/>
          <w:spacing w:val="6"/>
          <w:sz w:val="24"/>
          <w:szCs w:val="24"/>
          <w:u w:val="single" w:color="auto"/>
        </w:rPr>
        <w:t xml:space="preserve">            公司名称              </w:t>
      </w:r>
      <w:r>
        <w:rPr>
          <w:rFonts w:hint="eastAsia" w:asciiTheme="minorEastAsia" w:hAnsiTheme="minorEastAsia" w:eastAsiaTheme="minorEastAsia" w:cstheme="minorEastAsia"/>
          <w:color w:val="auto"/>
          <w:spacing w:val="-69"/>
          <w:sz w:val="24"/>
          <w:szCs w:val="24"/>
        </w:rPr>
        <w:t xml:space="preserve"> </w:t>
      </w:r>
      <w:r>
        <w:rPr>
          <w:rFonts w:hint="eastAsia" w:asciiTheme="minorEastAsia" w:hAnsiTheme="minorEastAsia" w:eastAsiaTheme="minorEastAsia" w:cstheme="minorEastAsia"/>
          <w:color w:val="auto"/>
          <w:spacing w:val="6"/>
          <w:sz w:val="24"/>
          <w:szCs w:val="24"/>
        </w:rPr>
        <w:t>）提供的货物及服务进行了验收，验收情况如下：</w:t>
      </w:r>
    </w:p>
    <w:tbl>
      <w:tblPr>
        <w:tblStyle w:val="10"/>
        <w:tblW w:w="963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65"/>
        <w:gridCol w:w="2159"/>
        <w:gridCol w:w="945"/>
        <w:gridCol w:w="2491"/>
        <w:gridCol w:w="205"/>
        <w:gridCol w:w="792"/>
        <w:gridCol w:w="1374"/>
      </w:tblGrid>
      <w:tr w14:paraId="7F9DF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jc w:val="center"/>
        </w:trPr>
        <w:tc>
          <w:tcPr>
            <w:tcW w:w="3824" w:type="dxa"/>
            <w:gridSpan w:val="2"/>
            <w:vAlign w:val="top"/>
          </w:tcPr>
          <w:p w14:paraId="118F8C89">
            <w:pPr>
              <w:pStyle w:val="9"/>
              <w:spacing w:before="169" w:line="228" w:lineRule="auto"/>
              <w:ind w:left="138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验收方式：</w:t>
            </w:r>
          </w:p>
        </w:tc>
        <w:tc>
          <w:tcPr>
            <w:tcW w:w="5807" w:type="dxa"/>
            <w:gridSpan w:val="5"/>
            <w:vAlign w:val="top"/>
          </w:tcPr>
          <w:p w14:paraId="21574020">
            <w:pPr>
              <w:pStyle w:val="9"/>
              <w:spacing w:before="169" w:line="22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□自行验收</w:t>
            </w:r>
            <w:r>
              <w:rPr>
                <w:rFonts w:hint="eastAsia" w:asciiTheme="minorEastAsia" w:hAnsiTheme="minorEastAsia" w:eastAsiaTheme="minorEastAsia" w:cstheme="minorEastAsia"/>
                <w:color w:val="auto"/>
                <w:spacing w:val="1"/>
                <w:sz w:val="24"/>
                <w:szCs w:val="24"/>
              </w:rPr>
              <w:t xml:space="preserve">                  </w:t>
            </w:r>
            <w:r>
              <w:rPr>
                <w:rFonts w:hint="eastAsia" w:asciiTheme="minorEastAsia" w:hAnsiTheme="minorEastAsia" w:eastAsiaTheme="minorEastAsia" w:cstheme="minorEastAsia"/>
                <w:color w:val="auto"/>
                <w:spacing w:val="3"/>
                <w:sz w:val="24"/>
                <w:szCs w:val="24"/>
              </w:rPr>
              <w:t>□委托验收</w:t>
            </w:r>
          </w:p>
        </w:tc>
      </w:tr>
      <w:tr w14:paraId="687D4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jc w:val="center"/>
        </w:trPr>
        <w:tc>
          <w:tcPr>
            <w:tcW w:w="1665" w:type="dxa"/>
            <w:vAlign w:val="top"/>
          </w:tcPr>
          <w:p w14:paraId="229F3F63">
            <w:pPr>
              <w:pStyle w:val="9"/>
              <w:spacing w:before="222" w:line="229" w:lineRule="auto"/>
              <w:ind w:left="55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序号</w:t>
            </w:r>
          </w:p>
        </w:tc>
        <w:tc>
          <w:tcPr>
            <w:tcW w:w="2159" w:type="dxa"/>
            <w:vAlign w:val="top"/>
          </w:tcPr>
          <w:p w14:paraId="599E5F77">
            <w:pPr>
              <w:pStyle w:val="9"/>
              <w:spacing w:before="222" w:line="230" w:lineRule="auto"/>
              <w:ind w:left="77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名</w:t>
            </w:r>
            <w:r>
              <w:rPr>
                <w:rFonts w:hint="eastAsia" w:asciiTheme="minorEastAsia" w:hAnsiTheme="minorEastAsia" w:eastAsiaTheme="minorEastAsia" w:cstheme="minorEastAsia"/>
                <w:color w:val="auto"/>
                <w:spacing w:val="7"/>
                <w:sz w:val="24"/>
                <w:szCs w:val="24"/>
              </w:rPr>
              <w:t xml:space="preserve">   </w:t>
            </w:r>
            <w:r>
              <w:rPr>
                <w:rFonts w:hint="eastAsia" w:asciiTheme="minorEastAsia" w:hAnsiTheme="minorEastAsia" w:eastAsiaTheme="minorEastAsia" w:cstheme="minorEastAsia"/>
                <w:color w:val="auto"/>
                <w:sz w:val="24"/>
                <w:szCs w:val="24"/>
              </w:rPr>
              <w:t>称</w:t>
            </w:r>
          </w:p>
        </w:tc>
        <w:tc>
          <w:tcPr>
            <w:tcW w:w="3436" w:type="dxa"/>
            <w:gridSpan w:val="2"/>
            <w:vAlign w:val="top"/>
          </w:tcPr>
          <w:p w14:paraId="79EC64FB">
            <w:pPr>
              <w:pStyle w:val="9"/>
              <w:spacing w:before="222" w:line="227" w:lineRule="auto"/>
              <w:ind w:left="67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8"/>
                <w:sz w:val="24"/>
                <w:szCs w:val="24"/>
              </w:rPr>
              <w:t>货物及服务内容、标准</w:t>
            </w:r>
          </w:p>
        </w:tc>
        <w:tc>
          <w:tcPr>
            <w:tcW w:w="997" w:type="dxa"/>
            <w:gridSpan w:val="2"/>
            <w:vAlign w:val="top"/>
          </w:tcPr>
          <w:p w14:paraId="7B6C952B">
            <w:pPr>
              <w:pStyle w:val="9"/>
              <w:spacing w:before="221" w:line="228" w:lineRule="auto"/>
              <w:ind w:left="29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数量</w:t>
            </w:r>
          </w:p>
        </w:tc>
        <w:tc>
          <w:tcPr>
            <w:tcW w:w="1374" w:type="dxa"/>
            <w:vAlign w:val="top"/>
          </w:tcPr>
          <w:p w14:paraId="573B710B">
            <w:pPr>
              <w:pStyle w:val="9"/>
              <w:spacing w:before="221" w:line="228" w:lineRule="auto"/>
              <w:ind w:left="32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金</w:t>
            </w:r>
            <w:r>
              <w:rPr>
                <w:rFonts w:hint="eastAsia" w:asciiTheme="minorEastAsia" w:hAnsiTheme="minorEastAsia" w:eastAsiaTheme="minorEastAsia" w:cstheme="minorEastAsia"/>
                <w:color w:val="auto"/>
                <w:spacing w:val="8"/>
                <w:sz w:val="24"/>
                <w:szCs w:val="24"/>
              </w:rPr>
              <w:t xml:space="preserve">   </w:t>
            </w:r>
            <w:r>
              <w:rPr>
                <w:rFonts w:hint="eastAsia" w:asciiTheme="minorEastAsia" w:hAnsiTheme="minorEastAsia" w:eastAsiaTheme="minorEastAsia" w:cstheme="minorEastAsia"/>
                <w:color w:val="auto"/>
                <w:sz w:val="24"/>
                <w:szCs w:val="24"/>
              </w:rPr>
              <w:t>额</w:t>
            </w:r>
          </w:p>
        </w:tc>
      </w:tr>
      <w:tr w14:paraId="00716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2" w:hRule="atLeast"/>
          <w:jc w:val="center"/>
        </w:trPr>
        <w:tc>
          <w:tcPr>
            <w:tcW w:w="1665" w:type="dxa"/>
            <w:vAlign w:val="top"/>
          </w:tcPr>
          <w:p w14:paraId="4F19C35D">
            <w:pPr>
              <w:rPr>
                <w:rFonts w:hint="eastAsia" w:asciiTheme="minorEastAsia" w:hAnsiTheme="minorEastAsia" w:eastAsiaTheme="minorEastAsia" w:cstheme="minorEastAsia"/>
                <w:color w:val="auto"/>
                <w:sz w:val="24"/>
                <w:szCs w:val="24"/>
              </w:rPr>
            </w:pPr>
          </w:p>
        </w:tc>
        <w:tc>
          <w:tcPr>
            <w:tcW w:w="2159" w:type="dxa"/>
            <w:vAlign w:val="top"/>
          </w:tcPr>
          <w:p w14:paraId="41ABB682">
            <w:pPr>
              <w:rPr>
                <w:rFonts w:hint="eastAsia" w:asciiTheme="minorEastAsia" w:hAnsiTheme="minorEastAsia" w:eastAsiaTheme="minorEastAsia" w:cstheme="minorEastAsia"/>
                <w:color w:val="auto"/>
                <w:sz w:val="24"/>
                <w:szCs w:val="24"/>
              </w:rPr>
            </w:pPr>
          </w:p>
        </w:tc>
        <w:tc>
          <w:tcPr>
            <w:tcW w:w="3436" w:type="dxa"/>
            <w:gridSpan w:val="2"/>
            <w:vAlign w:val="top"/>
          </w:tcPr>
          <w:p w14:paraId="1F9F7629">
            <w:pPr>
              <w:rPr>
                <w:rFonts w:hint="eastAsia" w:asciiTheme="minorEastAsia" w:hAnsiTheme="minorEastAsia" w:eastAsiaTheme="minorEastAsia" w:cstheme="minorEastAsia"/>
                <w:color w:val="auto"/>
                <w:sz w:val="24"/>
                <w:szCs w:val="24"/>
              </w:rPr>
            </w:pPr>
          </w:p>
        </w:tc>
        <w:tc>
          <w:tcPr>
            <w:tcW w:w="997" w:type="dxa"/>
            <w:gridSpan w:val="2"/>
            <w:vAlign w:val="top"/>
          </w:tcPr>
          <w:p w14:paraId="5573A3AE">
            <w:pPr>
              <w:rPr>
                <w:rFonts w:hint="eastAsia" w:asciiTheme="minorEastAsia" w:hAnsiTheme="minorEastAsia" w:eastAsiaTheme="minorEastAsia" w:cstheme="minorEastAsia"/>
                <w:color w:val="auto"/>
                <w:sz w:val="24"/>
                <w:szCs w:val="24"/>
              </w:rPr>
            </w:pPr>
          </w:p>
        </w:tc>
        <w:tc>
          <w:tcPr>
            <w:tcW w:w="1374" w:type="dxa"/>
            <w:vAlign w:val="top"/>
          </w:tcPr>
          <w:p w14:paraId="59B42D41">
            <w:pPr>
              <w:rPr>
                <w:rFonts w:hint="eastAsia" w:asciiTheme="minorEastAsia" w:hAnsiTheme="minorEastAsia" w:eastAsiaTheme="minorEastAsia" w:cstheme="minorEastAsia"/>
                <w:color w:val="auto"/>
                <w:sz w:val="24"/>
                <w:szCs w:val="24"/>
              </w:rPr>
            </w:pPr>
          </w:p>
        </w:tc>
      </w:tr>
      <w:tr w14:paraId="548EB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2" w:hRule="atLeast"/>
          <w:jc w:val="center"/>
        </w:trPr>
        <w:tc>
          <w:tcPr>
            <w:tcW w:w="1665" w:type="dxa"/>
            <w:vAlign w:val="top"/>
          </w:tcPr>
          <w:p w14:paraId="33082732">
            <w:pPr>
              <w:rPr>
                <w:rFonts w:hint="eastAsia" w:asciiTheme="minorEastAsia" w:hAnsiTheme="minorEastAsia" w:eastAsiaTheme="minorEastAsia" w:cstheme="minorEastAsia"/>
                <w:color w:val="auto"/>
                <w:sz w:val="24"/>
                <w:szCs w:val="24"/>
              </w:rPr>
            </w:pPr>
          </w:p>
        </w:tc>
        <w:tc>
          <w:tcPr>
            <w:tcW w:w="2159" w:type="dxa"/>
            <w:vAlign w:val="top"/>
          </w:tcPr>
          <w:p w14:paraId="4AEAE7CD">
            <w:pPr>
              <w:rPr>
                <w:rFonts w:hint="eastAsia" w:asciiTheme="minorEastAsia" w:hAnsiTheme="minorEastAsia" w:eastAsiaTheme="minorEastAsia" w:cstheme="minorEastAsia"/>
                <w:color w:val="auto"/>
                <w:sz w:val="24"/>
                <w:szCs w:val="24"/>
              </w:rPr>
            </w:pPr>
          </w:p>
        </w:tc>
        <w:tc>
          <w:tcPr>
            <w:tcW w:w="3436" w:type="dxa"/>
            <w:gridSpan w:val="2"/>
            <w:vAlign w:val="top"/>
          </w:tcPr>
          <w:p w14:paraId="5ACC6843">
            <w:pPr>
              <w:rPr>
                <w:rFonts w:hint="eastAsia" w:asciiTheme="minorEastAsia" w:hAnsiTheme="minorEastAsia" w:eastAsiaTheme="minorEastAsia" w:cstheme="minorEastAsia"/>
                <w:color w:val="auto"/>
                <w:sz w:val="24"/>
                <w:szCs w:val="24"/>
              </w:rPr>
            </w:pPr>
          </w:p>
        </w:tc>
        <w:tc>
          <w:tcPr>
            <w:tcW w:w="997" w:type="dxa"/>
            <w:gridSpan w:val="2"/>
            <w:vAlign w:val="top"/>
          </w:tcPr>
          <w:p w14:paraId="1796BDB6">
            <w:pPr>
              <w:rPr>
                <w:rFonts w:hint="eastAsia" w:asciiTheme="minorEastAsia" w:hAnsiTheme="minorEastAsia" w:eastAsiaTheme="minorEastAsia" w:cstheme="minorEastAsia"/>
                <w:color w:val="auto"/>
                <w:sz w:val="24"/>
                <w:szCs w:val="24"/>
              </w:rPr>
            </w:pPr>
          </w:p>
        </w:tc>
        <w:tc>
          <w:tcPr>
            <w:tcW w:w="1374" w:type="dxa"/>
            <w:vAlign w:val="top"/>
          </w:tcPr>
          <w:p w14:paraId="400A1C24">
            <w:pPr>
              <w:rPr>
                <w:rFonts w:hint="eastAsia" w:asciiTheme="minorEastAsia" w:hAnsiTheme="minorEastAsia" w:eastAsiaTheme="minorEastAsia" w:cstheme="minorEastAsia"/>
                <w:color w:val="auto"/>
                <w:sz w:val="24"/>
                <w:szCs w:val="24"/>
              </w:rPr>
            </w:pPr>
          </w:p>
        </w:tc>
      </w:tr>
      <w:tr w14:paraId="0AFD4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2" w:hRule="atLeast"/>
          <w:jc w:val="center"/>
        </w:trPr>
        <w:tc>
          <w:tcPr>
            <w:tcW w:w="1665" w:type="dxa"/>
            <w:vAlign w:val="top"/>
          </w:tcPr>
          <w:p w14:paraId="4A0A47BD">
            <w:pPr>
              <w:rPr>
                <w:rFonts w:hint="eastAsia" w:asciiTheme="minorEastAsia" w:hAnsiTheme="minorEastAsia" w:eastAsiaTheme="minorEastAsia" w:cstheme="minorEastAsia"/>
                <w:color w:val="auto"/>
                <w:sz w:val="24"/>
                <w:szCs w:val="24"/>
              </w:rPr>
            </w:pPr>
          </w:p>
        </w:tc>
        <w:tc>
          <w:tcPr>
            <w:tcW w:w="2159" w:type="dxa"/>
            <w:vAlign w:val="top"/>
          </w:tcPr>
          <w:p w14:paraId="26881902">
            <w:pPr>
              <w:rPr>
                <w:rFonts w:hint="eastAsia" w:asciiTheme="minorEastAsia" w:hAnsiTheme="minorEastAsia" w:eastAsiaTheme="minorEastAsia" w:cstheme="minorEastAsia"/>
                <w:color w:val="auto"/>
                <w:sz w:val="24"/>
                <w:szCs w:val="24"/>
              </w:rPr>
            </w:pPr>
          </w:p>
        </w:tc>
        <w:tc>
          <w:tcPr>
            <w:tcW w:w="3436" w:type="dxa"/>
            <w:gridSpan w:val="2"/>
            <w:vAlign w:val="top"/>
          </w:tcPr>
          <w:p w14:paraId="121B48C7">
            <w:pPr>
              <w:rPr>
                <w:rFonts w:hint="eastAsia" w:asciiTheme="minorEastAsia" w:hAnsiTheme="minorEastAsia" w:eastAsiaTheme="minorEastAsia" w:cstheme="minorEastAsia"/>
                <w:color w:val="auto"/>
                <w:sz w:val="24"/>
                <w:szCs w:val="24"/>
              </w:rPr>
            </w:pPr>
          </w:p>
        </w:tc>
        <w:tc>
          <w:tcPr>
            <w:tcW w:w="997" w:type="dxa"/>
            <w:gridSpan w:val="2"/>
            <w:vAlign w:val="top"/>
          </w:tcPr>
          <w:p w14:paraId="5F4D5D39">
            <w:pPr>
              <w:rPr>
                <w:rFonts w:hint="eastAsia" w:asciiTheme="minorEastAsia" w:hAnsiTheme="minorEastAsia" w:eastAsiaTheme="minorEastAsia" w:cstheme="minorEastAsia"/>
                <w:color w:val="auto"/>
                <w:sz w:val="24"/>
                <w:szCs w:val="24"/>
              </w:rPr>
            </w:pPr>
          </w:p>
        </w:tc>
        <w:tc>
          <w:tcPr>
            <w:tcW w:w="1374" w:type="dxa"/>
            <w:vAlign w:val="top"/>
          </w:tcPr>
          <w:p w14:paraId="66F384F1">
            <w:pPr>
              <w:rPr>
                <w:rFonts w:hint="eastAsia" w:asciiTheme="minorEastAsia" w:hAnsiTheme="minorEastAsia" w:eastAsiaTheme="minorEastAsia" w:cstheme="minorEastAsia"/>
                <w:color w:val="auto"/>
                <w:sz w:val="24"/>
                <w:szCs w:val="24"/>
              </w:rPr>
            </w:pPr>
          </w:p>
        </w:tc>
      </w:tr>
      <w:tr w14:paraId="13EAB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2" w:hRule="atLeast"/>
          <w:jc w:val="center"/>
        </w:trPr>
        <w:tc>
          <w:tcPr>
            <w:tcW w:w="7260" w:type="dxa"/>
            <w:gridSpan w:val="4"/>
            <w:vAlign w:val="top"/>
          </w:tcPr>
          <w:p w14:paraId="37DA9757">
            <w:pPr>
              <w:pStyle w:val="9"/>
              <w:spacing w:before="154" w:line="229" w:lineRule="auto"/>
              <w:ind w:left="1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w:t>
            </w:r>
            <w:r>
              <w:rPr>
                <w:rFonts w:hint="eastAsia" w:asciiTheme="minorEastAsia" w:hAnsiTheme="minorEastAsia" w:eastAsiaTheme="minorEastAsia" w:cstheme="minorEastAsia"/>
                <w:color w:val="auto"/>
                <w:spacing w:val="5"/>
                <w:sz w:val="24"/>
                <w:szCs w:val="24"/>
              </w:rPr>
              <w:t xml:space="preserve">               </w:t>
            </w:r>
            <w:r>
              <w:rPr>
                <w:rFonts w:hint="eastAsia" w:asciiTheme="minorEastAsia" w:hAnsiTheme="minorEastAsia" w:eastAsiaTheme="minorEastAsia" w:cstheme="minorEastAsia"/>
                <w:color w:val="auto"/>
                <w:sz w:val="24"/>
                <w:szCs w:val="24"/>
              </w:rPr>
              <w:t>计</w:t>
            </w:r>
          </w:p>
        </w:tc>
        <w:tc>
          <w:tcPr>
            <w:tcW w:w="997" w:type="dxa"/>
            <w:gridSpan w:val="2"/>
            <w:vAlign w:val="top"/>
          </w:tcPr>
          <w:p w14:paraId="5AB493CD">
            <w:pPr>
              <w:rPr>
                <w:rFonts w:hint="eastAsia" w:asciiTheme="minorEastAsia" w:hAnsiTheme="minorEastAsia" w:eastAsiaTheme="minorEastAsia" w:cstheme="minorEastAsia"/>
                <w:color w:val="auto"/>
                <w:sz w:val="24"/>
                <w:szCs w:val="24"/>
              </w:rPr>
            </w:pPr>
          </w:p>
        </w:tc>
        <w:tc>
          <w:tcPr>
            <w:tcW w:w="1374" w:type="dxa"/>
            <w:vAlign w:val="top"/>
          </w:tcPr>
          <w:p w14:paraId="18BDA798">
            <w:pPr>
              <w:rPr>
                <w:rFonts w:hint="eastAsia" w:asciiTheme="minorEastAsia" w:hAnsiTheme="minorEastAsia" w:eastAsiaTheme="minorEastAsia" w:cstheme="minorEastAsia"/>
                <w:color w:val="auto"/>
                <w:sz w:val="24"/>
                <w:szCs w:val="24"/>
              </w:rPr>
            </w:pPr>
          </w:p>
        </w:tc>
      </w:tr>
      <w:tr w14:paraId="0AAA8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jc w:val="center"/>
        </w:trPr>
        <w:tc>
          <w:tcPr>
            <w:tcW w:w="9631" w:type="dxa"/>
            <w:gridSpan w:val="7"/>
            <w:vAlign w:val="top"/>
          </w:tcPr>
          <w:p w14:paraId="4F3CD098">
            <w:pPr>
              <w:pStyle w:val="9"/>
              <w:spacing w:before="232" w:line="228" w:lineRule="auto"/>
              <w:ind w:left="1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合计大写金额：</w:t>
            </w:r>
            <w:r>
              <w:rPr>
                <w:rFonts w:hint="eastAsia" w:asciiTheme="minorEastAsia" w:hAnsiTheme="minorEastAsia" w:eastAsiaTheme="minorEastAsia" w:cstheme="minorEastAsia"/>
                <w:color w:val="auto"/>
                <w:spacing w:val="9"/>
                <w:sz w:val="24"/>
                <w:szCs w:val="24"/>
              </w:rPr>
              <w:t xml:space="preserve">   </w:t>
            </w:r>
            <w:r>
              <w:rPr>
                <w:rFonts w:hint="eastAsia" w:asciiTheme="minorEastAsia" w:hAnsiTheme="minorEastAsia" w:eastAsiaTheme="minorEastAsia" w:cstheme="minorEastAsia"/>
                <w:color w:val="auto"/>
                <w:spacing w:val="4"/>
                <w:sz w:val="24"/>
                <w:szCs w:val="24"/>
              </w:rPr>
              <w:t>仟     佰</w:t>
            </w:r>
            <w:r>
              <w:rPr>
                <w:rFonts w:hint="eastAsia" w:asciiTheme="minorEastAsia" w:hAnsiTheme="minorEastAsia" w:eastAsiaTheme="minorEastAsia" w:cstheme="minorEastAsia"/>
                <w:color w:val="auto"/>
                <w:spacing w:val="6"/>
                <w:sz w:val="24"/>
                <w:szCs w:val="24"/>
              </w:rPr>
              <w:t xml:space="preserve">     </w:t>
            </w:r>
            <w:r>
              <w:rPr>
                <w:rFonts w:hint="eastAsia" w:asciiTheme="minorEastAsia" w:hAnsiTheme="minorEastAsia" w:eastAsiaTheme="minorEastAsia" w:cstheme="minorEastAsia"/>
                <w:color w:val="auto"/>
                <w:spacing w:val="4"/>
                <w:sz w:val="24"/>
                <w:szCs w:val="24"/>
              </w:rPr>
              <w:t>拾</w:t>
            </w:r>
            <w:r>
              <w:rPr>
                <w:rFonts w:hint="eastAsia" w:asciiTheme="minorEastAsia" w:hAnsiTheme="minorEastAsia" w:eastAsiaTheme="minorEastAsia" w:cstheme="minorEastAsia"/>
                <w:color w:val="auto"/>
                <w:spacing w:val="7"/>
                <w:sz w:val="24"/>
                <w:szCs w:val="24"/>
              </w:rPr>
              <w:t xml:space="preserve">     </w:t>
            </w:r>
            <w:r>
              <w:rPr>
                <w:rFonts w:hint="eastAsia" w:asciiTheme="minorEastAsia" w:hAnsiTheme="minorEastAsia" w:eastAsiaTheme="minorEastAsia" w:cstheme="minorEastAsia"/>
                <w:color w:val="auto"/>
                <w:spacing w:val="4"/>
                <w:sz w:val="24"/>
                <w:szCs w:val="24"/>
              </w:rPr>
              <w:t>万</w:t>
            </w:r>
            <w:r>
              <w:rPr>
                <w:rFonts w:hint="eastAsia" w:asciiTheme="minorEastAsia" w:hAnsiTheme="minorEastAsia" w:eastAsiaTheme="minorEastAsia" w:cstheme="minorEastAsia"/>
                <w:color w:val="auto"/>
                <w:spacing w:val="7"/>
                <w:sz w:val="24"/>
                <w:szCs w:val="24"/>
              </w:rPr>
              <w:t xml:space="preserve">     </w:t>
            </w:r>
            <w:r>
              <w:rPr>
                <w:rFonts w:hint="eastAsia" w:asciiTheme="minorEastAsia" w:hAnsiTheme="minorEastAsia" w:eastAsiaTheme="minorEastAsia" w:cstheme="minorEastAsia"/>
                <w:color w:val="auto"/>
                <w:spacing w:val="4"/>
                <w:sz w:val="24"/>
                <w:szCs w:val="24"/>
              </w:rPr>
              <w:t>仟</w:t>
            </w:r>
            <w:r>
              <w:rPr>
                <w:rFonts w:hint="eastAsia" w:asciiTheme="minorEastAsia" w:hAnsiTheme="minorEastAsia" w:eastAsiaTheme="minorEastAsia" w:cstheme="minorEastAsia"/>
                <w:color w:val="auto"/>
                <w:spacing w:val="6"/>
                <w:sz w:val="24"/>
                <w:szCs w:val="24"/>
              </w:rPr>
              <w:t xml:space="preserve">     </w:t>
            </w:r>
            <w:r>
              <w:rPr>
                <w:rFonts w:hint="eastAsia" w:asciiTheme="minorEastAsia" w:hAnsiTheme="minorEastAsia" w:eastAsiaTheme="minorEastAsia" w:cstheme="minorEastAsia"/>
                <w:color w:val="auto"/>
                <w:spacing w:val="4"/>
                <w:sz w:val="24"/>
                <w:szCs w:val="24"/>
              </w:rPr>
              <w:t>佰</w:t>
            </w:r>
            <w:r>
              <w:rPr>
                <w:rFonts w:hint="eastAsia" w:asciiTheme="minorEastAsia" w:hAnsiTheme="minorEastAsia" w:eastAsiaTheme="minorEastAsia" w:cstheme="minorEastAsia"/>
                <w:color w:val="auto"/>
                <w:spacing w:val="6"/>
                <w:sz w:val="24"/>
                <w:szCs w:val="24"/>
              </w:rPr>
              <w:t xml:space="preserve">     </w:t>
            </w:r>
            <w:r>
              <w:rPr>
                <w:rFonts w:hint="eastAsia" w:asciiTheme="minorEastAsia" w:hAnsiTheme="minorEastAsia" w:eastAsiaTheme="minorEastAsia" w:cstheme="minorEastAsia"/>
                <w:color w:val="auto"/>
                <w:spacing w:val="4"/>
                <w:sz w:val="24"/>
                <w:szCs w:val="24"/>
              </w:rPr>
              <w:t>拾</w:t>
            </w:r>
            <w:r>
              <w:rPr>
                <w:rFonts w:hint="eastAsia" w:asciiTheme="minorEastAsia" w:hAnsiTheme="minorEastAsia" w:eastAsiaTheme="minorEastAsia" w:cstheme="minorEastAsia"/>
                <w:color w:val="auto"/>
                <w:spacing w:val="7"/>
                <w:sz w:val="24"/>
                <w:szCs w:val="24"/>
              </w:rPr>
              <w:t xml:space="preserve">      </w:t>
            </w:r>
            <w:r>
              <w:rPr>
                <w:rFonts w:hint="eastAsia" w:asciiTheme="minorEastAsia" w:hAnsiTheme="minorEastAsia" w:eastAsiaTheme="minorEastAsia" w:cstheme="minorEastAsia"/>
                <w:color w:val="auto"/>
                <w:spacing w:val="4"/>
                <w:sz w:val="24"/>
                <w:szCs w:val="24"/>
              </w:rPr>
              <w:t>元</w:t>
            </w:r>
          </w:p>
        </w:tc>
      </w:tr>
      <w:tr w14:paraId="4BA3F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jc w:val="center"/>
        </w:trPr>
        <w:tc>
          <w:tcPr>
            <w:tcW w:w="1665" w:type="dxa"/>
            <w:vAlign w:val="top"/>
          </w:tcPr>
          <w:p w14:paraId="0F257CDF">
            <w:pPr>
              <w:pStyle w:val="9"/>
              <w:spacing w:before="232" w:line="228" w:lineRule="auto"/>
              <w:ind w:left="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实际完成日期</w:t>
            </w:r>
          </w:p>
        </w:tc>
        <w:tc>
          <w:tcPr>
            <w:tcW w:w="3104" w:type="dxa"/>
            <w:gridSpan w:val="2"/>
            <w:vAlign w:val="top"/>
          </w:tcPr>
          <w:p w14:paraId="1CA6B775">
            <w:pPr>
              <w:rPr>
                <w:rFonts w:hint="eastAsia" w:asciiTheme="minorEastAsia" w:hAnsiTheme="minorEastAsia" w:eastAsiaTheme="minorEastAsia" w:cstheme="minorEastAsia"/>
                <w:color w:val="auto"/>
                <w:sz w:val="24"/>
                <w:szCs w:val="24"/>
              </w:rPr>
            </w:pPr>
          </w:p>
        </w:tc>
        <w:tc>
          <w:tcPr>
            <w:tcW w:w="2696" w:type="dxa"/>
            <w:gridSpan w:val="2"/>
            <w:vAlign w:val="top"/>
          </w:tcPr>
          <w:p w14:paraId="1190146F">
            <w:pPr>
              <w:pStyle w:val="9"/>
              <w:spacing w:before="232" w:line="228" w:lineRule="auto"/>
              <w:ind w:left="74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8"/>
                <w:sz w:val="24"/>
                <w:szCs w:val="24"/>
              </w:rPr>
              <w:t>合同验收日期</w:t>
            </w:r>
          </w:p>
        </w:tc>
        <w:tc>
          <w:tcPr>
            <w:tcW w:w="2166" w:type="dxa"/>
            <w:gridSpan w:val="2"/>
            <w:vAlign w:val="top"/>
          </w:tcPr>
          <w:p w14:paraId="1C38566D">
            <w:pPr>
              <w:rPr>
                <w:rFonts w:hint="eastAsia" w:asciiTheme="minorEastAsia" w:hAnsiTheme="minorEastAsia" w:eastAsiaTheme="minorEastAsia" w:cstheme="minorEastAsia"/>
                <w:color w:val="auto"/>
                <w:sz w:val="24"/>
                <w:szCs w:val="24"/>
              </w:rPr>
            </w:pPr>
          </w:p>
        </w:tc>
      </w:tr>
      <w:tr w14:paraId="12113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jc w:val="center"/>
        </w:trPr>
        <w:tc>
          <w:tcPr>
            <w:tcW w:w="1665" w:type="dxa"/>
            <w:vAlign w:val="top"/>
          </w:tcPr>
          <w:p w14:paraId="445F2A73">
            <w:pPr>
              <w:rPr>
                <w:rFonts w:hint="eastAsia" w:asciiTheme="minorEastAsia" w:hAnsiTheme="minorEastAsia" w:eastAsiaTheme="minorEastAsia" w:cstheme="minorEastAsia"/>
                <w:color w:val="auto"/>
                <w:sz w:val="24"/>
                <w:szCs w:val="24"/>
              </w:rPr>
            </w:pPr>
          </w:p>
        </w:tc>
        <w:tc>
          <w:tcPr>
            <w:tcW w:w="3104" w:type="dxa"/>
            <w:gridSpan w:val="2"/>
            <w:vAlign w:val="top"/>
          </w:tcPr>
          <w:p w14:paraId="6FB74F99">
            <w:pPr>
              <w:rPr>
                <w:rFonts w:hint="eastAsia" w:asciiTheme="minorEastAsia" w:hAnsiTheme="minorEastAsia" w:eastAsiaTheme="minorEastAsia" w:cstheme="minorEastAsia"/>
                <w:color w:val="auto"/>
                <w:sz w:val="24"/>
                <w:szCs w:val="24"/>
              </w:rPr>
            </w:pPr>
          </w:p>
        </w:tc>
        <w:tc>
          <w:tcPr>
            <w:tcW w:w="2696" w:type="dxa"/>
            <w:gridSpan w:val="2"/>
            <w:vAlign w:val="top"/>
          </w:tcPr>
          <w:p w14:paraId="6D8E5985">
            <w:pPr>
              <w:rPr>
                <w:rFonts w:hint="eastAsia" w:asciiTheme="minorEastAsia" w:hAnsiTheme="minorEastAsia" w:eastAsiaTheme="minorEastAsia" w:cstheme="minorEastAsia"/>
                <w:color w:val="auto"/>
                <w:sz w:val="24"/>
                <w:szCs w:val="24"/>
              </w:rPr>
            </w:pPr>
          </w:p>
        </w:tc>
        <w:tc>
          <w:tcPr>
            <w:tcW w:w="2166" w:type="dxa"/>
            <w:gridSpan w:val="2"/>
            <w:vAlign w:val="top"/>
          </w:tcPr>
          <w:p w14:paraId="09C5948F">
            <w:pPr>
              <w:rPr>
                <w:rFonts w:hint="eastAsia" w:asciiTheme="minorEastAsia" w:hAnsiTheme="minorEastAsia" w:eastAsiaTheme="minorEastAsia" w:cstheme="minorEastAsia"/>
                <w:color w:val="auto"/>
                <w:sz w:val="24"/>
                <w:szCs w:val="24"/>
              </w:rPr>
            </w:pPr>
          </w:p>
        </w:tc>
      </w:tr>
      <w:tr w14:paraId="05CAE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4" w:hRule="atLeast"/>
          <w:jc w:val="center"/>
        </w:trPr>
        <w:tc>
          <w:tcPr>
            <w:tcW w:w="1665" w:type="dxa"/>
            <w:vAlign w:val="top"/>
          </w:tcPr>
          <w:p w14:paraId="56A3C8BB">
            <w:pPr>
              <w:spacing w:line="327" w:lineRule="auto"/>
              <w:rPr>
                <w:rFonts w:hint="eastAsia" w:asciiTheme="minorEastAsia" w:hAnsiTheme="minorEastAsia" w:eastAsiaTheme="minorEastAsia" w:cstheme="minorEastAsia"/>
                <w:color w:val="auto"/>
                <w:sz w:val="24"/>
                <w:szCs w:val="24"/>
              </w:rPr>
            </w:pPr>
          </w:p>
          <w:p w14:paraId="3F3BEDF6">
            <w:pPr>
              <w:pStyle w:val="9"/>
              <w:spacing w:before="65" w:line="228" w:lineRule="auto"/>
              <w:ind w:left="11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8"/>
                <w:sz w:val="24"/>
                <w:szCs w:val="24"/>
              </w:rPr>
              <w:t>验收具体内容</w:t>
            </w:r>
          </w:p>
        </w:tc>
        <w:tc>
          <w:tcPr>
            <w:tcW w:w="7966" w:type="dxa"/>
            <w:gridSpan w:val="6"/>
            <w:vAlign w:val="top"/>
          </w:tcPr>
          <w:p w14:paraId="5A071185">
            <w:pPr>
              <w:pStyle w:val="9"/>
              <w:spacing w:before="73" w:line="271" w:lineRule="auto"/>
              <w:ind w:left="109" w:leftChars="0" w:right="104" w:firstLine="5"/>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（应按采购合同、采购文件、响应文件及验收方案等进行验收；并核对成交供</w:t>
            </w:r>
            <w:r>
              <w:rPr>
                <w:rFonts w:hint="eastAsia" w:asciiTheme="minorEastAsia" w:hAnsiTheme="minorEastAsia" w:eastAsiaTheme="minorEastAsia" w:cstheme="minorEastAsia"/>
                <w:color w:val="auto"/>
                <w:spacing w:val="6"/>
                <w:sz w:val="24"/>
                <w:szCs w:val="24"/>
              </w:rPr>
              <w:t>应商在供</w:t>
            </w:r>
            <w:r>
              <w:rPr>
                <w:rFonts w:hint="eastAsia" w:asciiTheme="minorEastAsia" w:hAnsiTheme="minorEastAsia" w:eastAsiaTheme="minorEastAsia" w:cstheme="minorEastAsia"/>
                <w:color w:val="auto"/>
                <w:spacing w:val="7"/>
                <w:sz w:val="24"/>
                <w:szCs w:val="24"/>
              </w:rPr>
              <w:t>货、服务、培训等方面是否违反合同约定或服务规范要求、提供的质量保证证明材料是</w:t>
            </w:r>
            <w:r>
              <w:rPr>
                <w:rFonts w:hint="eastAsia" w:asciiTheme="minorEastAsia" w:hAnsiTheme="minorEastAsia" w:eastAsiaTheme="minorEastAsia" w:cstheme="minorEastAsia"/>
                <w:color w:val="auto"/>
                <w:spacing w:val="8"/>
                <w:sz w:val="24"/>
                <w:szCs w:val="24"/>
              </w:rPr>
              <w:t>否齐全并达到合同约定等。</w:t>
            </w:r>
            <w:r>
              <w:rPr>
                <w:rFonts w:hint="eastAsia" w:asciiTheme="minorEastAsia" w:hAnsiTheme="minorEastAsia" w:eastAsiaTheme="minorEastAsia" w:cstheme="minorEastAsia"/>
                <w:color w:val="auto"/>
                <w:spacing w:val="8"/>
                <w:sz w:val="24"/>
                <w:szCs w:val="24"/>
                <w:lang w:eastAsia="zh-CN"/>
              </w:rPr>
              <w:t>见附件）</w:t>
            </w:r>
          </w:p>
        </w:tc>
      </w:tr>
      <w:tr w14:paraId="4A555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2" w:hRule="atLeast"/>
          <w:jc w:val="center"/>
        </w:trPr>
        <w:tc>
          <w:tcPr>
            <w:tcW w:w="1665" w:type="dxa"/>
            <w:vMerge w:val="restart"/>
            <w:tcBorders>
              <w:bottom w:val="nil"/>
            </w:tcBorders>
            <w:vAlign w:val="top"/>
          </w:tcPr>
          <w:p w14:paraId="3673D604">
            <w:pPr>
              <w:spacing w:line="277" w:lineRule="auto"/>
              <w:rPr>
                <w:rFonts w:hint="eastAsia" w:asciiTheme="minorEastAsia" w:hAnsiTheme="minorEastAsia" w:eastAsiaTheme="minorEastAsia" w:cstheme="minorEastAsia"/>
                <w:color w:val="auto"/>
                <w:sz w:val="24"/>
                <w:szCs w:val="24"/>
              </w:rPr>
            </w:pPr>
          </w:p>
          <w:p w14:paraId="50C3859E">
            <w:pPr>
              <w:spacing w:line="277" w:lineRule="auto"/>
              <w:rPr>
                <w:rFonts w:hint="eastAsia" w:asciiTheme="minorEastAsia" w:hAnsiTheme="minorEastAsia" w:eastAsiaTheme="minorEastAsia" w:cstheme="minorEastAsia"/>
                <w:color w:val="auto"/>
                <w:sz w:val="24"/>
                <w:szCs w:val="24"/>
              </w:rPr>
            </w:pPr>
          </w:p>
          <w:p w14:paraId="14777168">
            <w:pPr>
              <w:spacing w:line="277" w:lineRule="auto"/>
              <w:rPr>
                <w:rFonts w:hint="eastAsia" w:asciiTheme="minorEastAsia" w:hAnsiTheme="minorEastAsia" w:eastAsiaTheme="minorEastAsia" w:cstheme="minorEastAsia"/>
                <w:color w:val="auto"/>
                <w:sz w:val="24"/>
                <w:szCs w:val="24"/>
              </w:rPr>
            </w:pPr>
          </w:p>
          <w:p w14:paraId="4F1B6A38">
            <w:pPr>
              <w:pStyle w:val="9"/>
              <w:spacing w:before="65" w:line="228" w:lineRule="auto"/>
              <w:ind w:left="11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8"/>
                <w:sz w:val="24"/>
                <w:szCs w:val="24"/>
              </w:rPr>
              <w:t>验收小组意见</w:t>
            </w:r>
          </w:p>
        </w:tc>
        <w:tc>
          <w:tcPr>
            <w:tcW w:w="7966" w:type="dxa"/>
            <w:gridSpan w:val="6"/>
            <w:tcBorders>
              <w:bottom w:val="single" w:color="000000" w:sz="2" w:space="0"/>
            </w:tcBorders>
            <w:vAlign w:val="top"/>
          </w:tcPr>
          <w:p w14:paraId="35FA13DC">
            <w:pPr>
              <w:pStyle w:val="9"/>
              <w:spacing w:before="65" w:line="228" w:lineRule="auto"/>
              <w:ind w:left="21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验收结论性意见：</w:t>
            </w:r>
          </w:p>
        </w:tc>
      </w:tr>
      <w:tr w14:paraId="1AD12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9" w:hRule="atLeast"/>
          <w:jc w:val="center"/>
        </w:trPr>
        <w:tc>
          <w:tcPr>
            <w:tcW w:w="1665" w:type="dxa"/>
            <w:vMerge w:val="continue"/>
            <w:tcBorders>
              <w:top w:val="nil"/>
            </w:tcBorders>
            <w:vAlign w:val="top"/>
          </w:tcPr>
          <w:p w14:paraId="7B846DD1">
            <w:pPr>
              <w:rPr>
                <w:rFonts w:hint="eastAsia" w:asciiTheme="minorEastAsia" w:hAnsiTheme="minorEastAsia" w:eastAsiaTheme="minorEastAsia" w:cstheme="minorEastAsia"/>
                <w:color w:val="auto"/>
                <w:sz w:val="24"/>
                <w:szCs w:val="24"/>
              </w:rPr>
            </w:pPr>
          </w:p>
        </w:tc>
        <w:tc>
          <w:tcPr>
            <w:tcW w:w="7966" w:type="dxa"/>
            <w:gridSpan w:val="6"/>
            <w:tcBorders>
              <w:top w:val="single" w:color="000000" w:sz="2" w:space="0"/>
            </w:tcBorders>
            <w:vAlign w:val="top"/>
          </w:tcPr>
          <w:p w14:paraId="1D60FDA0">
            <w:pPr>
              <w:pStyle w:val="9"/>
              <w:spacing w:before="89" w:line="228" w:lineRule="auto"/>
              <w:ind w:left="9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8"/>
                <w:sz w:val="24"/>
                <w:szCs w:val="24"/>
              </w:rPr>
              <w:t>有异议的意见和说明理由：</w:t>
            </w:r>
          </w:p>
          <w:p w14:paraId="56CD43F6">
            <w:pPr>
              <w:spacing w:line="287" w:lineRule="auto"/>
              <w:rPr>
                <w:rFonts w:hint="eastAsia" w:asciiTheme="minorEastAsia" w:hAnsiTheme="minorEastAsia" w:eastAsiaTheme="minorEastAsia" w:cstheme="minorEastAsia"/>
                <w:color w:val="auto"/>
                <w:sz w:val="24"/>
                <w:szCs w:val="24"/>
              </w:rPr>
            </w:pPr>
          </w:p>
          <w:p w14:paraId="533EA768">
            <w:pPr>
              <w:pStyle w:val="9"/>
              <w:spacing w:before="65" w:line="220" w:lineRule="auto"/>
              <w:ind w:left="399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签字：</w:t>
            </w:r>
          </w:p>
        </w:tc>
      </w:tr>
      <w:tr w14:paraId="5817F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jc w:val="center"/>
        </w:trPr>
        <w:tc>
          <w:tcPr>
            <w:tcW w:w="9631" w:type="dxa"/>
            <w:gridSpan w:val="7"/>
            <w:vAlign w:val="top"/>
          </w:tcPr>
          <w:p w14:paraId="7C2736B1">
            <w:pPr>
              <w:pStyle w:val="9"/>
              <w:spacing w:before="167" w:line="228" w:lineRule="auto"/>
              <w:ind w:left="11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验收小组成员签字：</w:t>
            </w:r>
          </w:p>
        </w:tc>
      </w:tr>
      <w:tr w14:paraId="56F90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0" w:hRule="atLeast"/>
          <w:jc w:val="center"/>
        </w:trPr>
        <w:tc>
          <w:tcPr>
            <w:tcW w:w="9631" w:type="dxa"/>
            <w:gridSpan w:val="7"/>
            <w:tcBorders>
              <w:bottom w:val="single" w:color="000000" w:sz="2" w:space="0"/>
            </w:tcBorders>
            <w:vAlign w:val="top"/>
          </w:tcPr>
          <w:p w14:paraId="484B502B">
            <w:pPr>
              <w:pStyle w:val="9"/>
              <w:spacing w:before="75" w:line="228" w:lineRule="auto"/>
              <w:ind w:left="11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8"/>
                <w:sz w:val="24"/>
                <w:szCs w:val="24"/>
              </w:rPr>
              <w:t>监督人员或其他相关人员签字：</w:t>
            </w:r>
          </w:p>
          <w:p w14:paraId="2F3C2634">
            <w:pPr>
              <w:pStyle w:val="9"/>
              <w:spacing w:before="65" w:line="216" w:lineRule="auto"/>
              <w:ind w:left="17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8"/>
                <w:sz w:val="24"/>
                <w:szCs w:val="24"/>
              </w:rPr>
              <w:t>或受邀机构的意见（盖章</w:t>
            </w:r>
            <w:r>
              <w:rPr>
                <w:rFonts w:hint="eastAsia" w:asciiTheme="minorEastAsia" w:hAnsiTheme="minorEastAsia" w:eastAsiaTheme="minorEastAsia" w:cstheme="minorEastAsia"/>
                <w:color w:val="auto"/>
                <w:spacing w:val="4"/>
                <w:sz w:val="24"/>
                <w:szCs w:val="24"/>
              </w:rPr>
              <w:t>）：</w:t>
            </w:r>
          </w:p>
        </w:tc>
      </w:tr>
      <w:tr w14:paraId="3DFFD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9" w:hRule="atLeast"/>
          <w:jc w:val="center"/>
        </w:trPr>
        <w:tc>
          <w:tcPr>
            <w:tcW w:w="4769" w:type="dxa"/>
            <w:gridSpan w:val="3"/>
            <w:tcBorders>
              <w:top w:val="single" w:color="000000" w:sz="2" w:space="0"/>
              <w:left w:val="single" w:color="000000" w:sz="2" w:space="0"/>
              <w:bottom w:val="single" w:color="000000" w:sz="2" w:space="0"/>
              <w:right w:val="single" w:color="000000" w:sz="2" w:space="0"/>
            </w:tcBorders>
            <w:vAlign w:val="top"/>
          </w:tcPr>
          <w:p w14:paraId="27FD95EF">
            <w:pPr>
              <w:pStyle w:val="9"/>
              <w:spacing w:before="228" w:line="227" w:lineRule="auto"/>
              <w:ind w:left="18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8"/>
                <w:sz w:val="24"/>
                <w:szCs w:val="24"/>
              </w:rPr>
              <w:t>成交或者成交供应商负责人签字或盖章：</w:t>
            </w:r>
          </w:p>
          <w:p w14:paraId="62832370">
            <w:pPr>
              <w:spacing w:line="294" w:lineRule="auto"/>
              <w:rPr>
                <w:rFonts w:hint="eastAsia" w:asciiTheme="minorEastAsia" w:hAnsiTheme="minorEastAsia" w:eastAsiaTheme="minorEastAsia" w:cstheme="minorEastAsia"/>
                <w:color w:val="auto"/>
                <w:sz w:val="24"/>
                <w:szCs w:val="24"/>
              </w:rPr>
            </w:pPr>
          </w:p>
          <w:p w14:paraId="480AD726">
            <w:pPr>
              <w:spacing w:line="295" w:lineRule="auto"/>
              <w:rPr>
                <w:rFonts w:hint="eastAsia" w:asciiTheme="minorEastAsia" w:hAnsiTheme="minorEastAsia" w:eastAsiaTheme="minorEastAsia" w:cstheme="minorEastAsia"/>
                <w:color w:val="auto"/>
                <w:sz w:val="24"/>
                <w:szCs w:val="24"/>
              </w:rPr>
            </w:pPr>
          </w:p>
          <w:p w14:paraId="1EF7E863">
            <w:pPr>
              <w:pStyle w:val="9"/>
              <w:spacing w:before="65" w:line="228" w:lineRule="auto"/>
              <w:ind w:left="11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联系电话：</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3"/>
                <w:sz w:val="24"/>
                <w:szCs w:val="24"/>
              </w:rPr>
              <w:t>年</w:t>
            </w:r>
            <w:r>
              <w:rPr>
                <w:rFonts w:hint="eastAsia" w:asciiTheme="minorEastAsia" w:hAnsiTheme="minorEastAsia" w:eastAsiaTheme="minorEastAsia" w:cstheme="minorEastAsia"/>
                <w:color w:val="auto"/>
                <w:spacing w:val="14"/>
                <w:sz w:val="24"/>
                <w:szCs w:val="24"/>
              </w:rPr>
              <w:t xml:space="preserve">  </w:t>
            </w:r>
            <w:r>
              <w:rPr>
                <w:rFonts w:hint="eastAsia" w:asciiTheme="minorEastAsia" w:hAnsiTheme="minorEastAsia" w:eastAsiaTheme="minorEastAsia" w:cstheme="minorEastAsia"/>
                <w:color w:val="auto"/>
                <w:spacing w:val="3"/>
                <w:sz w:val="24"/>
                <w:szCs w:val="24"/>
              </w:rPr>
              <w:t>月</w:t>
            </w:r>
            <w:r>
              <w:rPr>
                <w:rFonts w:hint="eastAsia" w:asciiTheme="minorEastAsia" w:hAnsiTheme="minorEastAsia" w:eastAsiaTheme="minorEastAsia" w:cstheme="minorEastAsia"/>
                <w:color w:val="auto"/>
                <w:spacing w:val="28"/>
                <w:sz w:val="24"/>
                <w:szCs w:val="24"/>
              </w:rPr>
              <w:t xml:space="preserve">  </w:t>
            </w:r>
            <w:r>
              <w:rPr>
                <w:rFonts w:hint="eastAsia" w:asciiTheme="minorEastAsia" w:hAnsiTheme="minorEastAsia" w:eastAsiaTheme="minorEastAsia" w:cstheme="minorEastAsia"/>
                <w:color w:val="auto"/>
                <w:spacing w:val="3"/>
                <w:sz w:val="24"/>
                <w:szCs w:val="24"/>
              </w:rPr>
              <w:t>日</w:t>
            </w:r>
          </w:p>
        </w:tc>
        <w:tc>
          <w:tcPr>
            <w:tcW w:w="4862" w:type="dxa"/>
            <w:gridSpan w:val="4"/>
            <w:tcBorders>
              <w:top w:val="single" w:color="000000" w:sz="2" w:space="0"/>
              <w:left w:val="single" w:color="000000" w:sz="2" w:space="0"/>
              <w:bottom w:val="single" w:color="000000" w:sz="2" w:space="0"/>
              <w:right w:val="single" w:color="000000" w:sz="2" w:space="0"/>
            </w:tcBorders>
            <w:vAlign w:val="top"/>
          </w:tcPr>
          <w:p w14:paraId="6E3279B6">
            <w:pPr>
              <w:pStyle w:val="9"/>
              <w:spacing w:before="228" w:line="227" w:lineRule="auto"/>
              <w:ind w:left="21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9"/>
                <w:sz w:val="24"/>
                <w:szCs w:val="24"/>
              </w:rPr>
              <w:t>采购人或受托机构的意见（盖章</w:t>
            </w:r>
            <w:r>
              <w:rPr>
                <w:rFonts w:hint="eastAsia" w:asciiTheme="minorEastAsia" w:hAnsiTheme="minorEastAsia" w:eastAsiaTheme="minorEastAsia" w:cstheme="minorEastAsia"/>
                <w:color w:val="auto"/>
                <w:spacing w:val="1"/>
                <w:sz w:val="24"/>
                <w:szCs w:val="24"/>
              </w:rPr>
              <w:t>）：</w:t>
            </w:r>
          </w:p>
          <w:p w14:paraId="26A98D40">
            <w:pPr>
              <w:spacing w:line="294" w:lineRule="auto"/>
              <w:rPr>
                <w:rFonts w:hint="eastAsia" w:asciiTheme="minorEastAsia" w:hAnsiTheme="minorEastAsia" w:eastAsiaTheme="minorEastAsia" w:cstheme="minorEastAsia"/>
                <w:color w:val="auto"/>
                <w:sz w:val="24"/>
                <w:szCs w:val="24"/>
              </w:rPr>
            </w:pPr>
          </w:p>
          <w:p w14:paraId="7B0F79E8">
            <w:pPr>
              <w:spacing w:line="295" w:lineRule="auto"/>
              <w:rPr>
                <w:rFonts w:hint="eastAsia" w:asciiTheme="minorEastAsia" w:hAnsiTheme="minorEastAsia" w:eastAsiaTheme="minorEastAsia" w:cstheme="minorEastAsia"/>
                <w:color w:val="auto"/>
                <w:sz w:val="24"/>
                <w:szCs w:val="24"/>
              </w:rPr>
            </w:pPr>
          </w:p>
          <w:p w14:paraId="473B1C9F">
            <w:pPr>
              <w:pStyle w:val="9"/>
              <w:spacing w:before="65" w:line="228" w:lineRule="auto"/>
              <w:ind w:left="1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联系电话：</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3"/>
                <w:sz w:val="24"/>
                <w:szCs w:val="24"/>
              </w:rPr>
              <w:t>年</w:t>
            </w:r>
            <w:r>
              <w:rPr>
                <w:rFonts w:hint="eastAsia" w:asciiTheme="minorEastAsia" w:hAnsiTheme="minorEastAsia" w:eastAsiaTheme="minorEastAsia" w:cstheme="minorEastAsia"/>
                <w:color w:val="auto"/>
                <w:spacing w:val="11"/>
                <w:sz w:val="24"/>
                <w:szCs w:val="24"/>
              </w:rPr>
              <w:t xml:space="preserve">   </w:t>
            </w:r>
            <w:r>
              <w:rPr>
                <w:rFonts w:hint="eastAsia" w:asciiTheme="minorEastAsia" w:hAnsiTheme="minorEastAsia" w:eastAsiaTheme="minorEastAsia" w:cstheme="minorEastAsia"/>
                <w:color w:val="auto"/>
                <w:spacing w:val="3"/>
                <w:sz w:val="24"/>
                <w:szCs w:val="24"/>
              </w:rPr>
              <w:t>月</w:t>
            </w:r>
            <w:r>
              <w:rPr>
                <w:rFonts w:hint="eastAsia" w:asciiTheme="minorEastAsia" w:hAnsiTheme="minorEastAsia" w:eastAsiaTheme="minorEastAsia" w:cstheme="minorEastAsia"/>
                <w:color w:val="auto"/>
                <w:spacing w:val="20"/>
                <w:sz w:val="24"/>
                <w:szCs w:val="24"/>
              </w:rPr>
              <w:t xml:space="preserve">   </w:t>
            </w:r>
            <w:r>
              <w:rPr>
                <w:rFonts w:hint="eastAsia" w:asciiTheme="minorEastAsia" w:hAnsiTheme="minorEastAsia" w:eastAsiaTheme="minorEastAsia" w:cstheme="minorEastAsia"/>
                <w:color w:val="auto"/>
                <w:spacing w:val="3"/>
                <w:sz w:val="24"/>
                <w:szCs w:val="24"/>
              </w:rPr>
              <w:t>日</w:t>
            </w:r>
          </w:p>
        </w:tc>
      </w:tr>
    </w:tbl>
    <w:p w14:paraId="01DBD0F1">
      <w:pPr>
        <w:spacing w:before="65" w:line="226" w:lineRule="auto"/>
        <w:rPr>
          <w:rFonts w:hint="eastAsia" w:asciiTheme="minorEastAsia" w:hAnsiTheme="minorEastAsia" w:eastAsiaTheme="minorEastAsia" w:cstheme="minorEastAsia"/>
          <w:color w:val="auto"/>
          <w:w w:val="90"/>
          <w:sz w:val="24"/>
          <w:szCs w:val="24"/>
        </w:rPr>
      </w:pPr>
      <w:r>
        <w:rPr>
          <w:rFonts w:hint="eastAsia" w:asciiTheme="minorEastAsia" w:hAnsiTheme="minorEastAsia" w:eastAsiaTheme="minorEastAsia" w:cstheme="minorEastAsia"/>
          <w:color w:val="auto"/>
          <w:spacing w:val="-8"/>
          <w:w w:val="90"/>
          <w:sz w:val="24"/>
          <w:szCs w:val="24"/>
        </w:rPr>
        <w:t>备注：本报告单一式4</w:t>
      </w:r>
      <w:r>
        <w:rPr>
          <w:rFonts w:hint="eastAsia" w:asciiTheme="minorEastAsia" w:hAnsiTheme="minorEastAsia" w:eastAsiaTheme="minorEastAsia" w:cstheme="minorEastAsia"/>
          <w:color w:val="auto"/>
          <w:spacing w:val="-55"/>
          <w:w w:val="90"/>
          <w:sz w:val="24"/>
          <w:szCs w:val="24"/>
        </w:rPr>
        <w:t xml:space="preserve"> </w:t>
      </w:r>
      <w:r>
        <w:rPr>
          <w:rFonts w:hint="eastAsia" w:asciiTheme="minorEastAsia" w:hAnsiTheme="minorEastAsia" w:eastAsiaTheme="minorEastAsia" w:cstheme="minorEastAsia"/>
          <w:color w:val="auto"/>
          <w:spacing w:val="-8"/>
          <w:w w:val="90"/>
          <w:sz w:val="24"/>
          <w:szCs w:val="24"/>
        </w:rPr>
        <w:t>份（采购单位</w:t>
      </w:r>
      <w:r>
        <w:rPr>
          <w:rFonts w:hint="eastAsia" w:asciiTheme="minorEastAsia" w:hAnsiTheme="minorEastAsia" w:eastAsiaTheme="minorEastAsia" w:cstheme="minorEastAsia"/>
          <w:color w:val="auto"/>
          <w:spacing w:val="-47"/>
          <w:w w:val="90"/>
          <w:sz w:val="24"/>
          <w:szCs w:val="24"/>
        </w:rPr>
        <w:t xml:space="preserve"> </w:t>
      </w:r>
      <w:r>
        <w:rPr>
          <w:rFonts w:hint="eastAsia" w:asciiTheme="minorEastAsia" w:hAnsiTheme="minorEastAsia" w:eastAsiaTheme="minorEastAsia" w:cstheme="minorEastAsia"/>
          <w:color w:val="auto"/>
          <w:spacing w:val="-8"/>
          <w:w w:val="90"/>
          <w:sz w:val="24"/>
          <w:szCs w:val="24"/>
        </w:rPr>
        <w:t>1</w:t>
      </w:r>
      <w:r>
        <w:rPr>
          <w:rFonts w:hint="eastAsia" w:asciiTheme="minorEastAsia" w:hAnsiTheme="minorEastAsia" w:eastAsiaTheme="minorEastAsia" w:cstheme="minorEastAsia"/>
          <w:color w:val="auto"/>
          <w:spacing w:val="-55"/>
          <w:w w:val="90"/>
          <w:sz w:val="24"/>
          <w:szCs w:val="24"/>
        </w:rPr>
        <w:t xml:space="preserve"> </w:t>
      </w:r>
      <w:r>
        <w:rPr>
          <w:rFonts w:hint="eastAsia" w:asciiTheme="minorEastAsia" w:hAnsiTheme="minorEastAsia" w:eastAsiaTheme="minorEastAsia" w:cstheme="minorEastAsia"/>
          <w:color w:val="auto"/>
          <w:spacing w:val="-8"/>
          <w:w w:val="90"/>
          <w:sz w:val="24"/>
          <w:szCs w:val="24"/>
        </w:rPr>
        <w:t>份、供应商</w:t>
      </w:r>
      <w:r>
        <w:rPr>
          <w:rFonts w:hint="eastAsia" w:asciiTheme="minorEastAsia" w:hAnsiTheme="minorEastAsia" w:eastAsiaTheme="minorEastAsia" w:cstheme="minorEastAsia"/>
          <w:color w:val="auto"/>
          <w:spacing w:val="-48"/>
          <w:w w:val="90"/>
          <w:sz w:val="24"/>
          <w:szCs w:val="24"/>
        </w:rPr>
        <w:t xml:space="preserve"> </w:t>
      </w:r>
      <w:r>
        <w:rPr>
          <w:rFonts w:hint="eastAsia" w:asciiTheme="minorEastAsia" w:hAnsiTheme="minorEastAsia" w:eastAsiaTheme="minorEastAsia" w:cstheme="minorEastAsia"/>
          <w:color w:val="auto"/>
          <w:spacing w:val="-8"/>
          <w:w w:val="90"/>
          <w:sz w:val="24"/>
          <w:szCs w:val="24"/>
        </w:rPr>
        <w:t>1</w:t>
      </w:r>
      <w:r>
        <w:rPr>
          <w:rFonts w:hint="eastAsia" w:asciiTheme="minorEastAsia" w:hAnsiTheme="minorEastAsia" w:eastAsiaTheme="minorEastAsia" w:cstheme="minorEastAsia"/>
          <w:color w:val="auto"/>
          <w:spacing w:val="-55"/>
          <w:w w:val="90"/>
          <w:sz w:val="24"/>
          <w:szCs w:val="24"/>
        </w:rPr>
        <w:t xml:space="preserve"> </w:t>
      </w:r>
      <w:r>
        <w:rPr>
          <w:rFonts w:hint="eastAsia" w:asciiTheme="minorEastAsia" w:hAnsiTheme="minorEastAsia" w:eastAsiaTheme="minorEastAsia" w:cstheme="minorEastAsia"/>
          <w:color w:val="auto"/>
          <w:spacing w:val="-8"/>
          <w:w w:val="90"/>
          <w:sz w:val="24"/>
          <w:szCs w:val="24"/>
        </w:rPr>
        <w:t>份、采购监督部门备案</w:t>
      </w:r>
      <w:r>
        <w:rPr>
          <w:rFonts w:hint="eastAsia" w:asciiTheme="minorEastAsia" w:hAnsiTheme="minorEastAsia" w:eastAsiaTheme="minorEastAsia" w:cstheme="minorEastAsia"/>
          <w:color w:val="auto"/>
          <w:spacing w:val="-45"/>
          <w:w w:val="90"/>
          <w:sz w:val="24"/>
          <w:szCs w:val="24"/>
        </w:rPr>
        <w:t xml:space="preserve"> </w:t>
      </w:r>
      <w:r>
        <w:rPr>
          <w:rFonts w:hint="eastAsia" w:asciiTheme="minorEastAsia" w:hAnsiTheme="minorEastAsia" w:eastAsiaTheme="minorEastAsia" w:cstheme="minorEastAsia"/>
          <w:color w:val="auto"/>
          <w:spacing w:val="-8"/>
          <w:w w:val="90"/>
          <w:sz w:val="24"/>
          <w:szCs w:val="24"/>
        </w:rPr>
        <w:t>1</w:t>
      </w:r>
      <w:r>
        <w:rPr>
          <w:rFonts w:hint="eastAsia" w:asciiTheme="minorEastAsia" w:hAnsiTheme="minorEastAsia" w:eastAsiaTheme="minorEastAsia" w:cstheme="minorEastAsia"/>
          <w:color w:val="auto"/>
          <w:spacing w:val="-55"/>
          <w:w w:val="90"/>
          <w:sz w:val="24"/>
          <w:szCs w:val="24"/>
        </w:rPr>
        <w:t xml:space="preserve"> </w:t>
      </w:r>
      <w:r>
        <w:rPr>
          <w:rFonts w:hint="eastAsia" w:asciiTheme="minorEastAsia" w:hAnsiTheme="minorEastAsia" w:eastAsiaTheme="minorEastAsia" w:cstheme="minorEastAsia"/>
          <w:color w:val="auto"/>
          <w:spacing w:val="-8"/>
          <w:w w:val="90"/>
          <w:sz w:val="24"/>
          <w:szCs w:val="24"/>
        </w:rPr>
        <w:t>份、采购代</w:t>
      </w:r>
      <w:r>
        <w:rPr>
          <w:rFonts w:hint="eastAsia" w:asciiTheme="minorEastAsia" w:hAnsiTheme="minorEastAsia" w:eastAsiaTheme="minorEastAsia" w:cstheme="minorEastAsia"/>
          <w:color w:val="auto"/>
          <w:spacing w:val="-9"/>
          <w:w w:val="90"/>
          <w:sz w:val="24"/>
          <w:szCs w:val="24"/>
        </w:rPr>
        <w:t>理机构</w:t>
      </w:r>
      <w:r>
        <w:rPr>
          <w:rFonts w:hint="eastAsia" w:asciiTheme="minorEastAsia" w:hAnsiTheme="minorEastAsia" w:eastAsiaTheme="minorEastAsia" w:cstheme="minorEastAsia"/>
          <w:color w:val="auto"/>
          <w:spacing w:val="-47"/>
          <w:w w:val="90"/>
          <w:sz w:val="24"/>
          <w:szCs w:val="24"/>
        </w:rPr>
        <w:t xml:space="preserve"> </w:t>
      </w:r>
      <w:r>
        <w:rPr>
          <w:rFonts w:hint="eastAsia" w:asciiTheme="minorEastAsia" w:hAnsiTheme="minorEastAsia" w:eastAsiaTheme="minorEastAsia" w:cstheme="minorEastAsia"/>
          <w:color w:val="auto"/>
          <w:spacing w:val="-9"/>
          <w:w w:val="90"/>
          <w:sz w:val="24"/>
          <w:szCs w:val="24"/>
        </w:rPr>
        <w:t>1</w:t>
      </w:r>
      <w:r>
        <w:rPr>
          <w:rFonts w:hint="eastAsia" w:asciiTheme="minorEastAsia" w:hAnsiTheme="minorEastAsia" w:eastAsiaTheme="minorEastAsia" w:cstheme="minorEastAsia"/>
          <w:color w:val="auto"/>
          <w:spacing w:val="-53"/>
          <w:w w:val="90"/>
          <w:sz w:val="24"/>
          <w:szCs w:val="24"/>
        </w:rPr>
        <w:t xml:space="preserve"> </w:t>
      </w:r>
      <w:r>
        <w:rPr>
          <w:rFonts w:hint="eastAsia" w:asciiTheme="minorEastAsia" w:hAnsiTheme="minorEastAsia" w:eastAsiaTheme="minorEastAsia" w:cstheme="minorEastAsia"/>
          <w:color w:val="auto"/>
          <w:spacing w:val="-9"/>
          <w:w w:val="90"/>
          <w:sz w:val="24"/>
          <w:szCs w:val="24"/>
        </w:rPr>
        <w:t>份</w:t>
      </w:r>
      <w:r>
        <w:rPr>
          <w:rFonts w:hint="eastAsia" w:asciiTheme="minorEastAsia" w:hAnsiTheme="minorEastAsia" w:eastAsiaTheme="minorEastAsia" w:cstheme="minorEastAsia"/>
          <w:color w:val="auto"/>
          <w:spacing w:val="-9"/>
          <w:w w:val="90"/>
          <w:sz w:val="24"/>
          <w:szCs w:val="24"/>
          <w:lang w:eastAsia="zh-CN"/>
        </w:rPr>
        <w:t>）。</w:t>
      </w:r>
    </w:p>
    <w:p w14:paraId="54F75CA9">
      <w:pPr>
        <w:rPr>
          <w:color w:val="auto"/>
          <w:sz w:val="24"/>
          <w:szCs w:val="24"/>
        </w:rPr>
      </w:pPr>
    </w:p>
    <w:p w14:paraId="367F63C9">
      <w:pPr>
        <w:rPr>
          <w:color w:val="auto"/>
        </w:rPr>
      </w:pPr>
    </w:p>
    <w:p w14:paraId="426C8D29">
      <w:pPr>
        <w:rPr>
          <w:color w:val="auto"/>
        </w:rPr>
      </w:pPr>
    </w:p>
    <w:sectPr>
      <w:footerReference r:id="rId36" w:type="default"/>
      <w:pgSz w:w="11906" w:h="16839"/>
      <w:pgMar w:top="1304" w:right="1304" w:bottom="1304" w:left="1304" w:header="0" w:footer="120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839F2">
    <w:pPr>
      <w:spacing w:line="176" w:lineRule="auto"/>
      <w:ind w:left="440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0FEF74">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20FEF74">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6BF05">
    <w:pPr>
      <w:spacing w:line="176" w:lineRule="auto"/>
      <w:ind w:left="460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4B4BE4">
                          <w:pPr>
                            <w:pStyle w:val="5"/>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1F4B4BE4">
                    <w:pPr>
                      <w:pStyle w:val="5"/>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C330D">
    <w:pPr>
      <w:spacing w:line="176" w:lineRule="auto"/>
      <w:ind w:left="460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8E0BD5">
                          <w:pPr>
                            <w:pStyle w:val="5"/>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6B8E0BD5">
                    <w:pPr>
                      <w:pStyle w:val="5"/>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842AC">
    <w:pPr>
      <w:spacing w:line="176" w:lineRule="auto"/>
      <w:ind w:left="46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FB42C8">
                          <w:pPr>
                            <w:pStyle w:val="5"/>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76FB42C8">
                    <w:pPr>
                      <w:pStyle w:val="5"/>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99622">
    <w:pPr>
      <w:spacing w:line="176" w:lineRule="auto"/>
      <w:ind w:left="460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1FC9F0">
                          <w:pPr>
                            <w:pStyle w:val="5"/>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701FC9F0">
                    <w:pPr>
                      <w:pStyle w:val="5"/>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AC26A">
    <w:pPr>
      <w:spacing w:line="176" w:lineRule="auto"/>
      <w:ind w:left="454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8EB457">
                          <w:pPr>
                            <w:pStyle w:val="5"/>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418EB457">
                    <w:pPr>
                      <w:pStyle w:val="5"/>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837BA">
    <w:pPr>
      <w:spacing w:line="176" w:lineRule="auto"/>
      <w:ind w:left="46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1183BF">
                          <w:pPr>
                            <w:pStyle w:val="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121183BF">
                    <w:pPr>
                      <w:pStyle w:val="5"/>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D16D7">
    <w:pPr>
      <w:spacing w:line="176" w:lineRule="auto"/>
      <w:ind w:left="460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9060F0">
                          <w:pPr>
                            <w:pStyle w:val="5"/>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2E9060F0">
                    <w:pPr>
                      <w:pStyle w:val="5"/>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54018">
    <w:pPr>
      <w:spacing w:line="176" w:lineRule="auto"/>
      <w:ind w:left="459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375D56">
                          <w:pPr>
                            <w:pStyle w:val="5"/>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22375D56">
                    <w:pPr>
                      <w:pStyle w:val="5"/>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DAEB0">
    <w:pPr>
      <w:spacing w:line="176" w:lineRule="auto"/>
      <w:ind w:left="460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DE03D5">
                          <w:pPr>
                            <w:pStyle w:val="5"/>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3FDE03D5">
                    <w:pPr>
                      <w:pStyle w:val="5"/>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3C725">
    <w:pPr>
      <w:spacing w:line="176" w:lineRule="auto"/>
      <w:ind w:left="461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0FCE18">
                          <w:pPr>
                            <w:pStyle w:val="5"/>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4A0FCE18">
                    <w:pPr>
                      <w:pStyle w:val="5"/>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88670">
    <w:pPr>
      <w:spacing w:line="173" w:lineRule="auto"/>
      <w:ind w:left="424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AA22F0">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3AA22F0">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B1068">
    <w:pPr>
      <w:spacing w:line="176" w:lineRule="auto"/>
      <w:ind w:left="461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D21EBC">
                          <w:pPr>
                            <w:pStyle w:val="5"/>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CD21EBC">
                    <w:pPr>
                      <w:pStyle w:val="5"/>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8A07B">
    <w:pPr>
      <w:spacing w:line="176" w:lineRule="auto"/>
      <w:ind w:left="461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817D81">
                          <w:pPr>
                            <w:pStyle w:val="5"/>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05817D81">
                    <w:pPr>
                      <w:pStyle w:val="5"/>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423C">
    <w:pPr>
      <w:spacing w:line="176" w:lineRule="auto"/>
      <w:ind w:left="473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4F8F04">
                          <w:pPr>
                            <w:pStyle w:val="5"/>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2A4F8F04">
                    <w:pPr>
                      <w:pStyle w:val="5"/>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DC329">
    <w:pPr>
      <w:spacing w:line="176" w:lineRule="auto"/>
      <w:ind w:left="473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8725ED">
                          <w:pPr>
                            <w:pStyle w:val="5"/>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048725ED">
                    <w:pPr>
                      <w:pStyle w:val="5"/>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A1AB1">
    <w:pPr>
      <w:spacing w:line="173" w:lineRule="auto"/>
      <w:ind w:left="473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60FC2C">
                          <w:pPr>
                            <w:pStyle w:val="5"/>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2760FC2C">
                    <w:pPr>
                      <w:pStyle w:val="5"/>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E6A8C">
    <w:pPr>
      <w:spacing w:line="176" w:lineRule="auto"/>
      <w:ind w:left="46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0BE884">
                          <w:pPr>
                            <w:pStyle w:val="5"/>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580BE884">
                    <w:pPr>
                      <w:pStyle w:val="5"/>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8B88E">
    <w:pPr>
      <w:spacing w:line="173" w:lineRule="auto"/>
      <w:ind w:left="461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EA70D3">
                          <w:pPr>
                            <w:pStyle w:val="5"/>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71EA70D3">
                    <w:pPr>
                      <w:pStyle w:val="5"/>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82704">
    <w:pPr>
      <w:spacing w:line="176" w:lineRule="auto"/>
      <w:ind w:left="461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109590">
                          <w:pPr>
                            <w:pStyle w:val="5"/>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19109590">
                    <w:pPr>
                      <w:pStyle w:val="5"/>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4728F">
    <w:pPr>
      <w:spacing w:line="176" w:lineRule="auto"/>
      <w:ind w:left="461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84D9C7">
                          <w:pPr>
                            <w:pStyle w:val="5"/>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3984D9C7">
                    <w:pPr>
                      <w:pStyle w:val="5"/>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5AFC5">
    <w:pPr>
      <w:spacing w:line="176" w:lineRule="auto"/>
      <w:ind w:left="459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D3D437">
                          <w:pPr>
                            <w:pStyle w:val="5"/>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00D3D437">
                    <w:pPr>
                      <w:pStyle w:val="5"/>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C5342">
    <w:pPr>
      <w:spacing w:line="176" w:lineRule="auto"/>
      <w:ind w:left="438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F67D64">
                          <w:pPr>
                            <w:pStyle w:val="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8F67D64">
                    <w:pPr>
                      <w:pStyle w:val="5"/>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B77B3">
    <w:pPr>
      <w:spacing w:line="176" w:lineRule="auto"/>
      <w:ind w:left="461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14E7EB">
                          <w:pPr>
                            <w:pStyle w:val="5"/>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7B14E7EB">
                    <w:pPr>
                      <w:pStyle w:val="5"/>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5E51A">
    <w:pPr>
      <w:spacing w:line="176" w:lineRule="auto"/>
      <w:ind w:left="461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591559">
                          <w:pPr>
                            <w:pStyle w:val="5"/>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28591559">
                    <w:pPr>
                      <w:pStyle w:val="5"/>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6BF23">
    <w:pPr>
      <w:spacing w:line="176" w:lineRule="auto"/>
      <w:ind w:left="497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BB27F0">
                          <w:pPr>
                            <w:pStyle w:val="5"/>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31BB27F0">
                    <w:pPr>
                      <w:pStyle w:val="5"/>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9E7BE">
    <w:pPr>
      <w:spacing w:line="176" w:lineRule="auto"/>
      <w:ind w:left="465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97F5F8">
                          <w:pPr>
                            <w:pStyle w:val="5"/>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F97F5F8">
                    <w:pPr>
                      <w:pStyle w:val="5"/>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1B4C9">
    <w:pPr>
      <w:spacing w:line="176" w:lineRule="auto"/>
      <w:ind w:left="460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B259B4">
                          <w:pPr>
                            <w:pStyle w:val="5"/>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7B259B4">
                    <w:pPr>
                      <w:pStyle w:val="5"/>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D48AC">
    <w:pPr>
      <w:spacing w:line="176" w:lineRule="auto"/>
      <w:ind w:left="460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F842F7">
                          <w:pPr>
                            <w:pStyle w:val="5"/>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1F842F7">
                    <w:pPr>
                      <w:pStyle w:val="5"/>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F471B">
    <w:pPr>
      <w:spacing w:line="176" w:lineRule="auto"/>
      <w:ind w:left="49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D76B47">
                          <w:pPr>
                            <w:pStyle w:val="5"/>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FD76B47">
                    <w:pPr>
                      <w:pStyle w:val="5"/>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0A2B8">
    <w:pPr>
      <w:spacing w:line="176" w:lineRule="auto"/>
      <w:ind w:left="47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48E42D">
                          <w:pPr>
                            <w:pStyle w:val="5"/>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A48E42D">
                    <w:pPr>
                      <w:pStyle w:val="5"/>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86571">
    <w:pPr>
      <w:spacing w:line="176" w:lineRule="auto"/>
      <w:ind w:left="46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31977E">
                          <w:pPr>
                            <w:pStyle w:val="5"/>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0C31977E">
                    <w:pPr>
                      <w:pStyle w:val="5"/>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6E5082"/>
    <w:multiLevelType w:val="multilevel"/>
    <w:tmpl w:val="286E5082"/>
    <w:lvl w:ilvl="0" w:tentative="0">
      <w:start w:val="1"/>
      <w:numFmt w:val="decimalEnclosedCircle"/>
      <w:lvlText w:val="%1"/>
      <w:lvlJc w:val="left"/>
      <w:pPr>
        <w:ind w:left="927" w:hanging="36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EC3C52"/>
    <w:rsid w:val="12145BB7"/>
    <w:rsid w:val="15E72A75"/>
    <w:rsid w:val="1AEC3C52"/>
    <w:rsid w:val="31832DFC"/>
    <w:rsid w:val="467F664E"/>
    <w:rsid w:val="4E910D5D"/>
    <w:rsid w:val="67A02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0"/>
      <w:szCs w:val="30"/>
      <w:lang w:val="en-US" w:eastAsia="en-US" w:bidi="ar-SA"/>
    </w:rPr>
  </w:style>
  <w:style w:type="paragraph" w:styleId="3">
    <w:name w:val="Plain Text"/>
    <w:basedOn w:val="1"/>
    <w:qFormat/>
    <w:uiPriority w:val="0"/>
    <w:rPr>
      <w:rFonts w:ascii="宋体" w:hAnsi="Courier New"/>
      <w:kern w:val="0"/>
      <w:sz w:val="20"/>
      <w:szCs w:val="21"/>
    </w:rPr>
  </w:style>
  <w:style w:type="paragraph" w:styleId="4">
    <w:name w:val="Body Text Indent 2"/>
    <w:basedOn w:val="1"/>
    <w:qFormat/>
    <w:uiPriority w:val="0"/>
    <w:pPr>
      <w:spacing w:line="240" w:lineRule="atLeast"/>
      <w:ind w:firstLine="560"/>
    </w:pPr>
    <w:rPr>
      <w:sz w:val="28"/>
    </w:r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customStyle="1" w:styleId="9">
    <w:name w:val="Table Text"/>
    <w:basedOn w:val="1"/>
    <w:semiHidden/>
    <w:qFormat/>
    <w:uiPriority w:val="0"/>
    <w:rPr>
      <w:rFonts w:ascii="宋体" w:hAnsi="宋体" w:eastAsia="宋体" w:cs="宋体"/>
      <w:sz w:val="20"/>
      <w:szCs w:val="20"/>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0" Type="http://schemas.openxmlformats.org/officeDocument/2006/relationships/fontTable" Target="fontTable.xml"/><Relationship Id="rId4" Type="http://schemas.openxmlformats.org/officeDocument/2006/relationships/endnotes" Target="endnotes.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theme" Target="theme/theme1.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15152</Words>
  <Characters>16219</Characters>
  <Lines>0</Lines>
  <Paragraphs>0</Paragraphs>
  <TotalTime>60</TotalTime>
  <ScaleCrop>false</ScaleCrop>
  <LinksUpToDate>false</LinksUpToDate>
  <CharactersWithSpaces>16694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2026-06-01T06:44:00Z</dcterms:created>
  <dc:creator>阮&amp;</dc:creator>
  <cp:lastModifiedBy>阮&amp;</cp:lastModifiedBy>
  <dcterms:modified xsi:type="dcterms:W3CDTF">2026-06-01T09:38:45Z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4910805D04614681AD27EC0DDB399A8B_11</vt:lpwstr>
  </property>
  <property fmtid="{D5CDD505-2E9C-101B-9397-08002B2CF9AE}" pid="4" name="KSOTemplateDocerSaveRecord">
    <vt:lpwstr>eyJoZGlkIjoiZDBmNzZmN2ZmNzUwNTI1MmNlYTMyYTJmMjI0NmM4NzIiLCJ1c2VySWQiOiIyMzIzMDgxMjcifQ==</vt:lpwstr>
  </property>
</Properties>
</file>