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7060B">
      <w:pPr>
        <w:spacing w:line="360" w:lineRule="auto"/>
        <w:jc w:val="center"/>
        <w:rPr>
          <w:rFonts w:hint="eastAsia" w:ascii="方正小标宋简体" w:hAnsi="方正小标宋简体" w:cs="方正小标宋简体"/>
          <w:color w:val="auto"/>
          <w:sz w:val="72"/>
          <w:szCs w:val="72"/>
          <w:highlight w:val="none"/>
        </w:rPr>
      </w:pPr>
      <w:r>
        <w:rPr>
          <w:rFonts w:hint="eastAsia" w:ascii="方正小标宋简体" w:hAnsi="宋体" w:eastAsia="方正小标宋简体"/>
          <w:color w:val="auto"/>
          <w:sz w:val="72"/>
          <w:szCs w:val="72"/>
          <w:highlight w:val="none"/>
        </w:rPr>
        <w:t>中昕国际项目管理有限公司</w:t>
      </w:r>
    </w:p>
    <w:p w14:paraId="35442CD4">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D60658E">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1389380</wp:posOffset>
            </wp:positionH>
            <wp:positionV relativeFrom="paragraph">
              <wp:posOffset>-29210</wp:posOffset>
            </wp:positionV>
            <wp:extent cx="2434590" cy="2136775"/>
            <wp:effectExtent l="0" t="0" r="3810" b="15875"/>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2434590" cy="2136775"/>
                    </a:xfrm>
                    <a:prstGeom prst="rect">
                      <a:avLst/>
                    </a:prstGeom>
                    <a:noFill/>
                    <a:ln>
                      <a:noFill/>
                    </a:ln>
                  </pic:spPr>
                </pic:pic>
              </a:graphicData>
            </a:graphic>
          </wp:anchor>
        </w:drawing>
      </w:r>
      <w:r>
        <w:rPr>
          <w:rFonts w:hint="eastAsia" w:ascii="华文新魏" w:hAnsi="宋体" w:eastAsia="华文新魏"/>
          <w:color w:val="auto"/>
          <w:sz w:val="72"/>
          <w:szCs w:val="72"/>
          <w:highlight w:val="none"/>
        </w:rPr>
        <w:t>竞争性磋商文件</w:t>
      </w:r>
    </w:p>
    <w:p w14:paraId="7493390B">
      <w:pPr>
        <w:snapToGrid w:val="0"/>
        <w:spacing w:before="156" w:beforeLines="5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color w:val="auto"/>
          <w:sz w:val="48"/>
          <w:szCs w:val="48"/>
          <w:highlight w:val="none"/>
        </w:rPr>
        <w:t>（全流程电子化采购）</w:t>
      </w:r>
    </w:p>
    <w:p w14:paraId="450F68F6">
      <w:pPr>
        <w:pStyle w:val="16"/>
        <w:snapToGrid w:val="0"/>
        <w:spacing w:line="360" w:lineRule="auto"/>
        <w:rPr>
          <w:rFonts w:hint="eastAsia" w:ascii="仿宋_GB2312" w:hAnsi="宋体" w:eastAsia="仿宋_GB2312"/>
          <w:b/>
          <w:bCs/>
          <w:color w:val="auto"/>
          <w:sz w:val="30"/>
          <w:szCs w:val="30"/>
          <w:highlight w:val="none"/>
        </w:rPr>
      </w:pPr>
    </w:p>
    <w:p w14:paraId="405B1F40">
      <w:pPr>
        <w:pStyle w:val="16"/>
        <w:snapToGrid w:val="0"/>
        <w:spacing w:line="360" w:lineRule="auto"/>
        <w:ind w:firstLine="602" w:firstLineChars="2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北部湾港铁山湾5#锚地工程前期工作</w:t>
      </w:r>
    </w:p>
    <w:p w14:paraId="5C63AEA8">
      <w:pPr>
        <w:snapToGrid w:val="0"/>
        <w:spacing w:line="360" w:lineRule="auto"/>
        <w:ind w:firstLine="572" w:firstLineChars="200"/>
        <w:rPr>
          <w:rFonts w:hint="eastAsia" w:ascii="仿宋_GB2312" w:hAnsi="宋体" w:eastAsia="宋体"/>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：GXZC2026-C3-001152-ZXGJ</w:t>
      </w:r>
    </w:p>
    <w:p w14:paraId="660062B5">
      <w:pPr>
        <w:pStyle w:val="16"/>
        <w:snapToGrid w:val="0"/>
        <w:spacing w:line="360" w:lineRule="auto"/>
        <w:ind w:firstLine="572" w:firstLineChars="2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广西壮族自治区水运发展中心</w:t>
      </w:r>
    </w:p>
    <w:p w14:paraId="4FDA9F6B">
      <w:pPr>
        <w:pStyle w:val="16"/>
        <w:snapToGrid w:val="0"/>
        <w:spacing w:line="360" w:lineRule="auto"/>
        <w:ind w:firstLine="572" w:firstLineChars="2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采购代理机构：中昕国际项目管理有限公司</w:t>
      </w:r>
    </w:p>
    <w:p w14:paraId="450D8C3D">
      <w:pPr>
        <w:pStyle w:val="16"/>
        <w:snapToGrid w:val="0"/>
        <w:spacing w:line="360" w:lineRule="auto"/>
        <w:ind w:firstLine="1125" w:firstLineChars="393"/>
        <w:rPr>
          <w:rFonts w:ascii="仿宋_GB2312" w:hAnsi="宋体" w:eastAsia="仿宋_GB2312"/>
          <w:b/>
          <w:bCs/>
          <w:color w:val="auto"/>
          <w:w w:val="95"/>
          <w:sz w:val="30"/>
          <w:szCs w:val="30"/>
          <w:highlight w:val="none"/>
        </w:rPr>
      </w:pPr>
    </w:p>
    <w:p w14:paraId="7B3B2D05">
      <w:pPr>
        <w:pStyle w:val="16"/>
        <w:snapToGrid w:val="0"/>
        <w:spacing w:line="360" w:lineRule="auto"/>
        <w:ind w:firstLine="2862" w:firstLineChars="1000"/>
        <w:jc w:val="both"/>
        <w:rPr>
          <w:rFonts w:hAnsi="宋体" w:cs="宋体"/>
          <w:b/>
          <w:bCs/>
          <w:color w:val="auto"/>
          <w:w w:val="95"/>
          <w:sz w:val="30"/>
          <w:szCs w:val="30"/>
          <w:highlight w:val="none"/>
        </w:rPr>
      </w:pPr>
      <w:r>
        <w:rPr>
          <w:rFonts w:hint="eastAsia" w:ascii="仿宋_GB2312" w:hAnsi="宋体" w:eastAsia="仿宋_GB2312"/>
          <w:b/>
          <w:bCs/>
          <w:color w:val="auto"/>
          <w:w w:val="95"/>
          <w:sz w:val="30"/>
          <w:szCs w:val="30"/>
          <w:highlight w:val="none"/>
          <w:lang w:eastAsia="zh-CN"/>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 xml:space="preserve"> 9</w:t>
      </w:r>
      <w:bookmarkStart w:id="163" w:name="_GoBack"/>
      <w:bookmarkEnd w:id="163"/>
      <w:r>
        <w:rPr>
          <w:rFonts w:hint="eastAsia" w:ascii="仿宋_GB2312" w:hAnsi="宋体" w:eastAsia="仿宋_GB2312"/>
          <w:b/>
          <w:bCs/>
          <w:color w:val="auto"/>
          <w:w w:val="95"/>
          <w:sz w:val="30"/>
          <w:szCs w:val="30"/>
          <w:highlight w:val="none"/>
          <w:lang w:val="en-US" w:eastAsia="zh-CN"/>
        </w:rPr>
        <w:t xml:space="preserve"> </w:t>
      </w:r>
      <w:r>
        <w:rPr>
          <w:rFonts w:hint="eastAsia" w:ascii="仿宋_GB2312" w:hAnsi="宋体" w:eastAsia="仿宋_GB2312"/>
          <w:b/>
          <w:bCs/>
          <w:color w:val="auto"/>
          <w:w w:val="95"/>
          <w:sz w:val="30"/>
          <w:szCs w:val="30"/>
          <w:highlight w:val="none"/>
        </w:rPr>
        <w:t>日</w:t>
      </w:r>
    </w:p>
    <w:p w14:paraId="5ECFF15A">
      <w:pPr>
        <w:spacing w:line="360" w:lineRule="auto"/>
        <w:jc w:val="center"/>
        <w:rPr>
          <w:rFonts w:ascii="宋体" w:hAnsi="宋体" w:cs="宋体"/>
          <w:b/>
          <w:bCs/>
          <w:color w:val="auto"/>
          <w:kern w:val="0"/>
          <w:sz w:val="32"/>
          <w:szCs w:val="32"/>
          <w:highlight w:val="none"/>
        </w:rPr>
      </w:pPr>
    </w:p>
    <w:p w14:paraId="6A6AFD88">
      <w:pPr>
        <w:widowControl/>
        <w:jc w:val="left"/>
        <w:rPr>
          <w:rFonts w:ascii="宋体" w:hAnsi="宋体" w:cs="宋体"/>
          <w:b/>
          <w:color w:val="auto"/>
          <w:sz w:val="44"/>
          <w:szCs w:val="44"/>
          <w:highlight w:val="none"/>
        </w:rPr>
      </w:pPr>
      <w:r>
        <w:rPr>
          <w:rFonts w:ascii="宋体" w:hAnsi="宋体" w:cs="宋体"/>
          <w:b/>
          <w:color w:val="auto"/>
          <w:sz w:val="44"/>
          <w:szCs w:val="44"/>
          <w:highlight w:val="none"/>
        </w:rPr>
        <w:br w:type="page"/>
      </w:r>
    </w:p>
    <w:p w14:paraId="05BF63CB">
      <w:pPr>
        <w:spacing w:line="360" w:lineRule="auto"/>
        <w:jc w:val="center"/>
        <w:rPr>
          <w:rFonts w:ascii="宋体" w:hAnsi="宋体" w:cs="宋体"/>
          <w:b/>
          <w:color w:val="auto"/>
          <w:sz w:val="44"/>
          <w:szCs w:val="44"/>
          <w:highlight w:val="none"/>
        </w:rPr>
      </w:pPr>
    </w:p>
    <w:p w14:paraId="258D439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765E080">
      <w:pPr>
        <w:spacing w:line="400" w:lineRule="exact"/>
        <w:jc w:val="center"/>
        <w:rPr>
          <w:rFonts w:ascii="宋体" w:hAnsi="宋体" w:cs="宋体"/>
          <w:b/>
          <w:color w:val="auto"/>
          <w:sz w:val="44"/>
          <w:szCs w:val="44"/>
          <w:highlight w:val="none"/>
        </w:rPr>
      </w:pPr>
    </w:p>
    <w:p w14:paraId="5A626BA2">
      <w:pPr>
        <w:pStyle w:val="22"/>
        <w:tabs>
          <w:tab w:val="right" w:leader="dot" w:pos="8730"/>
        </w:tabs>
        <w:spacing w:before="120" w:after="120"/>
        <w:ind w:firstLine="241" w:firstLineChars="100"/>
        <w:jc w:val="left"/>
        <w:rPr>
          <w:rFonts w:ascii="宋体" w:hAnsi="宋体"/>
          <w:b/>
          <w:bCs/>
          <w:caps/>
          <w:color w:val="auto"/>
          <w:sz w:val="24"/>
          <w:highlight w:val="none"/>
        </w:rPr>
      </w:pPr>
      <w:r>
        <w:rPr>
          <w:rFonts w:hint="eastAsia" w:ascii="宋体" w:hAnsi="宋体"/>
          <w:b/>
          <w:bCs/>
          <w:caps/>
          <w:color w:val="auto"/>
          <w:sz w:val="24"/>
          <w:highlight w:val="none"/>
        </w:rPr>
        <w:fldChar w:fldCharType="begin"/>
      </w:r>
      <w:r>
        <w:rPr>
          <w:rFonts w:hint="eastAsia" w:ascii="宋体" w:hAnsi="宋体"/>
          <w:b/>
          <w:bCs/>
          <w:caps/>
          <w:color w:val="auto"/>
          <w:sz w:val="24"/>
          <w:highlight w:val="none"/>
        </w:rPr>
        <w:instrText xml:space="preserve"> TOC \o "1-3" \h \z \u </w:instrText>
      </w:r>
      <w:r>
        <w:rPr>
          <w:rFonts w:hint="eastAsia" w:ascii="宋体" w:hAnsi="宋体"/>
          <w:b/>
          <w:bCs/>
          <w:caps/>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Fonts w:hint="eastAsia" w:ascii="宋体" w:hAnsi="宋体"/>
          <w:b/>
          <w:bCs/>
          <w:caps/>
          <w:color w:val="auto"/>
          <w:sz w:val="24"/>
          <w:highlight w:val="none"/>
        </w:rPr>
        <w:t>第一章 竞争性磋商公告</w:t>
      </w:r>
      <w:r>
        <w:rPr>
          <w:rFonts w:hint="eastAsia" w:ascii="宋体" w:hAnsi="宋体"/>
          <w:b/>
          <w:bCs/>
          <w:caps/>
          <w:color w:val="auto"/>
          <w:sz w:val="24"/>
          <w:highlight w:val="none"/>
        </w:rPr>
        <w:tab/>
      </w:r>
      <w:r>
        <w:rPr>
          <w:rFonts w:hint="eastAsia" w:ascii="宋体" w:hAnsi="宋体"/>
          <w:b/>
          <w:bCs/>
          <w:caps/>
          <w:color w:val="auto"/>
          <w:sz w:val="24"/>
          <w:highlight w:val="none"/>
        </w:rPr>
        <w:t>2</w:t>
      </w:r>
      <w:r>
        <w:rPr>
          <w:rFonts w:hint="eastAsia" w:ascii="宋体" w:hAnsi="宋体"/>
          <w:b/>
          <w:bCs/>
          <w:caps/>
          <w:color w:val="auto"/>
          <w:sz w:val="24"/>
          <w:highlight w:val="none"/>
        </w:rPr>
        <w:fldChar w:fldCharType="end"/>
      </w:r>
    </w:p>
    <w:p w14:paraId="0CC81D97">
      <w:pPr>
        <w:pStyle w:val="22"/>
        <w:tabs>
          <w:tab w:val="right" w:leader="dot" w:pos="8730"/>
        </w:tabs>
        <w:spacing w:before="120" w:after="120"/>
        <w:ind w:firstLine="210" w:firstLineChars="100"/>
        <w:jc w:val="left"/>
        <w:rPr>
          <w:rFonts w:ascii="宋体" w:hAnsi="宋体"/>
          <w:b/>
          <w:bCs/>
          <w:caps/>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Fonts w:hint="eastAsia" w:ascii="宋体" w:hAnsi="宋体"/>
          <w:b/>
          <w:bCs/>
          <w:caps/>
          <w:color w:val="auto"/>
          <w:sz w:val="24"/>
          <w:highlight w:val="none"/>
        </w:rPr>
        <w:t>第二章 供应</w:t>
      </w:r>
      <w:bookmarkStart w:id="0" w:name="_Hlt82161237"/>
      <w:r>
        <w:rPr>
          <w:rFonts w:hint="eastAsia" w:ascii="宋体" w:hAnsi="宋体"/>
          <w:b/>
          <w:bCs/>
          <w:caps/>
          <w:color w:val="auto"/>
          <w:sz w:val="24"/>
          <w:highlight w:val="none"/>
        </w:rPr>
        <w:t>商</w:t>
      </w:r>
      <w:bookmarkEnd w:id="0"/>
      <w:r>
        <w:rPr>
          <w:rFonts w:hint="eastAsia" w:ascii="宋体" w:hAnsi="宋体"/>
          <w:b/>
          <w:bCs/>
          <w:caps/>
          <w:color w:val="auto"/>
          <w:sz w:val="24"/>
          <w:highlight w:val="none"/>
        </w:rPr>
        <w:t>须知</w:t>
      </w:r>
      <w:r>
        <w:rPr>
          <w:rFonts w:hint="eastAsia" w:ascii="宋体" w:hAnsi="宋体"/>
          <w:b/>
          <w:bCs/>
          <w:caps/>
          <w:color w:val="auto"/>
          <w:sz w:val="24"/>
          <w:highlight w:val="none"/>
        </w:rPr>
        <w:tab/>
      </w:r>
      <w:r>
        <w:rPr>
          <w:rFonts w:hint="eastAsia" w:ascii="宋体" w:hAnsi="宋体"/>
          <w:b/>
          <w:bCs/>
          <w:caps/>
          <w:color w:val="auto"/>
          <w:sz w:val="24"/>
          <w:highlight w:val="none"/>
        </w:rPr>
        <w:t>6</w:t>
      </w:r>
      <w:r>
        <w:rPr>
          <w:rFonts w:hint="eastAsia" w:ascii="宋体" w:hAnsi="宋体"/>
          <w:b/>
          <w:bCs/>
          <w:caps/>
          <w:color w:val="auto"/>
          <w:sz w:val="24"/>
          <w:highlight w:val="none"/>
        </w:rPr>
        <w:fldChar w:fldCharType="end"/>
      </w:r>
    </w:p>
    <w:p w14:paraId="7423E75E">
      <w:pPr>
        <w:pStyle w:val="22"/>
        <w:tabs>
          <w:tab w:val="right" w:leader="dot" w:pos="8730"/>
        </w:tabs>
        <w:spacing w:before="120" w:after="120"/>
        <w:ind w:firstLine="210" w:firstLineChars="100"/>
        <w:jc w:val="left"/>
        <w:rPr>
          <w:rFonts w:ascii="宋体" w:hAnsi="宋体"/>
          <w:b/>
          <w:bCs/>
          <w:caps/>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Fonts w:hint="eastAsia" w:ascii="宋体" w:hAnsi="宋体"/>
          <w:b/>
          <w:bCs/>
          <w:caps/>
          <w:color w:val="auto"/>
          <w:sz w:val="24"/>
          <w:highlight w:val="none"/>
        </w:rPr>
        <w:t>第三章 采购需</w:t>
      </w:r>
      <w:bookmarkStart w:id="1" w:name="_Hlt82166940"/>
      <w:r>
        <w:rPr>
          <w:rFonts w:hint="eastAsia" w:ascii="宋体" w:hAnsi="宋体"/>
          <w:b/>
          <w:bCs/>
          <w:caps/>
          <w:color w:val="auto"/>
          <w:sz w:val="24"/>
          <w:highlight w:val="none"/>
        </w:rPr>
        <w:t>求</w:t>
      </w:r>
      <w:bookmarkEnd w:id="1"/>
      <w:r>
        <w:rPr>
          <w:rFonts w:hint="eastAsia" w:ascii="宋体" w:hAnsi="宋体"/>
          <w:b/>
          <w:bCs/>
          <w:caps/>
          <w:color w:val="auto"/>
          <w:sz w:val="24"/>
          <w:highlight w:val="none"/>
        </w:rPr>
        <w:tab/>
      </w:r>
      <w:r>
        <w:rPr>
          <w:rFonts w:hint="eastAsia" w:ascii="宋体" w:hAnsi="宋体"/>
          <w:b/>
          <w:bCs/>
          <w:caps/>
          <w:color w:val="auto"/>
          <w:sz w:val="24"/>
          <w:highlight w:val="none"/>
        </w:rPr>
        <w:t>2</w:t>
      </w:r>
      <w:r>
        <w:rPr>
          <w:rFonts w:hint="eastAsia" w:ascii="宋体" w:hAnsi="宋体"/>
          <w:b/>
          <w:bCs/>
          <w:caps/>
          <w:color w:val="auto"/>
          <w:sz w:val="24"/>
          <w:highlight w:val="none"/>
        </w:rPr>
        <w:fldChar w:fldCharType="end"/>
      </w:r>
      <w:r>
        <w:rPr>
          <w:rFonts w:hint="eastAsia" w:ascii="宋体" w:hAnsi="宋体"/>
          <w:b/>
          <w:bCs/>
          <w:caps/>
          <w:color w:val="auto"/>
          <w:sz w:val="24"/>
          <w:highlight w:val="none"/>
        </w:rPr>
        <w:t>6</w:t>
      </w:r>
    </w:p>
    <w:p w14:paraId="20700639">
      <w:pPr>
        <w:pStyle w:val="22"/>
        <w:tabs>
          <w:tab w:val="right" w:leader="dot" w:pos="8730"/>
        </w:tabs>
        <w:spacing w:before="120" w:after="120"/>
        <w:ind w:firstLine="210" w:firstLineChars="100"/>
        <w:jc w:val="left"/>
        <w:rPr>
          <w:rFonts w:ascii="宋体" w:hAnsi="宋体"/>
          <w:b/>
          <w:bCs/>
          <w:caps/>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Fonts w:hint="eastAsia" w:ascii="宋体" w:hAnsi="宋体"/>
          <w:b/>
          <w:bCs/>
          <w:caps/>
          <w:color w:val="auto"/>
          <w:sz w:val="24"/>
          <w:highlight w:val="none"/>
        </w:rPr>
        <w:t>第四章 评审程序、评审方法和评审标准</w:t>
      </w:r>
      <w:r>
        <w:rPr>
          <w:rFonts w:hint="eastAsia" w:ascii="宋体" w:hAnsi="宋体"/>
          <w:b/>
          <w:bCs/>
          <w:caps/>
          <w:color w:val="auto"/>
          <w:sz w:val="24"/>
          <w:highlight w:val="none"/>
        </w:rPr>
        <w:tab/>
      </w:r>
      <w:r>
        <w:rPr>
          <w:rFonts w:hint="eastAsia" w:ascii="宋体" w:hAnsi="宋体"/>
          <w:b/>
          <w:bCs/>
          <w:caps/>
          <w:color w:val="auto"/>
          <w:sz w:val="24"/>
          <w:highlight w:val="none"/>
        </w:rPr>
        <w:t>3</w:t>
      </w:r>
      <w:r>
        <w:rPr>
          <w:rFonts w:hint="eastAsia" w:ascii="宋体" w:hAnsi="宋体"/>
          <w:b/>
          <w:bCs/>
          <w:caps/>
          <w:color w:val="auto"/>
          <w:sz w:val="24"/>
          <w:highlight w:val="none"/>
        </w:rPr>
        <w:fldChar w:fldCharType="end"/>
      </w:r>
      <w:r>
        <w:rPr>
          <w:rFonts w:hint="eastAsia" w:ascii="宋体" w:hAnsi="宋体"/>
          <w:b/>
          <w:bCs/>
          <w:caps/>
          <w:color w:val="auto"/>
          <w:sz w:val="24"/>
          <w:highlight w:val="none"/>
        </w:rPr>
        <w:t>2</w:t>
      </w:r>
    </w:p>
    <w:p w14:paraId="04AB82F7">
      <w:pPr>
        <w:pStyle w:val="22"/>
        <w:tabs>
          <w:tab w:val="right" w:leader="dot" w:pos="8730"/>
        </w:tabs>
        <w:spacing w:before="120" w:after="120"/>
        <w:ind w:firstLine="210" w:firstLineChars="100"/>
        <w:jc w:val="left"/>
        <w:rPr>
          <w:rFonts w:ascii="宋体" w:hAnsi="宋体"/>
          <w:b/>
          <w:bCs/>
          <w:caps/>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Fonts w:hint="eastAsia" w:ascii="宋体" w:hAnsi="宋体"/>
          <w:b/>
          <w:bCs/>
          <w:caps/>
          <w:color w:val="auto"/>
          <w:sz w:val="24"/>
          <w:highlight w:val="none"/>
        </w:rPr>
        <w:t>第五章 响应文件格式</w:t>
      </w:r>
      <w:r>
        <w:rPr>
          <w:rFonts w:hint="eastAsia" w:ascii="宋体" w:hAnsi="宋体"/>
          <w:b/>
          <w:bCs/>
          <w:caps/>
          <w:color w:val="auto"/>
          <w:sz w:val="24"/>
          <w:highlight w:val="none"/>
        </w:rPr>
        <w:tab/>
      </w:r>
      <w:r>
        <w:rPr>
          <w:rFonts w:hint="eastAsia" w:ascii="宋体" w:hAnsi="宋体"/>
          <w:b/>
          <w:bCs/>
          <w:caps/>
          <w:color w:val="auto"/>
          <w:sz w:val="24"/>
          <w:highlight w:val="none"/>
        </w:rPr>
        <w:t>4</w:t>
      </w:r>
      <w:r>
        <w:rPr>
          <w:rFonts w:hint="eastAsia" w:ascii="宋体" w:hAnsi="宋体"/>
          <w:b/>
          <w:bCs/>
          <w:caps/>
          <w:color w:val="auto"/>
          <w:sz w:val="24"/>
          <w:highlight w:val="none"/>
        </w:rPr>
        <w:fldChar w:fldCharType="end"/>
      </w:r>
      <w:r>
        <w:rPr>
          <w:rFonts w:hint="eastAsia" w:ascii="宋体" w:hAnsi="宋体"/>
          <w:b/>
          <w:bCs/>
          <w:caps/>
          <w:color w:val="auto"/>
          <w:sz w:val="24"/>
          <w:highlight w:val="none"/>
        </w:rPr>
        <w:t>3</w:t>
      </w:r>
    </w:p>
    <w:p w14:paraId="42CBF16E">
      <w:pPr>
        <w:pStyle w:val="22"/>
        <w:tabs>
          <w:tab w:val="right" w:leader="dot" w:pos="8730"/>
        </w:tabs>
        <w:spacing w:before="120" w:after="120"/>
        <w:ind w:firstLine="210" w:firstLineChars="100"/>
        <w:jc w:val="left"/>
        <w:rPr>
          <w:rFonts w:ascii="宋体" w:hAnsi="宋体"/>
          <w:b/>
          <w:bCs/>
          <w:caps/>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Fonts w:hint="eastAsia" w:ascii="宋体" w:hAnsi="宋体"/>
          <w:b/>
          <w:bCs/>
          <w:caps/>
          <w:color w:val="auto"/>
          <w:sz w:val="24"/>
          <w:highlight w:val="none"/>
        </w:rPr>
        <w:t>第六章 合同文本</w:t>
      </w:r>
      <w:r>
        <w:rPr>
          <w:rFonts w:hint="eastAsia" w:ascii="宋体" w:hAnsi="宋体"/>
          <w:b/>
          <w:bCs/>
          <w:caps/>
          <w:color w:val="auto"/>
          <w:sz w:val="24"/>
          <w:highlight w:val="none"/>
        </w:rPr>
        <w:tab/>
      </w:r>
      <w:r>
        <w:rPr>
          <w:rFonts w:hint="eastAsia" w:ascii="宋体" w:hAnsi="宋体"/>
          <w:b/>
          <w:bCs/>
          <w:caps/>
          <w:color w:val="auto"/>
          <w:sz w:val="24"/>
          <w:highlight w:val="none"/>
        </w:rPr>
        <w:t>6</w:t>
      </w:r>
      <w:r>
        <w:rPr>
          <w:rFonts w:hint="eastAsia" w:ascii="宋体" w:hAnsi="宋体"/>
          <w:b/>
          <w:bCs/>
          <w:caps/>
          <w:color w:val="auto"/>
          <w:sz w:val="24"/>
          <w:highlight w:val="none"/>
        </w:rPr>
        <w:fldChar w:fldCharType="end"/>
      </w:r>
      <w:r>
        <w:rPr>
          <w:rFonts w:hint="eastAsia" w:ascii="宋体" w:hAnsi="宋体"/>
          <w:b/>
          <w:bCs/>
          <w:caps/>
          <w:color w:val="auto"/>
          <w:sz w:val="24"/>
          <w:highlight w:val="none"/>
        </w:rPr>
        <w:t>7</w:t>
      </w:r>
    </w:p>
    <w:p w14:paraId="24F9EF8A">
      <w:pPr>
        <w:pStyle w:val="22"/>
        <w:tabs>
          <w:tab w:val="right" w:leader="dot" w:pos="8730"/>
        </w:tabs>
        <w:spacing w:before="120" w:after="120"/>
        <w:ind w:firstLine="241" w:firstLineChars="100"/>
        <w:jc w:val="left"/>
        <w:rPr>
          <w:rFonts w:ascii="宋体" w:hAnsi="宋体" w:cs="宋体"/>
          <w:b/>
          <w:color w:val="auto"/>
          <w:sz w:val="24"/>
          <w:highlight w:val="none"/>
        </w:rPr>
      </w:pPr>
      <w:r>
        <w:rPr>
          <w:rFonts w:hint="eastAsia" w:ascii="宋体" w:hAnsi="宋体"/>
          <w:b/>
          <w:bCs/>
          <w:caps/>
          <w:color w:val="auto"/>
          <w:sz w:val="24"/>
          <w:highlight w:val="none"/>
        </w:rPr>
        <w:fldChar w:fldCharType="end"/>
      </w:r>
    </w:p>
    <w:p w14:paraId="23674E29">
      <w:pPr>
        <w:spacing w:line="400" w:lineRule="exact"/>
        <w:jc w:val="left"/>
        <w:rPr>
          <w:rFonts w:ascii="宋体" w:hAnsi="宋体" w:cs="宋体"/>
          <w:b/>
          <w:color w:val="auto"/>
          <w:sz w:val="32"/>
          <w:szCs w:val="32"/>
          <w:highlight w:val="none"/>
        </w:rPr>
      </w:pPr>
    </w:p>
    <w:p w14:paraId="4D2E4A3E">
      <w:pPr>
        <w:spacing w:line="400" w:lineRule="exact"/>
        <w:jc w:val="center"/>
        <w:rPr>
          <w:rFonts w:ascii="宋体" w:hAnsi="宋体" w:cs="宋体"/>
          <w:b/>
          <w:color w:val="auto"/>
          <w:sz w:val="32"/>
          <w:szCs w:val="32"/>
          <w:highlight w:val="none"/>
        </w:rPr>
      </w:pPr>
    </w:p>
    <w:p w14:paraId="03E31414">
      <w:pPr>
        <w:spacing w:line="400" w:lineRule="exact"/>
        <w:jc w:val="center"/>
        <w:rPr>
          <w:rFonts w:ascii="宋体" w:hAnsi="宋体" w:cs="宋体"/>
          <w:b/>
          <w:color w:val="auto"/>
          <w:sz w:val="32"/>
          <w:szCs w:val="32"/>
          <w:highlight w:val="none"/>
        </w:rPr>
      </w:pPr>
    </w:p>
    <w:p w14:paraId="3985F7CB">
      <w:pPr>
        <w:spacing w:line="400" w:lineRule="exact"/>
        <w:jc w:val="center"/>
        <w:rPr>
          <w:rFonts w:ascii="宋体" w:hAnsi="宋体" w:cs="宋体"/>
          <w:b/>
          <w:color w:val="auto"/>
          <w:sz w:val="32"/>
          <w:szCs w:val="32"/>
          <w:highlight w:val="none"/>
        </w:rPr>
      </w:pPr>
    </w:p>
    <w:p w14:paraId="637FE6E2">
      <w:pPr>
        <w:pStyle w:val="24"/>
        <w:tabs>
          <w:tab w:val="right" w:leader="dot" w:pos="8931"/>
          <w:tab w:val="clear" w:pos="8296"/>
        </w:tabs>
        <w:snapToGrid w:val="0"/>
        <w:spacing w:line="500" w:lineRule="atLeast"/>
        <w:ind w:left="0" w:leftChars="0"/>
        <w:rPr>
          <w:rFonts w:ascii="宋体" w:hAnsi="宋体" w:cs="宋体"/>
          <w:b/>
          <w:color w:val="auto"/>
          <w:sz w:val="24"/>
          <w:highlight w:val="none"/>
        </w:rPr>
      </w:pPr>
    </w:p>
    <w:p w14:paraId="3CC95886">
      <w:pPr>
        <w:spacing w:line="400" w:lineRule="exact"/>
        <w:jc w:val="left"/>
        <w:rPr>
          <w:rFonts w:ascii="宋体" w:hAnsi="宋体" w:cs="宋体"/>
          <w:b/>
          <w:color w:val="auto"/>
          <w:sz w:val="32"/>
          <w:szCs w:val="32"/>
          <w:highlight w:val="none"/>
        </w:rPr>
      </w:pPr>
    </w:p>
    <w:p w14:paraId="1355E027">
      <w:pPr>
        <w:spacing w:line="400" w:lineRule="exact"/>
        <w:jc w:val="center"/>
        <w:rPr>
          <w:rFonts w:ascii="宋体" w:hAnsi="宋体" w:cs="宋体"/>
          <w:b/>
          <w:color w:val="auto"/>
          <w:sz w:val="32"/>
          <w:szCs w:val="32"/>
          <w:highlight w:val="none"/>
        </w:rPr>
      </w:pPr>
    </w:p>
    <w:p w14:paraId="6084F8FB">
      <w:pPr>
        <w:spacing w:line="400" w:lineRule="exact"/>
        <w:jc w:val="center"/>
        <w:rPr>
          <w:rFonts w:ascii="宋体" w:hAnsi="宋体" w:cs="宋体"/>
          <w:b/>
          <w:color w:val="auto"/>
          <w:sz w:val="32"/>
          <w:szCs w:val="32"/>
          <w:highlight w:val="none"/>
        </w:rPr>
      </w:pPr>
    </w:p>
    <w:p w14:paraId="68509397">
      <w:pPr>
        <w:spacing w:line="400" w:lineRule="exact"/>
        <w:jc w:val="center"/>
        <w:rPr>
          <w:rFonts w:ascii="宋体" w:hAnsi="宋体" w:cs="宋体"/>
          <w:b/>
          <w:color w:val="auto"/>
          <w:sz w:val="32"/>
          <w:szCs w:val="32"/>
          <w:highlight w:val="none"/>
        </w:rPr>
      </w:pPr>
    </w:p>
    <w:p w14:paraId="763B02F6">
      <w:pPr>
        <w:spacing w:line="400" w:lineRule="exact"/>
        <w:jc w:val="center"/>
        <w:rPr>
          <w:rFonts w:ascii="宋体" w:hAnsi="宋体" w:cs="宋体"/>
          <w:b/>
          <w:color w:val="auto"/>
          <w:sz w:val="32"/>
          <w:szCs w:val="32"/>
          <w:highlight w:val="none"/>
        </w:rPr>
      </w:pPr>
    </w:p>
    <w:p w14:paraId="50ED81EA">
      <w:pPr>
        <w:spacing w:line="400" w:lineRule="exact"/>
        <w:rPr>
          <w:rFonts w:ascii="宋体" w:hAnsi="宋体" w:cs="宋体"/>
          <w:b/>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429DD33C">
      <w:pPr>
        <w:pStyle w:val="2"/>
        <w:spacing w:line="360" w:lineRule="auto"/>
        <w:jc w:val="center"/>
        <w:rPr>
          <w:rFonts w:ascii="宋体" w:hAnsi="宋体" w:cs="宋体"/>
          <w:color w:val="auto"/>
          <w:highlight w:val="none"/>
        </w:rPr>
      </w:pPr>
      <w:bookmarkStart w:id="2" w:name="_Toc74323456"/>
      <w:r>
        <w:rPr>
          <w:rFonts w:hint="eastAsia" w:ascii="宋体" w:hAnsi="宋体" w:cs="宋体"/>
          <w:color w:val="auto"/>
          <w:highlight w:val="none"/>
        </w:rPr>
        <w:t>第一章 竞争性磋商公告</w:t>
      </w:r>
      <w:bookmarkEnd w:id="2"/>
    </w:p>
    <w:p w14:paraId="11DBBDB1">
      <w:pPr>
        <w:spacing w:line="360" w:lineRule="auto"/>
        <w:jc w:val="center"/>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lang w:eastAsia="zh-CN"/>
        </w:rPr>
        <w:t>中昕国际项目管理有限公司</w:t>
      </w:r>
    </w:p>
    <w:p w14:paraId="3608E9AC">
      <w:pPr>
        <w:spacing w:line="360" w:lineRule="auto"/>
        <w:jc w:val="center"/>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lang w:eastAsia="zh-CN"/>
        </w:rPr>
        <w:t>北部湾港铁山湾5#锚地工程前期工作</w:t>
      </w:r>
      <w:r>
        <w:rPr>
          <w:rFonts w:hint="eastAsia" w:ascii="宋体" w:hAnsi="宋体" w:cs="宋体"/>
          <w:b/>
          <w:bCs/>
          <w:color w:val="auto"/>
          <w:kern w:val="44"/>
          <w:sz w:val="36"/>
          <w:szCs w:val="36"/>
          <w:highlight w:val="none"/>
        </w:rPr>
        <w:t>（项目编号GXZC2026-C3-001152-ZXGJ）</w:t>
      </w:r>
    </w:p>
    <w:p w14:paraId="651AD0F3">
      <w:pPr>
        <w:spacing w:line="360" w:lineRule="auto"/>
        <w:jc w:val="center"/>
        <w:rPr>
          <w:rFonts w:ascii="宋体" w:hAnsi="宋体" w:cs="宋体"/>
          <w:color w:val="auto"/>
          <w:sz w:val="24"/>
          <w:highlight w:val="none"/>
        </w:rPr>
      </w:pPr>
      <w:bookmarkStart w:id="3" w:name="_Hlk37430271"/>
      <w:r>
        <w:rPr>
          <w:rFonts w:hint="eastAsia" w:ascii="宋体" w:hAnsi="宋体" w:cs="宋体"/>
          <w:b/>
          <w:bCs/>
          <w:color w:val="auto"/>
          <w:kern w:val="44"/>
          <w:sz w:val="36"/>
          <w:szCs w:val="36"/>
          <w:highlight w:val="none"/>
        </w:rPr>
        <w:t>竞争性磋商公告</w:t>
      </w:r>
    </w:p>
    <w:p w14:paraId="53670EAD">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w:t>
      </w:r>
    </w:p>
    <w:p w14:paraId="33AAF3E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北部湾港铁山湾5#锚地工程前期工作</w:t>
      </w:r>
      <w:r>
        <w:rPr>
          <w:rFonts w:hint="eastAsia" w:ascii="宋体" w:hAnsi="宋体" w:cs="宋体"/>
          <w:color w:val="auto"/>
          <w:sz w:val="24"/>
          <w:highlight w:val="none"/>
        </w:rPr>
        <w:t>项目的潜在供应商应在广西政府采购云平台（https://www.gcy.zfcg.gxzf.gov.cn/）获取（下载）竞争性磋商文件，并于</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405C3585">
      <w:pPr>
        <w:widowControl/>
        <w:spacing w:line="360" w:lineRule="auto"/>
        <w:ind w:firstLine="482" w:firstLineChars="200"/>
        <w:rPr>
          <w:rFonts w:ascii="宋体" w:hAnsi="宋体" w:cs="宋体"/>
          <w:b/>
          <w:color w:val="auto"/>
          <w:sz w:val="24"/>
          <w:highlight w:val="none"/>
        </w:rPr>
      </w:pPr>
      <w:bookmarkStart w:id="4" w:name="_Hlk37429674"/>
      <w:bookmarkStart w:id="5" w:name="_Toc28359095"/>
      <w:bookmarkStart w:id="6" w:name="_Toc35393805"/>
      <w:bookmarkStart w:id="7" w:name="_Toc35393636"/>
      <w:bookmarkStart w:id="8" w:name="_Toc44229885"/>
      <w:bookmarkStart w:id="9" w:name="_Toc28359018"/>
    </w:p>
    <w:p w14:paraId="5340EBDC">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一、项目基本情况</w:t>
      </w:r>
    </w:p>
    <w:p w14:paraId="026216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项目编号：GXZC2026-C3-001152-ZXGJ</w:t>
      </w:r>
    </w:p>
    <w:p w14:paraId="47FF16A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采购计划编号：广西政采[2026]7490号</w:t>
      </w:r>
    </w:p>
    <w:p w14:paraId="525BB30B">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北部湾港铁山湾5#锚地工程前期工作</w:t>
      </w:r>
    </w:p>
    <w:p w14:paraId="257C563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采购方式：竞争性磋商</w:t>
      </w:r>
    </w:p>
    <w:p w14:paraId="7D6525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预算金额（人民币）：贰佰柒拾叁万元整（</w:t>
      </w:r>
      <w:r>
        <w:rPr>
          <w:rFonts w:ascii="宋体" w:hAnsi="宋体" w:cs="宋体"/>
          <w:color w:val="auto"/>
          <w:sz w:val="24"/>
          <w:highlight w:val="none"/>
        </w:rPr>
        <w:t>¥</w:t>
      </w:r>
      <w:r>
        <w:rPr>
          <w:rFonts w:hint="eastAsia" w:ascii="宋体" w:hAnsi="宋体" w:cs="宋体"/>
          <w:color w:val="auto"/>
          <w:sz w:val="24"/>
          <w:highlight w:val="none"/>
        </w:rPr>
        <w:t>2730000.00）</w:t>
      </w:r>
    </w:p>
    <w:p w14:paraId="7D47DF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最高限价（人民币）：贰佰柒拾叁万元整（</w:t>
      </w:r>
      <w:r>
        <w:rPr>
          <w:rFonts w:ascii="宋体" w:hAnsi="宋体" w:cs="宋体"/>
          <w:color w:val="auto"/>
          <w:sz w:val="24"/>
          <w:highlight w:val="none"/>
        </w:rPr>
        <w:t>¥</w:t>
      </w:r>
      <w:r>
        <w:rPr>
          <w:rFonts w:hint="eastAsia" w:ascii="宋体" w:hAnsi="宋体" w:cs="宋体"/>
          <w:color w:val="auto"/>
          <w:sz w:val="24"/>
          <w:highlight w:val="none"/>
        </w:rPr>
        <w:t>2730000.00）</w:t>
      </w:r>
    </w:p>
    <w:p w14:paraId="2720C1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采购需求：</w:t>
      </w:r>
    </w:p>
    <w:tbl>
      <w:tblPr>
        <w:tblStyle w:val="2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156"/>
        <w:gridCol w:w="868"/>
        <w:gridCol w:w="801"/>
        <w:gridCol w:w="3934"/>
      </w:tblGrid>
      <w:tr w14:paraId="358C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5" w:type="dxa"/>
            <w:vAlign w:val="center"/>
          </w:tcPr>
          <w:p w14:paraId="499D7D97">
            <w:pPr>
              <w:pStyle w:val="76"/>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56" w:type="dxa"/>
            <w:vAlign w:val="center"/>
          </w:tcPr>
          <w:p w14:paraId="39E7D47C">
            <w:pPr>
              <w:pStyle w:val="76"/>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868" w:type="dxa"/>
            <w:vAlign w:val="center"/>
          </w:tcPr>
          <w:p w14:paraId="0DCF6F98">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801" w:type="dxa"/>
            <w:vAlign w:val="center"/>
          </w:tcPr>
          <w:p w14:paraId="69F8C5D3">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934" w:type="dxa"/>
            <w:vAlign w:val="center"/>
          </w:tcPr>
          <w:p w14:paraId="07CA24EB">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简要服务要求</w:t>
            </w:r>
          </w:p>
        </w:tc>
      </w:tr>
      <w:tr w14:paraId="4959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25" w:type="dxa"/>
            <w:vAlign w:val="center"/>
          </w:tcPr>
          <w:p w14:paraId="547D584D">
            <w:pPr>
              <w:pStyle w:val="76"/>
              <w:jc w:val="center"/>
              <w:rPr>
                <w:rFonts w:ascii="宋体" w:hAnsi="宋体" w:cs="宋体"/>
                <w:color w:val="auto"/>
                <w:sz w:val="24"/>
                <w:highlight w:val="none"/>
              </w:rPr>
            </w:pPr>
            <w:r>
              <w:rPr>
                <w:rFonts w:hint="eastAsia" w:ascii="宋体" w:hAnsi="宋体" w:cs="宋体"/>
                <w:color w:val="auto"/>
                <w:sz w:val="24"/>
                <w:highlight w:val="none"/>
              </w:rPr>
              <w:t>1</w:t>
            </w:r>
          </w:p>
        </w:tc>
        <w:tc>
          <w:tcPr>
            <w:tcW w:w="2156" w:type="dxa"/>
            <w:vAlign w:val="center"/>
          </w:tcPr>
          <w:p w14:paraId="67B15E5B">
            <w:pPr>
              <w:pStyle w:val="76"/>
              <w:jc w:val="center"/>
              <w:rPr>
                <w:rFonts w:ascii="宋体" w:hAnsi="宋体" w:cs="宋体"/>
                <w:color w:val="auto"/>
                <w:sz w:val="24"/>
                <w:highlight w:val="none"/>
              </w:rPr>
            </w:pPr>
            <w:r>
              <w:rPr>
                <w:rFonts w:hint="eastAsia" w:ascii="宋体" w:hAnsi="宋体" w:cs="宋体"/>
                <w:color w:val="auto"/>
                <w:sz w:val="24"/>
                <w:highlight w:val="none"/>
                <w:lang w:eastAsia="zh-CN"/>
              </w:rPr>
              <w:t>北部湾港铁山湾5#锚地工程前期工作</w:t>
            </w:r>
          </w:p>
        </w:tc>
        <w:tc>
          <w:tcPr>
            <w:tcW w:w="868" w:type="dxa"/>
            <w:vAlign w:val="center"/>
          </w:tcPr>
          <w:p w14:paraId="1A7DC7D7">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801" w:type="dxa"/>
            <w:vAlign w:val="center"/>
          </w:tcPr>
          <w:p w14:paraId="66684378">
            <w:pPr>
              <w:pStyle w:val="76"/>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w:t>
            </w:r>
          </w:p>
        </w:tc>
        <w:tc>
          <w:tcPr>
            <w:tcW w:w="3934" w:type="dxa"/>
            <w:vAlign w:val="center"/>
          </w:tcPr>
          <w:p w14:paraId="48F12D8E">
            <w:pPr>
              <w:pStyle w:val="76"/>
              <w:jc w:val="center"/>
              <w:rPr>
                <w:rFonts w:ascii="宋体" w:hAnsi="宋体" w:cs="宋体"/>
                <w:color w:val="auto"/>
                <w:sz w:val="24"/>
                <w:highlight w:val="none"/>
              </w:rPr>
            </w:pPr>
            <w:r>
              <w:rPr>
                <w:rFonts w:hint="eastAsia" w:ascii="宋体" w:hAnsi="宋体" w:cs="宋体"/>
                <w:color w:val="auto"/>
                <w:sz w:val="24"/>
                <w:highlight w:val="none"/>
                <w:lang w:eastAsia="zh-CN"/>
              </w:rPr>
              <w:t>北部湾港铁山湾5#锚地工程前期工作项目，主要工作内容包括：</w:t>
            </w:r>
            <w:r>
              <w:rPr>
                <w:rFonts w:hint="eastAsia" w:ascii="宋体" w:hAnsi="宋体" w:cs="宋体"/>
                <w:color w:val="auto"/>
                <w:sz w:val="24"/>
                <w:highlight w:val="none"/>
              </w:rPr>
              <w:t>海洋生态环境现状调查与评价</w:t>
            </w:r>
            <w:r>
              <w:rPr>
                <w:rFonts w:hint="eastAsia" w:ascii="宋体" w:hAnsi="宋体" w:cs="宋体"/>
                <w:color w:val="auto"/>
                <w:sz w:val="24"/>
                <w:highlight w:val="none"/>
                <w:lang w:eastAsia="zh-CN"/>
              </w:rPr>
              <w:t>、</w:t>
            </w:r>
            <w:r>
              <w:rPr>
                <w:rFonts w:hint="eastAsia" w:ascii="宋体" w:hAnsi="宋体" w:cs="宋体"/>
                <w:color w:val="auto"/>
                <w:sz w:val="24"/>
                <w:highlight w:val="none"/>
              </w:rPr>
              <w:t>海洋水文动力环境现状调查与评价</w:t>
            </w:r>
            <w:r>
              <w:rPr>
                <w:rFonts w:hint="eastAsia" w:ascii="宋体" w:hAnsi="宋体" w:cs="宋体"/>
                <w:color w:val="auto"/>
                <w:sz w:val="24"/>
                <w:highlight w:val="none"/>
                <w:lang w:eastAsia="zh-CN"/>
              </w:rPr>
              <w:t>、项目建议书编制、工程可行性研究等。</w:t>
            </w:r>
          </w:p>
        </w:tc>
      </w:tr>
    </w:tbl>
    <w:p w14:paraId="78E794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第三章采购需求表。</w:t>
      </w:r>
    </w:p>
    <w:p w14:paraId="7C4928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签订合同之日起180</w:t>
      </w:r>
      <w:r>
        <w:rPr>
          <w:rFonts w:hint="eastAsia" w:ascii="宋体" w:hAnsi="宋体" w:cs="宋体"/>
          <w:color w:val="auto"/>
          <w:sz w:val="24"/>
          <w:highlight w:val="none"/>
          <w:lang w:eastAsia="zh-CN"/>
        </w:rPr>
        <w:t>日历天</w:t>
      </w:r>
      <w:r>
        <w:rPr>
          <w:rFonts w:hint="eastAsia" w:ascii="宋体" w:hAnsi="宋体" w:cs="宋体"/>
          <w:color w:val="auto"/>
          <w:sz w:val="24"/>
          <w:highlight w:val="none"/>
        </w:rPr>
        <w:t>。</w:t>
      </w:r>
    </w:p>
    <w:p w14:paraId="0B788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b/>
          <w:color w:val="auto"/>
          <w:sz w:val="24"/>
          <w:highlight w:val="none"/>
        </w:rPr>
        <w:t>是否</w:t>
      </w:r>
      <w:r>
        <w:rPr>
          <w:rFonts w:hint="eastAsia" w:ascii="宋体" w:hAnsi="宋体" w:cs="宋体"/>
          <w:color w:val="auto"/>
          <w:sz w:val="24"/>
          <w:highlight w:val="none"/>
        </w:rPr>
        <w:t>接受联合体：（勾选）：</w:t>
      </w:r>
      <w:r>
        <w:rPr>
          <w:rFonts w:hint="eastAsia" w:ascii="宋体" w:hAnsi="宋体" w:cs="宋体"/>
          <w:color w:val="auto"/>
          <w:sz w:val="24"/>
          <w:highlight w:val="none"/>
        </w:rPr>
        <w:sym w:font="Wingdings" w:char="00FE"/>
      </w:r>
      <w:r>
        <w:rPr>
          <w:rFonts w:ascii="宋体" w:hAnsi="宋体" w:cs="宋体"/>
          <w:color w:val="auto"/>
          <w:sz w:val="24"/>
          <w:highlight w:val="none"/>
        </w:rPr>
        <w:t xml:space="preserve"> </w:t>
      </w:r>
      <w:r>
        <w:rPr>
          <w:rFonts w:hint="eastAsia" w:ascii="宋体" w:hAnsi="宋体" w:cs="宋体"/>
          <w:color w:val="auto"/>
          <w:sz w:val="24"/>
          <w:highlight w:val="none"/>
        </w:rPr>
        <w:t>是 ；</w:t>
      </w:r>
      <w:r>
        <w:rPr>
          <w:rFonts w:hint="eastAsia" w:ascii="宋体" w:hAnsi="宋体" w:cs="宋体"/>
          <w:color w:val="auto"/>
          <w:sz w:val="24"/>
          <w:highlight w:val="none"/>
        </w:rPr>
        <w:sym w:font="Wingdings" w:char="00A8"/>
      </w:r>
      <w:r>
        <w:rPr>
          <w:rFonts w:hint="eastAsia" w:ascii="宋体" w:hAnsi="宋体" w:cs="宋体"/>
          <w:color w:val="auto"/>
          <w:sz w:val="24"/>
          <w:highlight w:val="none"/>
        </w:rPr>
        <w:t>否</w:t>
      </w:r>
    </w:p>
    <w:p w14:paraId="20EFAEFD">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二、申请人的资格条件：</w:t>
      </w:r>
    </w:p>
    <w:p w14:paraId="2618E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满足《中华人民共和国政府采购法》第二十二条规定；</w:t>
      </w:r>
    </w:p>
    <w:p w14:paraId="56317871">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落实政府采购政策需满足的资格要求：是否</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否）；本项目预留 30% 份额专门面向中小企业。供应商应为以下情形之一，并满足本项目的特定资格要求:</w:t>
      </w:r>
    </w:p>
    <w:p w14:paraId="673FD6C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（1）供应商为中小微企业。</w:t>
      </w:r>
    </w:p>
    <w:p w14:paraId="78E4C88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（2）供应商以联合体形式参加采购活动，且联合体中中小企业承担的部分应达到30%。供应商投标时应提供相应的联合体协议。</w:t>
      </w:r>
    </w:p>
    <w:p w14:paraId="23A5B54A">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组成联合体的中小企业与联合体内其他企业之间不得存在直接控股、管理关系。</w:t>
      </w:r>
    </w:p>
    <w:p w14:paraId="6FA84EF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无</w:t>
      </w:r>
    </w:p>
    <w:p w14:paraId="1422B7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信誉要求：供应商没有处于被责令停业或投标资格被取消或财产被接管、冻结或破产状态；没有处于被交通运输部在全国范围内取消投标资格或禁止进入水运工程建设市场且处于有效期内的行政处罚，没有处于被住房和城乡建设部做出在全国范围内暂停投标活动或责令整改且处于有效期内的行政处罚，没有处于被广西壮族自治区交通运输厅取消投标资格或禁止进入广西水运工程建设市场且处于有效期内的行政处罚，没有处于被广西壮族自治区住房和城乡建设厅作出在广西暂停投标活动或责令整改且处于有效期内的行政处罚；供应商没有处于财产被接管、冻结、破产的状态；投标截止时间前3年内供应商没有因骗取中标、没有因重大工程质量事故受到行政主管部门的处罚或通报。</w:t>
      </w:r>
    </w:p>
    <w:p w14:paraId="3950E5F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7339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.根据财政部《关于在政府采购活动中查询及使用信用记录有关问题的通知》（财库〔2016〕125号）的规定，对在“信用中国”网站(www.creditchina.gov.cn) 、中国政府采购网(www.ccgp.gov.cn)</w:t>
      </w:r>
      <w:r>
        <w:rPr>
          <w:rFonts w:hint="eastAsia" w:ascii="宋体" w:hAnsi="宋体" w:cs="宋体"/>
          <w:color w:val="auto"/>
          <w:sz w:val="24"/>
          <w:highlight w:val="none"/>
          <w:lang w:eastAsia="zh-CN"/>
        </w:rPr>
        <w:t>等渠道</w:t>
      </w:r>
      <w:r>
        <w:rPr>
          <w:rFonts w:hint="eastAsia" w:ascii="宋体" w:hAnsi="宋体" w:cs="宋体"/>
          <w:color w:val="auto"/>
          <w:sz w:val="24"/>
          <w:highlight w:val="none"/>
          <w:lang w:bidi="ar"/>
        </w:rPr>
        <w:t>被列入失信被执行人、</w:t>
      </w:r>
      <w:r>
        <w:rPr>
          <w:rFonts w:hint="eastAsia" w:ascii="宋体" w:hAnsi="宋体" w:cs="宋体"/>
          <w:color w:val="auto"/>
          <w:sz w:val="24"/>
          <w:highlight w:val="none"/>
        </w:rPr>
        <w:t>重大税收违法失信主体</w:t>
      </w:r>
      <w:r>
        <w:rPr>
          <w:rFonts w:hint="eastAsia" w:ascii="宋体" w:hAnsi="宋体" w:cs="宋体"/>
          <w:color w:val="auto"/>
          <w:sz w:val="24"/>
          <w:highlight w:val="none"/>
          <w:lang w:bidi="ar"/>
        </w:rPr>
        <w:t>、政府采购严重违法失信行为记录名单及其他不符合《中华人民共和国政府采购法》第二十二条规定条件的供应商，不得参与政府采购活动。</w:t>
      </w:r>
    </w:p>
    <w:p w14:paraId="5ED51C46">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三、获取竞争性磋商文件</w:t>
      </w:r>
    </w:p>
    <w:p w14:paraId="30AA9BD9">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9 </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15 </w:t>
      </w:r>
      <w:r>
        <w:rPr>
          <w:rFonts w:hint="eastAsia" w:ascii="宋体" w:hAnsi="宋体" w:cs="宋体"/>
          <w:color w:val="auto"/>
          <w:sz w:val="24"/>
          <w:highlight w:val="none"/>
        </w:rPr>
        <w:t>日，每天上午00:00-12:00，下午12:00-23:59（北京时间，法定节假日除外）</w:t>
      </w:r>
      <w:r>
        <w:rPr>
          <w:rFonts w:hint="eastAsia" w:ascii="宋体" w:hAnsi="宋体" w:cs="宋体"/>
          <w:bCs/>
          <w:color w:val="auto"/>
          <w:kern w:val="0"/>
          <w:sz w:val="24"/>
          <w:highlight w:val="none"/>
        </w:rPr>
        <w:t>。</w:t>
      </w:r>
    </w:p>
    <w:p w14:paraId="1C299552">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地点：广西政府采购云平台（https://www.gcy.zfcg.gxzf.gov.cn/）</w:t>
      </w:r>
    </w:p>
    <w:p w14:paraId="02523B31">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HYPERLINK</w:instrText>
      </w:r>
      <w:r>
        <w:rPr>
          <w:color w:val="auto"/>
          <w:highlight w:val="none"/>
        </w:rPr>
        <w:fldChar w:fldCharType="separate"/>
      </w:r>
      <w:r>
        <w:rPr>
          <w:color w:val="auto"/>
          <w:highlight w:val="none"/>
        </w:rPr>
        <w:fldChar w:fldCharType="end"/>
      </w:r>
      <w:r>
        <w:rPr>
          <w:rFonts w:hint="eastAsia" w:ascii="宋体" w:hAnsi="宋体" w:cs="宋体"/>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27B57675">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售价：0元人民币。</w:t>
      </w:r>
    </w:p>
    <w:p w14:paraId="778E2E0F">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四、响应文件提交</w:t>
      </w:r>
    </w:p>
    <w:p w14:paraId="2489F833">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首次响应文件提交截止时间：</w:t>
      </w:r>
      <w:r>
        <w:rPr>
          <w:rFonts w:hint="eastAsia" w:ascii="宋体" w:hAnsi="宋体" w:cs="宋体"/>
          <w:bCs/>
          <w:color w:val="auto"/>
          <w:kern w:val="0"/>
          <w:sz w:val="24"/>
          <w:highlight w:val="none"/>
          <w:lang w:val="en-US" w:eastAsia="zh-CN"/>
        </w:rPr>
        <w:t>2026</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lang w:val="en-US" w:eastAsia="zh-CN"/>
        </w:rPr>
        <w:t>05</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21</w:t>
      </w:r>
      <w:r>
        <w:rPr>
          <w:rFonts w:hint="eastAsia" w:ascii="宋体" w:hAnsi="宋体" w:cs="宋体"/>
          <w:bCs/>
          <w:color w:val="auto"/>
          <w:kern w:val="0"/>
          <w:sz w:val="24"/>
          <w:highlight w:val="none"/>
        </w:rPr>
        <w:t>日</w:t>
      </w:r>
      <w:r>
        <w:rPr>
          <w:rFonts w:hint="eastAsia" w:ascii="宋体" w:hAnsi="宋体" w:cs="宋体"/>
          <w:bCs/>
          <w:color w:val="auto"/>
          <w:kern w:val="0"/>
          <w:sz w:val="24"/>
          <w:highlight w:val="none"/>
          <w:lang w:val="en-US" w:eastAsia="zh-CN"/>
        </w:rPr>
        <w:t>09</w:t>
      </w:r>
      <w:r>
        <w:rPr>
          <w:rFonts w:hint="eastAsia" w:ascii="宋体" w:hAnsi="宋体" w:cs="宋体"/>
          <w:bCs/>
          <w:color w:val="auto"/>
          <w:kern w:val="0"/>
          <w:sz w:val="24"/>
          <w:highlight w:val="none"/>
        </w:rPr>
        <w:t>时</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0分（北京时间）</w:t>
      </w:r>
    </w:p>
    <w:p w14:paraId="5C0395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通过广西政府采购云平台在线提交。</w:t>
      </w:r>
    </w:p>
    <w:p w14:paraId="1078A827">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7FD790A5">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首次响应文件开启时间：</w:t>
      </w:r>
      <w:r>
        <w:rPr>
          <w:rFonts w:hint="eastAsia" w:ascii="宋体" w:hAnsi="宋体" w:cs="宋体"/>
          <w:bCs/>
          <w:color w:val="auto"/>
          <w:kern w:val="0"/>
          <w:sz w:val="24"/>
          <w:highlight w:val="none"/>
          <w:lang w:val="en-US" w:eastAsia="zh-CN"/>
        </w:rPr>
        <w:t>2026</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lang w:val="en-US" w:eastAsia="zh-CN"/>
        </w:rPr>
        <w:t>05</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21</w:t>
      </w:r>
      <w:r>
        <w:rPr>
          <w:rFonts w:hint="eastAsia" w:ascii="宋体" w:hAnsi="宋体" w:cs="宋体"/>
          <w:bCs/>
          <w:color w:val="auto"/>
          <w:kern w:val="0"/>
          <w:sz w:val="24"/>
          <w:highlight w:val="none"/>
        </w:rPr>
        <w:t>日</w:t>
      </w:r>
      <w:r>
        <w:rPr>
          <w:rFonts w:hint="eastAsia" w:ascii="宋体" w:hAnsi="宋体" w:cs="宋体"/>
          <w:bCs/>
          <w:color w:val="auto"/>
          <w:kern w:val="0"/>
          <w:sz w:val="24"/>
          <w:highlight w:val="none"/>
          <w:lang w:val="en-US" w:eastAsia="zh-CN"/>
        </w:rPr>
        <w:t>09</w:t>
      </w:r>
      <w:r>
        <w:rPr>
          <w:rFonts w:hint="eastAsia" w:ascii="宋体" w:hAnsi="宋体" w:cs="宋体"/>
          <w:bCs/>
          <w:color w:val="auto"/>
          <w:kern w:val="0"/>
          <w:sz w:val="24"/>
          <w:highlight w:val="none"/>
        </w:rPr>
        <w:t>时</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0分（北京时间）</w:t>
      </w:r>
    </w:p>
    <w:p w14:paraId="0BD4F7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本项目将在广西政府采购云平台电子开标大厅解密、开启。</w:t>
      </w:r>
    </w:p>
    <w:p w14:paraId="0432BEF4">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六、公告期限</w:t>
      </w:r>
    </w:p>
    <w:p w14:paraId="29D43D7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3D773C4B">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七、</w:t>
      </w:r>
      <w:r>
        <w:rPr>
          <w:rFonts w:hint="eastAsia" w:ascii="宋体" w:hAnsi="宋体" w:cs="宋体"/>
          <w:b/>
          <w:color w:val="auto"/>
          <w:sz w:val="24"/>
          <w:highlight w:val="none"/>
        </w:rPr>
        <w:t>其他补充事宜</w:t>
      </w:r>
      <w:r>
        <w:rPr>
          <w:rFonts w:hint="eastAsia" w:ascii="宋体" w:hAnsi="宋体" w:cs="宋体"/>
          <w:color w:val="auto"/>
          <w:sz w:val="24"/>
          <w:highlight w:val="none"/>
          <w:lang w:bidi="ar"/>
        </w:rPr>
        <w:t>：</w:t>
      </w:r>
    </w:p>
    <w:p w14:paraId="0F675682">
      <w:pPr>
        <w:spacing w:line="360" w:lineRule="auto"/>
        <w:ind w:left="420" w:left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bidi="ar"/>
        </w:rPr>
        <w:t>.网上查询地址：</w:t>
      </w:r>
    </w:p>
    <w:p w14:paraId="0D9988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中国政府采购网（http://www.ccgp.gov.cn）、</w:t>
      </w:r>
      <w:bookmarkStart w:id="10" w:name="OLE_LINK9"/>
      <w:r>
        <w:rPr>
          <w:rFonts w:hint="eastAsia" w:ascii="宋体" w:hAnsi="宋体" w:cs="宋体"/>
          <w:color w:val="auto"/>
          <w:sz w:val="24"/>
          <w:highlight w:val="none"/>
        </w:rPr>
        <w:t>广西壮族自治区政府采购网</w:t>
      </w:r>
      <w:bookmarkEnd w:id="10"/>
      <w:r>
        <w:rPr>
          <w:rFonts w:hint="eastAsia" w:ascii="宋体" w:hAnsi="宋体" w:cs="宋体"/>
          <w:color w:val="auto"/>
          <w:sz w:val="24"/>
          <w:highlight w:val="none"/>
        </w:rPr>
        <w:t>（http://zfcg.gxzf.gov.cn）</w:t>
      </w:r>
    </w:p>
    <w:p w14:paraId="127B27CF">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bidi="ar"/>
        </w:rPr>
        <w:t>.本项目需要落实的政府采购政策：</w:t>
      </w:r>
    </w:p>
    <w:p w14:paraId="19B2DF55">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（1）政府采购促进中小企业发展。</w:t>
      </w:r>
    </w:p>
    <w:p w14:paraId="7E2E7D04">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（2）政府采购支持采用本国产品的政策。</w:t>
      </w:r>
    </w:p>
    <w:p w14:paraId="587F0B0C">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（3）强制采购节能产品；优先采购节能产品、环境标志产品。</w:t>
      </w:r>
    </w:p>
    <w:p w14:paraId="1CD7AA4C">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（4）政府采购促进残疾人就业政策。</w:t>
      </w:r>
    </w:p>
    <w:p w14:paraId="18ACDE68">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（5）政府采购支持监狱企业发展。</w:t>
      </w:r>
    </w:p>
    <w:p w14:paraId="3ADD097C">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（6）扶持不发达地区和少数民族地区政策</w:t>
      </w:r>
    </w:p>
    <w:p w14:paraId="4CC19B62">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.磋商注意事项：</w:t>
      </w:r>
    </w:p>
    <w:p w14:paraId="3A72E76D">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w:t>
      </w:r>
      <w:r>
        <w:rPr>
          <w:rFonts w:hint="eastAsia" w:ascii="宋体" w:hAnsi="宋体" w:cs="宋体"/>
          <w:color w:val="auto"/>
          <w:sz w:val="24"/>
          <w:highlight w:val="none"/>
        </w:rPr>
        <w:t>响应文件</w:t>
      </w:r>
      <w:r>
        <w:rPr>
          <w:rFonts w:hint="eastAsia" w:ascii="宋体" w:hAnsi="宋体" w:cs="宋体"/>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cs="宋体"/>
          <w:color w:val="auto"/>
          <w:sz w:val="24"/>
          <w:highlight w:val="none"/>
        </w:rPr>
        <w:t>首次响应文件提交截止时间</w:t>
      </w:r>
      <w:r>
        <w:rPr>
          <w:rFonts w:hint="eastAsia" w:ascii="宋体" w:hAnsi="宋体" w:cs="宋体"/>
          <w:color w:val="auto"/>
          <w:sz w:val="24"/>
          <w:highlight w:val="none"/>
          <w:lang w:bidi="ar"/>
        </w:rPr>
        <w:t>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65251EDB">
      <w:pPr>
        <w:widowControl/>
        <w:spacing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（2）供应商应及时熟悉掌握电子标系统操作指南（见广西政府采购云平台电子卖场首页右上角—服务中心—帮助文档—项目采购）：</w:t>
      </w:r>
      <w:r>
        <w:rPr>
          <w:rFonts w:ascii="宋体" w:hAnsi="宋体" w:cs="宋体"/>
          <w:color w:val="auto"/>
          <w:sz w:val="24"/>
          <w:highlight w:val="none"/>
          <w:lang w:bidi="ar"/>
        </w:rPr>
        <w:t>https://helpcenter.zcygov.cn/document/#/document/dashboard?siteCode=gx</w:t>
      </w:r>
      <w:r>
        <w:rPr>
          <w:rFonts w:hint="eastAsia" w:ascii="宋体" w:hAnsi="宋体" w:cs="宋体"/>
          <w:color w:val="auto"/>
          <w:sz w:val="24"/>
          <w:highlight w:val="none"/>
          <w:lang w:bidi="ar"/>
        </w:rPr>
        <w:t>；及时完成CA申领和绑定（见广西壮族自治区政府采购网—办事服务—下载专区-广西政府采购云平台CA证书办理操作指南）。</w:t>
      </w:r>
      <w:r>
        <w:rPr>
          <w:rFonts w:hint="eastAsia" w:ascii="宋体" w:hAnsi="宋体" w:cs="宋体"/>
          <w:color w:val="auto"/>
          <w:sz w:val="24"/>
          <w:highlight w:val="none"/>
          <w:lang w:val="en-US" w:eastAsia="zh-CN" w:bidi="ar"/>
        </w:rPr>
        <w:t xml:space="preserve">                                                           </w:t>
      </w:r>
    </w:p>
    <w:p w14:paraId="5C1DA4BA">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（3）未进行网上注册并办理数字证书（CA认证）的供应商将无法参与本项目政府采购活动，潜在供应商应当在</w:t>
      </w:r>
      <w:r>
        <w:rPr>
          <w:rFonts w:hint="eastAsia" w:ascii="宋体" w:hAnsi="宋体" w:cs="宋体"/>
          <w:color w:val="auto"/>
          <w:sz w:val="24"/>
          <w:highlight w:val="none"/>
        </w:rPr>
        <w:t>首次响应文件提交截止时间</w:t>
      </w:r>
      <w:r>
        <w:rPr>
          <w:rFonts w:hint="eastAsia" w:ascii="宋体" w:hAnsi="宋体" w:cs="宋体"/>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7845665B">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1974BBC1">
      <w:pPr>
        <w:spacing w:line="360" w:lineRule="auto"/>
        <w:ind w:firstLine="482" w:firstLineChars="200"/>
        <w:rPr>
          <w:rFonts w:ascii="楷体" w:hAnsi="楷体" w:eastAsia="楷体" w:cs="宋体"/>
          <w:b/>
          <w:bCs/>
          <w:color w:val="auto"/>
          <w:sz w:val="24"/>
          <w:highlight w:val="none"/>
        </w:rPr>
      </w:pPr>
      <w:r>
        <w:rPr>
          <w:rFonts w:hint="eastAsia" w:ascii="楷体" w:hAnsi="楷体" w:eastAsia="楷体" w:cs="宋体"/>
          <w:b/>
          <w:bCs/>
          <w:color w:val="auto"/>
          <w:sz w:val="24"/>
          <w:highlight w:val="none"/>
          <w:lang w:bidi="ar"/>
        </w:rPr>
        <w:t>注：供应商应当在首次响应文件提交截止时间前完成电子响应文件的上传、提交，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前可以补充、修改或者撤回响应文件。补充或者修改响应文件的，应当先行撤回原文件，补充、修改后重新上传、提交。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前未完成上传、提交的，视为撤回响应文件。</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以后上传递交的响应文件，广西政府采购云平台将予以拒收。</w:t>
      </w:r>
    </w:p>
    <w:p w14:paraId="2E5396FB">
      <w:pPr>
        <w:widowControl/>
        <w:spacing w:line="360" w:lineRule="auto"/>
        <w:ind w:firstLine="480" w:firstLineChars="200"/>
        <w:rPr>
          <w:rFonts w:ascii="宋体" w:hAnsi="宋体" w:cs="宋体"/>
          <w:b/>
          <w:bCs/>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w:t>
      </w:r>
      <w:r>
        <w:rPr>
          <w:rFonts w:hint="eastAsia" w:ascii="宋体" w:hAnsi="宋体" w:cs="宋体"/>
          <w:color w:val="auto"/>
          <w:sz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57D3FA0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.供应商需要在具备有摄像头及语音功能且互联网网络状况良好的电脑登录广西政府采购云平台远程开标大厅参与本次磋商，否则后果自负。</w:t>
      </w:r>
    </w:p>
    <w:p w14:paraId="7A2C502F">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auto"/>
          <w:sz w:val="24"/>
          <w:highlight w:val="none"/>
          <w:lang w:bidi="ar"/>
        </w:rPr>
        <w:t>95763</w:t>
      </w:r>
      <w:r>
        <w:rPr>
          <w:rFonts w:hint="eastAsia" w:ascii="宋体" w:hAnsi="宋体" w:cs="宋体"/>
          <w:color w:val="auto"/>
          <w:sz w:val="24"/>
          <w:highlight w:val="none"/>
          <w:lang w:bidi="ar"/>
        </w:rPr>
        <w:t>获取热线服务帮助。</w:t>
      </w:r>
    </w:p>
    <w:p w14:paraId="2DEBF9AA">
      <w:pPr>
        <w:widowControl/>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7.采购意向公开公告链接：</w:t>
      </w:r>
    </w:p>
    <w:p w14:paraId="77481096">
      <w:pPr>
        <w:widowControl/>
        <w:spacing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cs="宋体"/>
          <w:color w:val="auto"/>
          <w:sz w:val="24"/>
          <w:highlight w:val="none"/>
          <w:lang w:val="en-US" w:eastAsia="zh-CN" w:bidi="ar"/>
        </w:rPr>
        <w:t>http://www.ccgp-guangxi.gov.cn/site/detail?parentId=66485&amp;articleId=00i1h9BDKAF2g2nPQUPeyw==&amp;utm=web-micro-app-back-front.1fff263e.cPlanInfo.3.12dae4604b5311f1927037b5c2e183d2</w:t>
      </w:r>
    </w:p>
    <w:bookmarkEnd w:id="4"/>
    <w:p w14:paraId="110D1343">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5"/>
      <w:bookmarkEnd w:id="6"/>
      <w:bookmarkEnd w:id="7"/>
      <w:bookmarkEnd w:id="8"/>
      <w:bookmarkEnd w:id="9"/>
    </w:p>
    <w:p w14:paraId="3DA8B24E">
      <w:pPr>
        <w:spacing w:line="360" w:lineRule="auto"/>
        <w:ind w:firstLine="648" w:firstLineChars="270"/>
        <w:jc w:val="left"/>
        <w:rPr>
          <w:rFonts w:ascii="宋体" w:hAnsi="宋体" w:cs="宋体"/>
          <w:color w:val="auto"/>
          <w:sz w:val="24"/>
          <w:highlight w:val="none"/>
        </w:rPr>
      </w:pPr>
      <w:bookmarkStart w:id="11" w:name="_Toc28359096"/>
      <w:bookmarkStart w:id="12" w:name="_Toc28359019"/>
      <w:bookmarkStart w:id="13" w:name="_Toc35393806"/>
      <w:bookmarkStart w:id="14" w:name="_Toc35393637"/>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采购人信息</w:t>
      </w:r>
    </w:p>
    <w:p w14:paraId="0BCD2053">
      <w:pPr>
        <w:spacing w:line="360" w:lineRule="auto"/>
        <w:ind w:firstLine="648" w:firstLineChars="27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广西壮族自治区水运发展中心</w:t>
      </w:r>
    </w:p>
    <w:p w14:paraId="575DB64A">
      <w:pPr>
        <w:spacing w:line="360" w:lineRule="auto"/>
        <w:ind w:firstLine="648" w:firstLineChars="270"/>
        <w:jc w:val="left"/>
        <w:rPr>
          <w:rFonts w:ascii="宋体" w:hAnsi="宋体" w:cs="宋体"/>
          <w:color w:val="auto"/>
          <w:sz w:val="24"/>
          <w:highlight w:val="none"/>
        </w:rPr>
      </w:pPr>
      <w:bookmarkStart w:id="15" w:name="_Toc28359009"/>
      <w:bookmarkStart w:id="16" w:name="_Toc28359086"/>
      <w:r>
        <w:rPr>
          <w:rFonts w:hint="eastAsia" w:ascii="宋体" w:hAnsi="宋体" w:cs="宋体"/>
          <w:color w:val="auto"/>
          <w:sz w:val="24"/>
          <w:highlight w:val="none"/>
        </w:rPr>
        <w:t>地址：广西壮族自治区南宁市青秀区百花岭路6号</w:t>
      </w:r>
    </w:p>
    <w:p w14:paraId="4127202E">
      <w:pPr>
        <w:spacing w:line="360" w:lineRule="auto"/>
        <w:ind w:firstLine="648" w:firstLineChars="27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苏工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val="en-US" w:eastAsia="zh-CN"/>
        </w:rPr>
        <w:t>0771-2841511</w:t>
      </w:r>
    </w:p>
    <w:p w14:paraId="150A62C0">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采购代理机构信息</w:t>
      </w:r>
      <w:bookmarkEnd w:id="15"/>
      <w:bookmarkEnd w:id="16"/>
    </w:p>
    <w:p w14:paraId="4A7B11A7">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名 称：中昕国际项目管理有限公司</w:t>
      </w:r>
    </w:p>
    <w:p w14:paraId="6E610C75">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地　址：南宁市青秀区佛子岭路18号德利东盟文化广场B2栋11层1103号</w:t>
      </w:r>
    </w:p>
    <w:p w14:paraId="1C27C7B6">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联系方式：</w:t>
      </w:r>
      <w:bookmarkStart w:id="17" w:name="_Toc28359010"/>
      <w:bookmarkStart w:id="18" w:name="_Toc28359087"/>
      <w:r>
        <w:rPr>
          <w:rFonts w:hint="eastAsia" w:ascii="宋体" w:hAnsi="宋体" w:cs="宋体"/>
          <w:color w:val="auto"/>
          <w:sz w:val="24"/>
          <w:highlight w:val="none"/>
          <w:lang w:val="en-US" w:eastAsia="zh-CN"/>
        </w:rPr>
        <w:t xml:space="preserve">余晖  </w:t>
      </w: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0771-5670450</w:t>
      </w:r>
    </w:p>
    <w:p w14:paraId="3D25577A">
      <w:pPr>
        <w:spacing w:line="360" w:lineRule="auto"/>
        <w:ind w:firstLine="648" w:firstLineChars="270"/>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项目联系方式</w:t>
      </w:r>
      <w:bookmarkEnd w:id="17"/>
      <w:bookmarkEnd w:id="18"/>
    </w:p>
    <w:p w14:paraId="5C99AC4D">
      <w:pPr>
        <w:spacing w:line="360" w:lineRule="auto"/>
        <w:ind w:firstLine="648" w:firstLineChars="270"/>
        <w:jc w:val="left"/>
        <w:rPr>
          <w:rFonts w:ascii="宋体" w:hAnsi="宋体" w:cs="宋体"/>
          <w:color w:val="auto"/>
          <w:sz w:val="24"/>
          <w:highlight w:val="none"/>
        </w:rPr>
      </w:pPr>
      <w:r>
        <w:rPr>
          <w:rFonts w:hint="eastAsia" w:hAnsi="宋体" w:cs="宋体"/>
          <w:color w:val="auto"/>
          <w:sz w:val="24"/>
          <w:highlight w:val="none"/>
        </w:rPr>
        <w:t>项目联系人：</w:t>
      </w:r>
      <w:r>
        <w:rPr>
          <w:rFonts w:hint="eastAsia" w:hAnsi="宋体" w:cs="宋体"/>
          <w:color w:val="auto"/>
          <w:sz w:val="24"/>
          <w:highlight w:val="none"/>
          <w:lang w:val="en-US" w:eastAsia="zh-CN"/>
        </w:rPr>
        <w:t>余晖</w:t>
      </w:r>
      <w:r>
        <w:rPr>
          <w:rFonts w:hint="eastAsia" w:hAnsi="宋体" w:cs="宋体"/>
          <w:color w:val="auto"/>
          <w:sz w:val="24"/>
          <w:highlight w:val="none"/>
        </w:rPr>
        <w:t xml:space="preserve">  电</w:t>
      </w:r>
      <w:r>
        <w:rPr>
          <w:rFonts w:hint="eastAsia" w:ascii="宋体" w:hAnsi="宋体" w:cs="宋体"/>
          <w:color w:val="auto"/>
          <w:sz w:val="24"/>
          <w:highlight w:val="none"/>
        </w:rPr>
        <w:t>　话：</w:t>
      </w:r>
      <w:r>
        <w:rPr>
          <w:rFonts w:hint="eastAsia" w:ascii="宋体" w:hAnsi="宋体" w:cs="宋体"/>
          <w:color w:val="auto"/>
          <w:sz w:val="24"/>
          <w:highlight w:val="none"/>
          <w:lang w:val="en-US" w:eastAsia="zh-CN"/>
        </w:rPr>
        <w:t>0771-5670450</w:t>
      </w:r>
    </w:p>
    <w:p w14:paraId="0E73DCAB">
      <w:pPr>
        <w:spacing w:line="360" w:lineRule="auto"/>
        <w:ind w:firstLine="648" w:firstLineChars="270"/>
        <w:jc w:val="left"/>
        <w:rPr>
          <w:rFonts w:ascii="宋体" w:hAnsi="宋体" w:cs="宋体"/>
          <w:color w:val="auto"/>
          <w:sz w:val="24"/>
          <w:highlight w:val="none"/>
        </w:rPr>
      </w:pPr>
    </w:p>
    <w:bookmarkEnd w:id="3"/>
    <w:bookmarkEnd w:id="11"/>
    <w:bookmarkEnd w:id="12"/>
    <w:bookmarkEnd w:id="13"/>
    <w:bookmarkEnd w:id="14"/>
    <w:p w14:paraId="2FAE77C8">
      <w:pPr>
        <w:spacing w:line="360" w:lineRule="auto"/>
        <w:ind w:firstLine="648" w:firstLineChars="270"/>
        <w:jc w:val="right"/>
        <w:rPr>
          <w:rFonts w:ascii="宋体" w:hAnsi="宋体" w:cs="宋体"/>
          <w:color w:val="auto"/>
          <w:sz w:val="24"/>
          <w:highlight w:val="none"/>
        </w:rPr>
      </w:pPr>
      <w:bookmarkStart w:id="19" w:name="_Toc74323457"/>
    </w:p>
    <w:p w14:paraId="5335F225">
      <w:pPr>
        <w:pStyle w:val="2"/>
        <w:jc w:val="center"/>
        <w:rPr>
          <w:rFonts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color w:val="auto"/>
          <w:highlight w:val="none"/>
        </w:rPr>
        <w:t>第二章 供应商须知</w:t>
      </w:r>
      <w:bookmarkEnd w:id="19"/>
    </w:p>
    <w:p w14:paraId="57976203">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6597EE7F">
      <w:pPr>
        <w:spacing w:line="400" w:lineRule="exact"/>
        <w:jc w:val="center"/>
        <w:rPr>
          <w:rFonts w:ascii="宋体" w:hAnsi="宋体" w:cs="宋体"/>
          <w:b/>
          <w:color w:val="auto"/>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9D4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A55D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627" w:type="dxa"/>
          </w:tcPr>
          <w:p w14:paraId="32F05AB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341F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691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627" w:type="dxa"/>
            <w:vAlign w:val="center"/>
          </w:tcPr>
          <w:p w14:paraId="6CAFECE4">
            <w:pPr>
              <w:spacing w:line="360" w:lineRule="auto"/>
              <w:rPr>
                <w:rFonts w:ascii="宋体" w:hAnsi="宋体" w:cs="宋体"/>
                <w:color w:val="auto"/>
                <w:sz w:val="24"/>
                <w:highlight w:val="none"/>
              </w:rPr>
            </w:pPr>
            <w:r>
              <w:rPr>
                <w:rFonts w:hint="eastAsia" w:ascii="宋体" w:hAnsi="宋体" w:cs="宋体"/>
                <w:bCs/>
                <w:color w:val="auto"/>
                <w:sz w:val="24"/>
                <w:highlight w:val="none"/>
              </w:rPr>
              <w:t>供应商的资格条件</w:t>
            </w:r>
            <w:r>
              <w:rPr>
                <w:rFonts w:hint="eastAsia" w:ascii="宋体" w:hAnsi="宋体" w:cs="宋体"/>
                <w:color w:val="auto"/>
                <w:sz w:val="24"/>
                <w:highlight w:val="none"/>
              </w:rPr>
              <w:t>：详见竞争性磋商公告</w:t>
            </w:r>
          </w:p>
        </w:tc>
      </w:tr>
      <w:tr w14:paraId="2E6B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DBAA1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8627" w:type="dxa"/>
            <w:vAlign w:val="center"/>
          </w:tcPr>
          <w:p w14:paraId="2319C373">
            <w:pPr>
              <w:spacing w:line="360" w:lineRule="auto"/>
              <w:rPr>
                <w:rFonts w:ascii="宋体" w:hAnsi="宋体" w:cs="宋体"/>
                <w:color w:val="auto"/>
                <w:sz w:val="24"/>
                <w:highlight w:val="none"/>
              </w:rPr>
            </w:pPr>
            <w:r>
              <w:rPr>
                <w:rFonts w:hint="eastAsia" w:ascii="宋体" w:hAnsi="宋体" w:cs="宋体"/>
                <w:color w:val="auto"/>
                <w:sz w:val="24"/>
                <w:highlight w:val="none"/>
              </w:rPr>
              <w:t>是否接受联合体参加竞争性磋商：详见竞争性磋商公告</w:t>
            </w:r>
          </w:p>
        </w:tc>
      </w:tr>
      <w:tr w14:paraId="74BC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431A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8627" w:type="dxa"/>
            <w:vAlign w:val="center"/>
          </w:tcPr>
          <w:p w14:paraId="3E43B7C8">
            <w:pPr>
              <w:spacing w:line="360" w:lineRule="auto"/>
              <w:rPr>
                <w:rFonts w:ascii="宋体" w:hAnsi="宋体" w:cs="宋体"/>
                <w:color w:val="auto"/>
                <w:sz w:val="24"/>
                <w:highlight w:val="none"/>
              </w:rPr>
            </w:pPr>
            <w:r>
              <w:rPr>
                <w:rFonts w:hint="eastAsia" w:ascii="宋体" w:hAnsi="宋体" w:cs="宋体"/>
                <w:color w:val="auto"/>
                <w:sz w:val="24"/>
                <w:highlight w:val="none"/>
              </w:rPr>
              <w:t>如接受联合体参加竞争性磋商，要求如下：</w:t>
            </w:r>
          </w:p>
          <w:p w14:paraId="629ABB6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1.两个以上供应商可以组成一个竞争性磋商联合体，以一个供应商的身份共同参加竞争性磋商，联合体供应商的名称应统一按“XXX 公司与 XXX 公司的联合体”的规则填写。</w:t>
            </w:r>
            <w:r>
              <w:rPr>
                <w:rFonts w:hint="eastAsia" w:ascii="宋体" w:hAnsi="宋体" w:cs="宋体"/>
                <w:color w:val="auto"/>
                <w:sz w:val="24"/>
                <w:highlight w:val="none"/>
              </w:rPr>
              <w:tab/>
            </w:r>
          </w:p>
          <w:p w14:paraId="4F2DB528">
            <w:pPr>
              <w:autoSpaceDE w:val="0"/>
              <w:autoSpaceDN w:val="0"/>
              <w:snapToGrid w:val="0"/>
              <w:spacing w:line="360" w:lineRule="auto"/>
              <w:textAlignment w:val="bottom"/>
              <w:rPr>
                <w:rFonts w:hint="eastAsia" w:ascii="宋体" w:hAnsi="宋体" w:cs="宋体"/>
                <w:color w:val="auto"/>
                <w:sz w:val="24"/>
                <w:highlight w:val="none"/>
                <w:lang w:eastAsia="zh-CN"/>
              </w:rPr>
            </w:pPr>
            <w:r>
              <w:rPr>
                <w:rFonts w:hint="eastAsia" w:ascii="宋体" w:hAnsi="宋体" w:cs="宋体"/>
                <w:color w:val="auto"/>
                <w:sz w:val="24"/>
                <w:highlight w:val="none"/>
              </w:rPr>
              <w:t>2.以联合体形式参加竞争性磋商的，联合体各方均必须具备《中华人民共和国政府采购法》第二十二条第一款规定的基本条件（涉及行政许可范围的内容，联合体各方均应具备相应资质）</w:t>
            </w:r>
            <w:r>
              <w:rPr>
                <w:rFonts w:hint="eastAsia" w:ascii="宋体" w:hAnsi="宋体" w:cs="宋体"/>
                <w:color w:val="auto"/>
                <w:sz w:val="24"/>
                <w:highlight w:val="none"/>
                <w:lang w:eastAsia="zh-CN"/>
              </w:rPr>
              <w:t>。</w:t>
            </w:r>
          </w:p>
          <w:p w14:paraId="26E57175">
            <w:pPr>
              <w:autoSpaceDE w:val="0"/>
              <w:autoSpaceDN w:val="0"/>
              <w:snapToGrid w:val="0"/>
              <w:spacing w:line="360" w:lineRule="auto"/>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供应商以联合体形式参加采购活动，联合体中中小企业承担的部分</w:t>
            </w:r>
            <w:r>
              <w:rPr>
                <w:rFonts w:hint="eastAsia" w:ascii="宋体" w:hAnsi="宋体" w:cs="宋体"/>
                <w:color w:val="auto"/>
                <w:sz w:val="24"/>
                <w:highlight w:val="none"/>
                <w:lang w:eastAsia="zh-CN"/>
              </w:rPr>
              <w:t>应</w:t>
            </w:r>
            <w:r>
              <w:rPr>
                <w:rFonts w:hint="eastAsia" w:ascii="宋体" w:hAnsi="宋体" w:cs="宋体"/>
                <w:color w:val="auto"/>
                <w:sz w:val="24"/>
                <w:highlight w:val="none"/>
              </w:rPr>
              <w:t>达到</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w:t>
            </w:r>
          </w:p>
          <w:p w14:paraId="2A73CA1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组成联合体的中小企业与联合体内其他企业之间不得存在直接控股、管理关系。</w:t>
            </w:r>
          </w:p>
          <w:p w14:paraId="4434CC3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1B8C1D9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.联合体中有同类资质的供应商按照联合体分工承担相同工作的，应当按照资质等级较低的供应商确定资质等级。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3552F0C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.联合体参加竞争性磋商的业绩、履约能力按照联合体各方其中较高的一方认定并计算（竞争性磋商文件另有规定的除外）。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782F390A">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.联合体各方均应按照竞争性磋商文件的规定提交资格证明文件。</w:t>
            </w:r>
          </w:p>
        </w:tc>
      </w:tr>
      <w:tr w14:paraId="2880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53A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627" w:type="dxa"/>
            <w:vAlign w:val="center"/>
          </w:tcPr>
          <w:p w14:paraId="1022A66E">
            <w:pPr>
              <w:pStyle w:val="11"/>
              <w:spacing w:line="360" w:lineRule="auto"/>
              <w:rPr>
                <w:rFonts w:ascii="宋体" w:hAnsi="宋体" w:cs="宋体"/>
                <w:b/>
                <w:color w:val="auto"/>
                <w:sz w:val="24"/>
                <w:highlight w:val="none"/>
              </w:rPr>
            </w:pPr>
            <w:r>
              <w:rPr>
                <w:rFonts w:ascii="宋体" w:hAnsi="宋体" w:cs="宋体"/>
                <w:b/>
                <w:color w:val="auto"/>
                <w:sz w:val="24"/>
                <w:highlight w:val="none"/>
              </w:rPr>
              <w:sym w:font="Wingdings" w:char="00A8"/>
            </w:r>
            <w:r>
              <w:rPr>
                <w:rFonts w:hint="eastAsia" w:ascii="宋体" w:hAnsi="宋体" w:cs="宋体"/>
                <w:b/>
                <w:color w:val="auto"/>
                <w:sz w:val="24"/>
                <w:highlight w:val="none"/>
              </w:rPr>
              <w:t>本项目不允许分包。</w:t>
            </w:r>
          </w:p>
          <w:p w14:paraId="1C57793E">
            <w:pPr>
              <w:pStyle w:val="11"/>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本项目允许分包：</w:t>
            </w:r>
          </w:p>
          <w:p w14:paraId="62D30A9A">
            <w:pPr>
              <w:pStyle w:val="11"/>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海洋生态环境现状调查</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海洋水文动力环境现状调查</w:t>
            </w:r>
            <w:r>
              <w:rPr>
                <w:rFonts w:hint="eastAsia" w:ascii="宋体" w:hAnsi="宋体" w:cs="宋体"/>
                <w:color w:val="auto"/>
                <w:sz w:val="24"/>
                <w:highlight w:val="none"/>
                <w:u w:val="single"/>
                <w:lang w:eastAsia="zh-CN"/>
              </w:rPr>
              <w:t>等内容。</w:t>
            </w:r>
          </w:p>
          <w:p w14:paraId="554A8FEF">
            <w:pPr>
              <w:pStyle w:val="11"/>
              <w:spacing w:line="360" w:lineRule="auto"/>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tc>
      </w:tr>
      <w:tr w14:paraId="272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0AAA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12.1.1</w:t>
            </w:r>
          </w:p>
        </w:tc>
        <w:tc>
          <w:tcPr>
            <w:tcW w:w="8627" w:type="dxa"/>
            <w:vAlign w:val="center"/>
          </w:tcPr>
          <w:p w14:paraId="363AB2EF">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04EF3F8A">
            <w:pPr>
              <w:pStyle w:val="11"/>
              <w:spacing w:line="360" w:lineRule="auto"/>
              <w:rPr>
                <w:rFonts w:ascii="宋体" w:hAnsi="宋体" w:cs="宋体"/>
                <w:color w:val="auto"/>
                <w:sz w:val="24"/>
                <w:highlight w:val="none"/>
              </w:rPr>
            </w:pPr>
            <w:r>
              <w:rPr>
                <w:rFonts w:hint="eastAsia" w:ascii="宋体" w:hAnsi="宋体" w:cs="宋体"/>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96533E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2.供应商依法缴纳税收的相关材料（截至</w:t>
            </w:r>
            <w:r>
              <w:rPr>
                <w:rFonts w:hint="eastAsia" w:ascii="宋体" w:hAnsi="宋体" w:cs="宋体"/>
                <w:color w:val="auto"/>
                <w:sz w:val="24"/>
                <w:highlight w:val="none"/>
                <w:u w:val="single"/>
              </w:rPr>
              <w:t>首次响应文件提交截止之日半年内连续三个月</w:t>
            </w:r>
            <w:r>
              <w:rPr>
                <w:rFonts w:hint="eastAsia" w:ascii="宋体" w:hAnsi="宋体" w:cs="宋体"/>
                <w:color w:val="auto"/>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A84E32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ascii="宋体" w:hAnsi="宋体" w:cs="宋体"/>
                <w:color w:val="auto"/>
                <w:sz w:val="24"/>
                <w:highlight w:val="none"/>
              </w:rPr>
              <w:t>[</w:t>
            </w:r>
            <w:r>
              <w:rPr>
                <w:rFonts w:hint="eastAsia" w:ascii="宋体" w:hAnsi="宋体" w:cs="宋体"/>
                <w:color w:val="auto"/>
                <w:sz w:val="24"/>
                <w:highlight w:val="none"/>
              </w:rPr>
              <w:t>截至</w:t>
            </w:r>
            <w:r>
              <w:rPr>
                <w:rFonts w:hint="eastAsia" w:ascii="宋体" w:hAnsi="宋体" w:cs="宋体"/>
                <w:color w:val="auto"/>
                <w:sz w:val="24"/>
                <w:highlight w:val="none"/>
                <w:u w:val="single"/>
              </w:rPr>
              <w:t>首次响应文件提交截止之日半年内连续三个月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70C59BE">
            <w:pPr>
              <w:spacing w:line="360" w:lineRule="auto"/>
              <w:contextualSpacing/>
              <w:jc w:val="left"/>
              <w:rPr>
                <w:rFonts w:ascii="宋体" w:hAnsi="宋体" w:cs="宋体"/>
                <w:b/>
                <w:color w:val="auto"/>
                <w:sz w:val="24"/>
                <w:highlight w:val="none"/>
              </w:rPr>
            </w:pPr>
            <w:r>
              <w:rPr>
                <w:rFonts w:hint="eastAsia" w:ascii="宋体" w:hAnsi="宋体" w:cs="宋体"/>
                <w:color w:val="auto"/>
                <w:sz w:val="24"/>
                <w:highlight w:val="none"/>
              </w:rPr>
              <w:t>4.供应商财务状况报告（提供</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eastAsia="zh-CN"/>
              </w:rPr>
              <w:t>或</w:t>
            </w:r>
            <w:r>
              <w:rPr>
                <w:rFonts w:hint="eastAsia" w:ascii="宋体" w:hAnsi="宋体" w:cs="宋体"/>
                <w:color w:val="auto"/>
                <w:sz w:val="24"/>
                <w:highlight w:val="none"/>
                <w:lang w:val="en-US" w:eastAsia="zh-CN"/>
              </w:rPr>
              <w:t>2025年</w:t>
            </w:r>
            <w:r>
              <w:rPr>
                <w:rFonts w:hint="eastAsia" w:ascii="宋体" w:hAnsi="宋体" w:cs="宋体"/>
                <w:color w:val="auto"/>
                <w:sz w:val="24"/>
                <w:highlight w:val="none"/>
              </w:rPr>
              <w:t>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宋体" w:hAnsi="宋体" w:cs="宋体"/>
                <w:bCs/>
                <w:color w:val="auto"/>
                <w:sz w:val="24"/>
                <w:highlight w:val="none"/>
              </w:rPr>
              <w:t>（</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7FDB956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6007AC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6.参与竞争性磋商声明（格式后附）；（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B72C14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7.联合体参与竞争性磋商协议书（格式后附）；（</w:t>
            </w:r>
            <w:r>
              <w:rPr>
                <w:rFonts w:hint="eastAsia" w:ascii="宋体" w:hAnsi="宋体" w:cs="宋体"/>
                <w:b/>
                <w:color w:val="auto"/>
                <w:sz w:val="24"/>
                <w:highlight w:val="none"/>
              </w:rPr>
              <w:t>联合体</w:t>
            </w:r>
            <w:r>
              <w:rPr>
                <w:rFonts w:hint="eastAsia" w:ascii="宋体" w:hAnsi="宋体" w:cs="宋体"/>
                <w:color w:val="auto"/>
                <w:sz w:val="24"/>
                <w:highlight w:val="none"/>
              </w:rPr>
              <w:t>参与竞争性磋商</w:t>
            </w:r>
            <w:r>
              <w:rPr>
                <w:rFonts w:hint="eastAsia" w:ascii="宋体" w:hAnsi="宋体" w:cs="宋体"/>
                <w:b/>
                <w:color w:val="auto"/>
                <w:sz w:val="24"/>
                <w:highlight w:val="none"/>
              </w:rPr>
              <w:t>时必须提供，否则响应文件按无效响应处理</w:t>
            </w:r>
            <w:r>
              <w:rPr>
                <w:rFonts w:hint="eastAsia" w:ascii="宋体" w:hAnsi="宋体" w:cs="宋体"/>
                <w:color w:val="auto"/>
                <w:sz w:val="24"/>
                <w:highlight w:val="none"/>
              </w:rPr>
              <w:t>）</w:t>
            </w:r>
          </w:p>
          <w:p w14:paraId="7C6E190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8.竞争性磋商公告对应的特定资格要求的资格证明材料；</w:t>
            </w:r>
            <w:r>
              <w:rPr>
                <w:rFonts w:hint="eastAsia" w:ascii="宋体" w:hAnsi="宋体" w:cs="宋体"/>
                <w:b/>
                <w:bCs/>
                <w:color w:val="auto"/>
                <w:sz w:val="24"/>
                <w:highlight w:val="none"/>
              </w:rPr>
              <w:t>（公告如有则必须提供</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26C35081">
            <w:pPr>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rPr>
              <w:t>9.除磋商文件规定必须提供以外，供应商认为需要提供的其他证明材料；</w:t>
            </w:r>
          </w:p>
          <w:p w14:paraId="091A0A7D">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b/>
                <w:color w:val="auto"/>
                <w:sz w:val="24"/>
                <w:highlight w:val="none"/>
              </w:rPr>
              <w:t>1.</w:t>
            </w:r>
            <w:r>
              <w:rPr>
                <w:rFonts w:hint="eastAsia" w:ascii="楷体" w:hAnsi="楷体" w:eastAsia="楷体" w:cs="宋体"/>
                <w:b/>
                <w:color w:val="auto"/>
                <w:sz w:val="24"/>
                <w:highlight w:val="none"/>
              </w:rPr>
              <w:t>以上标明“必须提供”的材料属于复印件的，必须加盖供应商公章，否则响应文件按无效响应处理。</w:t>
            </w:r>
          </w:p>
          <w:p w14:paraId="471104BF">
            <w:pPr>
              <w:snapToGrid w:val="0"/>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参与竞争性磋商声明必须由法定代表人在规定签章处签字并加盖供应商公章，否则响应文件按无效响应处理。</w:t>
            </w:r>
          </w:p>
          <w:p w14:paraId="72EFFB16">
            <w:pPr>
              <w:snapToGrid w:val="0"/>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供应商直接控股、管理关系信息表必须由法定代表人或者委托代理人在规定签章处签字并加盖供应商公章，否则响应文件按无效响应处理。</w:t>
            </w:r>
          </w:p>
          <w:p w14:paraId="7B8063D0">
            <w:pPr>
              <w:pStyle w:val="11"/>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联合体参加竞争性磋商时，第</w:t>
            </w:r>
            <w:r>
              <w:rPr>
                <w:rFonts w:ascii="楷体" w:hAnsi="楷体" w:eastAsia="楷体" w:cs="宋体"/>
                <w:b/>
                <w:color w:val="auto"/>
                <w:sz w:val="24"/>
                <w:highlight w:val="none"/>
              </w:rPr>
              <w:t>1-5项和第8项资格证明文件联合体各方均必须分别提供，联合体各方分别盖章，否则响应文件按无效响应处理。</w:t>
            </w:r>
          </w:p>
          <w:p w14:paraId="07822744">
            <w:pPr>
              <w:pStyle w:val="11"/>
              <w:spacing w:line="360" w:lineRule="auto"/>
              <w:rPr>
                <w:rFonts w:ascii="宋体" w:hAnsi="宋体" w:cs="宋体"/>
                <w:b/>
                <w:color w:val="auto"/>
                <w:sz w:val="24"/>
                <w:highlight w:val="none"/>
              </w:rPr>
            </w:pPr>
            <w:r>
              <w:rPr>
                <w:rFonts w:ascii="楷体" w:hAnsi="楷体" w:eastAsia="楷体" w:cs="宋体"/>
                <w:b/>
                <w:color w:val="auto"/>
                <w:sz w:val="24"/>
                <w:highlight w:val="none"/>
              </w:rPr>
              <w:t>5.</w:t>
            </w:r>
            <w:r>
              <w:rPr>
                <w:rFonts w:hint="eastAsia" w:ascii="楷体" w:hAnsi="楷体" w:eastAsia="楷体" w:cs="宋体"/>
                <w:b/>
                <w:color w:val="auto"/>
                <w:sz w:val="24"/>
                <w:highlight w:val="none"/>
              </w:rPr>
              <w:t>分公司参加竞争性磋商</w:t>
            </w:r>
            <w:r>
              <w:rPr>
                <w:rFonts w:hint="eastAsia" w:ascii="楷体" w:hAnsi="楷体" w:eastAsia="楷体" w:cs="宋体"/>
                <w:b/>
                <w:bCs/>
                <w:color w:val="auto"/>
                <w:sz w:val="24"/>
                <w:highlight w:val="none"/>
              </w:rPr>
              <w:t>的，应当取得总公司授权</w:t>
            </w:r>
            <w:r>
              <w:rPr>
                <w:rFonts w:hint="eastAsia" w:ascii="楷体" w:hAnsi="楷体" w:eastAsia="楷体" w:cs="宋体"/>
                <w:b/>
                <w:color w:val="auto"/>
                <w:sz w:val="24"/>
                <w:highlight w:val="none"/>
              </w:rPr>
              <w:t>，否则响应文件按无效响应处理。</w:t>
            </w:r>
          </w:p>
        </w:tc>
      </w:tr>
      <w:tr w14:paraId="4DD2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B22AF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12.1.2</w:t>
            </w:r>
          </w:p>
          <w:p w14:paraId="6B6C3E13">
            <w:pPr>
              <w:spacing w:line="360" w:lineRule="auto"/>
              <w:jc w:val="center"/>
              <w:rPr>
                <w:rFonts w:ascii="宋体" w:hAnsi="宋体" w:cs="宋体"/>
                <w:color w:val="auto"/>
                <w:sz w:val="24"/>
                <w:highlight w:val="none"/>
              </w:rPr>
            </w:pPr>
          </w:p>
        </w:tc>
        <w:tc>
          <w:tcPr>
            <w:tcW w:w="8627" w:type="dxa"/>
            <w:vAlign w:val="center"/>
          </w:tcPr>
          <w:p w14:paraId="32963F7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报价文件</w:t>
            </w:r>
          </w:p>
          <w:p w14:paraId="490E5721">
            <w:pPr>
              <w:spacing w:line="360" w:lineRule="auto"/>
              <w:rPr>
                <w:rFonts w:ascii="宋体" w:hAnsi="宋体" w:cs="宋体"/>
                <w:color w:val="auto"/>
                <w:sz w:val="24"/>
                <w:highlight w:val="none"/>
              </w:rPr>
            </w:pPr>
            <w:r>
              <w:rPr>
                <w:rFonts w:hint="eastAsia" w:ascii="宋体" w:hAnsi="宋体" w:cs="宋体"/>
                <w:color w:val="auto"/>
                <w:sz w:val="24"/>
                <w:highlight w:val="none"/>
              </w:rPr>
              <w:t>1.无串通参与竞争性磋商行为的承诺函（格式后附）；（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6317A15">
            <w:pPr>
              <w:spacing w:line="360" w:lineRule="auto"/>
              <w:rPr>
                <w:rFonts w:ascii="宋体" w:hAnsi="宋体" w:cs="宋体"/>
                <w:color w:val="auto"/>
                <w:sz w:val="24"/>
                <w:highlight w:val="none"/>
              </w:rPr>
            </w:pPr>
            <w:r>
              <w:rPr>
                <w:rFonts w:hint="eastAsia" w:ascii="宋体" w:hAnsi="宋体" w:cs="宋体"/>
                <w:color w:val="auto"/>
                <w:sz w:val="24"/>
                <w:highlight w:val="none"/>
              </w:rPr>
              <w:t>2.竞争性磋商报价表（格式后附）；（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3256373">
            <w:pPr>
              <w:spacing w:line="360" w:lineRule="auto"/>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3.中小企业声明函（或残疾人福利性单位声明函或监狱企业声明函，残疾人福利性单位或监狱企业视同小微企业）</w:t>
            </w:r>
            <w:r>
              <w:rPr>
                <w:rFonts w:hint="eastAsia" w:ascii="宋体" w:hAnsi="宋体"/>
                <w:color w:val="auto"/>
                <w:sz w:val="24"/>
                <w:highlight w:val="none"/>
              </w:rPr>
              <w:t>（格式后附）；</w:t>
            </w:r>
          </w:p>
          <w:p w14:paraId="7C651B39">
            <w:pPr>
              <w:spacing w:line="360" w:lineRule="auto"/>
              <w:rPr>
                <w:rFonts w:ascii="楷体" w:hAnsi="楷体" w:eastAsia="楷体" w:cs="宋体"/>
                <w:b/>
                <w:bCs/>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022D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B06836D">
            <w:pPr>
              <w:spacing w:line="360" w:lineRule="auto"/>
              <w:jc w:val="center"/>
              <w:rPr>
                <w:rFonts w:ascii="宋体" w:hAnsi="宋体" w:cs="宋体"/>
                <w:color w:val="auto"/>
                <w:sz w:val="24"/>
                <w:highlight w:val="none"/>
              </w:rPr>
            </w:pPr>
          </w:p>
        </w:tc>
        <w:tc>
          <w:tcPr>
            <w:tcW w:w="8627" w:type="dxa"/>
            <w:vAlign w:val="center"/>
          </w:tcPr>
          <w:p w14:paraId="63ECB5E0">
            <w:pPr>
              <w:spacing w:line="360" w:lineRule="auto"/>
              <w:rPr>
                <w:rFonts w:ascii="宋体" w:hAnsi="宋体" w:cs="宋体"/>
                <w:color w:val="auto"/>
                <w:sz w:val="24"/>
                <w:highlight w:val="none"/>
              </w:rPr>
            </w:pPr>
            <w:r>
              <w:rPr>
                <w:rFonts w:hint="eastAsia" w:ascii="宋体" w:hAnsi="宋体" w:cs="宋体"/>
                <w:b/>
                <w:bCs/>
                <w:color w:val="auto"/>
                <w:sz w:val="24"/>
                <w:highlight w:val="none"/>
              </w:rPr>
              <w:t>商务、服务文件</w:t>
            </w:r>
          </w:p>
          <w:p w14:paraId="0B0A44F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1.法定代表人身份证明及法定代表人有效身份证正反面复印件（格式后附）；（</w:t>
            </w:r>
            <w:r>
              <w:rPr>
                <w:rFonts w:hint="eastAsia" w:ascii="宋体" w:hAnsi="宋体" w:cs="宋体"/>
                <w:b/>
                <w:bCs/>
                <w:color w:val="auto"/>
                <w:sz w:val="24"/>
                <w:highlight w:val="none"/>
              </w:rPr>
              <w:t>除自然人</w:t>
            </w:r>
            <w:r>
              <w:rPr>
                <w:rFonts w:hint="eastAsia" w:ascii="宋体" w:hAnsi="宋体" w:cs="宋体"/>
                <w:color w:val="auto"/>
                <w:sz w:val="24"/>
                <w:highlight w:val="none"/>
              </w:rPr>
              <w:t>参加竞争性磋商</w:t>
            </w:r>
            <w:r>
              <w:rPr>
                <w:rFonts w:hint="eastAsia" w:ascii="宋体" w:hAnsi="宋体" w:cs="宋体"/>
                <w:b/>
                <w:bCs/>
                <w:color w:val="auto"/>
                <w:sz w:val="24"/>
                <w:highlight w:val="none"/>
              </w:rPr>
              <w:t>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A435EFA">
            <w:pPr>
              <w:spacing w:line="360" w:lineRule="auto"/>
              <w:rPr>
                <w:rFonts w:ascii="宋体" w:hAnsi="宋体" w:cs="宋体"/>
                <w:color w:val="auto"/>
                <w:sz w:val="24"/>
                <w:highlight w:val="none"/>
              </w:rPr>
            </w:pPr>
            <w:r>
              <w:rPr>
                <w:rFonts w:hint="eastAsia" w:ascii="宋体" w:hAnsi="宋体" w:cs="宋体"/>
                <w:color w:val="auto"/>
                <w:sz w:val="24"/>
                <w:highlight w:val="none"/>
              </w:rPr>
              <w:t>2.授权委托书及委托代理人有效身份证正反面复印件（格式后附）；（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459F7396">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12228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.服务要求偏离表（格式后附）；（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673870C">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.服务方案（格式自拟）；（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910BC96">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.项目实施人员一览表（格式自拟）； </w:t>
            </w:r>
          </w:p>
          <w:p w14:paraId="121FAF8B">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.对应采购需求的技术要求、商务要求提供的其他文件资料（格式自拟）；</w:t>
            </w:r>
          </w:p>
          <w:p w14:paraId="649E3472">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.供应商认为需要提供的其他有关资料。</w:t>
            </w:r>
          </w:p>
          <w:p w14:paraId="244EE829">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5598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EBCF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8627" w:type="dxa"/>
            <w:vAlign w:val="center"/>
          </w:tcPr>
          <w:p w14:paraId="51A49006">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竞争性磋商报价</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总报价以人民币报价，</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所报价格在合同实施期间不因市场变化因素而变动。</w:t>
            </w:r>
          </w:p>
          <w:p w14:paraId="43B3A467">
            <w:pPr>
              <w:snapToGrid w:val="0"/>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 xml:space="preserve">固定总价，要求：本项目为固定总价包干，合同价格包含： </w:t>
            </w:r>
          </w:p>
          <w:p w14:paraId="7213600C">
            <w:pPr>
              <w:snapToGrid w:val="0"/>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合同工作的研究服务费及包含完成本项目所有工作任务所需的一切费用（含但不限于完成项目过程中所需的劳务、材料、设备、仪器、运输、检测与试验、安全警戒、评审、咨询、会务、管理、保险、税费、利润、后续服务等费用，以及合同明示或暗示的所有责任、义务和一般风险等各种费用在内，另外还包括本项目采购代理费用）。</w:t>
            </w:r>
          </w:p>
          <w:p w14:paraId="689B20D1">
            <w:pPr>
              <w:snapToGrid w:val="0"/>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供应商自身工作人员、聘请专家等为完成本采购项目的所有工作或义务而支出的劳动报酬和相关费用，供应商及其聘用、雇佣人员为供应商工作或为本采购项目工作而发生意外人身伤亡伤害、财物或其它损失等一切风险而产生的赔偿款等。</w:t>
            </w:r>
          </w:p>
          <w:p w14:paraId="3A9DE70B">
            <w:pPr>
              <w:snapToGrid w:val="0"/>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（3）供应商配合采购人进行有关审查、验收会议的组织及会务工作，由此发生的一切相关费用，采购人不再另外支付。</w:t>
            </w:r>
          </w:p>
          <w:p w14:paraId="770FEBD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（4）其他应当计入或由供应商支付的款项或费用等</w:t>
            </w:r>
            <w:r>
              <w:rPr>
                <w:rFonts w:hint="eastAsia" w:ascii="宋体" w:hAnsi="宋体" w:cs="宋体"/>
                <w:color w:val="auto"/>
                <w:sz w:val="24"/>
                <w:highlight w:val="none"/>
              </w:rPr>
              <w:t>。</w:t>
            </w:r>
          </w:p>
        </w:tc>
      </w:tr>
      <w:tr w14:paraId="73B2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8CA7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8627" w:type="dxa"/>
            <w:vAlign w:val="center"/>
          </w:tcPr>
          <w:p w14:paraId="31FDE11F">
            <w:pPr>
              <w:spacing w:line="360" w:lineRule="auto"/>
              <w:rPr>
                <w:rFonts w:ascii="宋体" w:hAnsi="宋体" w:cs="宋体"/>
                <w:color w:val="auto"/>
                <w:sz w:val="24"/>
                <w:highlight w:val="none"/>
              </w:rPr>
            </w:pPr>
            <w:r>
              <w:rPr>
                <w:rFonts w:hint="eastAsia" w:ascii="宋体" w:hAnsi="宋体" w:cs="宋体"/>
                <w:color w:val="auto"/>
                <w:sz w:val="24"/>
                <w:highlight w:val="none"/>
              </w:rPr>
              <w:t>竞争性磋商有效期：首次响应文件提交截止之日起60天内。</w:t>
            </w:r>
          </w:p>
        </w:tc>
      </w:tr>
      <w:tr w14:paraId="6E55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9630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8627" w:type="dxa"/>
            <w:vAlign w:val="center"/>
          </w:tcPr>
          <w:p w14:paraId="1AC3286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本项目不收取磋商保证金。</w:t>
            </w:r>
          </w:p>
          <w:p w14:paraId="6F92D07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本项目收取磋商保证金。</w:t>
            </w:r>
          </w:p>
        </w:tc>
      </w:tr>
      <w:tr w14:paraId="2222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61DBB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18.2</w:t>
            </w:r>
          </w:p>
        </w:tc>
        <w:tc>
          <w:tcPr>
            <w:tcW w:w="8627" w:type="dxa"/>
            <w:vAlign w:val="center"/>
          </w:tcPr>
          <w:p w14:paraId="4DC1E2B4">
            <w:pPr>
              <w:spacing w:line="360" w:lineRule="auto"/>
              <w:rPr>
                <w:rFonts w:ascii="宋体" w:hAnsi="宋体" w:cs="宋体"/>
                <w:color w:val="auto"/>
                <w:sz w:val="24"/>
                <w:highlight w:val="none"/>
              </w:rPr>
            </w:pPr>
            <w:r>
              <w:rPr>
                <w:rFonts w:hint="eastAsia" w:ascii="宋体" w:hAnsi="宋体" w:cs="宋体"/>
                <w:color w:val="auto"/>
                <w:sz w:val="24"/>
                <w:highlight w:val="none"/>
              </w:rPr>
              <w:t>响应文件应按资格证明文件、报价文件、商务技术文件分别编制，</w:t>
            </w:r>
            <w:r>
              <w:rPr>
                <w:rFonts w:hint="eastAsia" w:ascii="宋体" w:hAnsi="宋体" w:cs="宋体"/>
                <w:color w:val="auto"/>
                <w:sz w:val="24"/>
                <w:highlight w:val="none"/>
                <w:lang w:bidi="ar"/>
              </w:rPr>
              <w:t>并按广西政府采购云平台的要求编制、加密、上传。</w:t>
            </w:r>
          </w:p>
        </w:tc>
      </w:tr>
      <w:tr w14:paraId="4F5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C288E1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w:t>
            </w:r>
            <w:r>
              <w:rPr>
                <w:rFonts w:ascii="宋体" w:hAnsi="宋体" w:cs="宋体"/>
                <w:color w:val="auto"/>
                <w:sz w:val="24"/>
                <w:highlight w:val="none"/>
              </w:rPr>
              <w:t>.2</w:t>
            </w:r>
          </w:p>
        </w:tc>
        <w:tc>
          <w:tcPr>
            <w:tcW w:w="8627" w:type="dxa"/>
            <w:vAlign w:val="center"/>
          </w:tcPr>
          <w:p w14:paraId="3AE070DC">
            <w:pPr>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本项目不接受电子备份响应文件</w:t>
            </w:r>
          </w:p>
        </w:tc>
      </w:tr>
      <w:tr w14:paraId="571A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2A5F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627" w:type="dxa"/>
            <w:vAlign w:val="center"/>
          </w:tcPr>
          <w:p w14:paraId="41A43B1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首次响应文件提交截止时间：详见竞争性磋商公告。</w:t>
            </w:r>
          </w:p>
          <w:p w14:paraId="547CE99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首次响应文件提交地点：详见竞争性磋商公告。</w:t>
            </w:r>
          </w:p>
        </w:tc>
      </w:tr>
      <w:tr w14:paraId="10AC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99DF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24.1</w:t>
            </w:r>
          </w:p>
        </w:tc>
        <w:tc>
          <w:tcPr>
            <w:tcW w:w="8627" w:type="dxa"/>
            <w:vAlign w:val="center"/>
          </w:tcPr>
          <w:p w14:paraId="482D65F1">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磋商小组的人数：3人或以上单数。</w:t>
            </w:r>
          </w:p>
        </w:tc>
      </w:tr>
      <w:tr w14:paraId="74FD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93CCB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25.2</w:t>
            </w:r>
          </w:p>
        </w:tc>
        <w:tc>
          <w:tcPr>
            <w:tcW w:w="8627" w:type="dxa"/>
            <w:vAlign w:val="center"/>
          </w:tcPr>
          <w:p w14:paraId="00205F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p>
        </w:tc>
      </w:tr>
      <w:tr w14:paraId="1622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C696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8627" w:type="dxa"/>
            <w:vAlign w:val="center"/>
          </w:tcPr>
          <w:p w14:paraId="4D98294F">
            <w:pPr>
              <w:pStyle w:val="11"/>
              <w:spacing w:line="360" w:lineRule="auto"/>
              <w:jc w:val="both"/>
              <w:rPr>
                <w:rFonts w:ascii="宋体" w:hAnsi="宋体" w:cs="宋体"/>
                <w:color w:val="auto"/>
                <w:sz w:val="24"/>
                <w:highlight w:val="none"/>
              </w:rPr>
            </w:pPr>
            <w:r>
              <w:rPr>
                <w:rFonts w:hint="eastAsia" w:ascii="宋体" w:hAnsi="宋体" w:cs="宋体"/>
                <w:color w:val="auto"/>
                <w:sz w:val="24"/>
                <w:highlight w:val="none"/>
              </w:rPr>
              <w:t>磋商的顺序：按“广西政府采购云平台”系统的编号顺序。</w:t>
            </w:r>
          </w:p>
          <w:p w14:paraId="61758C2C">
            <w:pPr>
              <w:pStyle w:val="11"/>
              <w:spacing w:line="360" w:lineRule="auto"/>
              <w:jc w:val="both"/>
              <w:rPr>
                <w:rFonts w:ascii="宋体" w:hAnsi="宋体" w:cs="宋体"/>
                <w:b/>
                <w:color w:val="auto"/>
                <w:sz w:val="24"/>
                <w:highlight w:val="none"/>
              </w:rPr>
            </w:pPr>
            <w:r>
              <w:rPr>
                <w:rFonts w:hint="eastAsia" w:ascii="宋体" w:hAnsi="宋体" w:cs="宋体"/>
                <w:b/>
                <w:color w:val="auto"/>
                <w:sz w:val="24"/>
                <w:highlight w:val="none"/>
              </w:rPr>
              <w:t>符合磋商资格的供应商必须在接到磋商通知后规定时间内参加磋商，未在规定时间内参加磋商的视同放弃参加磋商权利，其响应文件按无效响应处理。</w:t>
            </w:r>
          </w:p>
          <w:p w14:paraId="758F50F8">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注：参与磋商前，供应商法定代表人或者委托代理人向磋商小组出示本人有效证件原件（有效证件可以是身份证（含临时身份证明）或者护照的其中一项）。</w:t>
            </w:r>
          </w:p>
        </w:tc>
      </w:tr>
      <w:tr w14:paraId="495E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6C7CDF3">
            <w:pPr>
              <w:spacing w:line="360" w:lineRule="auto"/>
              <w:jc w:val="center"/>
              <w:rPr>
                <w:rFonts w:ascii="宋体" w:hAnsi="宋体" w:cs="宋体"/>
                <w:color w:val="auto"/>
                <w:sz w:val="24"/>
                <w:highlight w:val="none"/>
              </w:rPr>
            </w:pPr>
          </w:p>
        </w:tc>
        <w:tc>
          <w:tcPr>
            <w:tcW w:w="8627" w:type="dxa"/>
            <w:vAlign w:val="center"/>
          </w:tcPr>
          <w:p w14:paraId="2A34C13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商务要求评审中允许负偏离的条款数为: </w:t>
            </w:r>
            <w:r>
              <w:rPr>
                <w:rFonts w:ascii="宋体" w:hAnsi="宋体" w:cs="宋体"/>
                <w:color w:val="auto"/>
                <w:sz w:val="24"/>
                <w:highlight w:val="none"/>
              </w:rPr>
              <w:t>0</w:t>
            </w:r>
            <w:r>
              <w:rPr>
                <w:rFonts w:hint="eastAsia" w:ascii="宋体" w:hAnsi="宋体" w:cs="宋体"/>
                <w:color w:val="auto"/>
                <w:sz w:val="24"/>
                <w:highlight w:val="none"/>
              </w:rPr>
              <w:t>项</w:t>
            </w:r>
          </w:p>
          <w:p w14:paraId="44E6127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服务要求评审中允许负偏离的条款数为:</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项</w:t>
            </w:r>
          </w:p>
        </w:tc>
      </w:tr>
      <w:tr w14:paraId="5DA3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13985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28.1</w:t>
            </w:r>
          </w:p>
        </w:tc>
        <w:tc>
          <w:tcPr>
            <w:tcW w:w="8627" w:type="dxa"/>
            <w:vAlign w:val="center"/>
          </w:tcPr>
          <w:p w14:paraId="3A3A613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29BBF3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w:t>
            </w:r>
          </w:p>
          <w:p w14:paraId="282F1C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）供应商</w:t>
            </w:r>
            <w:r>
              <w:rPr>
                <w:rFonts w:hint="eastAsia"/>
                <w:color w:val="auto"/>
                <w:sz w:val="24"/>
                <w:highlight w:val="none"/>
              </w:rPr>
              <w:t>在签订合同之前，向</w:t>
            </w:r>
            <w:r>
              <w:rPr>
                <w:rFonts w:hint="eastAsia"/>
                <w:color w:val="auto"/>
                <w:sz w:val="24"/>
                <w:highlight w:val="none"/>
                <w:lang w:eastAsia="zh-CN"/>
              </w:rPr>
              <w:t>采购人</w:t>
            </w:r>
            <w:r>
              <w:rPr>
                <w:rFonts w:hint="eastAsia"/>
                <w:color w:val="auto"/>
                <w:sz w:val="24"/>
                <w:highlight w:val="none"/>
              </w:rPr>
              <w:t>提交金额为签约合同价5%（或2%，如</w:t>
            </w:r>
            <w:r>
              <w:rPr>
                <w:rFonts w:hint="eastAsia"/>
                <w:color w:val="auto"/>
                <w:sz w:val="24"/>
                <w:highlight w:val="none"/>
                <w:lang w:eastAsia="zh-CN"/>
              </w:rPr>
              <w:t>供应商</w:t>
            </w:r>
            <w:r>
              <w:rPr>
                <w:rFonts w:hint="eastAsia"/>
                <w:color w:val="auto"/>
                <w:sz w:val="24"/>
                <w:highlight w:val="none"/>
              </w:rPr>
              <w:t>为中小微企业时）的履约保证金。</w:t>
            </w:r>
            <w:r>
              <w:rPr>
                <w:rFonts w:hint="eastAsia"/>
                <w:color w:val="auto"/>
                <w:sz w:val="24"/>
                <w:highlight w:val="none"/>
                <w:lang w:eastAsia="zh-CN"/>
              </w:rPr>
              <w:t>供应商</w:t>
            </w:r>
            <w:r>
              <w:rPr>
                <w:rFonts w:hint="eastAsia"/>
                <w:color w:val="auto"/>
                <w:sz w:val="24"/>
                <w:highlight w:val="none"/>
              </w:rPr>
              <w:t>未按约定提交履约保证金的，视为放弃中标资格，</w:t>
            </w:r>
            <w:r>
              <w:rPr>
                <w:rFonts w:hint="eastAsia"/>
                <w:color w:val="auto"/>
                <w:sz w:val="24"/>
                <w:highlight w:val="none"/>
                <w:lang w:eastAsia="zh-CN"/>
              </w:rPr>
              <w:t>采购人</w:t>
            </w:r>
            <w:r>
              <w:rPr>
                <w:rFonts w:hint="eastAsia"/>
                <w:color w:val="auto"/>
                <w:sz w:val="24"/>
                <w:highlight w:val="none"/>
              </w:rPr>
              <w:t>有权不予与其签订合同；因此给</w:t>
            </w:r>
            <w:r>
              <w:rPr>
                <w:rFonts w:hint="eastAsia"/>
                <w:color w:val="auto"/>
                <w:sz w:val="24"/>
                <w:highlight w:val="none"/>
                <w:lang w:eastAsia="zh-CN"/>
              </w:rPr>
              <w:t>采购人</w:t>
            </w:r>
            <w:r>
              <w:rPr>
                <w:rFonts w:hint="eastAsia"/>
                <w:color w:val="auto"/>
                <w:sz w:val="24"/>
                <w:highlight w:val="none"/>
              </w:rPr>
              <w:t>造成损失的，</w:t>
            </w:r>
            <w:r>
              <w:rPr>
                <w:rFonts w:hint="eastAsia"/>
                <w:color w:val="auto"/>
                <w:sz w:val="24"/>
                <w:highlight w:val="none"/>
                <w:lang w:eastAsia="zh-CN"/>
              </w:rPr>
              <w:t>供应商</w:t>
            </w:r>
            <w:r>
              <w:rPr>
                <w:rFonts w:hint="eastAsia"/>
                <w:color w:val="auto"/>
                <w:sz w:val="24"/>
                <w:highlight w:val="none"/>
              </w:rPr>
              <w:t>还应承担相应的赔偿责任。</w:t>
            </w:r>
          </w:p>
          <w:p w14:paraId="45D870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履约保证金以支票、汇票、本票或者金融机构、担保机构出具的保函等非现金形式提交。</w:t>
            </w:r>
          </w:p>
          <w:p w14:paraId="4A3BF5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①若采用银行保函形式，</w:t>
            </w:r>
            <w:r>
              <w:rPr>
                <w:rFonts w:hint="eastAsia"/>
                <w:color w:val="auto"/>
                <w:sz w:val="24"/>
                <w:highlight w:val="none"/>
                <w:lang w:eastAsia="zh-CN"/>
              </w:rPr>
              <w:t>银行保函</w:t>
            </w:r>
            <w:r>
              <w:rPr>
                <w:rFonts w:hint="eastAsia"/>
                <w:color w:val="auto"/>
                <w:sz w:val="24"/>
                <w:highlight w:val="none"/>
              </w:rPr>
              <w:t>由国有商业或股份制商业银行出具</w:t>
            </w:r>
            <w:r>
              <w:rPr>
                <w:rFonts w:hint="eastAsia"/>
                <w:color w:val="auto"/>
                <w:sz w:val="24"/>
                <w:highlight w:val="none"/>
                <w:lang w:eastAsia="zh-CN"/>
              </w:rPr>
              <w:t>，</w:t>
            </w:r>
            <w:r>
              <w:rPr>
                <w:rFonts w:hint="eastAsia"/>
                <w:color w:val="auto"/>
                <w:sz w:val="24"/>
                <w:highlight w:val="none"/>
              </w:rPr>
              <w:t>并保证其有效。执行本条规定所需的费用由</w:t>
            </w:r>
            <w:r>
              <w:rPr>
                <w:rFonts w:hint="eastAsia"/>
                <w:color w:val="auto"/>
                <w:sz w:val="24"/>
                <w:highlight w:val="none"/>
                <w:lang w:eastAsia="zh-CN"/>
              </w:rPr>
              <w:t>供应商</w:t>
            </w:r>
            <w:r>
              <w:rPr>
                <w:rFonts w:hint="eastAsia"/>
                <w:color w:val="auto"/>
                <w:sz w:val="24"/>
                <w:highlight w:val="none"/>
              </w:rPr>
              <w:t>承担。保函的正本由</w:t>
            </w:r>
            <w:r>
              <w:rPr>
                <w:rFonts w:hint="eastAsia"/>
                <w:color w:val="auto"/>
                <w:sz w:val="24"/>
                <w:highlight w:val="none"/>
                <w:lang w:eastAsia="zh-CN"/>
              </w:rPr>
              <w:t>采购人</w:t>
            </w:r>
            <w:r>
              <w:rPr>
                <w:rFonts w:hint="eastAsia"/>
                <w:color w:val="auto"/>
                <w:sz w:val="24"/>
                <w:highlight w:val="none"/>
              </w:rPr>
              <w:t>保存。</w:t>
            </w:r>
          </w:p>
          <w:p w14:paraId="3CB45D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②若采用银行转账形式，应当从</w:t>
            </w:r>
            <w:r>
              <w:rPr>
                <w:rFonts w:hint="eastAsia"/>
                <w:color w:val="auto"/>
                <w:sz w:val="24"/>
                <w:highlight w:val="none"/>
                <w:lang w:eastAsia="zh-CN"/>
              </w:rPr>
              <w:t>供应商</w:t>
            </w:r>
            <w:r>
              <w:rPr>
                <w:rFonts w:hint="eastAsia"/>
                <w:color w:val="auto"/>
                <w:sz w:val="24"/>
                <w:highlight w:val="none"/>
              </w:rPr>
              <w:t>基本账户转出，且全额一次性转入</w:t>
            </w:r>
            <w:r>
              <w:rPr>
                <w:rFonts w:hint="eastAsia"/>
                <w:color w:val="auto"/>
                <w:sz w:val="24"/>
                <w:highlight w:val="none"/>
                <w:lang w:eastAsia="zh-CN"/>
              </w:rPr>
              <w:t>采购人</w:t>
            </w:r>
            <w:r>
              <w:rPr>
                <w:rFonts w:hint="eastAsia"/>
                <w:color w:val="auto"/>
                <w:sz w:val="24"/>
                <w:highlight w:val="none"/>
              </w:rPr>
              <w:t>指定账号，并注明 “</w:t>
            </w:r>
            <w:r>
              <w:rPr>
                <w:rFonts w:hint="eastAsia"/>
                <w:color w:val="auto"/>
                <w:sz w:val="24"/>
                <w:highlight w:val="none"/>
                <w:lang w:eastAsia="zh-CN"/>
              </w:rPr>
              <w:t>北部湾港铁山湾5#锚地工程前期工作</w:t>
            </w:r>
            <w:r>
              <w:rPr>
                <w:rFonts w:hint="eastAsia"/>
                <w:color w:val="auto"/>
                <w:sz w:val="24"/>
                <w:highlight w:val="none"/>
              </w:rPr>
              <w:t>采购项目履约保证金”</w:t>
            </w:r>
            <w:r>
              <w:rPr>
                <w:rFonts w:hint="eastAsia"/>
                <w:color w:val="auto"/>
                <w:sz w:val="24"/>
                <w:highlight w:val="none"/>
                <w:lang w:val="en-US" w:eastAsia="zh-CN"/>
              </w:rPr>
              <w:t xml:space="preserve"> </w:t>
            </w:r>
            <w:r>
              <w:rPr>
                <w:rFonts w:hint="eastAsia"/>
                <w:color w:val="auto"/>
                <w:sz w:val="24"/>
                <w:highlight w:val="none"/>
              </w:rPr>
              <w:t>，并且确保在中标通知书发出之日起25日内到账，否则，其履约担保视为无效。</w:t>
            </w:r>
          </w:p>
          <w:p w14:paraId="6184B0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rPr>
              <w:t>履约担保有效期应不短于自合同生效之日起至</w:t>
            </w:r>
            <w:r>
              <w:rPr>
                <w:rFonts w:hint="eastAsia"/>
                <w:color w:val="auto"/>
                <w:sz w:val="24"/>
                <w:highlight w:val="none"/>
                <w:lang w:eastAsia="zh-CN"/>
              </w:rPr>
              <w:t>供应商</w:t>
            </w:r>
            <w:r>
              <w:rPr>
                <w:rFonts w:hint="eastAsia"/>
                <w:color w:val="auto"/>
                <w:sz w:val="24"/>
                <w:highlight w:val="none"/>
              </w:rPr>
              <w:t>履行完毕本合同项下所有工作内容并提交全部最终成果资料之日。</w:t>
            </w:r>
          </w:p>
          <w:p w14:paraId="6A2138D7">
            <w:pPr>
              <w:spacing w:line="360" w:lineRule="auto"/>
              <w:contextualSpacing/>
              <w:rPr>
                <w:rFonts w:ascii="宋体" w:hAnsi="宋体" w:cs="宋体"/>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在</w:t>
            </w:r>
            <w:r>
              <w:rPr>
                <w:rFonts w:hint="eastAsia"/>
                <w:color w:val="auto"/>
                <w:sz w:val="24"/>
                <w:highlight w:val="none"/>
                <w:lang w:eastAsia="zh-CN"/>
              </w:rPr>
              <w:t>供应商</w:t>
            </w:r>
            <w:r>
              <w:rPr>
                <w:rFonts w:hint="eastAsia"/>
                <w:color w:val="auto"/>
                <w:sz w:val="24"/>
                <w:highlight w:val="none"/>
              </w:rPr>
              <w:t>按合同要求履行完毕本合同项下所有工作内容并提交全部最终成果资料后，由</w:t>
            </w:r>
            <w:r>
              <w:rPr>
                <w:rFonts w:hint="eastAsia"/>
                <w:color w:val="auto"/>
                <w:sz w:val="24"/>
                <w:highlight w:val="none"/>
                <w:lang w:eastAsia="zh-CN"/>
              </w:rPr>
              <w:t>供应商</w:t>
            </w:r>
            <w:r>
              <w:rPr>
                <w:rFonts w:hint="eastAsia"/>
                <w:color w:val="auto"/>
                <w:sz w:val="24"/>
                <w:highlight w:val="none"/>
              </w:rPr>
              <w:t>向</w:t>
            </w:r>
            <w:r>
              <w:rPr>
                <w:rFonts w:hint="eastAsia"/>
                <w:color w:val="auto"/>
                <w:sz w:val="24"/>
                <w:highlight w:val="none"/>
                <w:lang w:eastAsia="zh-CN"/>
              </w:rPr>
              <w:t>采购人</w:t>
            </w:r>
            <w:r>
              <w:rPr>
                <w:rFonts w:hint="eastAsia"/>
                <w:color w:val="auto"/>
                <w:sz w:val="24"/>
                <w:highlight w:val="none"/>
              </w:rPr>
              <w:t>提出退还履约担保申请，</w:t>
            </w:r>
            <w:r>
              <w:rPr>
                <w:rFonts w:hint="eastAsia"/>
                <w:color w:val="auto"/>
                <w:sz w:val="24"/>
                <w:highlight w:val="none"/>
                <w:lang w:eastAsia="zh-CN"/>
              </w:rPr>
              <w:t>采购人</w:t>
            </w:r>
            <w:r>
              <w:rPr>
                <w:rFonts w:hint="eastAsia"/>
                <w:color w:val="auto"/>
                <w:sz w:val="24"/>
                <w:highlight w:val="none"/>
              </w:rPr>
              <w:t>收到退还履约担保申请后28天内退还</w:t>
            </w:r>
            <w:r>
              <w:rPr>
                <w:rFonts w:hint="eastAsia"/>
                <w:color w:val="auto"/>
                <w:sz w:val="24"/>
                <w:highlight w:val="none"/>
                <w:lang w:eastAsia="zh-CN"/>
              </w:rPr>
              <w:t>供应商</w:t>
            </w:r>
            <w:r>
              <w:rPr>
                <w:rFonts w:hint="eastAsia"/>
                <w:color w:val="auto"/>
                <w:sz w:val="24"/>
                <w:highlight w:val="none"/>
              </w:rPr>
              <w:t>履约担保。履约保证金不计利息。</w:t>
            </w:r>
          </w:p>
          <w:p w14:paraId="1ED0B35F">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66F3F49E">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6301D313">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color w:val="auto"/>
                <w:highlight w:val="none"/>
              </w:rPr>
              <w:t xml:space="preserve"> </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008A3E7B">
            <w:pPr>
              <w:autoSpaceDE w:val="0"/>
              <w:autoSpaceDN w:val="0"/>
              <w:snapToGrid w:val="0"/>
              <w:spacing w:line="360" w:lineRule="auto"/>
              <w:textAlignment w:val="bottom"/>
              <w:rPr>
                <w:rFonts w:ascii="楷体" w:hAnsi="楷体" w:eastAsia="楷体" w:cs="宋体"/>
                <w:b/>
                <w:color w:val="auto"/>
                <w:sz w:val="24"/>
                <w:highlight w:val="none"/>
              </w:rPr>
            </w:pPr>
            <w:r>
              <w:rPr>
                <w:rFonts w:ascii="楷体" w:hAnsi="楷体" w:eastAsia="楷体" w:cs="宋体"/>
                <w:b/>
                <w:color w:val="auto"/>
                <w:sz w:val="24"/>
                <w:highlight w:val="none"/>
              </w:rPr>
              <w:t>3.采用保函的，必须为无条件保函</w:t>
            </w:r>
            <w:r>
              <w:rPr>
                <w:rFonts w:hint="eastAsia" w:ascii="楷体" w:hAnsi="楷体" w:eastAsia="楷体" w:cs="宋体"/>
                <w:b/>
                <w:color w:val="auto"/>
                <w:sz w:val="24"/>
                <w:highlight w:val="none"/>
              </w:rPr>
              <w:t>，否则视为无效履约保证金。</w:t>
            </w:r>
          </w:p>
          <w:p w14:paraId="68BAB449">
            <w:pPr>
              <w:autoSpaceDE w:val="0"/>
              <w:autoSpaceDN w:val="0"/>
              <w:snapToGrid w:val="0"/>
              <w:spacing w:line="360" w:lineRule="auto"/>
              <w:textAlignment w:val="bottom"/>
              <w:rPr>
                <w:rFonts w:ascii="宋体" w:hAnsi="宋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lang w:eastAsia="zh-CN"/>
              </w:rPr>
              <w:t>供应商</w:t>
            </w:r>
            <w:r>
              <w:rPr>
                <w:rFonts w:ascii="楷体" w:hAnsi="楷体" w:eastAsia="楷体" w:cs="宋体"/>
                <w:b/>
                <w:color w:val="auto"/>
                <w:sz w:val="24"/>
                <w:highlight w:val="none"/>
              </w:rPr>
              <w:t>为联合体的，由联合体其中一方按规定提交的履约保证金，视为有效履约保证金。</w:t>
            </w:r>
          </w:p>
        </w:tc>
      </w:tr>
      <w:tr w14:paraId="16BB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B1C0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29.1</w:t>
            </w:r>
          </w:p>
        </w:tc>
        <w:tc>
          <w:tcPr>
            <w:tcW w:w="8627" w:type="dxa"/>
            <w:vAlign w:val="center"/>
          </w:tcPr>
          <w:p w14:paraId="132078A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5FC25E2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1.委托代理人负责签订合同的，须携带授权委托书及委托代理人身份证原件等其他资格证件。</w:t>
            </w:r>
          </w:p>
          <w:p w14:paraId="3EA3388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2.法定代表人负责签订合同的，须携带法定代表人身份证明原件及身份证原件等其他证明材料。</w:t>
            </w:r>
          </w:p>
        </w:tc>
      </w:tr>
      <w:tr w14:paraId="613D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EC639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31.2</w:t>
            </w:r>
          </w:p>
        </w:tc>
        <w:tc>
          <w:tcPr>
            <w:tcW w:w="8627" w:type="dxa"/>
            <w:vAlign w:val="center"/>
          </w:tcPr>
          <w:p w14:paraId="01B688CE">
            <w:pPr>
              <w:pStyle w:val="16"/>
              <w:snapToGrid w:val="0"/>
              <w:spacing w:line="360" w:lineRule="auto"/>
              <w:rPr>
                <w:rFonts w:hAnsi="宋体" w:cs="宋体"/>
                <w:color w:val="auto"/>
                <w:sz w:val="24"/>
                <w:szCs w:val="24"/>
                <w:highlight w:val="none"/>
              </w:rPr>
            </w:pPr>
            <w:r>
              <w:rPr>
                <w:rFonts w:hint="eastAsia" w:hAnsi="宋体" w:cs="宋体"/>
                <w:color w:val="auto"/>
                <w:sz w:val="24"/>
                <w:szCs w:val="24"/>
                <w:highlight w:val="none"/>
              </w:rPr>
              <w:t>接收质疑函方式：以纸质书面形式。</w:t>
            </w:r>
          </w:p>
          <w:p w14:paraId="52AB0999">
            <w:pPr>
              <w:pStyle w:val="16"/>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质疑联系部门及联系方式：中昕国际项目管理有限公司</w:t>
            </w:r>
          </w:p>
          <w:p w14:paraId="069C065C">
            <w:pPr>
              <w:pStyle w:val="16"/>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质疑联系人：</w:t>
            </w:r>
            <w:r>
              <w:rPr>
                <w:rFonts w:hint="eastAsia" w:hAnsi="宋体" w:cs="宋体"/>
                <w:color w:val="auto"/>
                <w:sz w:val="24"/>
                <w:szCs w:val="24"/>
                <w:highlight w:val="none"/>
                <w:lang w:val="en-US" w:eastAsia="zh-CN"/>
              </w:rPr>
              <w:t>余晖</w:t>
            </w:r>
            <w:r>
              <w:rPr>
                <w:rFonts w:hAnsi="宋体" w:cs="宋体"/>
                <w:color w:val="auto"/>
                <w:sz w:val="24"/>
                <w:szCs w:val="24"/>
                <w:highlight w:val="none"/>
              </w:rPr>
              <w:t xml:space="preserve">  </w:t>
            </w:r>
            <w:r>
              <w:rPr>
                <w:rFonts w:hint="eastAsia" w:hAnsi="宋体" w:cs="宋体"/>
                <w:color w:val="auto"/>
                <w:sz w:val="24"/>
                <w:szCs w:val="24"/>
                <w:highlight w:val="none"/>
              </w:rPr>
              <w:t>联系电话：</w:t>
            </w:r>
            <w:r>
              <w:rPr>
                <w:rFonts w:hint="eastAsia" w:hAnsi="宋体" w:cs="宋体"/>
                <w:color w:val="auto"/>
                <w:sz w:val="24"/>
                <w:szCs w:val="24"/>
                <w:highlight w:val="none"/>
                <w:lang w:val="en-US" w:eastAsia="zh-CN"/>
              </w:rPr>
              <w:t>0771-5670450</w:t>
            </w:r>
          </w:p>
          <w:p w14:paraId="2AAC9E63">
            <w:pPr>
              <w:pStyle w:val="16"/>
              <w:snapToGrid w:val="0"/>
              <w:spacing w:line="360" w:lineRule="auto"/>
              <w:rPr>
                <w:rFonts w:hAnsi="宋体" w:cs="宋体"/>
                <w:color w:val="auto"/>
                <w:sz w:val="24"/>
                <w:szCs w:val="24"/>
                <w:highlight w:val="none"/>
              </w:rPr>
            </w:pPr>
            <w:r>
              <w:rPr>
                <w:rFonts w:hint="eastAsia" w:hAnsi="宋体" w:cs="宋体"/>
                <w:color w:val="auto"/>
                <w:sz w:val="24"/>
                <w:szCs w:val="24"/>
                <w:highlight w:val="none"/>
              </w:rPr>
              <w:t>通讯地址：南宁市青秀区佛子岭路18号德利东盟文化广场B2栋11层1103号</w:t>
            </w:r>
          </w:p>
          <w:p w14:paraId="3B4500D3">
            <w:pPr>
              <w:pStyle w:val="16"/>
              <w:snapToGrid w:val="0"/>
              <w:spacing w:line="360" w:lineRule="auto"/>
              <w:rPr>
                <w:rFonts w:hAnsi="宋体" w:cs="宋体"/>
                <w:color w:val="auto"/>
                <w:sz w:val="24"/>
                <w:szCs w:val="24"/>
                <w:highlight w:val="none"/>
              </w:rPr>
            </w:pPr>
            <w:r>
              <w:rPr>
                <w:rFonts w:hint="eastAsia" w:hAnsi="宋体" w:cs="宋体"/>
                <w:color w:val="auto"/>
                <w:sz w:val="24"/>
                <w:szCs w:val="24"/>
                <w:highlight w:val="none"/>
              </w:rPr>
              <w:t>业务时间：工作日，上午</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:00-12:00；下午15:00-18:00（北京时间）</w:t>
            </w:r>
          </w:p>
        </w:tc>
      </w:tr>
      <w:tr w14:paraId="43BB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0DD9F0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32.1</w:t>
            </w:r>
          </w:p>
        </w:tc>
        <w:tc>
          <w:tcPr>
            <w:tcW w:w="8627" w:type="dxa"/>
            <w:vAlign w:val="center"/>
          </w:tcPr>
          <w:p w14:paraId="54483C34">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0092EE8A">
            <w:pPr>
              <w:pStyle w:val="16"/>
              <w:snapToGrid w:val="0"/>
              <w:spacing w:line="360" w:lineRule="auto"/>
              <w:rPr>
                <w:rFonts w:hint="eastAsia"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043D683F">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19FBE27B">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2E10ED54">
            <w:pPr>
              <w:pStyle w:val="16"/>
              <w:snapToGrid w:val="0"/>
              <w:spacing w:line="360" w:lineRule="auto"/>
              <w:rPr>
                <w:rFonts w:hint="eastAsia"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以分标（</w:t>
            </w:r>
            <w:r>
              <w:rPr>
                <w:rFonts w:hint="eastAsia" w:hAnsi="宋体"/>
                <w:color w:val="auto"/>
                <w:highlight w:val="none"/>
                <w:lang w:eastAsia="zh-CN"/>
              </w:rPr>
              <w:t>☑</w:t>
            </w:r>
            <w:r>
              <w:rPr>
                <w:rFonts w:hint="eastAsia" w:hAnsi="宋体" w:cs="宋体"/>
                <w:color w:val="auto"/>
                <w:sz w:val="21"/>
                <w:highlight w:val="none"/>
              </w:rPr>
              <w:t>成交金额/</w:t>
            </w:r>
            <w:r>
              <w:rPr>
                <w:rFonts w:hint="eastAsia" w:hAnsi="宋体" w:cs="宋体"/>
                <w:color w:val="auto"/>
                <w:sz w:val="21"/>
                <w:highlight w:val="none"/>
                <w:lang w:eastAsia="zh-CN"/>
              </w:rPr>
              <w:t>□</w:t>
            </w:r>
            <w:r>
              <w:rPr>
                <w:rFonts w:hint="eastAsia" w:hAnsi="宋体" w:cs="宋体"/>
                <w:color w:val="auto"/>
                <w:sz w:val="21"/>
                <w:highlight w:val="none"/>
              </w:rPr>
              <w:t>采购预算/□暂定成交金额/</w:t>
            </w:r>
            <w:r>
              <w:rPr>
                <w:rFonts w:hint="eastAsia" w:hAnsi="宋体" w:cs="宋体"/>
                <w:color w:val="auto"/>
                <w:sz w:val="21"/>
                <w:highlight w:val="none"/>
                <w:lang w:eastAsia="zh-CN"/>
              </w:rPr>
              <w:t>□</w:t>
            </w:r>
            <w:r>
              <w:rPr>
                <w:rFonts w:hint="eastAsia" w:hAnsi="宋体" w:cs="宋体"/>
                <w:color w:val="auto"/>
                <w:sz w:val="21"/>
                <w:highlight w:val="none"/>
              </w:rPr>
              <w:t>其他</w:t>
            </w:r>
            <w:r>
              <w:rPr>
                <w:rFonts w:hint="eastAsia" w:hAnsi="宋体" w:cs="宋体"/>
                <w:color w:val="auto"/>
                <w:sz w:val="21"/>
                <w:highlight w:val="none"/>
                <w:lang w:val="en-US" w:eastAsia="zh-CN"/>
              </w:rPr>
              <w:t xml:space="preserve">   </w:t>
            </w:r>
            <w:r>
              <w:rPr>
                <w:rFonts w:hint="eastAsia" w:hAnsi="宋体" w:cs="宋体"/>
                <w:color w:val="auto"/>
                <w:sz w:val="21"/>
                <w:highlight w:val="none"/>
              </w:rPr>
              <w:t>）为计费额，按本须知正文第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条规定的收费计算标准（□货物类/</w:t>
            </w:r>
            <w:r>
              <w:rPr>
                <w:rFonts w:hint="eastAsia" w:hAnsi="宋体"/>
                <w:color w:val="auto"/>
                <w:highlight w:val="none"/>
              </w:rPr>
              <w:t>☑</w:t>
            </w:r>
            <w:r>
              <w:rPr>
                <w:rFonts w:hint="eastAsia" w:hAnsi="宋体" w:cs="宋体"/>
                <w:color w:val="auto"/>
                <w:sz w:val="21"/>
                <w:highlight w:val="none"/>
              </w:rPr>
              <w:t>服务类/□工程类）采用差额定率累进法计算出收费基准价格，采购代理收费以（</w:t>
            </w:r>
            <w:r>
              <w:rPr>
                <w:rFonts w:hint="eastAsia" w:hAnsi="宋体"/>
                <w:color w:val="auto"/>
                <w:highlight w:val="none"/>
                <w:lang w:eastAsia="zh-CN"/>
              </w:rPr>
              <w:t>□</w:t>
            </w:r>
            <w:r>
              <w:rPr>
                <w:rFonts w:hint="eastAsia" w:hAnsi="宋体" w:cs="宋体"/>
                <w:color w:val="auto"/>
                <w:sz w:val="21"/>
                <w:highlight w:val="none"/>
              </w:rPr>
              <w:t>收费基准价格/</w:t>
            </w:r>
            <w:r>
              <w:rPr>
                <w:rFonts w:hint="eastAsia" w:hAnsi="宋体" w:cs="宋体"/>
                <w:color w:val="auto"/>
                <w:sz w:val="21"/>
                <w:highlight w:val="none"/>
              </w:rPr>
              <w:sym w:font="Wingdings 2" w:char="0052"/>
            </w:r>
            <w:r>
              <w:rPr>
                <w:rFonts w:hint="eastAsia" w:hAnsi="宋体" w:cs="宋体"/>
                <w:color w:val="auto"/>
                <w:sz w:val="21"/>
                <w:highlight w:val="none"/>
              </w:rPr>
              <w:t>收费基准价格下浮</w:t>
            </w:r>
            <w:r>
              <w:rPr>
                <w:rFonts w:hint="eastAsia" w:hAnsi="宋体" w:cs="宋体"/>
                <w:color w:val="auto"/>
                <w:sz w:val="21"/>
                <w:highlight w:val="none"/>
                <w:u w:val="single"/>
                <w:lang w:val="en-US" w:eastAsia="zh-CN"/>
              </w:rPr>
              <w:t xml:space="preserve">  60% </w:t>
            </w:r>
            <w:r>
              <w:rPr>
                <w:rFonts w:hAnsi="宋体" w:cs="宋体"/>
                <w:color w:val="auto"/>
                <w:sz w:val="21"/>
                <w:highlight w:val="none"/>
              </w:rPr>
              <w:t>/</w:t>
            </w:r>
            <w:r>
              <w:rPr>
                <w:rFonts w:hint="eastAsia" w:hAnsi="宋体" w:cs="宋体"/>
                <w:color w:val="auto"/>
                <w:sz w:val="21"/>
                <w:highlight w:val="none"/>
                <w:lang w:eastAsia="zh-CN"/>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14EE2AF2">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806B4D5">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4B6B5EDA">
            <w:pPr>
              <w:pStyle w:val="16"/>
              <w:snapToGrid w:val="0"/>
              <w:spacing w:line="360" w:lineRule="auto"/>
              <w:rPr>
                <w:rFonts w:hint="eastAsia" w:hAnsi="宋体" w:eastAsia="宋体" w:cs="宋体"/>
                <w:color w:val="auto"/>
                <w:sz w:val="21"/>
                <w:highlight w:val="none"/>
                <w:lang w:val="en-US" w:eastAsia="zh-CN"/>
              </w:rPr>
            </w:pPr>
            <w:r>
              <w:rPr>
                <w:rFonts w:hint="eastAsia" w:hAnsi="宋体" w:cs="宋体"/>
                <w:color w:val="auto"/>
                <w:sz w:val="21"/>
                <w:highlight w:val="none"/>
              </w:rPr>
              <w:t>开户名称：中昕国际项目管理有限公司</w:t>
            </w:r>
            <w:r>
              <w:rPr>
                <w:rFonts w:hint="eastAsia" w:hAnsi="宋体" w:cs="宋体"/>
                <w:color w:val="auto"/>
                <w:sz w:val="21"/>
                <w:highlight w:val="none"/>
                <w:lang w:val="en-US" w:eastAsia="zh-CN"/>
              </w:rPr>
              <w:t>南宁分公司</w:t>
            </w:r>
          </w:p>
          <w:p w14:paraId="1D7A779E">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开户银行：兴业银行股份有限公司南宁分行</w:t>
            </w:r>
          </w:p>
          <w:p w14:paraId="04E2EF75">
            <w:pPr>
              <w:pStyle w:val="16"/>
              <w:snapToGrid w:val="0"/>
              <w:spacing w:line="360" w:lineRule="auto"/>
              <w:rPr>
                <w:rFonts w:hAnsi="宋体" w:cs="宋体"/>
                <w:color w:val="auto"/>
                <w:sz w:val="24"/>
                <w:szCs w:val="24"/>
                <w:highlight w:val="none"/>
              </w:rPr>
            </w:pPr>
            <w:r>
              <w:rPr>
                <w:rFonts w:hint="eastAsia" w:hAnsi="宋体" w:cs="宋体"/>
                <w:color w:val="auto"/>
                <w:sz w:val="21"/>
                <w:highlight w:val="none"/>
              </w:rPr>
              <w:t>银行账号：552010100100683441</w:t>
            </w:r>
          </w:p>
        </w:tc>
      </w:tr>
      <w:tr w14:paraId="1131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00A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8627" w:type="dxa"/>
            <w:vAlign w:val="center"/>
          </w:tcPr>
          <w:p w14:paraId="73BF6926">
            <w:pPr>
              <w:pStyle w:val="16"/>
              <w:snapToGrid w:val="0"/>
              <w:spacing w:line="360" w:lineRule="auto"/>
              <w:rPr>
                <w:rFonts w:hAnsi="宋体" w:cs="宋体"/>
                <w:color w:val="auto"/>
                <w:kern w:val="2"/>
                <w:sz w:val="24"/>
                <w:szCs w:val="24"/>
                <w:highlight w:val="none"/>
              </w:rPr>
            </w:pPr>
            <w:r>
              <w:rPr>
                <w:rFonts w:hint="eastAsia" w:hAnsi="宋体" w:cs="宋体"/>
                <w:color w:val="auto"/>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5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B0B4D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33.2</w:t>
            </w:r>
          </w:p>
        </w:tc>
        <w:tc>
          <w:tcPr>
            <w:tcW w:w="8627" w:type="dxa"/>
            <w:vAlign w:val="center"/>
          </w:tcPr>
          <w:p w14:paraId="642B40E0">
            <w:pPr>
              <w:pStyle w:val="16"/>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1.本磋商文件中描述投标人的“公章”是指根据我国对公章的管理规定，用供应商法定主体名称制作的印章</w:t>
            </w:r>
            <w:r>
              <w:rPr>
                <w:rFonts w:hint="eastAsia" w:hAnsi="宋体" w:cs="宋体"/>
                <w:color w:val="auto"/>
                <w:sz w:val="24"/>
                <w:szCs w:val="24"/>
                <w:highlight w:val="none"/>
              </w:rPr>
              <w:t>或供应商通过指定电子化政府采购平台办理数字证书（CA认证）获得的以法定主体名称制作的电子印章。</w:t>
            </w:r>
            <w:r>
              <w:rPr>
                <w:rFonts w:hint="eastAsia" w:hAnsi="宋体" w:cs="宋体"/>
                <w:bCs/>
                <w:color w:val="auto"/>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6A64BCF8">
            <w:pPr>
              <w:pStyle w:val="16"/>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2.供应商为其他组织或者自然人时，本磋商文件规定的法定代表人指负责人或者自然人。本磋商文件所称负责人是指参加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的其他组织营业执照或者执业许可证等证照上的负责人，本磋商文件所称自然人指参与</w:t>
            </w:r>
            <w:r>
              <w:rPr>
                <w:rFonts w:hint="eastAsia" w:hAnsi="宋体" w:cs="宋体"/>
                <w:color w:val="auto"/>
                <w:sz w:val="24"/>
                <w:szCs w:val="24"/>
                <w:highlight w:val="none"/>
              </w:rPr>
              <w:t>竞争性磋商</w:t>
            </w:r>
            <w:r>
              <w:rPr>
                <w:rFonts w:hint="eastAsia" w:hAnsi="宋体" w:cs="宋体"/>
                <w:bCs/>
                <w:color w:val="auto"/>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35B27001">
            <w:pPr>
              <w:pStyle w:val="16"/>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3.本磋商文件中描述投标人的“签字”是指供应商的法定代表人或者委托代理人</w:t>
            </w:r>
            <w:r>
              <w:rPr>
                <w:rFonts w:hint="eastAsia" w:hAnsi="宋体" w:cs="宋体"/>
                <w:color w:val="auto"/>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hAnsi="宋体" w:cs="宋体"/>
                <w:bCs/>
                <w:color w:val="auto"/>
                <w:sz w:val="24"/>
                <w:szCs w:val="24"/>
                <w:highlight w:val="none"/>
              </w:rPr>
              <w:t>。</w:t>
            </w:r>
          </w:p>
          <w:p w14:paraId="197F9E26">
            <w:pPr>
              <w:pStyle w:val="16"/>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FE2CBBB">
            <w:pPr>
              <w:pStyle w:val="16"/>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的，磋商文件规定盖公章处由自然人摁手指指印。</w:t>
            </w:r>
          </w:p>
          <w:p w14:paraId="0EF8940A">
            <w:pPr>
              <w:pStyle w:val="16"/>
              <w:snapToGrid w:val="0"/>
              <w:spacing w:line="360" w:lineRule="auto"/>
              <w:rPr>
                <w:rFonts w:hAnsi="宋体" w:cs="宋体"/>
                <w:color w:val="auto"/>
                <w:sz w:val="24"/>
                <w:szCs w:val="24"/>
                <w:highlight w:val="none"/>
              </w:rPr>
            </w:pPr>
            <w:r>
              <w:rPr>
                <w:rFonts w:hAnsi="宋体" w:cs="宋体"/>
                <w:bCs/>
                <w:color w:val="auto"/>
                <w:sz w:val="24"/>
                <w:highlight w:val="none"/>
              </w:rPr>
              <w:t>6</w:t>
            </w:r>
            <w:r>
              <w:rPr>
                <w:rFonts w:hint="eastAsia" w:hAnsi="宋体" w:cs="宋体"/>
                <w:bCs/>
                <w:color w:val="auto"/>
                <w:sz w:val="24"/>
                <w:highlight w:val="none"/>
              </w:rPr>
              <w:t>.本磋商文件所称的“以上”“以下”“以内”“届满”，包括本数；所称的“不满”“超过”“以外”，不包括本数。</w:t>
            </w:r>
          </w:p>
        </w:tc>
      </w:tr>
    </w:tbl>
    <w:p w14:paraId="3C4A49B5">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08FA7F32">
      <w:pPr>
        <w:spacing w:line="400" w:lineRule="exact"/>
        <w:jc w:val="center"/>
        <w:rPr>
          <w:rFonts w:ascii="宋体" w:hAnsi="宋体" w:cs="宋体"/>
          <w:b/>
          <w:color w:val="auto"/>
          <w:sz w:val="32"/>
          <w:szCs w:val="32"/>
          <w:highlight w:val="none"/>
        </w:rPr>
      </w:pPr>
    </w:p>
    <w:p w14:paraId="0CEE5DD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2F937958">
      <w:pPr>
        <w:spacing w:line="400" w:lineRule="exact"/>
        <w:rPr>
          <w:rFonts w:ascii="宋体" w:hAnsi="宋体" w:cs="宋体"/>
          <w:color w:val="auto"/>
          <w:szCs w:val="21"/>
          <w:highlight w:val="none"/>
        </w:rPr>
      </w:pPr>
    </w:p>
    <w:p w14:paraId="47A2F6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51CB8B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8BCDE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50C2E65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00ADF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1C23D06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24FEC8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5D6647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37C771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hAnsi="宋体" w:cs="宋体"/>
          <w:color w:val="auto"/>
          <w:sz w:val="24"/>
          <w:highlight w:val="none"/>
        </w:rPr>
        <w:t>竞争性磋商</w:t>
      </w:r>
      <w:r>
        <w:rPr>
          <w:rFonts w:hint="eastAsia" w:ascii="宋体" w:hAnsi="宋体" w:cs="宋体"/>
          <w:color w:val="auto"/>
          <w:sz w:val="24"/>
          <w:highlight w:val="none"/>
        </w:rPr>
        <w:t>”是指供应商按照本项目竞争性磋商公告或者邀请函规定的方式获取磋商文件、提交响应文件并希望获得标的的行为。</w:t>
      </w:r>
    </w:p>
    <w:p w14:paraId="7967CD1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2.6“书面形式”是指合同书、信件和数据电文（包括电报、电传、传真、电子数据交换和电子邮件）等可以有形地表现所载内容的形式。</w:t>
      </w:r>
    </w:p>
    <w:p w14:paraId="1E334F0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2.7“响应文件”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316BCC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2.8“实质性要求”是指磋商文件中已经指明不满足则响应文件按无效响应处理的条款，或者不能负偏离的条款，或者采购需求中带“▲”的条款。</w:t>
      </w:r>
    </w:p>
    <w:p w14:paraId="0FA1BD4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2.9“正偏离”，是指响应文件对磋商文件“采购需求”中有关条款作出的响应优于条款要求并有利于采购人的情形。</w:t>
      </w:r>
    </w:p>
    <w:p w14:paraId="4AE7E9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2.10“负偏离”，是指响应文件对磋商文件“采购需求”中有关条款作出的响应不满足条款要求，导致采购人要求不能得到满足的情形。</w:t>
      </w:r>
    </w:p>
    <w:p w14:paraId="3DF9560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2165C3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580CBC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BA30D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3939BB8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hAnsi="宋体" w:cs="宋体"/>
          <w:b/>
          <w:color w:val="auto"/>
          <w:sz w:val="24"/>
          <w:highlight w:val="none"/>
        </w:rPr>
        <w:t>竞争性磋商</w:t>
      </w:r>
      <w:r>
        <w:rPr>
          <w:rFonts w:hint="eastAsia" w:ascii="宋体" w:hAnsi="宋体" w:cs="宋体"/>
          <w:b/>
          <w:bCs/>
          <w:color w:val="auto"/>
          <w:sz w:val="24"/>
          <w:highlight w:val="none"/>
        </w:rPr>
        <w:t>费用</w:t>
      </w:r>
    </w:p>
    <w:p w14:paraId="76DC7F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供应商应承担参与本次采购活动有关的所有费用，包括但不限于获取磋商文件、勘查现场、编制和提交响应文件、参加磋商与应答、签订合同等，不论</w:t>
      </w:r>
      <w:r>
        <w:rPr>
          <w:rFonts w:hint="eastAsia" w:hAnsi="宋体" w:cs="宋体"/>
          <w:color w:val="auto"/>
          <w:sz w:val="24"/>
          <w:highlight w:val="none"/>
        </w:rPr>
        <w:t>竞争性磋商</w:t>
      </w:r>
      <w:r>
        <w:rPr>
          <w:rFonts w:hint="eastAsia" w:ascii="宋体" w:hAnsi="宋体" w:cs="宋体"/>
          <w:color w:val="auto"/>
          <w:sz w:val="24"/>
          <w:highlight w:val="none"/>
        </w:rPr>
        <w:t>结果如何，均应自行承担。</w:t>
      </w:r>
    </w:p>
    <w:p w14:paraId="0425F0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5.联合体参加竞争性磋商</w:t>
      </w:r>
    </w:p>
    <w:p w14:paraId="3E8C6E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5.1本项目是否接受联合体参加竞争性磋商，详见“供应商须知前附表”。</w:t>
      </w:r>
    </w:p>
    <w:p w14:paraId="2C74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5.2如接受联合体参加</w:t>
      </w:r>
      <w:r>
        <w:rPr>
          <w:rFonts w:hint="eastAsia" w:hAnsi="宋体" w:cs="宋体"/>
          <w:color w:val="auto"/>
          <w:sz w:val="24"/>
          <w:highlight w:val="none"/>
        </w:rPr>
        <w:t>竞争性磋商</w:t>
      </w:r>
      <w:r>
        <w:rPr>
          <w:rFonts w:hint="eastAsia" w:ascii="宋体" w:hAnsi="宋体" w:cs="宋体"/>
          <w:color w:val="auto"/>
          <w:sz w:val="24"/>
          <w:highlight w:val="none"/>
        </w:rPr>
        <w:t>，相关要求详见“供应商须知前附表”。</w:t>
      </w:r>
    </w:p>
    <w:p w14:paraId="09C167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w:t>
      </w:r>
      <w:bookmarkStart w:id="20" w:name="_Hlk66782192"/>
      <w:r>
        <w:rPr>
          <w:rFonts w:hint="eastAsia" w:ascii="宋体" w:hAnsi="宋体" w:cs="宋体"/>
          <w:color w:val="auto"/>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w:t>
      </w:r>
      <w:r>
        <w:rPr>
          <w:rFonts w:ascii="宋体" w:hAnsi="宋体" w:cs="宋体"/>
          <w:color w:val="auto"/>
          <w:sz w:val="24"/>
          <w:highlight w:val="none"/>
        </w:rPr>
        <w:t>6%</w:t>
      </w:r>
      <w:r>
        <w:rPr>
          <w:rFonts w:hint="eastAsia" w:ascii="宋体" w:hAnsi="宋体" w:cs="宋体"/>
          <w:color w:val="auto"/>
          <w:sz w:val="24"/>
          <w:highlight w:val="none"/>
        </w:rPr>
        <w:t>，用扣除后的价格参加评审。</w:t>
      </w:r>
      <w:bookmarkEnd w:id="20"/>
    </w:p>
    <w:p w14:paraId="5B9AF2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25DB7D5">
      <w:pPr>
        <w:pStyle w:val="5"/>
        <w:keepNext w:val="0"/>
        <w:keepLines w:val="0"/>
        <w:spacing w:before="0" w:after="0" w:line="360" w:lineRule="auto"/>
        <w:ind w:left="420" w:leftChars="200"/>
        <w:rPr>
          <w:rFonts w:ascii="宋体" w:hAnsi="宋体" w:cs="宋体"/>
          <w:b w:val="0"/>
          <w:color w:val="auto"/>
          <w:sz w:val="24"/>
          <w:szCs w:val="24"/>
          <w:highlight w:val="none"/>
        </w:rPr>
      </w:pPr>
      <w:bookmarkStart w:id="21" w:name="_Toc254970532"/>
      <w:bookmarkStart w:id="22" w:name="_Toc254970673"/>
      <w:r>
        <w:rPr>
          <w:rFonts w:hint="eastAsia" w:ascii="宋体" w:hAnsi="宋体" w:cs="宋体"/>
          <w:b w:val="0"/>
          <w:color w:val="auto"/>
          <w:sz w:val="24"/>
          <w:szCs w:val="24"/>
          <w:highlight w:val="none"/>
        </w:rPr>
        <w:t>6.1本项目不允许转包。</w:t>
      </w:r>
    </w:p>
    <w:p w14:paraId="40625B6B">
      <w:pPr>
        <w:pStyle w:val="5"/>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59E713">
      <w:pPr>
        <w:pStyle w:val="5"/>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C0277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21"/>
      <w:bookmarkEnd w:id="22"/>
    </w:p>
    <w:p w14:paraId="15A1F64D">
      <w:pPr>
        <w:spacing w:line="360" w:lineRule="auto"/>
        <w:ind w:firstLine="480" w:firstLineChars="200"/>
        <w:rPr>
          <w:rFonts w:ascii="宋体" w:hAnsi="宋体" w:cs="宋体"/>
          <w:color w:val="auto"/>
          <w:sz w:val="24"/>
          <w:highlight w:val="none"/>
        </w:rPr>
      </w:pPr>
      <w:bookmarkStart w:id="23" w:name="_8.1提供相同品牌产品且通过资格审查、符合性审查的不同投标人参加同一合"/>
      <w:bookmarkEnd w:id="23"/>
      <w:r>
        <w:rPr>
          <w:rFonts w:hint="eastAsia" w:ascii="宋体" w:hAnsi="宋体" w:cs="宋体"/>
          <w:color w:val="auto"/>
          <w:sz w:val="24"/>
          <w:highlight w:val="none"/>
        </w:rPr>
        <w:t>7.1</w:t>
      </w:r>
      <w:bookmarkStart w:id="24"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4"/>
    <w:p w14:paraId="0172A7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268B67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7.3供应商在参与</w:t>
      </w:r>
      <w:r>
        <w:rPr>
          <w:rFonts w:hint="eastAsia" w:hAnsi="宋体" w:cs="宋体"/>
          <w:color w:val="auto"/>
          <w:sz w:val="24"/>
          <w:highlight w:val="none"/>
        </w:rPr>
        <w:t>竞争性磋商</w:t>
      </w:r>
      <w:r>
        <w:rPr>
          <w:rFonts w:hint="eastAsia" w:ascii="宋体" w:hAnsi="宋体" w:cs="宋体"/>
          <w:color w:val="auto"/>
          <w:sz w:val="24"/>
          <w:highlight w:val="none"/>
        </w:rPr>
        <w:t>活动中提供任何疑似虚假材料，将报监管部门查处；签订合同后发现的，成交供应商须依法赔偿采购人，且民事赔偿并不免除违法供应商的行政与刑事责任。</w:t>
      </w:r>
    </w:p>
    <w:p w14:paraId="4D1D45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770AF8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7AEF7C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5085CE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385F0A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3132D0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0575DD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C7DB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7.5有下列情形之一的视为供应商相互串通参与</w:t>
      </w:r>
      <w:r>
        <w:rPr>
          <w:rFonts w:hint="eastAsia" w:hAnsi="宋体" w:cs="宋体"/>
          <w:color w:val="auto"/>
          <w:sz w:val="24"/>
          <w:highlight w:val="none"/>
        </w:rPr>
        <w:t>竞争性磋商</w:t>
      </w:r>
      <w:r>
        <w:rPr>
          <w:rFonts w:hint="eastAsia" w:ascii="宋体" w:hAnsi="宋体" w:cs="宋体"/>
          <w:color w:val="auto"/>
          <w:sz w:val="24"/>
          <w:highlight w:val="none"/>
        </w:rPr>
        <w:t>，响应文件将被视为无效：</w:t>
      </w:r>
    </w:p>
    <w:p w14:paraId="2F3D6A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（1）不同供应商的响应文件由同一单位或者个人编制；或不同供应商报名的IP地址一致的; </w:t>
      </w:r>
    </w:p>
    <w:p w14:paraId="623C49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竞争性磋商</w:t>
      </w:r>
      <w:r>
        <w:rPr>
          <w:rFonts w:hint="eastAsia" w:ascii="宋体" w:hAnsi="宋体" w:cs="宋体"/>
          <w:color w:val="auto"/>
          <w:sz w:val="24"/>
          <w:highlight w:val="none"/>
        </w:rPr>
        <w:t>事宜；</w:t>
      </w:r>
    </w:p>
    <w:p w14:paraId="3DCBB6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4B21E4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6E57A7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3CC0456">
      <w:pPr>
        <w:tabs>
          <w:tab w:val="left" w:pos="6931"/>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6268F1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（7）供应商之间协商报价等响应文件的实质性内容；</w:t>
      </w:r>
    </w:p>
    <w:p w14:paraId="6F1286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（8）供应商之间约定成交供应商；</w:t>
      </w:r>
    </w:p>
    <w:p w14:paraId="34CDC5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（9）供应商之间约定部分供应商放弃参与竞争性磋商或者成交；</w:t>
      </w:r>
    </w:p>
    <w:p w14:paraId="550F3C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（10）属于同一集团、协会、商会等组织成员的供应商按照该组织要求协同参与竞争性磋商；</w:t>
      </w:r>
    </w:p>
    <w:p w14:paraId="2DD78802">
      <w:pPr>
        <w:pStyle w:val="13"/>
        <w:ind w:firstLine="480" w:firstLineChars="200"/>
        <w:rPr>
          <w:color w:val="auto"/>
          <w:highlight w:val="none"/>
        </w:rPr>
      </w:pPr>
      <w:r>
        <w:rPr>
          <w:rFonts w:hint="eastAsia" w:ascii="宋体" w:hAnsi="宋体" w:cs="宋体"/>
          <w:color w:val="auto"/>
          <w:sz w:val="24"/>
          <w:highlight w:val="none"/>
        </w:rPr>
        <w:t>（11）供应商之间为谋取成交或者排斥特定供应商而采取的其他联合行动。</w:t>
      </w:r>
    </w:p>
    <w:p w14:paraId="34CF34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0C0DBF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066A22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0CD21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487C7A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A7845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（5）供应商之间事先约定一致抬高或者压低报价，或者在政府采购活动中事先约定轮流以高价位或者低价位成交，或者事先约定由某一特定供应商成交，然后再参加竞争性磋商；</w:t>
      </w:r>
    </w:p>
    <w:p w14:paraId="2316E9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107B4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6E892C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7.7竞争性磋商委托</w:t>
      </w:r>
    </w:p>
    <w:p w14:paraId="1F6C81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供应商代表参加竞争性磋商活动过程中必须携带个人有效身份证件。如供应商代表不是法定代表人，须持有授权委托书（按第五章要求格式填写）。</w:t>
      </w:r>
    </w:p>
    <w:p w14:paraId="48821FFA">
      <w:pPr>
        <w:pStyle w:val="13"/>
        <w:ind w:firstLine="420"/>
        <w:rPr>
          <w:color w:val="auto"/>
          <w:highlight w:val="none"/>
        </w:rPr>
      </w:pPr>
    </w:p>
    <w:p w14:paraId="5F93428B">
      <w:pPr>
        <w:spacing w:line="360" w:lineRule="auto"/>
        <w:ind w:firstLine="480" w:firstLineChars="200"/>
        <w:rPr>
          <w:rFonts w:ascii="宋体" w:hAnsi="宋体" w:cs="宋体"/>
          <w:color w:val="auto"/>
          <w:sz w:val="24"/>
          <w:highlight w:val="none"/>
        </w:rPr>
      </w:pPr>
    </w:p>
    <w:p w14:paraId="2F6CB6F3">
      <w:pPr>
        <w:spacing w:line="360" w:lineRule="auto"/>
        <w:jc w:val="center"/>
        <w:rPr>
          <w:rFonts w:ascii="宋体" w:hAnsi="宋体" w:cs="宋体"/>
          <w:b/>
          <w:bCs/>
          <w:color w:val="auto"/>
          <w:sz w:val="24"/>
          <w:highlight w:val="none"/>
        </w:rPr>
      </w:pPr>
      <w:bookmarkStart w:id="25" w:name="_Toc254970534"/>
      <w:bookmarkStart w:id="26" w:name="_Toc254970675"/>
      <w:r>
        <w:rPr>
          <w:rFonts w:hint="eastAsia" w:ascii="宋体" w:hAnsi="宋体" w:cs="宋体"/>
          <w:b/>
          <w:bCs/>
          <w:color w:val="auto"/>
          <w:sz w:val="24"/>
          <w:highlight w:val="none"/>
        </w:rPr>
        <w:t>二、磋商文件</w:t>
      </w:r>
      <w:bookmarkEnd w:id="25"/>
      <w:bookmarkEnd w:id="26"/>
    </w:p>
    <w:p w14:paraId="78B343B1">
      <w:pPr>
        <w:spacing w:line="360" w:lineRule="auto"/>
        <w:ind w:firstLine="482" w:firstLineChars="200"/>
        <w:rPr>
          <w:rFonts w:ascii="宋体" w:hAnsi="宋体" w:cs="宋体"/>
          <w:b/>
          <w:bCs/>
          <w:color w:val="auto"/>
          <w:sz w:val="24"/>
          <w:highlight w:val="none"/>
        </w:rPr>
      </w:pPr>
    </w:p>
    <w:p w14:paraId="1038DF1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70D2CCD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（1）竞争性磋商公告；</w:t>
      </w:r>
    </w:p>
    <w:p w14:paraId="620863D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76EBEB8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（3）采购需求；</w:t>
      </w:r>
    </w:p>
    <w:p w14:paraId="53B7768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（4）评审程序、评审方法和评审标准；</w:t>
      </w:r>
    </w:p>
    <w:p w14:paraId="404A12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（5）响应文件格式；</w:t>
      </w:r>
    </w:p>
    <w:p w14:paraId="74B09D3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olor w:val="auto"/>
          <w:sz w:val="24"/>
          <w:highlight w:val="none"/>
        </w:rPr>
        <w:t>拟签订的</w:t>
      </w:r>
      <w:r>
        <w:rPr>
          <w:rFonts w:hint="eastAsia" w:ascii="宋体" w:hAnsi="宋体" w:cs="宋体"/>
          <w:color w:val="auto"/>
          <w:sz w:val="24"/>
          <w:highlight w:val="none"/>
        </w:rPr>
        <w:t>合同文本。</w:t>
      </w:r>
    </w:p>
    <w:p w14:paraId="368CD9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48FEA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3027E9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06382E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459E1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10.2采购人和采购代理机构可以视采购具体情况，变更首次响应文件提交截止时间和开启时间，并在原公告发布媒体上发布更正公告。</w:t>
      </w:r>
    </w:p>
    <w:p w14:paraId="7736F1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10.3磋商文件澄清、答复、修改、补充的内容为磋商文件的组成部分。</w:t>
      </w:r>
      <w:r>
        <w:rPr>
          <w:rFonts w:hint="eastAsia" w:ascii="宋体" w:hAnsi="宋体" w:cs="宋体"/>
          <w:b/>
          <w:color w:val="auto"/>
          <w:sz w:val="24"/>
          <w:highlight w:val="none"/>
        </w:rPr>
        <w:t>当磋商文件与磋商文件的澄清、答复、修改、补充通知就同一内容的表述不一致时，以最后发出的文件为准。</w:t>
      </w:r>
    </w:p>
    <w:p w14:paraId="11E31D2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10.4响应文件未按磋商文件的澄清、修改后的内容编制的，其响应文件作无效响应处理。</w:t>
      </w:r>
    </w:p>
    <w:p w14:paraId="50E2DCDA">
      <w:pPr>
        <w:spacing w:line="360" w:lineRule="auto"/>
        <w:ind w:firstLine="482" w:firstLineChars="200"/>
        <w:rPr>
          <w:rFonts w:ascii="宋体" w:hAnsi="宋体" w:cs="宋体"/>
          <w:b/>
          <w:color w:val="auto"/>
          <w:sz w:val="24"/>
          <w:highlight w:val="none"/>
        </w:rPr>
      </w:pPr>
    </w:p>
    <w:p w14:paraId="2A3F760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三、响应文件的编制</w:t>
      </w:r>
    </w:p>
    <w:p w14:paraId="5FA0CF46">
      <w:pPr>
        <w:spacing w:line="360" w:lineRule="auto"/>
        <w:ind w:firstLine="482" w:firstLineChars="200"/>
        <w:rPr>
          <w:rFonts w:ascii="宋体" w:hAnsi="宋体" w:cs="宋体"/>
          <w:b/>
          <w:bCs/>
          <w:color w:val="auto"/>
          <w:sz w:val="24"/>
          <w:highlight w:val="none"/>
        </w:rPr>
      </w:pPr>
    </w:p>
    <w:p w14:paraId="373CA89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D1D76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供应商必须按照磋商文件的要求编制响应文件，并对其提交的响应文件的真实性、合法性承担法律责任。响应文件必须对磋商文件做出实质性响应。</w:t>
      </w:r>
    </w:p>
    <w:p w14:paraId="5E5293C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0FBB9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12.1响应文件由资格证明文件、报价商务服务文件两部分组成。</w:t>
      </w:r>
    </w:p>
    <w:p w14:paraId="73F7AC78">
      <w:pPr>
        <w:spacing w:line="360" w:lineRule="auto"/>
        <w:ind w:left="900" w:leftChars="200" w:hanging="480" w:hanging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7FA07BFD">
      <w:pPr>
        <w:spacing w:line="360" w:lineRule="auto"/>
        <w:ind w:left="900" w:leftChars="200" w:hanging="480" w:hangingChars="200"/>
        <w:rPr>
          <w:rFonts w:ascii="宋体" w:hAnsi="宋体" w:cs="宋体"/>
          <w:color w:val="auto"/>
          <w:sz w:val="24"/>
          <w:highlight w:val="none"/>
        </w:rPr>
      </w:pPr>
      <w:r>
        <w:rPr>
          <w:rFonts w:hint="eastAsia" w:ascii="宋体" w:hAnsi="宋体" w:cs="宋体"/>
          <w:color w:val="auto"/>
          <w:sz w:val="24"/>
          <w:highlight w:val="none"/>
        </w:rPr>
        <w:t>12.1.2报价商务服务文件：详见须知前附表</w:t>
      </w:r>
    </w:p>
    <w:p w14:paraId="4AC197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7FE241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2605C7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14.竞争性磋商的风险</w:t>
      </w:r>
    </w:p>
    <w:p w14:paraId="46CB0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供应商没有按照磋商文件要求提供全部资料，或者供应商没有对磋商文件在各方面做出实质性响应可能导致其响应无效，是供应商应当考虑的风险。</w:t>
      </w:r>
    </w:p>
    <w:p w14:paraId="75DE36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15.竞争性磋商报价</w:t>
      </w:r>
    </w:p>
    <w:p w14:paraId="68EE71DF">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15.1竞争性磋商报价应按磋商文件中“竞争性磋商报价表”格式填写。</w:t>
      </w:r>
    </w:p>
    <w:p w14:paraId="1E936C61">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15.2竞争性磋商报价的内容见“供应商须知前附表”。</w:t>
      </w:r>
    </w:p>
    <w:p w14:paraId="18B17C17">
      <w:pPr>
        <w:spacing w:line="360" w:lineRule="auto"/>
        <w:ind w:left="426" w:leftChars="203"/>
        <w:rPr>
          <w:rFonts w:ascii="宋体" w:hAnsi="宋体" w:cs="宋体"/>
          <w:color w:val="auto"/>
          <w:sz w:val="24"/>
          <w:highlight w:val="none"/>
        </w:rPr>
      </w:pPr>
      <w:r>
        <w:rPr>
          <w:rFonts w:hint="eastAsia" w:ascii="宋体" w:hAnsi="宋体" w:cs="宋体"/>
          <w:color w:val="auto"/>
          <w:sz w:val="24"/>
          <w:highlight w:val="none"/>
        </w:rPr>
        <w:t>15.3竞争性磋商报价要求</w:t>
      </w:r>
    </w:p>
    <w:p w14:paraId="6BF2305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15.3.1供应商的竞争性磋商报价应符合以下要求，否则响应文件按无效响应处理：</w:t>
      </w:r>
    </w:p>
    <w:p w14:paraId="45350C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1F32A8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7575187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15.3.2</w:t>
      </w:r>
      <w:r>
        <w:rPr>
          <w:rFonts w:hint="eastAsia" w:ascii="宋体" w:hAnsi="宋体" w:cs="宋体"/>
          <w:color w:val="auto"/>
          <w:sz w:val="24"/>
          <w:highlight w:val="none"/>
        </w:rPr>
        <w:t>竞争性磋商报价（包含首次报价、最后报价）超过所开展竞争性磋商分标规定的采购预算金额或者最高限价的，其响应文件将按无效响应处理。</w:t>
      </w:r>
      <w:bookmarkStart w:id="27" w:name="_Hlk42592874"/>
    </w:p>
    <w:p w14:paraId="1A63CE3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15.3.3</w:t>
      </w:r>
      <w:r>
        <w:rPr>
          <w:rFonts w:hint="eastAsia" w:ascii="宋体" w:hAnsi="宋体" w:cs="宋体"/>
          <w:color w:val="auto"/>
          <w:sz w:val="24"/>
          <w:highlight w:val="none"/>
        </w:rPr>
        <w:t>竞争性磋商报价（包含首次报价、最后报价）超过分项采购预算金额或者最高限价的，其响应文件将按无效处理。</w:t>
      </w:r>
    </w:p>
    <w:bookmarkEnd w:id="27"/>
    <w:p w14:paraId="2837B0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16.竞争性磋商有效期</w:t>
      </w:r>
    </w:p>
    <w:p w14:paraId="7B8DE9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0E4581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竞争性磋商有效期应由供应商按“供应商须知前附表”规定的期限作出响应。</w:t>
      </w:r>
    </w:p>
    <w:p w14:paraId="1B886C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16.3供应商的响应文件在竞争性磋商有效期内均保持有效。</w:t>
      </w:r>
    </w:p>
    <w:p w14:paraId="5BA8AF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1725962">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17.1供应商须按“供应商须知前附表”的规定提交磋商保证金。</w:t>
      </w:r>
    </w:p>
    <w:p w14:paraId="4ADC0494">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17.2磋商保证金的退还</w:t>
      </w:r>
    </w:p>
    <w:p w14:paraId="75A884E5">
      <w:pPr>
        <w:spacing w:line="360" w:lineRule="auto"/>
        <w:ind w:firstLine="480" w:firstLineChars="200"/>
        <w:rPr>
          <w:rFonts w:ascii="宋体" w:hAnsi="宋体" w:cs="宋体"/>
          <w:color w:val="auto"/>
          <w:sz w:val="24"/>
          <w:highlight w:val="none"/>
        </w:rPr>
      </w:pPr>
      <w:bookmarkStart w:id="28"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成交供应商的磋商保证金自成交通知书发出之日起4个工作日内退还；</w:t>
      </w:r>
      <w:r>
        <w:rPr>
          <w:rFonts w:hint="eastAsia" w:ascii="宋体" w:hAnsi="宋体" w:cs="宋体"/>
          <w:color w:val="auto"/>
          <w:sz w:val="24"/>
          <w:highlight w:val="none"/>
        </w:rPr>
        <w:t>成交供应商的磋商保证金自签订合同之日起4个工作日内退还。</w:t>
      </w:r>
      <w:bookmarkEnd w:id="28"/>
      <w:r>
        <w:rPr>
          <w:rFonts w:hint="eastAsia" w:ascii="宋体" w:hAnsi="宋体" w:cs="宋体"/>
          <w:color w:val="auto"/>
          <w:sz w:val="24"/>
          <w:highlight w:val="none"/>
        </w:rPr>
        <w:t xml:space="preserve"> </w:t>
      </w:r>
    </w:p>
    <w:p w14:paraId="5CFF2AF1">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17.3磋商保证金不计息。</w:t>
      </w:r>
    </w:p>
    <w:p w14:paraId="441F532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00C65684">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w:t>
      </w:r>
    </w:p>
    <w:p w14:paraId="53F1BAC7">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7B97404E">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748AD7B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0D833A9D">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7E6C617D">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1EE4EB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F1A2844">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18.1供应商应按本磋商文件规定的格式和顺序编制响应文件并标注页码，响应文件内容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highlight w:val="none"/>
        </w:rPr>
        <w:t>由此引发的</w:t>
      </w:r>
      <w:r>
        <w:rPr>
          <w:rFonts w:hint="eastAsia" w:ascii="宋体" w:hAnsi="宋体" w:cs="宋体"/>
          <w:color w:val="auto"/>
          <w:spacing w:val="-6"/>
          <w:sz w:val="24"/>
          <w:highlight w:val="none"/>
        </w:rPr>
        <w:t>后果由供应商承担。</w:t>
      </w:r>
    </w:p>
    <w:p w14:paraId="39878A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18.2响应文件应按资格证明文件、报价商务服务文件分别编制电子文件，</w:t>
      </w:r>
      <w:r>
        <w:rPr>
          <w:rFonts w:hint="eastAsia" w:ascii="宋体" w:hAnsi="宋体" w:cs="宋体"/>
          <w:color w:val="auto"/>
          <w:sz w:val="24"/>
          <w:highlight w:val="none"/>
          <w:lang w:bidi="ar"/>
        </w:rPr>
        <w:t>并按广西政府采购云平台的要求编制、加密、上传。</w:t>
      </w:r>
    </w:p>
    <w:p w14:paraId="1FDFDD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29" w:name="_Hlk65832699"/>
      <w:r>
        <w:rPr>
          <w:rFonts w:hint="eastAsia" w:ascii="宋体" w:hAnsi="宋体" w:cs="宋体"/>
          <w:color w:val="auto"/>
          <w:sz w:val="24"/>
          <w:highlight w:val="none"/>
        </w:rPr>
        <w:t>3响应文件须由供应商在规定位置盖公章并签字</w:t>
      </w:r>
      <w:bookmarkStart w:id="30" w:name="_Hlk65832569"/>
      <w:r>
        <w:rPr>
          <w:rFonts w:hint="eastAsia" w:ascii="宋体" w:hAnsi="宋体" w:cs="宋体"/>
          <w:color w:val="auto"/>
          <w:sz w:val="24"/>
          <w:highlight w:val="none"/>
        </w:rPr>
        <w:t>（具体以供应商须知前附表或响应文件格式规定为准）</w:t>
      </w:r>
      <w:bookmarkEnd w:id="29"/>
      <w:bookmarkEnd w:id="30"/>
      <w:r>
        <w:rPr>
          <w:rFonts w:hint="eastAsia" w:ascii="宋体" w:hAnsi="宋体" w:cs="宋体"/>
          <w:color w:val="auto"/>
          <w:sz w:val="24"/>
          <w:highlight w:val="none"/>
        </w:rPr>
        <w:t>，否则其响应文件按无效响应处理。</w:t>
      </w:r>
    </w:p>
    <w:p w14:paraId="6A4ACC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5293CB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AE0897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19.响应文件的加密、解密及电子备份响应文件</w:t>
      </w:r>
    </w:p>
    <w:p w14:paraId="630542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19.1电子响应文件编制完成后，供应商应按广西政府采购云平台的要求进行加密，并在规定时间内解密，否则，由此产生的后果由供应商自行负责。</w:t>
      </w:r>
    </w:p>
    <w:p w14:paraId="6AA4AA8B">
      <w:pPr>
        <w:spacing w:line="360" w:lineRule="auto"/>
        <w:ind w:firstLine="480" w:firstLineChars="200"/>
        <w:rPr>
          <w:color w:val="auto"/>
          <w:highlight w:val="none"/>
        </w:rPr>
      </w:pPr>
      <w:r>
        <w:rPr>
          <w:rFonts w:ascii="宋体" w:hAnsi="宋体" w:cs="宋体"/>
          <w:color w:val="auto"/>
          <w:sz w:val="24"/>
          <w:highlight w:val="none"/>
        </w:rPr>
        <w:t>19.2</w:t>
      </w:r>
      <w:r>
        <w:rPr>
          <w:rFonts w:hint="eastAsia" w:ascii="宋体" w:hAnsi="宋体" w:cs="宋体"/>
          <w:color w:val="auto"/>
          <w:sz w:val="24"/>
          <w:highlight w:val="none"/>
        </w:rPr>
        <w:t>电子备份响应文件是指通过“广西政府采购云平台电子投标客户端”在线编制生成且后缀名为“</w:t>
      </w:r>
      <w:r>
        <w:rPr>
          <w:rFonts w:ascii="宋体" w:hAnsi="宋体" w:cs="宋体"/>
          <w:color w:val="auto"/>
          <w:sz w:val="24"/>
          <w:highlight w:val="none"/>
        </w:rPr>
        <w:t>bfbs</w:t>
      </w:r>
      <w:r>
        <w:rPr>
          <w:rFonts w:hint="eastAsia" w:ascii="宋体" w:hAnsi="宋体" w:cs="宋体"/>
          <w:color w:val="auto"/>
          <w:sz w:val="24"/>
          <w:highlight w:val="none"/>
        </w:rPr>
        <w:t>”的文件，是否接受电子备份响应文件详见在“供应商须知前附表”。</w:t>
      </w:r>
    </w:p>
    <w:p w14:paraId="5BD577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75A2A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492BF512">
      <w:pPr>
        <w:widowControl/>
        <w:spacing w:line="360" w:lineRule="auto"/>
        <w:ind w:firstLine="480" w:firstLineChars="200"/>
        <w:rPr>
          <w:rFonts w:ascii="宋体" w:hAnsi="宋体" w:cs="宋体"/>
          <w:b/>
          <w:color w:val="auto"/>
          <w:sz w:val="24"/>
          <w:highlight w:val="none"/>
          <w:lang w:bidi="ar"/>
        </w:rPr>
      </w:pPr>
      <w:r>
        <w:rPr>
          <w:rFonts w:hint="eastAsia" w:ascii="宋体" w:hAnsi="宋体" w:cs="宋体"/>
          <w:color w:val="auto"/>
          <w:sz w:val="24"/>
          <w:highlight w:val="none"/>
        </w:rPr>
        <w:t>20.2</w:t>
      </w:r>
      <w:r>
        <w:rPr>
          <w:rFonts w:hint="eastAsia" w:ascii="宋体" w:hAnsi="宋体" w:cs="宋体"/>
          <w:color w:val="auto"/>
          <w:sz w:val="24"/>
          <w:highlight w:val="none"/>
          <w:lang w:bidi="ar"/>
        </w:rPr>
        <w:t>本项目为全流程电子化政府采购项目，通过广西政府采购云平台（https://www.gcy.zfcg.gxzf.gov.cn/）实行在线电子</w:t>
      </w:r>
      <w:r>
        <w:rPr>
          <w:rFonts w:hint="eastAsia" w:ascii="宋体" w:hAnsi="宋体" w:cs="宋体"/>
          <w:color w:val="auto"/>
          <w:sz w:val="24"/>
          <w:highlight w:val="none"/>
        </w:rPr>
        <w:t>竞争性磋商</w:t>
      </w:r>
      <w:r>
        <w:rPr>
          <w:rFonts w:hint="eastAsia" w:ascii="宋体" w:hAnsi="宋体" w:cs="宋体"/>
          <w:color w:val="auto"/>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36658CA1">
      <w:pPr>
        <w:pStyle w:val="5"/>
        <w:keepNext w:val="0"/>
        <w:keepLines w:val="0"/>
        <w:spacing w:before="0" w:after="0" w:line="360" w:lineRule="auto"/>
        <w:ind w:firstLine="480" w:firstLineChars="2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20.3未在规定时间内上传或者未按广西政府采购云平台的要求编制、加密的电子响应文件，广西政府采购云平台将拒收。</w:t>
      </w:r>
    </w:p>
    <w:p w14:paraId="70D0D533">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20.4电子响应文件提交方</w:t>
      </w:r>
      <w:r>
        <w:rPr>
          <w:rFonts w:hint="eastAsia" w:ascii="宋体" w:hAnsi="宋体" w:cs="宋体"/>
          <w:bCs/>
          <w:color w:val="auto"/>
          <w:sz w:val="24"/>
          <w:szCs w:val="24"/>
          <w:highlight w:val="none"/>
        </w:rPr>
        <w:t>式见“竞争性磋商公告”</w:t>
      </w:r>
      <w:r>
        <w:rPr>
          <w:rFonts w:hint="eastAsia" w:ascii="宋体" w:hAnsi="宋体" w:cs="宋体"/>
          <w:color w:val="auto"/>
          <w:sz w:val="24"/>
          <w:szCs w:val="24"/>
          <w:highlight w:val="none"/>
        </w:rPr>
        <w:t>中“四、响应文件提交”。</w:t>
      </w:r>
    </w:p>
    <w:p w14:paraId="1690082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94A48B">
      <w:pPr>
        <w:spacing w:line="360" w:lineRule="auto"/>
        <w:ind w:firstLine="480" w:firstLineChars="200"/>
        <w:rPr>
          <w:rFonts w:ascii="宋体" w:hAnsi="宋体" w:cs="宋体"/>
          <w:bCs/>
          <w:color w:val="auto"/>
          <w:sz w:val="24"/>
          <w:highlight w:val="none"/>
          <w:lang w:bidi="ar"/>
        </w:rPr>
      </w:pPr>
      <w:r>
        <w:rPr>
          <w:rFonts w:hint="eastAsia" w:ascii="宋体" w:hAnsi="宋体" w:cs="宋体"/>
          <w:bCs/>
          <w:color w:val="auto"/>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17793813">
      <w:pPr>
        <w:spacing w:line="360" w:lineRule="auto"/>
        <w:ind w:firstLine="482" w:firstLineChars="200"/>
        <w:rPr>
          <w:rFonts w:ascii="宋体" w:hAnsi="宋体" w:cs="宋体"/>
          <w:b/>
          <w:bCs/>
          <w:color w:val="auto"/>
          <w:sz w:val="24"/>
          <w:highlight w:val="none"/>
        </w:rPr>
      </w:pPr>
      <w:bookmarkStart w:id="31" w:name="_Hlk45702405"/>
      <w:r>
        <w:rPr>
          <w:rFonts w:hint="eastAsia" w:ascii="宋体" w:hAnsi="宋体" w:cs="宋体"/>
          <w:b/>
          <w:bCs/>
          <w:color w:val="auto"/>
          <w:sz w:val="24"/>
          <w:highlight w:val="none"/>
        </w:rPr>
        <w:t>22.首次响应文件的退回</w:t>
      </w:r>
    </w:p>
    <w:p w14:paraId="2068E0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27E75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7869CB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23.1供应商在首次响应文件提交截止时间后书面通知采购人、采购代理机构书面撤回响应文件的，将根据本磋商文件《供应商须知正文》第17.4条的规定不予退还其磋商保证金。</w:t>
      </w:r>
    </w:p>
    <w:bookmarkEnd w:id="31"/>
    <w:p w14:paraId="0DB0CF6F">
      <w:pPr>
        <w:spacing w:line="360" w:lineRule="auto"/>
        <w:rPr>
          <w:rFonts w:ascii="宋体" w:hAnsi="宋体" w:cs="宋体"/>
          <w:color w:val="auto"/>
          <w:sz w:val="24"/>
          <w:highlight w:val="none"/>
        </w:rPr>
      </w:pPr>
    </w:p>
    <w:p w14:paraId="5312986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四、评审及磋商</w:t>
      </w:r>
    </w:p>
    <w:p w14:paraId="0B6CD740">
      <w:pPr>
        <w:spacing w:line="360" w:lineRule="auto"/>
        <w:ind w:firstLine="482" w:firstLineChars="200"/>
        <w:rPr>
          <w:rFonts w:ascii="宋体" w:hAnsi="宋体" w:cs="宋体"/>
          <w:b/>
          <w:bCs/>
          <w:color w:val="auto"/>
          <w:sz w:val="24"/>
          <w:highlight w:val="none"/>
        </w:rPr>
      </w:pPr>
    </w:p>
    <w:p w14:paraId="698A58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7B6239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24F75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D67836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728F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092FAA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r>
        <w:rPr>
          <w:rFonts w:hint="eastAsia" w:ascii="宋体" w:hAnsi="宋体" w:cs="宋体"/>
          <w:color w:val="auto"/>
          <w:sz w:val="24"/>
          <w:highlight w:val="none"/>
        </w:rPr>
        <w:t>（解密异常情况处理：详见本章26.</w:t>
      </w:r>
      <w:r>
        <w:rPr>
          <w:rFonts w:ascii="宋体" w:hAnsi="宋体" w:cs="宋体"/>
          <w:color w:val="auto"/>
          <w:sz w:val="24"/>
          <w:highlight w:val="none"/>
        </w:rPr>
        <w:t>3</w:t>
      </w:r>
      <w:r>
        <w:rPr>
          <w:rFonts w:hint="eastAsia" w:ascii="宋体" w:hAnsi="宋体" w:cs="宋体"/>
          <w:color w:val="auto"/>
          <w:sz w:val="24"/>
          <w:highlight w:val="none"/>
        </w:rPr>
        <w:t>电子交易活动的中止。）</w:t>
      </w:r>
    </w:p>
    <w:p w14:paraId="049E43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25.3成功解密响应文件的供应商不足3家的，不得磋商。</w:t>
      </w:r>
    </w:p>
    <w:p w14:paraId="469BCF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6272C0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737A1C26">
      <w:pPr>
        <w:spacing w:line="360" w:lineRule="auto"/>
        <w:ind w:firstLine="480" w:firstLineChars="200"/>
        <w:rPr>
          <w:color w:val="auto"/>
          <w:highlight w:val="none"/>
        </w:rPr>
      </w:pPr>
      <w:r>
        <w:rPr>
          <w:rFonts w:hint="eastAsia" w:ascii="宋体" w:hAnsi="宋体" w:cs="宋体"/>
          <w:color w:val="auto"/>
          <w:sz w:val="24"/>
          <w:highlight w:val="none"/>
        </w:rPr>
        <w:t>26.</w:t>
      </w:r>
      <w:r>
        <w:rPr>
          <w:rFonts w:ascii="宋体" w:hAnsi="宋体" w:cs="宋体"/>
          <w:color w:val="auto"/>
          <w:sz w:val="24"/>
          <w:highlight w:val="none"/>
        </w:rPr>
        <w:t>2</w:t>
      </w:r>
      <w:r>
        <w:rPr>
          <w:rFonts w:hint="eastAsia" w:ascii="宋体" w:hAnsi="宋体" w:cs="宋体"/>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4A18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3</w:t>
      </w:r>
      <w:r>
        <w:rPr>
          <w:rFonts w:hint="eastAsia" w:ascii="宋体" w:hAnsi="宋体" w:cs="宋体"/>
          <w:color w:val="auto"/>
          <w:sz w:val="24"/>
          <w:highlight w:val="none"/>
        </w:rPr>
        <w:t>电子交易活动的中止。采购过程中出现以下情形，导致电子交易平台无法正常运行，或者无法保证电子交易的公平、公正和安全时，采购机构可中止电子交易活动：</w:t>
      </w:r>
    </w:p>
    <w:p w14:paraId="209734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63BABA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0D9989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5636DB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1199F6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）其他无法保证电子交易的公平、公正和安全的情况。</w:t>
      </w:r>
    </w:p>
    <w:p w14:paraId="22BFD9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4</w:t>
      </w:r>
      <w:r>
        <w:rPr>
          <w:rFonts w:hint="eastAsia" w:ascii="宋体" w:hAnsi="宋体" w:cs="宋体"/>
          <w:color w:val="auto"/>
          <w:sz w:val="24"/>
          <w:highlight w:val="none"/>
        </w:rPr>
        <w:t>出现以上情形，不影响采购公平、公正性的，采购代理机构可以待上述情形消除后继续组织电子交易活动；影响或可能影响采购公平、公正性的，经采购代理机构确认后，应当重新采购。</w:t>
      </w:r>
    </w:p>
    <w:p w14:paraId="3A0030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459F9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6A5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27.2采购代理机构应当在</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供应商确定后2个工作日内，在省级以上财政部门指定的媒体上公告成交结果，同时向成交供应商发出成交通知书。</w:t>
      </w:r>
      <w:r>
        <w:rPr>
          <w:rFonts w:hint="eastAsia" w:ascii="宋体" w:hAnsi="宋体" w:cs="宋体"/>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2" w:name="_Hlk66782294"/>
      <w:r>
        <w:rPr>
          <w:rFonts w:hint="eastAsia" w:ascii="宋体" w:hAnsi="宋体" w:cs="宋体"/>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32"/>
    </w:p>
    <w:p w14:paraId="69AAADF9">
      <w:pPr>
        <w:spacing w:line="360" w:lineRule="auto"/>
        <w:ind w:firstLine="480" w:firstLineChars="200"/>
        <w:rPr>
          <w:b/>
          <w:color w:val="auto"/>
          <w:highlight w:val="none"/>
        </w:rPr>
      </w:pPr>
      <w:r>
        <w:rPr>
          <w:rFonts w:hint="eastAsia" w:ascii="宋体" w:hAnsi="宋体" w:cs="宋体"/>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18EAD35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27.4</w:t>
      </w:r>
      <w:r>
        <w:rPr>
          <w:rFonts w:hint="eastAsia" w:ascii="宋体" w:hAnsi="宋体" w:cs="宋体"/>
          <w:color w:val="auto"/>
          <w:sz w:val="24"/>
          <w:highlight w:val="none"/>
        </w:rPr>
        <w:t>出现下列情形之一的，采购人或者采购代理机构应当终止竞争性磋商采购活动，发布项目终止公告并说明原因，重新开展采购活动：</w:t>
      </w:r>
    </w:p>
    <w:p w14:paraId="03BBB5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）因情况变化，不再符合规定的竞争性磋商采购方式适用情形的；</w:t>
      </w:r>
    </w:p>
    <w:p w14:paraId="5333E4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）出现影响采购公正的违法、违规行为的；</w:t>
      </w:r>
    </w:p>
    <w:p w14:paraId="08D90F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）除“第四章</w:t>
      </w:r>
      <w:r>
        <w:rPr>
          <w:rFonts w:ascii="宋体" w:hAnsi="宋体" w:cs="宋体"/>
          <w:color w:val="auto"/>
          <w:sz w:val="24"/>
          <w:highlight w:val="none"/>
        </w:rPr>
        <w:t xml:space="preserve"> </w:t>
      </w:r>
      <w:r>
        <w:rPr>
          <w:rFonts w:hint="eastAsia" w:ascii="宋体" w:hAnsi="宋体" w:cs="宋体"/>
          <w:color w:val="auto"/>
          <w:sz w:val="24"/>
          <w:highlight w:val="none"/>
        </w:rPr>
        <w:t>评审程序、评审方法和评审标准”第</w:t>
      </w:r>
      <w:r>
        <w:rPr>
          <w:rFonts w:ascii="宋体" w:hAnsi="宋体" w:cs="宋体"/>
          <w:color w:val="auto"/>
          <w:sz w:val="24"/>
          <w:highlight w:val="none"/>
        </w:rPr>
        <w:t>4.3</w:t>
      </w:r>
      <w:r>
        <w:rPr>
          <w:rFonts w:hint="eastAsia" w:ascii="宋体" w:hAnsi="宋体" w:cs="宋体"/>
          <w:color w:val="auto"/>
          <w:sz w:val="24"/>
          <w:highlight w:val="none"/>
        </w:rPr>
        <w:t>条规定的情形外，在采购过程中符合要求的供应商或者报价未超过采购预算的供应商不足</w:t>
      </w:r>
      <w:r>
        <w:rPr>
          <w:rFonts w:ascii="宋体" w:hAnsi="宋体" w:cs="宋体"/>
          <w:color w:val="auto"/>
          <w:sz w:val="24"/>
          <w:highlight w:val="none"/>
        </w:rPr>
        <w:t>3</w:t>
      </w:r>
      <w:r>
        <w:rPr>
          <w:rFonts w:hint="eastAsia" w:ascii="宋体" w:hAnsi="宋体" w:cs="宋体"/>
          <w:color w:val="auto"/>
          <w:sz w:val="24"/>
          <w:highlight w:val="none"/>
        </w:rPr>
        <w:t>家的。</w:t>
      </w:r>
    </w:p>
    <w:p w14:paraId="44C30D0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27.5 </w:t>
      </w:r>
      <w:r>
        <w:rPr>
          <w:rFonts w:hint="eastAsia" w:ascii="宋体" w:hAnsi="宋体" w:cs="宋体"/>
          <w:color w:val="auto"/>
          <w:sz w:val="24"/>
          <w:highlight w:val="none"/>
        </w:rPr>
        <w:t>在采购活动中因重大变故，采购任务取消的，采购人或者采购代理机构应当终止采购活动，通知所有参加采购活动的供应商，并将项目实施情况和采购任务取消原因报送本级财政部门。</w:t>
      </w:r>
    </w:p>
    <w:p w14:paraId="1E58E1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52C5875F">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28.1 履约保证金的金额、提交方式、退付的时间和条件详见 “供应商须知前附表”。</w:t>
      </w:r>
    </w:p>
    <w:p w14:paraId="7EE739C6">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28.2在履约保证金退还日期前，若成交供应商的开户名称、开户银行、帐号有变动的，请以书面形式通知履约保证金收取单位，否则由此产生的后果由成交供应商自行承担。</w:t>
      </w:r>
    </w:p>
    <w:p w14:paraId="07A061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EBE06E5">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B1B5476">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29.2签订合同时间：按成交通知书规定的时间与采购人签订政府采购合同（最长不能超过25日）。</w:t>
      </w:r>
    </w:p>
    <w:p w14:paraId="72840177">
      <w:pPr>
        <w:spacing w:line="360" w:lineRule="auto"/>
        <w:ind w:firstLine="487" w:firstLineChars="202"/>
        <w:rPr>
          <w:rFonts w:ascii="宋体" w:hAnsi="宋体" w:cs="宋体"/>
          <w:b/>
          <w:color w:val="auto"/>
          <w:sz w:val="24"/>
          <w:highlight w:val="none"/>
        </w:rPr>
      </w:pPr>
      <w:r>
        <w:rPr>
          <w:rFonts w:ascii="宋体" w:hAnsi="宋体" w:cs="宋体"/>
          <w:b/>
          <w:color w:val="auto"/>
          <w:sz w:val="24"/>
          <w:highlight w:val="none"/>
        </w:rPr>
        <w:t>29.3成交供应</w:t>
      </w:r>
      <w:r>
        <w:rPr>
          <w:rFonts w:hint="eastAsia" w:ascii="宋体" w:hAnsi="宋体" w:cs="宋体"/>
          <w:b/>
          <w:color w:val="auto"/>
          <w:sz w:val="24"/>
          <w:highlight w:val="none"/>
        </w:rPr>
        <w:t>商拒绝与采购人签订合同的，按照本磋商文件之《供应商须知正文》第</w:t>
      </w:r>
      <w:r>
        <w:rPr>
          <w:rFonts w:ascii="宋体" w:hAnsi="宋体" w:cs="宋体"/>
          <w:b/>
          <w:color w:val="auto"/>
          <w:sz w:val="24"/>
          <w:highlight w:val="none"/>
        </w:rPr>
        <w:t>27.3条的规定执行。</w:t>
      </w:r>
    </w:p>
    <w:p w14:paraId="18562417">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29.4</w:t>
      </w:r>
      <w:r>
        <w:rPr>
          <w:rFonts w:hint="eastAsia" w:ascii="宋体" w:hAnsi="宋体" w:cs="宋体"/>
          <w:color w:val="auto"/>
          <w:sz w:val="24"/>
          <w:highlight w:val="none"/>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B33629">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29.5</w:t>
      </w:r>
      <w:r>
        <w:rPr>
          <w:rFonts w:hint="eastAsia" w:ascii="宋体" w:hAnsi="宋体" w:cs="宋体"/>
          <w:color w:val="auto"/>
          <w:sz w:val="24"/>
          <w:highlight w:val="none"/>
        </w:rPr>
        <w:t>采购人或成交供应商不得单方面向合同另一方提出任何磋商文件没有约定的条件或不合理的要求，作为签订合同的条件；也不得协商另行订立背离磋商文件和合同实质性内容的协议。</w:t>
      </w:r>
    </w:p>
    <w:p w14:paraId="65319863">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rPr>
        <w:t>如签订合同并生效后，供应商无故拒绝或延期，除按照合同条款处理外，将承担相应的法律责任。</w:t>
      </w:r>
    </w:p>
    <w:p w14:paraId="4BD92FC6">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29.7</w:t>
      </w:r>
      <w:r>
        <w:rPr>
          <w:rFonts w:hint="eastAsia" w:ascii="宋体" w:hAnsi="宋体" w:cs="宋体"/>
          <w:color w:val="auto"/>
          <w:sz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auto"/>
          <w:sz w:val="24"/>
          <w:highlight w:val="none"/>
        </w:rPr>
        <w:t>10%</w:t>
      </w:r>
      <w:r>
        <w:rPr>
          <w:rFonts w:hint="eastAsia" w:ascii="宋体" w:hAnsi="宋体" w:cs="宋体"/>
          <w:color w:val="auto"/>
          <w:sz w:val="24"/>
          <w:highlight w:val="none"/>
        </w:rPr>
        <w:t>。</w:t>
      </w:r>
    </w:p>
    <w:p w14:paraId="4D3920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3AD1C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26E4B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4621501E">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070B70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CEBBE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（1）对可以质疑的磋商文件提出质疑的，为收到磋商文件之日或者竞争性磋商公告期限届满之日；</w:t>
      </w:r>
    </w:p>
    <w:p w14:paraId="5B01C0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14:paraId="6D4DD4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14:paraId="5DE131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3E2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22BDA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602004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47665C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3CE68E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740429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5EA5C7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18F5C0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26D675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0C5B90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2FC090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097240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7F0E30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7A56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166161FA">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44074723">
      <w:pPr>
        <w:tabs>
          <w:tab w:val="left" w:pos="2835"/>
        </w:tabs>
        <w:spacing w:line="360" w:lineRule="auto"/>
        <w:ind w:firstLine="480" w:firstLineChars="200"/>
        <w:rPr>
          <w:color w:val="auto"/>
          <w:highlight w:val="none"/>
        </w:rPr>
      </w:pPr>
      <w:r>
        <w:rPr>
          <w:rFonts w:hint="eastAsia" w:ascii="宋体" w:hAnsi="宋体" w:cs="宋体"/>
          <w:color w:val="auto"/>
          <w:sz w:val="24"/>
          <w:highlight w:val="none"/>
        </w:rPr>
        <w:t>32.2代理服务费收费计算标准：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F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640D7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60920556">
            <w:pPr>
              <w:spacing w:line="360" w:lineRule="auto"/>
              <w:rPr>
                <w:rFonts w:ascii="宋体" w:hAnsi="宋体" w:cs="宋体"/>
                <w:color w:val="auto"/>
                <w:sz w:val="24"/>
                <w:highlight w:val="none"/>
              </w:rPr>
            </w:pPr>
            <w:r>
              <w:rPr>
                <w:rFonts w:hint="eastAsia" w:ascii="宋体" w:hAnsi="宋体" w:cs="宋体"/>
                <w:color w:val="auto"/>
                <w:sz w:val="24"/>
                <w:highlight w:val="none"/>
              </w:rPr>
              <w:t>金额（人民币）</w:t>
            </w:r>
          </w:p>
        </w:tc>
        <w:tc>
          <w:tcPr>
            <w:tcW w:w="1659" w:type="dxa"/>
            <w:vAlign w:val="center"/>
          </w:tcPr>
          <w:p w14:paraId="5CE3A130">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23AB8C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073316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0DD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39C47EF">
            <w:pPr>
              <w:spacing w:line="360" w:lineRule="auto"/>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7D808F96">
            <w:pPr>
              <w:spacing w:line="360" w:lineRule="auto"/>
              <w:rPr>
                <w:rFonts w:ascii="宋体" w:hAnsi="宋体" w:cs="宋体"/>
                <w:color w:val="auto"/>
                <w:sz w:val="24"/>
                <w:highlight w:val="none"/>
              </w:rPr>
            </w:pPr>
            <w:r>
              <w:rPr>
                <w:rFonts w:hint="eastAsia" w:ascii="宋体" w:hAnsi="宋体" w:cs="宋体"/>
                <w:color w:val="auto"/>
                <w:kern w:val="0"/>
                <w:sz w:val="24"/>
                <w:highlight w:val="none"/>
              </w:rPr>
              <w:t xml:space="preserve">  1.5%                </w:t>
            </w:r>
          </w:p>
        </w:tc>
        <w:tc>
          <w:tcPr>
            <w:tcW w:w="1532" w:type="dxa"/>
          </w:tcPr>
          <w:p w14:paraId="48115FAF">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1.5%</w:t>
            </w:r>
          </w:p>
        </w:tc>
        <w:tc>
          <w:tcPr>
            <w:tcW w:w="1546" w:type="dxa"/>
          </w:tcPr>
          <w:p w14:paraId="5D908F85">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1.0% </w:t>
            </w:r>
          </w:p>
        </w:tc>
      </w:tr>
      <w:tr w14:paraId="2AC4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2EDA29">
            <w:pPr>
              <w:spacing w:line="360" w:lineRule="auto"/>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61742904">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1.1%                 </w:t>
            </w:r>
          </w:p>
        </w:tc>
        <w:tc>
          <w:tcPr>
            <w:tcW w:w="1532" w:type="dxa"/>
          </w:tcPr>
          <w:p w14:paraId="40565B4A">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0.8%</w:t>
            </w:r>
          </w:p>
        </w:tc>
        <w:tc>
          <w:tcPr>
            <w:tcW w:w="1546" w:type="dxa"/>
          </w:tcPr>
          <w:p w14:paraId="4BF901BF">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0.7% </w:t>
            </w:r>
          </w:p>
        </w:tc>
      </w:tr>
      <w:tr w14:paraId="2937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95152D">
            <w:pPr>
              <w:spacing w:line="360" w:lineRule="auto"/>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245A37B1">
            <w:pPr>
              <w:spacing w:line="360" w:lineRule="auto"/>
              <w:rPr>
                <w:rFonts w:ascii="宋体" w:hAnsi="宋体" w:cs="宋体"/>
                <w:color w:val="auto"/>
                <w:sz w:val="24"/>
                <w:highlight w:val="none"/>
              </w:rPr>
            </w:pPr>
            <w:r>
              <w:rPr>
                <w:rFonts w:hint="eastAsia" w:ascii="宋体" w:hAnsi="宋体" w:cs="宋体"/>
                <w:color w:val="auto"/>
                <w:kern w:val="0"/>
                <w:sz w:val="24"/>
                <w:highlight w:val="none"/>
              </w:rPr>
              <w:t xml:space="preserve">  0.8%                </w:t>
            </w:r>
          </w:p>
        </w:tc>
        <w:tc>
          <w:tcPr>
            <w:tcW w:w="1532" w:type="dxa"/>
          </w:tcPr>
          <w:p w14:paraId="34173AB2">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0.45%</w:t>
            </w:r>
          </w:p>
        </w:tc>
        <w:tc>
          <w:tcPr>
            <w:tcW w:w="1546" w:type="dxa"/>
          </w:tcPr>
          <w:p w14:paraId="7A339DBF">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0.55%</w:t>
            </w:r>
          </w:p>
        </w:tc>
      </w:tr>
      <w:tr w14:paraId="357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6E7B81">
            <w:pPr>
              <w:spacing w:line="360" w:lineRule="auto"/>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2D84EC51">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0.5%                </w:t>
            </w:r>
          </w:p>
        </w:tc>
        <w:tc>
          <w:tcPr>
            <w:tcW w:w="1532" w:type="dxa"/>
          </w:tcPr>
          <w:p w14:paraId="5F6A9AD8">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0.25%</w:t>
            </w:r>
          </w:p>
        </w:tc>
        <w:tc>
          <w:tcPr>
            <w:tcW w:w="1546" w:type="dxa"/>
          </w:tcPr>
          <w:p w14:paraId="17C32BE2">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0.35% </w:t>
            </w:r>
          </w:p>
        </w:tc>
      </w:tr>
      <w:tr w14:paraId="180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04C79B">
            <w:pPr>
              <w:spacing w:line="360" w:lineRule="auto"/>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1E6A5B67">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0.25%                 </w:t>
            </w:r>
          </w:p>
        </w:tc>
        <w:tc>
          <w:tcPr>
            <w:tcW w:w="1532" w:type="dxa"/>
          </w:tcPr>
          <w:p w14:paraId="71414CF1">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0.1%</w:t>
            </w:r>
          </w:p>
        </w:tc>
        <w:tc>
          <w:tcPr>
            <w:tcW w:w="1546" w:type="dxa"/>
          </w:tcPr>
          <w:p w14:paraId="7131A12D">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0.2%</w:t>
            </w:r>
          </w:p>
        </w:tc>
      </w:tr>
      <w:tr w14:paraId="66D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CD1637">
            <w:pPr>
              <w:spacing w:line="360" w:lineRule="auto"/>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3FDA2BA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0.05%</w:t>
            </w:r>
          </w:p>
        </w:tc>
        <w:tc>
          <w:tcPr>
            <w:tcW w:w="1532" w:type="dxa"/>
          </w:tcPr>
          <w:p w14:paraId="2FC8657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c>
          <w:tcPr>
            <w:tcW w:w="1546" w:type="dxa"/>
          </w:tcPr>
          <w:p w14:paraId="35E9D6A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r>
      <w:tr w14:paraId="6456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2D50DED">
            <w:pPr>
              <w:spacing w:line="360" w:lineRule="auto"/>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22841CEF">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0.035%</w:t>
            </w:r>
          </w:p>
        </w:tc>
        <w:tc>
          <w:tcPr>
            <w:tcW w:w="1532" w:type="dxa"/>
          </w:tcPr>
          <w:p w14:paraId="4156BC8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0.035%</w:t>
            </w:r>
          </w:p>
        </w:tc>
        <w:tc>
          <w:tcPr>
            <w:tcW w:w="1546" w:type="dxa"/>
          </w:tcPr>
          <w:p w14:paraId="378AD691">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0.035%</w:t>
            </w:r>
          </w:p>
        </w:tc>
      </w:tr>
      <w:tr w14:paraId="3CF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A8E627">
            <w:pPr>
              <w:spacing w:line="360" w:lineRule="auto"/>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tcPr>
          <w:p w14:paraId="799259B4">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0.008%</w:t>
            </w:r>
          </w:p>
        </w:tc>
        <w:tc>
          <w:tcPr>
            <w:tcW w:w="1532" w:type="dxa"/>
          </w:tcPr>
          <w:p w14:paraId="7E88520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0.008%</w:t>
            </w:r>
          </w:p>
        </w:tc>
        <w:tc>
          <w:tcPr>
            <w:tcW w:w="1546" w:type="dxa"/>
          </w:tcPr>
          <w:p w14:paraId="4EC02904">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0.008%</w:t>
            </w:r>
          </w:p>
        </w:tc>
      </w:tr>
      <w:tr w14:paraId="2FA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8537A8">
            <w:pPr>
              <w:spacing w:line="360" w:lineRule="auto"/>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tcPr>
          <w:p w14:paraId="46B50DD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0.006%</w:t>
            </w:r>
          </w:p>
        </w:tc>
        <w:tc>
          <w:tcPr>
            <w:tcW w:w="1532" w:type="dxa"/>
          </w:tcPr>
          <w:p w14:paraId="2AE184F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0.006%</w:t>
            </w:r>
          </w:p>
        </w:tc>
        <w:tc>
          <w:tcPr>
            <w:tcW w:w="1546" w:type="dxa"/>
          </w:tcPr>
          <w:p w14:paraId="28B7D679">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0.006%</w:t>
            </w:r>
          </w:p>
        </w:tc>
      </w:tr>
      <w:tr w14:paraId="010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C229CB">
            <w:pPr>
              <w:spacing w:line="360" w:lineRule="auto"/>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tcPr>
          <w:p w14:paraId="64CA457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0.004%</w:t>
            </w:r>
          </w:p>
        </w:tc>
        <w:tc>
          <w:tcPr>
            <w:tcW w:w="1532" w:type="dxa"/>
          </w:tcPr>
          <w:p w14:paraId="3ED87FB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0.004%</w:t>
            </w:r>
          </w:p>
        </w:tc>
        <w:tc>
          <w:tcPr>
            <w:tcW w:w="1546" w:type="dxa"/>
          </w:tcPr>
          <w:p w14:paraId="12A93966">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0.004%</w:t>
            </w:r>
          </w:p>
        </w:tc>
      </w:tr>
    </w:tbl>
    <w:p w14:paraId="39D172A1">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33275D49">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1）按本表费率计算的收费标准为采购代理的收费价格；</w:t>
      </w:r>
    </w:p>
    <w:p w14:paraId="083293D0">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175D4152">
      <w:pPr>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rPr>
        <w:t xml:space="preserve">32.3 </w:t>
      </w:r>
      <w:r>
        <w:rPr>
          <w:rFonts w:hint="eastAsia" w:ascii="宋体" w:hAnsi="宋体" w:cs="宋体"/>
          <w:b/>
          <w:color w:val="auto"/>
          <w:sz w:val="24"/>
          <w:highlight w:val="none"/>
        </w:rPr>
        <w:t>代理服务费交纳银行帐号信息</w:t>
      </w:r>
    </w:p>
    <w:p w14:paraId="78C201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开户名称：中昕国际项目管理有限公司南宁分公司</w:t>
      </w:r>
    </w:p>
    <w:p w14:paraId="2EC9DD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开户银行：兴业银行股份有限公司南宁分行</w:t>
      </w:r>
    </w:p>
    <w:p w14:paraId="4EBE03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银行账号：552010100100683441</w:t>
      </w:r>
    </w:p>
    <w:p w14:paraId="4F59425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2E5380F0">
      <w:pPr>
        <w:pStyle w:val="16"/>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33.1本磋商文件解释规则详见“供应商须知前附表”。</w:t>
      </w:r>
    </w:p>
    <w:p w14:paraId="548655E5">
      <w:pPr>
        <w:pStyle w:val="16"/>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33.2 其他事项详见“供应商须知前附表”。</w:t>
      </w:r>
    </w:p>
    <w:p w14:paraId="409A22CF">
      <w:pPr>
        <w:pStyle w:val="16"/>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363943">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5F3FA5EA">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27CCF579">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CF1F945">
      <w:pPr>
        <w:pStyle w:val="16"/>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58AB1ED">
      <w:pPr>
        <w:pStyle w:val="16"/>
        <w:spacing w:line="360" w:lineRule="auto"/>
        <w:ind w:firstLine="480" w:firstLineChars="200"/>
        <w:textAlignment w:val="center"/>
        <w:rPr>
          <w:rFonts w:hint="eastAsia" w:hAnsi="宋体" w:cs="宋体"/>
          <w:color w:val="auto"/>
          <w:kern w:val="2"/>
          <w:sz w:val="24"/>
          <w:szCs w:val="24"/>
          <w:highlight w:val="none"/>
        </w:rPr>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pPr>
      <w:r>
        <w:rPr>
          <w:rFonts w:hint="eastAsia" w:hAnsi="宋体" w:cs="宋体"/>
          <w:color w:val="auto"/>
          <w:kern w:val="2"/>
          <w:sz w:val="24"/>
          <w:szCs w:val="24"/>
          <w:highlight w:val="none"/>
        </w:rPr>
        <w:t>依据本磋商文件规定享受扶持政策获得政府采购合同的，小微企业不得将合同分包给大中型企业，中型企业不得将合同分包给大型企业。</w:t>
      </w:r>
    </w:p>
    <w:p w14:paraId="404B777A">
      <w:pPr>
        <w:spacing w:line="360" w:lineRule="auto"/>
        <w:ind w:firstLine="640" w:firstLineChars="200"/>
        <w:rPr>
          <w:rFonts w:hint="eastAsia" w:ascii="宋体" w:hAnsi="宋体" w:cs="宋体"/>
          <w:color w:val="auto"/>
          <w:highlight w:val="none"/>
        </w:rPr>
      </w:pPr>
      <w:r>
        <w:rPr>
          <w:rFonts w:hint="eastAsia" w:ascii="宋体" w:hAnsi="宋体" w:cs="宋体"/>
          <w:bCs/>
          <w:color w:val="auto"/>
          <w:sz w:val="32"/>
          <w:szCs w:val="32"/>
          <w:highlight w:val="none"/>
        </w:rPr>
        <w:t>附件1：</w:t>
      </w:r>
    </w:p>
    <w:p w14:paraId="420D7C90">
      <w:pPr>
        <w:widowControl/>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1D88EC25">
      <w:pPr>
        <w:widowControl/>
        <w:shd w:val="clear" w:color="auto" w:fill="FFFFFF"/>
        <w:spacing w:line="480" w:lineRule="atLeast"/>
        <w:jc w:val="center"/>
        <w:rPr>
          <w:rFonts w:hint="eastAsia" w:ascii="宋体" w:hAnsi="宋体" w:cs="宋体"/>
          <w:color w:val="auto"/>
          <w:kern w:val="0"/>
          <w:sz w:val="32"/>
          <w:szCs w:val="32"/>
          <w:highlight w:val="none"/>
        </w:rPr>
      </w:pPr>
    </w:p>
    <w:p w14:paraId="6755A7B6">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089798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3EE358D7">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510C3FA">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6F47FF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6B857221">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4430AB9E">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2EAB7F37">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65762CEB">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3B0FF26">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5AC679B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1C26C0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A00FF62">
            <w:pPr>
              <w:widowControl/>
              <w:spacing w:before="100" w:beforeAutospacing="1" w:after="100" w:afterAutospacing="1" w:line="240" w:lineRule="atLeast"/>
              <w:jc w:val="left"/>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350E1F4">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8073A41">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386C338">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EE7A28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4472F4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6703ECA">
            <w:pPr>
              <w:widowControl/>
              <w:spacing w:before="100" w:beforeAutospacing="1" w:after="100" w:afterAutospacing="1" w:line="240" w:lineRule="atLeast"/>
              <w:jc w:val="left"/>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BECE76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373057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62B6101">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2273551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6564623">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22B7D6F">
            <w:pPr>
              <w:widowControl/>
              <w:spacing w:before="100" w:beforeAutospacing="1" w:after="100" w:afterAutospacing="1" w:line="240" w:lineRule="atLeast"/>
              <w:jc w:val="left"/>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BF3551D">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69B34B3">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F3DBB89">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0B2A6FC9">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587EBCE3">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FB8B1A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154E07CC">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1C40D4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66CEEDE">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492F7CF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95E505C">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10C0CCAB">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0614739">
            <w:pPr>
              <w:widowControl/>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575312EA">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0B29FD6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E7BE47">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C4EC5E">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ED93705">
        <w:tblPrEx>
          <w:tblCellMar>
            <w:top w:w="0" w:type="dxa"/>
            <w:left w:w="0" w:type="dxa"/>
            <w:bottom w:w="0" w:type="dxa"/>
            <w:right w:w="0" w:type="dxa"/>
          </w:tblCellMar>
        </w:tblPrEx>
        <w:trPr>
          <w:trHeight w:val="972"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A04F24">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3DCA6235">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8C7463B">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0B0B0DC5">
            <w:pPr>
              <w:widowControl/>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2250EF5B">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DFBFCDC">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09106D95">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85C654">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C72049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C89AA6">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0D3C4943">
            <w:pPr>
              <w:widowControl/>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7C59E65">
        <w:tblPrEx>
          <w:tblCellMar>
            <w:top w:w="0" w:type="dxa"/>
            <w:left w:w="0" w:type="dxa"/>
            <w:bottom w:w="0" w:type="dxa"/>
            <w:right w:w="0" w:type="dxa"/>
          </w:tblCellMar>
        </w:tblPrEx>
        <w:trPr>
          <w:trHeight w:val="122"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8976FAC">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6829CAAC">
            <w:pPr>
              <w:widowControl/>
              <w:spacing w:before="100" w:beforeAutospacing="1" w:after="100" w:afterAutospacing="1" w:line="320" w:lineRule="atLeast"/>
              <w:jc w:val="left"/>
              <w:rPr>
                <w:rFonts w:hint="eastAsia" w:ascii="宋体" w:hAnsi="宋体" w:cs="宋体"/>
                <w:color w:val="auto"/>
                <w:kern w:val="0"/>
                <w:szCs w:val="21"/>
                <w:highlight w:val="none"/>
              </w:rPr>
            </w:pPr>
          </w:p>
          <w:p w14:paraId="4BB37137">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single" w:color="auto" w:sz="4" w:space="0"/>
              <w:bottom w:val="single" w:color="auto" w:sz="8" w:space="0"/>
              <w:right w:val="single" w:color="auto" w:sz="8" w:space="0"/>
            </w:tcBorders>
            <w:noWrap w:val="0"/>
            <w:vAlign w:val="center"/>
          </w:tcPr>
          <w:p w14:paraId="71AAABD4">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03C5086E">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p>
          <w:p w14:paraId="5917455C">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3DC6C691">
      <w:pPr>
        <w:snapToGrid w:val="0"/>
        <w:rPr>
          <w:rFonts w:hint="eastAsia" w:ascii="宋体" w:hAnsi="宋体" w:cs="宋体"/>
          <w:color w:val="auto"/>
          <w:kern w:val="0"/>
          <w:sz w:val="32"/>
          <w:szCs w:val="32"/>
          <w:highlight w:val="none"/>
        </w:rPr>
      </w:pPr>
      <w:r>
        <w:rPr>
          <w:rFonts w:hint="eastAsia" w:ascii="宋体" w:hAnsi="宋体" w:cs="宋体"/>
          <w:color w:val="auto"/>
          <w:kern w:val="0"/>
          <w:sz w:val="20"/>
          <w:szCs w:val="21"/>
          <w:highlight w:val="none"/>
        </w:rPr>
        <w:br w:type="page"/>
      </w:r>
      <w:r>
        <w:rPr>
          <w:rFonts w:hint="eastAsia" w:ascii="宋体" w:hAnsi="宋体" w:cs="宋体"/>
          <w:color w:val="auto"/>
          <w:kern w:val="0"/>
          <w:sz w:val="32"/>
          <w:szCs w:val="32"/>
          <w:highlight w:val="none"/>
        </w:rPr>
        <w:t>附件2：</w:t>
      </w:r>
    </w:p>
    <w:p w14:paraId="03CF5D87">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24ECF7D8">
      <w:pPr>
        <w:jc w:val="center"/>
        <w:rPr>
          <w:rFonts w:hint="eastAsia" w:ascii="宋体" w:hAnsi="宋体" w:cs="宋体"/>
          <w:color w:val="auto"/>
          <w:sz w:val="36"/>
          <w:szCs w:val="36"/>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1F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0FC70669">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11112FAB">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8F1BCC9">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1F3BB543">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5FE6A178">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009" w:type="dxa"/>
            <w:noWrap w:val="0"/>
            <w:vAlign w:val="center"/>
          </w:tcPr>
          <w:p w14:paraId="6FDD38D7">
            <w:pPr>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15B3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49BAB011">
            <w:pPr>
              <w:rPr>
                <w:rFonts w:hint="eastAsia" w:ascii="宋体" w:hAnsi="宋体" w:cs="宋体"/>
                <w:color w:val="auto"/>
                <w:szCs w:val="21"/>
                <w:highlight w:val="none"/>
              </w:rPr>
            </w:pPr>
          </w:p>
        </w:tc>
        <w:tc>
          <w:tcPr>
            <w:tcW w:w="8009" w:type="dxa"/>
            <w:noWrap w:val="0"/>
            <w:vAlign w:val="center"/>
          </w:tcPr>
          <w:p w14:paraId="7B9FF9EB">
            <w:pPr>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6ABC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E94E634">
            <w:pPr>
              <w:rPr>
                <w:rFonts w:hint="eastAsia" w:ascii="宋体" w:hAnsi="宋体" w:cs="宋体"/>
                <w:color w:val="auto"/>
                <w:szCs w:val="21"/>
                <w:highlight w:val="none"/>
              </w:rPr>
            </w:pPr>
          </w:p>
        </w:tc>
        <w:tc>
          <w:tcPr>
            <w:tcW w:w="8009" w:type="dxa"/>
            <w:noWrap w:val="0"/>
            <w:vAlign w:val="top"/>
          </w:tcPr>
          <w:p w14:paraId="3C20FEA8">
            <w:pPr>
              <w:rPr>
                <w:rFonts w:hint="eastAsia" w:ascii="宋体" w:hAnsi="宋体" w:cs="宋体"/>
                <w:color w:val="auto"/>
                <w:szCs w:val="21"/>
                <w:highlight w:val="none"/>
              </w:rPr>
            </w:pPr>
          </w:p>
          <w:p w14:paraId="612406F8">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该项目已于年月日验收并交付使用。根据合同规定，该项目的履约保证金期限于年月日已满，请将履约保证金（大写）人民币      （小写）¥    退付到达以下账户。</w:t>
            </w:r>
          </w:p>
          <w:p w14:paraId="680E1FE2">
            <w:pPr>
              <w:rPr>
                <w:rFonts w:hint="eastAsia" w:ascii="宋体" w:hAnsi="宋体" w:cs="宋体"/>
                <w:color w:val="auto"/>
                <w:szCs w:val="21"/>
                <w:highlight w:val="none"/>
              </w:rPr>
            </w:pPr>
            <w:r>
              <w:rPr>
                <w:rFonts w:hint="eastAsia" w:ascii="宋体" w:hAnsi="宋体" w:cs="宋体"/>
                <w:color w:val="auto"/>
                <w:szCs w:val="21"/>
                <w:highlight w:val="none"/>
              </w:rPr>
              <w:t>单位名称：</w:t>
            </w:r>
          </w:p>
          <w:p w14:paraId="2A3884A0">
            <w:pPr>
              <w:rPr>
                <w:rFonts w:hint="eastAsia" w:ascii="宋体" w:hAnsi="宋体" w:cs="宋体"/>
                <w:color w:val="auto"/>
                <w:szCs w:val="21"/>
                <w:highlight w:val="none"/>
              </w:rPr>
            </w:pPr>
            <w:r>
              <w:rPr>
                <w:rFonts w:hint="eastAsia" w:ascii="宋体" w:hAnsi="宋体" w:cs="宋体"/>
                <w:color w:val="auto"/>
                <w:szCs w:val="21"/>
                <w:highlight w:val="none"/>
              </w:rPr>
              <w:t>开户银行：</w:t>
            </w:r>
          </w:p>
          <w:p w14:paraId="2FC80C5B">
            <w:pPr>
              <w:rPr>
                <w:rFonts w:hint="eastAsia" w:ascii="宋体" w:hAnsi="宋体" w:cs="宋体"/>
                <w:color w:val="auto"/>
                <w:szCs w:val="21"/>
                <w:highlight w:val="none"/>
              </w:rPr>
            </w:pPr>
            <w:r>
              <w:rPr>
                <w:rFonts w:hint="eastAsia" w:ascii="宋体" w:hAnsi="宋体" w:cs="宋体"/>
                <w:color w:val="auto"/>
                <w:szCs w:val="21"/>
                <w:highlight w:val="none"/>
              </w:rPr>
              <w:t>账    号：</w:t>
            </w:r>
          </w:p>
          <w:p w14:paraId="7FAFD5AE">
            <w:pPr>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3A9B799D">
            <w:pPr>
              <w:rPr>
                <w:rFonts w:hint="eastAsia" w:ascii="宋体" w:hAnsi="宋体" w:cs="宋体"/>
                <w:color w:val="auto"/>
                <w:szCs w:val="21"/>
                <w:highlight w:val="none"/>
              </w:rPr>
            </w:pPr>
          </w:p>
          <w:p w14:paraId="3F734EDB">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0DFD136E">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FD8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58A6ADB8">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33EBC5B5">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426E0145">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61AC1E35">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16467D75">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5C4BFD30">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009" w:type="dxa"/>
            <w:noWrap w:val="0"/>
            <w:vAlign w:val="top"/>
          </w:tcPr>
          <w:p w14:paraId="49515174">
            <w:pPr>
              <w:rPr>
                <w:rFonts w:hint="eastAsia" w:ascii="宋体" w:hAnsi="宋体" w:cs="宋体"/>
                <w:color w:val="auto"/>
                <w:highlight w:val="none"/>
              </w:rPr>
            </w:pPr>
            <w:r>
              <w:rPr>
                <w:rFonts w:hint="eastAsia" w:ascii="宋体" w:hAnsi="宋体" w:cs="宋体"/>
                <w:color w:val="auto"/>
                <w:highlight w:val="none"/>
              </w:rPr>
              <w:t>是否质保期或服务期满：</w:t>
            </w:r>
            <w:r>
              <w:rPr>
                <w:rFonts w:hint="eastAsia" w:ascii="宋体" w:hAnsi="宋体" w:cs="宋体"/>
                <w:color w:val="auto"/>
                <w:highlight w:val="none"/>
              </w:rPr>
              <w:sym w:font="Wingdings" w:char="00A8"/>
            </w:r>
            <w:r>
              <w:rPr>
                <w:rFonts w:hint="eastAsia" w:ascii="宋体" w:hAnsi="宋体" w:cs="宋体"/>
                <w:color w:val="auto"/>
                <w:highlight w:val="none"/>
              </w:rPr>
              <w:t xml:space="preserve">质保期满  </w:t>
            </w:r>
            <w:r>
              <w:rPr>
                <w:rFonts w:hint="eastAsia" w:ascii="宋体" w:hAnsi="宋体" w:cs="宋体"/>
                <w:color w:val="auto"/>
                <w:highlight w:val="none"/>
              </w:rPr>
              <w:sym w:font="Wingdings" w:char="00A8"/>
            </w:r>
            <w:r>
              <w:rPr>
                <w:rFonts w:hint="eastAsia" w:ascii="宋体" w:hAnsi="宋体" w:cs="宋体"/>
                <w:color w:val="auto"/>
                <w:highlight w:val="none"/>
              </w:rPr>
              <w:t>服务期满</w:t>
            </w:r>
          </w:p>
          <w:p w14:paraId="4D770F4D">
            <w:pPr>
              <w:rPr>
                <w:rFonts w:hint="eastAsia" w:ascii="宋体" w:hAnsi="宋体" w:cs="宋体"/>
                <w:color w:val="auto"/>
                <w:szCs w:val="21"/>
                <w:highlight w:val="none"/>
              </w:rPr>
            </w:pPr>
          </w:p>
          <w:p w14:paraId="50A386D9">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0FE39E7F">
            <w:pPr>
              <w:rPr>
                <w:rFonts w:hint="eastAsia" w:ascii="宋体" w:hAnsi="宋体" w:cs="宋体"/>
                <w:color w:val="auto"/>
                <w:szCs w:val="21"/>
                <w:highlight w:val="none"/>
              </w:rPr>
            </w:pPr>
          </w:p>
          <w:p w14:paraId="0E913F2E">
            <w:pPr>
              <w:rPr>
                <w:rFonts w:hint="eastAsia" w:ascii="宋体" w:hAnsi="宋体" w:cs="宋体"/>
                <w:color w:val="auto"/>
                <w:szCs w:val="21"/>
                <w:highlight w:val="none"/>
              </w:rPr>
            </w:pPr>
          </w:p>
          <w:p w14:paraId="04E26C27">
            <w:pPr>
              <w:rPr>
                <w:rFonts w:hint="eastAsia" w:ascii="宋体" w:hAnsi="宋体" w:cs="宋体"/>
                <w:color w:val="auto"/>
                <w:szCs w:val="21"/>
                <w:highlight w:val="none"/>
              </w:rPr>
            </w:pPr>
            <w:r>
              <w:rPr>
                <w:rFonts w:hint="eastAsia" w:ascii="宋体" w:hAnsi="宋体" w:cs="宋体"/>
                <w:color w:val="auto"/>
                <w:szCs w:val="21"/>
                <w:highlight w:val="none"/>
              </w:rPr>
              <w:t xml:space="preserve">联系人及电话：                                </w:t>
            </w:r>
          </w:p>
          <w:p w14:paraId="5177C3FB">
            <w:pPr>
              <w:rPr>
                <w:rFonts w:hint="eastAsia" w:ascii="宋体" w:hAnsi="宋体" w:cs="宋体"/>
                <w:color w:val="auto"/>
                <w:szCs w:val="21"/>
                <w:highlight w:val="none"/>
              </w:rPr>
            </w:pPr>
          </w:p>
          <w:p w14:paraId="52BDA186">
            <w:pPr>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 xml:space="preserve"> 采购人签章：</w:t>
            </w:r>
          </w:p>
          <w:p w14:paraId="6793670D">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5DA5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315C5AFD">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8009" w:type="dxa"/>
            <w:noWrap w:val="0"/>
            <w:vAlign w:val="top"/>
          </w:tcPr>
          <w:p w14:paraId="3A0206F2">
            <w:pPr>
              <w:rPr>
                <w:rFonts w:hint="eastAsia" w:ascii="宋体" w:hAnsi="宋体" w:cs="宋体"/>
                <w:color w:val="auto"/>
                <w:szCs w:val="21"/>
                <w:highlight w:val="none"/>
              </w:rPr>
            </w:pPr>
          </w:p>
        </w:tc>
      </w:tr>
    </w:tbl>
    <w:p w14:paraId="31DDC832">
      <w:pPr>
        <w:pStyle w:val="16"/>
        <w:spacing w:line="360" w:lineRule="auto"/>
        <w:ind w:firstLine="360" w:firstLineChars="200"/>
        <w:textAlignment w:val="center"/>
        <w:rPr>
          <w:rFonts w:hint="eastAsia" w:hAnsi="宋体" w:cs="宋体"/>
          <w:color w:val="auto"/>
          <w:kern w:val="2"/>
          <w:sz w:val="24"/>
          <w:szCs w:val="24"/>
          <w:highlight w:val="none"/>
        </w:rPr>
        <w:sectPr>
          <w:pgSz w:w="11906" w:h="16838"/>
          <w:pgMar w:top="1417" w:right="1417" w:bottom="1417" w:left="1417" w:header="851" w:footer="567" w:gutter="0"/>
          <w:cols w:space="720" w:num="1"/>
          <w:titlePg/>
          <w:docGrid w:type="lines" w:linePitch="312" w:charSpace="0"/>
        </w:sectPr>
      </w:pPr>
      <w:r>
        <w:rPr>
          <w:rFonts w:hint="eastAsia" w:ascii="宋体" w:hAnsi="宋体" w:cs="宋体"/>
          <w:bCs/>
          <w:color w:val="auto"/>
          <w:sz w:val="18"/>
          <w:szCs w:val="18"/>
          <w:highlight w:val="none"/>
        </w:rPr>
        <w:t>注：供应商凭经采购人审批的退付意见书到履约保证金收取单位财务部门办理履约保证金退付事宜。</w:t>
      </w:r>
    </w:p>
    <w:p w14:paraId="54D8A4F1">
      <w:pPr>
        <w:pStyle w:val="16"/>
        <w:snapToGrid w:val="0"/>
        <w:spacing w:before="120" w:after="120" w:line="360" w:lineRule="auto"/>
        <w:jc w:val="center"/>
        <w:outlineLvl w:val="0"/>
        <w:rPr>
          <w:rFonts w:hAnsi="宋体" w:cs="宋体"/>
          <w:b/>
          <w:bCs/>
          <w:color w:val="auto"/>
          <w:sz w:val="44"/>
          <w:szCs w:val="44"/>
          <w:highlight w:val="none"/>
        </w:rPr>
      </w:pPr>
      <w:bookmarkStart w:id="33" w:name="_Toc74323458"/>
      <w:r>
        <w:rPr>
          <w:rFonts w:hint="eastAsia" w:hAnsi="宋体" w:cs="宋体"/>
          <w:b/>
          <w:bCs/>
          <w:color w:val="auto"/>
          <w:sz w:val="44"/>
          <w:szCs w:val="44"/>
          <w:highlight w:val="none"/>
        </w:rPr>
        <w:t>第三章</w:t>
      </w:r>
      <w:r>
        <w:rPr>
          <w:rFonts w:hAnsi="宋体" w:cs="宋体"/>
          <w:b/>
          <w:bCs/>
          <w:color w:val="auto"/>
          <w:sz w:val="44"/>
          <w:szCs w:val="44"/>
          <w:highlight w:val="none"/>
        </w:rPr>
        <w:t xml:space="preserve"> </w:t>
      </w:r>
      <w:r>
        <w:rPr>
          <w:rFonts w:hint="eastAsia" w:hAnsi="宋体" w:cs="宋体"/>
          <w:b/>
          <w:bCs/>
          <w:color w:val="auto"/>
          <w:sz w:val="44"/>
          <w:szCs w:val="44"/>
          <w:highlight w:val="none"/>
        </w:rPr>
        <w:t>采购需求</w:t>
      </w:r>
      <w:bookmarkEnd w:id="33"/>
    </w:p>
    <w:p w14:paraId="163C9535">
      <w:pPr>
        <w:spacing w:line="440" w:lineRule="exact"/>
        <w:jc w:val="center"/>
        <w:rPr>
          <w:rFonts w:ascii="宋体" w:hAnsi="宋体" w:cs="宋体"/>
          <w:b/>
          <w:color w:val="auto"/>
          <w:sz w:val="32"/>
          <w:szCs w:val="32"/>
          <w:highlight w:val="none"/>
        </w:rPr>
      </w:pPr>
    </w:p>
    <w:p w14:paraId="2D34DC0F">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5FEB021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55BB1F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本竞争性磋商采购文件所称中小企业必须符合《政府采购促进中小企业发展管理办法》（财库〔2020〕46号）的规定。</w:t>
      </w:r>
    </w:p>
    <w:p w14:paraId="1812AD54">
      <w:pPr>
        <w:spacing w:line="360" w:lineRule="auto"/>
        <w:ind w:firstLine="484" w:firstLineChars="202"/>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F90393F">
      <w:pPr>
        <w:spacing w:line="360" w:lineRule="auto"/>
        <w:ind w:firstLine="484" w:firstLineChars="202"/>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.供应商必须自行为其参加竞争性磋商的产品侵犯他人的知识产权或者专利成果的行为承担相应法律责任。</w:t>
      </w:r>
    </w:p>
    <w:p w14:paraId="1CE2184B">
      <w:pPr>
        <w:spacing w:line="360" w:lineRule="auto"/>
        <w:ind w:left="-10" w:leftChars="-5" w:right="2" w:rightChars="1" w:firstLine="480" w:firstLineChars="200"/>
        <w:rPr>
          <w:color w:val="auto"/>
          <w:highlight w:val="none"/>
        </w:rPr>
      </w:pPr>
      <w:r>
        <w:rPr>
          <w:bCs/>
          <w:color w:val="auto"/>
          <w:sz w:val="24"/>
          <w:highlight w:val="none"/>
        </w:rPr>
        <w:t>4</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rPr>
        <w:t>竞争性磋商</w:t>
      </w:r>
      <w:r>
        <w:rPr>
          <w:bCs/>
          <w:color w:val="auto"/>
          <w:sz w:val="24"/>
          <w:highlight w:val="none"/>
        </w:rPr>
        <w:t>无效的条款，或者不能负偏离的条款，或者采购需求中带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Segoe UI Symbol" w:hAnsi="Segoe UI Symbol" w:cs="Segoe UI Symbol"/>
          <w:bCs/>
          <w:color w:val="auto"/>
          <w:sz w:val="24"/>
          <w:highlight w:val="none"/>
        </w:rPr>
        <w:t>▲</w:t>
      </w:r>
      <w:r>
        <w:rPr>
          <w:rFonts w:hint="eastAsia"/>
          <w:bCs/>
          <w:color w:val="auto"/>
          <w:sz w:val="24"/>
          <w:highlight w:val="none"/>
        </w:rPr>
        <w:t>”号的非实质性条款要求可允许</w:t>
      </w:r>
      <w:r>
        <w:rPr>
          <w:rFonts w:hint="eastAsia"/>
          <w:bCs/>
          <w:color w:val="auto"/>
          <w:sz w:val="24"/>
          <w:highlight w:val="none"/>
          <w:u w:val="single"/>
          <w:lang w:val="en-US" w:eastAsia="zh-CN"/>
        </w:rPr>
        <w:t>0</w:t>
      </w:r>
      <w:r>
        <w:rPr>
          <w:rFonts w:hint="eastAsia"/>
          <w:bCs/>
          <w:color w:val="auto"/>
          <w:sz w:val="24"/>
          <w:highlight w:val="none"/>
        </w:rPr>
        <w:t>项负偏离，</w:t>
      </w:r>
      <w:r>
        <w:rPr>
          <w:rFonts w:hint="eastAsia"/>
          <w:bCs/>
          <w:color w:val="auto"/>
          <w:sz w:val="24"/>
          <w:highlight w:val="none"/>
          <w:u w:val="single"/>
          <w:lang w:val="en-US" w:eastAsia="zh-CN"/>
        </w:rPr>
        <w:t>1</w:t>
      </w:r>
      <w:r>
        <w:rPr>
          <w:rFonts w:hint="eastAsia"/>
          <w:bCs/>
          <w:color w:val="auto"/>
          <w:sz w:val="24"/>
          <w:highlight w:val="none"/>
        </w:rPr>
        <w:t>项以上（含</w:t>
      </w:r>
      <w:r>
        <w:rPr>
          <w:rFonts w:hint="eastAsia"/>
          <w:bCs/>
          <w:color w:val="auto"/>
          <w:sz w:val="24"/>
          <w:highlight w:val="none"/>
          <w:u w:val="single"/>
          <w:lang w:val="en-US" w:eastAsia="zh-CN"/>
        </w:rPr>
        <w:t>1</w:t>
      </w:r>
      <w:r>
        <w:rPr>
          <w:rFonts w:hint="eastAsia"/>
          <w:bCs/>
          <w:color w:val="auto"/>
          <w:sz w:val="24"/>
          <w:highlight w:val="none"/>
        </w:rPr>
        <w:t>项）负偏离的</w:t>
      </w:r>
      <w:r>
        <w:rPr>
          <w:rFonts w:hint="eastAsia" w:ascii="宋体" w:hAnsi="宋体" w:cs="宋体"/>
          <w:color w:val="auto"/>
          <w:sz w:val="24"/>
          <w:highlight w:val="none"/>
        </w:rPr>
        <w:t>竞争性磋商</w:t>
      </w:r>
      <w:r>
        <w:rPr>
          <w:rFonts w:hint="eastAsia"/>
          <w:bCs/>
          <w:color w:val="auto"/>
          <w:sz w:val="24"/>
          <w:highlight w:val="none"/>
        </w:rPr>
        <w:t>无效。</w:t>
      </w:r>
    </w:p>
    <w:p w14:paraId="541A0C41">
      <w:pPr>
        <w:spacing w:line="360" w:lineRule="auto"/>
        <w:ind w:left="-10" w:leftChars="-5" w:right="2" w:rightChars="1" w:firstLine="480" w:firstLineChars="200"/>
        <w:rPr>
          <w:bCs/>
          <w:color w:val="auto"/>
          <w:sz w:val="24"/>
          <w:highlight w:val="none"/>
        </w:rPr>
      </w:pPr>
      <w:r>
        <w:rPr>
          <w:bCs/>
          <w:color w:val="auto"/>
          <w:sz w:val="24"/>
          <w:highlight w:val="none"/>
        </w:rPr>
        <w:t>采购预算：</w:t>
      </w:r>
      <w:r>
        <w:rPr>
          <w:rFonts w:hint="eastAsia" w:ascii="宋体" w:hAnsi="宋体" w:cs="宋体"/>
          <w:color w:val="auto"/>
          <w:sz w:val="24"/>
          <w:highlight w:val="none"/>
        </w:rPr>
        <w:t>贰佰柒拾叁万元整（</w:t>
      </w:r>
      <w:r>
        <w:rPr>
          <w:rFonts w:ascii="宋体" w:hAnsi="宋体" w:cs="宋体"/>
          <w:color w:val="auto"/>
          <w:sz w:val="24"/>
          <w:highlight w:val="none"/>
        </w:rPr>
        <w:t>¥</w:t>
      </w:r>
      <w:r>
        <w:rPr>
          <w:rFonts w:hint="eastAsia" w:ascii="宋体" w:hAnsi="宋体" w:cs="宋体"/>
          <w:color w:val="auto"/>
          <w:sz w:val="24"/>
          <w:highlight w:val="none"/>
        </w:rPr>
        <w:t>2730000.00）</w:t>
      </w:r>
    </w:p>
    <w:p w14:paraId="7AF0F588">
      <w:pPr>
        <w:spacing w:line="360" w:lineRule="auto"/>
        <w:ind w:left="-10" w:leftChars="-5" w:right="2" w:rightChars="1" w:firstLine="480" w:firstLineChars="200"/>
        <w:rPr>
          <w:rFonts w:ascii="宋体" w:hAnsi="宋体" w:cs="宋体"/>
          <w:color w:val="auto"/>
          <w:sz w:val="24"/>
          <w:highlight w:val="none"/>
        </w:rPr>
      </w:pPr>
      <w:r>
        <w:rPr>
          <w:rFonts w:hint="eastAsia" w:ascii="宋体" w:hAnsi="宋体" w:cs="宋体"/>
          <w:color w:val="auto"/>
          <w:sz w:val="24"/>
          <w:highlight w:val="none"/>
        </w:rPr>
        <w:t>所属行业：</w:t>
      </w:r>
      <w:r>
        <w:rPr>
          <w:rFonts w:hint="eastAsia" w:ascii="宋体" w:hAnsi="宋体" w:cs="宋体"/>
          <w:color w:val="auto"/>
          <w:sz w:val="24"/>
          <w:highlight w:val="none"/>
          <w:u w:val="single"/>
        </w:rPr>
        <w:t>其他未列明行业</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
        <w:gridCol w:w="824"/>
        <w:gridCol w:w="778"/>
        <w:gridCol w:w="7534"/>
      </w:tblGrid>
      <w:tr w14:paraId="44F6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2" w:type="dxa"/>
            <w:vAlign w:val="center"/>
          </w:tcPr>
          <w:p w14:paraId="090865D6">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824" w:type="dxa"/>
            <w:vAlign w:val="center"/>
          </w:tcPr>
          <w:p w14:paraId="168C844F">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223766EF">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778" w:type="dxa"/>
            <w:vAlign w:val="center"/>
          </w:tcPr>
          <w:p w14:paraId="4274AE66">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7534" w:type="dxa"/>
            <w:vAlign w:val="center"/>
          </w:tcPr>
          <w:p w14:paraId="2ED677D4">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lang w:eastAsia="zh-CN"/>
              </w:rPr>
              <w:t>技术</w:t>
            </w:r>
            <w:r>
              <w:rPr>
                <w:rFonts w:hint="eastAsia" w:ascii="宋体" w:hAnsi="宋体" w:cs="宋体"/>
                <w:b/>
                <w:color w:val="auto"/>
                <w:sz w:val="24"/>
                <w:highlight w:val="none"/>
              </w:rPr>
              <w:t>服务要求</w:t>
            </w:r>
          </w:p>
        </w:tc>
      </w:tr>
      <w:tr w14:paraId="723B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462" w:type="dxa"/>
            <w:vAlign w:val="center"/>
          </w:tcPr>
          <w:p w14:paraId="3B00BB24">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824" w:type="dxa"/>
            <w:vAlign w:val="center"/>
          </w:tcPr>
          <w:p w14:paraId="38F3D69B">
            <w:pPr>
              <w:widowControl/>
              <w:snapToGrid w:val="0"/>
              <w:spacing w:line="360" w:lineRule="auto"/>
              <w:rPr>
                <w:color w:val="auto"/>
                <w:highlight w:val="none"/>
              </w:rPr>
            </w:pPr>
            <w:r>
              <w:rPr>
                <w:rFonts w:hint="eastAsia"/>
                <w:color w:val="auto"/>
                <w:highlight w:val="none"/>
                <w:lang w:eastAsia="zh-CN"/>
              </w:rPr>
              <w:t>北部湾港铁山湾5#锚地工程前期工作</w:t>
            </w:r>
          </w:p>
        </w:tc>
        <w:tc>
          <w:tcPr>
            <w:tcW w:w="778" w:type="dxa"/>
            <w:vAlign w:val="center"/>
          </w:tcPr>
          <w:p w14:paraId="1452A190">
            <w:pPr>
              <w:widowControl/>
              <w:snapToGrid w:val="0"/>
              <w:spacing w:line="360" w:lineRule="auto"/>
              <w:jc w:val="center"/>
              <w:rPr>
                <w:rFonts w:hint="eastAsia" w:eastAsia="宋体"/>
                <w:color w:val="auto"/>
                <w:highlight w:val="none"/>
                <w:lang w:val="en-US" w:eastAsia="zh-CN"/>
              </w:rPr>
            </w:pPr>
            <w:r>
              <w:rPr>
                <w:rFonts w:hint="eastAsia"/>
                <w:color w:val="auto"/>
                <w:highlight w:val="none"/>
                <w:lang w:val="en-US" w:eastAsia="zh-CN"/>
              </w:rPr>
              <w:t>1项</w:t>
            </w:r>
          </w:p>
        </w:tc>
        <w:tc>
          <w:tcPr>
            <w:tcW w:w="7534" w:type="dxa"/>
            <w:vAlign w:val="center"/>
          </w:tcPr>
          <w:p w14:paraId="5AE3B5A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1.根据</w:t>
            </w:r>
            <w:r>
              <w:rPr>
                <w:rFonts w:hint="eastAsia" w:ascii="宋体" w:hAnsi="宋体" w:eastAsia="宋体" w:cs="宋体"/>
                <w:b w:val="0"/>
                <w:bCs w:val="0"/>
                <w:color w:val="auto"/>
                <w:sz w:val="18"/>
                <w:szCs w:val="18"/>
                <w:highlight w:val="none"/>
                <w:lang w:eastAsia="zh-CN"/>
              </w:rPr>
              <w:t>《北部湾港总体规划（</w:t>
            </w:r>
            <w:r>
              <w:rPr>
                <w:rFonts w:hint="eastAsia" w:ascii="宋体" w:hAnsi="宋体" w:eastAsia="宋体" w:cs="宋体"/>
                <w:b w:val="0"/>
                <w:bCs w:val="0"/>
                <w:color w:val="auto"/>
                <w:sz w:val="18"/>
                <w:szCs w:val="18"/>
                <w:highlight w:val="none"/>
                <w:lang w:val="en-US" w:eastAsia="zh-CN"/>
              </w:rPr>
              <w:t>2035年</w:t>
            </w:r>
            <w:r>
              <w:rPr>
                <w:rFonts w:hint="eastAsia" w:ascii="宋体" w:hAnsi="宋体" w:eastAsia="宋体" w:cs="宋体"/>
                <w:b w:val="0"/>
                <w:bCs w:val="0"/>
                <w:color w:val="auto"/>
                <w:sz w:val="18"/>
                <w:szCs w:val="18"/>
                <w:highlight w:val="none"/>
                <w:lang w:eastAsia="zh-CN"/>
              </w:rPr>
              <w:t>）》及有关标准规范，</w:t>
            </w:r>
            <w:r>
              <w:rPr>
                <w:rFonts w:hint="eastAsia" w:ascii="宋体" w:hAnsi="宋体" w:eastAsia="宋体" w:cs="宋体"/>
                <w:b w:val="0"/>
                <w:bCs w:val="0"/>
                <w:color w:val="auto"/>
                <w:sz w:val="18"/>
                <w:szCs w:val="18"/>
                <w:highlight w:val="none"/>
                <w:lang w:val="en-US" w:eastAsia="zh-CN"/>
              </w:rPr>
              <w:t>开展铁山湾5号锚地工程区域海洋生态环境现状和海洋水文动力现状调查，并基于现状调查结果编制《北部湾港铁山湾5号锚地工程海洋生态环境调查分析评价报告》《北部湾港铁山湾5号锚地工程海洋水文动力现状调查分析评价报告》；开展工程可行性研究，编制</w:t>
            </w:r>
            <w:r>
              <w:rPr>
                <w:rFonts w:hint="eastAsia" w:ascii="宋体" w:hAnsi="宋体" w:cs="宋体"/>
                <w:b w:val="0"/>
                <w:bCs w:val="0"/>
                <w:color w:val="auto"/>
                <w:sz w:val="18"/>
                <w:szCs w:val="18"/>
                <w:highlight w:val="none"/>
                <w:lang w:val="en-US" w:eastAsia="zh-CN"/>
              </w:rPr>
              <w:t>《北部湾港铁山湾5号锚地工程项目建议书》《北部湾港铁山湾5号锚地工程可行性研究报告》</w:t>
            </w:r>
            <w:r>
              <w:rPr>
                <w:rFonts w:hint="eastAsia" w:ascii="宋体" w:hAnsi="宋体" w:eastAsia="宋体" w:cs="宋体"/>
                <w:b w:val="0"/>
                <w:bCs w:val="0"/>
                <w:color w:val="auto"/>
                <w:sz w:val="18"/>
                <w:szCs w:val="18"/>
                <w:highlight w:val="none"/>
                <w:lang w:val="en-US" w:eastAsia="zh-CN"/>
              </w:rPr>
              <w:t>。</w:t>
            </w:r>
          </w:p>
          <w:p w14:paraId="39A7E366">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技术标准</w:t>
            </w:r>
          </w:p>
          <w:p w14:paraId="209DC9B4">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本项目</w:t>
            </w:r>
            <w:r>
              <w:rPr>
                <w:rFonts w:hint="eastAsia" w:ascii="宋体" w:hAnsi="宋体" w:eastAsia="宋体" w:cs="宋体"/>
                <w:b w:val="0"/>
                <w:bCs w:val="0"/>
                <w:color w:val="auto"/>
                <w:sz w:val="18"/>
                <w:szCs w:val="18"/>
                <w:highlight w:val="none"/>
              </w:rPr>
              <w:t>的</w:t>
            </w:r>
            <w:r>
              <w:rPr>
                <w:rFonts w:hint="eastAsia" w:ascii="宋体" w:hAnsi="宋体" w:eastAsia="宋体" w:cs="宋体"/>
                <w:b w:val="0"/>
                <w:bCs w:val="0"/>
                <w:color w:val="auto"/>
                <w:sz w:val="18"/>
                <w:szCs w:val="18"/>
                <w:highlight w:val="none"/>
                <w:lang w:eastAsia="zh-CN"/>
              </w:rPr>
              <w:t>研究工作</w:t>
            </w:r>
            <w:r>
              <w:rPr>
                <w:rFonts w:hint="eastAsia" w:ascii="宋体" w:hAnsi="宋体" w:eastAsia="宋体" w:cs="宋体"/>
                <w:b w:val="0"/>
                <w:bCs w:val="0"/>
                <w:color w:val="auto"/>
                <w:sz w:val="18"/>
                <w:szCs w:val="18"/>
                <w:highlight w:val="none"/>
              </w:rPr>
              <w:t>应当符合现行相关国家标准、行业标准、地方标准等标准、规范。</w:t>
            </w:r>
          </w:p>
          <w:p w14:paraId="19877C01">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在项目实施过程中，如果国家或有关部门颁布了新的技术标准，则供应商应采用新的标准。</w:t>
            </w:r>
          </w:p>
          <w:p w14:paraId="09B5254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eastAsia="zh-CN"/>
              </w:rPr>
              <w:t>技术标准书目索引（包括但不限于）：</w:t>
            </w:r>
          </w:p>
          <w:p w14:paraId="1284823C">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《环境影响评价技术导则 海洋生态环境》（HJ1409-2025）；</w:t>
            </w:r>
          </w:p>
          <w:p w14:paraId="07EB4435">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《海域使用论证技术导则》（GB/T42361-2023）；</w:t>
            </w:r>
          </w:p>
          <w:p w14:paraId="7F821458">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《建设项目对国家级水产种质资源保护区（海水）影响专题论证报告编制指南（试行）》；</w:t>
            </w:r>
          </w:p>
          <w:p w14:paraId="5E93AA0B">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《海洋调查规范》（GB/T 12763-2007）；</w:t>
            </w:r>
          </w:p>
          <w:p w14:paraId="1FF49D4C">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《海洋监测规范》（GB 17378-2007）；</w:t>
            </w:r>
          </w:p>
          <w:p w14:paraId="38B1144E">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6</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《近岸海域环境监测技术规范》（HJ442-2020）；</w:t>
            </w:r>
          </w:p>
          <w:p w14:paraId="7CE7903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《建设项目对海洋生物资源影响评价技术规程》（SC/T 9110-2007）</w:t>
            </w:r>
            <w:r>
              <w:rPr>
                <w:rFonts w:hint="eastAsia" w:ascii="宋体" w:hAnsi="宋体" w:eastAsia="宋体" w:cs="宋体"/>
                <w:b w:val="0"/>
                <w:bCs w:val="0"/>
                <w:color w:val="auto"/>
                <w:sz w:val="18"/>
                <w:szCs w:val="18"/>
                <w:highlight w:val="none"/>
                <w:lang w:eastAsia="zh-CN"/>
              </w:rPr>
              <w:t>；</w:t>
            </w:r>
          </w:p>
          <w:p w14:paraId="1397839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lang w:val="en-US" w:eastAsia="zh-CN"/>
              </w:rPr>
              <w:t>8</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政府投资项目可行性研究报告编写通用大纲（2023年版）；</w:t>
            </w:r>
          </w:p>
          <w:p w14:paraId="528438E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（9）《海港锚地设计规范》（JTS/T 177）;</w:t>
            </w:r>
          </w:p>
          <w:p w14:paraId="5ADFB00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r>
              <w:rPr>
                <w:rFonts w:hint="eastAsia" w:ascii="宋体" w:hAnsi="宋体" w:eastAsia="宋体" w:cs="宋体"/>
                <w:b w:val="0"/>
                <w:bCs w:val="0"/>
                <w:color w:val="auto"/>
                <w:sz w:val="18"/>
                <w:szCs w:val="18"/>
                <w:highlight w:val="none"/>
                <w:lang w:eastAsia="zh-CN"/>
              </w:rPr>
              <w:t>其他现行相关规范标准</w:t>
            </w:r>
            <w:r>
              <w:rPr>
                <w:rFonts w:hint="eastAsia" w:ascii="宋体" w:hAnsi="宋体" w:eastAsia="宋体" w:cs="宋体"/>
                <w:b w:val="0"/>
                <w:bCs w:val="0"/>
                <w:color w:val="auto"/>
                <w:sz w:val="18"/>
                <w:szCs w:val="18"/>
                <w:highlight w:val="none"/>
                <w:lang w:val="en-US" w:eastAsia="zh-CN"/>
              </w:rPr>
              <w:t>。</w:t>
            </w:r>
          </w:p>
          <w:p w14:paraId="255E11A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3.海洋生态环境现状调查方案</w:t>
            </w:r>
          </w:p>
          <w:p w14:paraId="4E276C1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eastAsia="zh-CN"/>
              </w:rPr>
              <w:t>根据有关规定，</w:t>
            </w:r>
            <w:r>
              <w:rPr>
                <w:rFonts w:hint="eastAsia" w:ascii="宋体" w:hAnsi="宋体" w:eastAsia="宋体" w:cs="宋体"/>
                <w:b w:val="0"/>
                <w:bCs w:val="0"/>
                <w:color w:val="auto"/>
                <w:sz w:val="18"/>
                <w:szCs w:val="18"/>
                <w:highlight w:val="none"/>
              </w:rPr>
              <w:t>调查</w:t>
            </w:r>
            <w:r>
              <w:rPr>
                <w:rFonts w:hint="eastAsia" w:ascii="宋体" w:hAnsi="宋体" w:eastAsia="宋体" w:cs="宋体"/>
                <w:b w:val="0"/>
                <w:bCs w:val="0"/>
                <w:color w:val="auto"/>
                <w:sz w:val="18"/>
                <w:szCs w:val="18"/>
                <w:highlight w:val="none"/>
                <w:lang w:eastAsia="zh-CN"/>
              </w:rPr>
              <w:t>工程区域</w:t>
            </w:r>
            <w:r>
              <w:rPr>
                <w:rFonts w:hint="eastAsia" w:ascii="宋体" w:hAnsi="宋体" w:eastAsia="宋体" w:cs="宋体"/>
                <w:b w:val="0"/>
                <w:bCs w:val="0"/>
                <w:color w:val="auto"/>
                <w:sz w:val="18"/>
                <w:szCs w:val="18"/>
                <w:highlight w:val="none"/>
              </w:rPr>
              <w:t>海水水质、海洋沉积物、海洋生物生态及渔业资源、海洋生物体质量等并提供检测报告</w:t>
            </w:r>
            <w:r>
              <w:rPr>
                <w:rFonts w:hint="eastAsia" w:ascii="宋体" w:hAnsi="宋体" w:eastAsia="宋体" w:cs="宋体"/>
                <w:b w:val="0"/>
                <w:bCs w:val="0"/>
                <w:color w:val="auto"/>
                <w:sz w:val="18"/>
                <w:szCs w:val="18"/>
                <w:highlight w:val="none"/>
                <w:lang w:eastAsia="zh-CN"/>
              </w:rPr>
              <w:t>。</w:t>
            </w:r>
          </w:p>
          <w:p w14:paraId="1060DEA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（1）调查站位</w:t>
            </w:r>
          </w:p>
          <w:p w14:paraId="0F33D3D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共布设海水水质调查站位20个，其中选取10个站位开展海洋沉积物调查，12个站位开展海洋生态和渔业资源拖网调查（含生物体质量调查），20个站位开展表层沉积物粒度调查。布设3条潮间带生物调查断面，并开展潮间带沉积物调查。</w:t>
            </w:r>
            <w:bookmarkStart w:id="34" w:name="_Hlk203901666"/>
            <w:r>
              <w:rPr>
                <w:rFonts w:hint="eastAsia" w:ascii="宋体" w:hAnsi="宋体" w:eastAsia="宋体" w:cs="宋体"/>
                <w:b w:val="0"/>
                <w:bCs w:val="0"/>
                <w:color w:val="auto"/>
                <w:sz w:val="18"/>
                <w:szCs w:val="18"/>
                <w:highlight w:val="none"/>
                <w:lang w:val="en-US" w:eastAsia="zh-CN"/>
              </w:rPr>
              <w:t>调查站位见表3-1和图3-1。</w:t>
            </w:r>
          </w:p>
          <w:bookmarkEnd w:id="34"/>
          <w:p w14:paraId="70FF863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表3-1                 海洋生态环境调查站位一览表</w:t>
            </w:r>
          </w:p>
          <w:tbl>
            <w:tblPr>
              <w:tblStyle w:val="2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12"/>
              <w:gridCol w:w="1429"/>
              <w:gridCol w:w="494"/>
              <w:gridCol w:w="562"/>
              <w:gridCol w:w="839"/>
              <w:gridCol w:w="990"/>
              <w:gridCol w:w="859"/>
            </w:tblGrid>
            <w:tr w14:paraId="500A8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413" w:type="pct"/>
                  <w:vMerge w:val="restart"/>
                  <w:vAlign w:val="center"/>
                </w:tcPr>
                <w:p w14:paraId="691AD59C">
                  <w:pPr>
                    <w:widowControl/>
                    <w:spacing w:line="360" w:lineRule="auto"/>
                    <w:textAlignment w:val="center"/>
                    <w:rPr>
                      <w:rFonts w:hint="eastAsia" w:ascii="宋体" w:hAnsi="宋体" w:eastAsia="宋体" w:cs="宋体"/>
                      <w:b w:val="0"/>
                      <w:bCs w:val="0"/>
                      <w:color w:val="auto"/>
                      <w:sz w:val="18"/>
                      <w:szCs w:val="18"/>
                      <w:highlight w:val="none"/>
                      <w:lang w:val="en-US" w:eastAsia="zh-CN"/>
                    </w:rPr>
                  </w:pPr>
                  <w:bookmarkStart w:id="35" w:name="_Hlk37146816"/>
                  <w:r>
                    <w:rPr>
                      <w:rFonts w:hint="eastAsia" w:ascii="宋体" w:hAnsi="宋体" w:eastAsia="宋体" w:cs="宋体"/>
                      <w:b w:val="0"/>
                      <w:bCs w:val="0"/>
                      <w:color w:val="auto"/>
                      <w:sz w:val="18"/>
                      <w:szCs w:val="18"/>
                      <w:highlight w:val="none"/>
                      <w:lang w:val="en-US" w:eastAsia="zh-CN"/>
                    </w:rPr>
                    <w:t>站位编号</w:t>
                  </w:r>
                </w:p>
              </w:tc>
              <w:tc>
                <w:tcPr>
                  <w:tcW w:w="2017" w:type="pct"/>
                  <w:gridSpan w:val="2"/>
                  <w:vAlign w:val="center"/>
                </w:tcPr>
                <w:p w14:paraId="3FC5E34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坐标</w:t>
                  </w:r>
                </w:p>
              </w:tc>
              <w:tc>
                <w:tcPr>
                  <w:tcW w:w="2569" w:type="pct"/>
                  <w:gridSpan w:val="5"/>
                  <w:vAlign w:val="center"/>
                </w:tcPr>
                <w:p w14:paraId="29C6FA5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调查内容</w:t>
                  </w:r>
                </w:p>
              </w:tc>
            </w:tr>
            <w:tr w14:paraId="3764B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413" w:type="pct"/>
                  <w:vMerge w:val="continue"/>
                  <w:vAlign w:val="center"/>
                </w:tcPr>
                <w:p w14:paraId="6BC28AF5">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1037" w:type="pct"/>
                  <w:vAlign w:val="center"/>
                </w:tcPr>
                <w:p w14:paraId="709BB67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东经</w:t>
                  </w:r>
                </w:p>
              </w:tc>
              <w:tc>
                <w:tcPr>
                  <w:tcW w:w="979" w:type="pct"/>
                  <w:vAlign w:val="center"/>
                </w:tcPr>
                <w:p w14:paraId="2825C5A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北纬</w:t>
                  </w:r>
                </w:p>
              </w:tc>
              <w:tc>
                <w:tcPr>
                  <w:tcW w:w="339" w:type="pct"/>
                  <w:vAlign w:val="center"/>
                </w:tcPr>
                <w:p w14:paraId="56FC7ED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水质</w:t>
                  </w:r>
                </w:p>
              </w:tc>
              <w:tc>
                <w:tcPr>
                  <w:tcW w:w="386" w:type="pct"/>
                  <w:vAlign w:val="center"/>
                </w:tcPr>
                <w:p w14:paraId="555778B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海洋沉积物</w:t>
                  </w:r>
                </w:p>
              </w:tc>
              <w:tc>
                <w:tcPr>
                  <w:tcW w:w="576" w:type="pct"/>
                  <w:vAlign w:val="center"/>
                </w:tcPr>
                <w:p w14:paraId="790927F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生物生态（含生物体质量）</w:t>
                  </w:r>
                </w:p>
              </w:tc>
              <w:tc>
                <w:tcPr>
                  <w:tcW w:w="679" w:type="pct"/>
                  <w:vAlign w:val="center"/>
                </w:tcPr>
                <w:p w14:paraId="3436A15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渔业资源拖网（含生物体质量）</w:t>
                  </w:r>
                </w:p>
              </w:tc>
              <w:tc>
                <w:tcPr>
                  <w:tcW w:w="588" w:type="pct"/>
                  <w:vAlign w:val="center"/>
                </w:tcPr>
                <w:p w14:paraId="31C62D9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表层沉积物粒度</w:t>
                  </w:r>
                </w:p>
              </w:tc>
            </w:tr>
            <w:bookmarkEnd w:id="35"/>
            <w:tr w14:paraId="5D0D7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66B120A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w:t>
                  </w:r>
                </w:p>
              </w:tc>
              <w:tc>
                <w:tcPr>
                  <w:tcW w:w="1037" w:type="pct"/>
                  <w:vAlign w:val="center"/>
                </w:tcPr>
                <w:p w14:paraId="2ED05A1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108°57′57.58″</w:t>
                  </w:r>
                </w:p>
              </w:tc>
              <w:tc>
                <w:tcPr>
                  <w:tcW w:w="979" w:type="pct"/>
                  <w:vAlign w:val="center"/>
                </w:tcPr>
                <w:p w14:paraId="3225D1B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21°14′43.09″</w:t>
                  </w:r>
                </w:p>
              </w:tc>
              <w:tc>
                <w:tcPr>
                  <w:tcW w:w="339" w:type="pct"/>
                  <w:vAlign w:val="center"/>
                </w:tcPr>
                <w:p w14:paraId="5E44F02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noWrap/>
                  <w:vAlign w:val="center"/>
                </w:tcPr>
                <w:p w14:paraId="31A6F367">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noWrap/>
                  <w:vAlign w:val="center"/>
                </w:tcPr>
                <w:p w14:paraId="187F31B1">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noWrap/>
                  <w:vAlign w:val="center"/>
                </w:tcPr>
                <w:p w14:paraId="6296D108">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noWrap/>
                  <w:vAlign w:val="center"/>
                </w:tcPr>
                <w:p w14:paraId="2DFD472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6399B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2843933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1037" w:type="pct"/>
                  <w:vAlign w:val="center"/>
                </w:tcPr>
                <w:p w14:paraId="55FED0C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108°58′54.50″</w:t>
                  </w:r>
                </w:p>
              </w:tc>
              <w:tc>
                <w:tcPr>
                  <w:tcW w:w="979" w:type="pct"/>
                  <w:vAlign w:val="center"/>
                </w:tcPr>
                <w:p w14:paraId="71D7129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21°10′21.15″</w:t>
                  </w:r>
                </w:p>
              </w:tc>
              <w:tc>
                <w:tcPr>
                  <w:tcW w:w="339" w:type="pct"/>
                  <w:vAlign w:val="center"/>
                </w:tcPr>
                <w:p w14:paraId="64CA5DA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noWrap/>
                  <w:vAlign w:val="center"/>
                </w:tcPr>
                <w:p w14:paraId="21B04AB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noWrap/>
                  <w:vAlign w:val="center"/>
                </w:tcPr>
                <w:p w14:paraId="452F42F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noWrap/>
                  <w:vAlign w:val="center"/>
                </w:tcPr>
                <w:p w14:paraId="00C09C8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noWrap/>
                  <w:vAlign w:val="center"/>
                </w:tcPr>
                <w:p w14:paraId="27EE753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7A393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7540189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w:t>
                  </w:r>
                </w:p>
              </w:tc>
              <w:tc>
                <w:tcPr>
                  <w:tcW w:w="1037" w:type="pct"/>
                  <w:vAlign w:val="center"/>
                </w:tcPr>
                <w:p w14:paraId="40A6451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109°00′11.47″</w:t>
                  </w:r>
                </w:p>
              </w:tc>
              <w:tc>
                <w:tcPr>
                  <w:tcW w:w="979" w:type="pct"/>
                  <w:vAlign w:val="center"/>
                </w:tcPr>
                <w:p w14:paraId="637157D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21°05′51.86″</w:t>
                  </w:r>
                </w:p>
              </w:tc>
              <w:tc>
                <w:tcPr>
                  <w:tcW w:w="339" w:type="pct"/>
                  <w:vAlign w:val="center"/>
                </w:tcPr>
                <w:p w14:paraId="0C2077B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520561C0">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60456F70">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vAlign w:val="center"/>
                </w:tcPr>
                <w:p w14:paraId="45EE12F0">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vAlign w:val="center"/>
                </w:tcPr>
                <w:p w14:paraId="4D837D5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61EBA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6BF274C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w:t>
                  </w:r>
                </w:p>
              </w:tc>
              <w:tc>
                <w:tcPr>
                  <w:tcW w:w="1037" w:type="pct"/>
                  <w:vAlign w:val="center"/>
                </w:tcPr>
                <w:p w14:paraId="268BE02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109°01′25.71″</w:t>
                  </w:r>
                </w:p>
              </w:tc>
              <w:tc>
                <w:tcPr>
                  <w:tcW w:w="979" w:type="pct"/>
                  <w:vAlign w:val="center"/>
                </w:tcPr>
                <w:p w14:paraId="469BBE4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21°00′46.38″</w:t>
                  </w:r>
                </w:p>
              </w:tc>
              <w:tc>
                <w:tcPr>
                  <w:tcW w:w="339" w:type="pct"/>
                  <w:vAlign w:val="center"/>
                </w:tcPr>
                <w:p w14:paraId="6F01EBE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2D07911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4DF0C3A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78A8A03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5386466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13F9F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5750891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1037" w:type="pct"/>
                  <w:vAlign w:val="center"/>
                </w:tcPr>
                <w:p w14:paraId="59F331B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109°09′17.72″</w:t>
                  </w:r>
                </w:p>
              </w:tc>
              <w:tc>
                <w:tcPr>
                  <w:tcW w:w="979" w:type="pct"/>
                  <w:vAlign w:val="center"/>
                </w:tcPr>
                <w:p w14:paraId="541F22E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21°04′33.38″</w:t>
                  </w:r>
                </w:p>
              </w:tc>
              <w:tc>
                <w:tcPr>
                  <w:tcW w:w="339" w:type="pct"/>
                  <w:vAlign w:val="center"/>
                </w:tcPr>
                <w:p w14:paraId="4008D4F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54119374">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25AF296D">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vAlign w:val="center"/>
                </w:tcPr>
                <w:p w14:paraId="7C029E16">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vAlign w:val="center"/>
                </w:tcPr>
                <w:p w14:paraId="58B3616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301B8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23C775D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1037" w:type="pct"/>
                  <w:vAlign w:val="center"/>
                </w:tcPr>
                <w:p w14:paraId="6182DA3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109°08′23.39″</w:t>
                  </w:r>
                </w:p>
              </w:tc>
              <w:tc>
                <w:tcPr>
                  <w:tcW w:w="979" w:type="pct"/>
                  <w:vAlign w:val="center"/>
                </w:tcPr>
                <w:p w14:paraId="2F505CD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21°08′07.22″</w:t>
                  </w:r>
                </w:p>
              </w:tc>
              <w:tc>
                <w:tcPr>
                  <w:tcW w:w="339" w:type="pct"/>
                  <w:vAlign w:val="center"/>
                </w:tcPr>
                <w:p w14:paraId="62C5306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14B5238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54E17CC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76B11FC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45BD3DF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0E530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4B92CE2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1037" w:type="pct"/>
                  <w:vAlign w:val="center"/>
                </w:tcPr>
                <w:p w14:paraId="0E4C165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109°07′36.44″</w:t>
                  </w:r>
                </w:p>
              </w:tc>
              <w:tc>
                <w:tcPr>
                  <w:tcW w:w="979" w:type="pct"/>
                  <w:vAlign w:val="center"/>
                </w:tcPr>
                <w:p w14:paraId="4E9B7F3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21°11′26.27″</w:t>
                  </w:r>
                </w:p>
              </w:tc>
              <w:tc>
                <w:tcPr>
                  <w:tcW w:w="339" w:type="pct"/>
                  <w:vAlign w:val="center"/>
                </w:tcPr>
                <w:p w14:paraId="78AC849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554B8BAF">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7F4DDB2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304BB78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54E32B0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49198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0BAFB3A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w:t>
                  </w:r>
                </w:p>
              </w:tc>
              <w:tc>
                <w:tcPr>
                  <w:tcW w:w="1037" w:type="pct"/>
                  <w:vAlign w:val="center"/>
                </w:tcPr>
                <w:p w14:paraId="37CDAD6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109°06′44.41″</w:t>
                  </w:r>
                </w:p>
              </w:tc>
              <w:tc>
                <w:tcPr>
                  <w:tcW w:w="979" w:type="pct"/>
                  <w:vAlign w:val="center"/>
                </w:tcPr>
                <w:p w14:paraId="73E1DB6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21°15′06.82″</w:t>
                  </w:r>
                </w:p>
              </w:tc>
              <w:tc>
                <w:tcPr>
                  <w:tcW w:w="339" w:type="pct"/>
                  <w:vAlign w:val="center"/>
                </w:tcPr>
                <w:p w14:paraId="76C936F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0643092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1856091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46A9F35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49097AF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48BCE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7775486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w:t>
                  </w:r>
                </w:p>
              </w:tc>
              <w:tc>
                <w:tcPr>
                  <w:tcW w:w="1037" w:type="pct"/>
                  <w:vAlign w:val="center"/>
                </w:tcPr>
                <w:p w14:paraId="6CC1173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109°14′22.84″</w:t>
                  </w:r>
                </w:p>
              </w:tc>
              <w:tc>
                <w:tcPr>
                  <w:tcW w:w="979" w:type="pct"/>
                  <w:vAlign w:val="center"/>
                </w:tcPr>
                <w:p w14:paraId="7F7BA6C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21°16′39.51″</w:t>
                  </w:r>
                </w:p>
              </w:tc>
              <w:tc>
                <w:tcPr>
                  <w:tcW w:w="339" w:type="pct"/>
                  <w:vAlign w:val="center"/>
                </w:tcPr>
                <w:p w14:paraId="3D0670D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noWrap/>
                  <w:vAlign w:val="center"/>
                </w:tcPr>
                <w:p w14:paraId="2B8EB4E4">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noWrap/>
                  <w:vAlign w:val="center"/>
                </w:tcPr>
                <w:p w14:paraId="1E61CBF9">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noWrap/>
                  <w:vAlign w:val="center"/>
                </w:tcPr>
                <w:p w14:paraId="23791A0E">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noWrap/>
                  <w:vAlign w:val="center"/>
                </w:tcPr>
                <w:p w14:paraId="274FF6B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074C6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4A3ED0B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1037" w:type="pct"/>
                  <w:vAlign w:val="center"/>
                </w:tcPr>
                <w:p w14:paraId="11555ED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109°15′14.69″</w:t>
                  </w:r>
                </w:p>
              </w:tc>
              <w:tc>
                <w:tcPr>
                  <w:tcW w:w="979" w:type="pct"/>
                  <w:vAlign w:val="center"/>
                </w:tcPr>
                <w:p w14:paraId="03093DE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21°12′55.84″</w:t>
                  </w:r>
                </w:p>
              </w:tc>
              <w:tc>
                <w:tcPr>
                  <w:tcW w:w="339" w:type="pct"/>
                  <w:vAlign w:val="center"/>
                </w:tcPr>
                <w:p w14:paraId="171EDE8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3B97BF1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2DCFCC3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7D7D799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2486326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03EDE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1A740E2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11#</w:t>
                  </w:r>
                </w:p>
              </w:tc>
              <w:tc>
                <w:tcPr>
                  <w:tcW w:w="1037" w:type="pct"/>
                  <w:vAlign w:val="center"/>
                </w:tcPr>
                <w:p w14:paraId="62F9B30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109°16′01.48″</w:t>
                  </w:r>
                </w:p>
              </w:tc>
              <w:tc>
                <w:tcPr>
                  <w:tcW w:w="979" w:type="pct"/>
                  <w:vAlign w:val="center"/>
                </w:tcPr>
                <w:p w14:paraId="01F0349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21°09′36.76″</w:t>
                  </w:r>
                </w:p>
              </w:tc>
              <w:tc>
                <w:tcPr>
                  <w:tcW w:w="339" w:type="pct"/>
                  <w:vAlign w:val="center"/>
                </w:tcPr>
                <w:p w14:paraId="52F4958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79DB45A5">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64B0A57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37079E0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6013970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2038E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5469E91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12#</w:t>
                  </w:r>
                </w:p>
              </w:tc>
              <w:tc>
                <w:tcPr>
                  <w:tcW w:w="1037" w:type="pct"/>
                  <w:vAlign w:val="center"/>
                </w:tcPr>
                <w:p w14:paraId="4FD10A6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109°16′54.26″</w:t>
                  </w:r>
                </w:p>
              </w:tc>
              <w:tc>
                <w:tcPr>
                  <w:tcW w:w="979" w:type="pct"/>
                  <w:vAlign w:val="center"/>
                </w:tcPr>
                <w:p w14:paraId="414FCAB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21°06′02.82″</w:t>
                  </w:r>
                </w:p>
              </w:tc>
              <w:tc>
                <w:tcPr>
                  <w:tcW w:w="339" w:type="pct"/>
                  <w:vAlign w:val="center"/>
                </w:tcPr>
                <w:p w14:paraId="332868F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noWrap/>
                  <w:vAlign w:val="center"/>
                </w:tcPr>
                <w:p w14:paraId="1CABE6E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noWrap/>
                  <w:vAlign w:val="center"/>
                </w:tcPr>
                <w:p w14:paraId="67D5DFB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noWrap/>
                  <w:vAlign w:val="center"/>
                </w:tcPr>
                <w:p w14:paraId="21253C8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noWrap/>
                  <w:vAlign w:val="center"/>
                </w:tcPr>
                <w:p w14:paraId="26DCA1F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39ECC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22033CE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13#</w:t>
                  </w:r>
                </w:p>
              </w:tc>
              <w:tc>
                <w:tcPr>
                  <w:tcW w:w="1037" w:type="pct"/>
                  <w:vAlign w:val="center"/>
                </w:tcPr>
                <w:p w14:paraId="0C707D5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109°24′18.22″</w:t>
                  </w:r>
                </w:p>
              </w:tc>
              <w:tc>
                <w:tcPr>
                  <w:tcW w:w="979" w:type="pct"/>
                  <w:vAlign w:val="center"/>
                </w:tcPr>
                <w:p w14:paraId="5C3E935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21°07′54.16″</w:t>
                  </w:r>
                </w:p>
              </w:tc>
              <w:tc>
                <w:tcPr>
                  <w:tcW w:w="339" w:type="pct"/>
                  <w:vAlign w:val="center"/>
                </w:tcPr>
                <w:p w14:paraId="1AB8872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noWrap/>
                  <w:vAlign w:val="center"/>
                </w:tcPr>
                <w:p w14:paraId="5E90F7A0">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noWrap/>
                  <w:vAlign w:val="center"/>
                </w:tcPr>
                <w:p w14:paraId="68430BE0">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noWrap/>
                  <w:vAlign w:val="center"/>
                </w:tcPr>
                <w:p w14:paraId="4BAAD4DB">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noWrap/>
                  <w:vAlign w:val="center"/>
                </w:tcPr>
                <w:p w14:paraId="2FCF287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426E2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1F9596A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w:t>
                  </w:r>
                </w:p>
              </w:tc>
              <w:tc>
                <w:tcPr>
                  <w:tcW w:w="1037" w:type="pct"/>
                  <w:vAlign w:val="center"/>
                </w:tcPr>
                <w:p w14:paraId="52F4C72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109°23′29.98″</w:t>
                  </w:r>
                </w:p>
              </w:tc>
              <w:tc>
                <w:tcPr>
                  <w:tcW w:w="979" w:type="pct"/>
                  <w:vAlign w:val="center"/>
                </w:tcPr>
                <w:p w14:paraId="48A480A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21°11′14.23″</w:t>
                  </w:r>
                </w:p>
              </w:tc>
              <w:tc>
                <w:tcPr>
                  <w:tcW w:w="339" w:type="pct"/>
                  <w:vAlign w:val="center"/>
                </w:tcPr>
                <w:p w14:paraId="3A1F0F9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346FB9B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480C9CC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2A73ED2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386BA74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05C56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01618AF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15#</w:t>
                  </w:r>
                </w:p>
              </w:tc>
              <w:tc>
                <w:tcPr>
                  <w:tcW w:w="1037" w:type="pct"/>
                  <w:vAlign w:val="center"/>
                </w:tcPr>
                <w:p w14:paraId="6F1C501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109°22′43.35″</w:t>
                  </w:r>
                </w:p>
              </w:tc>
              <w:tc>
                <w:tcPr>
                  <w:tcW w:w="979" w:type="pct"/>
                  <w:vAlign w:val="center"/>
                </w:tcPr>
                <w:p w14:paraId="0DCE5C9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21°14′33.35″</w:t>
                  </w:r>
                </w:p>
              </w:tc>
              <w:tc>
                <w:tcPr>
                  <w:tcW w:w="339" w:type="pct"/>
                  <w:vAlign w:val="center"/>
                </w:tcPr>
                <w:p w14:paraId="004805E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0289A39D">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06F8F135">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vAlign w:val="center"/>
                </w:tcPr>
                <w:p w14:paraId="4096B3E4">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vAlign w:val="center"/>
                </w:tcPr>
                <w:p w14:paraId="7F2D748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7371A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1A05272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16#</w:t>
                  </w:r>
                </w:p>
              </w:tc>
              <w:tc>
                <w:tcPr>
                  <w:tcW w:w="1037" w:type="pct"/>
                  <w:vAlign w:val="center"/>
                </w:tcPr>
                <w:p w14:paraId="1BFEE58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109°21′51.68″</w:t>
                  </w:r>
                </w:p>
              </w:tc>
              <w:tc>
                <w:tcPr>
                  <w:tcW w:w="979" w:type="pct"/>
                  <w:vAlign w:val="center"/>
                </w:tcPr>
                <w:p w14:paraId="75C3A9A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21°18′17.06″</w:t>
                  </w:r>
                </w:p>
              </w:tc>
              <w:tc>
                <w:tcPr>
                  <w:tcW w:w="339" w:type="pct"/>
                  <w:vAlign w:val="center"/>
                </w:tcPr>
                <w:p w14:paraId="5591B1F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2C2FD8B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4B3B32F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5DEB98F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1205A1A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2DCCA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78F62CB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w:t>
                  </w:r>
                </w:p>
              </w:tc>
              <w:tc>
                <w:tcPr>
                  <w:tcW w:w="1037" w:type="pct"/>
                  <w:vAlign w:val="center"/>
                </w:tcPr>
                <w:p w14:paraId="664B1C2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109°30′08.53″</w:t>
                  </w:r>
                </w:p>
              </w:tc>
              <w:tc>
                <w:tcPr>
                  <w:tcW w:w="979" w:type="pct"/>
                  <w:vAlign w:val="center"/>
                </w:tcPr>
                <w:p w14:paraId="1854C3F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21°21′35.57″</w:t>
                  </w:r>
                </w:p>
              </w:tc>
              <w:tc>
                <w:tcPr>
                  <w:tcW w:w="339" w:type="pct"/>
                  <w:vAlign w:val="center"/>
                </w:tcPr>
                <w:p w14:paraId="7343683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6689439C">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0F5B461A">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vAlign w:val="center"/>
                </w:tcPr>
                <w:p w14:paraId="6091DAB9">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vAlign w:val="center"/>
                </w:tcPr>
                <w:p w14:paraId="51306CE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0A959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4B4FE96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w:t>
                  </w:r>
                </w:p>
              </w:tc>
              <w:tc>
                <w:tcPr>
                  <w:tcW w:w="1037" w:type="pct"/>
                  <w:vAlign w:val="center"/>
                </w:tcPr>
                <w:p w14:paraId="5B534F6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109°30′56.46″</w:t>
                  </w:r>
                </w:p>
              </w:tc>
              <w:tc>
                <w:tcPr>
                  <w:tcW w:w="979" w:type="pct"/>
                  <w:vAlign w:val="center"/>
                </w:tcPr>
                <w:p w14:paraId="4F6C715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21°17′16.98″</w:t>
                  </w:r>
                </w:p>
              </w:tc>
              <w:tc>
                <w:tcPr>
                  <w:tcW w:w="339" w:type="pct"/>
                  <w:vAlign w:val="center"/>
                </w:tcPr>
                <w:p w14:paraId="64BDF97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362383C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411A1F9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12EA2A7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193841F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77A9A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13D8E65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19#</w:t>
                  </w:r>
                </w:p>
              </w:tc>
              <w:tc>
                <w:tcPr>
                  <w:tcW w:w="1037" w:type="pct"/>
                  <w:vAlign w:val="center"/>
                </w:tcPr>
                <w:p w14:paraId="6D9F1BA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109°32′26.82″</w:t>
                  </w:r>
                </w:p>
              </w:tc>
              <w:tc>
                <w:tcPr>
                  <w:tcW w:w="979" w:type="pct"/>
                  <w:vAlign w:val="center"/>
                </w:tcPr>
                <w:p w14:paraId="292A844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21°12′47.97″</w:t>
                  </w:r>
                </w:p>
              </w:tc>
              <w:tc>
                <w:tcPr>
                  <w:tcW w:w="339" w:type="pct"/>
                  <w:vAlign w:val="center"/>
                </w:tcPr>
                <w:p w14:paraId="7E992B7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6BB57C62">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76" w:type="pct"/>
                  <w:vAlign w:val="center"/>
                </w:tcPr>
                <w:p w14:paraId="440E6B58">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679" w:type="pct"/>
                  <w:vAlign w:val="center"/>
                </w:tcPr>
                <w:p w14:paraId="5F4F79BD">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588" w:type="pct"/>
                  <w:vAlign w:val="center"/>
                </w:tcPr>
                <w:p w14:paraId="7EB0D75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28209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28FD1F4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w:t>
                  </w:r>
                </w:p>
              </w:tc>
              <w:tc>
                <w:tcPr>
                  <w:tcW w:w="1037" w:type="pct"/>
                  <w:vAlign w:val="center"/>
                </w:tcPr>
                <w:p w14:paraId="464F9A8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109°33′41.24″</w:t>
                  </w:r>
                </w:p>
              </w:tc>
              <w:tc>
                <w:tcPr>
                  <w:tcW w:w="979" w:type="pct"/>
                  <w:vAlign w:val="center"/>
                </w:tcPr>
                <w:p w14:paraId="01A8874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21°07′49.69″</w:t>
                  </w:r>
                </w:p>
              </w:tc>
              <w:tc>
                <w:tcPr>
                  <w:tcW w:w="339" w:type="pct"/>
                  <w:vAlign w:val="center"/>
                </w:tcPr>
                <w:p w14:paraId="0CF2911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386" w:type="pct"/>
                  <w:vAlign w:val="center"/>
                </w:tcPr>
                <w:p w14:paraId="2046A27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76" w:type="pct"/>
                  <w:vAlign w:val="center"/>
                </w:tcPr>
                <w:p w14:paraId="14FDB65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679" w:type="pct"/>
                  <w:vAlign w:val="center"/>
                </w:tcPr>
                <w:p w14:paraId="4DD76B7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c>
                <w:tcPr>
                  <w:tcW w:w="588" w:type="pct"/>
                  <w:vAlign w:val="center"/>
                </w:tcPr>
                <w:p w14:paraId="290495E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t>
                  </w:r>
                </w:p>
              </w:tc>
            </w:tr>
            <w:tr w14:paraId="0ECA5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4F1120A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CJD1</w:t>
                  </w:r>
                </w:p>
              </w:tc>
              <w:tc>
                <w:tcPr>
                  <w:tcW w:w="1037" w:type="pct"/>
                  <w:vAlign w:val="center"/>
                </w:tcPr>
                <w:p w14:paraId="3F85FE6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109°04′53.63″</w:t>
                  </w:r>
                </w:p>
              </w:tc>
              <w:tc>
                <w:tcPr>
                  <w:tcW w:w="979" w:type="pct"/>
                  <w:vAlign w:val="center"/>
                </w:tcPr>
                <w:p w14:paraId="5C010CD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21°02′38.46″</w:t>
                  </w:r>
                </w:p>
              </w:tc>
              <w:tc>
                <w:tcPr>
                  <w:tcW w:w="2569" w:type="pct"/>
                  <w:gridSpan w:val="5"/>
                  <w:vMerge w:val="restart"/>
                  <w:vAlign w:val="center"/>
                </w:tcPr>
                <w:p w14:paraId="1E45443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图中断面位置及长度仅作参考，取样根据实际情况调整，并记录取样点坐标。</w:t>
                  </w:r>
                </w:p>
                <w:p w14:paraId="03335ED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潮间带生物：每条断面各取高潮区、中潮区、低潮区三个点取样。</w:t>
                  </w:r>
                </w:p>
                <w:p w14:paraId="3271025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潮间带沉积物：每条潮间带各取1个站位取样。</w:t>
                  </w:r>
                </w:p>
              </w:tc>
            </w:tr>
            <w:tr w14:paraId="28A4B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14:paraId="457663C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CJD2</w:t>
                  </w:r>
                </w:p>
              </w:tc>
              <w:tc>
                <w:tcPr>
                  <w:tcW w:w="1037" w:type="pct"/>
                  <w:vAlign w:val="center"/>
                </w:tcPr>
                <w:p w14:paraId="3661B29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109°06′39.66″</w:t>
                  </w:r>
                </w:p>
              </w:tc>
              <w:tc>
                <w:tcPr>
                  <w:tcW w:w="979" w:type="pct"/>
                  <w:vAlign w:val="center"/>
                </w:tcPr>
                <w:p w14:paraId="78E94E3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21°04′12.00″</w:t>
                  </w:r>
                </w:p>
              </w:tc>
              <w:tc>
                <w:tcPr>
                  <w:tcW w:w="2569" w:type="pct"/>
                  <w:gridSpan w:val="5"/>
                  <w:vMerge w:val="continue"/>
                  <w:vAlign w:val="center"/>
                </w:tcPr>
                <w:p w14:paraId="5A1530B2">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0D0EF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13" w:type="pct"/>
                  <w:vAlign w:val="center"/>
                </w:tcPr>
                <w:p w14:paraId="4237D7A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CJD3</w:t>
                  </w:r>
                </w:p>
              </w:tc>
              <w:tc>
                <w:tcPr>
                  <w:tcW w:w="1037" w:type="pct"/>
                  <w:vAlign w:val="center"/>
                </w:tcPr>
                <w:p w14:paraId="29D7E64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109°07′57.01″</w:t>
                  </w:r>
                </w:p>
              </w:tc>
              <w:tc>
                <w:tcPr>
                  <w:tcW w:w="979" w:type="pct"/>
                  <w:vAlign w:val="center"/>
                </w:tcPr>
                <w:p w14:paraId="515A2D1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21°02′18.45″</w:t>
                  </w:r>
                </w:p>
              </w:tc>
              <w:tc>
                <w:tcPr>
                  <w:tcW w:w="2569" w:type="pct"/>
                  <w:gridSpan w:val="5"/>
                  <w:vMerge w:val="continue"/>
                  <w:vAlign w:val="center"/>
                </w:tcPr>
                <w:p w14:paraId="19409749">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bl>
          <w:p w14:paraId="3544164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drawing>
                <wp:inline distT="0" distB="0" distL="114300" distR="114300">
                  <wp:extent cx="4649470" cy="3223895"/>
                  <wp:effectExtent l="0" t="0" r="1778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649470" cy="3223895"/>
                          </a:xfrm>
                          <a:prstGeom prst="rect">
                            <a:avLst/>
                          </a:prstGeom>
                          <a:noFill/>
                          <a:ln>
                            <a:noFill/>
                          </a:ln>
                        </pic:spPr>
                      </pic:pic>
                    </a:graphicData>
                  </a:graphic>
                </wp:inline>
              </w:drawing>
            </w:r>
          </w:p>
          <w:p w14:paraId="19817B7D">
            <w:pPr>
              <w:widowControl/>
              <w:spacing w:line="360" w:lineRule="auto"/>
              <w:textAlignment w:val="center"/>
              <w:rPr>
                <w:rFonts w:hint="eastAsia" w:ascii="宋体" w:hAnsi="宋体" w:eastAsia="宋体" w:cs="宋体"/>
                <w:b w:val="0"/>
                <w:bCs w:val="0"/>
                <w:color w:val="auto"/>
                <w:sz w:val="18"/>
                <w:szCs w:val="18"/>
                <w:highlight w:val="none"/>
                <w:lang w:val="en-US" w:eastAsia="zh-CN"/>
              </w:rPr>
            </w:pPr>
            <w:bookmarkStart w:id="36" w:name="_Hlk203902192"/>
            <w:r>
              <w:rPr>
                <w:rFonts w:hint="eastAsia" w:ascii="宋体" w:hAnsi="宋体" w:eastAsia="宋体" w:cs="宋体"/>
                <w:b w:val="0"/>
                <w:bCs w:val="0"/>
                <w:color w:val="auto"/>
                <w:sz w:val="18"/>
                <w:szCs w:val="18"/>
                <w:highlight w:val="none"/>
                <w:lang w:val="en-US" w:eastAsia="zh-CN"/>
              </w:rPr>
              <w:t>图3-1  海洋生态环境调查站位图</w:t>
            </w:r>
          </w:p>
          <w:bookmarkEnd w:id="36"/>
          <w:p w14:paraId="3BBF2E7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（2）调查时间</w:t>
            </w:r>
          </w:p>
          <w:p w14:paraId="07FC464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海水水质、海洋生态和渔业资源（含生物体质量调查）、潮间带生物开展春、秋2季调查。</w:t>
            </w:r>
          </w:p>
          <w:p w14:paraId="646187D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海洋沉积物（含潮间带沉积物）、表层沉积物粒度开展春或秋1季调查。</w:t>
            </w:r>
          </w:p>
          <w:p w14:paraId="1295D47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（3）调查项目</w:t>
            </w:r>
          </w:p>
          <w:p w14:paraId="51FB4A9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①海水水质</w:t>
            </w:r>
          </w:p>
          <w:p w14:paraId="4A5D958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pH、水温、水深、盐度、悬浮物、化学需氧量、溶解氧、无机氮（硝酸盐氮、亚硝酸盐氮、氨氮）、活性磷酸盐、石油类、硫化物、挥发性酚、重金属（铜、铅、镉、汞、锌、总铬、砷）。</w:t>
            </w:r>
          </w:p>
          <w:p w14:paraId="57DA206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石油类采集表层样品，其他因子按照表3-2要求采集样品。</w:t>
            </w:r>
          </w:p>
          <w:p w14:paraId="2F2F001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表3-2                            其他因子采样层次</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2"/>
              <w:gridCol w:w="4956"/>
            </w:tblGrid>
            <w:tr w14:paraId="0064E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600" w:type="pct"/>
                  <w:vAlign w:val="center"/>
                </w:tcPr>
                <w:p w14:paraId="06C3EBA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水深范围（m）</w:t>
                  </w:r>
                </w:p>
              </w:tc>
              <w:tc>
                <w:tcPr>
                  <w:tcW w:w="3399" w:type="pct"/>
                  <w:vAlign w:val="center"/>
                </w:tcPr>
                <w:p w14:paraId="45418A4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层次</w:t>
                  </w:r>
                </w:p>
              </w:tc>
            </w:tr>
            <w:tr w14:paraId="4F3A7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0" w:type="pct"/>
                  <w:vAlign w:val="center"/>
                </w:tcPr>
                <w:p w14:paraId="1E7C278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3399" w:type="pct"/>
                  <w:vAlign w:val="center"/>
                </w:tcPr>
                <w:p w14:paraId="4883E78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表层</w:t>
                  </w:r>
                </w:p>
              </w:tc>
            </w:tr>
            <w:tr w14:paraId="58495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0" w:type="pct"/>
                  <w:vAlign w:val="center"/>
                </w:tcPr>
                <w:p w14:paraId="4711F29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10~50</w:t>
                  </w:r>
                </w:p>
              </w:tc>
              <w:tc>
                <w:tcPr>
                  <w:tcW w:w="3399" w:type="pct"/>
                  <w:vAlign w:val="center"/>
                </w:tcPr>
                <w:p w14:paraId="4BF116D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表层、底层</w:t>
                  </w:r>
                </w:p>
              </w:tc>
            </w:tr>
            <w:tr w14:paraId="3CDE5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00" w:type="pct"/>
                  <w:vAlign w:val="center"/>
                </w:tcPr>
                <w:p w14:paraId="6DCCC24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＞50</w:t>
                  </w:r>
                </w:p>
              </w:tc>
              <w:tc>
                <w:tcPr>
                  <w:tcW w:w="3399" w:type="pct"/>
                  <w:vAlign w:val="center"/>
                </w:tcPr>
                <w:p w14:paraId="669C8E3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表层、50m层</w:t>
                  </w:r>
                </w:p>
              </w:tc>
            </w:tr>
          </w:tbl>
          <w:p w14:paraId="322033B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②海洋沉积物和潮间带沉积物</w:t>
            </w:r>
          </w:p>
          <w:p w14:paraId="3DC7CED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硫化物、石油类、有机碳、汞、铜、铅、镉、锌、铬、砷。</w:t>
            </w:r>
          </w:p>
          <w:p w14:paraId="3985A14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③海洋生态和渔业资源</w:t>
            </w:r>
          </w:p>
          <w:p w14:paraId="6E80038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A.生物生态</w:t>
            </w:r>
          </w:p>
          <w:p w14:paraId="284D4FB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叶绿素a、初级生产力的浓度范围、分布特点；浮游植物、浮游动物、底栖生物、潮间带生物的种类组成、生物量、生物密度、优势种、群落结构特征。</w:t>
            </w:r>
          </w:p>
          <w:p w14:paraId="28BF7A7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B.渔业资源</w:t>
            </w:r>
          </w:p>
          <w:p w14:paraId="4DA3F99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鱼卵、仔稚鱼和游泳动物的种类组成、渔获量、成幼体比例、资源密度、优势种、群落特征。其中游泳动物单独统计鱼类、虾类、蟹类、头足类等的种类组成、渔获量和资源密度。</w:t>
            </w:r>
          </w:p>
          <w:p w14:paraId="41C6550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④海洋生物质量</w:t>
            </w:r>
          </w:p>
          <w:p w14:paraId="2B755D8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结合生物生态和渔业资源调查获取生物质量样品，每季度生物样品采集站位不少于3个、样品数量不少于5个、生物类型不少于3类，包括贝类、甲壳类、定居性鱼类、其他软体动物，其中优先选取双壳贝类样品。</w:t>
            </w:r>
          </w:p>
          <w:p w14:paraId="494781D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调查因子包括石油烃、总汞、铜、铅、锌、铬、镉、砷。</w:t>
            </w:r>
          </w:p>
          <w:p w14:paraId="21BABC0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⑤表层沉积物粒度</w:t>
            </w:r>
          </w:p>
          <w:p w14:paraId="2D006B9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20个站位的表层沉积物粒度取样调查，监测因子包括累计百分体积对应粒径、平均粒径、分选系数、偏态、峰态以及沉积物类型命名。</w:t>
            </w:r>
          </w:p>
          <w:p w14:paraId="35E467C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4.海洋水文动力现状调查方案</w:t>
            </w:r>
          </w:p>
          <w:p w14:paraId="5FAC303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根据有关规定，</w:t>
            </w:r>
            <w:r>
              <w:rPr>
                <w:rFonts w:hint="eastAsia" w:ascii="宋体" w:hAnsi="宋体" w:eastAsia="宋体" w:cs="宋体"/>
                <w:b w:val="0"/>
                <w:bCs w:val="0"/>
                <w:color w:val="auto"/>
                <w:sz w:val="18"/>
                <w:szCs w:val="18"/>
                <w:highlight w:val="none"/>
              </w:rPr>
              <w:t>调查</w:t>
            </w:r>
            <w:r>
              <w:rPr>
                <w:rFonts w:hint="eastAsia" w:ascii="宋体" w:hAnsi="宋体" w:eastAsia="宋体" w:cs="宋体"/>
                <w:b w:val="0"/>
                <w:bCs w:val="0"/>
                <w:color w:val="auto"/>
                <w:sz w:val="18"/>
                <w:szCs w:val="18"/>
                <w:highlight w:val="none"/>
                <w:lang w:eastAsia="zh-CN"/>
              </w:rPr>
              <w:t>工程</w:t>
            </w:r>
            <w:r>
              <w:rPr>
                <w:rFonts w:hint="eastAsia" w:ascii="宋体" w:hAnsi="宋体" w:eastAsia="宋体" w:cs="宋体"/>
                <w:b w:val="0"/>
                <w:bCs w:val="0"/>
                <w:color w:val="auto"/>
                <w:sz w:val="18"/>
                <w:szCs w:val="18"/>
                <w:highlight w:val="none"/>
              </w:rPr>
              <w:t>区域水文流速、流向、含沙量、盐度、悬沙粒径和潮位观测等，并提供检测报告</w:t>
            </w:r>
            <w:r>
              <w:rPr>
                <w:rFonts w:hint="eastAsia" w:ascii="宋体" w:hAnsi="宋体" w:eastAsia="宋体" w:cs="宋体"/>
                <w:b w:val="0"/>
                <w:bCs w:val="0"/>
                <w:color w:val="auto"/>
                <w:sz w:val="18"/>
                <w:szCs w:val="18"/>
                <w:highlight w:val="none"/>
                <w:lang w:eastAsia="zh-CN"/>
              </w:rPr>
              <w:t>。</w:t>
            </w:r>
          </w:p>
          <w:p w14:paraId="2151FA8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（1）潮流观测</w:t>
            </w:r>
          </w:p>
          <w:p w14:paraId="1BE2D8A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①站位数量</w:t>
            </w:r>
          </w:p>
          <w:p w14:paraId="1420053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共布设6个潮流观测站，包括3条断面，每条断面布设2个站位。</w:t>
            </w:r>
          </w:p>
          <w:p w14:paraId="512D015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②调查时段及频次</w:t>
            </w:r>
          </w:p>
          <w:p w14:paraId="7743EA9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开展春、秋2季调查，分别选择大潮期开展不少于连续26小时的现场观测。</w:t>
            </w:r>
          </w:p>
          <w:p w14:paraId="4A79DFF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③调查项目</w:t>
            </w:r>
          </w:p>
          <w:p w14:paraId="7694BC1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水温、水深、盐度、潮流（流速、流向）、泥沙（含悬沙）、风速、风向。</w:t>
            </w:r>
          </w:p>
          <w:p w14:paraId="2C0746D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（2）潮位观测</w:t>
            </w:r>
          </w:p>
          <w:p w14:paraId="67782A5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①站位数量：共布设3个潮位观测站。</w:t>
            </w:r>
          </w:p>
          <w:p w14:paraId="68B8FFF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②调查时段及频次：开展春、秋2季调查，W1、W2站开展包括大潮期和小潮期在内的连续15天的潮位观测。W3站与S3站测流同步开展26h短时潮位观测。</w:t>
            </w:r>
          </w:p>
          <w:p w14:paraId="65D0330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③调查项目：逐时的潮位值。</w:t>
            </w:r>
          </w:p>
          <w:p w14:paraId="4E020409">
            <w:pPr>
              <w:widowControl/>
              <w:spacing w:line="360" w:lineRule="auto"/>
              <w:textAlignment w:val="center"/>
              <w:rPr>
                <w:rFonts w:hint="eastAsia" w:ascii="宋体" w:hAnsi="宋体" w:eastAsia="宋体" w:cs="宋体"/>
                <w:b w:val="0"/>
                <w:bCs w:val="0"/>
                <w:color w:val="auto"/>
                <w:sz w:val="18"/>
                <w:szCs w:val="18"/>
                <w:highlight w:val="none"/>
                <w:lang w:val="en-US" w:eastAsia="zh-CN"/>
              </w:rPr>
            </w:pPr>
            <w:bookmarkStart w:id="37" w:name="_Hlk203901852"/>
            <w:r>
              <w:rPr>
                <w:rFonts w:hint="eastAsia" w:ascii="宋体" w:hAnsi="宋体" w:eastAsia="宋体" w:cs="宋体"/>
                <w:b w:val="0"/>
                <w:bCs w:val="0"/>
                <w:color w:val="auto"/>
                <w:sz w:val="18"/>
                <w:szCs w:val="18"/>
                <w:highlight w:val="none"/>
                <w:lang w:val="en-US" w:eastAsia="zh-CN"/>
              </w:rPr>
              <w:t>表4-1       海洋水文动力环境现状调查站位一览表</w:t>
            </w:r>
          </w:p>
          <w:tbl>
            <w:tblPr>
              <w:tblStyle w:val="29"/>
              <w:tblW w:w="46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715"/>
              <w:gridCol w:w="2688"/>
            </w:tblGrid>
            <w:tr w14:paraId="785AD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75" w:type="pct"/>
                  <w:vMerge w:val="restart"/>
                  <w:vAlign w:val="center"/>
                </w:tcPr>
                <w:p w14:paraId="23962A7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站位编号</w:t>
                  </w:r>
                </w:p>
              </w:tc>
              <w:tc>
                <w:tcPr>
                  <w:tcW w:w="2560" w:type="pct"/>
                  <w:gridSpan w:val="2"/>
                  <w:vAlign w:val="center"/>
                </w:tcPr>
                <w:p w14:paraId="366E94C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坐标</w:t>
                  </w:r>
                </w:p>
              </w:tc>
              <w:tc>
                <w:tcPr>
                  <w:tcW w:w="1963" w:type="pct"/>
                  <w:vMerge w:val="restart"/>
                  <w:vAlign w:val="center"/>
                </w:tcPr>
                <w:p w14:paraId="2A58B8A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调查项目</w:t>
                  </w:r>
                </w:p>
              </w:tc>
            </w:tr>
            <w:tr w14:paraId="3E3C2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 w:hRule="atLeast"/>
                <w:tblHeader/>
              </w:trPr>
              <w:tc>
                <w:tcPr>
                  <w:tcW w:w="475" w:type="pct"/>
                  <w:vMerge w:val="continue"/>
                  <w:vAlign w:val="center"/>
                </w:tcPr>
                <w:p w14:paraId="661ED0BE">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c>
                <w:tcPr>
                  <w:tcW w:w="1308" w:type="pct"/>
                  <w:vAlign w:val="center"/>
                </w:tcPr>
                <w:p w14:paraId="4D9CEED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东经</w:t>
                  </w:r>
                </w:p>
              </w:tc>
              <w:tc>
                <w:tcPr>
                  <w:tcW w:w="1252" w:type="pct"/>
                  <w:vAlign w:val="center"/>
                </w:tcPr>
                <w:p w14:paraId="2A63329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北纬</w:t>
                  </w:r>
                </w:p>
              </w:tc>
              <w:tc>
                <w:tcPr>
                  <w:tcW w:w="1963" w:type="pct"/>
                  <w:vMerge w:val="continue"/>
                  <w:vAlign w:val="center"/>
                </w:tcPr>
                <w:p w14:paraId="53C5DC16">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5085E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5D026AC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S1</w:t>
                  </w:r>
                </w:p>
              </w:tc>
              <w:tc>
                <w:tcPr>
                  <w:tcW w:w="2093" w:type="dxa"/>
                  <w:vAlign w:val="center"/>
                </w:tcPr>
                <w:p w14:paraId="5783E28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109°00′45.52″</w:t>
                  </w:r>
                </w:p>
              </w:tc>
              <w:tc>
                <w:tcPr>
                  <w:tcW w:w="2004" w:type="dxa"/>
                  <w:vAlign w:val="center"/>
                </w:tcPr>
                <w:p w14:paraId="20EACA3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21°05′27.14″</w:t>
                  </w:r>
                </w:p>
              </w:tc>
              <w:tc>
                <w:tcPr>
                  <w:tcW w:w="1963" w:type="pct"/>
                  <w:vMerge w:val="restart"/>
                  <w:vAlign w:val="center"/>
                </w:tcPr>
                <w:p w14:paraId="74769A1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水温、水深、盐度、潮流（流速、流向）、泥沙（含悬沙）、风速、风向</w:t>
                  </w:r>
                </w:p>
              </w:tc>
            </w:tr>
            <w:tr w14:paraId="40808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64DC879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S2</w:t>
                  </w:r>
                </w:p>
              </w:tc>
              <w:tc>
                <w:tcPr>
                  <w:tcW w:w="2093" w:type="dxa"/>
                  <w:vAlign w:val="center"/>
                </w:tcPr>
                <w:p w14:paraId="3A76BDC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109°08′14.52″</w:t>
                  </w:r>
                </w:p>
              </w:tc>
              <w:tc>
                <w:tcPr>
                  <w:tcW w:w="2004" w:type="dxa"/>
                  <w:vAlign w:val="center"/>
                </w:tcPr>
                <w:p w14:paraId="2FE13CB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21°14′50.40″</w:t>
                  </w:r>
                </w:p>
              </w:tc>
              <w:tc>
                <w:tcPr>
                  <w:tcW w:w="1963" w:type="pct"/>
                  <w:vMerge w:val="continue"/>
                  <w:vAlign w:val="center"/>
                </w:tcPr>
                <w:p w14:paraId="584ABC61">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13D37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58358B6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S3</w:t>
                  </w:r>
                </w:p>
              </w:tc>
              <w:tc>
                <w:tcPr>
                  <w:tcW w:w="2093" w:type="dxa"/>
                  <w:vAlign w:val="center"/>
                </w:tcPr>
                <w:p w14:paraId="61EC96B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109°15′42.81″</w:t>
                  </w:r>
                </w:p>
              </w:tc>
              <w:tc>
                <w:tcPr>
                  <w:tcW w:w="2004" w:type="dxa"/>
                  <w:vAlign w:val="center"/>
                </w:tcPr>
                <w:p w14:paraId="6ED1836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21°08′16.19″</w:t>
                  </w:r>
                </w:p>
              </w:tc>
              <w:tc>
                <w:tcPr>
                  <w:tcW w:w="1963" w:type="pct"/>
                  <w:vMerge w:val="continue"/>
                  <w:vAlign w:val="center"/>
                </w:tcPr>
                <w:p w14:paraId="2379B5F5">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72AB8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094B595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S4</w:t>
                  </w:r>
                </w:p>
              </w:tc>
              <w:tc>
                <w:tcPr>
                  <w:tcW w:w="2093" w:type="dxa"/>
                  <w:vAlign w:val="center"/>
                </w:tcPr>
                <w:p w14:paraId="436784B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109°20′19.34″</w:t>
                  </w:r>
                </w:p>
              </w:tc>
              <w:tc>
                <w:tcPr>
                  <w:tcW w:w="2004" w:type="dxa"/>
                  <w:vAlign w:val="center"/>
                </w:tcPr>
                <w:p w14:paraId="6963AF6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21°17′32.39″</w:t>
                  </w:r>
                </w:p>
              </w:tc>
              <w:tc>
                <w:tcPr>
                  <w:tcW w:w="1963" w:type="pct"/>
                  <w:vMerge w:val="continue"/>
                  <w:vAlign w:val="center"/>
                </w:tcPr>
                <w:p w14:paraId="7DFC45B5">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337F4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7E0EBC7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S5</w:t>
                  </w:r>
                </w:p>
              </w:tc>
              <w:tc>
                <w:tcPr>
                  <w:tcW w:w="2093" w:type="dxa"/>
                  <w:vAlign w:val="center"/>
                </w:tcPr>
                <w:p w14:paraId="5BE0127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109°24′27.25″</w:t>
                  </w:r>
                </w:p>
              </w:tc>
              <w:tc>
                <w:tcPr>
                  <w:tcW w:w="2004" w:type="dxa"/>
                  <w:vAlign w:val="center"/>
                </w:tcPr>
                <w:p w14:paraId="1B8767E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21°08′10.92″</w:t>
                  </w:r>
                </w:p>
              </w:tc>
              <w:tc>
                <w:tcPr>
                  <w:tcW w:w="1963" w:type="pct"/>
                  <w:vMerge w:val="continue"/>
                  <w:vAlign w:val="center"/>
                </w:tcPr>
                <w:p w14:paraId="0793AEC9">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472A7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191CDB4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S6</w:t>
                  </w:r>
                </w:p>
              </w:tc>
              <w:tc>
                <w:tcPr>
                  <w:tcW w:w="2093" w:type="dxa"/>
                  <w:vAlign w:val="center"/>
                </w:tcPr>
                <w:p w14:paraId="3450390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109°30′11.16″</w:t>
                  </w:r>
                </w:p>
              </w:tc>
              <w:tc>
                <w:tcPr>
                  <w:tcW w:w="2004" w:type="dxa"/>
                  <w:vAlign w:val="center"/>
                </w:tcPr>
                <w:p w14:paraId="7D1B323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21°17′41.70″</w:t>
                  </w:r>
                </w:p>
              </w:tc>
              <w:tc>
                <w:tcPr>
                  <w:tcW w:w="1963" w:type="pct"/>
                  <w:vMerge w:val="continue"/>
                  <w:vAlign w:val="center"/>
                </w:tcPr>
                <w:p w14:paraId="14B3705D">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6AFA4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0D96962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W1</w:t>
                  </w:r>
                </w:p>
              </w:tc>
              <w:tc>
                <w:tcPr>
                  <w:tcW w:w="2093" w:type="dxa"/>
                  <w:vAlign w:val="center"/>
                </w:tcPr>
                <w:p w14:paraId="3292A32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109°05′05.06″</w:t>
                  </w:r>
                </w:p>
              </w:tc>
              <w:tc>
                <w:tcPr>
                  <w:tcW w:w="2004" w:type="dxa"/>
                  <w:vAlign w:val="center"/>
                </w:tcPr>
                <w:p w14:paraId="0AB917B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21°03′17.59″</w:t>
                  </w:r>
                </w:p>
              </w:tc>
              <w:tc>
                <w:tcPr>
                  <w:tcW w:w="1963" w:type="pct"/>
                  <w:vMerge w:val="restart"/>
                  <w:vAlign w:val="center"/>
                </w:tcPr>
                <w:p w14:paraId="6E4A657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潮位，连续观测15天</w:t>
                  </w:r>
                </w:p>
              </w:tc>
            </w:tr>
            <w:tr w14:paraId="5E4E2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29D82DE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W2</w:t>
                  </w:r>
                </w:p>
              </w:tc>
              <w:tc>
                <w:tcPr>
                  <w:tcW w:w="2093" w:type="dxa"/>
                  <w:vAlign w:val="center"/>
                </w:tcPr>
                <w:p w14:paraId="3D0B66B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109°06′49.89″</w:t>
                  </w:r>
                </w:p>
              </w:tc>
              <w:tc>
                <w:tcPr>
                  <w:tcW w:w="2004" w:type="dxa"/>
                  <w:vAlign w:val="center"/>
                </w:tcPr>
                <w:p w14:paraId="7E1FFC2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21°01′13.59″</w:t>
                  </w:r>
                </w:p>
              </w:tc>
              <w:tc>
                <w:tcPr>
                  <w:tcW w:w="1963" w:type="pct"/>
                  <w:vMerge w:val="continue"/>
                  <w:vAlign w:val="center"/>
                </w:tcPr>
                <w:p w14:paraId="489B912D">
                  <w:pPr>
                    <w:widowControl/>
                    <w:spacing w:line="360" w:lineRule="auto"/>
                    <w:textAlignment w:val="center"/>
                    <w:rPr>
                      <w:rFonts w:hint="eastAsia" w:ascii="宋体" w:hAnsi="宋体" w:eastAsia="宋体" w:cs="宋体"/>
                      <w:b w:val="0"/>
                      <w:bCs w:val="0"/>
                      <w:color w:val="auto"/>
                      <w:sz w:val="18"/>
                      <w:szCs w:val="18"/>
                      <w:highlight w:val="none"/>
                      <w:lang w:val="en-US" w:eastAsia="zh-CN"/>
                    </w:rPr>
                  </w:pPr>
                </w:p>
              </w:tc>
            </w:tr>
            <w:tr w14:paraId="59146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5" w:type="pct"/>
                  <w:vAlign w:val="center"/>
                </w:tcPr>
                <w:p w14:paraId="3D99017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W3</w:t>
                  </w:r>
                </w:p>
              </w:tc>
              <w:tc>
                <w:tcPr>
                  <w:tcW w:w="2093" w:type="dxa"/>
                  <w:vAlign w:val="center"/>
                </w:tcPr>
                <w:p w14:paraId="1BB8C3B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109°15′42.81″</w:t>
                  </w:r>
                </w:p>
              </w:tc>
              <w:tc>
                <w:tcPr>
                  <w:tcW w:w="2004" w:type="dxa"/>
                  <w:vAlign w:val="center"/>
                </w:tcPr>
                <w:p w14:paraId="33F5BB5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21°08′16.19″</w:t>
                  </w:r>
                </w:p>
              </w:tc>
              <w:tc>
                <w:tcPr>
                  <w:tcW w:w="1963" w:type="pct"/>
                  <w:vAlign w:val="center"/>
                </w:tcPr>
                <w:p w14:paraId="7790A6C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潮位，与测流同步观测26h</w:t>
                  </w:r>
                </w:p>
              </w:tc>
            </w:tr>
          </w:tbl>
          <w:p w14:paraId="452E011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drawing>
                <wp:inline distT="0" distB="0" distL="114300" distR="114300">
                  <wp:extent cx="4634865" cy="3223260"/>
                  <wp:effectExtent l="0" t="0" r="1333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34865" cy="3223260"/>
                          </a:xfrm>
                          <a:prstGeom prst="rect">
                            <a:avLst/>
                          </a:prstGeom>
                          <a:noFill/>
                          <a:ln>
                            <a:noFill/>
                          </a:ln>
                        </pic:spPr>
                      </pic:pic>
                    </a:graphicData>
                  </a:graphic>
                </wp:inline>
              </w:drawing>
            </w:r>
          </w:p>
          <w:bookmarkEnd w:id="37"/>
          <w:p w14:paraId="092CC58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图4-1  海洋水文动力环境调查站位图</w:t>
            </w:r>
          </w:p>
          <w:p w14:paraId="40C35ED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5.调查技术要求</w:t>
            </w:r>
          </w:p>
          <w:p w14:paraId="6E1A8A3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（1）海洋生态环境现状调查</w:t>
            </w:r>
          </w:p>
          <w:p w14:paraId="6AF4444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样品采集、保存、运输和检测分析应符合《海洋调查规范》（GB/T 12763-2007）、《海洋监测规范》（GB 17378-2007）、《近岸海域环境监测技术规范》（HJ442-2020）要求。</w:t>
            </w:r>
          </w:p>
          <w:p w14:paraId="48770D3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（2）海洋水文动力现状调查</w:t>
            </w:r>
          </w:p>
          <w:p w14:paraId="313ABFC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海洋水文现场观测的操作方法、质量控制、精度要求等按照《海洋调查规范 第2部分：海洋水文观测》（GB/T 12763.2-2007）、《海洋调查规范 第3部分：海洋气象观测》（GB/T 12763.3-2020）、《水运工程水文观测规范》（JTS 132-2015）等规范开展。</w:t>
            </w:r>
          </w:p>
          <w:p w14:paraId="7E8332F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①潮位观测</w:t>
            </w:r>
          </w:p>
          <w:p w14:paraId="26E8CF7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2个临时潮位站潮位观测至少在水文垂线观测开始的前一天进行，连续观测15天。同时应收集水文测验期间工程附近水文测站的同步潮位资料以作对比验证。</w:t>
            </w:r>
          </w:p>
          <w:p w14:paraId="6DCB51D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②海流观测</w:t>
            </w:r>
          </w:p>
          <w:p w14:paraId="6409FE8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A.观测时段</w:t>
            </w:r>
          </w:p>
          <w:p w14:paraId="3CDC3A2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流观测时段应选择典型天文大潮期。需注意北部湾海域以全日潮为主兼有不规则半日潮的混合潮的特殊特征，天文大潮期（朔望日前后）也可能表现为不规则半日潮的非典型大潮特点，应注意避免在不规则半日潮出现时段进行海流观测。</w:t>
            </w:r>
          </w:p>
          <w:p w14:paraId="700172B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B.观测要求</w:t>
            </w:r>
          </w:p>
          <w:p w14:paraId="1196541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观测内容包括水温、水深、盐度、潮流（流速、流向）、悬沙，同步记录气象要素（气压、气温、降水、湿度、风速、风向）等项目。</w:t>
            </w:r>
          </w:p>
          <w:p w14:paraId="0935506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潮流（流速、流向）、悬沙含量、悬沙粒度、水温和盐度均采取周日连续同步观测，观测层次应根据实际水深选择“三点法”或“六点法”测量（参见表5-1）。观测从低潮或高潮前开始，应每整点观测1次，每个潮期连续观测不少于26h，其中应包括转流周期开始至转流后结束的完整时段。</w:t>
            </w:r>
          </w:p>
          <w:p w14:paraId="733660F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表5-1                   海流观测层次划定</w:t>
            </w:r>
          </w:p>
          <w:tbl>
            <w:tblPr>
              <w:tblStyle w:val="3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53"/>
              <w:gridCol w:w="1695"/>
              <w:gridCol w:w="3437"/>
            </w:tblGrid>
            <w:tr w14:paraId="67F46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77" w:type="pct"/>
                  <w:vAlign w:val="center"/>
                </w:tcPr>
                <w:p w14:paraId="317894A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水深（H）</w:t>
                  </w:r>
                </w:p>
              </w:tc>
              <w:tc>
                <w:tcPr>
                  <w:tcW w:w="1163" w:type="pct"/>
                  <w:vAlign w:val="center"/>
                </w:tcPr>
                <w:p w14:paraId="54F2803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观测方法</w:t>
                  </w:r>
                </w:p>
              </w:tc>
              <w:tc>
                <w:tcPr>
                  <w:tcW w:w="2358" w:type="pct"/>
                  <w:vAlign w:val="center"/>
                </w:tcPr>
                <w:p w14:paraId="2CA6DBC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观测层次</w:t>
                  </w:r>
                </w:p>
              </w:tc>
            </w:tr>
            <w:tr w14:paraId="0BD2E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77" w:type="pct"/>
                  <w:vAlign w:val="center"/>
                </w:tcPr>
                <w:p w14:paraId="3390F91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H≤1.5m</w:t>
                  </w:r>
                </w:p>
              </w:tc>
              <w:tc>
                <w:tcPr>
                  <w:tcW w:w="1163" w:type="pct"/>
                  <w:vAlign w:val="center"/>
                </w:tcPr>
                <w:p w14:paraId="492BB49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一点法</w:t>
                  </w:r>
                </w:p>
              </w:tc>
              <w:tc>
                <w:tcPr>
                  <w:tcW w:w="2358" w:type="pct"/>
                  <w:vAlign w:val="center"/>
                </w:tcPr>
                <w:p w14:paraId="416E996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0.6H</w:t>
                  </w:r>
                </w:p>
              </w:tc>
            </w:tr>
            <w:tr w14:paraId="66A4C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77" w:type="pct"/>
                  <w:vAlign w:val="center"/>
                </w:tcPr>
                <w:p w14:paraId="3DB9EF1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1.5m＜H≤3.0m</w:t>
                  </w:r>
                </w:p>
              </w:tc>
              <w:tc>
                <w:tcPr>
                  <w:tcW w:w="1163" w:type="pct"/>
                  <w:vAlign w:val="center"/>
                </w:tcPr>
                <w:p w14:paraId="3DB4EF5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两点法</w:t>
                  </w:r>
                </w:p>
              </w:tc>
              <w:tc>
                <w:tcPr>
                  <w:tcW w:w="2358" w:type="pct"/>
                  <w:vAlign w:val="center"/>
                </w:tcPr>
                <w:p w14:paraId="1494E65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0.2H、0.8H</w:t>
                  </w:r>
                </w:p>
              </w:tc>
            </w:tr>
            <w:tr w14:paraId="39E8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77" w:type="pct"/>
                  <w:vAlign w:val="center"/>
                </w:tcPr>
                <w:p w14:paraId="0A4FB4C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3.0m＜H≤5.0m</w:t>
                  </w:r>
                </w:p>
              </w:tc>
              <w:tc>
                <w:tcPr>
                  <w:tcW w:w="1163" w:type="pct"/>
                  <w:vAlign w:val="center"/>
                </w:tcPr>
                <w:p w14:paraId="7105FC8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三点法</w:t>
                  </w:r>
                </w:p>
              </w:tc>
              <w:tc>
                <w:tcPr>
                  <w:tcW w:w="2358" w:type="pct"/>
                  <w:vAlign w:val="center"/>
                </w:tcPr>
                <w:p w14:paraId="4A38A93C">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0.2H、0.6H、0.8H</w:t>
                  </w:r>
                </w:p>
              </w:tc>
            </w:tr>
            <w:tr w14:paraId="08E70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77" w:type="pct"/>
                  <w:vAlign w:val="center"/>
                </w:tcPr>
                <w:p w14:paraId="1BD28A8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H＞5m</w:t>
                  </w:r>
                </w:p>
              </w:tc>
              <w:tc>
                <w:tcPr>
                  <w:tcW w:w="1163" w:type="pct"/>
                  <w:vAlign w:val="center"/>
                </w:tcPr>
                <w:p w14:paraId="278A048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六点法</w:t>
                  </w:r>
                </w:p>
              </w:tc>
              <w:tc>
                <w:tcPr>
                  <w:tcW w:w="2358" w:type="pct"/>
                  <w:vAlign w:val="center"/>
                </w:tcPr>
                <w:p w14:paraId="18B01F3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表层、0.2H、0.6H、0.8H、底层</w:t>
                  </w:r>
                </w:p>
              </w:tc>
            </w:tr>
          </w:tbl>
          <w:p w14:paraId="55472A5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说明：表层指水面下0.5m处，底层指离海底0.5m处。</w:t>
            </w:r>
          </w:p>
          <w:p w14:paraId="58A41DC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6.分析评价要求</w:t>
            </w:r>
          </w:p>
          <w:p w14:paraId="47C0AF0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（1）海洋生态环境现状分析评价</w:t>
            </w:r>
          </w:p>
          <w:p w14:paraId="640DFED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海洋生态环境现状调查分析评价报告至少应包括以下内容：</w:t>
            </w:r>
          </w:p>
          <w:p w14:paraId="5B668F7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①海水水质与沉积物</w:t>
            </w:r>
          </w:p>
          <w:p w14:paraId="7258335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A.明确调查单位、调查日期、调查站位等信息，并给出海水水质、海洋沉积物环境现状调查站位信息表及调查站位分布图。</w:t>
            </w:r>
          </w:p>
          <w:p w14:paraId="6045CB05">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B.给出各调查监测项目以及对应的分析方法一览表。</w:t>
            </w:r>
          </w:p>
          <w:p w14:paraId="64310B7B">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C.给出调查站位与近岸海域环境功能区划、市域国土空间二级规划分区图叠图，并列表给出调查站位所在功能区及执行标准一览表，判定各站位执行的评价标准。</w:t>
            </w:r>
          </w:p>
          <w:p w14:paraId="0639579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D.采用单一站位的单因子标准指数法进行海水水质、海洋沉积物（含潮间带沉积物）现状评价，海水水质现状评价采用指数计算公式参考HJ 2.3 附录D。分层采样的点位采用多层数据的平均值进行评价。</w:t>
            </w:r>
          </w:p>
          <w:p w14:paraId="39893AD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E.列表给出各站位、各层次、各因子的调查结果及评价结果统计表，分析阐明水质和沉积物主要调查因子的质量现状及其基本特征；评价各海洋环境功能区和生态敏感区水质和沉积物达标情况，明确超标因子和超标程度，分析超标原因；分析超标因子、特征因子的分布特征，结合历史资料阐明水质年际变化的趋势及特征；明确水质和沉积物现状的综合评价结论。</w:t>
            </w:r>
          </w:p>
          <w:p w14:paraId="6DB2C71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F.列表给出海洋沉积物、潮间带沉积物粒度检测结果，包括累计百分体积对应粒径、平均粒径、分选系数、偏态、峰态以及沉积物类型命名。</w:t>
            </w:r>
          </w:p>
          <w:p w14:paraId="7F063052">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②海洋生态、渔业资源</w:t>
            </w:r>
          </w:p>
          <w:p w14:paraId="4FA0A54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A.明确调查单位、调查日期、调查站位等信息，并给出海洋生态及渔业资源拖网现状调查站位信息表及调查站位分布图。</w:t>
            </w:r>
          </w:p>
          <w:p w14:paraId="0A6293E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B.给出各调查监测项目以及对应的分析方法一览表，调查船只、调查仪器和网具规格参数等信息。</w:t>
            </w:r>
          </w:p>
          <w:p w14:paraId="69C6A490">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C.给出调查站位与市域国土空间二级规划分区图叠图，并列表给出调查站位所在功能区及执行标准一览表，判定各站位执行的评价标准。</w:t>
            </w:r>
          </w:p>
          <w:p w14:paraId="1C8E2D16">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D.给出优势度、多样性指数、丰富度指数、均匀度指数等评价指标计算方法。</w:t>
            </w:r>
          </w:p>
          <w:p w14:paraId="23F1B5FD">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E.分析阐明初级生产力（叶绿素a）浓度范围、分布特点，浮游植物、浮游动物、游泳动物（含鱼卵仔稚鱼）、潮间带生物、底栖生物等的种类组成、群落特征、分布特点；参照HY/T 215 分析浮游植物、浮游动物、游泳动物（含鱼卵仔稚鱼）、潮间带生物、底栖生物（含污损生物）的总物种数、单站物种数、优势种及其优势度、生物量、密度（丰度）、物种多样性指数、物种丰富度指数、物种均匀度指数等，分析阐明评价海域的生物多样性现状；结合历史数据，分析评价生物多样性的变化趋势；评价方法参考HJ 19 的附录C。</w:t>
            </w:r>
          </w:p>
          <w:p w14:paraId="568C1777">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F.生物质量评价，分析各调查因子的环境现状及其基本特征，评价各调查因子达标情况，明确超标因子和超标程度，分析超标原因；分析超标因子、特征因子的浓度分布特征；给出综合评价结果。</w:t>
            </w:r>
          </w:p>
          <w:p w14:paraId="76113C6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G.附录中给出各调查项目物种名录。</w:t>
            </w:r>
          </w:p>
          <w:p w14:paraId="607CEAE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（2）海洋水文动力现状分析评价</w:t>
            </w:r>
          </w:p>
          <w:p w14:paraId="0868FE94">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海洋水文动力与泥沙调查评价报告中至少应包括以下内容：</w:t>
            </w:r>
          </w:p>
          <w:p w14:paraId="7DCCD24A">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①潮位分析</w:t>
            </w:r>
          </w:p>
          <w:p w14:paraId="059D4D8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潮位过程曲线及分析、实测潮汐特征值（涨落潮历时、最高潮位、最低潮位、平均高潮位、平均低潮位、平均海平面、最大潮差、最小潮差、平均潮差等）、潮汐性质判定及典型分潮调和常数值。</w:t>
            </w:r>
          </w:p>
          <w:p w14:paraId="45CEE30E">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②海流分析</w:t>
            </w:r>
          </w:p>
          <w:p w14:paraId="0E72A503">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各个站位表层、0.2H、0.4H、0.6H、0.8H、底层以及垂线平均的潮流矢量玫瑰图；潮位与垂线平均潮流的同步过程线图；准调和分析得出的潮流类型、潮流运动形式及椭圆要素结果；各站各层海流可能最大流速及流向；各站各层潮流水质点最大可能运移距离；余流特征。</w:t>
            </w:r>
          </w:p>
          <w:p w14:paraId="5B855DD9">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③温度、盐度分析</w:t>
            </w:r>
          </w:p>
          <w:p w14:paraId="6E95697F">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各站各层涨潮、落潮时段最大实测流速值、平均实测流速值统计结果；各站各层温度、盐度特征值（最大值、最小值、平均值）统计结果；各站各层温度、盐度过程曲线图。</w:t>
            </w:r>
          </w:p>
          <w:p w14:paraId="555CCEA8">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④悬沙分析</w:t>
            </w:r>
          </w:p>
          <w:p w14:paraId="31A0E361">
            <w:pPr>
              <w:widowControl/>
              <w:spacing w:line="360" w:lineRule="auto"/>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各站各层含沙量特征值（最大值、最小值、平均值）统计结果；各站各层悬沙颗粒粒组（砂、粉砂、粘土）含量、粒度参数（中值粒径、平均粒径、分选系数、偏态、峰态）统计结果。</w:t>
            </w:r>
          </w:p>
          <w:p w14:paraId="2A2BA3A7">
            <w:pPr>
              <w:widowControl/>
              <w:spacing w:line="360" w:lineRule="auto"/>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质量要求</w:t>
            </w:r>
          </w:p>
          <w:p w14:paraId="60B809A2">
            <w:pPr>
              <w:widowControl/>
              <w:spacing w:line="360" w:lineRule="auto"/>
              <w:textAlignment w:val="center"/>
              <w:rPr>
                <w:rFonts w:ascii="宋体" w:hAnsi="宋体" w:cs="宋体"/>
                <w:b/>
                <w:bCs/>
                <w:color w:val="auto"/>
                <w:sz w:val="24"/>
                <w:highlight w:val="none"/>
              </w:rPr>
            </w:pPr>
            <w:r>
              <w:rPr>
                <w:rFonts w:hint="eastAsia" w:ascii="宋体" w:hAnsi="宋体" w:eastAsia="宋体" w:cs="宋体"/>
                <w:b w:val="0"/>
                <w:bCs w:val="0"/>
                <w:color w:val="auto"/>
                <w:sz w:val="18"/>
                <w:szCs w:val="18"/>
                <w:highlight w:val="none"/>
              </w:rPr>
              <w:t>成果文件应当符合现行相关国家标准、行业标准、地方标准等标准、规范，并通过专家评审或主管部门、机构组织的评审，取得主管部门批复（如需要）。</w:t>
            </w:r>
          </w:p>
        </w:tc>
      </w:tr>
      <w:tr w14:paraId="781EA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598" w:type="dxa"/>
            <w:gridSpan w:val="4"/>
            <w:tcBorders>
              <w:top w:val="single" w:color="auto" w:sz="4" w:space="0"/>
              <w:left w:val="single" w:color="auto" w:sz="4" w:space="0"/>
              <w:bottom w:val="single" w:color="auto" w:sz="4" w:space="0"/>
              <w:right w:val="single" w:color="auto" w:sz="4" w:space="0"/>
            </w:tcBorders>
          </w:tcPr>
          <w:p w14:paraId="13E449D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03CA2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4A22F8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3AB318C6">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738B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2736F009">
            <w:pPr>
              <w:spacing w:line="360" w:lineRule="auto"/>
              <w:rPr>
                <w:rFonts w:ascii="宋体" w:hAnsi="宋体" w:cs="宋体"/>
                <w:b/>
                <w:color w:val="auto"/>
                <w:sz w:val="24"/>
                <w:highlight w:val="none"/>
              </w:rPr>
            </w:pPr>
            <w:r>
              <w:rPr>
                <w:rFonts w:hint="eastAsia" w:ascii="宋体" w:hAnsi="宋体" w:cs="宋体"/>
                <w:color w:val="auto"/>
                <w:sz w:val="24"/>
                <w:highlight w:val="none"/>
              </w:rPr>
              <w:t>交付时间及地点</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1E9D2B0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color w:val="auto"/>
                <w:sz w:val="24"/>
                <w:highlight w:val="none"/>
              </w:rPr>
              <w:t>1</w:t>
            </w:r>
            <w:r>
              <w:rPr>
                <w:rFonts w:hint="eastAsia" w:ascii="宋体" w:hAnsi="宋体" w:cs="宋体"/>
                <w:color w:val="auto"/>
                <w:sz w:val="24"/>
                <w:highlight w:val="none"/>
                <w:lang w:bidi="ar"/>
              </w:rPr>
              <w:t>.</w:t>
            </w:r>
            <w:r>
              <w:rPr>
                <w:rFonts w:hint="eastAsia"/>
                <w:color w:val="auto"/>
                <w:sz w:val="24"/>
                <w:highlight w:val="none"/>
              </w:rPr>
              <w:t>交付时间：</w:t>
            </w:r>
            <w:r>
              <w:rPr>
                <w:rFonts w:hint="eastAsia" w:ascii="宋体" w:hAnsi="宋体" w:cs="宋体"/>
                <w:color w:val="auto"/>
                <w:sz w:val="24"/>
                <w:highlight w:val="none"/>
                <w:lang w:val="en-US" w:eastAsia="zh-CN"/>
              </w:rPr>
              <w:t>签订合同之日起180</w:t>
            </w:r>
            <w:r>
              <w:rPr>
                <w:rFonts w:hint="eastAsia" w:ascii="宋体" w:hAnsi="宋体" w:cs="宋体"/>
                <w:color w:val="auto"/>
                <w:sz w:val="24"/>
                <w:highlight w:val="none"/>
                <w:lang w:eastAsia="zh-CN"/>
              </w:rPr>
              <w:t>日历天</w:t>
            </w:r>
            <w:r>
              <w:rPr>
                <w:rFonts w:hint="eastAsia" w:ascii="宋体" w:hAnsi="宋体" w:cs="宋体"/>
                <w:color w:val="auto"/>
                <w:sz w:val="24"/>
                <w:highlight w:val="none"/>
              </w:rPr>
              <w:t>。</w:t>
            </w:r>
            <w:r>
              <w:rPr>
                <w:rFonts w:hint="eastAsia"/>
                <w:color w:val="auto"/>
                <w:sz w:val="24"/>
                <w:highlight w:val="none"/>
              </w:rPr>
              <w:t>（</w:t>
            </w:r>
            <w:r>
              <w:rPr>
                <w:rFonts w:hint="eastAsia"/>
                <w:color w:val="auto"/>
                <w:sz w:val="24"/>
                <w:highlight w:val="none"/>
                <w:lang w:eastAsia="zh-CN"/>
              </w:rPr>
              <w:t>参照以下标准执行，具体</w:t>
            </w:r>
            <w:r>
              <w:rPr>
                <w:rFonts w:hint="eastAsia"/>
                <w:color w:val="auto"/>
                <w:sz w:val="24"/>
                <w:highlight w:val="none"/>
              </w:rPr>
              <w:t>根据项目</w:t>
            </w:r>
            <w:r>
              <w:rPr>
                <w:rFonts w:hint="eastAsia"/>
                <w:color w:val="auto"/>
                <w:sz w:val="24"/>
                <w:highlight w:val="none"/>
                <w:lang w:eastAsia="zh-CN"/>
              </w:rPr>
              <w:t>情况</w:t>
            </w:r>
            <w:r>
              <w:rPr>
                <w:rFonts w:hint="eastAsia"/>
                <w:color w:val="auto"/>
                <w:sz w:val="24"/>
                <w:highlight w:val="none"/>
              </w:rPr>
              <w:t>确定）</w:t>
            </w:r>
          </w:p>
          <w:p w14:paraId="2247A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）2026年5月31日前，完成海洋生态环境现状调查和海洋水文动力现状调查的春季现场调查；2026年6月30日前提交春季海洋生态环境现状调查分析评价报告和海洋水文动力现状调查分析评价报告。</w:t>
            </w:r>
            <w:r>
              <w:rPr>
                <w:rFonts w:hint="eastAsia"/>
                <w:color w:val="auto"/>
                <w:sz w:val="24"/>
                <w:highlight w:val="none"/>
              </w:rPr>
              <w:t>若受采购进度影响，不能在2026年春季开展现场调查</w:t>
            </w:r>
            <w:r>
              <w:rPr>
                <w:rFonts w:hint="eastAsia"/>
                <w:color w:val="auto"/>
                <w:sz w:val="24"/>
                <w:highlight w:val="none"/>
                <w:lang w:eastAsia="zh-CN"/>
              </w:rPr>
              <w:t>的</w:t>
            </w:r>
            <w:r>
              <w:rPr>
                <w:rFonts w:hint="eastAsia"/>
                <w:color w:val="auto"/>
                <w:sz w:val="24"/>
                <w:highlight w:val="none"/>
              </w:rPr>
              <w:t>，则2027年3月31日前完成海洋生态环境现状调查和海洋水文动力现状调查的春季现场调查；2027年4月30日前提交春季海洋生态环境现状调查分析评价报告和海洋水文动力现状分析评价报告。</w:t>
            </w:r>
          </w:p>
          <w:p w14:paraId="49032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）2026年9月30日前，完成海洋生态环境调查和海洋水文动力现状调查的秋季现场调查；2026年10月31日前提交秋季海洋生态环境现状调查分析评价报告和海洋水文动力现状调查分析评价报告。</w:t>
            </w:r>
          </w:p>
          <w:p w14:paraId="314C86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highlight w:val="none"/>
                <w:lang w:val="en-US" w:eastAsia="zh-CN"/>
              </w:rPr>
            </w:pPr>
            <w:r>
              <w:rPr>
                <w:rFonts w:hint="eastAsia"/>
                <w:color w:val="auto"/>
                <w:sz w:val="24"/>
                <w:highlight w:val="none"/>
              </w:rPr>
              <w:t>（3）调查成果验收会后20日历天内提交最终调查成果。</w:t>
            </w:r>
          </w:p>
          <w:p w14:paraId="2100A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）合同签订后</w:t>
            </w:r>
            <w:r>
              <w:rPr>
                <w:rFonts w:hint="eastAsia"/>
                <w:color w:val="auto"/>
                <w:sz w:val="24"/>
                <w:highlight w:val="none"/>
                <w:lang w:val="en-US" w:eastAsia="zh-CN"/>
              </w:rPr>
              <w:t>40日历天内提交项目建议书送审稿；</w:t>
            </w:r>
            <w:r>
              <w:rPr>
                <w:rFonts w:hint="eastAsia"/>
                <w:color w:val="auto"/>
                <w:sz w:val="24"/>
                <w:highlight w:val="none"/>
                <w:lang w:eastAsia="zh-CN"/>
              </w:rPr>
              <w:t>合同签订后</w:t>
            </w:r>
            <w:r>
              <w:rPr>
                <w:rFonts w:hint="eastAsia"/>
                <w:color w:val="auto"/>
                <w:sz w:val="24"/>
                <w:highlight w:val="none"/>
                <w:lang w:val="en-US" w:eastAsia="zh-CN"/>
              </w:rPr>
              <w:t>60日历天内提交工可报告送审稿；评审（或验收）会后</w:t>
            </w:r>
            <w:r>
              <w:rPr>
                <w:rFonts w:hint="eastAsia"/>
                <w:color w:val="auto"/>
                <w:sz w:val="24"/>
                <w:highlight w:val="none"/>
              </w:rPr>
              <w:t>20日历天内</w:t>
            </w:r>
            <w:r>
              <w:rPr>
                <w:rFonts w:hint="eastAsia"/>
                <w:color w:val="auto"/>
                <w:sz w:val="24"/>
                <w:highlight w:val="none"/>
                <w:lang w:val="en-US" w:eastAsia="zh-CN"/>
              </w:rPr>
              <w:t>完善项目建议书、工可报告，并提交最终成果。</w:t>
            </w:r>
          </w:p>
          <w:p w14:paraId="36454B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调查成果验收</w:t>
            </w:r>
            <w:r>
              <w:rPr>
                <w:rFonts w:hint="eastAsia"/>
                <w:color w:val="auto"/>
                <w:sz w:val="24"/>
                <w:highlight w:val="none"/>
              </w:rPr>
              <w:t>时间</w:t>
            </w:r>
            <w:r>
              <w:rPr>
                <w:rFonts w:hint="eastAsia"/>
                <w:color w:val="auto"/>
                <w:sz w:val="24"/>
                <w:highlight w:val="none"/>
                <w:lang w:eastAsia="zh-CN"/>
              </w:rPr>
              <w:t>，项目建议书、工可报告评审</w:t>
            </w:r>
            <w:r>
              <w:rPr>
                <w:rFonts w:hint="eastAsia"/>
                <w:color w:val="auto"/>
                <w:sz w:val="24"/>
                <w:highlight w:val="none"/>
                <w:lang w:val="en-US" w:eastAsia="zh-CN"/>
              </w:rPr>
              <w:t>（或验收）</w:t>
            </w:r>
            <w:r>
              <w:rPr>
                <w:rFonts w:hint="eastAsia"/>
                <w:color w:val="auto"/>
                <w:sz w:val="24"/>
                <w:highlight w:val="none"/>
                <w:lang w:eastAsia="zh-CN"/>
              </w:rPr>
              <w:t>时间</w:t>
            </w:r>
            <w:r>
              <w:rPr>
                <w:rFonts w:hint="eastAsia"/>
                <w:color w:val="auto"/>
                <w:sz w:val="24"/>
                <w:highlight w:val="none"/>
              </w:rPr>
              <w:t>另行计算</w:t>
            </w:r>
            <w:r>
              <w:rPr>
                <w:rFonts w:hint="eastAsia"/>
                <w:color w:val="auto"/>
                <w:sz w:val="24"/>
                <w:highlight w:val="none"/>
                <w:lang w:eastAsia="zh-CN"/>
              </w:rPr>
              <w:t>，不计入总工期</w:t>
            </w:r>
            <w:r>
              <w:rPr>
                <w:rFonts w:hint="eastAsia"/>
                <w:color w:val="auto"/>
                <w:sz w:val="24"/>
                <w:highlight w:val="none"/>
              </w:rPr>
              <w:t>。</w:t>
            </w:r>
          </w:p>
          <w:p w14:paraId="35A0E0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highlight w:val="none"/>
              </w:rPr>
            </w:pPr>
            <w:r>
              <w:rPr>
                <w:color w:val="auto"/>
                <w:sz w:val="24"/>
                <w:highlight w:val="none"/>
              </w:rPr>
              <w:t>2</w:t>
            </w:r>
            <w:r>
              <w:rPr>
                <w:rFonts w:hint="eastAsia" w:ascii="宋体" w:hAnsi="宋体" w:cs="宋体"/>
                <w:color w:val="auto"/>
                <w:sz w:val="24"/>
                <w:highlight w:val="none"/>
                <w:lang w:bidi="ar"/>
              </w:rPr>
              <w:t>.</w:t>
            </w:r>
            <w:r>
              <w:rPr>
                <w:rFonts w:hint="eastAsia"/>
                <w:color w:val="auto"/>
                <w:sz w:val="24"/>
                <w:highlight w:val="none"/>
              </w:rPr>
              <w:t>交付</w:t>
            </w:r>
            <w:r>
              <w:rPr>
                <w:color w:val="auto"/>
                <w:sz w:val="24"/>
                <w:highlight w:val="none"/>
              </w:rPr>
              <w:t>地点：</w:t>
            </w:r>
            <w:r>
              <w:rPr>
                <w:rFonts w:hint="eastAsia"/>
                <w:color w:val="auto"/>
                <w:sz w:val="24"/>
                <w:highlight w:val="none"/>
              </w:rPr>
              <w:t>采购人办公地点。采购人可根据需要指定其他地点</w:t>
            </w:r>
            <w:r>
              <w:rPr>
                <w:color w:val="auto"/>
                <w:sz w:val="24"/>
                <w:highlight w:val="none"/>
              </w:rPr>
              <w:t>。</w:t>
            </w:r>
          </w:p>
        </w:tc>
      </w:tr>
      <w:tr w14:paraId="4B709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4525F170">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1E5968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预付款</w:t>
            </w:r>
          </w:p>
          <w:p w14:paraId="703A3E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合同签署后，由</w:t>
            </w:r>
            <w:r>
              <w:rPr>
                <w:rFonts w:hint="eastAsia" w:ascii="宋体" w:hAnsi="宋体"/>
                <w:color w:val="auto"/>
                <w:sz w:val="24"/>
                <w:highlight w:val="none"/>
                <w:lang w:eastAsia="zh-CN"/>
              </w:rPr>
              <w:t>供应商</w:t>
            </w:r>
            <w:r>
              <w:rPr>
                <w:rFonts w:hint="eastAsia" w:ascii="宋体" w:hAnsi="宋体"/>
                <w:color w:val="auto"/>
                <w:sz w:val="24"/>
                <w:highlight w:val="none"/>
              </w:rPr>
              <w:t>（联合体时，为牵头人）提交预付款支付申请，</w:t>
            </w:r>
            <w:r>
              <w:rPr>
                <w:rFonts w:hint="eastAsia" w:ascii="宋体" w:hAnsi="宋体"/>
                <w:color w:val="auto"/>
                <w:sz w:val="24"/>
                <w:highlight w:val="none"/>
                <w:lang w:eastAsia="zh-CN"/>
              </w:rPr>
              <w:t>采购人</w:t>
            </w:r>
            <w:r>
              <w:rPr>
                <w:rFonts w:hint="eastAsia" w:ascii="宋体" w:hAnsi="宋体"/>
                <w:color w:val="auto"/>
                <w:sz w:val="24"/>
                <w:highlight w:val="none"/>
              </w:rPr>
              <w:t>收到预付款支付申请后的28天内，向</w:t>
            </w:r>
            <w:r>
              <w:rPr>
                <w:rFonts w:hint="eastAsia" w:ascii="宋体" w:hAnsi="宋体"/>
                <w:color w:val="auto"/>
                <w:sz w:val="24"/>
                <w:highlight w:val="none"/>
                <w:lang w:eastAsia="zh-CN"/>
              </w:rPr>
              <w:t>供应商</w:t>
            </w:r>
            <w:r>
              <w:rPr>
                <w:rFonts w:hint="eastAsia" w:ascii="宋体" w:hAnsi="宋体"/>
                <w:color w:val="auto"/>
                <w:sz w:val="24"/>
                <w:highlight w:val="none"/>
              </w:rPr>
              <w:t>（联合体时，为牵头人）支付签约合同总价的</w:t>
            </w:r>
            <w:r>
              <w:rPr>
                <w:rFonts w:hint="eastAsia" w:ascii="宋体" w:hAnsi="宋体"/>
                <w:color w:val="auto"/>
                <w:sz w:val="24"/>
                <w:highlight w:val="none"/>
                <w:lang w:val="en-US" w:eastAsia="zh-CN"/>
              </w:rPr>
              <w:t>3</w:t>
            </w:r>
            <w:r>
              <w:rPr>
                <w:rFonts w:hint="eastAsia" w:ascii="宋体" w:hAnsi="宋体"/>
                <w:color w:val="auto"/>
                <w:sz w:val="24"/>
                <w:highlight w:val="none"/>
              </w:rPr>
              <w:t>0%作为预付款；</w:t>
            </w:r>
            <w:r>
              <w:rPr>
                <w:rFonts w:hint="eastAsia" w:ascii="宋体" w:hAnsi="宋体"/>
                <w:color w:val="auto"/>
                <w:sz w:val="24"/>
                <w:highlight w:val="none"/>
                <w:lang w:eastAsia="zh-CN"/>
              </w:rPr>
              <w:t>供应商</w:t>
            </w:r>
            <w:r>
              <w:rPr>
                <w:rFonts w:hint="eastAsia" w:ascii="宋体" w:hAnsi="宋体"/>
                <w:color w:val="auto"/>
                <w:sz w:val="24"/>
                <w:highlight w:val="none"/>
              </w:rPr>
              <w:t>应当提供等额的增值税发票；本合同履行后，预付款抵作进度款</w:t>
            </w:r>
            <w:r>
              <w:rPr>
                <w:rFonts w:hint="eastAsia" w:ascii="宋体" w:hAnsi="宋体"/>
                <w:color w:val="auto"/>
                <w:sz w:val="24"/>
                <w:highlight w:val="none"/>
                <w:lang w:val="en-US" w:eastAsia="zh-CN"/>
              </w:rPr>
              <w:t>。</w:t>
            </w:r>
            <w:r>
              <w:rPr>
                <w:rFonts w:hint="eastAsia" w:ascii="宋体" w:hAnsi="宋体"/>
                <w:color w:val="auto"/>
                <w:sz w:val="24"/>
                <w:highlight w:val="none"/>
              </w:rPr>
              <w:t>如因发生不可抗力事件导致预付款已支付但合同无法继续履行的情况，</w:t>
            </w:r>
            <w:r>
              <w:rPr>
                <w:rFonts w:hint="eastAsia" w:ascii="宋体" w:hAnsi="宋体"/>
                <w:color w:val="auto"/>
                <w:sz w:val="24"/>
                <w:highlight w:val="none"/>
                <w:lang w:eastAsia="zh-CN"/>
              </w:rPr>
              <w:t>供应商</w:t>
            </w:r>
            <w:r>
              <w:rPr>
                <w:rFonts w:hint="eastAsia" w:ascii="宋体" w:hAnsi="宋体"/>
                <w:color w:val="auto"/>
                <w:sz w:val="24"/>
                <w:highlight w:val="none"/>
              </w:rPr>
              <w:t>应向</w:t>
            </w:r>
            <w:r>
              <w:rPr>
                <w:rFonts w:hint="eastAsia" w:ascii="宋体" w:hAnsi="宋体"/>
                <w:color w:val="auto"/>
                <w:sz w:val="24"/>
                <w:highlight w:val="none"/>
                <w:lang w:eastAsia="zh-CN"/>
              </w:rPr>
              <w:t>采购人</w:t>
            </w:r>
            <w:r>
              <w:rPr>
                <w:rFonts w:hint="eastAsia" w:ascii="宋体" w:hAnsi="宋体"/>
                <w:color w:val="auto"/>
                <w:sz w:val="24"/>
                <w:highlight w:val="none"/>
              </w:rPr>
              <w:t>退还已支付款项。</w:t>
            </w:r>
          </w:p>
          <w:p w14:paraId="56D956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中期支付</w:t>
            </w:r>
          </w:p>
          <w:p w14:paraId="6A1EE2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①供应商提交春季调查成果报告后，由供应商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提交进度款支付申请，采购人收到进度款支付申请后的28天内，向供应商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支付至相应合同费用的</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0%（含预付款）；供应商应当提供等额的增值税发票。</w:t>
            </w:r>
          </w:p>
          <w:p w14:paraId="5F3157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②供应商提交秋季调查成果报告后，由供应商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提交进度款支付申请，采购人收到进度款支付申请后的28天内，向供应商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支付至相应合同费用的</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0%（含预付款）；供应商应当提供等额的增值税发票。</w:t>
            </w:r>
          </w:p>
          <w:p w14:paraId="7FD3F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eastAsia="zh-CN"/>
              </w:rPr>
            </w:pPr>
            <w:r>
              <w:rPr>
                <w:rFonts w:hint="eastAsia" w:ascii="宋体" w:hAnsi="宋体" w:eastAsia="宋体" w:cs="宋体"/>
                <w:color w:val="auto"/>
                <w:sz w:val="24"/>
                <w:highlight w:val="none"/>
                <w:lang w:eastAsia="zh-CN"/>
              </w:rPr>
              <w:t>③</w:t>
            </w:r>
            <w:r>
              <w:rPr>
                <w:rFonts w:hint="eastAsia" w:ascii="宋体" w:hAnsi="宋体"/>
                <w:color w:val="auto"/>
                <w:sz w:val="24"/>
                <w:highlight w:val="none"/>
                <w:lang w:eastAsia="zh-CN"/>
              </w:rPr>
              <w:t>供应商提交春季最终调查成果报告后，由供应商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提交进度款支付申请，采购人收到进度款支付申请后的28天内，向供应商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支付至相应合同费用的</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0%（含预付款）；供应商应当提供等额的增值税发票。</w:t>
            </w:r>
          </w:p>
          <w:p w14:paraId="730214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eastAsia="zh-CN"/>
              </w:rPr>
            </w:pPr>
            <w:r>
              <w:rPr>
                <w:rFonts w:hint="eastAsia" w:ascii="宋体" w:hAnsi="宋体" w:eastAsia="宋体" w:cs="宋体"/>
                <w:color w:val="auto"/>
                <w:sz w:val="24"/>
                <w:highlight w:val="none"/>
                <w:lang w:eastAsia="zh-CN"/>
              </w:rPr>
              <w:t>④</w:t>
            </w:r>
            <w:r>
              <w:rPr>
                <w:rFonts w:hint="eastAsia" w:ascii="宋体" w:hAnsi="宋体"/>
                <w:color w:val="auto"/>
                <w:sz w:val="24"/>
                <w:highlight w:val="none"/>
                <w:lang w:eastAsia="zh-CN"/>
              </w:rPr>
              <w:t>供应商提交秋季最终调查成果报告后，由供应商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提交进度款支付申请，采购人收到进度款支付申请后的28天内，向供应商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支付至相应合同费用的</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0%（含预付款）；供应商应当提供等额的增值税发票。</w:t>
            </w:r>
          </w:p>
          <w:p w14:paraId="67E134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eastAsia="宋体" w:cs="宋体"/>
                <w:color w:val="auto"/>
                <w:sz w:val="24"/>
                <w:highlight w:val="none"/>
                <w:lang w:eastAsia="zh-CN"/>
              </w:rPr>
              <w:t>⑤</w:t>
            </w:r>
            <w:r>
              <w:rPr>
                <w:rFonts w:hint="eastAsia" w:ascii="宋体" w:hAnsi="宋体"/>
                <w:color w:val="auto"/>
                <w:sz w:val="24"/>
                <w:highlight w:val="none"/>
                <w:lang w:eastAsia="zh-CN"/>
              </w:rPr>
              <w:t>供应商提交工可报告送审稿后，由供应商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提交进度款支付申请，采购人收到进度款支付申请后的28天内，向供应商</w:t>
            </w:r>
            <w:r>
              <w:rPr>
                <w:rFonts w:hint="eastAsia" w:ascii="宋体" w:hAnsi="宋体"/>
                <w:color w:val="auto"/>
                <w:sz w:val="24"/>
                <w:highlight w:val="none"/>
              </w:rPr>
              <w:t>（联合体时，为牵头人）</w:t>
            </w:r>
            <w:r>
              <w:rPr>
                <w:rFonts w:hint="eastAsia" w:ascii="宋体" w:hAnsi="宋体"/>
                <w:color w:val="auto"/>
                <w:sz w:val="24"/>
                <w:highlight w:val="none"/>
                <w:lang w:eastAsia="zh-CN"/>
              </w:rPr>
              <w:t>支付至相应合同费用的</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0%（含预付款）；供应商应当提供等额的增值税发票。</w:t>
            </w:r>
          </w:p>
          <w:p w14:paraId="6E2CFC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费用结算</w:t>
            </w:r>
          </w:p>
          <w:p w14:paraId="71B18AD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所有合同工作完成后，由</w:t>
            </w:r>
            <w:r>
              <w:rPr>
                <w:rFonts w:hint="eastAsia" w:ascii="宋体" w:hAnsi="宋体"/>
                <w:color w:val="auto"/>
                <w:sz w:val="24"/>
                <w:highlight w:val="none"/>
                <w:lang w:eastAsia="zh-CN"/>
              </w:rPr>
              <w:t>供应商</w:t>
            </w:r>
            <w:r>
              <w:rPr>
                <w:rFonts w:hint="eastAsia" w:ascii="宋体" w:hAnsi="宋体"/>
                <w:color w:val="auto"/>
                <w:sz w:val="24"/>
                <w:highlight w:val="none"/>
              </w:rPr>
              <w:t>（联合体时，为牵头人）向</w:t>
            </w:r>
            <w:r>
              <w:rPr>
                <w:rFonts w:hint="eastAsia" w:ascii="宋体" w:hAnsi="宋体"/>
                <w:color w:val="auto"/>
                <w:sz w:val="24"/>
                <w:highlight w:val="none"/>
                <w:lang w:eastAsia="zh-CN"/>
              </w:rPr>
              <w:t>采购人</w:t>
            </w:r>
            <w:r>
              <w:rPr>
                <w:rFonts w:hint="eastAsia" w:ascii="宋体" w:hAnsi="宋体"/>
                <w:color w:val="auto"/>
                <w:sz w:val="24"/>
                <w:highlight w:val="none"/>
              </w:rPr>
              <w:t>提交费用结算申请，并提交经</w:t>
            </w:r>
            <w:r>
              <w:rPr>
                <w:rFonts w:hint="eastAsia" w:ascii="宋体" w:hAnsi="宋体"/>
                <w:color w:val="auto"/>
                <w:sz w:val="24"/>
                <w:highlight w:val="none"/>
                <w:lang w:eastAsia="zh-CN"/>
              </w:rPr>
              <w:t>评审或</w:t>
            </w:r>
            <w:r>
              <w:rPr>
                <w:rFonts w:hint="eastAsia" w:ascii="宋体" w:hAnsi="宋体"/>
                <w:color w:val="auto"/>
                <w:sz w:val="24"/>
                <w:highlight w:val="none"/>
              </w:rPr>
              <w:t>验收合格的</w:t>
            </w:r>
            <w:r>
              <w:rPr>
                <w:rFonts w:hint="eastAsia" w:ascii="宋体" w:hAnsi="宋体"/>
                <w:color w:val="auto"/>
                <w:sz w:val="24"/>
                <w:highlight w:val="none"/>
                <w:lang w:eastAsia="zh-CN"/>
              </w:rPr>
              <w:t>项目建议书和工可报告最终成果，以及</w:t>
            </w:r>
            <w:r>
              <w:rPr>
                <w:rFonts w:hint="eastAsia" w:ascii="宋体" w:hAnsi="宋体"/>
                <w:color w:val="auto"/>
                <w:sz w:val="24"/>
                <w:highlight w:val="none"/>
              </w:rPr>
              <w:t>相关证明材料，</w:t>
            </w:r>
            <w:r>
              <w:rPr>
                <w:rFonts w:hint="eastAsia" w:ascii="宋体" w:hAnsi="宋体"/>
                <w:color w:val="auto"/>
                <w:sz w:val="24"/>
                <w:highlight w:val="none"/>
                <w:lang w:eastAsia="zh-CN"/>
              </w:rPr>
              <w:t>采购人</w:t>
            </w:r>
            <w:r>
              <w:rPr>
                <w:rFonts w:hint="eastAsia" w:ascii="宋体" w:hAnsi="宋体"/>
                <w:color w:val="auto"/>
                <w:sz w:val="24"/>
                <w:highlight w:val="none"/>
              </w:rPr>
              <w:t>收到费用结算申请后的28天内完成审批或答复，</w:t>
            </w:r>
            <w:r>
              <w:rPr>
                <w:rFonts w:hint="eastAsia" w:ascii="宋体" w:hAnsi="宋体"/>
                <w:color w:val="auto"/>
                <w:sz w:val="24"/>
                <w:highlight w:val="none"/>
                <w:lang w:eastAsia="zh-CN"/>
              </w:rPr>
              <w:t>采购人</w:t>
            </w:r>
            <w:r>
              <w:rPr>
                <w:rFonts w:hint="eastAsia" w:ascii="宋体" w:hAnsi="宋体"/>
                <w:color w:val="auto"/>
                <w:sz w:val="24"/>
                <w:highlight w:val="none"/>
              </w:rPr>
              <w:t>向</w:t>
            </w:r>
            <w:r>
              <w:rPr>
                <w:rFonts w:hint="eastAsia" w:ascii="宋体" w:hAnsi="宋体"/>
                <w:color w:val="auto"/>
                <w:sz w:val="24"/>
                <w:highlight w:val="none"/>
                <w:lang w:eastAsia="zh-CN"/>
              </w:rPr>
              <w:t>供应商</w:t>
            </w:r>
            <w:r>
              <w:rPr>
                <w:rFonts w:hint="eastAsia" w:ascii="宋体" w:hAnsi="宋体"/>
                <w:color w:val="auto"/>
                <w:sz w:val="24"/>
                <w:highlight w:val="none"/>
              </w:rPr>
              <w:t>（联合体时，为牵头人）支付费用至结算合同总价的100%（含相应的预付款）；</w:t>
            </w:r>
            <w:r>
              <w:rPr>
                <w:rFonts w:hint="eastAsia" w:ascii="宋体" w:hAnsi="宋体"/>
                <w:color w:val="auto"/>
                <w:sz w:val="24"/>
                <w:highlight w:val="none"/>
                <w:lang w:eastAsia="zh-CN"/>
              </w:rPr>
              <w:t>供应商</w:t>
            </w:r>
            <w:r>
              <w:rPr>
                <w:rFonts w:hint="eastAsia" w:ascii="宋体" w:hAnsi="宋体"/>
                <w:color w:val="auto"/>
                <w:sz w:val="24"/>
                <w:highlight w:val="none"/>
              </w:rPr>
              <w:t>应当提供等额的增值税发票。</w:t>
            </w:r>
          </w:p>
        </w:tc>
      </w:tr>
      <w:tr w14:paraId="0C399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492B5C31">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成果</w:t>
            </w:r>
            <w:r>
              <w:rPr>
                <w:rFonts w:hint="eastAsia" w:ascii="宋体" w:hAnsi="宋体" w:cs="宋体"/>
                <w:color w:val="auto"/>
                <w:sz w:val="24"/>
                <w:highlight w:val="none"/>
                <w:lang w:eastAsia="zh-CN"/>
              </w:rPr>
              <w:t>要求</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35D10C38">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成果：《北部湾港铁山湾5号锚地工程海洋生态环境调查分析评价报告》《北部湾港铁山湾5号锚地工程海洋水文动力现状调查分析评价报告》《北部湾港铁山湾5号锚地工程项目建议书》《北部湾港铁山湾5号锚地工程可行性研究报告》</w:t>
            </w:r>
            <w:r>
              <w:rPr>
                <w:rFonts w:hint="eastAsia" w:ascii="宋体" w:hAnsi="宋体" w:cs="宋体"/>
                <w:color w:val="auto"/>
                <w:sz w:val="24"/>
                <w:highlight w:val="none"/>
                <w:lang w:eastAsia="zh-CN"/>
              </w:rPr>
              <w:t>。提供送审稿各</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rPr>
              <w:t>最终成果报告纸质文件各</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份</w:t>
            </w:r>
            <w:r>
              <w:rPr>
                <w:rFonts w:hint="eastAsia" w:ascii="宋体" w:hAnsi="宋体" w:cs="宋体"/>
                <w:color w:val="auto"/>
                <w:sz w:val="24"/>
                <w:highlight w:val="none"/>
                <w:lang w:val="en-US" w:eastAsia="zh-CN"/>
              </w:rPr>
              <w:t>。成果文件需有关人员签字或盖章，并加盖单位公章。</w:t>
            </w:r>
          </w:p>
          <w:p w14:paraId="40EC2679">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最终成果</w:t>
            </w:r>
            <w:r>
              <w:rPr>
                <w:rFonts w:hint="eastAsia" w:ascii="宋体" w:hAnsi="宋体" w:cs="宋体"/>
                <w:color w:val="auto"/>
                <w:sz w:val="24"/>
                <w:highlight w:val="none"/>
                <w:lang w:eastAsia="zh-CN"/>
              </w:rPr>
              <w:t>电子</w:t>
            </w:r>
            <w:r>
              <w:rPr>
                <w:rFonts w:hint="eastAsia" w:ascii="宋体" w:hAnsi="宋体" w:cs="宋体"/>
                <w:color w:val="auto"/>
                <w:sz w:val="24"/>
                <w:highlight w:val="none"/>
              </w:rPr>
              <w:t>文件一式2份，包括可编辑文档（文字为 WORD 格式、图纸为可编辑的 CAD 格式）和按要求签章的PDF成果文件，分别使用光盘和U盘贮存。</w:t>
            </w:r>
          </w:p>
        </w:tc>
      </w:tr>
      <w:tr w14:paraId="61159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0F25058A">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582E7A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竞争性磋商报价</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总报价以人民币报价，</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所报价格在合同实施期间不因市场变化因素而变动。</w:t>
            </w:r>
          </w:p>
          <w:p w14:paraId="16293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 xml:space="preserve">固定总价，要求：本项目为固定总价包干，合同价格包含： </w:t>
            </w:r>
          </w:p>
          <w:p w14:paraId="4DDE36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合同工作的研究服务费及包含完成本项目所有工作任务所需的一切费用（含但不限于完成项目过程中所需的劳务、材料、设备、仪器、运输、检测与试验、安全警戒、评审、咨询、会务、管理、保险、税费、利润、后续服务等费用，以及合同明示或暗示的所有责任、义务和一般风险等各种费用在内，另外还包括本项目采购代理费用）。</w:t>
            </w:r>
          </w:p>
          <w:p w14:paraId="71DE5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供应商自身工作人员、聘请专家等为完成本采购项目的所有工作或义务而支出的劳动报酬和相关费用，供应商及其聘用、雇佣人员为供应商工作或为本采购项目工作而发生意外人身伤亡伤害、财物或其它损失等一切风险而产生的赔偿款等。</w:t>
            </w:r>
          </w:p>
          <w:p w14:paraId="35E662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（3）供应商配合采购人进行有关审查、验收会议的组织及会务工作，由此发生的一切相关费用，采购人不再另外支付。</w:t>
            </w:r>
          </w:p>
          <w:p w14:paraId="249F0B3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lang w:eastAsia="zh-CN"/>
              </w:rPr>
              <w:t>（4）其他应当计入或由供应商支付的款项或费用等</w:t>
            </w:r>
            <w:r>
              <w:rPr>
                <w:rFonts w:hint="eastAsia" w:ascii="宋体" w:hAnsi="宋体" w:cs="宋体"/>
                <w:color w:val="auto"/>
                <w:sz w:val="24"/>
                <w:highlight w:val="none"/>
              </w:rPr>
              <w:t>。</w:t>
            </w:r>
          </w:p>
        </w:tc>
      </w:tr>
      <w:tr w14:paraId="42A80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3A9AB3A2">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7E7512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）供应商</w:t>
            </w:r>
            <w:r>
              <w:rPr>
                <w:rFonts w:hint="eastAsia"/>
                <w:color w:val="auto"/>
                <w:sz w:val="24"/>
                <w:highlight w:val="none"/>
              </w:rPr>
              <w:t>在签订合同之前，向</w:t>
            </w:r>
            <w:r>
              <w:rPr>
                <w:rFonts w:hint="eastAsia"/>
                <w:color w:val="auto"/>
                <w:sz w:val="24"/>
                <w:highlight w:val="none"/>
                <w:lang w:eastAsia="zh-CN"/>
              </w:rPr>
              <w:t>采购人</w:t>
            </w:r>
            <w:r>
              <w:rPr>
                <w:rFonts w:hint="eastAsia"/>
                <w:color w:val="auto"/>
                <w:sz w:val="24"/>
                <w:highlight w:val="none"/>
              </w:rPr>
              <w:t>提交金额为签约合同价5%（或2%，如</w:t>
            </w:r>
            <w:r>
              <w:rPr>
                <w:rFonts w:hint="eastAsia"/>
                <w:color w:val="auto"/>
                <w:sz w:val="24"/>
                <w:highlight w:val="none"/>
                <w:lang w:eastAsia="zh-CN"/>
              </w:rPr>
              <w:t>供应商</w:t>
            </w:r>
            <w:r>
              <w:rPr>
                <w:rFonts w:hint="eastAsia"/>
                <w:color w:val="auto"/>
                <w:sz w:val="24"/>
                <w:highlight w:val="none"/>
              </w:rPr>
              <w:t>为中小微企业时）的履约保证金。</w:t>
            </w:r>
            <w:r>
              <w:rPr>
                <w:rFonts w:hint="eastAsia"/>
                <w:color w:val="auto"/>
                <w:sz w:val="24"/>
                <w:highlight w:val="none"/>
                <w:lang w:eastAsia="zh-CN"/>
              </w:rPr>
              <w:t>供应商</w:t>
            </w:r>
            <w:r>
              <w:rPr>
                <w:rFonts w:hint="eastAsia"/>
                <w:color w:val="auto"/>
                <w:sz w:val="24"/>
                <w:highlight w:val="none"/>
              </w:rPr>
              <w:t>未按约定提交履约保证金的，视为放弃中标资格，</w:t>
            </w:r>
            <w:r>
              <w:rPr>
                <w:rFonts w:hint="eastAsia"/>
                <w:color w:val="auto"/>
                <w:sz w:val="24"/>
                <w:highlight w:val="none"/>
                <w:lang w:eastAsia="zh-CN"/>
              </w:rPr>
              <w:t>采购人</w:t>
            </w:r>
            <w:r>
              <w:rPr>
                <w:rFonts w:hint="eastAsia"/>
                <w:color w:val="auto"/>
                <w:sz w:val="24"/>
                <w:highlight w:val="none"/>
              </w:rPr>
              <w:t>有权不予与其签订合同；因此给</w:t>
            </w:r>
            <w:r>
              <w:rPr>
                <w:rFonts w:hint="eastAsia"/>
                <w:color w:val="auto"/>
                <w:sz w:val="24"/>
                <w:highlight w:val="none"/>
                <w:lang w:eastAsia="zh-CN"/>
              </w:rPr>
              <w:t>采购人</w:t>
            </w:r>
            <w:r>
              <w:rPr>
                <w:rFonts w:hint="eastAsia"/>
                <w:color w:val="auto"/>
                <w:sz w:val="24"/>
                <w:highlight w:val="none"/>
              </w:rPr>
              <w:t>造成损失的，</w:t>
            </w:r>
            <w:r>
              <w:rPr>
                <w:rFonts w:hint="eastAsia"/>
                <w:color w:val="auto"/>
                <w:sz w:val="24"/>
                <w:highlight w:val="none"/>
                <w:lang w:eastAsia="zh-CN"/>
              </w:rPr>
              <w:t>供应商</w:t>
            </w:r>
            <w:r>
              <w:rPr>
                <w:rFonts w:hint="eastAsia"/>
                <w:color w:val="auto"/>
                <w:sz w:val="24"/>
                <w:highlight w:val="none"/>
              </w:rPr>
              <w:t>还应承担相应的赔偿责任。</w:t>
            </w:r>
          </w:p>
          <w:p w14:paraId="37CD33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履约保证金以支票、汇票、本票或者金融机构、担保机构出具的保函等非现金形式提交。</w:t>
            </w:r>
          </w:p>
          <w:p w14:paraId="5794CA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①若采用银行保函形式，</w:t>
            </w:r>
            <w:r>
              <w:rPr>
                <w:rFonts w:hint="eastAsia"/>
                <w:color w:val="auto"/>
                <w:sz w:val="24"/>
                <w:highlight w:val="none"/>
                <w:lang w:eastAsia="zh-CN"/>
              </w:rPr>
              <w:t>银行保函</w:t>
            </w:r>
            <w:r>
              <w:rPr>
                <w:rFonts w:hint="eastAsia"/>
                <w:color w:val="auto"/>
                <w:sz w:val="24"/>
                <w:highlight w:val="none"/>
              </w:rPr>
              <w:t>由国有商业或股份制商业银行出具</w:t>
            </w:r>
            <w:r>
              <w:rPr>
                <w:rFonts w:hint="eastAsia"/>
                <w:color w:val="auto"/>
                <w:sz w:val="24"/>
                <w:highlight w:val="none"/>
                <w:lang w:eastAsia="zh-CN"/>
              </w:rPr>
              <w:t>，</w:t>
            </w:r>
            <w:r>
              <w:rPr>
                <w:rFonts w:hint="eastAsia"/>
                <w:color w:val="auto"/>
                <w:sz w:val="24"/>
                <w:highlight w:val="none"/>
              </w:rPr>
              <w:t>并保证其有效。执行本条规定所需的费用由</w:t>
            </w:r>
            <w:r>
              <w:rPr>
                <w:rFonts w:hint="eastAsia"/>
                <w:color w:val="auto"/>
                <w:sz w:val="24"/>
                <w:highlight w:val="none"/>
                <w:lang w:eastAsia="zh-CN"/>
              </w:rPr>
              <w:t>供应商</w:t>
            </w:r>
            <w:r>
              <w:rPr>
                <w:rFonts w:hint="eastAsia"/>
                <w:color w:val="auto"/>
                <w:sz w:val="24"/>
                <w:highlight w:val="none"/>
              </w:rPr>
              <w:t>承担。保函的正本由</w:t>
            </w:r>
            <w:r>
              <w:rPr>
                <w:rFonts w:hint="eastAsia"/>
                <w:color w:val="auto"/>
                <w:sz w:val="24"/>
                <w:highlight w:val="none"/>
                <w:lang w:eastAsia="zh-CN"/>
              </w:rPr>
              <w:t>采购人</w:t>
            </w:r>
            <w:r>
              <w:rPr>
                <w:rFonts w:hint="eastAsia"/>
                <w:color w:val="auto"/>
                <w:sz w:val="24"/>
                <w:highlight w:val="none"/>
              </w:rPr>
              <w:t>保存。</w:t>
            </w:r>
          </w:p>
          <w:p w14:paraId="2D95E1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rPr>
              <w:t>②若采用银行转账形式，应当从</w:t>
            </w:r>
            <w:r>
              <w:rPr>
                <w:rFonts w:hint="eastAsia"/>
                <w:color w:val="auto"/>
                <w:sz w:val="24"/>
                <w:highlight w:val="none"/>
                <w:lang w:eastAsia="zh-CN"/>
              </w:rPr>
              <w:t>供应商</w:t>
            </w:r>
            <w:r>
              <w:rPr>
                <w:rFonts w:hint="eastAsia"/>
                <w:color w:val="auto"/>
                <w:sz w:val="24"/>
                <w:highlight w:val="none"/>
              </w:rPr>
              <w:t>基本账户转出，且全额一次性转入</w:t>
            </w:r>
            <w:r>
              <w:rPr>
                <w:rFonts w:hint="eastAsia"/>
                <w:color w:val="auto"/>
                <w:sz w:val="24"/>
                <w:highlight w:val="none"/>
                <w:lang w:eastAsia="zh-CN"/>
              </w:rPr>
              <w:t>采购人</w:t>
            </w:r>
            <w:r>
              <w:rPr>
                <w:rFonts w:hint="eastAsia"/>
                <w:color w:val="auto"/>
                <w:sz w:val="24"/>
                <w:highlight w:val="none"/>
              </w:rPr>
              <w:t>指定账号，并注明 “</w:t>
            </w:r>
            <w:r>
              <w:rPr>
                <w:rFonts w:hint="eastAsia"/>
                <w:color w:val="auto"/>
                <w:sz w:val="24"/>
                <w:highlight w:val="none"/>
                <w:lang w:eastAsia="zh-CN"/>
              </w:rPr>
              <w:t>北部湾港铁山湾5#锚地工程前期工作</w:t>
            </w:r>
            <w:r>
              <w:rPr>
                <w:rFonts w:hint="eastAsia"/>
                <w:color w:val="auto"/>
                <w:sz w:val="24"/>
                <w:highlight w:val="none"/>
              </w:rPr>
              <w:t>采购项目履约保证金”</w:t>
            </w:r>
            <w:r>
              <w:rPr>
                <w:rFonts w:hint="eastAsia"/>
                <w:color w:val="auto"/>
                <w:sz w:val="24"/>
                <w:highlight w:val="none"/>
                <w:lang w:val="en-US" w:eastAsia="zh-CN"/>
              </w:rPr>
              <w:t xml:space="preserve"> </w:t>
            </w:r>
            <w:r>
              <w:rPr>
                <w:rFonts w:hint="eastAsia"/>
                <w:color w:val="auto"/>
                <w:sz w:val="24"/>
                <w:highlight w:val="none"/>
              </w:rPr>
              <w:t>，并且确保在中标通知书发出之日起25日内到账，否则，其履约担保视为无效。</w:t>
            </w:r>
          </w:p>
          <w:p w14:paraId="7CFE2E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rPr>
              <w:t>履约担保有效期应不短于自合同生效之日起至</w:t>
            </w:r>
            <w:r>
              <w:rPr>
                <w:rFonts w:hint="eastAsia"/>
                <w:color w:val="auto"/>
                <w:sz w:val="24"/>
                <w:highlight w:val="none"/>
                <w:lang w:eastAsia="zh-CN"/>
              </w:rPr>
              <w:t>供应商</w:t>
            </w:r>
            <w:r>
              <w:rPr>
                <w:rFonts w:hint="eastAsia"/>
                <w:color w:val="auto"/>
                <w:sz w:val="24"/>
                <w:highlight w:val="none"/>
              </w:rPr>
              <w:t>履行完毕本合同项下所有工作内容并提交全部最终成果资料之日。</w:t>
            </w:r>
          </w:p>
          <w:p w14:paraId="213F4F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在</w:t>
            </w:r>
            <w:r>
              <w:rPr>
                <w:rFonts w:hint="eastAsia"/>
                <w:color w:val="auto"/>
                <w:sz w:val="24"/>
                <w:highlight w:val="none"/>
                <w:lang w:eastAsia="zh-CN"/>
              </w:rPr>
              <w:t>供应商</w:t>
            </w:r>
            <w:r>
              <w:rPr>
                <w:rFonts w:hint="eastAsia"/>
                <w:color w:val="auto"/>
                <w:sz w:val="24"/>
                <w:highlight w:val="none"/>
              </w:rPr>
              <w:t>按合同要求履行完毕本合同项下所有工作内容并提交全部最终成果资料后，由</w:t>
            </w:r>
            <w:r>
              <w:rPr>
                <w:rFonts w:hint="eastAsia"/>
                <w:color w:val="auto"/>
                <w:sz w:val="24"/>
                <w:highlight w:val="none"/>
                <w:lang w:eastAsia="zh-CN"/>
              </w:rPr>
              <w:t>供应商</w:t>
            </w:r>
            <w:r>
              <w:rPr>
                <w:rFonts w:hint="eastAsia"/>
                <w:color w:val="auto"/>
                <w:sz w:val="24"/>
                <w:highlight w:val="none"/>
              </w:rPr>
              <w:t>向</w:t>
            </w:r>
            <w:r>
              <w:rPr>
                <w:rFonts w:hint="eastAsia"/>
                <w:color w:val="auto"/>
                <w:sz w:val="24"/>
                <w:highlight w:val="none"/>
                <w:lang w:eastAsia="zh-CN"/>
              </w:rPr>
              <w:t>采购人</w:t>
            </w:r>
            <w:r>
              <w:rPr>
                <w:rFonts w:hint="eastAsia"/>
                <w:color w:val="auto"/>
                <w:sz w:val="24"/>
                <w:highlight w:val="none"/>
              </w:rPr>
              <w:t>提出退还履约担保申请，</w:t>
            </w:r>
            <w:r>
              <w:rPr>
                <w:rFonts w:hint="eastAsia"/>
                <w:color w:val="auto"/>
                <w:sz w:val="24"/>
                <w:highlight w:val="none"/>
                <w:lang w:eastAsia="zh-CN"/>
              </w:rPr>
              <w:t>采购人</w:t>
            </w:r>
            <w:r>
              <w:rPr>
                <w:rFonts w:hint="eastAsia"/>
                <w:color w:val="auto"/>
                <w:sz w:val="24"/>
                <w:highlight w:val="none"/>
              </w:rPr>
              <w:t>收到退还履约担保申请后28天内退还</w:t>
            </w:r>
            <w:r>
              <w:rPr>
                <w:rFonts w:hint="eastAsia"/>
                <w:color w:val="auto"/>
                <w:sz w:val="24"/>
                <w:highlight w:val="none"/>
                <w:lang w:eastAsia="zh-CN"/>
              </w:rPr>
              <w:t>供应商</w:t>
            </w:r>
            <w:r>
              <w:rPr>
                <w:rFonts w:hint="eastAsia"/>
                <w:color w:val="auto"/>
                <w:sz w:val="24"/>
                <w:highlight w:val="none"/>
              </w:rPr>
              <w:t>履约担保。履约保证金不计利息。</w:t>
            </w:r>
          </w:p>
        </w:tc>
      </w:tr>
      <w:tr w14:paraId="77C1E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1CA4EDB9">
            <w:pPr>
              <w:pStyle w:val="71"/>
              <w:spacing w:line="360" w:lineRule="auto"/>
              <w:ind w:firstLine="0" w:firstLineChars="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验收要求</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040D14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供应商按要求完成本项目合同工作任务并提供最终成果文件后，由采购方组织合同验收，验收过程所产生的专家咨询费等相关费用由供应商承担。</w:t>
            </w:r>
          </w:p>
        </w:tc>
      </w:tr>
      <w:tr w14:paraId="60683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left w:val="single" w:color="auto" w:sz="4" w:space="0"/>
              <w:bottom w:val="single" w:color="auto" w:sz="4" w:space="0"/>
              <w:right w:val="single" w:color="auto" w:sz="4" w:space="0"/>
            </w:tcBorders>
            <w:vAlign w:val="center"/>
          </w:tcPr>
          <w:p w14:paraId="1E8A98EC">
            <w:pPr>
              <w:pStyle w:val="71"/>
              <w:spacing w:line="360" w:lineRule="auto"/>
              <w:ind w:firstLine="0" w:firstLineChars="0"/>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履约验收方案</w:t>
            </w:r>
          </w:p>
        </w:tc>
        <w:tc>
          <w:tcPr>
            <w:tcW w:w="8312" w:type="dxa"/>
            <w:gridSpan w:val="2"/>
            <w:tcBorders>
              <w:top w:val="single" w:color="auto" w:sz="4" w:space="0"/>
              <w:left w:val="single" w:color="auto" w:sz="4" w:space="0"/>
              <w:bottom w:val="single" w:color="auto" w:sz="4" w:space="0"/>
              <w:right w:val="single" w:color="auto" w:sz="4" w:space="0"/>
            </w:tcBorders>
            <w:vAlign w:val="center"/>
          </w:tcPr>
          <w:p w14:paraId="70548C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1.</w:t>
            </w:r>
            <w:r>
              <w:rPr>
                <w:rFonts w:hint="eastAsia"/>
                <w:color w:val="auto"/>
                <w:sz w:val="24"/>
                <w:highlight w:val="none"/>
                <w:lang w:eastAsia="zh-CN"/>
              </w:rPr>
              <w:t>履约验收主体</w:t>
            </w:r>
          </w:p>
          <w:p w14:paraId="1B4222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 xml:space="preserve">由采购方按照《广西壮族自治区政府采购项目履约验收管理办法》和《广西壮族自治区港航发展中心本级政府采购管理工作规程》有关规定，组织履约验收。                                </w:t>
            </w:r>
          </w:p>
          <w:p w14:paraId="534829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2.</w:t>
            </w:r>
            <w:r>
              <w:rPr>
                <w:rFonts w:hint="eastAsia"/>
                <w:color w:val="auto"/>
                <w:sz w:val="24"/>
                <w:highlight w:val="none"/>
                <w:lang w:eastAsia="zh-CN"/>
              </w:rPr>
              <w:t>履约验收时间</w:t>
            </w:r>
          </w:p>
          <w:p w14:paraId="48A7D0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 xml:space="preserve"> 按照《广西壮族自治区政府采购项目履约验收管理办法》规定，自成交供应商履行完合同义务之日起七个工作日内组织验收,并提出验收意见。    </w:t>
            </w:r>
          </w:p>
          <w:p w14:paraId="09832E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履约验收方式</w:t>
            </w:r>
          </w:p>
          <w:p w14:paraId="465EF8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 xml:space="preserve"> 本项目采取采购人自行验收方式实施履约验收。   </w:t>
            </w:r>
          </w:p>
          <w:p w14:paraId="5CD2A0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4.</w:t>
            </w:r>
            <w:r>
              <w:rPr>
                <w:rFonts w:hint="eastAsia"/>
                <w:color w:val="auto"/>
                <w:sz w:val="24"/>
                <w:highlight w:val="none"/>
                <w:lang w:eastAsia="zh-CN"/>
              </w:rPr>
              <w:t>履约验收程序</w:t>
            </w:r>
          </w:p>
          <w:p w14:paraId="6D7E62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 xml:space="preserve"> 按照《广西壮族自治区政府采购项目履约验收管理办法》和《广西壮族自治区港航发展中心本级政府采购管理工作规程》有关规定，验收程序和要求如下：</w:t>
            </w:r>
          </w:p>
          <w:p w14:paraId="16AF67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）成立验收小组。验收小组原则上应由三人以上单数组成，验收小组组长由采购部门的负责人担任，并从相关业务部门安排1人作为监督人。</w:t>
            </w:r>
          </w:p>
          <w:p w14:paraId="01FABA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）组织验收。验收小组应当按照采购合同对供应商的履约情况进行验收。</w:t>
            </w:r>
          </w:p>
          <w:p w14:paraId="232D7F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验收小组应当结合合同项目验收清单和标准，对供应商的完成合同情况进行验收。</w:t>
            </w:r>
          </w:p>
          <w:p w14:paraId="149473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）出具验收书。验收小组完成验收后，应当出具验收书，由所有验收人签字，作为支付采购尾款的必备资料。</w:t>
            </w:r>
          </w:p>
          <w:p w14:paraId="75949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 xml:space="preserve">）验收结果公告。将验收结果（验收书）在本单位范围内进行公告，公告期不得少于5个工作日。    </w:t>
            </w:r>
          </w:p>
          <w:p w14:paraId="32A864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履约验收内容</w:t>
            </w:r>
          </w:p>
          <w:p w14:paraId="77E833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按合同约定期限完成北部湾港铁山湾5#锚地工程前期工作。</w:t>
            </w:r>
          </w:p>
          <w:p w14:paraId="64A947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履约验收验收标准</w:t>
            </w:r>
          </w:p>
          <w:p w14:paraId="7C3CAE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）在合同约定期限内完成北部湾港铁山湾5#锚地工程前期工作，提交成果。总工期为</w:t>
            </w:r>
            <w:r>
              <w:rPr>
                <w:rFonts w:hint="eastAsia"/>
                <w:color w:val="auto"/>
                <w:sz w:val="24"/>
                <w:highlight w:val="none"/>
                <w:lang w:val="en-US" w:eastAsia="zh-CN"/>
              </w:rPr>
              <w:t>180</w:t>
            </w:r>
            <w:r>
              <w:rPr>
                <w:rFonts w:hint="eastAsia"/>
                <w:color w:val="auto"/>
                <w:sz w:val="24"/>
                <w:highlight w:val="none"/>
                <w:lang w:eastAsia="zh-CN"/>
              </w:rPr>
              <w:t>日历天。具体如下：</w:t>
            </w:r>
          </w:p>
          <w:p w14:paraId="7ABF0B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①2026年5月31日前，完成海洋生态环境现状调查和海洋水文动力现状调查的春季现场调查；2026年6月30日前提交春季海洋生态环境现状调查分析评价报告和海洋水文动力现状调查分析评价报告。</w:t>
            </w:r>
            <w:r>
              <w:rPr>
                <w:rFonts w:hint="eastAsia"/>
                <w:color w:val="auto"/>
                <w:sz w:val="24"/>
                <w:highlight w:val="none"/>
              </w:rPr>
              <w:t>若受采购进度影响，不能在2026年春季开展现场调查</w:t>
            </w:r>
            <w:r>
              <w:rPr>
                <w:rFonts w:hint="eastAsia"/>
                <w:color w:val="auto"/>
                <w:sz w:val="24"/>
                <w:highlight w:val="none"/>
                <w:lang w:eastAsia="zh-CN"/>
              </w:rPr>
              <w:t>的</w:t>
            </w:r>
            <w:r>
              <w:rPr>
                <w:rFonts w:hint="eastAsia"/>
                <w:color w:val="auto"/>
                <w:sz w:val="24"/>
                <w:highlight w:val="none"/>
              </w:rPr>
              <w:t>，则2027年3月31日前完成海洋生态环境现状调查和海洋水文动力现状调查的春季现场调查；2027年4月30日前提交春季海洋生态环境现状调查分析评价报告和海洋水文动力现状分析评价报告。</w:t>
            </w:r>
          </w:p>
          <w:p w14:paraId="3368D4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②2026年9月30日前，完成海洋生态环境调查和海洋水文动力现状调查的秋季现场调查；2026年10月31日前提交秋季海洋生态环境现状调查分析评价报告和海洋水文动力现状调查分析评价报告。</w:t>
            </w:r>
          </w:p>
          <w:p w14:paraId="59712F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val="en-US" w:eastAsia="zh-CN"/>
              </w:rPr>
            </w:pPr>
            <w:r>
              <w:rPr>
                <w:rFonts w:hint="eastAsia"/>
                <w:color w:val="auto"/>
                <w:sz w:val="24"/>
                <w:highlight w:val="none"/>
                <w:lang w:eastAsia="zh-CN"/>
              </w:rPr>
              <w:t>③调查成果验收会后20日历天内提交最终调查成果。</w:t>
            </w:r>
          </w:p>
          <w:p w14:paraId="1D0C83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④合同签订后</w:t>
            </w:r>
            <w:r>
              <w:rPr>
                <w:rFonts w:hint="eastAsia"/>
                <w:color w:val="auto"/>
                <w:sz w:val="24"/>
                <w:highlight w:val="none"/>
                <w:lang w:val="en-US" w:eastAsia="zh-CN"/>
              </w:rPr>
              <w:t>40日历天内提交项目建议书送审稿；</w:t>
            </w:r>
            <w:r>
              <w:rPr>
                <w:rFonts w:hint="eastAsia"/>
                <w:color w:val="auto"/>
                <w:sz w:val="24"/>
                <w:highlight w:val="none"/>
                <w:lang w:eastAsia="zh-CN"/>
              </w:rPr>
              <w:t>合同签订后</w:t>
            </w:r>
            <w:r>
              <w:rPr>
                <w:rFonts w:hint="eastAsia"/>
                <w:color w:val="auto"/>
                <w:sz w:val="24"/>
                <w:highlight w:val="none"/>
                <w:lang w:val="en-US" w:eastAsia="zh-CN"/>
              </w:rPr>
              <w:t>60日历天内提交工可报告送审稿；评审（或验收）会后</w:t>
            </w:r>
            <w:r>
              <w:rPr>
                <w:rFonts w:hint="eastAsia"/>
                <w:color w:val="auto"/>
                <w:sz w:val="24"/>
                <w:highlight w:val="none"/>
                <w:lang w:eastAsia="zh-CN"/>
              </w:rPr>
              <w:t>20日历天内</w:t>
            </w:r>
            <w:r>
              <w:rPr>
                <w:rFonts w:hint="eastAsia"/>
                <w:color w:val="auto"/>
                <w:sz w:val="24"/>
                <w:highlight w:val="none"/>
                <w:lang w:val="en-US" w:eastAsia="zh-CN"/>
              </w:rPr>
              <w:t>完善项目建议书、工可报告，并提交最终成果。</w:t>
            </w:r>
          </w:p>
          <w:p w14:paraId="18F977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调查成果验收时间，项目建议书、工可报告评审</w:t>
            </w:r>
            <w:r>
              <w:rPr>
                <w:rFonts w:hint="eastAsia"/>
                <w:color w:val="auto"/>
                <w:sz w:val="24"/>
                <w:highlight w:val="none"/>
                <w:lang w:val="en-US" w:eastAsia="zh-CN"/>
              </w:rPr>
              <w:t>（或验收）</w:t>
            </w:r>
            <w:r>
              <w:rPr>
                <w:rFonts w:hint="eastAsia"/>
                <w:color w:val="auto"/>
                <w:sz w:val="24"/>
                <w:highlight w:val="none"/>
                <w:lang w:eastAsia="zh-CN"/>
              </w:rPr>
              <w:t>时间另行计算，不计入总工期。</w:t>
            </w:r>
          </w:p>
          <w:p w14:paraId="0AD622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）成果文件应当符合现行相关国家标准、行业标准、地方标准等标准、规范，并通过专家评审或主管部门、机构组织的评审，取得主管部门批复（如需要）。</w:t>
            </w:r>
          </w:p>
          <w:p w14:paraId="6377C3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7.</w:t>
            </w:r>
            <w:r>
              <w:rPr>
                <w:rFonts w:hint="eastAsia"/>
                <w:color w:val="auto"/>
                <w:sz w:val="24"/>
                <w:highlight w:val="none"/>
                <w:lang w:eastAsia="zh-CN"/>
              </w:rPr>
              <w:t>履约验收其他事项</w:t>
            </w:r>
          </w:p>
          <w:p w14:paraId="54AB14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 xml:space="preserve"> 验收过程所产生的专家咨询费等相关费用由供应商承担。 </w:t>
            </w:r>
          </w:p>
          <w:p w14:paraId="316FA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（五）风险管控措施</w:t>
            </w:r>
          </w:p>
          <w:p w14:paraId="739DF2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1.</w:t>
            </w:r>
            <w:r>
              <w:rPr>
                <w:rFonts w:hint="eastAsia"/>
                <w:color w:val="auto"/>
                <w:sz w:val="24"/>
                <w:highlight w:val="none"/>
                <w:lang w:eastAsia="zh-CN"/>
              </w:rPr>
              <w:t xml:space="preserve">国家政策变化应对措施： 在合同实施期间国家政策变化，勘察咨询费不进行调整。  </w:t>
            </w:r>
          </w:p>
          <w:p w14:paraId="251D41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2.</w:t>
            </w:r>
            <w:r>
              <w:rPr>
                <w:rFonts w:hint="eastAsia"/>
                <w:color w:val="auto"/>
                <w:sz w:val="24"/>
                <w:highlight w:val="none"/>
                <w:lang w:eastAsia="zh-CN"/>
              </w:rPr>
              <w:t xml:space="preserve">实施环境变化应对措施： 在合同实施期间实施环境变化、物价波动，勘察咨询费不进行调整。  </w:t>
            </w:r>
          </w:p>
          <w:p w14:paraId="07C72B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 xml:space="preserve">重大技术变化应对措施： 在合同实施期间方案变更、法律、法规、规范和标准变更等技术变化，勘察咨询费不进行调整。  </w:t>
            </w:r>
          </w:p>
          <w:p w14:paraId="300EAD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4.</w:t>
            </w:r>
            <w:r>
              <w:rPr>
                <w:rFonts w:hint="eastAsia"/>
                <w:color w:val="auto"/>
                <w:sz w:val="24"/>
                <w:highlight w:val="none"/>
                <w:lang w:eastAsia="zh-CN"/>
              </w:rPr>
              <w:t xml:space="preserve">预算项目调整应对措施： 加强采购计划编制质量；加强项目管理；根据法律法规和合同作相应调整。  </w:t>
            </w:r>
          </w:p>
          <w:p w14:paraId="3F4D9D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 xml:space="preserve">因质疑投诉影响采购进度应对措施： 根据有关法律法规，加强采购文件编制质量；按有关法律法规要求，及时回复质疑投诉；合理缩短各环节实施时间。 </w:t>
            </w:r>
          </w:p>
          <w:p w14:paraId="3E44B4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 xml:space="preserve">采购失败应对措施： 根据有关法律法规，加强采购文件编制质量。认真分析采购失败原因，采取相应措施：如工期设置太短，合理调整工期；如特殊资格条件设置过高，适当降低要求等。 </w:t>
            </w:r>
          </w:p>
          <w:p w14:paraId="47495E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7.</w:t>
            </w:r>
            <w:r>
              <w:rPr>
                <w:rFonts w:hint="eastAsia"/>
                <w:color w:val="auto"/>
                <w:sz w:val="24"/>
                <w:highlight w:val="none"/>
                <w:lang w:eastAsia="zh-CN"/>
              </w:rPr>
              <w:t xml:space="preserve">不按规定签订或者履行合同应对措施： 严格按有关法律法规要求，根据采购文件和响应文件内容，在成交通知发出后25日内签订合同；加强合同履约管理。  </w:t>
            </w:r>
          </w:p>
          <w:p w14:paraId="134FD5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 xml:space="preserve">出现损害国家利益和社会公共利益情形应对措施： </w:t>
            </w:r>
          </w:p>
          <w:p w14:paraId="69585E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highlight w:val="none"/>
                <w:lang w:eastAsia="zh-CN"/>
              </w:rPr>
            </w:pPr>
            <w:r>
              <w:rPr>
                <w:rFonts w:hint="eastAsia"/>
                <w:color w:val="auto"/>
                <w:sz w:val="24"/>
                <w:highlight w:val="none"/>
                <w:lang w:eastAsia="zh-CN"/>
              </w:rPr>
              <w:t xml:space="preserve"> 严格遵守有关法律法规、标准规范和合同约定。</w:t>
            </w:r>
          </w:p>
        </w:tc>
      </w:tr>
      <w:tr w14:paraId="60ACF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86" w:type="dxa"/>
            <w:gridSpan w:val="2"/>
            <w:tcBorders>
              <w:top w:val="single" w:color="auto" w:sz="4" w:space="0"/>
              <w:bottom w:val="single" w:color="auto" w:sz="4" w:space="0"/>
              <w:right w:val="single" w:color="auto" w:sz="4" w:space="0"/>
            </w:tcBorders>
            <w:vAlign w:val="center"/>
          </w:tcPr>
          <w:p w14:paraId="154F7D7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8312" w:type="dxa"/>
            <w:gridSpan w:val="2"/>
            <w:tcBorders>
              <w:top w:val="single" w:color="auto" w:sz="4" w:space="0"/>
              <w:left w:val="single" w:color="auto" w:sz="4" w:space="0"/>
              <w:bottom w:val="single" w:color="auto" w:sz="4" w:space="0"/>
            </w:tcBorders>
            <w:vAlign w:val="center"/>
          </w:tcPr>
          <w:p w14:paraId="2707B213">
            <w:pPr>
              <w:pStyle w:val="71"/>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未经采购人允许，不得使用或以其它方式</w:t>
            </w:r>
            <w:r>
              <w:rPr>
                <w:rFonts w:hint="eastAsia" w:ascii="宋体" w:hAnsi="宋体" w:cs="宋体"/>
                <w:color w:val="auto"/>
                <w:sz w:val="24"/>
                <w:highlight w:val="none"/>
                <w:lang w:eastAsia="zh-CN"/>
              </w:rPr>
              <w:t>向</w:t>
            </w:r>
            <w:r>
              <w:rPr>
                <w:rFonts w:hint="eastAsia" w:ascii="宋体" w:hAnsi="宋体" w:cs="宋体"/>
                <w:color w:val="auto"/>
                <w:sz w:val="24"/>
                <w:highlight w:val="none"/>
              </w:rPr>
              <w:t>任何第三方提供本项目的相关信息或数据。</w:t>
            </w:r>
          </w:p>
          <w:p w14:paraId="04677E62">
            <w:pPr>
              <w:pStyle w:val="71"/>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知识产权：采购人在中华人民共和国境内使用中标人提供的产品及服务时免受第三方提出的侵犯其专利权或其它知识产权的起诉。如果第三方提出侵权指控，中标人应承担由此而引起的一切法律责任和费用。</w:t>
            </w:r>
          </w:p>
          <w:p w14:paraId="67446B2F">
            <w:pPr>
              <w:pStyle w:val="71"/>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后续服务</w:t>
            </w:r>
          </w:p>
          <w:p w14:paraId="3E80187B">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lang w:eastAsia="zh-CN"/>
              </w:rPr>
              <w:t>供应商应协助采购人办理工程项目建议书、可行性研究报告审批手续，直至有关报告取得批复</w:t>
            </w:r>
            <w:r>
              <w:rPr>
                <w:rFonts w:hint="eastAsia" w:ascii="宋体" w:hAnsi="宋体" w:cs="宋体"/>
                <w:color w:val="auto"/>
                <w:sz w:val="24"/>
                <w:highlight w:val="none"/>
              </w:rPr>
              <w:t>。有关费用包含于投标报价中，采购人不再另行支付。</w:t>
            </w:r>
          </w:p>
        </w:tc>
      </w:tr>
    </w:tbl>
    <w:p w14:paraId="098D8748">
      <w:pPr>
        <w:pStyle w:val="16"/>
        <w:jc w:val="left"/>
        <w:rPr>
          <w:rFonts w:hAnsi="宋体" w:cs="宋体"/>
          <w:color w:val="auto"/>
          <w:sz w:val="32"/>
          <w:szCs w:val="32"/>
          <w:highlight w:val="none"/>
        </w:rPr>
      </w:pPr>
      <w:r>
        <w:rPr>
          <w:rFonts w:hint="eastAsia" w:hAnsi="宋体" w:cs="宋体"/>
          <w:bCs/>
          <w:color w:val="auto"/>
          <w:sz w:val="24"/>
          <w:highlight w:val="none"/>
          <w:u w:val="single"/>
        </w:rPr>
        <w:br w:type="page"/>
      </w:r>
      <w:bookmarkStart w:id="38" w:name="_Toc74323459"/>
      <w:r>
        <w:rPr>
          <w:rFonts w:hint="eastAsia" w:hAnsi="宋体" w:cs="宋体"/>
          <w:color w:val="auto"/>
          <w:sz w:val="32"/>
          <w:szCs w:val="32"/>
          <w:highlight w:val="none"/>
        </w:rPr>
        <w:t>附：</w:t>
      </w:r>
    </w:p>
    <w:p w14:paraId="158B8018">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23BDCF45">
      <w:pPr>
        <w:ind w:left="1871"/>
        <w:rPr>
          <w:rFonts w:ascii="宋体" w:hAnsi="宋体" w:cs="宋体"/>
          <w:color w:val="auto"/>
          <w:szCs w:val="21"/>
          <w:highlight w:val="none"/>
        </w:rPr>
      </w:pPr>
    </w:p>
    <w:tbl>
      <w:tblPr>
        <w:tblStyle w:val="29"/>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7BF73A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3C54689">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2FBFA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7CD820E3">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0A729FA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A638589">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0706B7A2">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321B45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6C5AC0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86596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4141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8842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C59ED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1018A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CDA01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10F1A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8148C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75596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98D7D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414E7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0F39C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15EF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270E90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0A957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B999F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F87BC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75592D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79398E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62066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94CA1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6B1ADA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3A9F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0AAC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878EE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27323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A2C10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13986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ECAF6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B54A8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9DB73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52D85E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51AAA2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49F507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770F8C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40592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4DCF9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C5674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5BADA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13260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42E66A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EDDF99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4BBBC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12F64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21F9A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17139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7FCADA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9A6E3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24E70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9BF4F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B666D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3921F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7DD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C1E18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3285A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24FC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6AB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5FE1A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4FBF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E740E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2559C6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701B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3E8A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34F40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6B06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EB3A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13B36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7A56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4FE4D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E911CC">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15CA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9A385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148F4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16D9E2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3FCC20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282CE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FDA82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02868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9349D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28ACB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1B980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47B8A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52B74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2AC14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465D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78F1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D4F2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A5776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859B9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FDEF2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2012A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4C799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98BD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E9E67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DE61E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03658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8CBAF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F7D7C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D1EA4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B9876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19E1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2F026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FA97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6FE85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2EEB30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A5737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EF59A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34F4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D9FF6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CCDBA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9FEC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F324F5E">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1B8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42F39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B524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A4D9A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E32D8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C1F6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551A8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8BB07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2540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1E6F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49B0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9C893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802BA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1ECEC3">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2EECD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537B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3B877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6DF16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75F8F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CE73E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BC743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676F9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3FFA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A8CCF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36F675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7FC22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4F620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40147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5E0C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255E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DA5CE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CE371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C7714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DD94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370EE3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E7003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4A17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7596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525DF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901EC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A4B26B9">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548D34B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2C25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AE25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3E0AC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2D34B2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9B5B0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55EFF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1940A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3D312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388EA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9A29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232CEE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DB6B5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DE362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8408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C4B24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9BCCA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AA44A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7BBBC5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D8261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D12D9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37BAB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001EF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3D46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B549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7D63D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114FB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5FE22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22276E">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4F74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7359F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F2F30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06E86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B24F8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DDBF0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731E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346376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B374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D8F3E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B6BFC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B549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20361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6A74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9C31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A22D1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4C2DD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2AB8E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A8DEE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161A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6D132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428335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EACEE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B449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21CC2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44B94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88D6BC4">
      <w:pPr>
        <w:spacing w:line="360" w:lineRule="auto"/>
        <w:ind w:firstLine="525" w:firstLineChars="250"/>
        <w:rPr>
          <w:rFonts w:ascii="宋体" w:hAnsi="宋体" w:cs="宋体"/>
          <w:color w:val="auto"/>
          <w:szCs w:val="21"/>
          <w:highlight w:val="none"/>
        </w:rPr>
      </w:pPr>
    </w:p>
    <w:p w14:paraId="046BF4FB">
      <w:pPr>
        <w:spacing w:line="360" w:lineRule="auto"/>
        <w:ind w:firstLine="527" w:firstLineChars="250"/>
        <w:rPr>
          <w:rFonts w:ascii="楷体" w:hAnsi="楷体" w:eastAsia="楷体" w:cs="宋体"/>
          <w:color w:val="auto"/>
          <w:szCs w:val="21"/>
          <w:highlight w:val="none"/>
        </w:rPr>
      </w:pPr>
      <w:r>
        <w:rPr>
          <w:rFonts w:hint="eastAsia" w:ascii="楷体" w:hAnsi="楷体" w:eastAsia="楷体" w:cs="宋体"/>
          <w:b/>
          <w:color w:val="auto"/>
          <w:szCs w:val="21"/>
          <w:highlight w:val="none"/>
        </w:rPr>
        <w:t>说明：</w:t>
      </w:r>
      <w:r>
        <w:rPr>
          <w:rFonts w:hint="eastAsia" w:ascii="楷体" w:hAnsi="楷体" w:eastAsia="楷体" w:cs="宋体"/>
          <w:color w:val="auto"/>
          <w:szCs w:val="21"/>
          <w:highlight w:val="none"/>
        </w:rPr>
        <w:t>上述标准参照《关于印发中小企业划型标准规定的通知》（工信部联企业</w:t>
      </w:r>
      <w:r>
        <w:rPr>
          <w:rFonts w:ascii="楷体" w:hAnsi="楷体" w:eastAsia="楷体" w:cs="宋体"/>
          <w:color w:val="auto"/>
          <w:szCs w:val="21"/>
          <w:highlight w:val="none"/>
        </w:rPr>
        <w:t>[2011]300号），大型、中型和小型企业须同时满足所列指标的下限，否则下划一档；微型企业只须满足所列指标中的一项即可。</w:t>
      </w:r>
    </w:p>
    <w:p w14:paraId="3CA1EC31">
      <w:pPr>
        <w:pStyle w:val="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第四章  评审程序、评审方法和评审标准</w:t>
      </w:r>
      <w:bookmarkEnd w:id="38"/>
    </w:p>
    <w:p w14:paraId="2AEEF7A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CA0ACEC">
      <w:pPr>
        <w:spacing w:line="360" w:lineRule="auto"/>
        <w:ind w:firstLine="482" w:firstLineChars="200"/>
        <w:rPr>
          <w:rFonts w:ascii="宋体" w:hAnsi="宋体" w:cs="宋体"/>
          <w:b/>
          <w:bCs/>
          <w:color w:val="auto"/>
          <w:sz w:val="24"/>
          <w:highlight w:val="none"/>
        </w:rPr>
      </w:pPr>
    </w:p>
    <w:p w14:paraId="2B16A3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1E9DFAF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1.1响应文件开启后，磋商小组依法对供应商的资格证明文件进行审查。</w:t>
      </w:r>
    </w:p>
    <w:p w14:paraId="2DB2090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22116B4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114E11F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7B13CB8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（4）信用信息使用规则：根据财政部《关于在政府采购活动中查询及使用信用记录有关问题的通知》（财库〔2016〕125号）的规定，对在“信用中国”网站(www.creditchina.gov.cn) 、中国政府采购网(www.ccgp.gov.cn)</w:t>
      </w:r>
      <w:r>
        <w:rPr>
          <w:rFonts w:hint="eastAsia" w:ascii="宋体" w:hAnsi="宋体" w:cs="宋体"/>
          <w:color w:val="auto"/>
          <w:sz w:val="24"/>
          <w:highlight w:val="none"/>
          <w:lang w:eastAsia="zh-CN"/>
        </w:rPr>
        <w:t>等渠道</w:t>
      </w:r>
      <w:r>
        <w:rPr>
          <w:rFonts w:hint="eastAsia" w:ascii="宋体" w:hAnsi="宋体" w:cs="宋体"/>
          <w:color w:val="auto"/>
          <w:sz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4174E17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3BFAC5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1.3供应商有下列情形之一的，资格审查不通过，其响应文件按无效响应处理：</w:t>
      </w:r>
    </w:p>
    <w:p w14:paraId="1E78E5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1F1492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（2）响应文件的资格证明文件缺少任一项“供应商须知前附表”资格证明文件规定的“必须提供”的文件资料的；</w:t>
      </w:r>
    </w:p>
    <w:p w14:paraId="73437A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7EAE45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EBF48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1.4通过资格审查的合格供应商不足3家的，不得进入符合性审查环节，采购人或者采购代理机构应当重新开展采购活动。</w:t>
      </w:r>
    </w:p>
    <w:p w14:paraId="0B3B4E6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7D3A68E7">
      <w:pPr>
        <w:spacing w:line="360" w:lineRule="auto"/>
        <w:ind w:firstLine="480" w:firstLineChars="200"/>
        <w:rPr>
          <w:rFonts w:ascii="宋体" w:hAnsi="宋体" w:cs="宋体"/>
          <w:color w:val="auto"/>
          <w:sz w:val="24"/>
          <w:highlight w:val="none"/>
        </w:rPr>
      </w:pPr>
      <w:bookmarkStart w:id="39" w:name="_Hlk42528882"/>
      <w:r>
        <w:rPr>
          <w:rFonts w:hint="eastAsia" w:ascii="宋体" w:hAnsi="宋体" w:cs="宋体"/>
          <w:color w:val="auto"/>
          <w:sz w:val="24"/>
          <w:highlight w:val="none"/>
        </w:rPr>
        <w:t>2.1由磋商小组对资格审查的合格供应商的响应文件的竞争性磋商报价、商务、技术等实质性要求进行符合性审查，以确定其是否满足磋商文件的实质性要求。</w:t>
      </w:r>
    </w:p>
    <w:bookmarkEnd w:id="39"/>
    <w:p w14:paraId="44D750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310A92">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 w:val="24"/>
          <w:highlight w:val="none"/>
        </w:rPr>
        <w:t>。供应商为自然人的，必须由本人签字并附身份证明。</w:t>
      </w:r>
    </w:p>
    <w:p w14:paraId="5B6F4008">
      <w:pPr>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2.4</w:t>
      </w:r>
      <w:r>
        <w:rPr>
          <w:rFonts w:hint="eastAsia" w:ascii="宋体" w:hAnsi="宋体" w:cs="宋体"/>
          <w:color w:val="auto"/>
          <w:sz w:val="24"/>
          <w:highlight w:val="none"/>
        </w:rPr>
        <w:t xml:space="preserve">首次响应文件报价出现前后不一致的，按照下列规定修正： </w:t>
      </w:r>
    </w:p>
    <w:p w14:paraId="55F847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30D056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439835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4159C4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2BCD8E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07D9EE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2.5商务技术报价评审</w:t>
      </w:r>
    </w:p>
    <w:p w14:paraId="4EA92B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4AF56D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（1）商务服务评审</w:t>
      </w:r>
    </w:p>
    <w:p w14:paraId="4480C3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1AD91A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15E457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3）提交的磋商保证金无效的或者未按照磋商文件的规定提交磋商保证金；</w:t>
      </w:r>
    </w:p>
    <w:p w14:paraId="740626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4）响应文件中的报价商务服务文件出现任一项不符合“供应商须知前附表”中“必须提供”或者“委托时必须提供”文件资料要求的规定或者提供的报价商务服务文件无效。</w:t>
      </w:r>
    </w:p>
    <w:p w14:paraId="2AFF01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13D9C9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6）未对竞争性磋商有效期作出响应或者响应文件承诺的竞争性磋商有效期不满足磋商文件要求；</w:t>
      </w:r>
    </w:p>
    <w:p w14:paraId="2510BD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7）响应文件的实质性内容未使用中文表述、使用计量单位不符合磋商文件要求；</w:t>
      </w:r>
    </w:p>
    <w:p w14:paraId="0E382C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8）响应文件中的文件资料因填写不齐全或者内容虚假或者出现其他情形而导致被磋商小组认定无效；</w:t>
      </w:r>
    </w:p>
    <w:p w14:paraId="1C0150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w:t>
      </w:r>
    </w:p>
    <w:p w14:paraId="79844F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10）属于“供应商须知正文”第7.5条情形；</w:t>
      </w:r>
    </w:p>
    <w:p w14:paraId="63DEB2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7161F0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12）虚假响应，或者出现其他情形而导致被磋商小组认定无效；</w:t>
      </w:r>
    </w:p>
    <w:p w14:paraId="5555F1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bookmarkStart w:id="40" w:name="_Hlk71704147"/>
      <w:r>
        <w:rPr>
          <w:rFonts w:hint="eastAsia" w:ascii="宋体" w:hAnsi="宋体" w:cs="宋体"/>
          <w:color w:val="auto"/>
          <w:sz w:val="24"/>
          <w:highlight w:val="none"/>
        </w:rPr>
        <w:t>磋商文件未载明允许提供备选（替代）响应方案或明确不允许提供备选（替代）响应方案时，供应商提供了备选（替代）响应方案的；</w:t>
      </w:r>
      <w:bookmarkEnd w:id="40"/>
    </w:p>
    <w:p w14:paraId="5D1C5A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14）响应文件标注的项目名称或者项目编号与磋商文件标注的项目名称或者项目编号不一致的；</w:t>
      </w:r>
    </w:p>
    <w:p w14:paraId="23B8D6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15）竞争性磋商文件明确不允许分包，响应文件拟分包的；</w:t>
      </w:r>
    </w:p>
    <w:p w14:paraId="05007A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16）未响应磋商文件实质性要求；</w:t>
      </w:r>
    </w:p>
    <w:p w14:paraId="7E7294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17）法律、法规和磋商文件规定的其他无效情形。</w:t>
      </w:r>
    </w:p>
    <w:p w14:paraId="0CB446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7B018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报价商务服务文件中规定的“竞争性磋商报价表”；</w:t>
      </w:r>
    </w:p>
    <w:p w14:paraId="056194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0B78D2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5A5E60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4）竞争性磋商报价（包含首次报价、最后报价）超过所参与竞争性磋商分标规定的采购预算金额或者最高限价的（如本项目公布了最高限价），其响应文件将按无效响应处理；</w:t>
      </w:r>
    </w:p>
    <w:p w14:paraId="5BBE4FDD">
      <w:pPr>
        <w:spacing w:line="360" w:lineRule="auto"/>
        <w:ind w:firstLine="480" w:firstLineChars="200"/>
        <w:rPr>
          <w:color w:val="auto"/>
          <w:highlight w:val="none"/>
        </w:rPr>
      </w:pPr>
      <w:r>
        <w:rPr>
          <w:rFonts w:hint="eastAsia" w:ascii="宋体" w:hAnsi="宋体" w:cs="宋体"/>
          <w:color w:val="auto"/>
          <w:sz w:val="24"/>
          <w:highlight w:val="none"/>
        </w:rPr>
        <w:t>5）竞争性磋商报价（包含首次报价、最后报价）超过分项采购预算金额或者最高限价的（如本项目公布了最高限价），其响应文件将按无效处理；</w:t>
      </w:r>
    </w:p>
    <w:p w14:paraId="13020AC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 竞争性磋商分标规定的采购预算金额或者最高限价（如本项目公布了最高限价）；</w:t>
      </w:r>
    </w:p>
    <w:p w14:paraId="50644D0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）响应文件响应的标的数量及单位与竞争性磋商采购文件要求实质性不一致的。</w:t>
      </w:r>
    </w:p>
    <w:p w14:paraId="32EB21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182CB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2.7非政府购买服务项目，通过符合性审查的合格供应商不足3家的，不得进入磋商环节，采购人或者采购代理机构应当重新开展采购活动。</w:t>
      </w:r>
      <w:r>
        <w:rPr>
          <w:rFonts w:hint="eastAsia" w:ascii="宋体" w:hAnsi="宋体" w:cs="宋体"/>
          <w:b/>
          <w:color w:val="auto"/>
          <w:sz w:val="24"/>
          <w:highlight w:val="none"/>
        </w:rPr>
        <w:t>政府购买服务项目，按《财政部关于政府采购竞争性磋商采购方式管理暂行办法有关问题的补充通知》（财库〔</w:t>
      </w:r>
      <w:r>
        <w:rPr>
          <w:rFonts w:ascii="宋体" w:hAnsi="宋体" w:cs="宋体"/>
          <w:b/>
          <w:color w:val="auto"/>
          <w:sz w:val="24"/>
          <w:highlight w:val="none"/>
        </w:rPr>
        <w:t>2015〕124号）规定，采购过程中通过符合性审查的供应商（社会资本）只有2家的，磋商采购活动可以继续进行。</w:t>
      </w:r>
    </w:p>
    <w:p w14:paraId="11BA9F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3F7B27E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3.1磋商小组按照“供应商须知前附表”</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确定的</w:t>
      </w:r>
      <w:r>
        <w:rPr>
          <w:rFonts w:hint="eastAsia" w:ascii="宋体" w:hAnsi="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B762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0464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3.3对磋商文件作出的实质性变动是磋商文件的有效组成部分，由磋商小组及时以电子磋商记录形式同时通知所有参加磋商的供应商。</w:t>
      </w:r>
    </w:p>
    <w:p w14:paraId="2295E0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AD82C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3.5磋商中，</w:t>
      </w:r>
      <w:r>
        <w:rPr>
          <w:rFonts w:hint="eastAsia" w:ascii="宋体" w:hAnsi="宋体" w:cs="宋体"/>
          <w:color w:val="auto"/>
          <w:spacing w:val="-6"/>
          <w:sz w:val="24"/>
          <w:highlight w:val="none"/>
        </w:rPr>
        <w:t>磋商的任何一方不得透露与磋商有关的其他供应商的技术资料、价格和其他信息。</w:t>
      </w:r>
    </w:p>
    <w:p w14:paraId="0235DD8F">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3.6对磋商过程提交的响应文件进行有效性、完整性和响应程度审查，通过审查的合格供应商不足3家的，采购人或者采购代理机构应当重新开展采购活动。</w:t>
      </w:r>
    </w:p>
    <w:p w14:paraId="7AC09EC9">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67817729">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采购过程中符合要求的供应商（社会资本）只有1家的，采购人（项目实施机构）或者采购代理机构应当终止竞争性磋商采购活动，发布项目终止公告并说明原因，重新开展采购活动。</w:t>
      </w:r>
    </w:p>
    <w:p w14:paraId="6CC55349">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4.最后报价</w:t>
      </w:r>
    </w:p>
    <w:p w14:paraId="6918FD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4.1磋商文件能够详细列明技术、服务要求的，磋商结束后，由磋商小组要求所有继续参加磋商的供应商在规定时间内以电子文件形式提交最后报价，</w:t>
      </w:r>
      <w:r>
        <w:rPr>
          <w:rFonts w:hint="eastAsia" w:ascii="宋体" w:hAnsi="宋体" w:cs="宋体"/>
          <w:b/>
          <w:color w:val="auto"/>
          <w:sz w:val="24"/>
          <w:highlight w:val="none"/>
        </w:rPr>
        <w:t>除本章第</w:t>
      </w:r>
      <w:r>
        <w:rPr>
          <w:rFonts w:ascii="宋体" w:hAnsi="宋体" w:cs="宋体"/>
          <w:b/>
          <w:color w:val="auto"/>
          <w:sz w:val="24"/>
          <w:highlight w:val="none"/>
        </w:rPr>
        <w:t>2.7、3.7、4.3条外，提交最后报价的供应商不得少于3家，否则必须重新采购。</w:t>
      </w:r>
    </w:p>
    <w:p w14:paraId="7ED032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433CD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4.3最后报价是供应商响应文件的有效组成部分。</w:t>
      </w:r>
      <w:r>
        <w:rPr>
          <w:rFonts w:hint="eastAsia" w:ascii="宋体" w:hAnsi="宋体" w:cs="宋体"/>
          <w:b/>
          <w:color w:val="auto"/>
          <w:sz w:val="24"/>
          <w:highlight w:val="none"/>
        </w:rPr>
        <w:t>符合《政府采购竞争性磋商采购方式管理暂行办法》（财库〔</w:t>
      </w:r>
      <w:r>
        <w:rPr>
          <w:rFonts w:ascii="宋体" w:hAnsi="宋体" w:cs="宋体"/>
          <w:b/>
          <w:color w:val="auto"/>
          <w:sz w:val="24"/>
          <w:highlight w:val="none"/>
        </w:rPr>
        <w:t>2014〕214号）第三条第四项“市场竞争不充分的科研项目，以及需要扶持的科技成果转化项目”和本章第3.7</w:t>
      </w:r>
      <w:r>
        <w:rPr>
          <w:rFonts w:hint="eastAsia" w:ascii="宋体" w:hAnsi="宋体" w:cs="宋体"/>
          <w:b/>
          <w:color w:val="auto"/>
          <w:sz w:val="24"/>
          <w:highlight w:val="none"/>
        </w:rPr>
        <w:t>条情形的，提交最后报价的供应商可以为</w:t>
      </w:r>
      <w:r>
        <w:rPr>
          <w:rFonts w:ascii="宋体" w:hAnsi="宋体" w:cs="宋体"/>
          <w:b/>
          <w:color w:val="auto"/>
          <w:sz w:val="24"/>
          <w:highlight w:val="none"/>
        </w:rPr>
        <w:t>2家。</w:t>
      </w:r>
    </w:p>
    <w:p w14:paraId="2262F8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9D83D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4.5供应商未在规定时间内提交最后报价的，视同退出磋商。</w:t>
      </w:r>
    </w:p>
    <w:p w14:paraId="07BF1F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4.6磋商小组收齐某一分标最后报价后或达到规定时间后统一开启，磋商小组对最后报价进行有效性、完整性和响应程度的审查。</w:t>
      </w:r>
    </w:p>
    <w:p w14:paraId="4A17DA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4.7响应文件最后报价出现前后不一致的，按照本章第2.4条的规定修正。 </w:t>
      </w:r>
    </w:p>
    <w:p w14:paraId="101C5B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4.8经供应商确认修正后的最后报价作为评审及签订合同的依据。</w:t>
      </w:r>
    </w:p>
    <w:p w14:paraId="2AE1F7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4.9供应商出现最后报价按无效响应处理或者响应文件按无效响应处理时，磋商小组应当告知有关供应商。</w:t>
      </w:r>
    </w:p>
    <w:p w14:paraId="39D47D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4.10最后报价结束后，磋商小组不得再与供应商进行任何形式的商谈。</w:t>
      </w:r>
    </w:p>
    <w:p w14:paraId="27EEA06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088C13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5.1评审方法：综合评分法。</w:t>
      </w:r>
    </w:p>
    <w:p w14:paraId="00CAEF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044411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5.3评审时，磋商小组各成员应当独立对每个有效响应的文件进行评价、打分，然后汇总每个供应商每项评分因素的得分。</w:t>
      </w:r>
    </w:p>
    <w:p w14:paraId="774ACB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）政府采购评审中出现下列情形之一的，磋商小组应当启动异常低价投标（响应）审查程序：</w:t>
      </w:r>
    </w:p>
    <w:p w14:paraId="0B5E8E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14:paraId="4580ECD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14:paraId="7E0B29E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）投标（响应）报价低于采购项目最高限价45%的，即投标（响应）报价&lt;采购项目最高限价×45%；</w:t>
      </w:r>
    </w:p>
    <w:p w14:paraId="0D528FE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）磋商小组基于专业判断，认为供应商报价过低，有可能影响产品质量或者不能诚信履约的其他情形。</w:t>
      </w:r>
    </w:p>
    <w:p w14:paraId="336771C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8599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A717AE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2CDE3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425531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）磋商小组按照磋商文件中规定的评审标准计算各供应商的报价得分。项目评审过程中，不得去掉最后报价中的最高报价和最低报价。</w:t>
      </w:r>
    </w:p>
    <w:p w14:paraId="594A0B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）各供应商的得分为磋商小组所有成员的有效评分的算术平均数。</w:t>
      </w:r>
    </w:p>
    <w:p w14:paraId="08A6E4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05A03BF0">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5.5由磋商小组根据综合评分情况，按照评审得分由高到低顺序推荐3名以上成交候选供应商，并编写评</w:t>
      </w:r>
      <w:r>
        <w:rPr>
          <w:rFonts w:hint="eastAsia" w:ascii="宋体" w:hAnsi="宋体" w:cs="宋体"/>
          <w:color w:val="auto"/>
          <w:kern w:val="0"/>
          <w:sz w:val="24"/>
          <w:highlight w:val="none"/>
        </w:rPr>
        <w:t>审报告。</w:t>
      </w:r>
      <w:r>
        <w:rPr>
          <w:rFonts w:hint="eastAsia" w:ascii="宋体" w:hAnsi="宋体" w:cs="宋体"/>
          <w:b/>
          <w:color w:val="auto"/>
          <w:kern w:val="0"/>
          <w:sz w:val="24"/>
          <w:highlight w:val="none"/>
        </w:rPr>
        <w:t>符合本章第</w:t>
      </w:r>
      <w:r>
        <w:rPr>
          <w:rFonts w:ascii="宋体" w:hAnsi="宋体" w:cs="宋体"/>
          <w:b/>
          <w:color w:val="auto"/>
          <w:sz w:val="24"/>
          <w:highlight w:val="none"/>
        </w:rPr>
        <w:t>2.7、3.7</w:t>
      </w:r>
      <w:r>
        <w:rPr>
          <w:rFonts w:hint="eastAsia" w:ascii="宋体" w:hAnsi="宋体" w:cs="宋体"/>
          <w:b/>
          <w:color w:val="auto"/>
          <w:sz w:val="24"/>
          <w:highlight w:val="none"/>
        </w:rPr>
        <w:t>、</w:t>
      </w:r>
      <w:r>
        <w:rPr>
          <w:rFonts w:ascii="宋体" w:hAnsi="宋体" w:cs="宋体"/>
          <w:b/>
          <w:color w:val="auto"/>
          <w:sz w:val="24"/>
          <w:highlight w:val="none"/>
        </w:rPr>
        <w:t>4.3</w:t>
      </w:r>
      <w:r>
        <w:rPr>
          <w:rFonts w:hint="eastAsia" w:ascii="宋体" w:hAnsi="宋体" w:cs="宋体"/>
          <w:b/>
          <w:color w:val="auto"/>
          <w:kern w:val="0"/>
          <w:sz w:val="24"/>
          <w:highlight w:val="none"/>
        </w:rPr>
        <w:t>条情形的，可以推荐</w:t>
      </w:r>
      <w:r>
        <w:rPr>
          <w:rFonts w:ascii="宋体" w:hAnsi="宋体" w:cs="宋体"/>
          <w:b/>
          <w:color w:val="auto"/>
          <w:kern w:val="0"/>
          <w:sz w:val="24"/>
          <w:highlight w:val="none"/>
        </w:rPr>
        <w:t>2家成交候选供应商。</w:t>
      </w:r>
      <w:r>
        <w:rPr>
          <w:rFonts w:hint="eastAsia" w:ascii="宋体" w:hAnsi="宋体" w:cs="宋体"/>
          <w:color w:val="auto"/>
          <w:kern w:val="0"/>
          <w:sz w:val="24"/>
          <w:highlight w:val="none"/>
        </w:rPr>
        <w:t>评审得分相同的，按照最后报价由低到高的顺序推荐。评审得分且最后报价相同的，</w:t>
      </w:r>
      <w:r>
        <w:rPr>
          <w:rFonts w:hint="eastAsia" w:hAnsi="宋体"/>
          <w:color w:val="auto"/>
          <w:sz w:val="24"/>
          <w:highlight w:val="none"/>
        </w:rPr>
        <w:t>依次按服务评分高的优先、商务评分高的优先的顺序确定成交候选供应商。</w:t>
      </w:r>
    </w:p>
    <w:p w14:paraId="6F280D4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E9315C4">
      <w:pPr>
        <w:spacing w:line="360" w:lineRule="auto"/>
        <w:jc w:val="center"/>
        <w:rPr>
          <w:rFonts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二、评审标准（列出范例，根据项目进行调整修改）</w:t>
      </w:r>
    </w:p>
    <w:p w14:paraId="1BB6F578">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评审依据：磋商小组将以磋商响应文件为评审依据，对供应商的报价、商务</w:t>
      </w:r>
      <w:r>
        <w:rPr>
          <w:rFonts w:hint="eastAsia" w:ascii="宋体" w:hAnsi="宋体" w:cs="宋体"/>
          <w:bCs/>
          <w:color w:val="auto"/>
          <w:sz w:val="24"/>
          <w:highlight w:val="none"/>
        </w:rPr>
        <w:t>、服务要求</w:t>
      </w:r>
      <w:r>
        <w:rPr>
          <w:rFonts w:ascii="宋体" w:hAnsi="宋体" w:cs="宋体"/>
          <w:bCs/>
          <w:color w:val="auto"/>
          <w:sz w:val="24"/>
          <w:highlight w:val="none"/>
        </w:rPr>
        <w:t>等方面内容按百分制打分。（计分方法按四舍五入取至百分位）</w:t>
      </w:r>
    </w:p>
    <w:tbl>
      <w:tblPr>
        <w:tblStyle w:val="2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6606"/>
      </w:tblGrid>
      <w:tr w14:paraId="6F9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742B6EA">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57037D3">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4D1A8D91">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0EB5CD71">
            <w:pPr>
              <w:pStyle w:val="16"/>
              <w:spacing w:line="360" w:lineRule="auto"/>
              <w:jc w:val="center"/>
              <w:rPr>
                <w:rFonts w:hAnsi="宋体" w:cs="宋体"/>
                <w:b/>
                <w:bCs/>
                <w:color w:val="auto"/>
                <w:kern w:val="2"/>
                <w:sz w:val="24"/>
                <w:szCs w:val="24"/>
                <w:highlight w:val="none"/>
              </w:rPr>
            </w:pPr>
            <w:r>
              <w:rPr>
                <w:rFonts w:hint="eastAsia" w:hAnsi="宋体" w:cs="宋体"/>
                <w:b/>
                <w:bCs/>
                <w:color w:val="auto"/>
                <w:kern w:val="2"/>
                <w:sz w:val="24"/>
                <w:szCs w:val="24"/>
                <w:highlight w:val="none"/>
              </w:rPr>
              <w:t>评分标准</w:t>
            </w:r>
          </w:p>
        </w:tc>
      </w:tr>
      <w:tr w14:paraId="3288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5126450">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44C82D01">
            <w:pPr>
              <w:adjustRightInd w:val="0"/>
              <w:spacing w:line="360" w:lineRule="exact"/>
              <w:jc w:val="both"/>
              <w:textAlignment w:val="baseline"/>
              <w:rPr>
                <w:rFonts w:hint="eastAsia" w:ascii="宋体" w:hAnsi="宋体"/>
                <w:b/>
                <w:bCs/>
                <w:color w:val="auto"/>
                <w:sz w:val="24"/>
                <w:highlight w:val="none"/>
              </w:rPr>
            </w:pPr>
            <w:r>
              <w:rPr>
                <w:rFonts w:hint="eastAsia" w:ascii="宋体" w:hAnsi="宋体"/>
                <w:b/>
                <w:bCs/>
                <w:color w:val="auto"/>
                <w:sz w:val="24"/>
                <w:highlight w:val="none"/>
              </w:rPr>
              <w:t>价格分</w:t>
            </w:r>
          </w:p>
          <w:p w14:paraId="66B66445">
            <w:pPr>
              <w:adjustRightInd w:val="0"/>
              <w:spacing w:line="360" w:lineRule="exact"/>
              <w:jc w:val="both"/>
              <w:textAlignment w:val="baseline"/>
              <w:rPr>
                <w:rFonts w:ascii="宋体" w:hAnsi="宋体" w:cs="宋体"/>
                <w:bCs/>
                <w:color w:val="auto"/>
                <w:sz w:val="24"/>
                <w:highlight w:val="none"/>
              </w:rPr>
            </w:pPr>
            <w:r>
              <w:rPr>
                <w:rFonts w:hint="eastAsia" w:ascii="宋体" w:hAnsi="宋体"/>
                <w:b/>
                <w:bCs/>
                <w:color w:val="auto"/>
                <w:sz w:val="24"/>
                <w:highlight w:val="none"/>
              </w:rPr>
              <w:t>（满分</w:t>
            </w:r>
            <w:r>
              <w:rPr>
                <w:rFonts w:hint="eastAsia" w:ascii="宋体" w:hAnsi="宋体"/>
                <w:b/>
                <w:bCs/>
                <w:color w:val="auto"/>
                <w:sz w:val="24"/>
                <w:highlight w:val="none"/>
                <w:u w:val="single"/>
                <w:lang w:val="en-US" w:eastAsia="zh-CN"/>
              </w:rPr>
              <w:t>20</w:t>
            </w:r>
            <w:r>
              <w:rPr>
                <w:rFonts w:hint="eastAsia" w:ascii="宋体" w:hAnsi="宋体"/>
                <w:b/>
                <w:bCs/>
                <w:color w:val="auto"/>
                <w:sz w:val="24"/>
                <w:highlight w:val="none"/>
              </w:rPr>
              <w:t>分）</w:t>
            </w:r>
          </w:p>
        </w:tc>
        <w:tc>
          <w:tcPr>
            <w:tcW w:w="992" w:type="dxa"/>
            <w:tcBorders>
              <w:top w:val="single" w:color="auto" w:sz="4" w:space="0"/>
              <w:left w:val="single" w:color="auto" w:sz="4" w:space="0"/>
              <w:bottom w:val="single" w:color="auto" w:sz="4" w:space="0"/>
              <w:right w:val="single" w:color="auto" w:sz="4" w:space="0"/>
            </w:tcBorders>
            <w:vAlign w:val="center"/>
          </w:tcPr>
          <w:p w14:paraId="7E318FD7">
            <w:pPr>
              <w:adjustRightInd w:val="0"/>
              <w:spacing w:line="360" w:lineRule="auto"/>
              <w:jc w:val="center"/>
              <w:textAlignment w:val="baseline"/>
              <w:rPr>
                <w:rFonts w:ascii="宋体" w:hAnsi="宋体" w:cs="宋体"/>
                <w:bCs/>
                <w:color w:val="auto"/>
                <w:sz w:val="24"/>
                <w:highlight w:val="none"/>
              </w:rPr>
            </w:pPr>
            <w:r>
              <w:rPr>
                <w:rFonts w:hint="eastAsia" w:ascii="宋体" w:hAnsi="宋体"/>
                <w:b/>
                <w:bCs/>
                <w:color w:val="auto"/>
                <w:sz w:val="24"/>
                <w:highlight w:val="none"/>
              </w:rPr>
              <w:t>报价</w:t>
            </w:r>
            <w:r>
              <w:rPr>
                <w:rFonts w:hint="eastAsia" w:ascii="宋体" w:hAnsi="宋体"/>
                <w:b/>
                <w:bCs/>
                <w:color w:val="auto"/>
                <w:sz w:val="24"/>
                <w:highlight w:val="none"/>
                <w:lang w:eastAsia="zh-CN"/>
              </w:rPr>
              <w:t>分</w:t>
            </w:r>
            <w:r>
              <w:rPr>
                <w:rFonts w:hint="eastAsia" w:ascii="宋体" w:hAnsi="宋体"/>
                <w:b/>
                <w:bCs/>
                <w:color w:val="auto"/>
                <w:sz w:val="24"/>
                <w:highlight w:val="none"/>
              </w:rPr>
              <w:t>（</w:t>
            </w:r>
            <w:r>
              <w:rPr>
                <w:rFonts w:ascii="宋体" w:hAnsi="宋体"/>
                <w:b/>
                <w:bCs/>
                <w:color w:val="auto"/>
                <w:sz w:val="24"/>
                <w:highlight w:val="none"/>
              </w:rPr>
              <w:t>20</w:t>
            </w:r>
            <w:r>
              <w:rPr>
                <w:rFonts w:hint="eastAsia" w:ascii="宋体" w:hAnsi="宋体"/>
                <w:b/>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7ED841B6">
            <w:pPr>
              <w:spacing w:line="360" w:lineRule="auto"/>
              <w:rPr>
                <w:rFonts w:ascii="宋体" w:hAnsi="宋体" w:cs="宋体"/>
                <w:bCs/>
                <w:color w:val="auto"/>
                <w:sz w:val="24"/>
                <w:highlight w:val="none"/>
              </w:rPr>
            </w:pPr>
            <w:r>
              <w:rPr>
                <w:rFonts w:hint="eastAsia" w:ascii="宋体" w:hAnsi="宋体" w:cs="宋体"/>
                <w:bCs/>
                <w:color w:val="auto"/>
                <w:sz w:val="24"/>
                <w:highlight w:val="none"/>
              </w:rPr>
              <w:t>（1）评标报价为投标人的投标报价进行政策性扣除后的价格，评标报价只是作为评标时使用。最终中标人的中标金额等于投标报价。</w:t>
            </w:r>
          </w:p>
          <w:p w14:paraId="5822BB1E">
            <w:pPr>
              <w:spacing w:line="360" w:lineRule="auto"/>
              <w:rPr>
                <w:rFonts w:ascii="宋体" w:hAnsi="宋体" w:cs="宋体"/>
                <w:bCs/>
                <w:color w:val="auto"/>
                <w:sz w:val="24"/>
                <w:highlight w:val="none"/>
              </w:rPr>
            </w:pPr>
            <w:r>
              <w:rPr>
                <w:rFonts w:hint="eastAsia" w:ascii="宋体" w:hAnsi="宋体" w:cs="宋体"/>
                <w:bCs/>
                <w:color w:val="auto"/>
                <w:sz w:val="24"/>
                <w:highlight w:val="none"/>
              </w:rPr>
              <w:t>（2）政策性扣除计算方法。</w:t>
            </w:r>
          </w:p>
          <w:p w14:paraId="00585D3D">
            <w:pPr>
              <w:spacing w:line="360" w:lineRule="auto"/>
              <w:rPr>
                <w:rFonts w:ascii="宋体" w:hAnsi="宋体" w:cs="宋体"/>
                <w:bCs/>
                <w:color w:val="auto"/>
                <w:sz w:val="24"/>
                <w:highlight w:val="none"/>
              </w:rPr>
            </w:pPr>
            <w:r>
              <w:rPr>
                <w:rFonts w:hint="eastAsia" w:ascii="宋体" w:hAnsi="宋体" w:cs="宋体"/>
                <w:bCs/>
                <w:color w:val="auto"/>
                <w:sz w:val="24"/>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范围为10%-20%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6613BE38">
            <w:pPr>
              <w:spacing w:line="360" w:lineRule="auto"/>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FDC45BA">
            <w:pPr>
              <w:spacing w:line="360" w:lineRule="auto"/>
              <w:rPr>
                <w:rFonts w:ascii="宋体" w:hAnsi="宋体" w:cs="宋体"/>
                <w:bCs/>
                <w:color w:val="auto"/>
                <w:sz w:val="24"/>
                <w:highlight w:val="none"/>
              </w:rPr>
            </w:pPr>
            <w:r>
              <w:rPr>
                <w:rFonts w:hint="eastAsia" w:ascii="宋体" w:hAnsi="宋体" w:cs="宋体"/>
                <w:bCs/>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5C77C52">
            <w:pPr>
              <w:spacing w:line="360" w:lineRule="auto"/>
              <w:rPr>
                <w:rFonts w:ascii="宋体" w:hAnsi="宋体" w:cs="宋体"/>
                <w:bCs/>
                <w:color w:val="auto"/>
                <w:sz w:val="24"/>
                <w:highlight w:val="none"/>
              </w:rPr>
            </w:pPr>
            <w:r>
              <w:rPr>
                <w:rFonts w:hint="eastAsia" w:ascii="宋体" w:hAnsi="宋体" w:cs="宋体"/>
                <w:bCs/>
                <w:color w:val="auto"/>
                <w:sz w:val="24"/>
                <w:highlight w:val="none"/>
              </w:rPr>
              <w:t>（5）满足招标文件要求且评标报价最低的评标报价为评标基准价，其价格分为满分。</w:t>
            </w:r>
          </w:p>
          <w:p w14:paraId="01D8B891">
            <w:pPr>
              <w:spacing w:line="360" w:lineRule="auto"/>
              <w:rPr>
                <w:rFonts w:ascii="宋体" w:hAnsi="宋体" w:cs="宋体"/>
                <w:bCs/>
                <w:color w:val="auto"/>
                <w:sz w:val="24"/>
                <w:highlight w:val="none"/>
              </w:rPr>
            </w:pPr>
            <w:r>
              <w:rPr>
                <w:rFonts w:hint="eastAsia" w:ascii="宋体" w:hAnsi="宋体" w:cs="宋体"/>
                <w:bCs/>
                <w:color w:val="auto"/>
                <w:sz w:val="24"/>
                <w:highlight w:val="none"/>
              </w:rPr>
              <w:t>（6）价格分计算公式：</w:t>
            </w:r>
          </w:p>
          <w:p w14:paraId="1CF60242">
            <w:pPr>
              <w:spacing w:line="360" w:lineRule="auto"/>
              <w:rPr>
                <w:rFonts w:ascii="宋体" w:hAnsi="宋体" w:cs="宋体"/>
                <w:bCs/>
                <w:color w:val="auto"/>
                <w:sz w:val="24"/>
                <w:highlight w:val="none"/>
              </w:rPr>
            </w:pPr>
            <w:r>
              <w:rPr>
                <w:rFonts w:hint="eastAsia" w:ascii="宋体" w:hAnsi="宋体" w:cs="宋体"/>
                <w:bCs/>
                <w:color w:val="auto"/>
                <w:sz w:val="24"/>
                <w:highlight w:val="none"/>
              </w:rPr>
              <w:t>价格分=（评标基准价／评标报价）×</w:t>
            </w:r>
            <w:r>
              <w:rPr>
                <w:rFonts w:hint="eastAsia" w:ascii="宋体" w:hAnsi="宋体" w:cs="宋体"/>
                <w:bCs/>
                <w:color w:val="auto"/>
                <w:sz w:val="24"/>
                <w:highlight w:val="none"/>
                <w:lang w:val="en-US" w:eastAsia="zh-CN"/>
              </w:rPr>
              <w:t>2</w:t>
            </w:r>
            <w:r>
              <w:rPr>
                <w:rFonts w:ascii="宋体" w:hAnsi="宋体" w:cs="宋体"/>
                <w:bCs/>
                <w:color w:val="auto"/>
                <w:sz w:val="24"/>
                <w:highlight w:val="none"/>
              </w:rPr>
              <w:t>0</w:t>
            </w:r>
            <w:r>
              <w:rPr>
                <w:rFonts w:hint="eastAsia" w:ascii="宋体" w:hAnsi="宋体" w:cs="宋体"/>
                <w:bCs/>
                <w:color w:val="auto"/>
                <w:sz w:val="24"/>
                <w:highlight w:val="none"/>
              </w:rPr>
              <w:t>分</w:t>
            </w:r>
          </w:p>
        </w:tc>
      </w:tr>
      <w:tr w14:paraId="5247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0AAFF686">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2</w:t>
            </w:r>
          </w:p>
        </w:tc>
        <w:tc>
          <w:tcPr>
            <w:tcW w:w="1418" w:type="dxa"/>
            <w:vMerge w:val="restart"/>
            <w:tcBorders>
              <w:top w:val="single" w:color="auto" w:sz="4" w:space="0"/>
              <w:left w:val="single" w:color="auto" w:sz="4" w:space="0"/>
              <w:right w:val="single" w:color="auto" w:sz="4" w:space="0"/>
            </w:tcBorders>
            <w:vAlign w:val="center"/>
          </w:tcPr>
          <w:p w14:paraId="3C841EE7">
            <w:pPr>
              <w:adjustRightInd w:val="0"/>
              <w:spacing w:line="360" w:lineRule="auto"/>
              <w:jc w:val="center"/>
              <w:textAlignment w:val="baseline"/>
              <w:rPr>
                <w:rFonts w:ascii="宋体" w:hAnsi="宋体" w:cs="宋体"/>
                <w:bCs/>
                <w:color w:val="auto"/>
                <w:sz w:val="24"/>
                <w:highlight w:val="none"/>
              </w:rPr>
            </w:pPr>
            <w:bookmarkStart w:id="41" w:name="OLE_LINK40"/>
            <w:r>
              <w:rPr>
                <w:rFonts w:hint="eastAsia" w:ascii="宋体" w:hAnsi="宋体" w:cs="宋体"/>
                <w:bCs/>
                <w:color w:val="auto"/>
                <w:sz w:val="24"/>
                <w:highlight w:val="none"/>
              </w:rPr>
              <w:t>技术分</w:t>
            </w:r>
          </w:p>
          <w:p w14:paraId="587EA8C3">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（满分</w:t>
            </w:r>
            <w:r>
              <w:rPr>
                <w:rFonts w:hint="eastAsia" w:ascii="宋体" w:hAnsi="宋体" w:cs="宋体"/>
                <w:bCs/>
                <w:color w:val="auto"/>
                <w:sz w:val="24"/>
                <w:highlight w:val="none"/>
                <w:lang w:val="en-US" w:eastAsia="zh-CN"/>
              </w:rPr>
              <w:t>50</w:t>
            </w:r>
            <w:r>
              <w:rPr>
                <w:rFonts w:hint="eastAsia" w:ascii="宋体" w:hAnsi="宋体" w:cs="宋体"/>
                <w:bCs/>
                <w:color w:val="auto"/>
                <w:sz w:val="24"/>
                <w:highlight w:val="none"/>
              </w:rPr>
              <w:t>分）</w:t>
            </w:r>
            <w:bookmarkEnd w:id="41"/>
          </w:p>
        </w:tc>
        <w:tc>
          <w:tcPr>
            <w:tcW w:w="992" w:type="dxa"/>
            <w:tcBorders>
              <w:top w:val="single" w:color="auto" w:sz="4" w:space="0"/>
              <w:left w:val="single" w:color="auto" w:sz="4" w:space="0"/>
              <w:bottom w:val="single" w:color="auto" w:sz="4" w:space="0"/>
              <w:right w:val="single" w:color="auto" w:sz="4" w:space="0"/>
            </w:tcBorders>
            <w:vAlign w:val="center"/>
          </w:tcPr>
          <w:p w14:paraId="29550B02">
            <w:pPr>
              <w:adjustRightInd w:val="0"/>
              <w:spacing w:line="360" w:lineRule="auto"/>
              <w:jc w:val="center"/>
              <w:textAlignment w:val="baseline"/>
              <w:rPr>
                <w:rFonts w:ascii="宋体" w:hAnsi="宋体" w:cs="宋体"/>
                <w:bCs/>
                <w:color w:val="auto"/>
                <w:sz w:val="24"/>
                <w:highlight w:val="none"/>
              </w:rPr>
            </w:pPr>
            <w:bookmarkStart w:id="42" w:name="OLE_LINK18"/>
            <w:bookmarkStart w:id="43" w:name="OLE_LINK35"/>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对</w:t>
            </w:r>
            <w:r>
              <w:rPr>
                <w:rFonts w:hint="eastAsia" w:ascii="宋体" w:hAnsi="宋体" w:cs="宋体"/>
                <w:bCs/>
                <w:color w:val="auto"/>
                <w:sz w:val="24"/>
                <w:highlight w:val="none"/>
                <w:lang w:eastAsia="zh-CN"/>
              </w:rPr>
              <w:t>本</w:t>
            </w:r>
            <w:r>
              <w:rPr>
                <w:rFonts w:hint="eastAsia" w:ascii="宋体" w:hAnsi="宋体" w:cs="宋体"/>
                <w:bCs/>
                <w:color w:val="auto"/>
                <w:sz w:val="24"/>
                <w:highlight w:val="none"/>
              </w:rPr>
              <w:t>项目的理解</w:t>
            </w:r>
            <w:bookmarkEnd w:id="42"/>
            <w:bookmarkEnd w:id="43"/>
            <w:r>
              <w:rPr>
                <w:rFonts w:hint="eastAsia" w:ascii="宋体" w:hAnsi="宋体" w:cs="宋体"/>
                <w:bCs/>
                <w:color w:val="auto"/>
                <w:sz w:val="24"/>
                <w:highlight w:val="none"/>
              </w:rPr>
              <w:t>（</w:t>
            </w:r>
            <w:r>
              <w:rPr>
                <w:rFonts w:ascii="宋体" w:hAnsi="宋体" w:cs="宋体"/>
                <w:bCs/>
                <w:color w:val="auto"/>
                <w:sz w:val="24"/>
                <w:highlight w:val="none"/>
              </w:rPr>
              <w:t>10</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C86D9F3">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一档（</w:t>
            </w:r>
            <w:r>
              <w:rPr>
                <w:rFonts w:hint="eastAsia" w:hAnsi="宋体" w:cs="宋体"/>
                <w:bCs/>
                <w:color w:val="auto"/>
                <w:kern w:val="2"/>
                <w:sz w:val="24"/>
                <w:szCs w:val="24"/>
                <w:highlight w:val="none"/>
                <w:lang w:val="en-US" w:eastAsia="zh-CN"/>
              </w:rPr>
              <w:t>4</w:t>
            </w:r>
            <w:r>
              <w:rPr>
                <w:rFonts w:hint="eastAsia" w:hAnsi="宋体" w:cs="宋体"/>
                <w:bCs/>
                <w:color w:val="auto"/>
                <w:kern w:val="2"/>
                <w:sz w:val="24"/>
                <w:szCs w:val="24"/>
                <w:highlight w:val="none"/>
                <w:lang w:eastAsia="zh-CN"/>
              </w:rPr>
              <w:t>分）：对项目背景和基本情况了解不清，能够识别研究要求和目标，但缺乏深度和细节。</w:t>
            </w:r>
          </w:p>
          <w:p w14:paraId="058653F7">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二档（</w:t>
            </w:r>
            <w:r>
              <w:rPr>
                <w:rFonts w:hint="eastAsia" w:hAnsi="宋体" w:cs="宋体"/>
                <w:bCs/>
                <w:color w:val="auto"/>
                <w:kern w:val="2"/>
                <w:sz w:val="24"/>
                <w:szCs w:val="24"/>
                <w:highlight w:val="none"/>
                <w:lang w:val="en-US" w:eastAsia="zh-CN"/>
              </w:rPr>
              <w:t>6</w:t>
            </w:r>
            <w:r>
              <w:rPr>
                <w:rFonts w:hint="eastAsia" w:hAnsi="宋体" w:cs="宋体"/>
                <w:bCs/>
                <w:color w:val="auto"/>
                <w:kern w:val="2"/>
                <w:sz w:val="24"/>
                <w:szCs w:val="24"/>
                <w:highlight w:val="none"/>
                <w:lang w:eastAsia="zh-CN"/>
              </w:rPr>
              <w:t>分）：对项目背景和基本情况有基本了解，能够清晰阐述研究要求和目标，研究方法合理但缺乏创新。</w:t>
            </w:r>
          </w:p>
          <w:p w14:paraId="2624AAF6">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三档（</w:t>
            </w:r>
            <w:r>
              <w:rPr>
                <w:rFonts w:hint="eastAsia" w:hAnsi="宋体" w:cs="宋体"/>
                <w:bCs/>
                <w:color w:val="auto"/>
                <w:kern w:val="2"/>
                <w:sz w:val="24"/>
                <w:szCs w:val="24"/>
                <w:highlight w:val="none"/>
                <w:lang w:val="en-US" w:eastAsia="zh-CN"/>
              </w:rPr>
              <w:t>8</w:t>
            </w:r>
            <w:r>
              <w:rPr>
                <w:rFonts w:hint="eastAsia" w:hAnsi="宋体" w:cs="宋体"/>
                <w:bCs/>
                <w:color w:val="auto"/>
                <w:kern w:val="2"/>
                <w:sz w:val="24"/>
                <w:szCs w:val="24"/>
                <w:highlight w:val="none"/>
                <w:lang w:eastAsia="zh-CN"/>
              </w:rPr>
              <w:t>分）：对项目背景和基本情况有较为全面的了解，能够准确阐述研究要求和目标，研究方法科学且具有一定创新性，对项目重点难点分析比较合理。</w:t>
            </w:r>
          </w:p>
          <w:p w14:paraId="15C777FA">
            <w:pPr>
              <w:pStyle w:val="16"/>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lang w:eastAsia="zh-CN"/>
              </w:rPr>
              <w:t>四档（10分）：对项目背景和基本情况有全面深入的了解，能够精确阐述研究要求和目标，研究方法科学且具有高度创新性，对项目重点难点分析合理、清晰，解决措施可操作性强。</w:t>
            </w:r>
          </w:p>
          <w:p w14:paraId="24007F94">
            <w:pPr>
              <w:pStyle w:val="16"/>
              <w:spacing w:line="360" w:lineRule="auto"/>
              <w:rPr>
                <w:rFonts w:hAnsi="宋体" w:cs="宋体"/>
                <w:bCs/>
                <w:color w:val="auto"/>
                <w:kern w:val="2"/>
                <w:sz w:val="24"/>
                <w:szCs w:val="24"/>
                <w:highlight w:val="none"/>
              </w:rPr>
            </w:pPr>
            <w:r>
              <w:rPr>
                <w:rFonts w:hint="eastAsia" w:hAnsi="宋体" w:cs="宋体"/>
                <w:bCs/>
                <w:color w:val="auto"/>
                <w:kern w:val="2"/>
                <w:sz w:val="24"/>
                <w:szCs w:val="24"/>
                <w:highlight w:val="none"/>
              </w:rPr>
              <w:t>注：未提供评审所需内容或未达到一档标准要求的，得0分。</w:t>
            </w:r>
          </w:p>
        </w:tc>
      </w:tr>
      <w:tr w14:paraId="1A3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3E95F99A">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1A95584C">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E691CCB">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项目技术思路及对策措施</w:t>
            </w: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362AABC">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一档（</w:t>
            </w:r>
            <w:r>
              <w:rPr>
                <w:rFonts w:hint="eastAsia" w:hAnsi="宋体" w:cs="宋体"/>
                <w:bCs/>
                <w:color w:val="auto"/>
                <w:kern w:val="2"/>
                <w:sz w:val="24"/>
                <w:szCs w:val="24"/>
                <w:highlight w:val="none"/>
                <w:lang w:val="en-US" w:eastAsia="zh-CN"/>
              </w:rPr>
              <w:t>6</w:t>
            </w:r>
            <w:r>
              <w:rPr>
                <w:rFonts w:hint="eastAsia" w:hAnsi="宋体" w:cs="宋体"/>
                <w:bCs/>
                <w:color w:val="auto"/>
                <w:kern w:val="2"/>
                <w:sz w:val="24"/>
                <w:szCs w:val="24"/>
                <w:highlight w:val="none"/>
                <w:lang w:eastAsia="zh-CN"/>
              </w:rPr>
              <w:t>分）：对本项目的特点、关键技术问题有简略分析。</w:t>
            </w:r>
            <w:r>
              <w:rPr>
                <w:rFonts w:hint="eastAsia" w:hAnsi="宋体" w:cs="宋体"/>
                <w:bCs/>
                <w:color w:val="auto"/>
                <w:kern w:val="2"/>
                <w:sz w:val="24"/>
                <w:szCs w:val="24"/>
                <w:highlight w:val="none"/>
              </w:rPr>
              <w:t>技术路线模糊</w:t>
            </w:r>
            <w:r>
              <w:rPr>
                <w:rFonts w:hint="eastAsia" w:hAnsi="宋体" w:cs="宋体"/>
                <w:bCs/>
                <w:color w:val="auto"/>
                <w:kern w:val="2"/>
                <w:sz w:val="24"/>
                <w:szCs w:val="24"/>
                <w:highlight w:val="none"/>
                <w:lang w:eastAsia="zh-CN"/>
              </w:rPr>
              <w:t>，工作规划无序，工作流程不清晰。未能识别关键问题，或对问题影响毫无认识。</w:t>
            </w:r>
          </w:p>
          <w:p w14:paraId="61C7A8B3">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二档（</w:t>
            </w:r>
            <w:r>
              <w:rPr>
                <w:rFonts w:hint="eastAsia" w:hAnsi="宋体" w:cs="宋体"/>
                <w:bCs/>
                <w:color w:val="auto"/>
                <w:kern w:val="2"/>
                <w:sz w:val="24"/>
                <w:szCs w:val="24"/>
                <w:highlight w:val="none"/>
                <w:lang w:val="en-US" w:eastAsia="zh-CN"/>
              </w:rPr>
              <w:t>9</w:t>
            </w:r>
            <w:r>
              <w:rPr>
                <w:rFonts w:hint="eastAsia" w:hAnsi="宋体" w:cs="宋体"/>
                <w:bCs/>
                <w:color w:val="auto"/>
                <w:kern w:val="2"/>
                <w:sz w:val="24"/>
                <w:szCs w:val="24"/>
                <w:highlight w:val="none"/>
                <w:lang w:eastAsia="zh-CN"/>
              </w:rPr>
              <w:t>分）：对本项目的特点有基本研究，对项目中关键技术问题有简单分析，</w:t>
            </w:r>
            <w:r>
              <w:rPr>
                <w:rFonts w:hint="eastAsia" w:hAnsi="宋体" w:cs="宋体"/>
                <w:bCs/>
                <w:color w:val="auto"/>
                <w:kern w:val="2"/>
                <w:sz w:val="24"/>
                <w:szCs w:val="24"/>
                <w:highlight w:val="none"/>
              </w:rPr>
              <w:t>技术路线明确</w:t>
            </w:r>
            <w:r>
              <w:rPr>
                <w:rFonts w:hint="eastAsia" w:hAnsi="宋体" w:cs="宋体"/>
                <w:bCs/>
                <w:color w:val="auto"/>
                <w:kern w:val="2"/>
                <w:sz w:val="24"/>
                <w:szCs w:val="24"/>
                <w:highlight w:val="none"/>
                <w:lang w:eastAsia="zh-CN"/>
              </w:rPr>
              <w:t>，有简单的对策措施，工作规划基本合理，工作流程较清晰，但对潜在干扰因素考虑不充分。能识别出部分关键问题，对问题影响有一定认识，但分析不够全面或深入。</w:t>
            </w:r>
          </w:p>
          <w:p w14:paraId="7C8862D2">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三档（1</w:t>
            </w:r>
            <w:r>
              <w:rPr>
                <w:rFonts w:hint="eastAsia" w:hAnsi="宋体" w:cs="宋体"/>
                <w:bCs/>
                <w:color w:val="auto"/>
                <w:kern w:val="2"/>
                <w:sz w:val="24"/>
                <w:szCs w:val="24"/>
                <w:highlight w:val="none"/>
                <w:lang w:val="en-US" w:eastAsia="zh-CN"/>
              </w:rPr>
              <w:t>2</w:t>
            </w:r>
            <w:r>
              <w:rPr>
                <w:rFonts w:hint="eastAsia" w:hAnsi="宋体" w:cs="宋体"/>
                <w:bCs/>
                <w:color w:val="auto"/>
                <w:kern w:val="2"/>
                <w:sz w:val="24"/>
                <w:szCs w:val="24"/>
                <w:highlight w:val="none"/>
                <w:lang w:eastAsia="zh-CN"/>
              </w:rPr>
              <w:t>分）：对本项目的特点研究、掌握较为全面，关键技术问题分析较为深入，论证具备一定说服力，</w:t>
            </w:r>
            <w:r>
              <w:rPr>
                <w:rFonts w:hint="eastAsia" w:hAnsi="宋体" w:cs="宋体"/>
                <w:bCs/>
                <w:color w:val="auto"/>
                <w:kern w:val="2"/>
                <w:sz w:val="24"/>
                <w:szCs w:val="24"/>
                <w:highlight w:val="none"/>
              </w:rPr>
              <w:t>技术路线科学合理</w:t>
            </w:r>
            <w:r>
              <w:rPr>
                <w:rFonts w:hint="eastAsia" w:hAnsi="宋体" w:cs="宋体"/>
                <w:bCs/>
                <w:color w:val="auto"/>
                <w:kern w:val="2"/>
                <w:sz w:val="24"/>
                <w:szCs w:val="24"/>
                <w:highlight w:val="none"/>
                <w:lang w:eastAsia="zh-CN"/>
              </w:rPr>
              <w:t>，对策措施针对性尚可，能阐述项目所属行业特点对评估工作的特殊要求，总体思路规划能具体分析项目合法性、合理性和可控性，应对措施有效。</w:t>
            </w:r>
          </w:p>
          <w:p w14:paraId="44141C12">
            <w:pPr>
              <w:pStyle w:val="16"/>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lang w:eastAsia="zh-CN"/>
              </w:rPr>
              <w:t>四档（15分）：对本项目的特点研究、掌握系统全面且透彻深入，关键技术问题分析科学严谨、论证充分，</w:t>
            </w:r>
            <w:r>
              <w:rPr>
                <w:rFonts w:hint="eastAsia" w:hAnsi="宋体" w:cs="宋体"/>
                <w:bCs/>
                <w:color w:val="auto"/>
                <w:kern w:val="2"/>
                <w:sz w:val="24"/>
                <w:szCs w:val="24"/>
                <w:highlight w:val="none"/>
              </w:rPr>
              <w:t>技术路线理念突出、科学合理</w:t>
            </w:r>
            <w:r>
              <w:rPr>
                <w:rFonts w:hint="eastAsia" w:hAnsi="宋体" w:cs="宋体"/>
                <w:bCs/>
                <w:color w:val="auto"/>
                <w:kern w:val="2"/>
                <w:sz w:val="24"/>
                <w:szCs w:val="24"/>
                <w:highlight w:val="none"/>
                <w:lang w:eastAsia="zh-CN"/>
              </w:rPr>
              <w:t>，对策措施精准、针对性强，切实合理可行，总体思路规划科学合理且极具前瞻性，工作流程设计紧密围绕项目目标，各环节衔接流畅。并能够精准识别各类关键问题，影响分析深入透彻，应对措施针对性强且有效。</w:t>
            </w:r>
          </w:p>
          <w:p w14:paraId="22924864">
            <w:pPr>
              <w:pStyle w:val="16"/>
              <w:spacing w:line="360" w:lineRule="auto"/>
              <w:rPr>
                <w:rFonts w:hAnsi="宋体" w:cs="宋体"/>
                <w:bCs/>
                <w:color w:val="auto"/>
                <w:kern w:val="2"/>
                <w:sz w:val="24"/>
                <w:szCs w:val="24"/>
                <w:highlight w:val="none"/>
              </w:rPr>
            </w:pPr>
            <w:r>
              <w:rPr>
                <w:rFonts w:hint="eastAsia" w:hAnsi="宋体" w:cs="宋体"/>
                <w:bCs/>
                <w:color w:val="auto"/>
                <w:kern w:val="2"/>
                <w:sz w:val="24"/>
                <w:szCs w:val="24"/>
                <w:highlight w:val="none"/>
              </w:rPr>
              <w:t>注：未提供评审所需内容或未达到一档标准要求的，得0分。</w:t>
            </w:r>
          </w:p>
        </w:tc>
      </w:tr>
      <w:tr w14:paraId="2D93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2BE61195">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343D4E15">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EE94403">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eastAsia="zh-CN"/>
              </w:rPr>
              <w:t>工作方案</w:t>
            </w:r>
            <w:r>
              <w:rPr>
                <w:rFonts w:hint="eastAsia" w:ascii="宋体" w:hAnsi="宋体" w:cs="宋体"/>
                <w:bCs/>
                <w:color w:val="auto"/>
                <w:sz w:val="24"/>
                <w:highlight w:val="none"/>
              </w:rPr>
              <w:t>及进度计划（1</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57EFEB1">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rPr>
              <w:t>一档（</w:t>
            </w:r>
            <w:r>
              <w:rPr>
                <w:rFonts w:hint="eastAsia" w:hAnsi="宋体" w:cs="宋体"/>
                <w:bCs/>
                <w:color w:val="auto"/>
                <w:kern w:val="2"/>
                <w:sz w:val="24"/>
                <w:szCs w:val="24"/>
                <w:highlight w:val="none"/>
                <w:lang w:val="en-US" w:eastAsia="zh-CN"/>
              </w:rPr>
              <w:t>6</w:t>
            </w:r>
            <w:r>
              <w:rPr>
                <w:rFonts w:hint="eastAsia" w:hAnsi="宋体" w:cs="宋体"/>
                <w:bCs/>
                <w:color w:val="auto"/>
                <w:kern w:val="2"/>
                <w:sz w:val="24"/>
                <w:szCs w:val="24"/>
                <w:highlight w:val="none"/>
              </w:rPr>
              <w:t>分）：工作方案基本可行；技术路线模糊。</w:t>
            </w:r>
            <w:r>
              <w:rPr>
                <w:rFonts w:hAnsi="宋体" w:cs="宋体"/>
                <w:bCs/>
                <w:color w:val="auto"/>
                <w:kern w:val="2"/>
                <w:sz w:val="24"/>
                <w:szCs w:val="24"/>
                <w:highlight w:val="none"/>
              </w:rPr>
              <w:t>进度计划</w:t>
            </w:r>
            <w:r>
              <w:rPr>
                <w:rFonts w:hint="eastAsia" w:hAnsi="宋体" w:cs="宋体"/>
                <w:bCs/>
                <w:color w:val="auto"/>
                <w:kern w:val="2"/>
                <w:sz w:val="24"/>
                <w:szCs w:val="24"/>
                <w:highlight w:val="none"/>
              </w:rPr>
              <w:t>不完整</w:t>
            </w:r>
            <w:r>
              <w:rPr>
                <w:rFonts w:hAnsi="宋体" w:cs="宋体"/>
                <w:bCs/>
                <w:color w:val="auto"/>
                <w:kern w:val="2"/>
                <w:sz w:val="24"/>
                <w:szCs w:val="24"/>
                <w:highlight w:val="none"/>
              </w:rPr>
              <w:t>，关键阶段和时间节点不明确，缺乏对工作流程的系统梳理，难以据此有效安排和监控工作进度</w:t>
            </w:r>
            <w:r>
              <w:rPr>
                <w:rFonts w:hint="eastAsia" w:hAnsi="宋体" w:cs="宋体"/>
                <w:bCs/>
                <w:color w:val="auto"/>
                <w:kern w:val="2"/>
                <w:sz w:val="24"/>
                <w:szCs w:val="24"/>
                <w:highlight w:val="none"/>
                <w:lang w:eastAsia="zh-CN"/>
              </w:rPr>
              <w:t>。</w:t>
            </w:r>
          </w:p>
          <w:p w14:paraId="282E0B5E">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rPr>
              <w:t>二档（</w:t>
            </w:r>
            <w:r>
              <w:rPr>
                <w:rFonts w:hint="eastAsia" w:hAnsi="宋体" w:cs="宋体"/>
                <w:bCs/>
                <w:color w:val="auto"/>
                <w:kern w:val="2"/>
                <w:sz w:val="24"/>
                <w:szCs w:val="24"/>
                <w:highlight w:val="none"/>
                <w:lang w:val="en-US" w:eastAsia="zh-CN"/>
              </w:rPr>
              <w:t>9</w:t>
            </w:r>
            <w:r>
              <w:rPr>
                <w:rFonts w:hint="eastAsia" w:hAnsi="宋体" w:cs="宋体"/>
                <w:bCs/>
                <w:color w:val="auto"/>
                <w:kern w:val="2"/>
                <w:sz w:val="24"/>
                <w:szCs w:val="24"/>
                <w:highlight w:val="none"/>
              </w:rPr>
              <w:t>分）：</w:t>
            </w:r>
            <w:r>
              <w:rPr>
                <w:rFonts w:hint="eastAsia" w:hAnsi="宋体" w:cs="宋体"/>
                <w:bCs/>
                <w:color w:val="auto"/>
                <w:kern w:val="2"/>
                <w:sz w:val="24"/>
                <w:szCs w:val="24"/>
                <w:highlight w:val="none"/>
                <w:lang w:eastAsia="zh-CN"/>
              </w:rPr>
              <w:t>工作方案基本切合实际、具有一定可行性；技术路线明确。涉及的行业指导性文件基本明确，工作流程简单。</w:t>
            </w:r>
            <w:r>
              <w:rPr>
                <w:rFonts w:hAnsi="宋体" w:cs="宋体"/>
                <w:bCs/>
                <w:color w:val="auto"/>
                <w:kern w:val="2"/>
                <w:sz w:val="24"/>
                <w:szCs w:val="24"/>
                <w:highlight w:val="none"/>
              </w:rPr>
              <w:t>进度计划较为完整，明确了主要阶段和关键节点，但在任务细化或部分环节的衔接上存在一定模糊性，整体可指导工作开展，但执行过程中可能需临时调整</w:t>
            </w:r>
            <w:r>
              <w:rPr>
                <w:rFonts w:hint="eastAsia" w:hAnsi="宋体" w:cs="宋体"/>
                <w:bCs/>
                <w:color w:val="auto"/>
                <w:kern w:val="2"/>
                <w:sz w:val="24"/>
                <w:szCs w:val="24"/>
                <w:highlight w:val="none"/>
                <w:lang w:eastAsia="zh-CN"/>
              </w:rPr>
              <w:t>。</w:t>
            </w:r>
          </w:p>
          <w:p w14:paraId="4170F52D">
            <w:pPr>
              <w:pStyle w:val="16"/>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三档（</w:t>
            </w:r>
            <w:r>
              <w:rPr>
                <w:rFonts w:hint="eastAsia" w:hAnsi="宋体" w:cs="宋体"/>
                <w:bCs/>
                <w:color w:val="auto"/>
                <w:kern w:val="2"/>
                <w:sz w:val="24"/>
                <w:szCs w:val="24"/>
                <w:highlight w:val="none"/>
                <w:lang w:val="en-US" w:eastAsia="zh-CN"/>
              </w:rPr>
              <w:t>12</w:t>
            </w:r>
            <w:r>
              <w:rPr>
                <w:rFonts w:hint="eastAsia" w:hAnsi="宋体" w:cs="宋体"/>
                <w:bCs/>
                <w:color w:val="auto"/>
                <w:kern w:val="2"/>
                <w:sz w:val="24"/>
                <w:szCs w:val="24"/>
                <w:highlight w:val="none"/>
              </w:rPr>
              <w:t>分）：工作方案切合实际、可行性强且内容详细；技术路线科学合理；涉及的行业指导性文件比较明确，工作流程比较规范。</w:t>
            </w:r>
            <w:r>
              <w:rPr>
                <w:rFonts w:hAnsi="宋体" w:cs="宋体"/>
                <w:bCs/>
                <w:color w:val="auto"/>
                <w:kern w:val="2"/>
                <w:sz w:val="24"/>
                <w:szCs w:val="24"/>
                <w:highlight w:val="none"/>
              </w:rPr>
              <w:t>进度计划完整，明确各阶段交付成果及时间节点，且各环节衔接</w:t>
            </w:r>
            <w:r>
              <w:rPr>
                <w:rFonts w:hint="eastAsia" w:hAnsi="宋体" w:cs="宋体"/>
                <w:bCs/>
                <w:color w:val="auto"/>
                <w:kern w:val="2"/>
                <w:sz w:val="24"/>
                <w:szCs w:val="24"/>
                <w:highlight w:val="none"/>
                <w:lang w:eastAsia="zh-CN"/>
              </w:rPr>
              <w:t>较为</w:t>
            </w:r>
            <w:r>
              <w:rPr>
                <w:rFonts w:hAnsi="宋体" w:cs="宋体"/>
                <w:bCs/>
                <w:color w:val="auto"/>
                <w:kern w:val="2"/>
                <w:sz w:val="24"/>
                <w:szCs w:val="24"/>
                <w:highlight w:val="none"/>
              </w:rPr>
              <w:t>紧密、逻辑</w:t>
            </w:r>
            <w:r>
              <w:rPr>
                <w:rFonts w:hint="eastAsia" w:hAnsi="宋体" w:cs="宋体"/>
                <w:bCs/>
                <w:color w:val="auto"/>
                <w:kern w:val="2"/>
                <w:sz w:val="24"/>
                <w:szCs w:val="24"/>
                <w:highlight w:val="none"/>
                <w:lang w:eastAsia="zh-CN"/>
              </w:rPr>
              <w:t>较为</w:t>
            </w:r>
            <w:r>
              <w:rPr>
                <w:rFonts w:hAnsi="宋体" w:cs="宋体"/>
                <w:bCs/>
                <w:color w:val="auto"/>
                <w:kern w:val="2"/>
                <w:sz w:val="24"/>
                <w:szCs w:val="24"/>
                <w:highlight w:val="none"/>
              </w:rPr>
              <w:t>清晰</w:t>
            </w:r>
            <w:r>
              <w:rPr>
                <w:rFonts w:hint="eastAsia" w:hAnsi="宋体" w:cs="宋体"/>
                <w:bCs/>
                <w:color w:val="auto"/>
                <w:kern w:val="2"/>
                <w:sz w:val="24"/>
                <w:szCs w:val="24"/>
                <w:highlight w:val="none"/>
                <w:lang w:eastAsia="zh-CN"/>
              </w:rPr>
              <w:t>。</w:t>
            </w:r>
          </w:p>
          <w:p w14:paraId="4FC04658">
            <w:pPr>
              <w:pStyle w:val="16"/>
              <w:spacing w:line="360" w:lineRule="auto"/>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lang w:eastAsia="zh-CN"/>
              </w:rPr>
              <w:t>四</w:t>
            </w:r>
            <w:r>
              <w:rPr>
                <w:rFonts w:hint="eastAsia" w:hAnsi="宋体" w:cs="宋体"/>
                <w:bCs/>
                <w:color w:val="auto"/>
                <w:kern w:val="2"/>
                <w:sz w:val="24"/>
                <w:szCs w:val="24"/>
                <w:highlight w:val="none"/>
              </w:rPr>
              <w:t>档（1</w:t>
            </w:r>
            <w:r>
              <w:rPr>
                <w:rFonts w:hint="eastAsia" w:hAnsi="宋体" w:cs="宋体"/>
                <w:bCs/>
                <w:color w:val="auto"/>
                <w:kern w:val="2"/>
                <w:sz w:val="24"/>
                <w:szCs w:val="24"/>
                <w:highlight w:val="none"/>
                <w:lang w:val="en-US" w:eastAsia="zh-CN"/>
              </w:rPr>
              <w:t>5</w:t>
            </w:r>
            <w:r>
              <w:rPr>
                <w:rFonts w:hint="eastAsia" w:hAnsi="宋体" w:cs="宋体"/>
                <w:bCs/>
                <w:color w:val="auto"/>
                <w:kern w:val="2"/>
                <w:sz w:val="24"/>
                <w:szCs w:val="24"/>
                <w:highlight w:val="none"/>
              </w:rPr>
              <w:t>分）：</w:t>
            </w:r>
            <w:r>
              <w:rPr>
                <w:rFonts w:hint="eastAsia" w:hAnsi="宋体" w:cs="宋体"/>
                <w:bCs/>
                <w:color w:val="auto"/>
                <w:kern w:val="2"/>
                <w:sz w:val="24"/>
                <w:szCs w:val="24"/>
                <w:highlight w:val="none"/>
                <w:lang w:eastAsia="zh-CN"/>
              </w:rPr>
              <w:t>工作方案切实充分、可行性强、操作性强且内容详细；技术路线理念突出、科学合理。涉及的行业指导性文件十分明确，工作流程非常规范，内容细致、详尽、观点突出，层次条理清晰，切合实际。</w:t>
            </w:r>
            <w:r>
              <w:rPr>
                <w:rFonts w:hAnsi="宋体" w:cs="宋体"/>
                <w:bCs/>
                <w:color w:val="auto"/>
                <w:kern w:val="2"/>
                <w:sz w:val="24"/>
                <w:szCs w:val="24"/>
                <w:highlight w:val="none"/>
              </w:rPr>
              <w:t>进度计划极为详尽，明确各阶段交付成果及时间节点，且各环节衔接紧密、逻辑清晰。</w:t>
            </w:r>
          </w:p>
          <w:p w14:paraId="3A8089DA">
            <w:pPr>
              <w:pStyle w:val="16"/>
              <w:spacing w:line="360" w:lineRule="auto"/>
              <w:rPr>
                <w:rFonts w:hAnsi="宋体" w:cs="宋体"/>
                <w:bCs/>
                <w:color w:val="auto"/>
                <w:kern w:val="2"/>
                <w:sz w:val="24"/>
                <w:szCs w:val="24"/>
                <w:highlight w:val="none"/>
              </w:rPr>
            </w:pPr>
            <w:r>
              <w:rPr>
                <w:rFonts w:hint="eastAsia" w:hAnsi="宋体" w:cs="宋体"/>
                <w:bCs/>
                <w:color w:val="auto"/>
                <w:kern w:val="2"/>
                <w:sz w:val="24"/>
                <w:szCs w:val="24"/>
                <w:highlight w:val="none"/>
              </w:rPr>
              <w:t>注：未提供评审所需内容或未达到一档标准要求的，得0分。</w:t>
            </w:r>
          </w:p>
        </w:tc>
      </w:tr>
      <w:tr w14:paraId="3394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2D23340E">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3A90CA30">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FA969C1">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eastAsia="zh-CN"/>
              </w:rPr>
              <w:t>保障</w:t>
            </w:r>
            <w:r>
              <w:rPr>
                <w:rFonts w:hint="eastAsia" w:ascii="宋体" w:hAnsi="宋体" w:cs="宋体"/>
                <w:bCs/>
                <w:color w:val="auto"/>
                <w:sz w:val="24"/>
                <w:highlight w:val="none"/>
              </w:rPr>
              <w:t>措施</w:t>
            </w:r>
            <w:r>
              <w:rPr>
                <w:rFonts w:ascii="宋体" w:hAnsi="宋体" w:cs="宋体"/>
                <w:bCs/>
                <w:color w:val="auto"/>
                <w:sz w:val="24"/>
                <w:highlight w:val="none"/>
              </w:rPr>
              <w:t>（10分）</w:t>
            </w:r>
          </w:p>
        </w:tc>
        <w:tc>
          <w:tcPr>
            <w:tcW w:w="6606" w:type="dxa"/>
            <w:tcBorders>
              <w:top w:val="single" w:color="auto" w:sz="4" w:space="0"/>
              <w:left w:val="single" w:color="auto" w:sz="4" w:space="0"/>
              <w:bottom w:val="single" w:color="auto" w:sz="4" w:space="0"/>
              <w:right w:val="single" w:color="auto" w:sz="4" w:space="0"/>
            </w:tcBorders>
            <w:vAlign w:val="center"/>
          </w:tcPr>
          <w:p w14:paraId="314EFE30">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一档(4分)：项目组织管理一般；职责分工合理；工作计划合理；质量保障措施但不太完善、内容不太合理。</w:t>
            </w:r>
          </w:p>
          <w:p w14:paraId="12464AAC">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二档（6分)：项目组织管理合理；职责分工合理、清晰；工作计划详细、合理；质量保障措施比较完善、内容较合理；提交的预期成果内容及形式比较完善，较粗略的满足技术规范要求。</w:t>
            </w:r>
          </w:p>
          <w:p w14:paraId="0F351320">
            <w:pPr>
              <w:pStyle w:val="16"/>
              <w:spacing w:line="360" w:lineRule="auto"/>
              <w:ind w:firstLine="480" w:firstLineChars="200"/>
              <w:rPr>
                <w:rFonts w:hint="eastAsia" w:hAnsi="宋体" w:cs="宋体"/>
                <w:bCs/>
                <w:color w:val="auto"/>
                <w:kern w:val="2"/>
                <w:sz w:val="24"/>
                <w:szCs w:val="24"/>
                <w:highlight w:val="none"/>
                <w:lang w:eastAsia="zh-CN"/>
              </w:rPr>
            </w:pPr>
            <w:r>
              <w:rPr>
                <w:rFonts w:hint="eastAsia" w:hAnsi="宋体" w:cs="宋体"/>
                <w:bCs/>
                <w:color w:val="auto"/>
                <w:kern w:val="2"/>
                <w:sz w:val="24"/>
                <w:szCs w:val="24"/>
                <w:highlight w:val="none"/>
                <w:lang w:eastAsia="zh-CN"/>
              </w:rPr>
              <w:t>三档(8分)：项目组织管理健全；职责分工合理、清晰、明确；工作计划详细、明确、周全；质量保障措施完善、内容合理。提交的预期成果内容及形式完善，满足技术规范要求；承诺应采购人要求按时提供研究服务，包括合同约定的服务以及因项目需要，及时修改完善方案、及时向采购人汇报等服务。</w:t>
            </w:r>
          </w:p>
          <w:p w14:paraId="798214CB">
            <w:pPr>
              <w:pStyle w:val="16"/>
              <w:spacing w:line="360" w:lineRule="auto"/>
              <w:ind w:firstLine="480" w:firstLineChars="200"/>
              <w:rPr>
                <w:rFonts w:hAnsi="宋体" w:cs="宋体"/>
                <w:bCs/>
                <w:color w:val="auto"/>
                <w:kern w:val="2"/>
                <w:sz w:val="24"/>
                <w:szCs w:val="24"/>
                <w:highlight w:val="none"/>
              </w:rPr>
            </w:pPr>
            <w:r>
              <w:rPr>
                <w:rFonts w:hint="eastAsia" w:hAnsi="宋体" w:cs="宋体"/>
                <w:bCs/>
                <w:color w:val="auto"/>
                <w:kern w:val="2"/>
                <w:sz w:val="24"/>
                <w:szCs w:val="24"/>
                <w:highlight w:val="none"/>
                <w:lang w:eastAsia="zh-CN"/>
              </w:rPr>
              <w:t>四档（10分）：项目组织管理严谨、健全；职责分工合理、清晰、明确、有条不紊；工作计划缜密、可行、高效；质量保障措施完善、内容合理、严谨规范；提交的预期成果内容及形式完善，满足技术规范要求；承诺应采购人要求按时提供研究服务，包括合同约定的服务以及因项目需要，及时修改完善方案、及时至采购人所在地汇报、沟通协调、咨询等服务。</w:t>
            </w:r>
          </w:p>
          <w:p w14:paraId="39193711">
            <w:pPr>
              <w:pStyle w:val="16"/>
              <w:spacing w:line="360" w:lineRule="auto"/>
              <w:rPr>
                <w:rFonts w:hAnsi="宋体" w:cs="宋体"/>
                <w:bCs/>
                <w:color w:val="auto"/>
                <w:kern w:val="2"/>
                <w:sz w:val="24"/>
                <w:szCs w:val="24"/>
                <w:highlight w:val="none"/>
              </w:rPr>
            </w:pPr>
            <w:r>
              <w:rPr>
                <w:rFonts w:hint="eastAsia" w:hAnsi="宋体" w:cs="宋体"/>
                <w:bCs/>
                <w:color w:val="auto"/>
                <w:kern w:val="2"/>
                <w:sz w:val="24"/>
                <w:szCs w:val="24"/>
                <w:highlight w:val="none"/>
              </w:rPr>
              <w:t>注：未提供评审所需内容或未达到一档标准要求的，得0分。</w:t>
            </w:r>
          </w:p>
        </w:tc>
      </w:tr>
      <w:tr w14:paraId="7826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restart"/>
            <w:tcBorders>
              <w:top w:val="single" w:color="auto" w:sz="4" w:space="0"/>
              <w:left w:val="single" w:color="auto" w:sz="4" w:space="0"/>
              <w:right w:val="single" w:color="auto" w:sz="4" w:space="0"/>
            </w:tcBorders>
            <w:vAlign w:val="center"/>
          </w:tcPr>
          <w:p w14:paraId="14C30A23">
            <w:pPr>
              <w:adjustRightInd w:val="0"/>
              <w:snapToGri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3</w:t>
            </w:r>
          </w:p>
        </w:tc>
        <w:tc>
          <w:tcPr>
            <w:tcW w:w="1418" w:type="dxa"/>
            <w:vMerge w:val="restart"/>
            <w:tcBorders>
              <w:top w:val="single" w:color="auto" w:sz="4" w:space="0"/>
              <w:left w:val="single" w:color="auto" w:sz="4" w:space="0"/>
              <w:right w:val="single" w:color="auto" w:sz="4" w:space="0"/>
            </w:tcBorders>
            <w:vAlign w:val="center"/>
          </w:tcPr>
          <w:p w14:paraId="4EC41D41">
            <w:pPr>
              <w:adjustRightInd w:val="0"/>
              <w:snapToGri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商务分</w:t>
            </w:r>
          </w:p>
          <w:p w14:paraId="6D63C271">
            <w:pPr>
              <w:adjustRightInd w:val="0"/>
              <w:snapToGri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（满分</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w:t>
            </w:r>
          </w:p>
        </w:tc>
        <w:tc>
          <w:tcPr>
            <w:tcW w:w="992" w:type="dxa"/>
            <w:tcBorders>
              <w:top w:val="single" w:color="auto" w:sz="4" w:space="0"/>
              <w:left w:val="single" w:color="auto" w:sz="4" w:space="0"/>
              <w:bottom w:val="single" w:color="auto" w:sz="4" w:space="0"/>
              <w:right w:val="single" w:color="auto" w:sz="4" w:space="0"/>
            </w:tcBorders>
            <w:vAlign w:val="center"/>
          </w:tcPr>
          <w:p w14:paraId="5D519EBA">
            <w:pPr>
              <w:spacing w:line="36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（1）拟投入本项目的人员（</w:t>
            </w:r>
            <w:r>
              <w:rPr>
                <w:rFonts w:hint="eastAsia" w:ascii="宋体" w:hAnsi="宋体" w:cs="微软雅黑"/>
                <w:bCs/>
                <w:color w:val="auto"/>
                <w:sz w:val="24"/>
                <w:highlight w:val="none"/>
                <w:lang w:val="en-US" w:eastAsia="zh-CN"/>
              </w:rPr>
              <w:t>15</w:t>
            </w:r>
            <w:r>
              <w:rPr>
                <w:rFonts w:hint="eastAsia" w:ascii="宋体" w:hAnsi="宋体" w:cs="微软雅黑"/>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5E86B866">
            <w:pPr>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①项目负责人（联合体时，须由牵头人一方委派）：同时具有高级工程师职称和环境影响评价工程师职业资格证书，并持有咨询工程师（投资）执业资格证书或省级及以上生态环境主管部门颁发的环境监测上岗证书的，得2分。满分2分。</w:t>
            </w:r>
          </w:p>
          <w:p w14:paraId="4BA9FC09">
            <w:pPr>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②工可分项负责人：具有高级工程师职称，并持有咨询工程师（投资）执业资格证书的，得1分。满分1分。</w:t>
            </w:r>
          </w:p>
          <w:p w14:paraId="69F7AFA8">
            <w:pPr>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③项目负责人业绩：自2021年1月1日起至</w:t>
            </w:r>
            <w:r>
              <w:rPr>
                <w:rFonts w:hint="eastAsia" w:ascii="宋体" w:hAnsi="宋体" w:cs="宋体"/>
                <w:b w:val="0"/>
                <w:bCs w:val="0"/>
                <w:color w:val="auto"/>
                <w:sz w:val="24"/>
                <w:szCs w:val="24"/>
                <w:highlight w:val="none"/>
                <w:shd w:val="clear" w:color="auto" w:fill="FFFFFF"/>
                <w:lang w:eastAsia="zh-CN"/>
              </w:rPr>
              <w:t>响应</w:t>
            </w:r>
            <w:r>
              <w:rPr>
                <w:rFonts w:hint="eastAsia" w:ascii="宋体" w:hAnsi="宋体" w:eastAsia="宋体" w:cs="宋体"/>
                <w:b w:val="0"/>
                <w:bCs w:val="0"/>
                <w:color w:val="auto"/>
                <w:sz w:val="24"/>
                <w:szCs w:val="24"/>
                <w:highlight w:val="none"/>
                <w:shd w:val="clear" w:color="auto" w:fill="FFFFFF"/>
                <w:lang w:eastAsia="zh-CN"/>
              </w:rPr>
              <w:t>截止之日止（以合同签订日期为准），a.作为项目负责人完成过类似项目（码头、航道或锚地工程）环境影响报告书、海域使用论证报告和国家级水产种质资源保护区影响专题论证报告编制业绩的，得2分；b.作为项目负责人完成过类似项目（码头、航道或锚地工程）春秋两季海洋生态环境现状调查（包含水质、海洋生物体质量、海洋生态及渔业资源，不可缺项且至少有一季包含沉积物）和海洋水文动力现状调查（包含盐度、潮流、悬沙、潮位，不可缺项）业绩，且该项目环评报告或海域使用论证报告或国家级水产种质资源保护区影响专题论证报告已获得批复的，得2分。满分4分。</w:t>
            </w:r>
          </w:p>
          <w:p w14:paraId="373CF0FA">
            <w:pPr>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④工可分项负责人业绩：自2021年1月1日起至</w:t>
            </w:r>
            <w:r>
              <w:rPr>
                <w:rFonts w:hint="eastAsia" w:ascii="宋体" w:hAnsi="宋体" w:cs="宋体"/>
                <w:b w:val="0"/>
                <w:bCs w:val="0"/>
                <w:color w:val="auto"/>
                <w:sz w:val="24"/>
                <w:szCs w:val="24"/>
                <w:highlight w:val="none"/>
                <w:shd w:val="clear" w:color="auto" w:fill="FFFFFF"/>
                <w:lang w:eastAsia="zh-CN"/>
              </w:rPr>
              <w:t>响应</w:t>
            </w:r>
            <w:r>
              <w:rPr>
                <w:rFonts w:hint="eastAsia" w:ascii="宋体" w:hAnsi="宋体" w:eastAsia="宋体" w:cs="宋体"/>
                <w:b w:val="0"/>
                <w:bCs w:val="0"/>
                <w:color w:val="auto"/>
                <w:sz w:val="24"/>
                <w:szCs w:val="24"/>
                <w:highlight w:val="none"/>
                <w:shd w:val="clear" w:color="auto" w:fill="FFFFFF"/>
                <w:lang w:eastAsia="zh-CN"/>
              </w:rPr>
              <w:t>截止之日止（以合同签订日期为准），作为项目负责人完成过类似项目（码头、航道或锚地工程）工程可行性研究报告编制业绩的，得1分。满分1分。</w:t>
            </w:r>
          </w:p>
          <w:p w14:paraId="09A5A52D">
            <w:pPr>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⑤项目组其他成员（除项目负责人和分项负责人外）：</w:t>
            </w:r>
          </w:p>
          <w:p w14:paraId="334F91B1">
            <w:pPr>
              <w:adjustRightInd w:val="0"/>
              <w:snapToGrid w:val="0"/>
              <w:spacing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shd w:val="clear" w:color="auto" w:fill="FFFFFF"/>
                <w:lang w:eastAsia="zh-CN"/>
              </w:rPr>
              <w:t>同时具有高级工程师证书和咨询工程师（投资）登记证书的，每人得1分，本小项满分2分；具有高级职称，并持有省级及以上生态环境主管部门颁发的环境监测上岗证书或环境影响评价工程师职业资格证书的，每人得1分，本小项满分5分。本项满分7分。</w:t>
            </w:r>
          </w:p>
          <w:p w14:paraId="2D0F48A3">
            <w:pPr>
              <w:adjustRightInd w:val="0"/>
              <w:snapToGrid w:val="0"/>
              <w:spacing w:line="40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需提供以上人员的身份证、职称证、相关注册证书复印件、</w:t>
            </w:r>
            <w:r>
              <w:rPr>
                <w:rFonts w:hint="eastAsia" w:ascii="宋体" w:hAnsi="宋体" w:cs="宋体"/>
                <w:b/>
                <w:bCs/>
                <w:color w:val="auto"/>
                <w:sz w:val="24"/>
                <w:szCs w:val="24"/>
                <w:highlight w:val="none"/>
                <w:lang w:eastAsia="zh-CN"/>
              </w:rPr>
              <w:t>本</w:t>
            </w:r>
            <w:r>
              <w:rPr>
                <w:rFonts w:hint="eastAsia" w:ascii="宋体" w:hAnsi="宋体" w:eastAsia="宋体" w:cs="宋体"/>
                <w:b/>
                <w:bCs/>
                <w:color w:val="auto"/>
                <w:sz w:val="24"/>
                <w:szCs w:val="24"/>
                <w:highlight w:val="none"/>
                <w:lang w:eastAsia="zh-CN"/>
              </w:rPr>
              <w:t>单位的劳动（劳务）合同</w:t>
            </w:r>
            <w:r>
              <w:rPr>
                <w:rFonts w:hint="eastAsia" w:ascii="宋体" w:hAnsi="宋体" w:cs="宋体"/>
                <w:b/>
                <w:bCs/>
                <w:color w:val="auto"/>
                <w:sz w:val="24"/>
                <w:szCs w:val="24"/>
                <w:highlight w:val="none"/>
                <w:lang w:eastAsia="zh-CN"/>
              </w:rPr>
              <w:t>或者聘用合同等资料</w:t>
            </w:r>
            <w:r>
              <w:rPr>
                <w:rFonts w:hint="eastAsia" w:ascii="宋体" w:hAnsi="宋体" w:eastAsia="宋体" w:cs="宋体"/>
                <w:b/>
                <w:bCs/>
                <w:color w:val="auto"/>
                <w:sz w:val="24"/>
                <w:szCs w:val="24"/>
                <w:highlight w:val="none"/>
                <w:lang w:eastAsia="zh-CN"/>
              </w:rPr>
              <w:t>情况，否则不得分。若为返聘退休人员，需提供返聘合同和退休证作为证明材料。</w:t>
            </w:r>
          </w:p>
          <w:p w14:paraId="7A4200DF">
            <w:pPr>
              <w:adjustRightInd w:val="0"/>
              <w:snapToGrid w:val="0"/>
              <w:spacing w:line="400" w:lineRule="exact"/>
              <w:ind w:firstLine="482" w:firstLineChars="200"/>
              <w:textAlignment w:val="baseline"/>
              <w:rPr>
                <w:rFonts w:hint="eastAsia" w:ascii="宋体" w:hAnsi="宋体" w:eastAsia="宋体" w:cs="宋体"/>
                <w:b/>
                <w:bCs/>
                <w:color w:val="auto"/>
                <w:kern w:val="2"/>
                <w:sz w:val="24"/>
                <w:szCs w:val="24"/>
                <w:highlight w:val="none"/>
                <w:shd w:val="clear" w:color="auto" w:fill="auto"/>
                <w:lang w:eastAsia="zh-CN"/>
              </w:rPr>
            </w:pPr>
            <w:r>
              <w:rPr>
                <w:rFonts w:hint="eastAsia" w:ascii="宋体" w:hAnsi="宋体" w:eastAsia="宋体" w:cs="宋体"/>
                <w:b/>
                <w:bCs/>
                <w:color w:val="auto"/>
                <w:kern w:val="2"/>
                <w:sz w:val="24"/>
                <w:szCs w:val="24"/>
                <w:highlight w:val="none"/>
                <w:shd w:val="clear"/>
                <w:lang w:eastAsia="zh-CN"/>
              </w:rPr>
              <w:t>2</w:t>
            </w:r>
            <w:r>
              <w:rPr>
                <w:rFonts w:hint="eastAsia" w:ascii="宋体" w:hAnsi="宋体" w:eastAsia="宋体" w:cs="宋体"/>
                <w:b/>
                <w:bCs/>
                <w:color w:val="auto"/>
                <w:kern w:val="2"/>
                <w:sz w:val="24"/>
                <w:szCs w:val="24"/>
                <w:highlight w:val="none"/>
                <w:shd w:val="clear" w:color="auto" w:fill="auto"/>
                <w:lang w:eastAsia="zh-CN"/>
              </w:rPr>
              <w:t>.</w:t>
            </w:r>
            <w:r>
              <w:rPr>
                <w:rFonts w:hint="eastAsia" w:ascii="宋体" w:hAnsi="宋体" w:eastAsia="宋体" w:cs="宋体"/>
                <w:b/>
                <w:bCs/>
                <w:color w:val="auto"/>
                <w:kern w:val="2"/>
                <w:sz w:val="24"/>
                <w:szCs w:val="24"/>
                <w:highlight w:val="none"/>
                <w:shd w:val="clear"/>
                <w:lang w:eastAsia="zh-CN"/>
              </w:rPr>
              <w:t>项目负责人</w:t>
            </w:r>
            <w:r>
              <w:rPr>
                <w:rFonts w:hint="eastAsia" w:ascii="宋体" w:hAnsi="宋体" w:eastAsia="宋体" w:cs="宋体"/>
                <w:b/>
                <w:bCs/>
                <w:color w:val="auto"/>
                <w:kern w:val="2"/>
                <w:sz w:val="24"/>
                <w:szCs w:val="24"/>
                <w:highlight w:val="none"/>
                <w:shd w:val="clear" w:color="auto" w:fill="auto"/>
              </w:rPr>
              <w:t>业绩</w:t>
            </w:r>
            <w:r>
              <w:rPr>
                <w:rFonts w:hint="eastAsia" w:ascii="宋体" w:hAnsi="宋体" w:eastAsia="宋体" w:cs="宋体"/>
                <w:b/>
                <w:bCs/>
                <w:color w:val="auto"/>
                <w:kern w:val="2"/>
                <w:sz w:val="24"/>
                <w:szCs w:val="24"/>
                <w:highlight w:val="none"/>
                <w:shd w:val="clear"/>
              </w:rPr>
              <w:t>须提供以下</w:t>
            </w:r>
            <w:r>
              <w:rPr>
                <w:rFonts w:hint="eastAsia" w:ascii="宋体" w:hAnsi="宋体" w:eastAsia="宋体" w:cs="宋体"/>
                <w:b/>
                <w:bCs/>
                <w:color w:val="auto"/>
                <w:kern w:val="2"/>
                <w:sz w:val="24"/>
                <w:szCs w:val="24"/>
                <w:highlight w:val="none"/>
                <w:shd w:val="clear" w:color="auto" w:fill="auto"/>
              </w:rPr>
              <w:t>证明材料</w:t>
            </w:r>
            <w:r>
              <w:rPr>
                <w:rFonts w:hint="eastAsia" w:ascii="宋体" w:hAnsi="宋体" w:eastAsia="宋体" w:cs="宋体"/>
                <w:b/>
                <w:bCs/>
                <w:color w:val="auto"/>
                <w:kern w:val="2"/>
                <w:sz w:val="24"/>
                <w:szCs w:val="24"/>
                <w:highlight w:val="none"/>
                <w:shd w:val="clear" w:color="auto" w:fill="auto"/>
                <w:lang w:eastAsia="zh-CN"/>
              </w:rPr>
              <w:t>扫描件或</w:t>
            </w:r>
            <w:r>
              <w:rPr>
                <w:rFonts w:hint="eastAsia" w:ascii="宋体" w:hAnsi="宋体" w:eastAsia="宋体" w:cs="宋体"/>
                <w:b/>
                <w:bCs/>
                <w:color w:val="auto"/>
                <w:kern w:val="2"/>
                <w:sz w:val="24"/>
                <w:szCs w:val="24"/>
                <w:highlight w:val="none"/>
                <w:shd w:val="clear" w:color="auto" w:fill="auto"/>
              </w:rPr>
              <w:t>复印件：</w:t>
            </w:r>
            <w:r>
              <w:rPr>
                <w:rFonts w:hint="eastAsia" w:ascii="宋体" w:hAnsi="宋体" w:eastAsia="宋体" w:cs="宋体"/>
                <w:b/>
                <w:bCs/>
                <w:color w:val="auto"/>
                <w:kern w:val="2"/>
                <w:sz w:val="24"/>
                <w:szCs w:val="24"/>
                <w:highlight w:val="none"/>
                <w:shd w:val="clear"/>
                <w:lang w:eastAsia="zh-CN"/>
              </w:rPr>
              <w:t>（</w:t>
            </w:r>
            <w:r>
              <w:rPr>
                <w:rFonts w:hint="eastAsia" w:ascii="宋体" w:hAnsi="宋体" w:eastAsia="宋体" w:cs="宋体"/>
                <w:b/>
                <w:bCs/>
                <w:color w:val="auto"/>
                <w:kern w:val="2"/>
                <w:sz w:val="24"/>
                <w:szCs w:val="24"/>
                <w:highlight w:val="none"/>
                <w:shd w:val="clear"/>
                <w:lang w:val="en-US" w:eastAsia="zh-CN"/>
              </w:rPr>
              <w:t>1</w:t>
            </w:r>
            <w:r>
              <w:rPr>
                <w:rFonts w:hint="eastAsia" w:ascii="宋体" w:hAnsi="宋体" w:eastAsia="宋体" w:cs="宋体"/>
                <w:b/>
                <w:bCs/>
                <w:color w:val="auto"/>
                <w:kern w:val="2"/>
                <w:sz w:val="24"/>
                <w:szCs w:val="24"/>
                <w:highlight w:val="none"/>
                <w:shd w:val="clear"/>
                <w:lang w:eastAsia="zh-CN"/>
              </w:rPr>
              <w:t>）</w:t>
            </w:r>
            <w:r>
              <w:rPr>
                <w:rFonts w:hint="eastAsia" w:ascii="宋体" w:hAnsi="宋体" w:eastAsia="宋体" w:cs="宋体"/>
                <w:b/>
                <w:bCs/>
                <w:color w:val="auto"/>
                <w:kern w:val="2"/>
                <w:sz w:val="24"/>
                <w:szCs w:val="24"/>
                <w:highlight w:val="none"/>
                <w:shd w:val="clear" w:color="auto" w:fill="auto"/>
                <w:lang w:eastAsia="zh-CN"/>
              </w:rPr>
              <w:t>业绩合同（至少包含首页和盖章页，且须体现服务内容）</w:t>
            </w:r>
            <w:r>
              <w:rPr>
                <w:rFonts w:hint="eastAsia" w:ascii="宋体" w:hAnsi="宋体" w:eastAsia="宋体" w:cs="宋体"/>
                <w:b/>
                <w:bCs/>
                <w:color w:val="auto"/>
                <w:kern w:val="2"/>
                <w:sz w:val="24"/>
                <w:szCs w:val="24"/>
                <w:highlight w:val="none"/>
                <w:shd w:val="clear"/>
                <w:lang w:eastAsia="zh-CN"/>
              </w:rPr>
              <w:t>，（</w:t>
            </w:r>
            <w:r>
              <w:rPr>
                <w:rFonts w:hint="eastAsia" w:ascii="宋体" w:hAnsi="宋体" w:eastAsia="宋体" w:cs="宋体"/>
                <w:b/>
                <w:bCs/>
                <w:color w:val="auto"/>
                <w:kern w:val="2"/>
                <w:sz w:val="24"/>
                <w:szCs w:val="24"/>
                <w:highlight w:val="none"/>
                <w:shd w:val="clear"/>
                <w:lang w:val="en-US" w:eastAsia="zh-CN"/>
              </w:rPr>
              <w:t>2</w:t>
            </w:r>
            <w:r>
              <w:rPr>
                <w:rFonts w:hint="eastAsia" w:ascii="宋体" w:hAnsi="宋体" w:eastAsia="宋体" w:cs="宋体"/>
                <w:b/>
                <w:bCs/>
                <w:color w:val="auto"/>
                <w:kern w:val="2"/>
                <w:sz w:val="24"/>
                <w:szCs w:val="24"/>
                <w:highlight w:val="none"/>
                <w:shd w:val="clear"/>
                <w:lang w:eastAsia="zh-CN"/>
              </w:rPr>
              <w:t>）</w:t>
            </w:r>
            <w:r>
              <w:rPr>
                <w:rFonts w:hint="eastAsia" w:ascii="宋体" w:hAnsi="宋体" w:eastAsia="宋体" w:cs="宋体"/>
                <w:b/>
                <w:bCs/>
                <w:color w:val="auto"/>
                <w:kern w:val="2"/>
                <w:sz w:val="24"/>
                <w:szCs w:val="24"/>
                <w:highlight w:val="none"/>
                <w:shd w:val="clear" w:color="auto" w:fill="auto"/>
                <w:lang w:eastAsia="zh-CN"/>
              </w:rPr>
              <w:t>a类业绩对应环评报告、海域使用论证报告和水产种质资源保护区影响专题论证报告著录页和批复；b类业绩调查分析评价报告（至少包含著录页）和对应的项目环评报告或海域使用论证报告或国家级水产种质资源保护区影响专题论证报告批复。</w:t>
            </w:r>
            <w:r>
              <w:rPr>
                <w:rFonts w:hint="eastAsia" w:ascii="宋体" w:hAnsi="宋体" w:eastAsia="宋体" w:cs="宋体"/>
                <w:b/>
                <w:color w:val="auto"/>
                <w:sz w:val="24"/>
                <w:szCs w:val="24"/>
                <w:highlight w:val="none"/>
                <w:lang w:val="en-US" w:eastAsia="zh-CN"/>
              </w:rPr>
              <w:t>证明</w:t>
            </w:r>
            <w:r>
              <w:rPr>
                <w:rFonts w:hint="eastAsia" w:ascii="宋体" w:hAnsi="宋体" w:eastAsia="宋体" w:cs="宋体"/>
                <w:b/>
                <w:color w:val="auto"/>
                <w:sz w:val="24"/>
                <w:szCs w:val="24"/>
                <w:highlight w:val="none"/>
                <w:lang w:eastAsia="zh-CN"/>
              </w:rPr>
              <w:t>材料需体现项目负责人的相关信息等实质性信息，如未体现则需另外提供甲方证明文件复印件，</w:t>
            </w:r>
            <w:r>
              <w:rPr>
                <w:rFonts w:hint="eastAsia" w:ascii="宋体" w:hAnsi="宋体" w:eastAsia="宋体" w:cs="宋体"/>
                <w:b/>
                <w:bCs/>
                <w:color w:val="auto"/>
                <w:kern w:val="2"/>
                <w:sz w:val="24"/>
                <w:szCs w:val="24"/>
                <w:highlight w:val="none"/>
                <w:shd w:val="clear" w:color="auto" w:fill="auto"/>
                <w:lang w:eastAsia="zh-CN"/>
              </w:rPr>
              <w:t>否则不予计分。</w:t>
            </w:r>
          </w:p>
          <w:p w14:paraId="2F33AF36">
            <w:pPr>
              <w:adjustRightInd w:val="0"/>
              <w:snapToGrid w:val="0"/>
              <w:spacing w:line="400" w:lineRule="exact"/>
              <w:ind w:firstLine="482" w:firstLineChars="200"/>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kern w:val="0"/>
                <w:sz w:val="24"/>
                <w:szCs w:val="24"/>
                <w:highlight w:val="none"/>
                <w:shd w:val="clear" w:color="auto" w:fill="FFFFFF"/>
                <w:lang w:val="en-US" w:eastAsia="zh-CN"/>
              </w:rPr>
              <w:t>3</w:t>
            </w:r>
            <w:r>
              <w:rPr>
                <w:rFonts w:hint="eastAsia" w:ascii="宋体" w:hAnsi="宋体" w:eastAsia="宋体" w:cs="宋体"/>
                <w:b/>
                <w:color w:val="auto"/>
                <w:kern w:val="0"/>
                <w:sz w:val="24"/>
                <w:szCs w:val="24"/>
                <w:highlight w:val="none"/>
                <w:shd w:val="clear" w:color="auto" w:fill="FFFFFF"/>
                <w:lang w:eastAsia="zh-CN"/>
              </w:rPr>
              <w:t>.工可分项负责人业绩须提供以下证明材料扫描件或复印件：（1）业绩合同（至少包含首页和盖章页，且须体现服务内容）；（2）业绩工可报告（至少包含著录页）；（3）业绩对应的工可报告批复。</w:t>
            </w:r>
            <w:r>
              <w:rPr>
                <w:rFonts w:hint="eastAsia" w:ascii="宋体" w:hAnsi="宋体" w:eastAsia="宋体" w:cs="宋体"/>
                <w:b/>
                <w:color w:val="auto"/>
                <w:sz w:val="24"/>
                <w:szCs w:val="24"/>
                <w:highlight w:val="none"/>
                <w:lang w:val="en-US" w:eastAsia="zh-CN"/>
              </w:rPr>
              <w:t>证明</w:t>
            </w:r>
            <w:r>
              <w:rPr>
                <w:rFonts w:hint="eastAsia" w:ascii="宋体" w:hAnsi="宋体" w:eastAsia="宋体" w:cs="宋体"/>
                <w:b/>
                <w:color w:val="auto"/>
                <w:sz w:val="24"/>
                <w:szCs w:val="24"/>
                <w:highlight w:val="none"/>
                <w:lang w:eastAsia="zh-CN"/>
              </w:rPr>
              <w:t>材料需体现项目负责人的相关信息等实质性信息，如未体现则需另外提供甲方证明文件</w:t>
            </w:r>
            <w:r>
              <w:rPr>
                <w:rFonts w:hint="eastAsia" w:ascii="宋体" w:hAnsi="宋体" w:eastAsia="宋体" w:cs="宋体"/>
                <w:b/>
                <w:color w:val="auto"/>
                <w:kern w:val="0"/>
                <w:sz w:val="24"/>
                <w:szCs w:val="24"/>
                <w:highlight w:val="none"/>
                <w:shd w:val="clear" w:color="auto" w:fill="FFFFFF"/>
                <w:lang w:eastAsia="zh-CN"/>
              </w:rPr>
              <w:t>扫描件或</w:t>
            </w:r>
            <w:r>
              <w:rPr>
                <w:rFonts w:hint="eastAsia" w:ascii="宋体" w:hAnsi="宋体" w:eastAsia="宋体" w:cs="宋体"/>
                <w:b/>
                <w:color w:val="auto"/>
                <w:sz w:val="24"/>
                <w:szCs w:val="24"/>
                <w:highlight w:val="none"/>
                <w:lang w:eastAsia="zh-CN"/>
              </w:rPr>
              <w:t>复印件，</w:t>
            </w:r>
            <w:r>
              <w:rPr>
                <w:rFonts w:hint="eastAsia" w:ascii="宋体" w:hAnsi="宋体" w:eastAsia="宋体" w:cs="宋体"/>
                <w:b/>
                <w:color w:val="auto"/>
                <w:kern w:val="0"/>
                <w:sz w:val="24"/>
                <w:szCs w:val="24"/>
                <w:highlight w:val="none"/>
                <w:shd w:val="clear" w:color="auto" w:fill="FFFFFF"/>
                <w:lang w:eastAsia="zh-CN"/>
              </w:rPr>
              <w:t>否则不予计分。</w:t>
            </w:r>
          </w:p>
          <w:p w14:paraId="44061D5A">
            <w:pPr>
              <w:spacing w:line="360" w:lineRule="exact"/>
              <w:rPr>
                <w:rFonts w:ascii="宋体" w:hAnsi="宋体" w:cs="微软雅黑"/>
                <w:bCs/>
                <w:color w:val="auto"/>
                <w:sz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未按要求提供相关证明材料的不得分。</w:t>
            </w:r>
          </w:p>
        </w:tc>
      </w:tr>
      <w:tr w14:paraId="4E4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704" w:type="dxa"/>
            <w:vMerge w:val="continue"/>
            <w:tcBorders>
              <w:left w:val="single" w:color="auto" w:sz="4" w:space="0"/>
              <w:right w:val="single" w:color="auto" w:sz="4" w:space="0"/>
            </w:tcBorders>
            <w:vAlign w:val="center"/>
          </w:tcPr>
          <w:p w14:paraId="722435DF">
            <w:pPr>
              <w:adjustRightInd w:val="0"/>
              <w:snapToGri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7233A5EB">
            <w:pPr>
              <w:adjustRightInd w:val="0"/>
              <w:snapToGrid w:val="0"/>
              <w:spacing w:line="360" w:lineRule="atLeast"/>
              <w:jc w:val="center"/>
              <w:textAlignment w:val="baseline"/>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2711697">
            <w:pPr>
              <w:spacing w:line="36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r>
              <w:rPr>
                <w:rFonts w:ascii="宋体" w:hAnsi="宋体" w:cs="微软雅黑"/>
                <w:bCs/>
                <w:color w:val="auto"/>
                <w:sz w:val="24"/>
                <w:highlight w:val="none"/>
              </w:rPr>
              <w:t>2</w:t>
            </w:r>
            <w:r>
              <w:rPr>
                <w:rFonts w:hint="eastAsia" w:ascii="宋体" w:hAnsi="宋体" w:cs="微软雅黑"/>
                <w:bCs/>
                <w:color w:val="auto"/>
                <w:sz w:val="24"/>
                <w:highlight w:val="none"/>
              </w:rPr>
              <w:t>）业绩（</w:t>
            </w:r>
            <w:r>
              <w:rPr>
                <w:rFonts w:hint="eastAsia" w:ascii="宋体" w:hAnsi="宋体" w:cs="微软雅黑"/>
                <w:bCs/>
                <w:color w:val="auto"/>
                <w:sz w:val="24"/>
                <w:highlight w:val="none"/>
                <w:lang w:val="en-US" w:eastAsia="zh-CN"/>
              </w:rPr>
              <w:t>15</w:t>
            </w:r>
            <w:r>
              <w:rPr>
                <w:rFonts w:hint="eastAsia" w:ascii="宋体" w:hAnsi="宋体" w:cs="微软雅黑"/>
                <w:bCs/>
                <w:color w:val="auto"/>
                <w:sz w:val="24"/>
                <w:highlight w:val="none"/>
              </w:rPr>
              <w:t>分）</w:t>
            </w:r>
          </w:p>
        </w:tc>
        <w:tc>
          <w:tcPr>
            <w:tcW w:w="6606" w:type="dxa"/>
            <w:tcBorders>
              <w:top w:val="single" w:color="auto" w:sz="4" w:space="0"/>
              <w:left w:val="single" w:color="auto" w:sz="4" w:space="0"/>
              <w:right w:val="single" w:color="auto" w:sz="4" w:space="0"/>
            </w:tcBorders>
            <w:vAlign w:val="center"/>
          </w:tcPr>
          <w:p w14:paraId="4F9E842B">
            <w:pPr>
              <w:snapToGrid w:val="0"/>
              <w:spacing w:line="400" w:lineRule="exact"/>
              <w:ind w:firstLine="480" w:firstLineChars="20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①自2021年1月1日起至</w:t>
            </w:r>
            <w:r>
              <w:rPr>
                <w:rFonts w:hint="eastAsia" w:ascii="宋体" w:hAnsi="宋体" w:cs="宋体"/>
                <w:color w:val="auto"/>
                <w:sz w:val="24"/>
                <w:szCs w:val="24"/>
                <w:highlight w:val="none"/>
                <w:shd w:val="clear" w:color="auto" w:fill="FFFFFF"/>
                <w:lang w:eastAsia="zh-CN"/>
              </w:rPr>
              <w:t>响应</w:t>
            </w:r>
            <w:r>
              <w:rPr>
                <w:rFonts w:hint="eastAsia" w:ascii="宋体" w:hAnsi="宋体" w:eastAsia="宋体" w:cs="宋体"/>
                <w:color w:val="auto"/>
                <w:sz w:val="24"/>
                <w:szCs w:val="24"/>
                <w:highlight w:val="none"/>
                <w:shd w:val="clear" w:color="auto" w:fill="FFFFFF"/>
                <w:lang w:eastAsia="zh-CN"/>
              </w:rPr>
              <w:t>截止之日止（以合同签订日期为准），</w:t>
            </w:r>
            <w:r>
              <w:rPr>
                <w:rFonts w:hint="eastAsia" w:ascii="宋体" w:hAnsi="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lang w:eastAsia="zh-CN"/>
              </w:rPr>
              <w:t>完成类似项目（码头、航道或锚地工程）的春秋两季海洋生态环境现状调查（包含水质、海洋生物体质量、海洋生态及渔业资源，不可缺项且至少有一季包含沉积物）业绩，且该项目环评报告或海域使用论证报告或国家级水产种质资源保护区影响专题论证报告已获得批复的，每个业绩得3分，本项满分6分。</w:t>
            </w:r>
          </w:p>
          <w:p w14:paraId="0DBFBB90">
            <w:pPr>
              <w:snapToGrid w:val="0"/>
              <w:spacing w:line="400" w:lineRule="exact"/>
              <w:ind w:firstLine="480" w:firstLineChars="20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②自2021年1月1日起至</w:t>
            </w:r>
            <w:r>
              <w:rPr>
                <w:rFonts w:hint="eastAsia" w:ascii="宋体" w:hAnsi="宋体" w:cs="宋体"/>
                <w:color w:val="auto"/>
                <w:sz w:val="24"/>
                <w:szCs w:val="24"/>
                <w:highlight w:val="none"/>
                <w:shd w:val="clear" w:color="auto" w:fill="FFFFFF"/>
                <w:lang w:eastAsia="zh-CN"/>
              </w:rPr>
              <w:t>响应</w:t>
            </w:r>
            <w:r>
              <w:rPr>
                <w:rFonts w:hint="eastAsia" w:ascii="宋体" w:hAnsi="宋体" w:eastAsia="宋体" w:cs="宋体"/>
                <w:color w:val="auto"/>
                <w:sz w:val="24"/>
                <w:szCs w:val="24"/>
                <w:highlight w:val="none"/>
                <w:shd w:val="clear" w:color="auto" w:fill="FFFFFF"/>
                <w:lang w:eastAsia="zh-CN"/>
              </w:rPr>
              <w:t>截止之日止（以合同签订日期为准），</w:t>
            </w:r>
            <w:r>
              <w:rPr>
                <w:rFonts w:hint="eastAsia" w:ascii="宋体" w:hAnsi="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lang w:eastAsia="zh-CN"/>
              </w:rPr>
              <w:t>完成类似项目（含码头、航道或锚地工程等）的春秋两季海洋水文动力现状调查（包含盐度、潮流、悬沙、潮位，不可缺项）业绩，且该项目环评报告或海域使用论证报告或国家级水产种质资源保护区影响专题论证报告已获得批复的，每个业绩得3分，本项满分6分。</w:t>
            </w:r>
          </w:p>
          <w:p w14:paraId="430A1A48">
            <w:pPr>
              <w:snapToGrid w:val="0"/>
              <w:spacing w:line="400" w:lineRule="exact"/>
              <w:ind w:firstLine="480" w:firstLineChars="20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fldChar w:fldCharType="begin"/>
            </w:r>
            <w:r>
              <w:rPr>
                <w:rFonts w:hint="eastAsia" w:ascii="宋体" w:hAnsi="宋体" w:eastAsia="宋体" w:cs="宋体"/>
                <w:color w:val="auto"/>
                <w:sz w:val="24"/>
                <w:szCs w:val="24"/>
                <w:highlight w:val="none"/>
                <w:shd w:val="clear" w:color="auto" w:fill="FFFFFF"/>
                <w:lang w:eastAsia="zh-CN"/>
              </w:rPr>
              <w:instrText xml:space="preserve"> = 3 \* GB3 </w:instrText>
            </w:r>
            <w:r>
              <w:rPr>
                <w:rFonts w:hint="eastAsia" w:ascii="宋体" w:hAnsi="宋体" w:eastAsia="宋体" w:cs="宋体"/>
                <w:color w:val="auto"/>
                <w:sz w:val="24"/>
                <w:szCs w:val="24"/>
                <w:highlight w:val="none"/>
                <w:shd w:val="clear" w:color="auto" w:fill="FFFFFF"/>
                <w:lang w:eastAsia="zh-CN"/>
              </w:rPr>
              <w:fldChar w:fldCharType="separate"/>
            </w:r>
            <w:r>
              <w:rPr>
                <w:rFonts w:hint="eastAsia" w:ascii="宋体" w:hAnsi="宋体" w:eastAsia="宋体" w:cs="宋体"/>
                <w:color w:val="auto"/>
                <w:sz w:val="24"/>
                <w:szCs w:val="24"/>
                <w:highlight w:val="none"/>
                <w:shd w:val="clear" w:color="auto" w:fill="FFFFFF"/>
                <w:lang w:eastAsia="zh-CN"/>
              </w:rPr>
              <w:t>③</w:t>
            </w:r>
            <w:r>
              <w:rPr>
                <w:rFonts w:hint="eastAsia" w:ascii="宋体" w:hAnsi="宋体" w:eastAsia="宋体" w:cs="宋体"/>
                <w:color w:val="auto"/>
                <w:sz w:val="24"/>
                <w:szCs w:val="24"/>
                <w:highlight w:val="none"/>
                <w:shd w:val="clear" w:color="auto" w:fill="FFFFFF"/>
                <w:lang w:eastAsia="zh-CN"/>
              </w:rPr>
              <w:fldChar w:fldCharType="end"/>
            </w:r>
            <w:r>
              <w:rPr>
                <w:rFonts w:hint="eastAsia" w:ascii="宋体" w:hAnsi="宋体" w:eastAsia="宋体" w:cs="宋体"/>
                <w:color w:val="auto"/>
                <w:sz w:val="24"/>
                <w:szCs w:val="24"/>
                <w:highlight w:val="none"/>
                <w:shd w:val="clear" w:color="auto" w:fill="FFFFFF"/>
                <w:lang w:eastAsia="zh-CN"/>
              </w:rPr>
              <w:t>自2021年1月1日起至</w:t>
            </w:r>
            <w:r>
              <w:rPr>
                <w:rFonts w:hint="eastAsia" w:ascii="宋体" w:hAnsi="宋体" w:cs="宋体"/>
                <w:color w:val="auto"/>
                <w:sz w:val="24"/>
                <w:szCs w:val="24"/>
                <w:highlight w:val="none"/>
                <w:shd w:val="clear" w:color="auto" w:fill="FFFFFF"/>
                <w:lang w:eastAsia="zh-CN"/>
              </w:rPr>
              <w:t>响应</w:t>
            </w:r>
            <w:r>
              <w:rPr>
                <w:rFonts w:hint="eastAsia" w:ascii="宋体" w:hAnsi="宋体" w:eastAsia="宋体" w:cs="宋体"/>
                <w:color w:val="auto"/>
                <w:sz w:val="24"/>
                <w:szCs w:val="24"/>
                <w:highlight w:val="none"/>
                <w:shd w:val="clear" w:color="auto" w:fill="FFFFFF"/>
                <w:lang w:eastAsia="zh-CN"/>
              </w:rPr>
              <w:t>截止之日止（以合同签订日期为准），</w:t>
            </w:r>
            <w:r>
              <w:rPr>
                <w:rFonts w:hint="eastAsia" w:ascii="宋体" w:hAnsi="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lang w:eastAsia="zh-CN"/>
              </w:rPr>
              <w:t>完成类似项目（含码头、航道或锚地工程等）的工可报告业绩，每个业绩得1.5分；本项满分3分。</w:t>
            </w:r>
          </w:p>
          <w:p w14:paraId="3D150FE9">
            <w:pPr>
              <w:snapToGrid w:val="0"/>
              <w:spacing w:line="400" w:lineRule="exact"/>
              <w:ind w:firstLine="482" w:firstLineChars="200"/>
              <w:rPr>
                <w:rFonts w:hint="eastAsia" w:ascii="宋体" w:hAnsi="宋体" w:eastAsia="宋体" w:cs="宋体"/>
                <w:b/>
                <w:color w:val="auto"/>
                <w:kern w:val="0"/>
                <w:sz w:val="24"/>
                <w:szCs w:val="24"/>
                <w:highlight w:val="none"/>
                <w:shd w:val="clear" w:color="auto" w:fill="FFFFFF"/>
                <w:lang w:eastAsia="zh-CN"/>
              </w:rPr>
            </w:pPr>
            <w:r>
              <w:rPr>
                <w:rFonts w:hint="eastAsia" w:ascii="宋体" w:hAnsi="宋体" w:eastAsia="宋体" w:cs="宋体"/>
                <w:b/>
                <w:color w:val="auto"/>
                <w:kern w:val="0"/>
                <w:sz w:val="24"/>
                <w:szCs w:val="24"/>
                <w:highlight w:val="none"/>
                <w:shd w:val="clear" w:color="auto" w:fill="FFFFFF"/>
                <w:lang w:eastAsia="zh-CN"/>
              </w:rPr>
              <w:t>注：1.海洋环境现状调查业绩须提供以下证明材料扫描件或复印件：（1）业绩合同（至少包含首页和盖章页，且须体现服务内容）；（2）业绩对应的春秋两季海洋生态环境现状调查分析评价报告（至少包含封面和著录页）和CMA检测报告（至少包含封面和体现检测项目页，检测报告由第三方检测机构出具的须附</w:t>
            </w:r>
            <w:r>
              <w:rPr>
                <w:rFonts w:hint="eastAsia" w:ascii="宋体" w:hAnsi="宋体" w:cs="宋体"/>
                <w:b/>
                <w:color w:val="auto"/>
                <w:kern w:val="0"/>
                <w:sz w:val="24"/>
                <w:szCs w:val="24"/>
                <w:highlight w:val="none"/>
                <w:shd w:val="clear" w:color="auto" w:fill="FFFFFF"/>
                <w:lang w:eastAsia="zh-CN"/>
              </w:rPr>
              <w:t>供应商</w:t>
            </w:r>
            <w:r>
              <w:rPr>
                <w:rFonts w:hint="eastAsia" w:ascii="宋体" w:hAnsi="宋体" w:eastAsia="宋体" w:cs="宋体"/>
                <w:b/>
                <w:color w:val="auto"/>
                <w:kern w:val="0"/>
                <w:sz w:val="24"/>
                <w:szCs w:val="24"/>
                <w:highlight w:val="none"/>
                <w:shd w:val="clear" w:color="auto" w:fill="FFFFFF"/>
                <w:lang w:eastAsia="zh-CN"/>
              </w:rPr>
              <w:t>与检测机构签订的合同）；（3）业绩对应的项目环评、海域使用论证或国家级水产种质资源保护区影响专题论证报告批复。</w:t>
            </w:r>
          </w:p>
          <w:p w14:paraId="2DD32E3B">
            <w:pPr>
              <w:snapToGrid w:val="0"/>
              <w:spacing w:line="400" w:lineRule="exact"/>
              <w:ind w:firstLine="482" w:firstLineChars="200"/>
              <w:rPr>
                <w:rFonts w:hint="eastAsia" w:ascii="宋体" w:hAnsi="宋体" w:eastAsia="宋体" w:cs="宋体"/>
                <w:b/>
                <w:color w:val="auto"/>
                <w:kern w:val="0"/>
                <w:sz w:val="24"/>
                <w:szCs w:val="24"/>
                <w:highlight w:val="none"/>
                <w:shd w:val="clear" w:color="auto" w:fill="FFFFFF"/>
                <w:lang w:eastAsia="zh-CN"/>
              </w:rPr>
            </w:pPr>
            <w:r>
              <w:rPr>
                <w:rFonts w:hint="eastAsia" w:ascii="宋体" w:hAnsi="宋体" w:eastAsia="宋体" w:cs="宋体"/>
                <w:b/>
                <w:color w:val="auto"/>
                <w:kern w:val="0"/>
                <w:sz w:val="24"/>
                <w:szCs w:val="24"/>
                <w:highlight w:val="none"/>
                <w:shd w:val="clear" w:color="auto" w:fill="FFFFFF"/>
                <w:lang w:eastAsia="zh-CN"/>
              </w:rPr>
              <w:t>2.海洋水文动力现状调查业绩须提供以下证明材料扫描件或复印件：（1）业绩合同（至少包含首页和盖章页，且须体现服务内容）；（2）业绩对应的春秋两季海洋水文动力现状调查分析评价报告（至少包含封面和著录页）和CMA检测报告（至少包含封面和体现检测项目页,检测报告由第三方检测机构出具的须附</w:t>
            </w:r>
            <w:r>
              <w:rPr>
                <w:rFonts w:hint="eastAsia" w:ascii="宋体" w:hAnsi="宋体" w:cs="宋体"/>
                <w:b/>
                <w:color w:val="auto"/>
                <w:kern w:val="0"/>
                <w:sz w:val="24"/>
                <w:szCs w:val="24"/>
                <w:highlight w:val="none"/>
                <w:shd w:val="clear" w:color="auto" w:fill="FFFFFF"/>
                <w:lang w:eastAsia="zh-CN"/>
              </w:rPr>
              <w:t>供应商</w:t>
            </w:r>
            <w:r>
              <w:rPr>
                <w:rFonts w:hint="eastAsia" w:ascii="宋体" w:hAnsi="宋体" w:eastAsia="宋体" w:cs="宋体"/>
                <w:b/>
                <w:color w:val="auto"/>
                <w:kern w:val="0"/>
                <w:sz w:val="24"/>
                <w:szCs w:val="24"/>
                <w:highlight w:val="none"/>
                <w:shd w:val="clear" w:color="auto" w:fill="FFFFFF"/>
                <w:lang w:eastAsia="zh-CN"/>
              </w:rPr>
              <w:t>与检测机构签订的合同）；（3）业绩对应的项目环评、海域使用论证或国家级水产种质资源保护区影响专题论证报告批复。</w:t>
            </w:r>
          </w:p>
          <w:p w14:paraId="6434386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color w:val="auto"/>
                <w:kern w:val="0"/>
                <w:sz w:val="24"/>
                <w:szCs w:val="24"/>
                <w:highlight w:val="none"/>
                <w:shd w:val="clear" w:color="auto" w:fill="FFFFFF"/>
                <w:lang w:eastAsia="zh-CN"/>
              </w:rPr>
            </w:pPr>
            <w:r>
              <w:rPr>
                <w:rFonts w:hint="eastAsia" w:ascii="宋体" w:hAnsi="宋体" w:eastAsia="宋体" w:cs="宋体"/>
                <w:b/>
                <w:color w:val="auto"/>
                <w:kern w:val="0"/>
                <w:sz w:val="24"/>
                <w:szCs w:val="24"/>
                <w:highlight w:val="none"/>
                <w:shd w:val="clear" w:color="auto" w:fill="FFFFFF"/>
                <w:lang w:eastAsia="zh-CN"/>
              </w:rPr>
              <w:t>3.工可报告业绩须提供以下证明材料扫描件或复印件：（1）业绩合同（至少包含首页和盖章页，且须体现服务内容）；（2）业绩工可报告（至少包含著录页）；（3）业绩对应的工可批复。</w:t>
            </w:r>
          </w:p>
          <w:p w14:paraId="3FB29CC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kern w:val="0"/>
                <w:szCs w:val="21"/>
                <w:highlight w:val="none"/>
                <w:shd w:val="clear" w:color="auto" w:fill="FFFFFF"/>
                <w:lang w:eastAsia="zh-CN"/>
              </w:rPr>
            </w:pPr>
            <w:r>
              <w:rPr>
                <w:rFonts w:hint="eastAsia" w:ascii="宋体" w:hAnsi="宋体" w:eastAsia="宋体" w:cs="宋体"/>
                <w:b/>
                <w:color w:val="auto"/>
                <w:kern w:val="0"/>
                <w:sz w:val="24"/>
                <w:szCs w:val="24"/>
                <w:highlight w:val="none"/>
                <w:shd w:val="clear" w:color="auto" w:fill="FFFFFF"/>
                <w:lang w:eastAsia="zh-CN"/>
              </w:rPr>
              <w:t>4.联合体各方业绩均予以认可。</w:t>
            </w:r>
          </w:p>
          <w:p w14:paraId="08852281">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ascii="宋体" w:hAnsi="宋体" w:cs="微软雅黑"/>
                <w:bCs/>
                <w:color w:val="auto"/>
                <w:sz w:val="24"/>
                <w:highlight w:val="none"/>
              </w:rPr>
            </w:pPr>
            <w:r>
              <w:rPr>
                <w:rFonts w:hint="eastAsia" w:ascii="宋体" w:hAnsi="宋体" w:cs="宋体"/>
                <w:b/>
                <w:color w:val="auto"/>
                <w:kern w:val="0"/>
                <w:sz w:val="24"/>
                <w:szCs w:val="24"/>
                <w:highlight w:val="none"/>
                <w:shd w:val="clear" w:color="auto" w:fill="FFFFFF"/>
                <w:lang w:eastAsia="zh-CN"/>
              </w:rPr>
              <w:t>5.未按要求提供相关证明材料的不得分。</w:t>
            </w:r>
          </w:p>
        </w:tc>
      </w:tr>
      <w:tr w14:paraId="768C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0200DF8E">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总得分=1+2+3</w:t>
            </w:r>
          </w:p>
        </w:tc>
      </w:tr>
    </w:tbl>
    <w:p w14:paraId="188B8E0B">
      <w:pPr>
        <w:pStyle w:val="13"/>
        <w:ind w:firstLine="420"/>
        <w:rPr>
          <w:color w:val="auto"/>
          <w:highlight w:val="none"/>
        </w:rPr>
      </w:pPr>
    </w:p>
    <w:p w14:paraId="3CD4FC83">
      <w:pPr>
        <w:spacing w:line="360" w:lineRule="auto"/>
        <w:ind w:firstLine="480" w:firstLineChars="200"/>
        <w:rPr>
          <w:rFonts w:ascii="宋体" w:hAnsi="宋体" w:cs="宋体"/>
          <w:snapToGrid w:val="0"/>
          <w:color w:val="auto"/>
          <w:kern w:val="0"/>
          <w:sz w:val="24"/>
          <w:highlight w:val="none"/>
        </w:rPr>
      </w:pPr>
      <w:r>
        <w:rPr>
          <w:rFonts w:hint="eastAsia" w:ascii="宋体" w:hAnsi="宋体" w:cs="宋体"/>
          <w:bCs/>
          <w:color w:val="auto"/>
          <w:sz w:val="24"/>
          <w:highlight w:val="none"/>
        </w:rPr>
        <w:t>由磋商小组根据综合评分情况，按照评审得分由高到低顺序推荐3名以上成交候选供应商，并编写评审报告。</w:t>
      </w:r>
      <w:r>
        <w:rPr>
          <w:rFonts w:hint="eastAsia" w:ascii="宋体" w:hAnsi="宋体" w:cs="宋体"/>
          <w:b/>
          <w:bCs/>
          <w:color w:val="auto"/>
          <w:sz w:val="24"/>
          <w:highlight w:val="none"/>
        </w:rPr>
        <w:t>符合本章第</w:t>
      </w:r>
      <w:r>
        <w:rPr>
          <w:rFonts w:ascii="宋体" w:hAnsi="宋体" w:cs="宋体"/>
          <w:b/>
          <w:bCs/>
          <w:color w:val="auto"/>
          <w:sz w:val="24"/>
          <w:highlight w:val="none"/>
        </w:rPr>
        <w:t>2.7、3.7、4.3条情形的，可以推荐2家成交候选供应商。</w:t>
      </w:r>
      <w:r>
        <w:rPr>
          <w:rFonts w:hint="eastAsia" w:ascii="宋体" w:hAnsi="宋体" w:cs="宋体"/>
          <w:bCs/>
          <w:color w:val="auto"/>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51E7F020">
      <w:pPr>
        <w:spacing w:line="360" w:lineRule="auto"/>
        <w:ind w:firstLine="480" w:firstLineChars="200"/>
        <w:rPr>
          <w:rFonts w:ascii="宋体" w:hAnsi="宋体" w:cs="宋体"/>
          <w:color w:val="auto"/>
          <w:sz w:val="24"/>
          <w:highlight w:val="none"/>
        </w:rPr>
      </w:pPr>
    </w:p>
    <w:p w14:paraId="49F3E0DA">
      <w:pPr>
        <w:spacing w:line="360" w:lineRule="auto"/>
        <w:ind w:firstLine="480" w:firstLineChars="200"/>
        <w:rPr>
          <w:rFonts w:ascii="宋体" w:hAnsi="宋体" w:cs="宋体"/>
          <w:color w:val="auto"/>
          <w:sz w:val="24"/>
          <w:highlight w:val="none"/>
        </w:rPr>
      </w:pPr>
    </w:p>
    <w:p w14:paraId="2C05F43F">
      <w:pPr>
        <w:rPr>
          <w:rFonts w:ascii="宋体" w:hAnsi="宋体" w:cs="宋体"/>
          <w:color w:val="auto"/>
          <w:highlight w:val="none"/>
        </w:rPr>
      </w:pPr>
    </w:p>
    <w:p w14:paraId="7B77E1AF">
      <w:pPr>
        <w:rPr>
          <w:rFonts w:ascii="宋体" w:hAnsi="宋体" w:cs="宋体"/>
          <w:color w:val="auto"/>
          <w:highlight w:val="none"/>
        </w:rPr>
      </w:pPr>
    </w:p>
    <w:p w14:paraId="4119FDBF">
      <w:pPr>
        <w:rPr>
          <w:rFonts w:ascii="宋体" w:hAnsi="宋体" w:cs="宋体"/>
          <w:color w:val="auto"/>
          <w:highlight w:val="none"/>
        </w:rPr>
      </w:pPr>
    </w:p>
    <w:p w14:paraId="1D2855F1">
      <w:pPr>
        <w:rPr>
          <w:rFonts w:ascii="宋体" w:hAnsi="宋体" w:cs="宋体"/>
          <w:color w:val="auto"/>
          <w:highlight w:val="none"/>
        </w:rPr>
      </w:pPr>
    </w:p>
    <w:p w14:paraId="2F75B1F4">
      <w:pPr>
        <w:pStyle w:val="26"/>
        <w:rPr>
          <w:color w:val="auto"/>
          <w:highlight w:val="none"/>
        </w:rPr>
      </w:pPr>
    </w:p>
    <w:p w14:paraId="059F157C">
      <w:pPr>
        <w:pStyle w:val="2"/>
        <w:jc w:val="center"/>
        <w:rPr>
          <w:rFonts w:ascii="宋体" w:hAnsi="宋体" w:cs="宋体"/>
          <w:color w:val="auto"/>
          <w:highlight w:val="none"/>
        </w:rPr>
      </w:pPr>
      <w:bookmarkStart w:id="44" w:name="_Toc74323460"/>
    </w:p>
    <w:p w14:paraId="4307DD89">
      <w:pPr>
        <w:pStyle w:val="2"/>
        <w:jc w:val="center"/>
        <w:rPr>
          <w:rFonts w:ascii="宋体" w:hAnsi="宋体" w:cs="宋体"/>
          <w:color w:val="auto"/>
          <w:highlight w:val="none"/>
        </w:rPr>
      </w:pPr>
    </w:p>
    <w:p w14:paraId="1FCAA00C">
      <w:pPr>
        <w:pStyle w:val="2"/>
        <w:jc w:val="center"/>
        <w:rPr>
          <w:rFonts w:ascii="宋体" w:hAnsi="宋体" w:cs="宋体"/>
          <w:color w:val="auto"/>
          <w:highlight w:val="none"/>
        </w:rPr>
      </w:pPr>
    </w:p>
    <w:p w14:paraId="3B6AA694">
      <w:pPr>
        <w:pStyle w:val="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第五章 响应文件格式</w:t>
      </w:r>
      <w:bookmarkEnd w:id="44"/>
    </w:p>
    <w:p w14:paraId="05855AC7">
      <w:pPr>
        <w:spacing w:line="240" w:lineRule="atLeast"/>
        <w:rPr>
          <w:rFonts w:ascii="宋体" w:hAnsi="宋体" w:cs="宋体"/>
          <w:b/>
          <w:color w:val="auto"/>
          <w:sz w:val="32"/>
          <w:szCs w:val="32"/>
          <w:highlight w:val="none"/>
        </w:rPr>
      </w:pPr>
    </w:p>
    <w:p w14:paraId="67F8440E">
      <w:pPr>
        <w:spacing w:line="240" w:lineRule="atLeast"/>
        <w:rPr>
          <w:rFonts w:ascii="宋体" w:hAnsi="宋体" w:cs="宋体"/>
          <w:bCs/>
          <w:color w:val="auto"/>
          <w:sz w:val="32"/>
          <w:szCs w:val="32"/>
          <w:highlight w:val="none"/>
        </w:rPr>
      </w:pPr>
    </w:p>
    <w:p w14:paraId="3A57BD08">
      <w:pPr>
        <w:jc w:val="center"/>
        <w:rPr>
          <w:rFonts w:ascii="宋体" w:hAnsi="宋体" w:cs="宋体"/>
          <w:b/>
          <w:color w:val="auto"/>
          <w:sz w:val="32"/>
          <w:szCs w:val="32"/>
          <w:highlight w:val="none"/>
        </w:rPr>
      </w:pPr>
      <w:bookmarkStart w:id="45" w:name="_Toc44229899"/>
      <w:bookmarkStart w:id="46" w:name="_Toc31723070"/>
      <w:bookmarkStart w:id="47" w:name="_Toc71365925"/>
      <w:bookmarkStart w:id="48" w:name="_Toc31728084"/>
      <w:bookmarkStart w:id="49" w:name="_Toc35611516"/>
      <w:bookmarkStart w:id="50" w:name="_Toc35611438"/>
      <w:r>
        <w:rPr>
          <w:rFonts w:hint="eastAsia" w:ascii="宋体" w:hAnsi="宋体" w:cs="宋体"/>
          <w:b/>
          <w:color w:val="auto"/>
          <w:sz w:val="32"/>
          <w:szCs w:val="32"/>
          <w:highlight w:val="none"/>
        </w:rPr>
        <w:t>一、资格证明文件格式</w:t>
      </w:r>
      <w:bookmarkEnd w:id="45"/>
      <w:bookmarkEnd w:id="46"/>
      <w:bookmarkEnd w:id="47"/>
      <w:bookmarkEnd w:id="48"/>
      <w:bookmarkEnd w:id="49"/>
      <w:bookmarkEnd w:id="50"/>
    </w:p>
    <w:p w14:paraId="52FB9D9E">
      <w:pPr>
        <w:snapToGrid w:val="0"/>
        <w:spacing w:before="156" w:beforeLines="50" w:after="50" w:line="360" w:lineRule="auto"/>
        <w:jc w:val="center"/>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19DA9BB4">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294120B">
      <w:pPr>
        <w:snapToGrid w:val="0"/>
        <w:spacing w:before="156" w:beforeLines="50" w:after="50"/>
        <w:rPr>
          <w:rFonts w:ascii="宋体" w:hAnsi="宋体" w:cs="宋体"/>
          <w:color w:val="auto"/>
          <w:sz w:val="24"/>
          <w:szCs w:val="20"/>
          <w:highlight w:val="none"/>
        </w:rPr>
      </w:pPr>
    </w:p>
    <w:p w14:paraId="35851F0A">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4F04A3F7">
      <w:pPr>
        <w:snapToGrid w:val="0"/>
        <w:spacing w:before="156" w:beforeLines="50" w:after="50"/>
        <w:jc w:val="center"/>
        <w:rPr>
          <w:rFonts w:ascii="宋体" w:hAnsi="宋体" w:cs="宋体"/>
          <w:bCs/>
          <w:color w:val="auto"/>
          <w:sz w:val="44"/>
          <w:szCs w:val="44"/>
          <w:highlight w:val="none"/>
        </w:rPr>
      </w:pPr>
    </w:p>
    <w:p w14:paraId="001312B3">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76C119F1">
      <w:pPr>
        <w:snapToGrid w:val="0"/>
        <w:spacing w:before="156" w:beforeLines="50" w:after="50"/>
        <w:rPr>
          <w:rFonts w:ascii="宋体" w:hAnsi="宋体" w:cs="宋体"/>
          <w:bCs/>
          <w:color w:val="auto"/>
          <w:sz w:val="24"/>
          <w:szCs w:val="20"/>
          <w:highlight w:val="none"/>
        </w:rPr>
      </w:pPr>
    </w:p>
    <w:p w14:paraId="690D263D">
      <w:pPr>
        <w:snapToGrid w:val="0"/>
        <w:spacing w:before="156" w:beforeLines="50" w:after="50"/>
        <w:rPr>
          <w:rFonts w:ascii="宋体" w:hAnsi="宋体" w:cs="宋体"/>
          <w:bCs/>
          <w:color w:val="auto"/>
          <w:sz w:val="22"/>
          <w:szCs w:val="18"/>
          <w:highlight w:val="none"/>
        </w:rPr>
      </w:pPr>
    </w:p>
    <w:p w14:paraId="3880EB2C">
      <w:pPr>
        <w:snapToGrid w:val="0"/>
        <w:spacing w:before="156" w:beforeLines="50" w:after="50"/>
        <w:rPr>
          <w:rFonts w:ascii="宋体" w:hAnsi="宋体" w:cs="宋体"/>
          <w:bCs/>
          <w:color w:val="auto"/>
          <w:sz w:val="22"/>
          <w:szCs w:val="18"/>
          <w:highlight w:val="none"/>
        </w:rPr>
      </w:pPr>
    </w:p>
    <w:p w14:paraId="44CAB7DF">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FFCCB64">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0138BF4">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58ECD433">
      <w:pPr>
        <w:pStyle w:val="6"/>
        <w:snapToGrid w:val="0"/>
        <w:spacing w:before="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0958A16">
      <w:pPr>
        <w:pStyle w:val="6"/>
        <w:snapToGrid w:val="0"/>
        <w:spacing w:before="50" w:after="50"/>
        <w:ind w:firstLine="630" w:firstLineChars="225"/>
        <w:rPr>
          <w:rFonts w:ascii="宋体" w:hAnsi="宋体" w:cs="宋体"/>
          <w:bCs/>
          <w:color w:val="auto"/>
          <w:sz w:val="28"/>
          <w:szCs w:val="28"/>
          <w:highlight w:val="none"/>
        </w:rPr>
      </w:pPr>
    </w:p>
    <w:p w14:paraId="53DF3480">
      <w:pPr>
        <w:pStyle w:val="6"/>
        <w:snapToGrid w:val="0"/>
        <w:spacing w:before="50" w:after="50"/>
        <w:ind w:firstLine="630" w:firstLineChars="225"/>
        <w:rPr>
          <w:rFonts w:ascii="宋体" w:hAnsi="宋体" w:cs="宋体"/>
          <w:bCs/>
          <w:color w:val="auto"/>
          <w:sz w:val="28"/>
          <w:szCs w:val="28"/>
          <w:highlight w:val="none"/>
        </w:rPr>
      </w:pPr>
    </w:p>
    <w:p w14:paraId="34EDE96B">
      <w:pPr>
        <w:pStyle w:val="6"/>
        <w:snapToGrid w:val="0"/>
        <w:spacing w:before="50" w:after="50"/>
        <w:ind w:firstLine="1120" w:firstLineChars="400"/>
        <w:rPr>
          <w:rFonts w:ascii="宋体" w:hAnsi="宋体" w:cs="宋体"/>
          <w:bCs/>
          <w:color w:val="auto"/>
          <w:sz w:val="28"/>
          <w:szCs w:val="28"/>
          <w:highlight w:val="none"/>
        </w:rPr>
      </w:pPr>
    </w:p>
    <w:p w14:paraId="26207C53">
      <w:pPr>
        <w:snapToGrid w:val="0"/>
        <w:spacing w:before="156"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474E3672">
      <w:pPr>
        <w:snapToGrid w:val="0"/>
        <w:spacing w:before="156" w:beforeLines="50" w:after="50"/>
        <w:ind w:left="142"/>
        <w:jc w:val="left"/>
        <w:rPr>
          <w:rFonts w:ascii="宋体" w:hAnsi="宋体" w:cs="宋体"/>
          <w:b/>
          <w:bCs/>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bCs/>
          <w:color w:val="auto"/>
          <w:sz w:val="32"/>
          <w:szCs w:val="32"/>
          <w:highlight w:val="none"/>
        </w:rPr>
        <w:t>2.资格证明文件目录</w:t>
      </w:r>
    </w:p>
    <w:p w14:paraId="1E8B9965">
      <w:pPr>
        <w:snapToGrid w:val="0"/>
        <w:spacing w:before="156" w:beforeLines="50" w:after="50" w:line="360" w:lineRule="auto"/>
        <w:ind w:firstLine="645"/>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6C887355">
      <w:pPr>
        <w:snapToGrid w:val="0"/>
        <w:spacing w:before="156" w:beforeLines="50" w:after="50"/>
        <w:rPr>
          <w:rFonts w:ascii="宋体" w:hAnsi="宋体" w:cs="宋体"/>
          <w:color w:val="auto"/>
          <w:szCs w:val="21"/>
          <w:highlight w:val="none"/>
        </w:rPr>
      </w:pPr>
      <w:r>
        <w:rPr>
          <w:rFonts w:hint="eastAsia" w:ascii="宋体" w:hAnsi="宋体" w:cs="宋体"/>
          <w:color w:val="auto"/>
          <w:sz w:val="22"/>
          <w:szCs w:val="18"/>
          <w:highlight w:val="none"/>
        </w:rPr>
        <w:t xml:space="preserve"> </w:t>
      </w:r>
    </w:p>
    <w:p w14:paraId="49BD7432">
      <w:pPr>
        <w:spacing w:line="300" w:lineRule="auto"/>
        <w:rPr>
          <w:rFonts w:ascii="宋体" w:hAnsi="宋体" w:cs="宋体"/>
          <w:color w:val="auto"/>
          <w:szCs w:val="21"/>
          <w:highlight w:val="none"/>
        </w:rPr>
      </w:pPr>
    </w:p>
    <w:p w14:paraId="041F86CC">
      <w:pPr>
        <w:spacing w:line="300" w:lineRule="auto"/>
        <w:rPr>
          <w:rFonts w:ascii="宋体" w:hAnsi="宋体" w:cs="宋体"/>
          <w:color w:val="auto"/>
          <w:szCs w:val="21"/>
          <w:highlight w:val="none"/>
        </w:rPr>
      </w:pPr>
    </w:p>
    <w:p w14:paraId="4882F169">
      <w:pPr>
        <w:spacing w:line="300" w:lineRule="auto"/>
        <w:rPr>
          <w:rFonts w:ascii="宋体" w:hAnsi="宋体" w:cs="宋体"/>
          <w:color w:val="auto"/>
          <w:szCs w:val="21"/>
          <w:highlight w:val="none"/>
        </w:rPr>
      </w:pPr>
    </w:p>
    <w:p w14:paraId="627436EA">
      <w:pPr>
        <w:spacing w:line="300" w:lineRule="auto"/>
        <w:rPr>
          <w:rFonts w:ascii="宋体" w:hAnsi="宋体" w:cs="宋体"/>
          <w:color w:val="auto"/>
          <w:szCs w:val="21"/>
          <w:highlight w:val="none"/>
        </w:rPr>
      </w:pPr>
    </w:p>
    <w:p w14:paraId="1F6B8CD2">
      <w:pPr>
        <w:spacing w:line="300" w:lineRule="auto"/>
        <w:rPr>
          <w:rFonts w:ascii="宋体" w:hAnsi="宋体" w:cs="宋体"/>
          <w:color w:val="auto"/>
          <w:szCs w:val="21"/>
          <w:highlight w:val="none"/>
        </w:rPr>
      </w:pPr>
    </w:p>
    <w:p w14:paraId="7C0617A5">
      <w:pPr>
        <w:spacing w:line="300" w:lineRule="auto"/>
        <w:rPr>
          <w:rFonts w:ascii="宋体" w:hAnsi="宋体" w:cs="宋体"/>
          <w:color w:val="auto"/>
          <w:szCs w:val="21"/>
          <w:highlight w:val="none"/>
        </w:rPr>
      </w:pPr>
    </w:p>
    <w:p w14:paraId="10C62076">
      <w:pPr>
        <w:jc w:val="center"/>
        <w:rPr>
          <w:rFonts w:ascii="宋体" w:hAnsi="宋体" w:cs="宋体"/>
          <w:b/>
          <w:color w:val="auto"/>
          <w:sz w:val="32"/>
          <w:szCs w:val="32"/>
          <w:highlight w:val="none"/>
        </w:rPr>
      </w:pPr>
      <w:r>
        <w:rPr>
          <w:rFonts w:hint="eastAsia" w:ascii="宋体" w:hAnsi="宋体" w:cs="宋体"/>
          <w:color w:val="auto"/>
          <w:szCs w:val="21"/>
          <w:highlight w:val="none"/>
        </w:rPr>
        <w:br w:type="page"/>
      </w:r>
    </w:p>
    <w:p w14:paraId="1BD80ABD">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4A20AD2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（一）供应商</w:t>
      </w:r>
      <w:r>
        <w:rPr>
          <w:rFonts w:hint="eastAsia" w:ascii="宋体" w:hAnsi="宋体" w:cs="宋体"/>
          <w:b/>
          <w:color w:val="auto"/>
          <w:kern w:val="0"/>
          <w:sz w:val="32"/>
          <w:szCs w:val="32"/>
          <w:highlight w:val="none"/>
        </w:rPr>
        <w:t>直接控股股东信息表</w:t>
      </w:r>
    </w:p>
    <w:p w14:paraId="629FAFB8">
      <w:pPr>
        <w:snapToGrid w:val="0"/>
        <w:spacing w:before="156" w:beforeLines="50" w:after="50"/>
        <w:jc w:val="center"/>
        <w:rPr>
          <w:rFonts w:ascii="宋体" w:hAnsi="宋体" w:cs="宋体"/>
          <w:b/>
          <w:color w:val="auto"/>
          <w:sz w:val="24"/>
          <w:highlight w:val="none"/>
        </w:rPr>
      </w:pPr>
    </w:p>
    <w:p w14:paraId="23251E08">
      <w:pPr>
        <w:spacing w:line="360" w:lineRule="auto"/>
        <w:contextualSpacing/>
        <w:jc w:val="center"/>
        <w:rPr>
          <w:rFonts w:ascii="宋体" w:hAnsi="宋体" w:cs="宋体"/>
          <w:b/>
          <w:color w:val="auto"/>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BED2EE4">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DD9D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C05F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ED42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3D2E0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1B072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7CB0A0">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CB99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D9C59A">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1AB">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7161A">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7BA23">
            <w:pPr>
              <w:widowControl/>
              <w:spacing w:line="360" w:lineRule="auto"/>
              <w:contextualSpacing/>
              <w:jc w:val="center"/>
              <w:rPr>
                <w:rFonts w:ascii="宋体" w:hAnsi="宋体" w:cs="宋体"/>
                <w:color w:val="auto"/>
                <w:kern w:val="0"/>
                <w:sz w:val="24"/>
                <w:highlight w:val="none"/>
              </w:rPr>
            </w:pPr>
          </w:p>
        </w:tc>
      </w:tr>
      <w:tr w14:paraId="4C332662">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0B0C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ACD82">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AE0CC">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5ED398">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82DD6">
            <w:pPr>
              <w:widowControl/>
              <w:spacing w:line="360" w:lineRule="auto"/>
              <w:contextualSpacing/>
              <w:jc w:val="center"/>
              <w:rPr>
                <w:rFonts w:ascii="宋体" w:hAnsi="宋体" w:cs="宋体"/>
                <w:color w:val="auto"/>
                <w:kern w:val="0"/>
                <w:sz w:val="24"/>
                <w:highlight w:val="none"/>
              </w:rPr>
            </w:pPr>
          </w:p>
        </w:tc>
      </w:tr>
      <w:tr w14:paraId="4E92B671">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546DE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9B4EC">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EB8CC">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5B6">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D6B86">
            <w:pPr>
              <w:widowControl/>
              <w:spacing w:line="360" w:lineRule="auto"/>
              <w:contextualSpacing/>
              <w:jc w:val="center"/>
              <w:rPr>
                <w:rFonts w:ascii="宋体" w:hAnsi="宋体" w:cs="宋体"/>
                <w:color w:val="auto"/>
                <w:kern w:val="0"/>
                <w:sz w:val="24"/>
                <w:highlight w:val="none"/>
              </w:rPr>
            </w:pPr>
          </w:p>
        </w:tc>
      </w:tr>
    </w:tbl>
    <w:p w14:paraId="6D6DE0D1">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B56B4FA">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69A8D2">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487E5D80">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32D5CFD7">
      <w:pPr>
        <w:snapToGrid w:val="0"/>
        <w:spacing w:line="360" w:lineRule="auto"/>
        <w:jc w:val="left"/>
        <w:rPr>
          <w:rFonts w:ascii="宋体" w:hAnsi="宋体" w:cs="宋体"/>
          <w:color w:val="auto"/>
          <w:sz w:val="24"/>
          <w:highlight w:val="none"/>
        </w:rPr>
      </w:pPr>
    </w:p>
    <w:p w14:paraId="4F934ADD">
      <w:pPr>
        <w:snapToGrid w:val="0"/>
        <w:spacing w:line="360" w:lineRule="auto"/>
        <w:jc w:val="left"/>
        <w:rPr>
          <w:rFonts w:ascii="宋体" w:hAnsi="宋体" w:cs="宋体"/>
          <w:color w:val="auto"/>
          <w:sz w:val="24"/>
          <w:highlight w:val="none"/>
        </w:rPr>
      </w:pPr>
    </w:p>
    <w:p w14:paraId="60ABDF5E">
      <w:pPr>
        <w:snapToGrid w:val="0"/>
        <w:spacing w:line="360" w:lineRule="auto"/>
        <w:jc w:val="left"/>
        <w:rPr>
          <w:rFonts w:ascii="宋体" w:hAnsi="宋体" w:cs="宋体"/>
          <w:color w:val="auto"/>
          <w:sz w:val="24"/>
          <w:highlight w:val="none"/>
        </w:rPr>
      </w:pPr>
    </w:p>
    <w:p w14:paraId="3CA5063F">
      <w:pPr>
        <w:snapToGrid w:val="0"/>
        <w:spacing w:before="156"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21ED6459">
      <w:pPr>
        <w:snapToGrid w:val="0"/>
        <w:spacing w:before="156"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2B2F6C6C">
      <w:pPr>
        <w:snapToGrid w:val="0"/>
        <w:spacing w:before="156" w:beforeLines="50" w:after="50" w:line="360" w:lineRule="auto"/>
        <w:ind w:right="480" w:firstLine="3600" w:firstLineChars="1500"/>
        <w:rPr>
          <w:rFonts w:ascii="宋体" w:hAnsi="宋体" w:cs="宋体"/>
          <w:color w:val="auto"/>
          <w:sz w:val="28"/>
          <w:szCs w:val="28"/>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55F26A7">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3E5AB015">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（二）供应商直接管理关系信息表</w:t>
      </w:r>
    </w:p>
    <w:p w14:paraId="3821E02F">
      <w:pPr>
        <w:snapToGrid w:val="0"/>
        <w:spacing w:line="360" w:lineRule="auto"/>
        <w:jc w:val="center"/>
        <w:rPr>
          <w:rFonts w:ascii="宋体" w:hAnsi="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B5762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A23AA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0C86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4BF9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6786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3327DC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3CB7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10DF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0802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9149">
            <w:pPr>
              <w:widowControl/>
              <w:spacing w:line="360" w:lineRule="auto"/>
              <w:contextualSpacing/>
              <w:jc w:val="center"/>
              <w:rPr>
                <w:rFonts w:ascii="宋体" w:hAnsi="宋体" w:cs="宋体"/>
                <w:color w:val="auto"/>
                <w:kern w:val="0"/>
                <w:sz w:val="24"/>
                <w:highlight w:val="none"/>
              </w:rPr>
            </w:pPr>
          </w:p>
        </w:tc>
      </w:tr>
      <w:tr w14:paraId="419E7F2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110AF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DEC2B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061D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61E8A">
            <w:pPr>
              <w:widowControl/>
              <w:spacing w:line="360" w:lineRule="auto"/>
              <w:contextualSpacing/>
              <w:jc w:val="center"/>
              <w:rPr>
                <w:rFonts w:ascii="宋体" w:hAnsi="宋体" w:cs="宋体"/>
                <w:color w:val="auto"/>
                <w:kern w:val="0"/>
                <w:sz w:val="24"/>
                <w:highlight w:val="none"/>
              </w:rPr>
            </w:pPr>
          </w:p>
        </w:tc>
      </w:tr>
      <w:tr w14:paraId="0E0F4DE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FFD8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2D7357">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EA80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71AD39">
            <w:pPr>
              <w:widowControl/>
              <w:spacing w:line="360" w:lineRule="auto"/>
              <w:contextualSpacing/>
              <w:jc w:val="center"/>
              <w:rPr>
                <w:rFonts w:ascii="宋体" w:hAnsi="宋体" w:cs="宋体"/>
                <w:color w:val="auto"/>
                <w:kern w:val="0"/>
                <w:sz w:val="24"/>
                <w:highlight w:val="none"/>
              </w:rPr>
            </w:pPr>
          </w:p>
        </w:tc>
      </w:tr>
      <w:tr w14:paraId="2188909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2B996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947D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5856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C98A3">
            <w:pPr>
              <w:widowControl/>
              <w:spacing w:line="360" w:lineRule="auto"/>
              <w:contextualSpacing/>
              <w:jc w:val="center"/>
              <w:rPr>
                <w:rFonts w:ascii="宋体" w:hAnsi="宋体" w:cs="宋体"/>
                <w:color w:val="auto"/>
                <w:kern w:val="0"/>
                <w:sz w:val="24"/>
                <w:highlight w:val="none"/>
              </w:rPr>
            </w:pPr>
          </w:p>
        </w:tc>
      </w:tr>
    </w:tbl>
    <w:p w14:paraId="0F1FAF93">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D9F4F27">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73AC6035">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36F3D7A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43A5DC97">
      <w:pPr>
        <w:spacing w:line="360" w:lineRule="auto"/>
        <w:contextualSpacing/>
        <w:jc w:val="left"/>
        <w:rPr>
          <w:rFonts w:ascii="宋体" w:hAnsi="宋体" w:cs="宋体"/>
          <w:color w:val="auto"/>
          <w:sz w:val="24"/>
          <w:highlight w:val="none"/>
        </w:rPr>
      </w:pPr>
    </w:p>
    <w:p w14:paraId="4D0C7767">
      <w:pPr>
        <w:spacing w:line="360" w:lineRule="auto"/>
        <w:contextualSpacing/>
        <w:jc w:val="left"/>
        <w:rPr>
          <w:rFonts w:ascii="宋体" w:hAnsi="宋体" w:cs="宋体"/>
          <w:color w:val="auto"/>
          <w:sz w:val="24"/>
          <w:highlight w:val="none"/>
        </w:rPr>
      </w:pPr>
    </w:p>
    <w:p w14:paraId="724D8F7E">
      <w:pPr>
        <w:spacing w:line="360" w:lineRule="auto"/>
        <w:contextualSpacing/>
        <w:jc w:val="left"/>
        <w:rPr>
          <w:rFonts w:ascii="宋体" w:hAnsi="宋体" w:cs="宋体"/>
          <w:color w:val="auto"/>
          <w:sz w:val="24"/>
          <w:highlight w:val="none"/>
        </w:rPr>
      </w:pPr>
    </w:p>
    <w:p w14:paraId="2486D640">
      <w:pPr>
        <w:spacing w:line="360" w:lineRule="auto"/>
        <w:contextualSpacing/>
        <w:jc w:val="left"/>
        <w:rPr>
          <w:rFonts w:ascii="宋体" w:hAnsi="宋体" w:cs="宋体"/>
          <w:color w:val="auto"/>
          <w:sz w:val="24"/>
          <w:highlight w:val="none"/>
        </w:rPr>
      </w:pPr>
    </w:p>
    <w:p w14:paraId="63D62A4B">
      <w:pPr>
        <w:spacing w:line="360" w:lineRule="auto"/>
        <w:contextualSpacing/>
        <w:jc w:val="left"/>
        <w:rPr>
          <w:rFonts w:ascii="宋体" w:hAnsi="宋体" w:cs="宋体"/>
          <w:color w:val="auto"/>
          <w:sz w:val="24"/>
          <w:highlight w:val="none"/>
        </w:rPr>
      </w:pPr>
    </w:p>
    <w:p w14:paraId="2A215F4E">
      <w:pPr>
        <w:spacing w:line="360" w:lineRule="auto"/>
        <w:contextualSpacing/>
        <w:jc w:val="left"/>
        <w:rPr>
          <w:rFonts w:ascii="宋体" w:hAnsi="宋体" w:cs="宋体"/>
          <w:color w:val="auto"/>
          <w:sz w:val="24"/>
          <w:highlight w:val="none"/>
        </w:rPr>
      </w:pPr>
    </w:p>
    <w:p w14:paraId="5D5207EE">
      <w:pPr>
        <w:spacing w:line="360" w:lineRule="auto"/>
        <w:ind w:right="480" w:firstLine="3360" w:firstLineChars="140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2F071213">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3D4D29DC">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44BB749">
      <w:pPr>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参与竞争性磋商声明</w:t>
      </w:r>
    </w:p>
    <w:p w14:paraId="77C3479A">
      <w:pPr>
        <w:spacing w:line="320" w:lineRule="exact"/>
        <w:jc w:val="center"/>
        <w:rPr>
          <w:rFonts w:ascii="宋体" w:hAnsi="宋体" w:cs="宋体"/>
          <w:color w:val="auto"/>
          <w:sz w:val="24"/>
          <w:szCs w:val="20"/>
          <w:highlight w:val="none"/>
        </w:rPr>
      </w:pPr>
    </w:p>
    <w:p w14:paraId="199EE83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03F56D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F2DC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项目的竞争性磋商，为便于贵方公正、择优地确定成交供应商及其参与竞争性磋商提供的产品和服务，我方就本次参与竞争性磋商有关事项郑重声明如下：</w:t>
      </w:r>
    </w:p>
    <w:p w14:paraId="38012FE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096A0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4DA1421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3E710E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2389E9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1282D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D7652E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（4）响应磋商文件规定的竞争性磋商有效期。</w:t>
      </w:r>
    </w:p>
    <w:p w14:paraId="5F57738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8F72B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D440F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7171B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C74A91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287D7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0627A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D0BF5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CFB9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1FB65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48395B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125C6D">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5670931E">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7C8D7B7">
      <w:pPr>
        <w:pStyle w:val="15"/>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F085DF3">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91A8CF6">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我方若参与竞争性磋商成功，除非发生不可抗力，承诺与采购人及时签订《合同书》。如果放弃，自愿按照本磋商文件之《供应商须知正文》条款第2</w:t>
      </w:r>
      <w:r>
        <w:rPr>
          <w:rFonts w:ascii="宋体" w:hAnsi="宋体" w:cs="宋体"/>
          <w:color w:val="auto"/>
          <w:sz w:val="24"/>
          <w:highlight w:val="none"/>
        </w:rPr>
        <w:t>7.3</w:t>
      </w:r>
      <w:r>
        <w:rPr>
          <w:rFonts w:hint="eastAsia" w:ascii="宋体" w:hAnsi="宋体" w:cs="宋体"/>
          <w:color w:val="auto"/>
          <w:sz w:val="24"/>
          <w:highlight w:val="none"/>
        </w:rPr>
        <w:t>条的要求承担法律责任和失信惩戒。</w:t>
      </w:r>
    </w:p>
    <w:p w14:paraId="6F08FE47">
      <w:pPr>
        <w:pStyle w:val="15"/>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470FE32D">
      <w:pPr>
        <w:pStyle w:val="15"/>
        <w:tabs>
          <w:tab w:val="left" w:pos="939"/>
        </w:tabs>
        <w:spacing w:line="360" w:lineRule="auto"/>
        <w:ind w:left="0" w:leftChars="0"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注：如为联合体参与竞争性磋商，盖章处须加盖联合体各方公章并由联合体各方法定代表人签署，否则其响应文件按无效响应处理。</w:t>
      </w:r>
    </w:p>
    <w:p w14:paraId="478B1914">
      <w:pPr>
        <w:pStyle w:val="15"/>
        <w:tabs>
          <w:tab w:val="left" w:pos="939"/>
        </w:tabs>
        <w:spacing w:line="360" w:lineRule="auto"/>
        <w:ind w:left="0" w:leftChars="0" w:firstLine="480" w:firstLineChars="200"/>
        <w:rPr>
          <w:rFonts w:ascii="宋体" w:hAnsi="宋体" w:cs="宋体"/>
          <w:color w:val="auto"/>
          <w:sz w:val="24"/>
          <w:highlight w:val="none"/>
        </w:rPr>
      </w:pPr>
    </w:p>
    <w:p w14:paraId="3E4DE50A">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14:paraId="4D588321">
      <w:pPr>
        <w:spacing w:line="360" w:lineRule="auto"/>
        <w:ind w:firstLine="240" w:firstLineChars="10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57AB624D">
      <w:pPr>
        <w:spacing w:line="360" w:lineRule="auto"/>
        <w:ind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4E71197">
      <w:pPr>
        <w:pStyle w:val="6"/>
        <w:overflowPunct w:val="0"/>
        <w:spacing w:line="360" w:lineRule="auto"/>
        <w:ind w:firstLine="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联合体参与竞争性磋商协议书</w:t>
      </w:r>
    </w:p>
    <w:p w14:paraId="0F9AC418">
      <w:pPr>
        <w:pStyle w:val="6"/>
        <w:overflowPunct w:val="0"/>
        <w:spacing w:line="360" w:lineRule="auto"/>
        <w:ind w:firstLine="0"/>
        <w:rPr>
          <w:rFonts w:ascii="宋体" w:hAnsi="宋体" w:cs="宋体"/>
          <w:color w:val="auto"/>
          <w:sz w:val="24"/>
          <w:szCs w:val="24"/>
          <w:highlight w:val="none"/>
        </w:rPr>
      </w:pPr>
    </w:p>
    <w:p w14:paraId="3F619852">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。现就联合体参与</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事宜订立如下协议。</w:t>
      </w:r>
    </w:p>
    <w:p w14:paraId="1E1D6632">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68E64EEC">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项目有关的一切事宜。</w:t>
      </w:r>
    </w:p>
    <w:p w14:paraId="666EADDE">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3F10FA56">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960832C">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协议书自所有成员单位法定代表人（单位负责人）或者其委托代理人签字或者盖单位章之日起生效，合同履行完毕后自动失效。</w:t>
      </w:r>
    </w:p>
    <w:p w14:paraId="5694DEDD">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份，联合体成员和采购人各执壹份。</w:t>
      </w:r>
    </w:p>
    <w:p w14:paraId="2836A0C0">
      <w:pPr>
        <w:pStyle w:val="6"/>
        <w:overflowPunct w:val="0"/>
        <w:spacing w:line="360" w:lineRule="auto"/>
        <w:ind w:firstLine="482" w:firstLineChars="200"/>
        <w:contextualSpacing/>
        <w:rPr>
          <w:rFonts w:ascii="楷体" w:hAnsi="楷体" w:eastAsia="楷体" w:cs="宋体"/>
          <w:color w:val="auto"/>
          <w:sz w:val="24"/>
          <w:szCs w:val="24"/>
          <w:highlight w:val="none"/>
        </w:rPr>
      </w:pPr>
      <w:r>
        <w:rPr>
          <w:rFonts w:hint="eastAsia" w:ascii="楷体" w:hAnsi="楷体" w:eastAsia="楷体" w:cs="宋体"/>
          <w:b/>
          <w:color w:val="auto"/>
          <w:sz w:val="24"/>
          <w:szCs w:val="24"/>
          <w:highlight w:val="none"/>
        </w:rPr>
        <w:t>注：</w:t>
      </w:r>
      <w:r>
        <w:rPr>
          <w:rFonts w:hint="eastAsia" w:ascii="楷体" w:hAnsi="楷体" w:eastAsia="楷体" w:cs="宋体"/>
          <w:color w:val="auto"/>
          <w:sz w:val="24"/>
          <w:szCs w:val="24"/>
          <w:highlight w:val="none"/>
        </w:rPr>
        <w:t>本协议书由法定代表人（单位负责人）签字的，应附法定代表人（单位负责人）身份证明书；由委托代理人签字的，应附联合体协议签订授权委托书（格式自拟）。</w:t>
      </w:r>
    </w:p>
    <w:p w14:paraId="52C19EC5">
      <w:pPr>
        <w:pStyle w:val="6"/>
        <w:overflowPunct w:val="0"/>
        <w:spacing w:line="360" w:lineRule="auto"/>
        <w:ind w:firstLineChars="175"/>
        <w:contextualSpacing/>
        <w:rPr>
          <w:rFonts w:ascii="宋体" w:hAnsi="宋体" w:cs="宋体"/>
          <w:color w:val="auto"/>
          <w:sz w:val="24"/>
          <w:szCs w:val="24"/>
          <w:highlight w:val="none"/>
        </w:rPr>
      </w:pPr>
    </w:p>
    <w:p w14:paraId="68F4CE2B">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联合体牵头人名称（盖公章）：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12964953">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A87B8BD">
      <w:pPr>
        <w:pStyle w:val="6"/>
        <w:overflowPunct w:val="0"/>
        <w:spacing w:line="360" w:lineRule="auto"/>
        <w:ind w:firstLineChars="175"/>
        <w:contextualSpacing/>
        <w:rPr>
          <w:rFonts w:ascii="宋体" w:hAnsi="宋体" w:cs="宋体"/>
          <w:color w:val="auto"/>
          <w:sz w:val="24"/>
          <w:szCs w:val="24"/>
          <w:highlight w:val="none"/>
        </w:rPr>
      </w:pPr>
    </w:p>
    <w:p w14:paraId="33C6FE5B">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7418BEC6">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745BAA56">
      <w:pPr>
        <w:pStyle w:val="6"/>
        <w:overflowPunct w:val="0"/>
        <w:spacing w:line="360" w:lineRule="auto"/>
        <w:ind w:firstLineChars="175"/>
        <w:contextualSpacing/>
        <w:rPr>
          <w:rFonts w:ascii="宋体" w:hAnsi="宋体" w:cs="宋体"/>
          <w:color w:val="auto"/>
          <w:sz w:val="24"/>
          <w:szCs w:val="24"/>
          <w:highlight w:val="none"/>
        </w:rPr>
      </w:pPr>
    </w:p>
    <w:p w14:paraId="7BA2A18B">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91C5EE3">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4070FB03">
      <w:pPr>
        <w:pStyle w:val="6"/>
        <w:overflowPunct w:val="0"/>
        <w:spacing w:line="360" w:lineRule="auto"/>
        <w:ind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495A860B">
      <w:pPr>
        <w:spacing w:line="360" w:lineRule="auto"/>
        <w:ind w:right="480" w:firstLine="240" w:firstLineChars="100"/>
        <w:contextualSpacing/>
        <w:jc w:val="center"/>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30D539AD">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7F1267FA">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002BE2A0">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EA1D0E5">
      <w:pPr>
        <w:snapToGrid w:val="0"/>
        <w:spacing w:before="156" w:beforeLines="50" w:after="50"/>
        <w:rPr>
          <w:rFonts w:ascii="宋体" w:hAnsi="宋体" w:cs="宋体"/>
          <w:color w:val="auto"/>
          <w:sz w:val="24"/>
          <w:szCs w:val="20"/>
          <w:highlight w:val="none"/>
        </w:rPr>
      </w:pPr>
    </w:p>
    <w:p w14:paraId="10D7A096">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3B384F9E">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7A5331EB">
      <w:pPr>
        <w:snapToGrid w:val="0"/>
        <w:spacing w:before="156" w:beforeLines="50" w:after="50"/>
        <w:rPr>
          <w:rFonts w:ascii="宋体" w:hAnsi="宋体" w:cs="宋体"/>
          <w:bCs/>
          <w:color w:val="auto"/>
          <w:sz w:val="24"/>
          <w:szCs w:val="20"/>
          <w:highlight w:val="none"/>
        </w:rPr>
      </w:pPr>
    </w:p>
    <w:p w14:paraId="64AEF62F">
      <w:pPr>
        <w:snapToGrid w:val="0"/>
        <w:spacing w:before="156" w:beforeLines="50" w:after="50"/>
        <w:rPr>
          <w:rFonts w:ascii="宋体" w:hAnsi="宋体" w:cs="宋体"/>
          <w:bCs/>
          <w:color w:val="auto"/>
          <w:sz w:val="24"/>
          <w:szCs w:val="20"/>
          <w:highlight w:val="none"/>
        </w:rPr>
      </w:pPr>
    </w:p>
    <w:p w14:paraId="272765FB">
      <w:pPr>
        <w:snapToGrid w:val="0"/>
        <w:spacing w:before="156" w:beforeLines="50" w:after="50"/>
        <w:ind w:firstLine="2100" w:firstLineChars="875"/>
        <w:rPr>
          <w:rFonts w:ascii="宋体" w:hAnsi="宋体" w:cs="宋体"/>
          <w:bCs/>
          <w:color w:val="auto"/>
          <w:sz w:val="24"/>
          <w:szCs w:val="20"/>
          <w:highlight w:val="none"/>
        </w:rPr>
      </w:pPr>
    </w:p>
    <w:p w14:paraId="2D802028">
      <w:pPr>
        <w:snapToGrid w:val="0"/>
        <w:spacing w:before="156" w:beforeLines="50" w:after="50"/>
        <w:ind w:firstLine="2100" w:firstLineChars="875"/>
        <w:rPr>
          <w:rFonts w:ascii="宋体" w:hAnsi="宋体" w:cs="宋体"/>
          <w:bCs/>
          <w:color w:val="auto"/>
          <w:sz w:val="24"/>
          <w:szCs w:val="20"/>
          <w:highlight w:val="none"/>
        </w:rPr>
      </w:pPr>
    </w:p>
    <w:p w14:paraId="275E6D6F">
      <w:pPr>
        <w:snapToGrid w:val="0"/>
        <w:spacing w:before="156" w:beforeLines="50" w:after="50"/>
        <w:ind w:firstLine="2100" w:firstLineChars="875"/>
        <w:rPr>
          <w:rFonts w:ascii="宋体" w:hAnsi="宋体" w:cs="宋体"/>
          <w:bCs/>
          <w:color w:val="auto"/>
          <w:sz w:val="24"/>
          <w:szCs w:val="20"/>
          <w:highlight w:val="none"/>
        </w:rPr>
      </w:pPr>
    </w:p>
    <w:p w14:paraId="6C98F910">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397CE6D">
      <w:pPr>
        <w:snapToGrid w:val="0"/>
        <w:spacing w:before="156" w:beforeLines="50" w:after="50"/>
        <w:ind w:firstLine="2800" w:firstLineChars="875"/>
        <w:rPr>
          <w:rFonts w:ascii="宋体" w:hAnsi="宋体" w:cs="宋体"/>
          <w:bCs/>
          <w:color w:val="auto"/>
          <w:sz w:val="32"/>
          <w:szCs w:val="32"/>
          <w:highlight w:val="none"/>
        </w:rPr>
      </w:pPr>
    </w:p>
    <w:p w14:paraId="31D70FEE">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28AD941">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3BD6A81">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54ABB32D">
      <w:pPr>
        <w:snapToGrid w:val="0"/>
        <w:spacing w:before="156" w:beforeLines="50" w:after="50"/>
        <w:ind w:firstLine="2800" w:firstLineChars="875"/>
        <w:rPr>
          <w:rFonts w:ascii="宋体" w:hAnsi="宋体" w:cs="宋体"/>
          <w:bCs/>
          <w:color w:val="auto"/>
          <w:sz w:val="32"/>
          <w:szCs w:val="32"/>
          <w:highlight w:val="none"/>
        </w:rPr>
      </w:pPr>
    </w:p>
    <w:p w14:paraId="5A0596CB">
      <w:pPr>
        <w:pStyle w:val="6"/>
        <w:snapToGrid w:val="0"/>
        <w:spacing w:before="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376D499">
      <w:pPr>
        <w:pStyle w:val="6"/>
        <w:snapToGrid w:val="0"/>
        <w:spacing w:before="50" w:after="50"/>
        <w:ind w:firstLine="2800" w:firstLineChars="875"/>
        <w:rPr>
          <w:rFonts w:ascii="宋体" w:hAnsi="宋体" w:cs="宋体"/>
          <w:bCs/>
          <w:color w:val="auto"/>
          <w:sz w:val="32"/>
          <w:szCs w:val="32"/>
          <w:highlight w:val="none"/>
        </w:rPr>
      </w:pPr>
    </w:p>
    <w:p w14:paraId="20C6A5CF">
      <w:pPr>
        <w:pStyle w:val="6"/>
        <w:snapToGrid w:val="0"/>
        <w:spacing w:before="50" w:after="50"/>
        <w:ind w:firstLine="720" w:firstLineChars="225"/>
        <w:rPr>
          <w:rFonts w:ascii="宋体" w:hAnsi="宋体" w:cs="宋体"/>
          <w:bCs/>
          <w:color w:val="auto"/>
          <w:sz w:val="32"/>
          <w:szCs w:val="32"/>
          <w:highlight w:val="none"/>
        </w:rPr>
      </w:pPr>
    </w:p>
    <w:p w14:paraId="7FD3C0D3">
      <w:pPr>
        <w:pStyle w:val="6"/>
        <w:snapToGrid w:val="0"/>
        <w:spacing w:before="50" w:after="50"/>
        <w:ind w:firstLine="1280" w:firstLineChars="400"/>
        <w:rPr>
          <w:rFonts w:ascii="宋体" w:hAnsi="宋体" w:cs="宋体"/>
          <w:bCs/>
          <w:color w:val="auto"/>
          <w:sz w:val="32"/>
          <w:szCs w:val="32"/>
          <w:highlight w:val="none"/>
        </w:rPr>
      </w:pPr>
    </w:p>
    <w:p w14:paraId="79995B8E">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B5A4F00">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22956295">
      <w:pPr>
        <w:snapToGrid w:val="0"/>
        <w:spacing w:before="156"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57F3AEB7">
      <w:pPr>
        <w:spacing w:line="400" w:lineRule="exact"/>
        <w:rPr>
          <w:rFonts w:ascii="宋体" w:hAnsi="宋体" w:cs="宋体"/>
          <w:color w:val="auto"/>
          <w:sz w:val="32"/>
          <w:szCs w:val="32"/>
          <w:highlight w:val="none"/>
        </w:rPr>
      </w:pPr>
    </w:p>
    <w:p w14:paraId="3A829259">
      <w:pPr>
        <w:jc w:val="center"/>
        <w:rPr>
          <w:rFonts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无串通参与竞争性磋商行为的承诺函</w:t>
      </w:r>
    </w:p>
    <w:p w14:paraId="3E354171">
      <w:pPr>
        <w:spacing w:line="360" w:lineRule="auto"/>
        <w:ind w:firstLine="640" w:firstLineChars="200"/>
        <w:contextualSpacing/>
        <w:rPr>
          <w:rFonts w:ascii="宋体" w:hAnsi="宋体" w:cs="宋体"/>
          <w:color w:val="auto"/>
          <w:sz w:val="32"/>
          <w:szCs w:val="32"/>
          <w:highlight w:val="none"/>
        </w:rPr>
      </w:pPr>
    </w:p>
    <w:p w14:paraId="1C1C4F1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一、我方承诺无下列相互串通参与</w:t>
      </w:r>
      <w:r>
        <w:rPr>
          <w:rFonts w:hint="eastAsia" w:ascii="宋体" w:hAnsi="宋体" w:cs="宋体"/>
          <w:color w:val="auto"/>
          <w:sz w:val="24"/>
          <w:highlight w:val="none"/>
        </w:rPr>
        <w:t>竞争性磋商</w:t>
      </w:r>
      <w:r>
        <w:rPr>
          <w:rFonts w:hint="eastAsia" w:ascii="宋体" w:hAnsi="宋体" w:cs="宋体"/>
          <w:b/>
          <w:bCs/>
          <w:color w:val="auto"/>
          <w:sz w:val="24"/>
          <w:highlight w:val="none"/>
        </w:rPr>
        <w:t>的情形：</w:t>
      </w:r>
    </w:p>
    <w:p w14:paraId="0513D4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64D822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2.不同供应商委托同一单位或者个人办理参与竞争性磋商事宜；</w:t>
      </w:r>
    </w:p>
    <w:p w14:paraId="52A21B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300279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同供应商的响应文件异常一致或者参与</w:t>
      </w:r>
      <w:r>
        <w:rPr>
          <w:rFonts w:hint="eastAsia" w:ascii="宋体" w:hAnsi="宋体" w:cs="宋体"/>
          <w:color w:val="auto"/>
          <w:sz w:val="24"/>
          <w:highlight w:val="none"/>
        </w:rPr>
        <w:t>竞争性磋商</w:t>
      </w:r>
      <w:r>
        <w:rPr>
          <w:rFonts w:hint="eastAsia" w:ascii="宋体" w:hAnsi="宋体" w:cs="宋体"/>
          <w:color w:val="auto"/>
          <w:spacing w:val="-6"/>
          <w:sz w:val="24"/>
          <w:highlight w:val="none"/>
        </w:rPr>
        <w:t>报价呈规律性差异；</w:t>
      </w:r>
    </w:p>
    <w:p w14:paraId="6A02458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4320C8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3F188C7C">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BD256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44A4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766CF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E32A8D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884A7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640BB6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075DFE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51B0B57">
      <w:pPr>
        <w:spacing w:line="360" w:lineRule="auto"/>
        <w:ind w:firstLine="480" w:firstLineChars="200"/>
        <w:contextualSpacing/>
        <w:rPr>
          <w:rFonts w:ascii="宋体" w:hAnsi="宋体" w:cs="宋体"/>
          <w:color w:val="auto"/>
          <w:sz w:val="24"/>
          <w:highlight w:val="none"/>
        </w:rPr>
      </w:pPr>
    </w:p>
    <w:p w14:paraId="698ED67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27C615C8">
      <w:pPr>
        <w:spacing w:line="360" w:lineRule="auto"/>
        <w:contextualSpacing/>
        <w:rPr>
          <w:rFonts w:ascii="宋体" w:hAnsi="宋体" w:cs="宋体"/>
          <w:color w:val="auto"/>
          <w:sz w:val="24"/>
          <w:highlight w:val="none"/>
        </w:rPr>
      </w:pPr>
    </w:p>
    <w:p w14:paraId="753E53DF">
      <w:pPr>
        <w:spacing w:line="360" w:lineRule="auto"/>
        <w:ind w:firstLine="5040" w:firstLineChars="21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3249762">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DD070BA">
      <w:pPr>
        <w:jc w:val="center"/>
        <w:rPr>
          <w:rFonts w:ascii="宋体" w:hAnsi="宋体" w:cs="宋体"/>
          <w:b/>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竞争性磋商报价表</w:t>
      </w:r>
    </w:p>
    <w:p w14:paraId="20817F97">
      <w:pPr>
        <w:spacing w:line="440" w:lineRule="exact"/>
        <w:jc w:val="center"/>
        <w:rPr>
          <w:rFonts w:ascii="宋体" w:hAnsi="宋体" w:cs="宋体"/>
          <w:bCs/>
          <w:color w:val="auto"/>
          <w:sz w:val="32"/>
          <w:szCs w:val="32"/>
          <w:highlight w:val="none"/>
        </w:rPr>
      </w:pPr>
    </w:p>
    <w:p w14:paraId="23088C8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A0444F4">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30D60EA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EFDA1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货币单位：人民币元</w:t>
      </w:r>
    </w:p>
    <w:tbl>
      <w:tblPr>
        <w:tblStyle w:val="29"/>
        <w:tblpPr w:leftFromText="180" w:rightFromText="180" w:vertAnchor="text" w:horzAnchor="page" w:tblpX="1867" w:tblpY="136"/>
        <w:tblOverlap w:val="never"/>
        <w:tblW w:w="8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207"/>
      </w:tblGrid>
      <w:tr w14:paraId="0D79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8E6A7B9">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4BBDB1F">
            <w:pPr>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42928FAD">
            <w:pPr>
              <w:jc w:val="center"/>
              <w:rPr>
                <w:rFonts w:ascii="宋体" w:hAnsi="宋体" w:cs="宋体"/>
                <w:color w:val="auto"/>
                <w:sz w:val="24"/>
                <w:highlight w:val="none"/>
              </w:rPr>
            </w:pPr>
            <w:r>
              <w:rPr>
                <w:rFonts w:hint="eastAsia" w:ascii="宋体" w:hAnsi="宋体" w:cs="宋体"/>
                <w:color w:val="auto"/>
                <w:sz w:val="24"/>
                <w:highlight w:val="none"/>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52815632">
            <w:pPr>
              <w:jc w:val="center"/>
              <w:rPr>
                <w:rFonts w:ascii="宋体" w:hAnsi="宋体" w:cs="宋体"/>
                <w:color w:val="auto"/>
                <w:sz w:val="24"/>
                <w:highlight w:val="none"/>
              </w:rPr>
            </w:pPr>
            <w:r>
              <w:rPr>
                <w:rFonts w:hint="eastAsia" w:ascii="宋体" w:hAnsi="宋体" w:cs="宋体"/>
                <w:color w:val="auto"/>
                <w:sz w:val="24"/>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56DD7CA7">
            <w:pPr>
              <w:jc w:val="center"/>
              <w:rPr>
                <w:rFonts w:ascii="宋体" w:hAnsi="宋体" w:cs="宋体"/>
                <w:color w:val="auto"/>
                <w:sz w:val="24"/>
                <w:highlight w:val="none"/>
              </w:rPr>
            </w:pPr>
            <w:r>
              <w:rPr>
                <w:rFonts w:hint="eastAsia" w:ascii="宋体" w:hAnsi="宋体" w:cs="宋体"/>
                <w:color w:val="auto"/>
                <w:sz w:val="24"/>
                <w:highlight w:val="none"/>
              </w:rPr>
              <w:t>单位</w:t>
            </w:r>
          </w:p>
        </w:tc>
        <w:tc>
          <w:tcPr>
            <w:tcW w:w="1207" w:type="dxa"/>
            <w:tcBorders>
              <w:top w:val="single" w:color="auto" w:sz="4" w:space="0"/>
              <w:left w:val="single" w:color="auto" w:sz="4" w:space="0"/>
              <w:bottom w:val="single" w:color="auto" w:sz="4" w:space="0"/>
              <w:right w:val="single" w:color="auto" w:sz="4" w:space="0"/>
            </w:tcBorders>
            <w:vAlign w:val="center"/>
          </w:tcPr>
          <w:p w14:paraId="44FA362B">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报价</w:t>
            </w:r>
          </w:p>
        </w:tc>
      </w:tr>
      <w:tr w14:paraId="1AF8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8217861">
            <w:pPr>
              <w:spacing w:line="360" w:lineRule="auto"/>
              <w:jc w:val="center"/>
              <w:rPr>
                <w:rFonts w:ascii="宋体" w:hAnsi="宋体" w:cs="宋体"/>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539783A4">
            <w:pPr>
              <w:spacing w:line="360" w:lineRule="auto"/>
              <w:jc w:val="center"/>
              <w:rPr>
                <w:rFonts w:ascii="宋体" w:hAnsi="宋体" w:cs="宋体"/>
                <w:color w:val="auto"/>
                <w:sz w:val="24"/>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75E14692">
            <w:pPr>
              <w:spacing w:line="360" w:lineRule="auto"/>
              <w:jc w:val="center"/>
              <w:rPr>
                <w:rFonts w:ascii="宋体" w:hAnsi="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C9DE4C4">
            <w:pPr>
              <w:spacing w:line="360" w:lineRule="auto"/>
              <w:jc w:val="center"/>
              <w:rPr>
                <w:rFonts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3C94A892">
            <w:pPr>
              <w:spacing w:line="360" w:lineRule="auto"/>
              <w:jc w:val="center"/>
              <w:rPr>
                <w:rFonts w:ascii="宋体" w:hAnsi="宋体" w:cs="宋体"/>
                <w:color w:val="auto"/>
                <w:sz w:val="24"/>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7F1D324D">
            <w:pPr>
              <w:spacing w:line="360" w:lineRule="auto"/>
              <w:jc w:val="center"/>
              <w:rPr>
                <w:rFonts w:ascii="宋体" w:hAnsi="宋体" w:cs="宋体"/>
                <w:color w:val="auto"/>
                <w:sz w:val="24"/>
                <w:highlight w:val="none"/>
              </w:rPr>
            </w:pPr>
          </w:p>
        </w:tc>
      </w:tr>
    </w:tbl>
    <w:p w14:paraId="08541DE8">
      <w:pPr>
        <w:spacing w:line="360" w:lineRule="auto"/>
        <w:contextualSpacing/>
        <w:jc w:val="left"/>
        <w:rPr>
          <w:rFonts w:ascii="宋体" w:hAnsi="宋体" w:cs="宋体"/>
          <w:color w:val="auto"/>
          <w:sz w:val="24"/>
          <w:highlight w:val="none"/>
        </w:rPr>
      </w:pPr>
    </w:p>
    <w:p w14:paraId="45184A55">
      <w:pPr>
        <w:spacing w:line="360" w:lineRule="auto"/>
        <w:contextualSpacing/>
        <w:jc w:val="left"/>
        <w:rPr>
          <w:rFonts w:hint="eastAsia" w:ascii="楷体" w:hAnsi="楷体" w:eastAsia="楷体" w:cs="宋体"/>
          <w:color w:val="auto"/>
          <w:sz w:val="24"/>
          <w:highlight w:val="none"/>
        </w:rPr>
      </w:pPr>
    </w:p>
    <w:p w14:paraId="7C007F5A">
      <w:pPr>
        <w:spacing w:line="360" w:lineRule="auto"/>
        <w:contextualSpacing/>
        <w:jc w:val="left"/>
        <w:rPr>
          <w:rFonts w:hint="eastAsia" w:ascii="楷体" w:hAnsi="楷体" w:eastAsia="楷体" w:cs="宋体"/>
          <w:color w:val="auto"/>
          <w:sz w:val="24"/>
          <w:highlight w:val="none"/>
        </w:rPr>
      </w:pPr>
    </w:p>
    <w:p w14:paraId="722DCBDA">
      <w:pPr>
        <w:spacing w:line="360" w:lineRule="auto"/>
        <w:contextualSpacing/>
        <w:jc w:val="left"/>
        <w:rPr>
          <w:rFonts w:hint="eastAsia" w:ascii="楷体" w:hAnsi="楷体" w:eastAsia="楷体" w:cs="宋体"/>
          <w:color w:val="auto"/>
          <w:sz w:val="24"/>
          <w:highlight w:val="none"/>
        </w:rPr>
      </w:pPr>
    </w:p>
    <w:p w14:paraId="03710D16">
      <w:pPr>
        <w:spacing w:line="360" w:lineRule="auto"/>
        <w:contextualSpacing/>
        <w:jc w:val="left"/>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230FBF37">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2E2759A1">
      <w:pPr>
        <w:spacing w:line="360" w:lineRule="auto"/>
        <w:ind w:firstLine="480" w:firstLineChars="200"/>
        <w:contextualSpacing/>
        <w:jc w:val="left"/>
        <w:rPr>
          <w:rFonts w:ascii="楷体" w:hAnsi="楷体" w:eastAsia="楷体" w:cs="宋体"/>
          <w:b/>
          <w:color w:val="auto"/>
          <w:sz w:val="24"/>
          <w:highlight w:val="none"/>
        </w:rPr>
      </w:pPr>
      <w:r>
        <w:rPr>
          <w:rFonts w:ascii="楷体" w:hAnsi="楷体" w:eastAsia="楷体" w:cs="宋体"/>
          <w:bCs/>
          <w:color w:val="auto"/>
          <w:sz w:val="24"/>
          <w:highlight w:val="none"/>
        </w:rPr>
        <w:t>2.</w:t>
      </w:r>
      <w:r>
        <w:rPr>
          <w:rFonts w:hint="eastAsia" w:ascii="楷体" w:hAnsi="楷体" w:eastAsia="楷体" w:cs="宋体"/>
          <w:color w:val="auto"/>
          <w:sz w:val="24"/>
          <w:highlight w:val="none"/>
        </w:rPr>
        <w:t>报价一经涂改，应在涂改处加盖供应商公章或者由法定代表人或者委托代理人签字或者盖章</w:t>
      </w:r>
      <w:r>
        <w:rPr>
          <w:rFonts w:hint="eastAsia" w:ascii="楷体" w:hAnsi="楷体" w:eastAsia="楷体" w:cs="宋体"/>
          <w:b/>
          <w:color w:val="auto"/>
          <w:sz w:val="24"/>
          <w:highlight w:val="none"/>
        </w:rPr>
        <w:t>，否则其响应文件按无效响应处理。</w:t>
      </w:r>
    </w:p>
    <w:p w14:paraId="36A63541">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3.如为联合体</w:t>
      </w:r>
      <w:r>
        <w:rPr>
          <w:rFonts w:hint="eastAsia" w:ascii="楷体" w:hAnsi="楷体" w:eastAsia="楷体" w:cs="宋体"/>
          <w:color w:val="auto"/>
          <w:sz w:val="24"/>
          <w:highlight w:val="none"/>
        </w:rPr>
        <w:t>参与竞争性磋商，“供应商名称”处必须列明联合体各方名称，标注联合体牵头人名称，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2155C832">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4.如为联合体</w:t>
      </w:r>
      <w:r>
        <w:rPr>
          <w:rFonts w:hint="eastAsia" w:ascii="楷体" w:hAnsi="楷体" w:eastAsia="楷体" w:cs="宋体"/>
          <w:color w:val="auto"/>
          <w:sz w:val="24"/>
          <w:highlight w:val="none"/>
        </w:rPr>
        <w:t>参与竞争性磋商，盖章处须加盖联合体各方公章，</w:t>
      </w:r>
      <w:bookmarkStart w:id="51" w:name="_Hlk65851776"/>
      <w:r>
        <w:rPr>
          <w:rFonts w:hint="eastAsia" w:ascii="楷体" w:hAnsi="楷体" w:eastAsia="楷体" w:cs="宋体"/>
          <w:b/>
          <w:color w:val="auto"/>
          <w:sz w:val="24"/>
          <w:highlight w:val="none"/>
        </w:rPr>
        <w:t>否则其响应文件按无效响应处理。</w:t>
      </w:r>
      <w:bookmarkEnd w:id="51"/>
      <w:r>
        <w:rPr>
          <w:rFonts w:hint="eastAsia" w:ascii="楷体" w:hAnsi="楷体" w:eastAsia="楷体" w:cs="宋体"/>
          <w:b/>
          <w:color w:val="auto"/>
          <w:sz w:val="24"/>
          <w:highlight w:val="none"/>
        </w:rPr>
        <w:t>（采购人可根据项目情况自行修改是否需要联合体各方签字盖章）。</w:t>
      </w:r>
    </w:p>
    <w:p w14:paraId="72EDE7E0">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5.</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p>
    <w:p w14:paraId="2BE561AE">
      <w:pPr>
        <w:spacing w:line="360" w:lineRule="auto"/>
        <w:ind w:right="-817" w:rightChars="-389"/>
        <w:contextualSpacing/>
        <w:rPr>
          <w:rFonts w:ascii="宋体" w:hAnsi="宋体" w:cs="宋体"/>
          <w:color w:val="auto"/>
          <w:sz w:val="24"/>
          <w:highlight w:val="none"/>
        </w:rPr>
      </w:pPr>
    </w:p>
    <w:p w14:paraId="19E119DE">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AA2254">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3D1B2">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CC08A22">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52" w:name="_Toc71365926"/>
      <w:r>
        <w:rPr>
          <w:rFonts w:hint="eastAsia" w:ascii="宋体" w:hAnsi="宋体" w:cs="宋体"/>
          <w:b/>
          <w:color w:val="auto"/>
          <w:sz w:val="32"/>
          <w:szCs w:val="32"/>
          <w:highlight w:val="none"/>
        </w:rPr>
        <w:t>中小企业声明函（服务）</w:t>
      </w:r>
      <w:bookmarkEnd w:id="52"/>
    </w:p>
    <w:p w14:paraId="4180068E">
      <w:pPr>
        <w:spacing w:before="2" w:line="500" w:lineRule="exact"/>
        <w:ind w:firstLine="708" w:firstLineChars="294"/>
        <w:rPr>
          <w:rFonts w:ascii="宋体" w:hAnsi="宋体" w:cs="宋体"/>
          <w:b/>
          <w:bCs/>
          <w:color w:val="auto"/>
          <w:sz w:val="24"/>
          <w:highlight w:val="none"/>
        </w:rPr>
      </w:pPr>
    </w:p>
    <w:p w14:paraId="67884502">
      <w:pPr>
        <w:pStyle w:val="13"/>
        <w:spacing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71CC4C3E">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4595E3A7">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24B64B2">
      <w:pPr>
        <w:pStyle w:val="1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4162D123">
      <w:pPr>
        <w:pStyle w:val="1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6FE08B4">
      <w:pPr>
        <w:pStyle w:val="13"/>
        <w:spacing w:before="25"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AA0A4D3">
      <w:pPr>
        <w:pStyle w:val="13"/>
        <w:spacing w:before="56" w:line="500" w:lineRule="exact"/>
        <w:ind w:right="1808" w:firstLine="705" w:firstLineChars="294"/>
        <w:rPr>
          <w:rFonts w:ascii="宋体" w:hAnsi="宋体" w:cs="宋体"/>
          <w:color w:val="auto"/>
          <w:sz w:val="24"/>
          <w:highlight w:val="none"/>
        </w:rPr>
      </w:pPr>
    </w:p>
    <w:p w14:paraId="5FE01EC6">
      <w:pPr>
        <w:pStyle w:val="13"/>
        <w:spacing w:before="56" w:line="500" w:lineRule="exact"/>
        <w:ind w:right="650" w:firstLine="2400" w:firstLineChars="1000"/>
        <w:rPr>
          <w:rFonts w:ascii="宋体" w:hAnsi="宋体" w:cs="宋体"/>
          <w:color w:val="auto"/>
          <w:sz w:val="24"/>
          <w:highlight w:val="none"/>
          <w:u w:val="single"/>
        </w:rPr>
      </w:pPr>
      <w:r>
        <w:rPr>
          <w:rFonts w:hint="eastAsia" w:ascii="宋体" w:hAnsi="宋体" w:cs="宋体"/>
          <w:color w:val="auto"/>
          <w:sz w:val="24"/>
          <w:highlight w:val="none"/>
        </w:rPr>
        <w:t xml:space="preserve">企业名称（公章）： </w:t>
      </w:r>
      <w:r>
        <w:rPr>
          <w:rFonts w:ascii="宋体" w:hAnsi="宋体" w:cs="宋体"/>
          <w:color w:val="auto"/>
          <w:sz w:val="24"/>
          <w:highlight w:val="none"/>
          <w:u w:val="single"/>
        </w:rPr>
        <w:t xml:space="preserve">                    </w:t>
      </w:r>
    </w:p>
    <w:p w14:paraId="34096FE4">
      <w:pPr>
        <w:pStyle w:val="13"/>
        <w:spacing w:before="56" w:line="500" w:lineRule="exact"/>
        <w:ind w:right="1808" w:firstLine="2400" w:firstLineChars="10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69164F20">
      <w:pPr>
        <w:spacing w:line="520" w:lineRule="exact"/>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享受《政府采购促进中小企业发展管理办法》（财库〔</w:t>
      </w:r>
      <w:r>
        <w:rPr>
          <w:rFonts w:ascii="楷体" w:hAnsi="楷体" w:eastAsia="楷体" w:cs="宋体"/>
          <w:color w:val="auto"/>
          <w:sz w:val="24"/>
          <w:highlight w:val="none"/>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color w:val="auto"/>
          <w:sz w:val="24"/>
          <w:highlight w:val="none"/>
        </w:rPr>
        <w:t>一年度数据的新成立企业可不填报。</w:t>
      </w:r>
    </w:p>
    <w:p w14:paraId="17E65B8A">
      <w:pPr>
        <w:spacing w:line="360" w:lineRule="auto"/>
        <w:rPr>
          <w:rFonts w:ascii="宋体" w:hAnsi="宋体" w:cs="宋体"/>
          <w:color w:val="auto"/>
          <w:szCs w:val="21"/>
          <w:highlight w:val="none"/>
        </w:rPr>
      </w:pPr>
    </w:p>
    <w:p w14:paraId="7B527999">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260FD2D4">
      <w:pPr>
        <w:spacing w:line="360" w:lineRule="auto"/>
        <w:contextualSpacing/>
        <w:rPr>
          <w:rFonts w:ascii="宋体" w:hAnsi="宋体" w:cs="宋体"/>
          <w:color w:val="auto"/>
          <w:sz w:val="32"/>
          <w:szCs w:val="32"/>
          <w:highlight w:val="none"/>
        </w:rPr>
      </w:pPr>
    </w:p>
    <w:p w14:paraId="4817C6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22A6B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362CA1D">
      <w:pPr>
        <w:spacing w:line="360" w:lineRule="auto"/>
        <w:contextualSpacing/>
        <w:rPr>
          <w:rFonts w:ascii="宋体" w:hAnsi="宋体" w:cs="宋体"/>
          <w:color w:val="auto"/>
          <w:sz w:val="24"/>
          <w:highlight w:val="none"/>
        </w:rPr>
      </w:pPr>
    </w:p>
    <w:p w14:paraId="2FF0C29B">
      <w:pPr>
        <w:spacing w:line="360" w:lineRule="auto"/>
        <w:contextualSpacing/>
        <w:rPr>
          <w:rFonts w:ascii="宋体" w:hAnsi="宋体" w:cs="宋体"/>
          <w:color w:val="auto"/>
          <w:sz w:val="24"/>
          <w:highlight w:val="none"/>
        </w:rPr>
      </w:pPr>
    </w:p>
    <w:p w14:paraId="426688C1">
      <w:pPr>
        <w:spacing w:line="360" w:lineRule="auto"/>
        <w:contextualSpacing/>
        <w:rPr>
          <w:rFonts w:ascii="宋体" w:hAnsi="宋体" w:cs="宋体"/>
          <w:color w:val="auto"/>
          <w:sz w:val="24"/>
          <w:highlight w:val="none"/>
        </w:rPr>
      </w:pPr>
    </w:p>
    <w:p w14:paraId="729922C9">
      <w:pPr>
        <w:spacing w:line="360" w:lineRule="auto"/>
        <w:ind w:firstLine="2400" w:firstLineChars="1000"/>
        <w:contextualSpacing/>
        <w:rPr>
          <w:rFonts w:ascii="宋体" w:hAnsi="宋体" w:cs="宋体"/>
          <w:color w:val="auto"/>
          <w:sz w:val="24"/>
          <w:highlight w:val="none"/>
          <w:u w:val="single"/>
        </w:rPr>
      </w:pPr>
      <w:r>
        <w:rPr>
          <w:rFonts w:hint="eastAsia" w:ascii="宋体" w:hAnsi="宋体" w:cs="宋体"/>
          <w:color w:val="auto"/>
          <w:sz w:val="24"/>
          <w:highlight w:val="none"/>
        </w:rPr>
        <w:t>单位名称（公章）：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7D86E9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451723D1">
      <w:pPr>
        <w:spacing w:line="360" w:lineRule="auto"/>
        <w:contextualSpacing/>
        <w:rPr>
          <w:rFonts w:ascii="宋体" w:hAnsi="宋体" w:cs="宋体"/>
          <w:color w:val="auto"/>
          <w:sz w:val="24"/>
          <w:highlight w:val="none"/>
        </w:rPr>
      </w:pPr>
    </w:p>
    <w:p w14:paraId="23C5F31A">
      <w:pPr>
        <w:spacing w:line="360" w:lineRule="auto"/>
        <w:contextualSpacing/>
        <w:rPr>
          <w:rFonts w:ascii="宋体" w:hAnsi="宋体" w:cs="宋体"/>
          <w:color w:val="auto"/>
          <w:sz w:val="24"/>
          <w:highlight w:val="none"/>
        </w:rPr>
      </w:pPr>
    </w:p>
    <w:p w14:paraId="7C0BEEAE">
      <w:pPr>
        <w:spacing w:line="360" w:lineRule="auto"/>
        <w:contextualSpacing/>
        <w:rPr>
          <w:rFonts w:ascii="宋体" w:hAnsi="宋体" w:cs="宋体"/>
          <w:color w:val="auto"/>
          <w:sz w:val="24"/>
          <w:highlight w:val="none"/>
        </w:rPr>
      </w:pPr>
    </w:p>
    <w:p w14:paraId="70D078ED">
      <w:pPr>
        <w:spacing w:line="360" w:lineRule="auto"/>
        <w:contextualSpacing/>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08BC15B6">
      <w:pPr>
        <w:spacing w:before="312" w:beforeLines="100" w:after="156" w:afterLines="50"/>
        <w:ind w:left="540"/>
        <w:jc w:val="center"/>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44"/>
          <w:szCs w:val="44"/>
          <w:highlight w:val="none"/>
        </w:rPr>
        <w:t>法定代表人身份证明</w:t>
      </w:r>
    </w:p>
    <w:p w14:paraId="3299931A">
      <w:pPr>
        <w:spacing w:line="360" w:lineRule="auto"/>
        <w:ind w:left="540"/>
        <w:contextualSpacing/>
        <w:rPr>
          <w:rFonts w:ascii="宋体" w:hAnsi="宋体" w:cs="宋体"/>
          <w:color w:val="auto"/>
          <w:sz w:val="32"/>
          <w:szCs w:val="32"/>
          <w:highlight w:val="none"/>
        </w:rPr>
      </w:pPr>
    </w:p>
    <w:p w14:paraId="48AD17D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3377C92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56CAC4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51A8BE5">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675911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74B91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91F379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7DA37A3B">
      <w:pPr>
        <w:spacing w:line="360" w:lineRule="auto"/>
        <w:ind w:left="540"/>
        <w:contextualSpacing/>
        <w:rPr>
          <w:rFonts w:ascii="宋体" w:hAnsi="宋体" w:cs="宋体"/>
          <w:color w:val="auto"/>
          <w:sz w:val="24"/>
          <w:highlight w:val="none"/>
        </w:rPr>
      </w:pPr>
    </w:p>
    <w:p w14:paraId="0395315C">
      <w:pPr>
        <w:spacing w:line="360" w:lineRule="auto"/>
        <w:ind w:left="540"/>
        <w:contextualSpacing/>
        <w:rPr>
          <w:rFonts w:ascii="宋体" w:hAnsi="宋体" w:cs="宋体"/>
          <w:color w:val="auto"/>
          <w:sz w:val="24"/>
          <w:highlight w:val="none"/>
        </w:rPr>
      </w:pPr>
    </w:p>
    <w:p w14:paraId="0D9336B8">
      <w:pPr>
        <w:spacing w:line="360" w:lineRule="auto"/>
        <w:ind w:left="540"/>
        <w:contextualSpacing/>
        <w:rPr>
          <w:rFonts w:ascii="宋体" w:hAnsi="宋体" w:cs="宋体"/>
          <w:color w:val="auto"/>
          <w:sz w:val="24"/>
          <w:highlight w:val="none"/>
        </w:rPr>
      </w:pPr>
    </w:p>
    <w:p w14:paraId="63A6EF5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6387C74">
      <w:pPr>
        <w:spacing w:line="360" w:lineRule="auto"/>
        <w:ind w:left="540"/>
        <w:contextualSpacing/>
        <w:rPr>
          <w:rFonts w:ascii="宋体" w:hAnsi="宋体" w:cs="宋体"/>
          <w:color w:val="auto"/>
          <w:sz w:val="24"/>
          <w:highlight w:val="none"/>
        </w:rPr>
      </w:pPr>
    </w:p>
    <w:p w14:paraId="100B2930">
      <w:pPr>
        <w:spacing w:line="360" w:lineRule="auto"/>
        <w:ind w:right="960" w:firstLine="4080" w:firstLineChars="17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737CF03">
      <w:pPr>
        <w:pStyle w:val="22"/>
        <w:rPr>
          <w:rFonts w:ascii="宋体" w:hAnsi="宋体" w:cs="宋体"/>
          <w:color w:val="auto"/>
          <w:highlight w:val="none"/>
        </w:rPr>
      </w:pPr>
    </w:p>
    <w:p w14:paraId="530D5EE2">
      <w:pPr>
        <w:spacing w:line="360" w:lineRule="auto"/>
        <w:ind w:firstLine="4080" w:firstLineChars="1700"/>
        <w:contextualSpacing/>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2FDF82A">
      <w:pPr>
        <w:spacing w:line="360" w:lineRule="auto"/>
        <w:contextualSpacing/>
        <w:jc w:val="center"/>
        <w:rPr>
          <w:rFonts w:ascii="宋体" w:hAnsi="宋体" w:cs="宋体"/>
          <w:b/>
          <w:color w:val="auto"/>
          <w:sz w:val="24"/>
          <w:highlight w:val="none"/>
        </w:rPr>
      </w:pPr>
    </w:p>
    <w:p w14:paraId="24264AF6">
      <w:pPr>
        <w:spacing w:line="360" w:lineRule="auto"/>
        <w:contextualSpacing/>
        <w:jc w:val="left"/>
        <w:rPr>
          <w:rFonts w:ascii="宋体" w:hAnsi="宋体" w:cs="宋体"/>
          <w:color w:val="auto"/>
          <w:sz w:val="24"/>
          <w:highlight w:val="none"/>
        </w:rPr>
      </w:pPr>
    </w:p>
    <w:p w14:paraId="6C1681D4">
      <w:pPr>
        <w:spacing w:line="360" w:lineRule="auto"/>
        <w:contextualSpacing/>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自然人参与竞争性磋商的无需提供，联合体参与竞争性磋商的只需牵头人出具。</w:t>
      </w:r>
    </w:p>
    <w:p w14:paraId="367F8047">
      <w:pPr>
        <w:adjustRightInd w:val="0"/>
        <w:snapToGrid w:val="0"/>
        <w:spacing w:line="300" w:lineRule="auto"/>
        <w:jc w:val="left"/>
        <w:rPr>
          <w:rFonts w:ascii="宋体" w:hAnsi="宋体" w:cs="宋体"/>
          <w:b/>
          <w:color w:val="auto"/>
          <w:szCs w:val="21"/>
          <w:highlight w:val="none"/>
        </w:rPr>
      </w:pPr>
    </w:p>
    <w:p w14:paraId="5468EAC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5802A21D">
      <w:pPr>
        <w:jc w:val="center"/>
        <w:rPr>
          <w:rFonts w:ascii="宋体" w:hAnsi="宋体" w:cs="宋体"/>
          <w:b/>
          <w:color w:val="auto"/>
          <w:sz w:val="44"/>
          <w:szCs w:val="44"/>
          <w:highlight w:val="none"/>
        </w:rPr>
      </w:pPr>
      <w:bookmarkStart w:id="53" w:name="_Hlk65853643"/>
      <w:r>
        <w:rPr>
          <w:rFonts w:hint="eastAsia" w:ascii="宋体" w:hAnsi="宋体" w:cs="宋体"/>
          <w:b/>
          <w:color w:val="auto"/>
          <w:sz w:val="44"/>
          <w:szCs w:val="44"/>
          <w:highlight w:val="none"/>
        </w:rPr>
        <w:t>授权委托书</w:t>
      </w:r>
    </w:p>
    <w:p w14:paraId="78120E9E">
      <w:pPr>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（非联合体参与竞争性磋商格式）</w:t>
      </w:r>
    </w:p>
    <w:p w14:paraId="67C7CCAA">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77038CF7">
      <w:pPr>
        <w:spacing w:line="520" w:lineRule="exact"/>
        <w:rPr>
          <w:rFonts w:ascii="宋体" w:hAnsi="宋体" w:cs="宋体"/>
          <w:color w:val="auto"/>
          <w:sz w:val="32"/>
          <w:szCs w:val="32"/>
          <w:highlight w:val="none"/>
        </w:rPr>
      </w:pPr>
    </w:p>
    <w:p w14:paraId="5E43DF8E">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CE446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项目的竞争性磋商活动，并代表我方全权办理针对上述项目的所有采购程序和环节的具体事务和签署相关文件。</w:t>
      </w:r>
    </w:p>
    <w:p w14:paraId="0C6980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67F9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7B175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DE6FD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018E7C09">
      <w:pPr>
        <w:spacing w:line="360" w:lineRule="auto"/>
        <w:rPr>
          <w:rFonts w:ascii="宋体" w:hAnsi="宋体" w:cs="宋体"/>
          <w:color w:val="auto"/>
          <w:sz w:val="24"/>
          <w:highlight w:val="none"/>
        </w:rPr>
      </w:pPr>
    </w:p>
    <w:p w14:paraId="52391B71">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3DEA467">
      <w:pP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F55ED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E8002F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FFFADE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EC04D44">
      <w:pPr>
        <w:spacing w:line="360" w:lineRule="auto"/>
        <w:rPr>
          <w:rFonts w:ascii="宋体" w:hAnsi="宋体" w:cs="宋体"/>
          <w:color w:val="auto"/>
          <w:sz w:val="24"/>
          <w:highlight w:val="none"/>
        </w:rPr>
      </w:pPr>
    </w:p>
    <w:p w14:paraId="72610064">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0E59029A">
      <w:pPr>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bookmarkStart w:id="54" w:name="_Hlk65853109"/>
      <w:bookmarkStart w:id="55" w:name="_Hlk65853542"/>
      <w:r>
        <w:rPr>
          <w:rFonts w:hint="eastAsia" w:ascii="楷体" w:hAnsi="楷体" w:eastAsia="楷体" w:cs="宋体"/>
          <w:color w:val="auto"/>
          <w:sz w:val="24"/>
          <w:highlight w:val="none"/>
        </w:rPr>
        <w:t>法人、其他组织参与竞争性磋商时“我方”是指“我单位”，自然人参与竞争性磋商时“我方”是指“本人”。</w:t>
      </w:r>
      <w:bookmarkEnd w:id="54"/>
    </w:p>
    <w:bookmarkEnd w:id="55"/>
    <w:p w14:paraId="07C5949B">
      <w:pPr>
        <w:spacing w:line="360" w:lineRule="auto"/>
        <w:ind w:firstLine="420" w:firstLineChars="200"/>
        <w:jc w:val="left"/>
        <w:rPr>
          <w:rFonts w:ascii="宋体" w:hAnsi="宋体" w:cs="宋体"/>
          <w:color w:val="auto"/>
          <w:szCs w:val="21"/>
          <w:highlight w:val="none"/>
        </w:rPr>
      </w:pPr>
    </w:p>
    <w:p w14:paraId="41E2BCCD">
      <w:pPr>
        <w:jc w:val="center"/>
        <w:rPr>
          <w:rFonts w:ascii="宋体" w:hAnsi="宋体" w:cs="宋体"/>
          <w:b/>
          <w:color w:val="auto"/>
          <w:sz w:val="44"/>
          <w:szCs w:val="44"/>
          <w:highlight w:val="none"/>
        </w:rPr>
      </w:pPr>
      <w:r>
        <w:rPr>
          <w:rFonts w:hint="eastAsia" w:ascii="宋体" w:hAnsi="宋体" w:cs="宋体"/>
          <w:color w:val="auto"/>
          <w:szCs w:val="21"/>
          <w:highlight w:val="none"/>
        </w:rPr>
        <w:br w:type="page"/>
      </w:r>
      <w:r>
        <w:rPr>
          <w:rFonts w:hint="eastAsia" w:ascii="宋体" w:hAnsi="宋体" w:cs="宋体"/>
          <w:b/>
          <w:color w:val="auto"/>
          <w:sz w:val="44"/>
          <w:szCs w:val="44"/>
          <w:highlight w:val="none"/>
        </w:rPr>
        <w:t>授权委托书</w:t>
      </w:r>
    </w:p>
    <w:p w14:paraId="3271CAAE">
      <w:pPr>
        <w:jc w:val="center"/>
        <w:rPr>
          <w:rFonts w:ascii="宋体" w:hAnsi="宋体" w:cs="宋体"/>
          <w:color w:val="auto"/>
          <w:sz w:val="32"/>
          <w:szCs w:val="32"/>
          <w:highlight w:val="none"/>
        </w:rPr>
      </w:pPr>
      <w:r>
        <w:rPr>
          <w:rFonts w:hint="eastAsia" w:ascii="宋体" w:hAnsi="宋体" w:cs="宋体"/>
          <w:color w:val="auto"/>
          <w:sz w:val="32"/>
          <w:szCs w:val="32"/>
          <w:highlight w:val="none"/>
        </w:rPr>
        <w:t>（联合体参与竞争性磋商格式）</w:t>
      </w:r>
    </w:p>
    <w:p w14:paraId="5279569E">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13FCCA56">
      <w:pPr>
        <w:spacing w:line="500" w:lineRule="exact"/>
        <w:jc w:val="center"/>
        <w:rPr>
          <w:rFonts w:ascii="宋体" w:hAnsi="宋体" w:cs="宋体"/>
          <w:color w:val="auto"/>
          <w:sz w:val="44"/>
          <w:szCs w:val="44"/>
          <w:highlight w:val="none"/>
        </w:rPr>
      </w:pPr>
    </w:p>
    <w:p w14:paraId="63EAFE09">
      <w:pPr>
        <w:spacing w:line="500" w:lineRule="exact"/>
        <w:jc w:val="center"/>
        <w:rPr>
          <w:rFonts w:ascii="宋体" w:hAnsi="宋体" w:cs="宋体"/>
          <w:color w:val="auto"/>
          <w:sz w:val="32"/>
          <w:szCs w:val="32"/>
          <w:highlight w:val="none"/>
        </w:rPr>
      </w:pPr>
    </w:p>
    <w:p w14:paraId="492093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（联合体其他成员名称）签订的《联合体参与竞争性磋商协议书》的内容，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01C10B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65E615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6D720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5F7FC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55A695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72C14E79">
      <w:pPr>
        <w:spacing w:line="360" w:lineRule="auto"/>
        <w:ind w:firstLine="3120" w:firstLineChars="1300"/>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CEC5A0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24702A2">
      <w:pPr>
        <w:spacing w:line="360" w:lineRule="auto"/>
        <w:rPr>
          <w:rFonts w:ascii="宋体" w:hAnsi="宋体" w:cs="宋体"/>
          <w:color w:val="auto"/>
          <w:sz w:val="24"/>
          <w:highlight w:val="none"/>
        </w:rPr>
      </w:pPr>
    </w:p>
    <w:p w14:paraId="493CC1F7">
      <w:pPr>
        <w:spacing w:line="360" w:lineRule="auto"/>
        <w:ind w:firstLine="3120" w:firstLineChars="1300"/>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AE9F4A7">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C5B6EEE">
      <w:pPr>
        <w:spacing w:line="360" w:lineRule="auto"/>
        <w:rPr>
          <w:rFonts w:ascii="宋体" w:hAnsi="宋体" w:cs="宋体"/>
          <w:color w:val="auto"/>
          <w:sz w:val="24"/>
          <w:highlight w:val="none"/>
        </w:rPr>
      </w:pPr>
    </w:p>
    <w:p w14:paraId="1ABB6626">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224A706F">
      <w:pPr>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2.本授权委托书应由联合体牵头人的法定代表人按上述规定签署。</w:t>
      </w:r>
    </w:p>
    <w:p w14:paraId="1CC827BF">
      <w:pPr>
        <w:spacing w:line="360" w:lineRule="auto"/>
        <w:ind w:firstLine="480" w:firstLineChars="200"/>
        <w:jc w:val="left"/>
        <w:rPr>
          <w:rFonts w:ascii="楷体" w:hAnsi="楷体" w:eastAsia="楷体" w:cs="宋体"/>
          <w:color w:val="auto"/>
          <w:spacing w:val="-11"/>
          <w:sz w:val="24"/>
          <w:highlight w:val="none"/>
        </w:rPr>
      </w:pPr>
      <w:r>
        <w:rPr>
          <w:rFonts w:ascii="楷体" w:hAnsi="楷体" w:eastAsia="楷体" w:cs="宋体"/>
          <w:color w:val="auto"/>
          <w:sz w:val="24"/>
          <w:highlight w:val="none"/>
        </w:rPr>
        <w:t>3.</w:t>
      </w:r>
      <w:r>
        <w:rPr>
          <w:rFonts w:hint="eastAsia" w:ascii="楷体" w:hAnsi="楷体" w:eastAsia="楷体" w:cs="宋体"/>
          <w:color w:val="auto"/>
          <w:spacing w:val="-11"/>
          <w:sz w:val="24"/>
          <w:highlight w:val="none"/>
        </w:rPr>
        <w:t>法人、其他组织</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时“我方”是指“我单位”，自然人</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时“我方”是指“本人”。</w:t>
      </w:r>
    </w:p>
    <w:bookmarkEnd w:id="53"/>
    <w:p w14:paraId="45A9808F">
      <w:pPr>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商务要求偏离表</w:t>
      </w:r>
      <w:r>
        <w:rPr>
          <w:rFonts w:hint="eastAsia" w:ascii="宋体" w:hAnsi="宋体" w:cs="宋体"/>
          <w:bCs/>
          <w:color w:val="auto"/>
          <w:sz w:val="44"/>
          <w:szCs w:val="44"/>
          <w:highlight w:val="none"/>
        </w:rPr>
        <w:t>（格式）</w:t>
      </w:r>
    </w:p>
    <w:p w14:paraId="12B5D44E">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649E6C75">
      <w:pPr>
        <w:spacing w:line="360" w:lineRule="auto"/>
        <w:contextualSpacing/>
        <w:jc w:val="left"/>
        <w:rPr>
          <w:rFonts w:ascii="宋体" w:hAnsi="宋体" w:cs="宋体"/>
          <w:color w:val="auto"/>
          <w:sz w:val="24"/>
          <w:highlight w:val="none"/>
        </w:rPr>
      </w:pPr>
    </w:p>
    <w:p w14:paraId="2CB3A038">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216446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2B4B2F3C">
      <w:pPr>
        <w:spacing w:line="360" w:lineRule="auto"/>
        <w:contextualSpacing/>
        <w:rPr>
          <w:rFonts w:hAnsi="宋体" w:cs="宋体"/>
          <w:color w:val="auto"/>
          <w:sz w:val="24"/>
          <w:highlight w:val="none"/>
        </w:rPr>
      </w:pPr>
      <w:r>
        <w:rPr>
          <w:rFonts w:hint="eastAsia" w:ascii="宋体" w:hAnsi="宋体" w:cs="宋体"/>
          <w:color w:val="auto"/>
          <w:sz w:val="24"/>
          <w:highlight w:val="none"/>
        </w:rPr>
        <w:t>分标号</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E5FE863">
      <w:pPr>
        <w:spacing w:line="360" w:lineRule="auto"/>
        <w:contextualSpacing/>
        <w:jc w:val="left"/>
        <w:rPr>
          <w:rFonts w:ascii="宋体" w:hAnsi="宋体" w:cs="宋体"/>
          <w:color w:val="auto"/>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474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0631BC5">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52D2D82">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1379F02">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DDBCDD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1469E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958F12E">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429286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A000E8C">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F3AF8DB">
            <w:pPr>
              <w:spacing w:line="360" w:lineRule="auto"/>
              <w:contextualSpacing/>
              <w:jc w:val="center"/>
              <w:rPr>
                <w:rFonts w:ascii="宋体" w:hAnsi="宋体" w:cs="宋体"/>
                <w:color w:val="auto"/>
                <w:sz w:val="24"/>
                <w:highlight w:val="none"/>
              </w:rPr>
            </w:pPr>
          </w:p>
        </w:tc>
      </w:tr>
      <w:tr w14:paraId="6F371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EE627D4">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E92BF4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EC15A76">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AB8663D">
            <w:pPr>
              <w:spacing w:line="360" w:lineRule="auto"/>
              <w:ind w:left="43"/>
              <w:contextualSpacing/>
              <w:jc w:val="center"/>
              <w:rPr>
                <w:rFonts w:ascii="宋体" w:hAnsi="宋体" w:cs="宋体"/>
                <w:color w:val="auto"/>
                <w:sz w:val="24"/>
                <w:highlight w:val="none"/>
              </w:rPr>
            </w:pPr>
          </w:p>
        </w:tc>
      </w:tr>
      <w:tr w14:paraId="503D8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FAB987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504CF17">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4899899">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DAFE6FF">
            <w:pPr>
              <w:spacing w:line="360" w:lineRule="auto"/>
              <w:contextualSpacing/>
              <w:jc w:val="center"/>
              <w:rPr>
                <w:rFonts w:ascii="宋体" w:hAnsi="宋体" w:cs="宋体"/>
                <w:color w:val="auto"/>
                <w:sz w:val="24"/>
                <w:highlight w:val="none"/>
              </w:rPr>
            </w:pPr>
          </w:p>
        </w:tc>
      </w:tr>
    </w:tbl>
    <w:p w14:paraId="647FFC50">
      <w:pPr>
        <w:pStyle w:val="12"/>
        <w:spacing w:after="0" w:line="360" w:lineRule="auto"/>
        <w:contextualSpacing/>
        <w:rPr>
          <w:rFonts w:ascii="楷体" w:hAnsi="楷体" w:eastAsia="楷体" w:cs="宋体"/>
          <w:b/>
          <w:color w:val="auto"/>
          <w:kern w:val="0"/>
          <w:sz w:val="24"/>
          <w:szCs w:val="24"/>
          <w:highlight w:val="none"/>
        </w:rPr>
      </w:pPr>
      <w:r>
        <w:rPr>
          <w:rFonts w:hint="eastAsia" w:ascii="楷体" w:hAnsi="楷体" w:eastAsia="楷体" w:cs="宋体"/>
          <w:b/>
          <w:color w:val="auto"/>
          <w:kern w:val="0"/>
          <w:sz w:val="24"/>
          <w:szCs w:val="24"/>
          <w:highlight w:val="none"/>
        </w:rPr>
        <w:t>注：</w:t>
      </w:r>
    </w:p>
    <w:p w14:paraId="1CFF769C">
      <w:pPr>
        <w:pStyle w:val="12"/>
        <w:spacing w:after="0" w:line="360" w:lineRule="auto"/>
        <w:contextualSpacing/>
        <w:rPr>
          <w:rFonts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1.</w:t>
      </w:r>
      <w:r>
        <w:rPr>
          <w:rFonts w:hint="eastAsia" w:ascii="楷体" w:hAnsi="楷体" w:eastAsia="楷体" w:cs="宋体"/>
          <w:color w:val="auto"/>
          <w:kern w:val="0"/>
          <w:sz w:val="24"/>
          <w:szCs w:val="24"/>
          <w:highlight w:val="none"/>
        </w:rPr>
        <w:t>说明：应对照磋商文件“第三章</w:t>
      </w:r>
      <w:r>
        <w:rPr>
          <w:rFonts w:ascii="楷体" w:hAnsi="楷体" w:eastAsia="楷体" w:cs="宋体"/>
          <w:color w:val="auto"/>
          <w:kern w:val="0"/>
          <w:sz w:val="24"/>
          <w:szCs w:val="24"/>
          <w:highlight w:val="none"/>
        </w:rPr>
        <w:t xml:space="preserve"> </w:t>
      </w:r>
      <w:r>
        <w:rPr>
          <w:rFonts w:hint="eastAsia" w:ascii="楷体" w:hAnsi="楷体" w:eastAsia="楷体" w:cs="宋体"/>
          <w:color w:val="auto"/>
          <w:kern w:val="0"/>
          <w:sz w:val="24"/>
          <w:szCs w:val="24"/>
          <w:highlight w:val="none"/>
        </w:rPr>
        <w:t>采购需求”中的商务要求逐条作出明确响应，并作出偏离说明。</w:t>
      </w:r>
    </w:p>
    <w:p w14:paraId="0F760795">
      <w:pPr>
        <w:spacing w:line="360" w:lineRule="auto"/>
        <w:contextualSpacing/>
        <w:jc w:val="left"/>
        <w:rPr>
          <w:rFonts w:ascii="楷体" w:hAnsi="楷体" w:eastAsia="楷体" w:cs="宋体"/>
          <w:color w:val="auto"/>
          <w:sz w:val="24"/>
          <w:highlight w:val="none"/>
          <w:u w:val="single"/>
        </w:rPr>
      </w:pPr>
      <w:r>
        <w:rPr>
          <w:rFonts w:ascii="楷体" w:hAnsi="楷体" w:eastAsia="楷体" w:cs="宋体"/>
          <w:color w:val="auto"/>
          <w:kern w:val="0"/>
          <w:sz w:val="24"/>
          <w:highlight w:val="none"/>
        </w:rPr>
        <w:t>2.供应商应根据自身的承诺，对照磋商文件要求在“偏离说明”中注明“正偏离”、“负偏离”或者“无偏离”。既不属于“正偏离”也不属于“负偏离”即为“无偏离”。</w:t>
      </w:r>
    </w:p>
    <w:p w14:paraId="3E0D887D">
      <w:pPr>
        <w:spacing w:line="360" w:lineRule="auto"/>
        <w:ind w:right="-817" w:rightChars="-389"/>
        <w:contextualSpacing/>
        <w:rPr>
          <w:rFonts w:ascii="楷体" w:hAnsi="楷体" w:eastAsia="楷体" w:cs="宋体"/>
          <w:color w:val="auto"/>
          <w:sz w:val="24"/>
          <w:highlight w:val="none"/>
        </w:rPr>
      </w:pPr>
    </w:p>
    <w:p w14:paraId="283A0771">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53C4055">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37CE542">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973C96D">
      <w:pPr>
        <w:adjustRightInd w:val="0"/>
        <w:snapToGrid w:val="0"/>
        <w:spacing w:line="520" w:lineRule="exact"/>
        <w:ind w:firstLine="7040" w:firstLineChars="1600"/>
        <w:jc w:val="center"/>
        <w:rPr>
          <w:rFonts w:ascii="宋体" w:hAnsi="宋体" w:cs="宋体"/>
          <w:bCs/>
          <w:color w:val="auto"/>
          <w:sz w:val="44"/>
          <w:szCs w:val="44"/>
          <w:highlight w:val="none"/>
        </w:rPr>
      </w:pPr>
    </w:p>
    <w:p w14:paraId="1A033A22">
      <w:pPr>
        <w:adjustRightInd w:val="0"/>
        <w:snapToGrid w:val="0"/>
        <w:spacing w:line="520" w:lineRule="exact"/>
        <w:ind w:firstLine="7040" w:firstLineChars="1600"/>
        <w:jc w:val="center"/>
        <w:rPr>
          <w:rFonts w:ascii="宋体" w:hAnsi="宋体" w:cs="宋体"/>
          <w:bCs/>
          <w:color w:val="auto"/>
          <w:sz w:val="44"/>
          <w:szCs w:val="44"/>
          <w:highlight w:val="none"/>
        </w:rPr>
      </w:pPr>
    </w:p>
    <w:p w14:paraId="08D9F489">
      <w:pPr>
        <w:adjustRightInd w:val="0"/>
        <w:snapToGrid w:val="0"/>
        <w:spacing w:line="520" w:lineRule="exact"/>
        <w:ind w:firstLine="7040" w:firstLineChars="1600"/>
        <w:jc w:val="center"/>
        <w:rPr>
          <w:rFonts w:ascii="宋体" w:hAnsi="宋体" w:cs="宋体"/>
          <w:bCs/>
          <w:color w:val="auto"/>
          <w:sz w:val="44"/>
          <w:szCs w:val="44"/>
          <w:highlight w:val="none"/>
        </w:rPr>
      </w:pPr>
    </w:p>
    <w:p w14:paraId="2C86D881">
      <w:pPr>
        <w:adjustRightInd w:val="0"/>
        <w:snapToGrid w:val="0"/>
        <w:spacing w:line="520" w:lineRule="exact"/>
        <w:ind w:firstLine="7040" w:firstLineChars="1600"/>
        <w:jc w:val="center"/>
        <w:rPr>
          <w:rFonts w:ascii="宋体" w:hAnsi="宋体" w:cs="宋体"/>
          <w:bCs/>
          <w:color w:val="auto"/>
          <w:sz w:val="44"/>
          <w:szCs w:val="44"/>
          <w:highlight w:val="none"/>
        </w:rPr>
      </w:pPr>
    </w:p>
    <w:p w14:paraId="4C2C9133">
      <w:pPr>
        <w:adjustRightInd w:val="0"/>
        <w:snapToGrid w:val="0"/>
        <w:spacing w:line="520" w:lineRule="exact"/>
        <w:rPr>
          <w:rFonts w:ascii="宋体" w:hAnsi="宋体" w:cs="宋体"/>
          <w:color w:val="auto"/>
          <w:szCs w:val="21"/>
          <w:highlight w:val="none"/>
          <w:u w:val="single"/>
        </w:rPr>
      </w:pPr>
    </w:p>
    <w:p w14:paraId="64CB1E2D">
      <w:pPr>
        <w:adjustRightInd w:val="0"/>
        <w:snapToGrid w:val="0"/>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bCs w:val="0"/>
          <w:color w:val="auto"/>
          <w:sz w:val="44"/>
          <w:szCs w:val="44"/>
          <w:highlight w:val="none"/>
          <w:lang w:eastAsia="zh-CN"/>
        </w:rPr>
        <w:t>技术</w:t>
      </w:r>
      <w:r>
        <w:rPr>
          <w:rFonts w:hint="eastAsia" w:ascii="宋体" w:hAnsi="宋体" w:cs="宋体"/>
          <w:b/>
          <w:bCs/>
          <w:color w:val="auto"/>
          <w:sz w:val="44"/>
          <w:szCs w:val="44"/>
          <w:highlight w:val="none"/>
        </w:rPr>
        <w:t>服务要求偏离表</w:t>
      </w:r>
      <w:r>
        <w:rPr>
          <w:rFonts w:hint="eastAsia" w:ascii="宋体" w:hAnsi="宋体" w:cs="宋体"/>
          <w:bCs/>
          <w:color w:val="auto"/>
          <w:sz w:val="44"/>
          <w:szCs w:val="44"/>
          <w:highlight w:val="none"/>
        </w:rPr>
        <w:t>（格式）</w:t>
      </w:r>
    </w:p>
    <w:p w14:paraId="5F519D94">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3ACAD12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6A0960BF">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2E2237E">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C060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878893D">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56" w:name="_Toc301781611"/>
            <w:bookmarkStart w:id="57" w:name="_Toc254970729"/>
            <w:bookmarkStart w:id="58" w:name="_Toc383699906"/>
            <w:bookmarkStart w:id="59" w:name="_Toc173211900"/>
            <w:bookmarkStart w:id="60" w:name="_Toc373333689"/>
            <w:bookmarkStart w:id="61" w:name="_Toc297193185"/>
            <w:bookmarkStart w:id="62" w:name="_Toc173066401"/>
            <w:bookmarkStart w:id="63" w:name="_Toc295404981"/>
            <w:bookmarkStart w:id="64" w:name="_Toc254970588"/>
            <w:r>
              <w:rPr>
                <w:rFonts w:hint="eastAsia" w:ascii="宋体" w:hAnsi="宋体" w:eastAsia="宋体" w:cs="宋体"/>
                <w:color w:val="auto"/>
                <w:kern w:val="2"/>
                <w:sz w:val="24"/>
                <w:szCs w:val="24"/>
                <w:highlight w:val="none"/>
              </w:rPr>
              <w:t>序号</w:t>
            </w:r>
            <w:bookmarkEnd w:id="56"/>
            <w:bookmarkEnd w:id="57"/>
            <w:bookmarkEnd w:id="58"/>
            <w:bookmarkEnd w:id="59"/>
            <w:bookmarkEnd w:id="60"/>
            <w:bookmarkEnd w:id="61"/>
            <w:bookmarkEnd w:id="62"/>
            <w:bookmarkEnd w:id="63"/>
            <w:bookmarkEnd w:id="64"/>
          </w:p>
        </w:tc>
        <w:tc>
          <w:tcPr>
            <w:tcW w:w="992" w:type="dxa"/>
            <w:tcBorders>
              <w:right w:val="single" w:color="auto" w:sz="4" w:space="0"/>
            </w:tcBorders>
            <w:vAlign w:val="center"/>
          </w:tcPr>
          <w:p w14:paraId="7335DBB9">
            <w:pPr>
              <w:pStyle w:val="14"/>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3292" w:type="dxa"/>
            <w:tcBorders>
              <w:left w:val="single" w:color="auto" w:sz="4" w:space="0"/>
            </w:tcBorders>
            <w:vAlign w:val="center"/>
          </w:tcPr>
          <w:p w14:paraId="743B3DFE">
            <w:pPr>
              <w:pStyle w:val="14"/>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服务要求</w:t>
            </w:r>
          </w:p>
        </w:tc>
        <w:tc>
          <w:tcPr>
            <w:tcW w:w="2963" w:type="dxa"/>
            <w:vAlign w:val="center"/>
          </w:tcPr>
          <w:p w14:paraId="1FC627CC">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65" w:name="_Toc173211902"/>
            <w:bookmarkStart w:id="66" w:name="_Toc254970731"/>
            <w:bookmarkStart w:id="67" w:name="_Toc295404983"/>
            <w:bookmarkStart w:id="68" w:name="_Toc173066403"/>
            <w:bookmarkStart w:id="69" w:name="_Toc254970590"/>
            <w:bookmarkStart w:id="70" w:name="_Toc297193187"/>
            <w:bookmarkStart w:id="71" w:name="_Toc373333691"/>
            <w:bookmarkStart w:id="72" w:name="_Toc383699908"/>
            <w:bookmarkStart w:id="73" w:name="_Toc301781613"/>
            <w:r>
              <w:rPr>
                <w:rFonts w:hint="eastAsia" w:ascii="宋体" w:hAnsi="宋体" w:eastAsia="宋体" w:cs="宋体"/>
                <w:color w:val="auto"/>
                <w:kern w:val="2"/>
                <w:sz w:val="24"/>
                <w:szCs w:val="24"/>
                <w:highlight w:val="none"/>
              </w:rPr>
              <w:t>供应商的响应</w:t>
            </w:r>
            <w:bookmarkEnd w:id="65"/>
            <w:bookmarkEnd w:id="66"/>
            <w:bookmarkEnd w:id="67"/>
            <w:bookmarkEnd w:id="68"/>
            <w:bookmarkEnd w:id="69"/>
            <w:bookmarkEnd w:id="70"/>
            <w:bookmarkEnd w:id="71"/>
            <w:bookmarkEnd w:id="72"/>
            <w:bookmarkEnd w:id="73"/>
          </w:p>
        </w:tc>
        <w:tc>
          <w:tcPr>
            <w:tcW w:w="1616" w:type="dxa"/>
            <w:vAlign w:val="center"/>
          </w:tcPr>
          <w:p w14:paraId="0FF16D97">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74" w:name="_Toc254970591"/>
            <w:bookmarkStart w:id="75" w:name="_Toc295404984"/>
            <w:bookmarkStart w:id="76" w:name="_Toc254970732"/>
            <w:bookmarkStart w:id="77" w:name="_Toc297193188"/>
            <w:bookmarkStart w:id="78" w:name="_Toc301781614"/>
            <w:bookmarkStart w:id="79" w:name="_Toc173066404"/>
            <w:bookmarkStart w:id="80" w:name="_Toc383699909"/>
            <w:bookmarkStart w:id="81" w:name="_Toc373333692"/>
            <w:bookmarkStart w:id="82" w:name="_Toc173211903"/>
            <w:r>
              <w:rPr>
                <w:rFonts w:hint="eastAsia" w:ascii="宋体" w:hAnsi="宋体" w:eastAsia="宋体" w:cs="宋体"/>
                <w:color w:val="auto"/>
                <w:kern w:val="2"/>
                <w:sz w:val="24"/>
                <w:szCs w:val="24"/>
                <w:highlight w:val="none"/>
              </w:rPr>
              <w:t>偏离</w:t>
            </w:r>
            <w:bookmarkEnd w:id="74"/>
            <w:bookmarkEnd w:id="75"/>
            <w:bookmarkEnd w:id="76"/>
            <w:bookmarkEnd w:id="77"/>
            <w:bookmarkEnd w:id="78"/>
            <w:bookmarkEnd w:id="79"/>
            <w:bookmarkEnd w:id="80"/>
            <w:bookmarkEnd w:id="81"/>
            <w:bookmarkEnd w:id="82"/>
            <w:bookmarkStart w:id="83" w:name="_Toc295404985"/>
            <w:bookmarkStart w:id="84" w:name="_Toc301781615"/>
            <w:bookmarkStart w:id="85" w:name="_Toc373333693"/>
            <w:bookmarkStart w:id="86" w:name="_Toc254970592"/>
            <w:bookmarkStart w:id="87" w:name="_Toc254970733"/>
            <w:bookmarkStart w:id="88" w:name="_Toc173066405"/>
            <w:bookmarkStart w:id="89" w:name="_Toc173211904"/>
            <w:bookmarkStart w:id="90" w:name="_Toc297193189"/>
            <w:bookmarkStart w:id="91" w:name="_Toc383699910"/>
            <w:r>
              <w:rPr>
                <w:rFonts w:hint="eastAsia" w:ascii="宋体" w:hAnsi="宋体" w:eastAsia="宋体" w:cs="宋体"/>
                <w:color w:val="auto"/>
                <w:kern w:val="2"/>
                <w:sz w:val="24"/>
                <w:szCs w:val="24"/>
                <w:highlight w:val="none"/>
              </w:rPr>
              <w:t>说明</w:t>
            </w:r>
            <w:bookmarkEnd w:id="83"/>
            <w:bookmarkEnd w:id="84"/>
            <w:bookmarkEnd w:id="85"/>
            <w:bookmarkEnd w:id="86"/>
            <w:bookmarkEnd w:id="87"/>
            <w:bookmarkEnd w:id="88"/>
            <w:bookmarkEnd w:id="89"/>
            <w:bookmarkEnd w:id="90"/>
            <w:bookmarkEnd w:id="91"/>
          </w:p>
        </w:tc>
      </w:tr>
      <w:tr w14:paraId="4109A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D6E2505">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92" w:name="_Toc254970734"/>
            <w:bookmarkStart w:id="93" w:name="_Toc173066406"/>
            <w:bookmarkStart w:id="94" w:name="_Toc301781616"/>
            <w:bookmarkStart w:id="95" w:name="_Toc295404986"/>
            <w:bookmarkStart w:id="96" w:name="_Toc173211905"/>
            <w:bookmarkStart w:id="97" w:name="_Toc383699911"/>
            <w:bookmarkStart w:id="98" w:name="_Toc297193190"/>
            <w:bookmarkStart w:id="99" w:name="_Toc373333694"/>
            <w:bookmarkStart w:id="100" w:name="_Toc254970593"/>
            <w:r>
              <w:rPr>
                <w:rFonts w:hint="eastAsia" w:ascii="宋体" w:hAnsi="宋体" w:eastAsia="宋体" w:cs="宋体"/>
                <w:color w:val="auto"/>
                <w:kern w:val="2"/>
                <w:sz w:val="24"/>
                <w:szCs w:val="24"/>
                <w:highlight w:val="none"/>
              </w:rPr>
              <w:t>1</w:t>
            </w:r>
            <w:bookmarkEnd w:id="92"/>
            <w:bookmarkEnd w:id="93"/>
            <w:bookmarkEnd w:id="94"/>
            <w:bookmarkEnd w:id="95"/>
            <w:bookmarkEnd w:id="96"/>
            <w:bookmarkEnd w:id="97"/>
            <w:bookmarkEnd w:id="98"/>
            <w:bookmarkEnd w:id="99"/>
            <w:bookmarkEnd w:id="100"/>
          </w:p>
        </w:tc>
        <w:tc>
          <w:tcPr>
            <w:tcW w:w="992" w:type="dxa"/>
            <w:tcBorders>
              <w:right w:val="single" w:color="auto" w:sz="4" w:space="0"/>
            </w:tcBorders>
            <w:vAlign w:val="center"/>
          </w:tcPr>
          <w:p w14:paraId="158F166C">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2D5BEC67">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3A88E39D">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3090E0B8">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71A9B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B833AD9">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01" w:name="_Toc173066407"/>
            <w:bookmarkStart w:id="102" w:name="_Toc297193191"/>
            <w:bookmarkStart w:id="103" w:name="_Toc383699912"/>
            <w:bookmarkStart w:id="104" w:name="_Toc373333695"/>
            <w:bookmarkStart w:id="105" w:name="_Toc295404987"/>
            <w:bookmarkStart w:id="106" w:name="_Toc254970735"/>
            <w:bookmarkStart w:id="107" w:name="_Toc254970594"/>
            <w:bookmarkStart w:id="108" w:name="_Toc301781617"/>
            <w:bookmarkStart w:id="109" w:name="_Toc173211906"/>
            <w:r>
              <w:rPr>
                <w:rFonts w:hint="eastAsia" w:ascii="宋体" w:hAnsi="宋体" w:eastAsia="宋体" w:cs="宋体"/>
                <w:color w:val="auto"/>
                <w:kern w:val="2"/>
                <w:sz w:val="24"/>
                <w:szCs w:val="24"/>
                <w:highlight w:val="none"/>
              </w:rPr>
              <w:t>2</w:t>
            </w:r>
            <w:bookmarkEnd w:id="101"/>
            <w:bookmarkEnd w:id="102"/>
            <w:bookmarkEnd w:id="103"/>
            <w:bookmarkEnd w:id="104"/>
            <w:bookmarkEnd w:id="105"/>
            <w:bookmarkEnd w:id="106"/>
            <w:bookmarkEnd w:id="107"/>
            <w:bookmarkEnd w:id="108"/>
            <w:bookmarkEnd w:id="109"/>
          </w:p>
        </w:tc>
        <w:tc>
          <w:tcPr>
            <w:tcW w:w="992" w:type="dxa"/>
            <w:tcBorders>
              <w:right w:val="single" w:color="auto" w:sz="4" w:space="0"/>
            </w:tcBorders>
            <w:vAlign w:val="center"/>
          </w:tcPr>
          <w:p w14:paraId="64756AE6">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0792F21E">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B5F2657">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C4EAF58">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0E6A3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6F97499">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10" w:name="_Toc254970736"/>
            <w:bookmarkStart w:id="111" w:name="_Toc373333696"/>
            <w:bookmarkStart w:id="112" w:name="_Toc173066408"/>
            <w:bookmarkStart w:id="113" w:name="_Toc254970595"/>
            <w:bookmarkStart w:id="114" w:name="_Toc173211907"/>
            <w:bookmarkStart w:id="115" w:name="_Toc301781618"/>
            <w:bookmarkStart w:id="116" w:name="_Toc297193192"/>
            <w:bookmarkStart w:id="117" w:name="_Toc383699913"/>
            <w:bookmarkStart w:id="118" w:name="_Toc295404988"/>
            <w:r>
              <w:rPr>
                <w:rFonts w:hint="eastAsia" w:ascii="宋体" w:hAnsi="宋体" w:eastAsia="宋体" w:cs="宋体"/>
                <w:color w:val="auto"/>
                <w:kern w:val="2"/>
                <w:sz w:val="24"/>
                <w:szCs w:val="24"/>
                <w:highlight w:val="none"/>
              </w:rPr>
              <w:t>3</w:t>
            </w:r>
            <w:bookmarkEnd w:id="110"/>
            <w:bookmarkEnd w:id="111"/>
            <w:bookmarkEnd w:id="112"/>
            <w:bookmarkEnd w:id="113"/>
            <w:bookmarkEnd w:id="114"/>
            <w:bookmarkEnd w:id="115"/>
            <w:bookmarkEnd w:id="116"/>
            <w:bookmarkEnd w:id="117"/>
            <w:bookmarkEnd w:id="118"/>
          </w:p>
        </w:tc>
        <w:tc>
          <w:tcPr>
            <w:tcW w:w="992" w:type="dxa"/>
            <w:tcBorders>
              <w:right w:val="single" w:color="auto" w:sz="4" w:space="0"/>
            </w:tcBorders>
            <w:vAlign w:val="center"/>
          </w:tcPr>
          <w:p w14:paraId="7AFABCF6">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0030301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53B1AC9C">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6237B6BC">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0713B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09B593">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19" w:name="_Toc254970596"/>
            <w:bookmarkStart w:id="120" w:name="_Toc301781619"/>
            <w:bookmarkStart w:id="121" w:name="_Toc383699914"/>
            <w:bookmarkStart w:id="122" w:name="_Toc295404989"/>
            <w:bookmarkStart w:id="123" w:name="_Toc297193193"/>
            <w:bookmarkStart w:id="124" w:name="_Toc254970737"/>
            <w:bookmarkStart w:id="125" w:name="_Toc173211908"/>
            <w:bookmarkStart w:id="126" w:name="_Toc373333697"/>
            <w:bookmarkStart w:id="127" w:name="_Toc173066409"/>
            <w:r>
              <w:rPr>
                <w:rFonts w:hint="eastAsia" w:ascii="宋体" w:hAnsi="宋体" w:eastAsia="宋体" w:cs="宋体"/>
                <w:color w:val="auto"/>
                <w:kern w:val="2"/>
                <w:sz w:val="24"/>
                <w:szCs w:val="24"/>
                <w:highlight w:val="none"/>
              </w:rPr>
              <w:t>4</w:t>
            </w:r>
            <w:bookmarkEnd w:id="119"/>
            <w:bookmarkEnd w:id="120"/>
            <w:bookmarkEnd w:id="121"/>
            <w:bookmarkEnd w:id="122"/>
            <w:bookmarkEnd w:id="123"/>
            <w:bookmarkEnd w:id="124"/>
            <w:bookmarkEnd w:id="125"/>
            <w:bookmarkEnd w:id="126"/>
            <w:bookmarkEnd w:id="127"/>
          </w:p>
        </w:tc>
        <w:tc>
          <w:tcPr>
            <w:tcW w:w="992" w:type="dxa"/>
            <w:tcBorders>
              <w:right w:val="single" w:color="auto" w:sz="4" w:space="0"/>
            </w:tcBorders>
            <w:vAlign w:val="center"/>
          </w:tcPr>
          <w:p w14:paraId="18877FC7">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213DB1B0">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56D66FD9">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B8DB989">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2A380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A767785">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28" w:name="_Toc173066410"/>
            <w:bookmarkStart w:id="129" w:name="_Toc254970597"/>
            <w:bookmarkStart w:id="130" w:name="_Toc254970738"/>
            <w:bookmarkStart w:id="131" w:name="_Toc295404990"/>
            <w:bookmarkStart w:id="132" w:name="_Toc297193194"/>
            <w:bookmarkStart w:id="133" w:name="_Toc373333698"/>
            <w:bookmarkStart w:id="134" w:name="_Toc383699915"/>
            <w:bookmarkStart w:id="135" w:name="_Toc301781620"/>
            <w:bookmarkStart w:id="136" w:name="_Toc173211909"/>
            <w:r>
              <w:rPr>
                <w:rFonts w:hint="eastAsia" w:ascii="宋体" w:hAnsi="宋体" w:eastAsia="宋体" w:cs="宋体"/>
                <w:color w:val="auto"/>
                <w:kern w:val="2"/>
                <w:sz w:val="24"/>
                <w:szCs w:val="24"/>
                <w:highlight w:val="none"/>
              </w:rPr>
              <w:t>5</w:t>
            </w:r>
            <w:bookmarkEnd w:id="128"/>
            <w:bookmarkEnd w:id="129"/>
            <w:bookmarkEnd w:id="130"/>
            <w:bookmarkEnd w:id="131"/>
            <w:bookmarkEnd w:id="132"/>
            <w:bookmarkEnd w:id="133"/>
            <w:bookmarkEnd w:id="134"/>
            <w:bookmarkEnd w:id="135"/>
            <w:bookmarkEnd w:id="136"/>
          </w:p>
        </w:tc>
        <w:tc>
          <w:tcPr>
            <w:tcW w:w="992" w:type="dxa"/>
            <w:tcBorders>
              <w:right w:val="single" w:color="auto" w:sz="4" w:space="0"/>
            </w:tcBorders>
            <w:vAlign w:val="center"/>
          </w:tcPr>
          <w:p w14:paraId="4DD3D91F">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533D4FC1">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7229829E">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3D84C9A1">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r w14:paraId="12E64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420E8265">
            <w:pPr>
              <w:pStyle w:val="14"/>
              <w:spacing w:line="360" w:lineRule="auto"/>
              <w:ind w:firstLine="0" w:firstLineChars="0"/>
              <w:contextualSpacing/>
              <w:jc w:val="center"/>
              <w:rPr>
                <w:rFonts w:ascii="宋体" w:hAnsi="宋体" w:eastAsia="宋体" w:cs="宋体"/>
                <w:color w:val="auto"/>
                <w:kern w:val="2"/>
                <w:sz w:val="24"/>
                <w:szCs w:val="24"/>
                <w:highlight w:val="none"/>
              </w:rPr>
            </w:pPr>
            <w:bookmarkStart w:id="137" w:name="_Toc373333699"/>
            <w:bookmarkStart w:id="138" w:name="_Toc383699916"/>
            <w:bookmarkStart w:id="139" w:name="_Toc301781621"/>
            <w:bookmarkStart w:id="140" w:name="_Toc254970602"/>
            <w:bookmarkStart w:id="141" w:name="_Toc295404991"/>
            <w:bookmarkStart w:id="142" w:name="_Toc173211914"/>
            <w:bookmarkStart w:id="143" w:name="_Toc254970743"/>
            <w:bookmarkStart w:id="144" w:name="_Toc173066415"/>
            <w:bookmarkStart w:id="145" w:name="_Toc297193195"/>
            <w:r>
              <w:rPr>
                <w:rFonts w:hint="eastAsia" w:ascii="宋体" w:hAnsi="宋体" w:eastAsia="宋体" w:cs="宋体"/>
                <w:color w:val="auto"/>
                <w:kern w:val="2"/>
                <w:sz w:val="24"/>
                <w:szCs w:val="24"/>
                <w:highlight w:val="none"/>
              </w:rPr>
              <w:t>…</w:t>
            </w:r>
            <w:bookmarkEnd w:id="137"/>
            <w:bookmarkEnd w:id="138"/>
            <w:bookmarkEnd w:id="139"/>
            <w:bookmarkEnd w:id="140"/>
            <w:bookmarkEnd w:id="141"/>
            <w:bookmarkEnd w:id="142"/>
            <w:bookmarkEnd w:id="143"/>
            <w:bookmarkEnd w:id="144"/>
            <w:bookmarkEnd w:id="145"/>
          </w:p>
        </w:tc>
        <w:tc>
          <w:tcPr>
            <w:tcW w:w="992" w:type="dxa"/>
            <w:tcBorders>
              <w:right w:val="single" w:color="auto" w:sz="4" w:space="0"/>
            </w:tcBorders>
            <w:vAlign w:val="center"/>
          </w:tcPr>
          <w:p w14:paraId="41AD2A64">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2B402608">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56FFC35E">
            <w:pPr>
              <w:pStyle w:val="14"/>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tcBorders>
              <w:right w:val="single" w:color="auto" w:sz="4" w:space="0"/>
            </w:tcBorders>
            <w:vAlign w:val="center"/>
          </w:tcPr>
          <w:p w14:paraId="2CF6CB69">
            <w:pPr>
              <w:pStyle w:val="14"/>
              <w:spacing w:line="360" w:lineRule="auto"/>
              <w:ind w:firstLine="0" w:firstLineChars="0"/>
              <w:contextualSpacing/>
              <w:jc w:val="center"/>
              <w:rPr>
                <w:rFonts w:ascii="宋体" w:hAnsi="宋体" w:eastAsia="宋体" w:cs="宋体"/>
                <w:color w:val="auto"/>
                <w:kern w:val="2"/>
                <w:sz w:val="24"/>
                <w:szCs w:val="24"/>
                <w:highlight w:val="none"/>
              </w:rPr>
            </w:pPr>
          </w:p>
        </w:tc>
      </w:tr>
    </w:tbl>
    <w:p w14:paraId="267CFA12">
      <w:pPr>
        <w:adjustRightInd w:val="0"/>
        <w:spacing w:line="360" w:lineRule="auto"/>
        <w:contextualSpacing/>
        <w:rPr>
          <w:rFonts w:ascii="宋体" w:hAnsi="宋体" w:cs="宋体"/>
          <w:color w:val="auto"/>
          <w:sz w:val="24"/>
          <w:highlight w:val="none"/>
        </w:rPr>
      </w:pPr>
    </w:p>
    <w:p w14:paraId="23924282">
      <w:pPr>
        <w:pStyle w:val="14"/>
        <w:spacing w:line="360" w:lineRule="auto"/>
        <w:ind w:firstLine="0" w:firstLineChars="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3D0E3105">
      <w:pPr>
        <w:pStyle w:val="14"/>
        <w:spacing w:line="360" w:lineRule="auto"/>
        <w:ind w:firstLine="0" w:firstLineChars="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说明：应对照磋商文件“第三章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w:t>
      </w:r>
      <w:r>
        <w:rPr>
          <w:rFonts w:hint="eastAsia" w:ascii="楷体" w:hAnsi="楷体" w:eastAsia="楷体" w:cs="宋体"/>
          <w:color w:val="auto"/>
          <w:sz w:val="24"/>
          <w:szCs w:val="24"/>
          <w:highlight w:val="none"/>
          <w:lang w:eastAsia="zh-CN"/>
        </w:rPr>
        <w:t>技术</w:t>
      </w:r>
      <w:r>
        <w:rPr>
          <w:rFonts w:hint="eastAsia" w:ascii="楷体" w:hAnsi="楷体" w:eastAsia="楷体" w:cs="宋体"/>
          <w:color w:val="auto"/>
          <w:sz w:val="24"/>
          <w:szCs w:val="24"/>
          <w:highlight w:val="none"/>
        </w:rPr>
        <w:t>服务要求逐条作出明确响应，并作出偏离说明。</w:t>
      </w:r>
    </w:p>
    <w:p w14:paraId="647B64B5">
      <w:pPr>
        <w:pStyle w:val="14"/>
        <w:spacing w:line="360" w:lineRule="auto"/>
        <w:ind w:firstLine="0" w:firstLineChars="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2.供应商应根据自身的承诺，对照磋商文件要求，在“偏离说明”中注明“正偏离”、“负偏离”或者“无偏离”。既不属于“正偏离”也不属于“负偏离”即为“无偏离”。</w:t>
      </w:r>
    </w:p>
    <w:p w14:paraId="6CD35010">
      <w:pPr>
        <w:spacing w:line="360" w:lineRule="auto"/>
        <w:ind w:right="-817" w:rightChars="-389"/>
        <w:contextualSpacing/>
        <w:rPr>
          <w:rFonts w:ascii="宋体" w:hAnsi="宋体" w:cs="宋体"/>
          <w:color w:val="auto"/>
          <w:sz w:val="24"/>
          <w:highlight w:val="none"/>
        </w:rPr>
      </w:pPr>
    </w:p>
    <w:p w14:paraId="01B36DA1">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B8157AF">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C0DB623">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51113DE">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7B33D322">
      <w:pPr>
        <w:snapToGrid w:val="0"/>
        <w:spacing w:before="156" w:beforeLines="50" w:after="50"/>
        <w:ind w:left="142"/>
        <w:jc w:val="left"/>
        <w:rPr>
          <w:rFonts w:ascii="宋体" w:hAnsi="宋体" w:cs="宋体"/>
          <w:b/>
          <w:color w:val="auto"/>
          <w:sz w:val="24"/>
          <w:highlight w:val="none"/>
        </w:rPr>
      </w:pPr>
    </w:p>
    <w:p w14:paraId="0E37B4FE">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7CF4E73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0A272EA5">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0799091">
      <w:pPr>
        <w:pStyle w:val="16"/>
        <w:spacing w:line="360" w:lineRule="auto"/>
        <w:contextualSpacing/>
        <w:rPr>
          <w:rFonts w:hAnsi="宋体" w:cs="宋体"/>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21E1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12ABD502">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94" w:type="dxa"/>
            <w:vAlign w:val="center"/>
          </w:tcPr>
          <w:p w14:paraId="65176865">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907" w:type="dxa"/>
            <w:vAlign w:val="center"/>
          </w:tcPr>
          <w:p w14:paraId="4E0CCD26">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2" w:type="dxa"/>
            <w:vAlign w:val="center"/>
          </w:tcPr>
          <w:p w14:paraId="5C26F834">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3" w:type="dxa"/>
            <w:vAlign w:val="center"/>
          </w:tcPr>
          <w:p w14:paraId="5E0CD514">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D575993">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66" w:type="dxa"/>
            <w:vAlign w:val="center"/>
          </w:tcPr>
          <w:p w14:paraId="0B14392B">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11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FBB0B49">
            <w:pPr>
              <w:spacing w:line="360" w:lineRule="auto"/>
              <w:contextualSpacing/>
              <w:jc w:val="center"/>
              <w:rPr>
                <w:rFonts w:ascii="宋体" w:hAnsi="宋体" w:cs="宋体"/>
                <w:color w:val="auto"/>
                <w:sz w:val="24"/>
                <w:szCs w:val="20"/>
                <w:highlight w:val="none"/>
              </w:rPr>
            </w:pPr>
          </w:p>
        </w:tc>
        <w:tc>
          <w:tcPr>
            <w:tcW w:w="794" w:type="dxa"/>
            <w:vAlign w:val="center"/>
          </w:tcPr>
          <w:p w14:paraId="75ACF2B7">
            <w:pPr>
              <w:spacing w:line="360" w:lineRule="auto"/>
              <w:contextualSpacing/>
              <w:jc w:val="center"/>
              <w:rPr>
                <w:rFonts w:ascii="宋体" w:hAnsi="宋体" w:cs="宋体"/>
                <w:color w:val="auto"/>
                <w:sz w:val="24"/>
                <w:szCs w:val="20"/>
                <w:highlight w:val="none"/>
              </w:rPr>
            </w:pPr>
          </w:p>
        </w:tc>
        <w:tc>
          <w:tcPr>
            <w:tcW w:w="1907" w:type="dxa"/>
            <w:vAlign w:val="center"/>
          </w:tcPr>
          <w:p w14:paraId="06E858C9">
            <w:pPr>
              <w:spacing w:line="360" w:lineRule="auto"/>
              <w:contextualSpacing/>
              <w:jc w:val="center"/>
              <w:rPr>
                <w:rFonts w:ascii="宋体" w:hAnsi="宋体" w:cs="宋体"/>
                <w:color w:val="auto"/>
                <w:sz w:val="24"/>
                <w:szCs w:val="20"/>
                <w:highlight w:val="none"/>
              </w:rPr>
            </w:pPr>
          </w:p>
        </w:tc>
        <w:tc>
          <w:tcPr>
            <w:tcW w:w="1592" w:type="dxa"/>
            <w:vAlign w:val="center"/>
          </w:tcPr>
          <w:p w14:paraId="1AA2C5B4">
            <w:pPr>
              <w:spacing w:line="360" w:lineRule="auto"/>
              <w:contextualSpacing/>
              <w:jc w:val="center"/>
              <w:rPr>
                <w:rFonts w:ascii="宋体" w:hAnsi="宋体" w:cs="宋体"/>
                <w:color w:val="auto"/>
                <w:sz w:val="24"/>
                <w:szCs w:val="20"/>
                <w:highlight w:val="none"/>
              </w:rPr>
            </w:pPr>
          </w:p>
        </w:tc>
        <w:tc>
          <w:tcPr>
            <w:tcW w:w="1903" w:type="dxa"/>
            <w:vAlign w:val="center"/>
          </w:tcPr>
          <w:p w14:paraId="71874415">
            <w:pPr>
              <w:spacing w:line="360" w:lineRule="auto"/>
              <w:contextualSpacing/>
              <w:jc w:val="center"/>
              <w:rPr>
                <w:rFonts w:ascii="宋体" w:hAnsi="宋体" w:cs="宋体"/>
                <w:color w:val="auto"/>
                <w:sz w:val="24"/>
                <w:szCs w:val="20"/>
                <w:highlight w:val="none"/>
              </w:rPr>
            </w:pPr>
          </w:p>
        </w:tc>
        <w:tc>
          <w:tcPr>
            <w:tcW w:w="2066" w:type="dxa"/>
            <w:vAlign w:val="center"/>
          </w:tcPr>
          <w:p w14:paraId="6D4BD495">
            <w:pPr>
              <w:spacing w:line="360" w:lineRule="auto"/>
              <w:contextualSpacing/>
              <w:jc w:val="center"/>
              <w:rPr>
                <w:rFonts w:ascii="宋体" w:hAnsi="宋体" w:cs="宋体"/>
                <w:color w:val="auto"/>
                <w:sz w:val="24"/>
                <w:szCs w:val="20"/>
                <w:highlight w:val="none"/>
              </w:rPr>
            </w:pPr>
          </w:p>
        </w:tc>
      </w:tr>
      <w:tr w14:paraId="4D55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DE1C1B6">
            <w:pPr>
              <w:spacing w:line="360" w:lineRule="auto"/>
              <w:contextualSpacing/>
              <w:jc w:val="center"/>
              <w:rPr>
                <w:rFonts w:ascii="宋体" w:hAnsi="宋体" w:cs="宋体"/>
                <w:color w:val="auto"/>
                <w:sz w:val="24"/>
                <w:szCs w:val="20"/>
                <w:highlight w:val="none"/>
              </w:rPr>
            </w:pPr>
          </w:p>
        </w:tc>
        <w:tc>
          <w:tcPr>
            <w:tcW w:w="794" w:type="dxa"/>
            <w:vAlign w:val="center"/>
          </w:tcPr>
          <w:p w14:paraId="48D14054">
            <w:pPr>
              <w:spacing w:line="360" w:lineRule="auto"/>
              <w:contextualSpacing/>
              <w:jc w:val="center"/>
              <w:rPr>
                <w:rFonts w:ascii="宋体" w:hAnsi="宋体" w:cs="宋体"/>
                <w:color w:val="auto"/>
                <w:sz w:val="24"/>
                <w:szCs w:val="20"/>
                <w:highlight w:val="none"/>
              </w:rPr>
            </w:pPr>
          </w:p>
        </w:tc>
        <w:tc>
          <w:tcPr>
            <w:tcW w:w="1907" w:type="dxa"/>
            <w:vAlign w:val="center"/>
          </w:tcPr>
          <w:p w14:paraId="1E9DAEDC">
            <w:pPr>
              <w:spacing w:line="360" w:lineRule="auto"/>
              <w:contextualSpacing/>
              <w:jc w:val="center"/>
              <w:rPr>
                <w:rFonts w:ascii="宋体" w:hAnsi="宋体" w:cs="宋体"/>
                <w:color w:val="auto"/>
                <w:sz w:val="24"/>
                <w:szCs w:val="20"/>
                <w:highlight w:val="none"/>
              </w:rPr>
            </w:pPr>
          </w:p>
        </w:tc>
        <w:tc>
          <w:tcPr>
            <w:tcW w:w="1592" w:type="dxa"/>
            <w:vAlign w:val="center"/>
          </w:tcPr>
          <w:p w14:paraId="2249E752">
            <w:pPr>
              <w:spacing w:line="360" w:lineRule="auto"/>
              <w:contextualSpacing/>
              <w:jc w:val="center"/>
              <w:rPr>
                <w:rFonts w:ascii="宋体" w:hAnsi="宋体" w:cs="宋体"/>
                <w:color w:val="auto"/>
                <w:sz w:val="24"/>
                <w:szCs w:val="20"/>
                <w:highlight w:val="none"/>
              </w:rPr>
            </w:pPr>
          </w:p>
        </w:tc>
        <w:tc>
          <w:tcPr>
            <w:tcW w:w="1903" w:type="dxa"/>
            <w:vAlign w:val="center"/>
          </w:tcPr>
          <w:p w14:paraId="083BED83">
            <w:pPr>
              <w:spacing w:line="360" w:lineRule="auto"/>
              <w:contextualSpacing/>
              <w:jc w:val="center"/>
              <w:rPr>
                <w:rFonts w:ascii="宋体" w:hAnsi="宋体" w:cs="宋体"/>
                <w:color w:val="auto"/>
                <w:sz w:val="24"/>
                <w:szCs w:val="20"/>
                <w:highlight w:val="none"/>
              </w:rPr>
            </w:pPr>
          </w:p>
        </w:tc>
        <w:tc>
          <w:tcPr>
            <w:tcW w:w="2066" w:type="dxa"/>
            <w:vAlign w:val="center"/>
          </w:tcPr>
          <w:p w14:paraId="7E138152">
            <w:pPr>
              <w:spacing w:line="360" w:lineRule="auto"/>
              <w:contextualSpacing/>
              <w:jc w:val="center"/>
              <w:rPr>
                <w:rFonts w:ascii="宋体" w:hAnsi="宋体" w:cs="宋体"/>
                <w:color w:val="auto"/>
                <w:sz w:val="24"/>
                <w:szCs w:val="20"/>
                <w:highlight w:val="none"/>
              </w:rPr>
            </w:pPr>
          </w:p>
        </w:tc>
      </w:tr>
      <w:tr w14:paraId="60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3B7D332">
            <w:pPr>
              <w:spacing w:line="360" w:lineRule="auto"/>
              <w:contextualSpacing/>
              <w:jc w:val="center"/>
              <w:rPr>
                <w:rFonts w:ascii="宋体" w:hAnsi="宋体" w:cs="宋体"/>
                <w:color w:val="auto"/>
                <w:sz w:val="24"/>
                <w:szCs w:val="20"/>
                <w:highlight w:val="none"/>
              </w:rPr>
            </w:pPr>
          </w:p>
        </w:tc>
        <w:tc>
          <w:tcPr>
            <w:tcW w:w="794" w:type="dxa"/>
            <w:vAlign w:val="center"/>
          </w:tcPr>
          <w:p w14:paraId="4E2E0DEA">
            <w:pPr>
              <w:spacing w:line="360" w:lineRule="auto"/>
              <w:contextualSpacing/>
              <w:jc w:val="center"/>
              <w:rPr>
                <w:rFonts w:ascii="宋体" w:hAnsi="宋体" w:cs="宋体"/>
                <w:color w:val="auto"/>
                <w:sz w:val="24"/>
                <w:szCs w:val="20"/>
                <w:highlight w:val="none"/>
              </w:rPr>
            </w:pPr>
          </w:p>
        </w:tc>
        <w:tc>
          <w:tcPr>
            <w:tcW w:w="1907" w:type="dxa"/>
            <w:vAlign w:val="center"/>
          </w:tcPr>
          <w:p w14:paraId="57D8A14C">
            <w:pPr>
              <w:spacing w:line="360" w:lineRule="auto"/>
              <w:contextualSpacing/>
              <w:jc w:val="center"/>
              <w:rPr>
                <w:rFonts w:ascii="宋体" w:hAnsi="宋体" w:cs="宋体"/>
                <w:color w:val="auto"/>
                <w:sz w:val="24"/>
                <w:szCs w:val="20"/>
                <w:highlight w:val="none"/>
              </w:rPr>
            </w:pPr>
          </w:p>
        </w:tc>
        <w:tc>
          <w:tcPr>
            <w:tcW w:w="1592" w:type="dxa"/>
            <w:vAlign w:val="center"/>
          </w:tcPr>
          <w:p w14:paraId="2CB0D1E7">
            <w:pPr>
              <w:spacing w:line="360" w:lineRule="auto"/>
              <w:contextualSpacing/>
              <w:jc w:val="center"/>
              <w:rPr>
                <w:rFonts w:ascii="宋体" w:hAnsi="宋体" w:cs="宋体"/>
                <w:color w:val="auto"/>
                <w:sz w:val="24"/>
                <w:szCs w:val="20"/>
                <w:highlight w:val="none"/>
              </w:rPr>
            </w:pPr>
          </w:p>
        </w:tc>
        <w:tc>
          <w:tcPr>
            <w:tcW w:w="1903" w:type="dxa"/>
            <w:vAlign w:val="center"/>
          </w:tcPr>
          <w:p w14:paraId="167156F9">
            <w:pPr>
              <w:spacing w:line="360" w:lineRule="auto"/>
              <w:contextualSpacing/>
              <w:jc w:val="center"/>
              <w:rPr>
                <w:rFonts w:ascii="宋体" w:hAnsi="宋体" w:cs="宋体"/>
                <w:color w:val="auto"/>
                <w:sz w:val="24"/>
                <w:szCs w:val="20"/>
                <w:highlight w:val="none"/>
              </w:rPr>
            </w:pPr>
          </w:p>
        </w:tc>
        <w:tc>
          <w:tcPr>
            <w:tcW w:w="2066" w:type="dxa"/>
            <w:vAlign w:val="center"/>
          </w:tcPr>
          <w:p w14:paraId="15224FF3">
            <w:pPr>
              <w:spacing w:line="360" w:lineRule="auto"/>
              <w:contextualSpacing/>
              <w:jc w:val="center"/>
              <w:rPr>
                <w:rFonts w:ascii="宋体" w:hAnsi="宋体" w:cs="宋体"/>
                <w:color w:val="auto"/>
                <w:sz w:val="24"/>
                <w:szCs w:val="20"/>
                <w:highlight w:val="none"/>
              </w:rPr>
            </w:pPr>
          </w:p>
        </w:tc>
      </w:tr>
    </w:tbl>
    <w:p w14:paraId="22281E15">
      <w:pPr>
        <w:spacing w:line="360" w:lineRule="auto"/>
        <w:contextualSpacing/>
        <w:jc w:val="left"/>
        <w:rPr>
          <w:rFonts w:ascii="楷体" w:hAnsi="楷体" w:eastAsia="楷体" w:cs="宋体"/>
          <w:b/>
          <w:color w:val="auto"/>
          <w:sz w:val="24"/>
          <w:szCs w:val="20"/>
          <w:highlight w:val="none"/>
        </w:rPr>
      </w:pPr>
      <w:r>
        <w:rPr>
          <w:rFonts w:hint="eastAsia" w:ascii="楷体" w:hAnsi="楷体" w:eastAsia="楷体" w:cs="宋体"/>
          <w:b/>
          <w:color w:val="auto"/>
          <w:sz w:val="24"/>
          <w:szCs w:val="20"/>
          <w:highlight w:val="none"/>
        </w:rPr>
        <w:t>注：</w:t>
      </w:r>
    </w:p>
    <w:p w14:paraId="7816D32F">
      <w:pPr>
        <w:spacing w:line="360" w:lineRule="auto"/>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1.在填写时，如本表格不适合供应商的实际情况，可根据本表格式自行制表填写。</w:t>
      </w:r>
    </w:p>
    <w:p w14:paraId="1EB09DD3">
      <w:pPr>
        <w:spacing w:line="360" w:lineRule="auto"/>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2.供应商应当附本表所</w:t>
      </w:r>
      <w:r>
        <w:rPr>
          <w:rFonts w:hint="eastAsia" w:ascii="楷体" w:hAnsi="楷体" w:eastAsia="楷体" w:cs="宋体"/>
          <w:color w:val="auto"/>
          <w:sz w:val="24"/>
          <w:szCs w:val="20"/>
          <w:highlight w:val="none"/>
        </w:rPr>
        <w:t>列证书的复印件并加盖供应商公章。</w:t>
      </w:r>
    </w:p>
    <w:p w14:paraId="543F062D">
      <w:pPr>
        <w:pStyle w:val="13"/>
        <w:rPr>
          <w:color w:val="auto"/>
          <w:highlight w:val="none"/>
        </w:rPr>
      </w:pPr>
    </w:p>
    <w:p w14:paraId="78A362EB">
      <w:pPr>
        <w:spacing w:line="360" w:lineRule="auto"/>
        <w:ind w:firstLine="3120" w:firstLineChars="1300"/>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z w:val="24"/>
          <w:highlight w:val="none"/>
        </w:rPr>
        <w:t>）</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039330BD">
      <w:pPr>
        <w:spacing w:line="360" w:lineRule="auto"/>
        <w:ind w:firstLine="3080" w:firstLineChars="1100"/>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供应商（公章）：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F16C536">
      <w:pPr>
        <w:spacing w:line="360" w:lineRule="auto"/>
        <w:ind w:firstLine="3080" w:firstLineChars="1100"/>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期：年</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7987B91">
      <w:pPr>
        <w:snapToGrid w:val="0"/>
        <w:spacing w:before="50" w:after="156" w:afterLines="50"/>
        <w:jc w:val="left"/>
        <w:rPr>
          <w:rFonts w:ascii="宋体" w:hAnsi="宋体" w:cs="宋体"/>
          <w:color w:val="auto"/>
          <w:sz w:val="24"/>
          <w:szCs w:val="20"/>
          <w:highlight w:val="none"/>
        </w:rPr>
      </w:pPr>
    </w:p>
    <w:p w14:paraId="4FC92013">
      <w:pPr>
        <w:snapToGrid w:val="0"/>
        <w:spacing w:before="50" w:after="50" w:line="360" w:lineRule="auto"/>
        <w:ind w:right="-817" w:rightChars="-389" w:firstLine="5461" w:firstLineChars="1700"/>
        <w:rPr>
          <w:rFonts w:ascii="宋体" w:hAnsi="宋体" w:cs="宋体"/>
          <w:b/>
          <w:color w:val="auto"/>
          <w:sz w:val="32"/>
          <w:szCs w:val="32"/>
          <w:highlight w:val="none"/>
        </w:rPr>
      </w:pPr>
    </w:p>
    <w:p w14:paraId="71E04DCB">
      <w:pPr>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45155D3B">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5FA67D45">
      <w:pPr>
        <w:pStyle w:val="16"/>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1209BEF">
      <w:pPr>
        <w:pStyle w:val="16"/>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B0AC777">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792D714">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751F29B">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5DD50411">
      <w:pPr>
        <w:pStyle w:val="16"/>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009DF42">
      <w:pPr>
        <w:pStyle w:val="16"/>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5C6D413">
      <w:pPr>
        <w:pStyle w:val="16"/>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7C2A25C">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0DB8BDF">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191CBCB">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1440629">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AD1D73">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14F945A">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04FB16CB">
      <w:pPr>
        <w:pStyle w:val="16"/>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FA611E9">
      <w:pPr>
        <w:pStyle w:val="16"/>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109D8E9">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1D31E23">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5B380718">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F751085">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190767E8">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4C29DB7D">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CD62AB1">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F30B1CD">
      <w:pPr>
        <w:pStyle w:val="16"/>
        <w:spacing w:line="360" w:lineRule="auto"/>
        <w:ind w:left="25" w:leftChars="12" w:firstLine="352" w:firstLineChars="147"/>
        <w:contextualSpacing/>
        <w:rPr>
          <w:rFonts w:hAnsi="宋体" w:cs="宋体"/>
          <w:color w:val="auto"/>
          <w:sz w:val="24"/>
          <w:szCs w:val="24"/>
          <w:highlight w:val="none"/>
        </w:rPr>
      </w:pPr>
    </w:p>
    <w:p w14:paraId="4A21D5B8">
      <w:pPr>
        <w:pStyle w:val="16"/>
        <w:spacing w:line="360" w:lineRule="auto"/>
        <w:ind w:left="25" w:leftChars="12" w:firstLine="472" w:firstLineChars="197"/>
        <w:contextualSpacing/>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2CF3D58C">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2A7D448B">
      <w:pPr>
        <w:rPr>
          <w:color w:val="auto"/>
          <w:highlight w:val="none"/>
        </w:rPr>
      </w:pPr>
    </w:p>
    <w:p w14:paraId="5A24EB5D">
      <w:pPr>
        <w:pStyle w:val="13"/>
        <w:rPr>
          <w:color w:val="auto"/>
          <w:highlight w:val="none"/>
        </w:rPr>
      </w:pPr>
    </w:p>
    <w:p w14:paraId="15C600AF">
      <w:pPr>
        <w:pStyle w:val="16"/>
        <w:spacing w:line="360" w:lineRule="auto"/>
        <w:ind w:firstLine="482" w:firstLineChars="20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6814FE35">
      <w:pPr>
        <w:pStyle w:val="16"/>
        <w:spacing w:line="360" w:lineRule="auto"/>
        <w:ind w:left="25" w:leftChars="12" w:firstLine="354" w:firstLineChars="147"/>
        <w:contextualSpacing/>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08691FC8">
      <w:pPr>
        <w:pStyle w:val="16"/>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43F4FE0B">
      <w:pPr>
        <w:pStyle w:val="16"/>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28C2C34A">
      <w:pPr>
        <w:pStyle w:val="16"/>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52CAB8CF">
      <w:pPr>
        <w:pStyle w:val="16"/>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4620CF9D">
      <w:pPr>
        <w:pStyle w:val="16"/>
        <w:snapToGrid w:val="0"/>
        <w:rPr>
          <w:rFonts w:hAnsi="宋体" w:cs="宋体"/>
          <w:b/>
          <w:color w:val="auto"/>
          <w:sz w:val="24"/>
          <w:szCs w:val="24"/>
          <w:highlight w:val="none"/>
        </w:rPr>
      </w:pPr>
    </w:p>
    <w:p w14:paraId="73C9A1E2">
      <w:pPr>
        <w:rPr>
          <w:rFonts w:ascii="宋体" w:hAnsi="宋体" w:cs="宋体"/>
          <w:color w:val="auto"/>
          <w:sz w:val="32"/>
          <w:szCs w:val="40"/>
          <w:highlight w:val="none"/>
        </w:rPr>
      </w:pPr>
    </w:p>
    <w:p w14:paraId="195451DE">
      <w:pPr>
        <w:rPr>
          <w:rFonts w:ascii="宋体" w:hAnsi="宋体" w:cs="宋体"/>
          <w:color w:val="auto"/>
          <w:sz w:val="32"/>
          <w:szCs w:val="40"/>
          <w:highlight w:val="none"/>
        </w:rPr>
      </w:pPr>
    </w:p>
    <w:p w14:paraId="52D56160">
      <w:pPr>
        <w:rPr>
          <w:rFonts w:ascii="宋体" w:hAnsi="宋体" w:cs="宋体"/>
          <w:color w:val="auto"/>
          <w:sz w:val="32"/>
          <w:szCs w:val="40"/>
          <w:highlight w:val="none"/>
        </w:rPr>
      </w:pPr>
    </w:p>
    <w:p w14:paraId="5F0594C3">
      <w:pPr>
        <w:rPr>
          <w:rFonts w:ascii="宋体" w:hAnsi="宋体" w:cs="宋体"/>
          <w:color w:val="auto"/>
          <w:sz w:val="32"/>
          <w:szCs w:val="40"/>
          <w:highlight w:val="none"/>
        </w:rPr>
      </w:pPr>
    </w:p>
    <w:p w14:paraId="7428E476">
      <w:pPr>
        <w:rPr>
          <w:rFonts w:ascii="宋体" w:hAnsi="宋体" w:cs="宋体"/>
          <w:color w:val="auto"/>
          <w:sz w:val="32"/>
          <w:szCs w:val="40"/>
          <w:highlight w:val="none"/>
        </w:rPr>
      </w:pPr>
    </w:p>
    <w:p w14:paraId="5FD18B16">
      <w:pPr>
        <w:rPr>
          <w:rFonts w:ascii="宋体" w:hAnsi="宋体" w:cs="宋体"/>
          <w:color w:val="auto"/>
          <w:sz w:val="32"/>
          <w:szCs w:val="40"/>
          <w:highlight w:val="none"/>
        </w:rPr>
      </w:pPr>
    </w:p>
    <w:p w14:paraId="04D1AD87">
      <w:pPr>
        <w:rPr>
          <w:rFonts w:ascii="宋体" w:hAnsi="宋体" w:cs="宋体"/>
          <w:color w:val="auto"/>
          <w:sz w:val="32"/>
          <w:szCs w:val="40"/>
          <w:highlight w:val="none"/>
        </w:rPr>
      </w:pPr>
    </w:p>
    <w:p w14:paraId="7AFAC20C">
      <w:pPr>
        <w:rPr>
          <w:rFonts w:ascii="宋体" w:hAnsi="宋体" w:cs="宋体"/>
          <w:color w:val="auto"/>
          <w:sz w:val="32"/>
          <w:szCs w:val="40"/>
          <w:highlight w:val="none"/>
        </w:rPr>
      </w:pPr>
    </w:p>
    <w:p w14:paraId="00F3346F">
      <w:pPr>
        <w:rPr>
          <w:rFonts w:ascii="宋体" w:hAnsi="宋体" w:cs="宋体"/>
          <w:color w:val="auto"/>
          <w:sz w:val="32"/>
          <w:szCs w:val="40"/>
          <w:highlight w:val="none"/>
        </w:rPr>
      </w:pPr>
    </w:p>
    <w:p w14:paraId="0D2F335C">
      <w:pPr>
        <w:rPr>
          <w:rFonts w:ascii="宋体" w:hAnsi="宋体" w:cs="宋体"/>
          <w:color w:val="auto"/>
          <w:sz w:val="32"/>
          <w:szCs w:val="40"/>
          <w:highlight w:val="none"/>
        </w:rPr>
      </w:pPr>
    </w:p>
    <w:p w14:paraId="66D20A44">
      <w:pPr>
        <w:rPr>
          <w:rFonts w:ascii="宋体" w:hAnsi="宋体" w:cs="宋体"/>
          <w:color w:val="auto"/>
          <w:sz w:val="32"/>
          <w:szCs w:val="40"/>
          <w:highlight w:val="none"/>
        </w:rPr>
      </w:pPr>
    </w:p>
    <w:p w14:paraId="22E0C0BD">
      <w:pPr>
        <w:rPr>
          <w:rFonts w:ascii="宋体" w:hAnsi="宋体" w:cs="宋体"/>
          <w:color w:val="auto"/>
          <w:sz w:val="32"/>
          <w:szCs w:val="40"/>
          <w:highlight w:val="none"/>
        </w:rPr>
      </w:pPr>
    </w:p>
    <w:p w14:paraId="234ECF5B">
      <w:pPr>
        <w:rPr>
          <w:rFonts w:ascii="宋体" w:hAnsi="宋体" w:cs="宋体"/>
          <w:color w:val="auto"/>
          <w:sz w:val="32"/>
          <w:szCs w:val="40"/>
          <w:highlight w:val="none"/>
        </w:rPr>
      </w:pPr>
    </w:p>
    <w:p w14:paraId="21758E7B">
      <w:pPr>
        <w:rPr>
          <w:rFonts w:ascii="宋体" w:hAnsi="宋体" w:cs="宋体"/>
          <w:color w:val="auto"/>
          <w:sz w:val="32"/>
          <w:szCs w:val="40"/>
          <w:highlight w:val="none"/>
        </w:rPr>
      </w:pPr>
    </w:p>
    <w:p w14:paraId="35E7D5E8">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1A05FB3A">
      <w:pPr>
        <w:pStyle w:val="1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283A0A8">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EB73CE6">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6A824BD">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B9630B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BD6BB75">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7E26A71">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41A6352">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60F458">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98A863F">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24CF428">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D3F7121">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5E3ED96">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641E4ADD">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792AE30A">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D54DFE7">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C1EA91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F48A64C">
      <w:pPr>
        <w:pStyle w:val="1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2120A97F">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D133896">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56ECF52">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7146E4E">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15D8874C">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ECB23BC">
      <w:pPr>
        <w:pStyle w:val="1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226B4D2">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1F3A7BD">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B76FA7D">
      <w:pPr>
        <w:pStyle w:val="16"/>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E747EC6">
      <w:pPr>
        <w:pStyle w:val="16"/>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6306B50">
      <w:pPr>
        <w:pStyle w:val="16"/>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1A91BFCB">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64779F84">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C2F83D0">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5E09BE1">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34C8CDFF">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6937F83">
      <w:pPr>
        <w:pStyle w:val="16"/>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38F9032">
      <w:pPr>
        <w:pStyle w:val="16"/>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59B8C35">
      <w:pPr>
        <w:pStyle w:val="16"/>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B5E9004">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55C7BD39">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B31064">
      <w:pPr>
        <w:pStyle w:val="16"/>
        <w:spacing w:line="360" w:lineRule="auto"/>
        <w:ind w:left="25" w:leftChars="12" w:firstLine="352" w:firstLineChars="147"/>
        <w:rPr>
          <w:rFonts w:hAnsi="宋体" w:cs="宋体"/>
          <w:color w:val="auto"/>
          <w:sz w:val="24"/>
          <w:szCs w:val="24"/>
          <w:highlight w:val="none"/>
        </w:rPr>
      </w:pPr>
    </w:p>
    <w:p w14:paraId="7288C09D">
      <w:pPr>
        <w:pStyle w:val="16"/>
        <w:spacing w:line="360" w:lineRule="auto"/>
        <w:ind w:left="25" w:leftChars="12" w:firstLine="472" w:firstLineChars="197"/>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035243A5">
      <w:pPr>
        <w:pStyle w:val="16"/>
        <w:spacing w:line="360" w:lineRule="auto"/>
        <w:ind w:left="25" w:leftChars="12" w:firstLine="352" w:firstLineChars="147"/>
        <w:rPr>
          <w:rFonts w:hAnsi="宋体" w:cs="宋体"/>
          <w:color w:val="auto"/>
          <w:sz w:val="24"/>
          <w:szCs w:val="24"/>
          <w:highlight w:val="none"/>
        </w:rPr>
      </w:pPr>
    </w:p>
    <w:p w14:paraId="05F9C71E">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5A5889E3">
      <w:pPr>
        <w:pStyle w:val="1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11AEBEF2">
      <w:pPr>
        <w:pStyle w:val="16"/>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77E00D46">
      <w:pPr>
        <w:pStyle w:val="16"/>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696A1B95">
      <w:pPr>
        <w:pStyle w:val="16"/>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B1055D">
      <w:pPr>
        <w:pStyle w:val="16"/>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70277947">
      <w:pPr>
        <w:pStyle w:val="16"/>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35649759">
      <w:pPr>
        <w:pStyle w:val="16"/>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6F0F033A">
      <w:pPr>
        <w:pStyle w:val="16"/>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p w14:paraId="2DFBB65E">
      <w:pPr>
        <w:pStyle w:val="16"/>
        <w:spacing w:line="360" w:lineRule="auto"/>
        <w:ind w:left="25" w:leftChars="12" w:firstLine="352" w:firstLineChars="147"/>
        <w:rPr>
          <w:rFonts w:hAnsi="宋体" w:cs="宋体"/>
          <w:color w:val="auto"/>
          <w:sz w:val="24"/>
          <w:szCs w:val="24"/>
          <w:highlight w:val="none"/>
        </w:rPr>
      </w:pPr>
      <w:bookmarkStart w:id="146" w:name="_Toc74323461"/>
    </w:p>
    <w:p w14:paraId="2C8FF603">
      <w:pPr>
        <w:pStyle w:val="2"/>
        <w:spacing w:before="0" w:after="0" w:line="460" w:lineRule="exact"/>
        <w:jc w:val="center"/>
        <w:rPr>
          <w:rFonts w:ascii="宋体" w:hAnsi="宋体" w:cs="宋体"/>
          <w:color w:val="auto"/>
          <w:highlight w:val="none"/>
        </w:rPr>
      </w:pPr>
      <w:r>
        <w:rPr>
          <w:rFonts w:hint="eastAsia" w:ascii="宋体" w:hAnsi="宋体" w:cs="宋体"/>
          <w:color w:val="auto"/>
          <w:highlight w:val="none"/>
        </w:rPr>
        <w:t xml:space="preserve">第六章 </w:t>
      </w:r>
      <w:bookmarkEnd w:id="146"/>
      <w:r>
        <w:rPr>
          <w:rFonts w:hint="eastAsia" w:ascii="宋体" w:hAnsi="宋体" w:cs="宋体"/>
          <w:color w:val="auto"/>
          <w:highlight w:val="none"/>
        </w:rPr>
        <w:t>拟签订的合同文本</w:t>
      </w:r>
    </w:p>
    <w:p w14:paraId="4D36BC7D">
      <w:pPr>
        <w:jc w:val="center"/>
        <w:rPr>
          <w:b/>
          <w:bCs/>
          <w:color w:val="auto"/>
          <w:kern w:val="44"/>
          <w:sz w:val="44"/>
          <w:szCs w:val="44"/>
          <w:highlight w:val="none"/>
        </w:rPr>
      </w:pPr>
    </w:p>
    <w:p w14:paraId="1CB2F64E">
      <w:pPr>
        <w:pStyle w:val="85"/>
        <w:spacing w:line="360" w:lineRule="auto"/>
        <w:jc w:val="center"/>
        <w:rPr>
          <w:rFonts w:hint="eastAsia" w:ascii="宋体" w:hAnsi="宋体" w:cs="宋体"/>
          <w:bCs/>
          <w:color w:val="auto"/>
          <w:sz w:val="44"/>
          <w:szCs w:val="40"/>
          <w:highlight w:val="none"/>
          <w:lang w:eastAsia="zh-CN"/>
        </w:rPr>
      </w:pPr>
    </w:p>
    <w:p w14:paraId="1BA81CB2">
      <w:pPr>
        <w:pStyle w:val="85"/>
        <w:spacing w:line="360" w:lineRule="auto"/>
        <w:jc w:val="center"/>
        <w:rPr>
          <w:rFonts w:hint="eastAsia" w:ascii="宋体" w:hAnsi="宋体" w:cs="宋体"/>
          <w:bCs/>
          <w:color w:val="auto"/>
          <w:sz w:val="44"/>
          <w:szCs w:val="40"/>
          <w:highlight w:val="none"/>
          <w:lang w:eastAsia="zh-CN"/>
        </w:rPr>
      </w:pPr>
    </w:p>
    <w:p w14:paraId="25130A1C">
      <w:pPr>
        <w:pStyle w:val="85"/>
        <w:spacing w:line="360" w:lineRule="auto"/>
        <w:jc w:val="center"/>
        <w:rPr>
          <w:rFonts w:hint="eastAsia" w:ascii="宋体" w:hAnsi="宋体" w:cs="宋体"/>
          <w:bCs/>
          <w:color w:val="auto"/>
          <w:sz w:val="44"/>
          <w:szCs w:val="40"/>
          <w:highlight w:val="none"/>
          <w:lang w:eastAsia="zh-CN"/>
        </w:rPr>
      </w:pPr>
    </w:p>
    <w:p w14:paraId="17528656">
      <w:pPr>
        <w:pStyle w:val="85"/>
        <w:spacing w:line="360" w:lineRule="auto"/>
        <w:jc w:val="center"/>
        <w:rPr>
          <w:rFonts w:ascii="宋体" w:hAnsi="宋体" w:cs="宋体"/>
          <w:b/>
          <w:bCs/>
          <w:color w:val="auto"/>
          <w:sz w:val="44"/>
          <w:szCs w:val="28"/>
          <w:highlight w:val="none"/>
        </w:rPr>
      </w:pPr>
      <w:r>
        <w:rPr>
          <w:rFonts w:hint="eastAsia" w:ascii="宋体" w:hAnsi="宋体" w:cs="宋体"/>
          <w:bCs/>
          <w:color w:val="auto"/>
          <w:sz w:val="44"/>
          <w:szCs w:val="40"/>
          <w:highlight w:val="none"/>
          <w:lang w:eastAsia="zh-CN"/>
        </w:rPr>
        <w:t>北部湾港铁山湾5#锚地工程前期工作</w:t>
      </w:r>
      <w:r>
        <w:rPr>
          <w:rFonts w:hint="eastAsia" w:ascii="宋体" w:hAnsi="宋体" w:cs="宋体"/>
          <w:b w:val="0"/>
          <w:bCs w:val="0"/>
          <w:color w:val="auto"/>
          <w:sz w:val="44"/>
          <w:szCs w:val="28"/>
          <w:highlight w:val="none"/>
        </w:rPr>
        <w:t>合同</w:t>
      </w:r>
    </w:p>
    <w:p w14:paraId="09218CD7">
      <w:pPr>
        <w:pStyle w:val="85"/>
        <w:spacing w:line="360" w:lineRule="auto"/>
        <w:jc w:val="center"/>
        <w:rPr>
          <w:rFonts w:ascii="宋体" w:hAnsi="宋体" w:cs="宋体"/>
          <w:color w:val="auto"/>
          <w:sz w:val="44"/>
          <w:szCs w:val="28"/>
          <w:highlight w:val="none"/>
        </w:rPr>
      </w:pPr>
    </w:p>
    <w:p w14:paraId="421574BC">
      <w:pPr>
        <w:pStyle w:val="85"/>
        <w:spacing w:line="360" w:lineRule="auto"/>
        <w:jc w:val="center"/>
        <w:rPr>
          <w:rFonts w:ascii="宋体" w:hAnsi="宋体" w:cs="宋体"/>
          <w:color w:val="auto"/>
          <w:sz w:val="44"/>
          <w:szCs w:val="28"/>
          <w:highlight w:val="none"/>
        </w:rPr>
      </w:pPr>
    </w:p>
    <w:p w14:paraId="703B24B2">
      <w:pPr>
        <w:pStyle w:val="13"/>
        <w:rPr>
          <w:rFonts w:ascii="宋体" w:hAnsi="宋体" w:cs="宋体"/>
          <w:color w:val="auto"/>
          <w:sz w:val="44"/>
          <w:szCs w:val="28"/>
          <w:highlight w:val="none"/>
        </w:rPr>
      </w:pPr>
    </w:p>
    <w:p w14:paraId="7B237873">
      <w:pPr>
        <w:pStyle w:val="13"/>
        <w:rPr>
          <w:rFonts w:ascii="宋体" w:hAnsi="宋体" w:cs="宋体"/>
          <w:color w:val="auto"/>
          <w:sz w:val="44"/>
          <w:szCs w:val="28"/>
          <w:highlight w:val="none"/>
        </w:rPr>
      </w:pPr>
    </w:p>
    <w:p w14:paraId="50EA6B49">
      <w:pPr>
        <w:pStyle w:val="13"/>
        <w:rPr>
          <w:rFonts w:ascii="宋体" w:hAnsi="宋体" w:cs="宋体"/>
          <w:color w:val="auto"/>
          <w:sz w:val="44"/>
          <w:szCs w:val="28"/>
          <w:highlight w:val="none"/>
        </w:rPr>
      </w:pPr>
    </w:p>
    <w:p w14:paraId="20686775">
      <w:pPr>
        <w:pStyle w:val="13"/>
        <w:rPr>
          <w:rFonts w:ascii="宋体" w:hAnsi="宋体" w:cs="宋体"/>
          <w:color w:val="auto"/>
          <w:sz w:val="44"/>
          <w:szCs w:val="28"/>
          <w:highlight w:val="none"/>
        </w:rPr>
      </w:pPr>
    </w:p>
    <w:p w14:paraId="0F1B6283">
      <w:pPr>
        <w:pStyle w:val="13"/>
        <w:rPr>
          <w:rFonts w:ascii="宋体" w:hAnsi="宋体" w:cs="宋体"/>
          <w:color w:val="auto"/>
          <w:sz w:val="44"/>
          <w:szCs w:val="28"/>
          <w:highlight w:val="none"/>
        </w:rPr>
      </w:pPr>
    </w:p>
    <w:p w14:paraId="7B965711">
      <w:pPr>
        <w:pStyle w:val="13"/>
        <w:rPr>
          <w:rFonts w:ascii="宋体" w:hAnsi="宋体" w:cs="宋体"/>
          <w:color w:val="auto"/>
          <w:sz w:val="44"/>
          <w:szCs w:val="28"/>
          <w:highlight w:val="none"/>
        </w:rPr>
      </w:pPr>
    </w:p>
    <w:p w14:paraId="7E62C12A">
      <w:pPr>
        <w:pStyle w:val="13"/>
        <w:rPr>
          <w:rFonts w:ascii="宋体" w:hAnsi="宋体" w:cs="宋体"/>
          <w:color w:val="auto"/>
          <w:sz w:val="44"/>
          <w:szCs w:val="28"/>
          <w:highlight w:val="none"/>
        </w:rPr>
      </w:pPr>
    </w:p>
    <w:p w14:paraId="25358FEE">
      <w:pPr>
        <w:pStyle w:val="85"/>
        <w:jc w:val="center"/>
        <w:rPr>
          <w:rFonts w:eastAsia="楷体_GB2312"/>
          <w:color w:val="auto"/>
          <w:sz w:val="36"/>
          <w:highlight w:val="none"/>
        </w:rPr>
      </w:pPr>
    </w:p>
    <w:p w14:paraId="54962498">
      <w:pPr>
        <w:pStyle w:val="85"/>
        <w:spacing w:line="360" w:lineRule="auto"/>
        <w:ind w:firstLine="640" w:firstLineChars="200"/>
        <w:rPr>
          <w:rFonts w:ascii="宋体" w:hAnsi="宋体"/>
          <w:bCs/>
          <w:color w:val="auto"/>
          <w:sz w:val="32"/>
          <w:highlight w:val="none"/>
        </w:rPr>
      </w:pPr>
      <w:r>
        <w:rPr>
          <w:rFonts w:hint="eastAsia" w:ascii="宋体" w:hAnsi="宋体"/>
          <w:bCs/>
          <w:color w:val="auto"/>
          <w:sz w:val="32"/>
          <w:highlight w:val="none"/>
        </w:rPr>
        <w:t>甲方：</w:t>
      </w:r>
      <w:r>
        <w:rPr>
          <w:rFonts w:hint="eastAsia" w:ascii="宋体" w:hAnsi="宋体"/>
          <w:bCs/>
          <w:color w:val="auto"/>
          <w:sz w:val="32"/>
          <w:highlight w:val="none"/>
          <w:u w:val="single"/>
        </w:rPr>
        <w:t>广西壮族自治区</w:t>
      </w:r>
      <w:r>
        <w:rPr>
          <w:rFonts w:hint="eastAsia" w:ascii="宋体" w:hAnsi="宋体"/>
          <w:bCs/>
          <w:color w:val="auto"/>
          <w:sz w:val="32"/>
          <w:highlight w:val="none"/>
          <w:u w:val="single"/>
          <w:lang w:eastAsia="zh-CN"/>
        </w:rPr>
        <w:t>水运</w:t>
      </w:r>
      <w:r>
        <w:rPr>
          <w:rFonts w:hint="eastAsia" w:ascii="宋体" w:hAnsi="宋体"/>
          <w:bCs/>
          <w:color w:val="auto"/>
          <w:sz w:val="32"/>
          <w:highlight w:val="none"/>
          <w:u w:val="single"/>
        </w:rPr>
        <w:t xml:space="preserve">发展中心 </w:t>
      </w:r>
      <w:r>
        <w:rPr>
          <w:rFonts w:ascii="宋体" w:hAnsi="宋体"/>
          <w:bCs/>
          <w:color w:val="auto"/>
          <w:sz w:val="32"/>
          <w:highlight w:val="none"/>
          <w:u w:val="single"/>
        </w:rPr>
        <w:t xml:space="preserve"> </w:t>
      </w:r>
    </w:p>
    <w:p w14:paraId="45321449">
      <w:pPr>
        <w:pStyle w:val="85"/>
        <w:spacing w:line="360" w:lineRule="auto"/>
        <w:ind w:left="2558" w:leftChars="304" w:hanging="1920" w:hangingChars="600"/>
        <w:rPr>
          <w:rFonts w:ascii="宋体" w:hAnsi="宋体"/>
          <w:bCs/>
          <w:color w:val="auto"/>
          <w:sz w:val="36"/>
          <w:highlight w:val="none"/>
        </w:rPr>
      </w:pPr>
      <w:r>
        <w:rPr>
          <w:rFonts w:hint="eastAsia" w:ascii="宋体" w:hAnsi="宋体"/>
          <w:bCs/>
          <w:color w:val="auto"/>
          <w:sz w:val="32"/>
          <w:highlight w:val="none"/>
        </w:rPr>
        <w:t>乙方：</w:t>
      </w:r>
      <w:r>
        <w:rPr>
          <w:rFonts w:ascii="宋体" w:hAnsi="宋体"/>
          <w:bCs/>
          <w:color w:val="auto"/>
          <w:sz w:val="32"/>
          <w:highlight w:val="none"/>
          <w:u w:val="single"/>
        </w:rPr>
        <w:t xml:space="preserve">                      </w:t>
      </w:r>
      <w:r>
        <w:rPr>
          <w:rFonts w:hint="eastAsia" w:ascii="宋体" w:hAnsi="宋体"/>
          <w:bCs/>
          <w:color w:val="auto"/>
          <w:sz w:val="32"/>
          <w:highlight w:val="none"/>
          <w:u w:val="single"/>
        </w:rPr>
        <w:t xml:space="preserve"> </w:t>
      </w:r>
      <w:r>
        <w:rPr>
          <w:rFonts w:ascii="宋体" w:hAnsi="宋体"/>
          <w:bCs/>
          <w:color w:val="auto"/>
          <w:sz w:val="32"/>
          <w:highlight w:val="none"/>
          <w:u w:val="single"/>
        </w:rPr>
        <w:t xml:space="preserve"> </w:t>
      </w:r>
      <w:r>
        <w:rPr>
          <w:rFonts w:ascii="宋体" w:hAnsi="宋体"/>
          <w:bCs/>
          <w:color w:val="auto"/>
          <w:sz w:val="36"/>
          <w:highlight w:val="none"/>
        </w:rPr>
        <w:t xml:space="preserve">     </w:t>
      </w:r>
    </w:p>
    <w:p w14:paraId="50ED1F5F">
      <w:pPr>
        <w:pStyle w:val="85"/>
        <w:spacing w:line="360" w:lineRule="auto"/>
        <w:ind w:firstLine="640" w:firstLineChars="200"/>
        <w:rPr>
          <w:rFonts w:ascii="宋体" w:hAnsi="宋体"/>
          <w:bCs/>
          <w:color w:val="auto"/>
          <w:sz w:val="32"/>
          <w:highlight w:val="none"/>
        </w:rPr>
      </w:pPr>
      <w:r>
        <w:rPr>
          <w:rFonts w:hint="eastAsia" w:ascii="宋体" w:hAnsi="宋体"/>
          <w:bCs/>
          <w:color w:val="auto"/>
          <w:sz w:val="32"/>
          <w:highlight w:val="none"/>
        </w:rPr>
        <w:t>签订时间：</w:t>
      </w:r>
      <w:r>
        <w:rPr>
          <w:rFonts w:ascii="宋体" w:hAnsi="宋体"/>
          <w:bCs/>
          <w:color w:val="auto"/>
          <w:sz w:val="32"/>
          <w:highlight w:val="none"/>
          <w:u w:val="single"/>
        </w:rPr>
        <w:t xml:space="preserve">      年    月    日</w:t>
      </w:r>
      <w:r>
        <w:rPr>
          <w:rFonts w:ascii="宋体" w:hAnsi="宋体"/>
          <w:bCs/>
          <w:color w:val="auto"/>
          <w:sz w:val="32"/>
          <w:highlight w:val="none"/>
        </w:rPr>
        <w:t xml:space="preserve">                </w:t>
      </w:r>
    </w:p>
    <w:p w14:paraId="047BEB53">
      <w:pPr>
        <w:ind w:firstLine="640" w:firstLineChars="200"/>
        <w:rPr>
          <w:rFonts w:hint="eastAsia"/>
          <w:b/>
          <w:bCs/>
          <w:color w:val="auto"/>
          <w:kern w:val="44"/>
          <w:sz w:val="44"/>
          <w:szCs w:val="44"/>
          <w:highlight w:val="none"/>
        </w:rPr>
      </w:pPr>
      <w:r>
        <w:rPr>
          <w:rFonts w:hint="eastAsia" w:ascii="宋体" w:hAnsi="宋体"/>
          <w:bCs/>
          <w:color w:val="auto"/>
          <w:sz w:val="32"/>
          <w:highlight w:val="none"/>
        </w:rPr>
        <w:t>签订地点：</w:t>
      </w:r>
      <w:r>
        <w:rPr>
          <w:rFonts w:ascii="宋体" w:hAnsi="宋体"/>
          <w:bCs/>
          <w:color w:val="auto"/>
          <w:sz w:val="32"/>
          <w:highlight w:val="none"/>
          <w:u w:val="single"/>
        </w:rPr>
        <w:t xml:space="preserve">      </w:t>
      </w:r>
      <w:r>
        <w:rPr>
          <w:rFonts w:hint="eastAsia" w:ascii="宋体" w:hAnsi="宋体"/>
          <w:bCs/>
          <w:color w:val="auto"/>
          <w:sz w:val="32"/>
          <w:highlight w:val="none"/>
          <w:u w:val="single"/>
        </w:rPr>
        <w:t xml:space="preserve">南宁市 </w:t>
      </w:r>
      <w:r>
        <w:rPr>
          <w:rFonts w:ascii="宋体" w:hAnsi="宋体"/>
          <w:bCs/>
          <w:color w:val="auto"/>
          <w:sz w:val="32"/>
          <w:highlight w:val="none"/>
          <w:u w:val="single"/>
        </w:rPr>
        <w:t xml:space="preserve">   </w:t>
      </w:r>
    </w:p>
    <w:p w14:paraId="052438A6">
      <w:pPr>
        <w:rPr>
          <w:rFonts w:hint="eastAsia"/>
          <w:b/>
          <w:bCs/>
          <w:color w:val="auto"/>
          <w:kern w:val="44"/>
          <w:sz w:val="44"/>
          <w:szCs w:val="44"/>
          <w:highlight w:val="none"/>
        </w:rPr>
      </w:pPr>
      <w:r>
        <w:rPr>
          <w:rFonts w:hint="eastAsia"/>
          <w:b/>
          <w:bCs/>
          <w:color w:val="auto"/>
          <w:kern w:val="44"/>
          <w:sz w:val="44"/>
          <w:szCs w:val="44"/>
          <w:highlight w:val="none"/>
        </w:rPr>
        <w:br w:type="page"/>
      </w:r>
    </w:p>
    <w:p w14:paraId="7A815793">
      <w:pPr>
        <w:jc w:val="center"/>
        <w:rPr>
          <w:rFonts w:ascii="黑体" w:hAnsi="黑体" w:eastAsia="黑体"/>
          <w:color w:val="auto"/>
          <w:sz w:val="32"/>
          <w:szCs w:val="32"/>
          <w:highlight w:val="none"/>
        </w:rPr>
      </w:pPr>
      <w:bookmarkStart w:id="147" w:name="_Toc1890"/>
      <w:bookmarkStart w:id="148" w:name="_Toc5621"/>
      <w:bookmarkStart w:id="149" w:name="_Toc16446"/>
      <w:r>
        <w:rPr>
          <w:rFonts w:hint="eastAsia" w:eastAsia="黑体"/>
          <w:color w:val="auto"/>
          <w:sz w:val="28"/>
          <w:szCs w:val="28"/>
          <w:highlight w:val="none"/>
        </w:rPr>
        <w:t>合同协议书</w:t>
      </w:r>
      <w:bookmarkEnd w:id="147"/>
      <w:bookmarkEnd w:id="148"/>
      <w:bookmarkEnd w:id="149"/>
    </w:p>
    <w:p w14:paraId="4A20DDD3">
      <w:pPr>
        <w:pStyle w:val="85"/>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甲方</w:t>
      </w:r>
      <w:r>
        <w:rPr>
          <w:rFonts w:hint="eastAsia" w:ascii="宋体" w:hAnsi="宋体" w:cs="宋体"/>
          <w:color w:val="auto"/>
          <w:szCs w:val="21"/>
          <w:highlight w:val="none"/>
        </w:rPr>
        <w:t>：</w:t>
      </w:r>
      <w:r>
        <w:rPr>
          <w:rFonts w:hint="eastAsia" w:ascii="宋体" w:hAnsi="宋体"/>
          <w:bCs/>
          <w:color w:val="auto"/>
          <w:sz w:val="21"/>
          <w:szCs w:val="21"/>
          <w:highlight w:val="none"/>
          <w:u w:val="single"/>
        </w:rPr>
        <w:t>广西壮族自治区</w:t>
      </w:r>
      <w:r>
        <w:rPr>
          <w:rFonts w:hint="eastAsia" w:ascii="宋体" w:hAnsi="宋体"/>
          <w:bCs/>
          <w:color w:val="auto"/>
          <w:sz w:val="21"/>
          <w:szCs w:val="21"/>
          <w:highlight w:val="none"/>
          <w:u w:val="single"/>
          <w:lang w:eastAsia="zh-CN"/>
        </w:rPr>
        <w:t>水运</w:t>
      </w:r>
      <w:r>
        <w:rPr>
          <w:rFonts w:hint="eastAsia" w:ascii="宋体" w:hAnsi="宋体"/>
          <w:bCs/>
          <w:color w:val="auto"/>
          <w:sz w:val="21"/>
          <w:szCs w:val="21"/>
          <w:highlight w:val="none"/>
          <w:u w:val="single"/>
        </w:rPr>
        <w:t>发展中心</w:t>
      </w:r>
    </w:p>
    <w:p w14:paraId="61B3A5B4">
      <w:pPr>
        <w:pStyle w:val="85"/>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28CB208C">
      <w:pPr>
        <w:pStyle w:val="85"/>
        <w:spacing w:line="360" w:lineRule="auto"/>
        <w:ind w:firstLine="630" w:firstLineChars="300"/>
        <w:jc w:val="left"/>
        <w:rPr>
          <w:rFonts w:ascii="宋体" w:hAnsi="宋体" w:cs="宋体"/>
          <w:color w:val="auto"/>
          <w:szCs w:val="21"/>
          <w:highlight w:val="none"/>
          <w:u w:val="single"/>
        </w:rPr>
      </w:pPr>
      <w:r>
        <w:rPr>
          <w:rFonts w:hint="eastAsia" w:ascii="宋体" w:hAnsi="宋体" w:cs="宋体"/>
          <w:color w:val="auto"/>
          <w:szCs w:val="21"/>
          <w:highlight w:val="none"/>
        </w:rPr>
        <w:t>甲方通过公开采购的方式委托乙方承担</w:t>
      </w:r>
      <w:r>
        <w:rPr>
          <w:rFonts w:hint="eastAsia" w:ascii="宋体" w:hAnsi="宋体" w:cs="宋体"/>
          <w:bCs/>
          <w:color w:val="auto"/>
          <w:sz w:val="22"/>
          <w:szCs w:val="21"/>
          <w:highlight w:val="none"/>
          <w:u w:val="single"/>
          <w:lang w:eastAsia="zh-CN"/>
        </w:rPr>
        <w:t>北部湾港铁山湾5#锚地工程前期工作</w:t>
      </w:r>
      <w:r>
        <w:rPr>
          <w:rFonts w:hint="eastAsia" w:ascii="宋体" w:hAnsi="宋体" w:cs="宋体"/>
          <w:color w:val="auto"/>
          <w:szCs w:val="21"/>
          <w:highlight w:val="none"/>
        </w:rPr>
        <w:t>，并支付相应的服务报酬。双方经过平等协商，在真实、充分地表达各自意愿的基础上，根据《中华人民共和国民法典》的规定，达成如下协议，并由双方共同恪守。</w:t>
      </w:r>
    </w:p>
    <w:p w14:paraId="65A6AB68">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 本协议书与下列文件一起构成合同文件：</w:t>
      </w:r>
    </w:p>
    <w:p w14:paraId="69B35E2B">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通知书；</w:t>
      </w:r>
    </w:p>
    <w:p w14:paraId="508AB245">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函及</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函附录；</w:t>
      </w:r>
    </w:p>
    <w:p w14:paraId="14271BFA">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3.采购需求；</w:t>
      </w:r>
    </w:p>
    <w:p w14:paraId="729172F5">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4.报价清单；</w:t>
      </w:r>
    </w:p>
    <w:p w14:paraId="23DCEF43">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5.服务方案；</w:t>
      </w:r>
    </w:p>
    <w:p w14:paraId="0658AE4C">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6.构成本合同组成部分的其他文件(补遗书、澄清函)。</w:t>
      </w:r>
    </w:p>
    <w:p w14:paraId="3B3E25A7">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上述合同文件互相补充和解释。如果合同文件之间存在矛盾或不一致之处，以上述文件的排列顺序在先者为准。</w:t>
      </w:r>
    </w:p>
    <w:p w14:paraId="52F4EFB6">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甲方委托乙方进行服务的内容如下：</w:t>
      </w:r>
    </w:p>
    <w:p w14:paraId="6E53BEA3">
      <w:pPr>
        <w:pStyle w:val="85"/>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1．项目名称：</w:t>
      </w:r>
      <w:r>
        <w:rPr>
          <w:rFonts w:hint="eastAsia" w:ascii="宋体" w:hAnsi="宋体" w:cs="宋体"/>
          <w:bCs/>
          <w:color w:val="auto"/>
          <w:sz w:val="22"/>
          <w:szCs w:val="21"/>
          <w:highlight w:val="none"/>
          <w:u w:val="single"/>
          <w:lang w:eastAsia="zh-CN"/>
        </w:rPr>
        <w:t>北部湾港铁山湾5#锚地工程前期工作</w:t>
      </w:r>
    </w:p>
    <w:p w14:paraId="34A9D8A4">
      <w:pPr>
        <w:pStyle w:val="8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2．服务的内容：</w:t>
      </w:r>
      <w:r>
        <w:rPr>
          <w:rFonts w:hint="eastAsia" w:ascii="宋体" w:hAnsi="宋体" w:cs="宋体"/>
          <w:color w:val="auto"/>
          <w:szCs w:val="21"/>
          <w:highlight w:val="none"/>
          <w:lang w:eastAsia="zh-CN"/>
        </w:rPr>
        <w:t>北部湾港铁山湾5#锚地工程前期工作项目，主要工作内容包括：海洋生态环境现状调查与评价、海洋水文动力环境现状调查与评价、工程可行性研究等。详见采购需求。</w:t>
      </w:r>
    </w:p>
    <w:p w14:paraId="5534BCEE">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3．服务的标准：</w:t>
      </w:r>
      <w:r>
        <w:rPr>
          <w:rFonts w:hint="eastAsia" w:ascii="宋体" w:hAnsi="宋体" w:cs="宋体"/>
          <w:color w:val="auto"/>
          <w:szCs w:val="21"/>
          <w:highlight w:val="none"/>
          <w:u w:val="single"/>
        </w:rPr>
        <w:t>乙方根据国家有关法律法规和</w:t>
      </w:r>
      <w:r>
        <w:rPr>
          <w:rFonts w:hint="eastAsia" w:ascii="宋体" w:hAnsi="宋体" w:cs="宋体"/>
          <w:color w:val="auto"/>
          <w:szCs w:val="21"/>
          <w:highlight w:val="none"/>
          <w:u w:val="single"/>
          <w:lang w:val="en-GB"/>
        </w:rPr>
        <w:t>现行相关规范、规定、标准要求，</w:t>
      </w:r>
      <w:r>
        <w:rPr>
          <w:rFonts w:hint="eastAsia" w:ascii="宋体" w:hAnsi="宋体" w:cs="宋体"/>
          <w:color w:val="auto"/>
          <w:szCs w:val="21"/>
          <w:highlight w:val="none"/>
          <w:u w:val="single"/>
        </w:rPr>
        <w:t>开展研究工作，有关工作成果符合</w:t>
      </w:r>
      <w:r>
        <w:rPr>
          <w:rFonts w:hint="eastAsia" w:ascii="宋体" w:hAnsi="宋体" w:cs="宋体"/>
          <w:color w:val="auto"/>
          <w:szCs w:val="21"/>
          <w:highlight w:val="none"/>
          <w:u w:val="single"/>
          <w:lang w:val="en-GB"/>
        </w:rPr>
        <w:t>国家及行业现行相关规范、规定、标准要求，最终通过专家评审，验收合格</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3303B13">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乙方应按下列要求完成服务工作：</w:t>
      </w:r>
    </w:p>
    <w:p w14:paraId="2618591C">
      <w:pPr>
        <w:pStyle w:val="8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1．服务地点：</w:t>
      </w:r>
      <w:r>
        <w:rPr>
          <w:rFonts w:hint="eastAsia" w:ascii="宋体" w:hAnsi="宋体" w:cs="宋体"/>
          <w:color w:val="auto"/>
          <w:szCs w:val="21"/>
          <w:highlight w:val="none"/>
          <w:u w:val="single"/>
        </w:rPr>
        <w:t xml:space="preserve"> 采购人办公地点。采购人可根据需要指定其他地点  </w:t>
      </w:r>
      <w:r>
        <w:rPr>
          <w:rFonts w:hint="eastAsia" w:ascii="宋体" w:hAnsi="宋体" w:cs="宋体"/>
          <w:color w:val="auto"/>
          <w:szCs w:val="21"/>
          <w:highlight w:val="none"/>
        </w:rPr>
        <w:t>。</w:t>
      </w:r>
    </w:p>
    <w:p w14:paraId="482B1EF9">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2．服务期限：</w:t>
      </w:r>
    </w:p>
    <w:p w14:paraId="26B45447">
      <w:pPr>
        <w:pStyle w:val="85"/>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总工期为180日历天。具体如下：</w:t>
      </w:r>
    </w:p>
    <w:p w14:paraId="6B78F7BA">
      <w:pPr>
        <w:pStyle w:val="85"/>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1）2026年5月31日前，完成海洋生态环境调查和海洋水文动力现状调查的春季现场调查；2026年6月30日前提交春季海洋生态环境调查分析评价报告和春季海洋水文动力现状调查分析评价报告。若受采购进度影响，不能在2026年春季开展现场调查的，则2027年3月31日前完成海洋生态环境现状调查和海洋水文动力现状调查的春季现场调查；2027年4月30日前提交春季海洋生态环境现状调查分析评价报告和海洋水文动力现状分析评价报告。</w:t>
      </w:r>
    </w:p>
    <w:p w14:paraId="7E53BF1F">
      <w:pPr>
        <w:pStyle w:val="85"/>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（2）2026年9月30日前，完成海洋生态环境调查和海洋水文动力现状调查的秋季现场调查；2026年10月31日前提交秋季海洋生态环境调查分析评价报告和秋季海洋水文动力现状调查分析评价报告。</w:t>
      </w:r>
    </w:p>
    <w:p w14:paraId="45AD636F">
      <w:pPr>
        <w:pStyle w:val="85"/>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（3）调查成果验收会后20日历天内提交最终调查成果。</w:t>
      </w:r>
    </w:p>
    <w:p w14:paraId="3B625005">
      <w:pPr>
        <w:pStyle w:val="85"/>
        <w:spacing w:line="360" w:lineRule="auto"/>
        <w:ind w:firstLine="420" w:firstLineChars="20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（4）合同签订后40日历天内提交项目建议书送审稿；合同签订后60日历天内提交工可报告送审稿；评审（或验收）会后20日历天内完善项目建议书、工可报告，并提交最终成果。</w:t>
      </w:r>
    </w:p>
    <w:p w14:paraId="11757942">
      <w:pPr>
        <w:pStyle w:val="85"/>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none"/>
          <w:lang w:val="en-US" w:eastAsia="zh-CN"/>
        </w:rPr>
        <w:t>调查成果验收时间，项目建议书、工可报告评审（或验收）时间另行计算，不计入总工期。</w:t>
      </w:r>
    </w:p>
    <w:p w14:paraId="0BB0004C">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3．提交成果要求：</w:t>
      </w:r>
    </w:p>
    <w:p w14:paraId="105EA01E">
      <w:pPr>
        <w:pStyle w:val="85"/>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w:t>
      </w:r>
      <w:r>
        <w:rPr>
          <w:rFonts w:hint="eastAsia" w:ascii="宋体" w:hAnsi="宋体" w:cs="宋体"/>
          <w:b/>
          <w:bCs/>
          <w:color w:val="auto"/>
          <w:szCs w:val="21"/>
          <w:highlight w:val="none"/>
          <w:u w:val="none"/>
          <w:lang w:val="en-US" w:eastAsia="zh-CN"/>
        </w:rPr>
        <w:t xml:space="preserve"> 成果内容</w:t>
      </w:r>
    </w:p>
    <w:p w14:paraId="47EFCFC8">
      <w:pPr>
        <w:pStyle w:val="85"/>
        <w:spacing w:line="360"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u w:val="single"/>
          <w:lang w:val="en-US" w:eastAsia="zh-CN"/>
        </w:rPr>
        <w:t>《北部湾港铁山湾5号锚地工程海洋生态环境调查分析评价报告》《北部湾港铁山湾5号锚地工程海洋水文动力现状调查分析评价报告》《北部湾港铁山湾5号锚地工程项目建议书》《北部湾港铁山湾5号锚地工程可行性研究报告》</w:t>
      </w:r>
      <w:r>
        <w:rPr>
          <w:rFonts w:hint="eastAsia" w:ascii="宋体" w:hAnsi="宋体" w:cs="宋体"/>
          <w:b/>
          <w:bCs/>
          <w:color w:val="auto"/>
          <w:szCs w:val="21"/>
          <w:highlight w:val="none"/>
          <w:lang w:eastAsia="zh-CN"/>
        </w:rPr>
        <w:t>。</w:t>
      </w:r>
    </w:p>
    <w:p w14:paraId="5405E49A">
      <w:pPr>
        <w:pStyle w:val="85"/>
        <w:spacing w:line="360"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成果文件需有关人员签字或盖章，并加盖单位公章</w:t>
      </w:r>
      <w:r>
        <w:rPr>
          <w:rFonts w:hint="eastAsia" w:ascii="宋体" w:hAnsi="宋体" w:cs="宋体"/>
          <w:b/>
          <w:bCs/>
          <w:color w:val="auto"/>
          <w:szCs w:val="21"/>
          <w:highlight w:val="none"/>
        </w:rPr>
        <w:t>。</w:t>
      </w:r>
    </w:p>
    <w:p w14:paraId="4CBDAB08">
      <w:pPr>
        <w:pStyle w:val="85"/>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成果</w:t>
      </w:r>
      <w:r>
        <w:rPr>
          <w:rFonts w:hint="eastAsia" w:ascii="宋体" w:hAnsi="宋体" w:cs="宋体"/>
          <w:b/>
          <w:bCs/>
          <w:color w:val="auto"/>
          <w:szCs w:val="21"/>
          <w:highlight w:val="none"/>
          <w:lang w:eastAsia="zh-CN"/>
        </w:rPr>
        <w:t>份数</w:t>
      </w:r>
    </w:p>
    <w:p w14:paraId="038C03F7">
      <w:pPr>
        <w:pStyle w:val="85"/>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①</w:t>
      </w:r>
      <w:r>
        <w:rPr>
          <w:rFonts w:hint="eastAsia" w:ascii="宋体" w:hAnsi="宋体" w:cs="宋体"/>
          <w:b/>
          <w:bCs/>
          <w:color w:val="auto"/>
          <w:szCs w:val="21"/>
          <w:highlight w:val="none"/>
        </w:rPr>
        <w:t>提交一式</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0份符合要求的成果报告送审稿，供专家评审验收。</w:t>
      </w:r>
    </w:p>
    <w:p w14:paraId="48A8AF66">
      <w:pPr>
        <w:pStyle w:val="85"/>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②</w:t>
      </w:r>
      <w:r>
        <w:rPr>
          <w:rFonts w:hint="eastAsia" w:ascii="宋体" w:hAnsi="宋体" w:cs="宋体"/>
          <w:b/>
          <w:bCs/>
          <w:color w:val="auto"/>
          <w:szCs w:val="21"/>
          <w:highlight w:val="none"/>
        </w:rPr>
        <w:t>提交一式5份最终成果报告纸质文。</w:t>
      </w:r>
    </w:p>
    <w:p w14:paraId="097F6979">
      <w:pPr>
        <w:pStyle w:val="85"/>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cs="宋体"/>
          <w:b/>
          <w:bCs/>
          <w:color w:val="auto"/>
          <w:szCs w:val="21"/>
          <w:highlight w:val="none"/>
        </w:rPr>
        <w:t>最终成果</w:t>
      </w:r>
      <w:r>
        <w:rPr>
          <w:rFonts w:hint="eastAsia" w:ascii="宋体" w:hAnsi="宋体" w:cs="宋体"/>
          <w:b/>
          <w:bCs/>
          <w:color w:val="auto"/>
          <w:szCs w:val="21"/>
          <w:highlight w:val="none"/>
          <w:lang w:eastAsia="zh-CN"/>
        </w:rPr>
        <w:t>电子</w:t>
      </w:r>
      <w:r>
        <w:rPr>
          <w:rFonts w:hint="eastAsia" w:ascii="宋体" w:hAnsi="宋体" w:cs="宋体"/>
          <w:b/>
          <w:bCs/>
          <w:color w:val="auto"/>
          <w:szCs w:val="21"/>
          <w:highlight w:val="none"/>
        </w:rPr>
        <w:t>文件一式2份，包括可编辑文档（文字为 WORD 格式、图纸为可编辑的 CAD 格式）和按要求签章的PDF成果文件，分别使用光盘和U盘贮存。</w:t>
      </w:r>
    </w:p>
    <w:p w14:paraId="1C097A14">
      <w:pPr>
        <w:pStyle w:val="85"/>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成果验收</w:t>
      </w:r>
    </w:p>
    <w:p w14:paraId="070E632B">
      <w:pPr>
        <w:pStyle w:val="85"/>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乙方</w:t>
      </w:r>
      <w:r>
        <w:rPr>
          <w:rFonts w:hint="eastAsia" w:ascii="宋体" w:hAnsi="宋体" w:cs="宋体"/>
          <w:b/>
          <w:bCs/>
          <w:color w:val="auto"/>
          <w:szCs w:val="21"/>
          <w:highlight w:val="none"/>
        </w:rPr>
        <w:t>按要求完成本项目</w:t>
      </w:r>
      <w:r>
        <w:rPr>
          <w:rFonts w:hint="eastAsia" w:ascii="宋体" w:hAnsi="宋体" w:cs="宋体"/>
          <w:b/>
          <w:bCs/>
          <w:color w:val="auto"/>
          <w:szCs w:val="21"/>
          <w:highlight w:val="none"/>
          <w:lang w:eastAsia="zh-CN"/>
        </w:rPr>
        <w:t>合同</w:t>
      </w:r>
      <w:r>
        <w:rPr>
          <w:rFonts w:hint="eastAsia" w:ascii="宋体" w:hAnsi="宋体" w:cs="宋体"/>
          <w:b/>
          <w:bCs/>
          <w:color w:val="auto"/>
          <w:szCs w:val="21"/>
          <w:highlight w:val="none"/>
        </w:rPr>
        <w:t>工作任务并提供成果文件后，由</w:t>
      </w:r>
      <w:r>
        <w:rPr>
          <w:rFonts w:hint="eastAsia" w:ascii="宋体" w:hAnsi="宋体" w:cs="宋体"/>
          <w:b/>
          <w:bCs/>
          <w:color w:val="auto"/>
          <w:szCs w:val="21"/>
          <w:highlight w:val="none"/>
          <w:lang w:eastAsia="zh-CN"/>
        </w:rPr>
        <w:t>甲方</w:t>
      </w:r>
      <w:r>
        <w:rPr>
          <w:rFonts w:hint="eastAsia" w:ascii="宋体" w:hAnsi="宋体" w:cs="宋体"/>
          <w:b/>
          <w:bCs/>
          <w:color w:val="auto"/>
          <w:szCs w:val="21"/>
          <w:highlight w:val="none"/>
        </w:rPr>
        <w:t>组织专家验收，验收过程所产生的专家咨询费等相关费用由</w:t>
      </w:r>
      <w:r>
        <w:rPr>
          <w:rFonts w:hint="eastAsia" w:ascii="宋体" w:hAnsi="宋体" w:cs="宋体"/>
          <w:b/>
          <w:bCs/>
          <w:color w:val="auto"/>
          <w:szCs w:val="21"/>
          <w:highlight w:val="none"/>
          <w:lang w:eastAsia="zh-CN"/>
        </w:rPr>
        <w:t>乙方</w:t>
      </w:r>
      <w:r>
        <w:rPr>
          <w:rFonts w:hint="eastAsia" w:ascii="宋体" w:hAnsi="宋体" w:cs="宋体"/>
          <w:b/>
          <w:bCs/>
          <w:color w:val="auto"/>
          <w:szCs w:val="21"/>
          <w:highlight w:val="none"/>
        </w:rPr>
        <w:t>承担。</w:t>
      </w:r>
    </w:p>
    <w:p w14:paraId="616506AC">
      <w:pPr>
        <w:pStyle w:val="85"/>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rPr>
        <w:t>4．服务质量要求：</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乙方</w:t>
      </w:r>
      <w:r>
        <w:rPr>
          <w:rFonts w:hint="eastAsia" w:ascii="宋体" w:hAnsi="宋体" w:cs="宋体"/>
          <w:b/>
          <w:bCs/>
          <w:color w:val="auto"/>
          <w:szCs w:val="21"/>
          <w:highlight w:val="none"/>
          <w:u w:val="single"/>
        </w:rPr>
        <w:t>按合同要求完成所有工作，所有工作成果应当符合现行相关国家标准、行业标准、地方标准等标准、规范，并通过专家评审，验收合格</w:t>
      </w:r>
      <w:r>
        <w:rPr>
          <w:rFonts w:hint="eastAsia" w:ascii="宋体" w:hAnsi="宋体" w:cs="宋体"/>
          <w:b/>
          <w:bCs/>
          <w:color w:val="auto"/>
          <w:szCs w:val="21"/>
          <w:highlight w:val="none"/>
          <w:u w:val="single"/>
          <w:lang w:eastAsia="zh-CN"/>
        </w:rPr>
        <w:t>；取得主管部门批复（如需要）</w:t>
      </w:r>
      <w:r>
        <w:rPr>
          <w:rFonts w:hint="eastAsia" w:ascii="宋体" w:hAnsi="宋体" w:cs="宋体"/>
          <w:b/>
          <w:bCs/>
          <w:color w:val="auto"/>
          <w:szCs w:val="21"/>
          <w:highlight w:val="none"/>
          <w:u w:val="single"/>
        </w:rPr>
        <w:t>。</w:t>
      </w:r>
    </w:p>
    <w:p w14:paraId="6FD97F73">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第四条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lang w:eastAsia="zh-CN"/>
        </w:rPr>
        <w:t>费用</w:t>
      </w:r>
      <w:r>
        <w:rPr>
          <w:rFonts w:hint="eastAsia" w:ascii="宋体" w:hAnsi="宋体" w:cs="宋体"/>
          <w:b/>
          <w:bCs/>
          <w:color w:val="auto"/>
          <w:szCs w:val="21"/>
          <w:highlight w:val="none"/>
        </w:rPr>
        <w:t>及支付方式</w:t>
      </w:r>
    </w:p>
    <w:p w14:paraId="0182BC4F">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1．合同费用：</w:t>
      </w:r>
    </w:p>
    <w:p w14:paraId="05AE7DBE">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（1）签约合同价为：人民币                 万元（￥                元）。</w:t>
      </w:r>
    </w:p>
    <w:p w14:paraId="7AA92AA7">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合同价格形式为固定总价合同。本合同签约合同价总额是完成合同所规定责任的总费用，合同费用包括但不限于：除了包含乙方完成约定工作内容的全部费用外，还包括乙方为完成本项目所发生的调查研究、资料收集、分析论证、报告编制、印刷、出版、安全生产费、人工成本、评估评审验收会务费（含专家、代表劳务费、住宿费、伙食等）、不可预见费等所有费用，其费用含于报价中，甲方不另行向乙支付其费用。</w:t>
      </w:r>
    </w:p>
    <w:p w14:paraId="3353FB5F">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合同执行期间，物价波动(人工、材料上涨等)引起的价格变化不对签约合同价进行调整；法律、法规、规范性文件、规定引起的价格变化，签约合同价不进行调整。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应承担物价波动、工作范围内容不符或漏项、气候条件恶劣及其他意外困难等风险。</w:t>
      </w:r>
    </w:p>
    <w:p w14:paraId="6BBEC067">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服务费支付方式：</w:t>
      </w:r>
    </w:p>
    <w:p w14:paraId="644B8C0E">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根据工作进度，分期支付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合同价款。</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根据工作进度，向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提交支付申请，并附相应的支持性证明文件。</w:t>
      </w:r>
    </w:p>
    <w:p w14:paraId="4526687F">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因本项目经费为财政性资金，由于财政资金未按时到位或财政资金管理原因暂时不能支付的，合同价款的支付时间相应顺延，并且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不因此承担逾期付款的违约责任。</w:t>
      </w:r>
    </w:p>
    <w:p w14:paraId="6E86D21D">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）预付款</w:t>
      </w:r>
    </w:p>
    <w:p w14:paraId="47B4F359">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合同签署后，由</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提交预付款支付申请，甲方收到预付款支付申请后的28天内，向</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支付签约合同总价的</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0%作为预付款；乙方应当提供等额的增值税发票；本合同履行后，预付款抵作进度款。如因发生不可抗力事件导致预付款已支付但合同无法继续履行的情况，</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应向甲方退还已支付款项。</w:t>
      </w:r>
    </w:p>
    <w:p w14:paraId="58591655">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）中期支付</w:t>
      </w:r>
    </w:p>
    <w:p w14:paraId="430F87B8">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①乙方提交春季调查成果报告后，由</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提交进度款支付申请，甲方收到进度款支付申请后的28天内，向</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支付至相应合同费用的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0%（含预付款）；乙方应当提供等额的增值税发票。</w:t>
      </w:r>
    </w:p>
    <w:p w14:paraId="5441C758">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②乙方提交秋季调查成果报告后，由</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提交进度款支付申请，甲方收到进度款支付申请后的28天内，向</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支付至相应合同费用的</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0%（含预付款）；乙方应当提供等额的增值税发票。</w:t>
      </w:r>
    </w:p>
    <w:p w14:paraId="1FC922E4">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提交春季最终调查成果报告后，由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（联合体时，为牵头人）提交进度款支付申请，</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收到进度款支付申请后的28天内，向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（联合体时，为牵头人）支付至相应合同费用的100%（含预付款）；</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应当提供等额的增值税发票。</w:t>
      </w:r>
    </w:p>
    <w:p w14:paraId="77F7056F">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提交秋季最终调查成果报告后，由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（联合体时，为牵头人）提交进度款支付申请，</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收到进度款支付申请后的28天内，向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（联合体时，为牵头人）支付至相应合同费用的100%（含预付款）；</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应当提供等额的增值税发票。</w:t>
      </w:r>
    </w:p>
    <w:p w14:paraId="497F0ECE">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⑤</w:t>
      </w:r>
      <w:r>
        <w:rPr>
          <w:rFonts w:hint="eastAsia" w:ascii="宋体" w:hAnsi="宋体" w:cs="宋体"/>
          <w:color w:val="auto"/>
          <w:szCs w:val="21"/>
          <w:highlight w:val="none"/>
          <w:lang w:eastAsia="zh-CN"/>
        </w:rPr>
        <w:t>乙方提交工可报告送审稿后，由</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提交进度款支付申请，甲方收到进度款支付申请后的28天内，向</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支付至相应合同费用的</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0%（含预付款）；乙方应当提供等额的增值税发票。</w:t>
      </w:r>
    </w:p>
    <w:p w14:paraId="037779C0">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）费用结算</w:t>
      </w:r>
    </w:p>
    <w:p w14:paraId="75ACD3C7">
      <w:pPr>
        <w:pStyle w:val="8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所有合同工作完成后，由</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向甲方提交费用结算申请，并提交经评审或验收合格的项目建议书和工可报告最终成果，以及相关证明材料，甲方收到费用结算申请后的28天内完成审批或答复，甲方向</w:t>
      </w:r>
      <w:r>
        <w:rPr>
          <w:rFonts w:hint="eastAsia" w:ascii="宋体" w:hAnsi="宋体" w:cs="宋体"/>
          <w:color w:val="auto"/>
          <w:szCs w:val="21"/>
          <w:highlight w:val="none"/>
          <w:u w:val="single"/>
          <w:lang w:eastAsia="zh-CN"/>
        </w:rPr>
        <w:t>乙方（联合体时，为牵头人）</w:t>
      </w:r>
      <w:r>
        <w:rPr>
          <w:rFonts w:hint="eastAsia" w:ascii="宋体" w:hAnsi="宋体" w:cs="宋体"/>
          <w:color w:val="auto"/>
          <w:szCs w:val="21"/>
          <w:highlight w:val="none"/>
          <w:lang w:eastAsia="zh-CN"/>
        </w:rPr>
        <w:t>支付费用至结算合同总价的100%（含相应的预付款）；乙方应当提供等额的增值税发票。</w:t>
      </w:r>
    </w:p>
    <w:p w14:paraId="01542719">
      <w:pPr>
        <w:pStyle w:val="85"/>
        <w:numPr>
          <w:ilvl w:val="0"/>
          <w:numId w:val="1"/>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 xml:space="preserve">收款账户信息如下：                          </w:t>
      </w:r>
    </w:p>
    <w:p w14:paraId="41DC4515">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收款账户发生变更的，应当在变更当日书面告知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，否则由此产生的损失由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不接受</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委托第三方收款。</w:t>
      </w:r>
    </w:p>
    <w:p w14:paraId="2AC2FE9F">
      <w:pPr>
        <w:pStyle w:val="85"/>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rPr>
        <w:t>第五条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lang w:eastAsia="zh-CN"/>
        </w:rPr>
        <w:t>履约担保</w:t>
      </w:r>
    </w:p>
    <w:p w14:paraId="4BF969E7">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在签订合同之前，向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提交金额为签约合同价5%（或2%，如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为中小微企业时）的履约保证金。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未按约定提交履约保证金的，视为放弃中标资格，</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有权不予与其签订合同；因此给</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造成损失的，</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还应承担相应的赔偿责任。</w:t>
      </w:r>
    </w:p>
    <w:p w14:paraId="689EA9BD">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履约保证金以支票、汇票、本票或者金融机构、担保机构出具的保函等非现金形式提交。</w:t>
      </w:r>
    </w:p>
    <w:p w14:paraId="5CE4ED7E">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（1）若采用银行保函形式，</w:t>
      </w:r>
      <w:r>
        <w:rPr>
          <w:rFonts w:hint="eastAsia" w:ascii="宋体" w:hAnsi="宋体" w:cs="宋体"/>
          <w:color w:val="auto"/>
          <w:szCs w:val="21"/>
          <w:highlight w:val="none"/>
          <w:lang w:eastAsia="zh-CN"/>
        </w:rPr>
        <w:t>银行保函</w:t>
      </w:r>
      <w:r>
        <w:rPr>
          <w:rFonts w:hint="eastAsia" w:ascii="宋体" w:hAnsi="宋体" w:cs="宋体"/>
          <w:color w:val="auto"/>
          <w:szCs w:val="21"/>
          <w:highlight w:val="none"/>
        </w:rPr>
        <w:t>由国有商业或股份制商业银行出具</w:t>
      </w:r>
      <w:r>
        <w:rPr>
          <w:rFonts w:hint="eastAsia" w:ascii="宋体" w:hAnsi="宋体" w:cs="宋体"/>
          <w:color w:val="auto"/>
          <w:szCs w:val="21"/>
          <w:highlight w:val="none"/>
          <w:lang w:eastAsia="zh-CN"/>
        </w:rPr>
        <w:t>，</w:t>
      </w:r>
      <w:r>
        <w:rPr>
          <w:rFonts w:hint="eastAsia" w:ascii="宋体" w:hAnsi="宋体" w:cs="宋体"/>
          <w:color w:val="auto"/>
          <w:szCs w:val="21"/>
          <w:highlight w:val="none"/>
        </w:rPr>
        <w:t>并保证其有效。执行本条规定所需的费用由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承担。保函的正本由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保存。</w:t>
      </w:r>
    </w:p>
    <w:p w14:paraId="51438999">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（2）若采用银行转账形式，应当从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基本账户转出，且全额一次性转入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指定账号，并注明 “</w:t>
      </w:r>
      <w:r>
        <w:rPr>
          <w:rFonts w:hint="eastAsia" w:ascii="宋体" w:hAnsi="宋体" w:cs="宋体"/>
          <w:color w:val="auto"/>
          <w:szCs w:val="21"/>
          <w:highlight w:val="none"/>
          <w:lang w:eastAsia="zh-CN"/>
        </w:rPr>
        <w:t>北部湾港铁山湾5#锚地工程前期工作</w:t>
      </w:r>
      <w:r>
        <w:rPr>
          <w:rFonts w:hint="eastAsia" w:ascii="宋体" w:hAnsi="宋体" w:cs="宋体"/>
          <w:color w:val="auto"/>
          <w:szCs w:val="21"/>
          <w:highlight w:val="none"/>
        </w:rPr>
        <w:t>采购项目履约保证金” ，并且确保在中标通知书发出之日起25日内到账，否则，其履约担保视为无效。</w:t>
      </w:r>
    </w:p>
    <w:p w14:paraId="6522CC03">
      <w:pPr>
        <w:pStyle w:val="8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履约担保有效期</w:t>
      </w:r>
      <w:r>
        <w:rPr>
          <w:rFonts w:hint="eastAsia" w:ascii="宋体" w:hAnsi="宋体" w:cs="宋体"/>
          <w:color w:val="auto"/>
          <w:szCs w:val="21"/>
          <w:highlight w:val="none"/>
          <w:lang w:eastAsia="zh-CN"/>
        </w:rPr>
        <w:t>应不短于</w:t>
      </w:r>
      <w:r>
        <w:rPr>
          <w:rFonts w:hint="eastAsia" w:ascii="宋体" w:hAnsi="宋体" w:cs="宋体"/>
          <w:color w:val="auto"/>
          <w:szCs w:val="21"/>
          <w:highlight w:val="none"/>
        </w:rPr>
        <w:t>自合同生效之日起至</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履行完毕本合同项下所有工作内容</w:t>
      </w:r>
      <w:r>
        <w:rPr>
          <w:rFonts w:hint="eastAsia" w:ascii="宋体" w:hAnsi="宋体" w:cs="宋体"/>
          <w:color w:val="auto"/>
          <w:szCs w:val="21"/>
          <w:highlight w:val="none"/>
          <w:lang w:eastAsia="zh-CN"/>
        </w:rPr>
        <w:t>并</w:t>
      </w:r>
      <w:r>
        <w:rPr>
          <w:rFonts w:hint="eastAsia" w:ascii="宋体" w:hAnsi="宋体" w:cs="宋体"/>
          <w:color w:val="auto"/>
          <w:szCs w:val="21"/>
          <w:highlight w:val="none"/>
        </w:rPr>
        <w:t>提交全部</w:t>
      </w:r>
      <w:r>
        <w:rPr>
          <w:rFonts w:hint="eastAsia" w:ascii="宋体" w:hAnsi="宋体" w:cs="宋体"/>
          <w:color w:val="auto"/>
          <w:szCs w:val="21"/>
          <w:highlight w:val="none"/>
          <w:lang w:eastAsia="zh-CN"/>
        </w:rPr>
        <w:t>最终成果</w:t>
      </w:r>
      <w:r>
        <w:rPr>
          <w:rFonts w:hint="eastAsia" w:ascii="宋体" w:hAnsi="宋体" w:cs="宋体"/>
          <w:color w:val="auto"/>
          <w:szCs w:val="21"/>
          <w:highlight w:val="none"/>
        </w:rPr>
        <w:t>资料之日。</w:t>
      </w:r>
    </w:p>
    <w:p w14:paraId="5CCEA879">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在</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按合同要求履行完毕本合同项下所有工作内容</w:t>
      </w:r>
      <w:r>
        <w:rPr>
          <w:rFonts w:hint="eastAsia" w:ascii="宋体" w:hAnsi="宋体" w:cs="宋体"/>
          <w:color w:val="auto"/>
          <w:szCs w:val="21"/>
          <w:highlight w:val="none"/>
          <w:lang w:eastAsia="zh-CN"/>
        </w:rPr>
        <w:t>并</w:t>
      </w:r>
      <w:r>
        <w:rPr>
          <w:rFonts w:hint="eastAsia" w:ascii="宋体" w:hAnsi="宋体" w:cs="宋体"/>
          <w:color w:val="auto"/>
          <w:szCs w:val="21"/>
          <w:highlight w:val="none"/>
        </w:rPr>
        <w:t>提交全部</w:t>
      </w:r>
      <w:r>
        <w:rPr>
          <w:rFonts w:hint="eastAsia" w:ascii="宋体" w:hAnsi="宋体" w:cs="宋体"/>
          <w:color w:val="auto"/>
          <w:szCs w:val="21"/>
          <w:highlight w:val="none"/>
          <w:lang w:eastAsia="zh-CN"/>
        </w:rPr>
        <w:t>最终成果</w:t>
      </w:r>
      <w:r>
        <w:rPr>
          <w:rFonts w:hint="eastAsia" w:ascii="宋体" w:hAnsi="宋体" w:cs="宋体"/>
          <w:color w:val="auto"/>
          <w:szCs w:val="21"/>
          <w:highlight w:val="none"/>
        </w:rPr>
        <w:t>资料</w:t>
      </w:r>
      <w:r>
        <w:rPr>
          <w:rFonts w:hint="eastAsia" w:ascii="宋体" w:hAnsi="宋体" w:cs="宋体"/>
          <w:color w:val="auto"/>
          <w:szCs w:val="21"/>
          <w:highlight w:val="none"/>
          <w:lang w:eastAsia="zh-CN"/>
        </w:rPr>
        <w:t>后</w:t>
      </w:r>
      <w:r>
        <w:rPr>
          <w:rFonts w:hint="eastAsia" w:ascii="宋体" w:hAnsi="宋体" w:cs="宋体"/>
          <w:color w:val="auto"/>
          <w:szCs w:val="21"/>
          <w:highlight w:val="none"/>
        </w:rPr>
        <w:t>，</w:t>
      </w:r>
      <w:r>
        <w:rPr>
          <w:rFonts w:hint="eastAsia" w:ascii="宋体" w:hAnsi="宋体" w:cs="宋体"/>
          <w:color w:val="auto"/>
          <w:szCs w:val="21"/>
          <w:highlight w:val="none"/>
          <w:lang w:eastAsia="zh-CN"/>
        </w:rPr>
        <w:t>由乙方向甲方提出退还履约担保申请，甲方收到退还履约担保申请</w:t>
      </w:r>
      <w:r>
        <w:rPr>
          <w:rFonts w:hint="eastAsia" w:ascii="宋体" w:hAnsi="宋体" w:cs="宋体"/>
          <w:color w:val="auto"/>
          <w:szCs w:val="21"/>
          <w:highlight w:val="none"/>
        </w:rPr>
        <w:t>后28天内退还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履约担保</w:t>
      </w:r>
      <w:r>
        <w:rPr>
          <w:rFonts w:hint="eastAsia" w:ascii="宋体" w:hAnsi="宋体" w:cs="宋体"/>
          <w:color w:val="auto"/>
          <w:szCs w:val="21"/>
          <w:highlight w:val="none"/>
          <w:lang w:eastAsia="zh-CN"/>
        </w:rPr>
        <w:t>。</w:t>
      </w:r>
      <w:r>
        <w:rPr>
          <w:rFonts w:hint="eastAsia" w:ascii="宋体" w:hAnsi="宋体" w:cs="宋体"/>
          <w:color w:val="auto"/>
          <w:szCs w:val="21"/>
          <w:highlight w:val="none"/>
        </w:rPr>
        <w:t>履约保证金不计利息。</w:t>
      </w:r>
    </w:p>
    <w:p w14:paraId="5238FE1E">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六</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双方的责任和义务</w:t>
      </w:r>
    </w:p>
    <w:p w14:paraId="41FBCFE6">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（一）甲方责任和义务</w:t>
      </w:r>
    </w:p>
    <w:p w14:paraId="0E86DFAD">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1.甲方应按合同约定支付乙方合同费用。</w:t>
      </w:r>
    </w:p>
    <w:p w14:paraId="75536545">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2.甲方有权对乙方实施项目的进度、质量、安全、文明以及资金使用等进行监督、控制。</w:t>
      </w:r>
    </w:p>
    <w:p w14:paraId="489BE1E2">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.承担履行合同过程中甲方的人身和财产安全责任。</w:t>
      </w:r>
    </w:p>
    <w:p w14:paraId="6B6016B3">
      <w:pPr>
        <w:pStyle w:val="85"/>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（二）乙方责任和义务</w:t>
      </w:r>
    </w:p>
    <w:p w14:paraId="6801931C">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1.乙方应按照现行的技术标准、规范规定和行政主管部门要求，完成合同规定的所有工作内容。</w:t>
      </w:r>
    </w:p>
    <w:p w14:paraId="47112833">
      <w:pPr>
        <w:pStyle w:val="85"/>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2.乙方应在开工前向甲方提交详细的工作方案。</w:t>
      </w:r>
    </w:p>
    <w:p w14:paraId="68141C0B">
      <w:pPr>
        <w:pStyle w:val="85"/>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3.乙方工作过程中应遵守国家及地方的有关法律、法规和规章，因乙方未能采取有效措施而发生的人身伤亡、罚款、赔偿、索赔、损失赔偿、诉讼费用及其他一切责任应由乙方负责。</w:t>
      </w:r>
    </w:p>
    <w:p w14:paraId="6E3F2978">
      <w:pPr>
        <w:pStyle w:val="85"/>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乙方对其所提交的服务成果质量负责，因成果质量问题而造成返工所发生的一切费用由乙方自理，造成甲方损失的还应予以赔偿。</w:t>
      </w:r>
    </w:p>
    <w:p w14:paraId="12B16838">
      <w:pPr>
        <w:pStyle w:val="85"/>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乙方交付服务成果后，按规定参加有关主管部门的审查，并负责根据审查结论做必要调整补充完善，直至确保项目通过验收。</w:t>
      </w:r>
    </w:p>
    <w:p w14:paraId="46B770D1">
      <w:pPr>
        <w:pStyle w:val="85"/>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乙方应安排</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承诺的人员投入工作，并在服务过程中保持人员的相对稳定。在项目服务期间，未经甲方批准，乙方不得更换项目负责人。如果服务人员(含后续服务人员)不能胜任工作、渎职或从事其他违法活动，甲方有权提出更换要求，乙方应立即派出不低于原服务人员相应资历的人员替换并征得甲方同意。乙方在事先取得甲方的同意后可以更换其所派驻现场的人员，但应符合合同规定的资历要求。</w:t>
      </w:r>
    </w:p>
    <w:p w14:paraId="789B6783">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7.乙方不得将本合同规定的服务任务转包。 </w:t>
      </w:r>
    </w:p>
    <w:p w14:paraId="6539D221">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8.乙方的工作进度没有达到</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文件中承诺的进度计划时，甲方有权提出要求增加服务人员，乙方应立即安排，其费用被认为已包含在报价之中，甲方不另行支付费用。 </w:t>
      </w:r>
    </w:p>
    <w:p w14:paraId="6856D728">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9.乙方在进行外业踏勘等工作时，应采取相应的安全、保卫和环境保护措施，因乙方未能采取有效措施而发生的与本项目服务活动有关的人身伤亡、罚款、索赔、损失赔偿、诉讼及其他一切责任应由乙方负责。</w:t>
      </w:r>
    </w:p>
    <w:p w14:paraId="3FC6EB18">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10.乙方服务过程中，提供的成果文件不应侵犯任何第三方的专利权、版权、及其他知识产权，</w:t>
      </w:r>
      <w:r>
        <w:rPr>
          <w:rFonts w:hint="eastAsia" w:ascii="宋体" w:hAnsi="宋体" w:cs="宋体"/>
          <w:color w:val="auto"/>
          <w:spacing w:val="-6"/>
          <w:sz w:val="21"/>
          <w:szCs w:val="21"/>
          <w:highlight w:val="none"/>
        </w:rPr>
        <w:t>否则由此而引起索赔或诉讼，乙方应承担全部责任，并保障甲方免于承担由此造成的一切损害和损失。</w:t>
      </w:r>
      <w:r>
        <w:rPr>
          <w:rFonts w:hint="eastAsia" w:ascii="宋体" w:hAnsi="宋体" w:cs="宋体"/>
          <w:color w:val="auto"/>
          <w:szCs w:val="21"/>
          <w:highlight w:val="none"/>
        </w:rPr>
        <w:t xml:space="preserve"> </w:t>
      </w:r>
    </w:p>
    <w:p w14:paraId="785A4045">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12.承担履行合同过程中乙方的人身和财产安全责任。</w:t>
      </w:r>
    </w:p>
    <w:p w14:paraId="424CD011">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知识产权</w:t>
      </w:r>
    </w:p>
    <w:p w14:paraId="212C9CC8">
      <w:pPr>
        <w:pStyle w:val="85"/>
        <w:spacing w:line="360" w:lineRule="auto"/>
        <w:ind w:firstLine="396" w:firstLineChars="200"/>
        <w:rPr>
          <w:rFonts w:ascii="宋体" w:hAnsi="宋体" w:cs="宋体"/>
          <w:color w:val="auto"/>
          <w:szCs w:val="21"/>
          <w:highlight w:val="none"/>
        </w:rPr>
      </w:pPr>
      <w:r>
        <w:rPr>
          <w:rFonts w:hint="eastAsia" w:ascii="宋体" w:hAnsi="宋体" w:cs="宋体"/>
          <w:color w:val="auto"/>
          <w:spacing w:val="-6"/>
          <w:sz w:val="21"/>
          <w:szCs w:val="21"/>
          <w:highlight w:val="none"/>
        </w:rPr>
        <w:t>1.在本合同有效期内，按合同约定所完成的与本服务内容相关的新的技术成果，全部归</w:t>
      </w:r>
      <w:r>
        <w:rPr>
          <w:rFonts w:hint="eastAsia" w:ascii="宋体" w:hAnsi="宋体" w:cs="宋体"/>
          <w:color w:val="auto"/>
          <w:spacing w:val="-6"/>
          <w:sz w:val="21"/>
          <w:szCs w:val="21"/>
          <w:highlight w:val="none"/>
          <w:u w:val="single"/>
        </w:rPr>
        <w:t>甲</w:t>
      </w:r>
      <w:r>
        <w:rPr>
          <w:rFonts w:hint="eastAsia" w:ascii="宋体" w:hAnsi="宋体" w:cs="宋体"/>
          <w:color w:val="auto"/>
          <w:spacing w:val="-6"/>
          <w:sz w:val="21"/>
          <w:szCs w:val="21"/>
          <w:highlight w:val="none"/>
        </w:rPr>
        <w:t>方所有。</w:t>
      </w:r>
    </w:p>
    <w:p w14:paraId="333A02DB">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2.乙方就本项目工作成果，未经甲方同意，乙方不得向第三方提供或用于本合同以外的项目，否则甲方有权追究乙方的责任。 </w:t>
      </w:r>
    </w:p>
    <w:p w14:paraId="143AAFEB">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八</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保密规定</w:t>
      </w:r>
    </w:p>
    <w:p w14:paraId="40C1273C">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双方确定因履行本合同应遵守的保密义务如下：</w:t>
      </w:r>
    </w:p>
    <w:p w14:paraId="32532BF3">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本协议项下保密信息的保密期限自本协议生效之日起至保密信息公开之日或信息提供方许可公开之日止。双方业务合作事宜的终止、失败或者完成不影响本协议所规定的保密义务的履行。</w:t>
      </w:r>
    </w:p>
    <w:p w14:paraId="6574C3D4">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1.甲方和乙方双方均不得将本合同中的内容及在本合同执行过程中获得的对方商业信息、技术秘密及其他经营管理、技术等相关信息向任何第三方泄露。本合同无论期满、解除或终止，保密义务仍然有效。 双方认可，作为乙方公司的员工或涉及项目的相关人员，除应履行一般的保密义务外，就该项目所涉的任何国家秘密、商业秘密，乙方应均予以严格保密。 </w:t>
      </w:r>
    </w:p>
    <w:p w14:paraId="091F251D">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2.甲方向乙方提供的所有资料均为保密资料，乙方除在履行本合同下义务时可向受雇于乙方的相关研究人员透露外，不能在任何情况下(包括本合同有效期内及之后)向第三者透露。</w:t>
      </w:r>
    </w:p>
    <w:p w14:paraId="121DAC59">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乙方服务人员在甲方处工作或参与项目期间，乙方违反保密规定的，虽未造成甲方、甲方关联单位经济、利益、声誉等各种损失，但给甲方正常经营活动带来不便的，甲方有权将乙方服务人员调离项目，并根据规章制度予以处罚；情节严重的，甲方有权无条件解除与乙方的合同关系，乙方应当给予甲方相应的损害赔偿。 </w:t>
      </w:r>
    </w:p>
    <w:p w14:paraId="0C883F07">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4.乙方在甲方处工作或参与该项目期间，乙方违反保密规定的，造成甲方、甲方关联单位及经济、利益、声誉等损失的，甲方有权要求乙方赔偿甲方相应的损失并无条件与乙方 解除合同关系；构成犯罪的，甲方将上报相关部门，依法追究乙方刑事责任。 </w:t>
      </w:r>
    </w:p>
    <w:p w14:paraId="1D4CA2C6">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5.项目完成/终止后或甲方与乙方的合同终止或解除，乙方违反保密规定的，甲方仍有权依法追究乙方全部的赔偿责任。 </w:t>
      </w:r>
    </w:p>
    <w:p w14:paraId="12602FFF">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6.乙方违反保密义务的，应向甲方支付一万元/次的违约金，并赔偿甲方因此而遭受的损失。   </w:t>
      </w:r>
    </w:p>
    <w:p w14:paraId="12C91173">
      <w:pPr>
        <w:pStyle w:val="8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九</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违约责任</w:t>
      </w:r>
    </w:p>
    <w:p w14:paraId="1B360B20">
      <w:pPr>
        <w:pStyle w:val="85"/>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（一）甲方违约责任</w:t>
      </w:r>
    </w:p>
    <w:p w14:paraId="0CBD5B21">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1.本项目经费为政府资金，视经费到位情况并按照国库集中支付或政府部门预算管理规定等国家相关规定办理支付，因政府资金不能按时到位导致不能及时付款的，不视为甲方违约。</w:t>
      </w:r>
    </w:p>
    <w:p w14:paraId="1FDA2F55">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2.在合同履行期间，甲方要求终止或解除合同（非乙方原因），甲方除应按乙方完成的实际工作量支付费用外，还应按剩余合同价的5%向乙方支付违约金。</w:t>
      </w:r>
    </w:p>
    <w:p w14:paraId="07D15B69">
      <w:pPr>
        <w:pStyle w:val="85"/>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（二）乙方违约责任</w:t>
      </w:r>
    </w:p>
    <w:p w14:paraId="18BFFE3F">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1.乙方不得转包本合同项目，否则甲方有权解除合同并要求乙方退还所有已付费用，同时，乙方支付甲方签约合同总价5%的违约金并赔偿甲方因此遭受的全部损失。</w:t>
      </w:r>
    </w:p>
    <w:p w14:paraId="7CD72625">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的项目负责人和其他人员应与响应文件所承诺的名单一致，未经甲方同意，上述人员不应无故不到位或被替换(但因不可抗力引起的人员变动除外)；发生以上情况，甲方书面提醒后，乙方仍未整改的，乙方将被处以人民币壹万元/人次的违约金，由此引起的责任由乙方负责，甲方有权解除合同，乙方自行承担已发生的费用。</w:t>
      </w:r>
    </w:p>
    <w:p w14:paraId="0F29076E">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3.乙方未按本合同规定完成合同工作（含提交成果文件）的，乙方须向甲方支付延期违约金，每延期一天按合同总额的</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‰计算。拖期超过30 天，甲方有权单方解除合同，给甲方造成损失的，乙方负责赔偿，甲方的损失包括但不限于诉讼费、保全费、保全保险费、律师费等费用。</w:t>
      </w:r>
    </w:p>
    <w:p w14:paraId="5CE7EACF">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4.在合同履行期间，乙方无故要求终止或解除合同，乙方应退还甲方已支付的全部费用，并向甲方支付签约合同总价5%的违约金且赔偿甲方因此遭受的全部损失。</w:t>
      </w:r>
    </w:p>
    <w:p w14:paraId="25448A3B">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5.乙方未按本合同规定开展</w:t>
      </w:r>
      <w:r>
        <w:rPr>
          <w:rFonts w:hint="eastAsia" w:ascii="宋体" w:hAnsi="宋体" w:cs="宋体"/>
          <w:color w:val="auto"/>
          <w:szCs w:val="21"/>
          <w:highlight w:val="none"/>
          <w:lang w:eastAsia="zh-CN"/>
        </w:rPr>
        <w:t>研究</w:t>
      </w:r>
      <w:r>
        <w:rPr>
          <w:rFonts w:hint="eastAsia" w:ascii="宋体" w:hAnsi="宋体" w:cs="宋体"/>
          <w:color w:val="auto"/>
          <w:szCs w:val="21"/>
          <w:highlight w:val="none"/>
        </w:rPr>
        <w:t>工作，</w:t>
      </w:r>
      <w:r>
        <w:rPr>
          <w:rFonts w:hint="eastAsia" w:ascii="宋体" w:hAnsi="宋体" w:cs="宋体"/>
          <w:color w:val="auto"/>
          <w:szCs w:val="21"/>
          <w:highlight w:val="none"/>
          <w:lang w:eastAsia="zh-CN"/>
        </w:rPr>
        <w:t>导致</w:t>
      </w:r>
      <w:r>
        <w:rPr>
          <w:rFonts w:hint="eastAsia" w:ascii="宋体" w:hAnsi="宋体" w:cs="宋体"/>
          <w:color w:val="auto"/>
          <w:szCs w:val="21"/>
          <w:highlight w:val="none"/>
        </w:rPr>
        <w:t>甲方按照乙方提交的</w:t>
      </w:r>
      <w:r>
        <w:rPr>
          <w:rFonts w:hint="eastAsia" w:ascii="宋体" w:hAnsi="宋体" w:cs="宋体"/>
          <w:color w:val="auto"/>
          <w:szCs w:val="21"/>
          <w:highlight w:val="none"/>
          <w:lang w:eastAsia="zh-CN"/>
        </w:rPr>
        <w:t>研究</w:t>
      </w:r>
      <w:r>
        <w:rPr>
          <w:rFonts w:hint="eastAsia" w:ascii="宋体" w:hAnsi="宋体" w:cs="宋体"/>
          <w:color w:val="auto"/>
          <w:szCs w:val="21"/>
          <w:highlight w:val="none"/>
        </w:rPr>
        <w:t>成果作出决策造成损失的，由乙方承担，且乙方应向甲方支付签约合同总价5%的违约金并赔偿甲方损失。</w:t>
      </w:r>
    </w:p>
    <w:p w14:paraId="29A669AA">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6.乙方在本项目的人员应当具备法律规定、行业规定的相关资质并对其工作期间的行为负责。若乙方指派人员在工作中因故意或重大过失给甲方造成损失的，由乙方承担全部法律责任。</w:t>
      </w:r>
    </w:p>
    <w:p w14:paraId="4F97AAA1">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7.因乙方违约产生的一切法律纠纷，造成甲方所产生的包括但不限于律师费、诉讼费、仲裁费、评估鉴定费以及承担的损失、赔偿责任等，均由乙方承担。</w:t>
      </w:r>
    </w:p>
    <w:p w14:paraId="6DB44BCE">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合同项下的违约金和赔偿，甲方均有权从应付给乙方的款项或履约保证金中扣除，不足部分由乙方补足。前述条款约定的违约金和赔偿不足以弥补甲方损失的，乙方应继续赔偿甲方的损失，在收到甲方书面通知后三日内另行支付。</w:t>
      </w:r>
    </w:p>
    <w:p w14:paraId="52604507">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十</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分包</w:t>
      </w:r>
    </w:p>
    <w:p w14:paraId="7E9812D7">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不得将工程主体、关键性工作分包给第三方，如有分包计划，须经发包人批准。</w:t>
      </w:r>
    </w:p>
    <w:p w14:paraId="6D808F89">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不可抗力</w:t>
      </w:r>
    </w:p>
    <w:p w14:paraId="42EE470A">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本合同所称不可抗力是指不能预见、不能克服、不能避免并对一方当事人造成重大影响的客观事件，如洪水、泥石流、地震、火灾、风暴等自然现象以及战争、动乱、政府行为等社会事件。</w:t>
      </w:r>
    </w:p>
    <w:p w14:paraId="1129CBED">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发生不可抗力事件，一方在本合同项下受不可抗力影响的义务在不可抗力造成的延误期间自动中止，其履行期限应自动延长，延长期间为中止的期间，该方无须为此承担违约责任。</w:t>
      </w:r>
    </w:p>
    <w:p w14:paraId="2BF36A4B">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二</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争议的解决</w:t>
      </w:r>
    </w:p>
    <w:p w14:paraId="38178A06">
      <w:pPr>
        <w:pStyle w:val="8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本合同争议的解决方式是：因本合同发生的或与本合同有关的任何争议，均提请南宁仲裁委员会按照该会仲裁规则进行仲裁。仲裁裁决是终局的，对双方均有约束力。</w:t>
      </w:r>
    </w:p>
    <w:p w14:paraId="52B5A938">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color w:val="auto"/>
          <w:spacing w:val="-6"/>
          <w:sz w:val="21"/>
          <w:szCs w:val="21"/>
          <w:highlight w:val="none"/>
        </w:rPr>
        <w:t>甲乙双方应当通过正常途径开展相关业务工作，自觉遵守国家关于廉政建设的各项规定。</w:t>
      </w:r>
    </w:p>
    <w:p w14:paraId="51B07D32">
      <w:pPr>
        <w:pStyle w:val="85"/>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履约验收方案</w:t>
      </w:r>
    </w:p>
    <w:p w14:paraId="533E4892">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履约验收主体</w:t>
      </w:r>
    </w:p>
    <w:p w14:paraId="58B8BA13">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 xml:space="preserve">由采购方按照《广西壮族自治区政府采购项目履约验收管理办法》和《广西壮族自治区港航发展中心本级政府采购管理工作规程》有关规定，组织履约验收。                                </w:t>
      </w:r>
    </w:p>
    <w:p w14:paraId="6142AA28">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履约验收时间</w:t>
      </w:r>
    </w:p>
    <w:p w14:paraId="65038283">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 xml:space="preserve"> 按照《广西壮族自治区政府采购项目履约验收管理办法》规定，自成交供应商履行完合同义务之日起七个工作日内组织验收,并提出验收意见。    </w:t>
      </w:r>
    </w:p>
    <w:p w14:paraId="2AA184A2">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履约验收方式</w:t>
      </w:r>
    </w:p>
    <w:p w14:paraId="05772423">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 xml:space="preserve"> 本项目采取采购人自行验收方式实施履约验收。   </w:t>
      </w:r>
    </w:p>
    <w:p w14:paraId="78C26330">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履约验收程序</w:t>
      </w:r>
    </w:p>
    <w:p w14:paraId="5C66C2A9">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 xml:space="preserve"> 按照《广西壮族自治区政府采购项目履约验收管理办法》和《广西壮族自治区港航发展中心本级政府采购管理工作规程》有关规定，验收程序和要求如下：</w:t>
      </w:r>
    </w:p>
    <w:p w14:paraId="6B160D11">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）成立验收小组。验收小组原则上应由三人以上单数组成，验收小组组长由采购部门的负责人担任，并从相关业务部门安排1人作为监督人。</w:t>
      </w:r>
    </w:p>
    <w:p w14:paraId="623D8064">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）组织验收。验收小组应当按照采购合同对供应商的履约情况进行验收。</w:t>
      </w:r>
    </w:p>
    <w:p w14:paraId="4507CB28">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验收小组应当结合合同项目验收清单和标准，对供应商的完成合同情况进行验收。</w:t>
      </w:r>
    </w:p>
    <w:p w14:paraId="69463679">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）出具验收书。验收小组完成验收后，应当出具验收书，由所有验收人签字，作为支付采购尾款的必备资料。</w:t>
      </w:r>
    </w:p>
    <w:p w14:paraId="0F0DF8FB">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 xml:space="preserve">）验收结果公告。将验收结果（验收书）在本单位范围内进行公告，公告期不得少于5个工作日。    </w:t>
      </w:r>
    </w:p>
    <w:p w14:paraId="38663C63">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履约验收内容</w:t>
      </w:r>
    </w:p>
    <w:p w14:paraId="065CA4D3">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按合同约定期限完成北部湾港铁山湾5#锚地工程前期工作。</w:t>
      </w:r>
    </w:p>
    <w:p w14:paraId="76A78BBE">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eastAsia="zh-CN"/>
        </w:rPr>
        <w:t>履约验收验收标准</w:t>
      </w:r>
    </w:p>
    <w:p w14:paraId="0DD166FA">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）在合同约定期限内完成北部湾港铁山湾5#锚地工程前期工作，提交成果。总工期为</w:t>
      </w:r>
      <w:r>
        <w:rPr>
          <w:rFonts w:hint="eastAsia" w:ascii="宋体" w:hAnsi="宋体" w:cs="宋体"/>
          <w:b w:val="0"/>
          <w:bCs w:val="0"/>
          <w:color w:val="auto"/>
          <w:szCs w:val="21"/>
          <w:highlight w:val="none"/>
          <w:lang w:val="en-US" w:eastAsia="zh-CN"/>
        </w:rPr>
        <w:t>180</w:t>
      </w:r>
      <w:r>
        <w:rPr>
          <w:rFonts w:hint="eastAsia" w:ascii="宋体" w:hAnsi="宋体" w:cs="宋体"/>
          <w:b w:val="0"/>
          <w:bCs w:val="0"/>
          <w:color w:val="auto"/>
          <w:szCs w:val="21"/>
          <w:highlight w:val="none"/>
          <w:lang w:eastAsia="zh-CN"/>
        </w:rPr>
        <w:t>日历天。具体如下：</w:t>
      </w:r>
    </w:p>
    <w:p w14:paraId="763F2700">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①2026年5月31日前，完成海洋生态环境现状调查和海洋水文动力现状调查的春季现场调查；2026年6月30日前提交春季海洋生态环境现状调查分析评价报告和海洋水文动力现状调查分析评价报告。若受采购进度影响，不能在2026年春季开展现场调查的，则2027年3月31日前完成海洋生态环境现状调查和海洋水文动力现状调查的春季现场调查；2027年4月30日前提交春季海洋生态环境现状调查分析评价报告和海洋水文动力现状分析评价报告。</w:t>
      </w:r>
    </w:p>
    <w:p w14:paraId="00252167">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②2026年9月30日前，完成海洋生态环境调查和海洋水文动力现状调查的秋季现场调查；2026年10月31日前提交秋季海洋生态环境现状调查分析评价报告和海洋水文动力现状调查分析评价报告。</w:t>
      </w:r>
    </w:p>
    <w:p w14:paraId="20F9ED75">
      <w:pPr>
        <w:pStyle w:val="85"/>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③调查成果验收会后20日历天内提交最终调查成果。</w:t>
      </w:r>
    </w:p>
    <w:p w14:paraId="351B576F">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④合同签订后</w:t>
      </w:r>
      <w:r>
        <w:rPr>
          <w:rFonts w:hint="eastAsia" w:ascii="宋体" w:hAnsi="宋体" w:cs="宋体"/>
          <w:b w:val="0"/>
          <w:bCs w:val="0"/>
          <w:color w:val="auto"/>
          <w:szCs w:val="21"/>
          <w:highlight w:val="none"/>
          <w:lang w:val="en-US" w:eastAsia="zh-CN"/>
        </w:rPr>
        <w:t>40日历天内提交项目建议书送审稿；</w:t>
      </w:r>
      <w:r>
        <w:rPr>
          <w:rFonts w:hint="eastAsia" w:ascii="宋体" w:hAnsi="宋体" w:cs="宋体"/>
          <w:b w:val="0"/>
          <w:bCs w:val="0"/>
          <w:color w:val="auto"/>
          <w:szCs w:val="21"/>
          <w:highlight w:val="none"/>
          <w:lang w:eastAsia="zh-CN"/>
        </w:rPr>
        <w:t>合同签订后</w:t>
      </w:r>
      <w:r>
        <w:rPr>
          <w:rFonts w:hint="eastAsia" w:ascii="宋体" w:hAnsi="宋体" w:cs="宋体"/>
          <w:b w:val="0"/>
          <w:bCs w:val="0"/>
          <w:color w:val="auto"/>
          <w:szCs w:val="21"/>
          <w:highlight w:val="none"/>
          <w:lang w:val="en-US" w:eastAsia="zh-CN"/>
        </w:rPr>
        <w:t>60日历天内提交工可报告送审稿；评审（或验收）会后</w:t>
      </w:r>
      <w:r>
        <w:rPr>
          <w:rFonts w:hint="eastAsia" w:ascii="宋体" w:hAnsi="宋体" w:cs="宋体"/>
          <w:b w:val="0"/>
          <w:bCs w:val="0"/>
          <w:color w:val="auto"/>
          <w:szCs w:val="21"/>
          <w:highlight w:val="none"/>
          <w:lang w:eastAsia="zh-CN"/>
        </w:rPr>
        <w:t>20日历天内</w:t>
      </w:r>
      <w:r>
        <w:rPr>
          <w:rFonts w:hint="eastAsia" w:ascii="宋体" w:hAnsi="宋体" w:cs="宋体"/>
          <w:b w:val="0"/>
          <w:bCs w:val="0"/>
          <w:color w:val="auto"/>
          <w:szCs w:val="21"/>
          <w:highlight w:val="none"/>
          <w:lang w:val="en-US" w:eastAsia="zh-CN"/>
        </w:rPr>
        <w:t>完善项目建议书、工可报告，并提交最终成果。</w:t>
      </w:r>
    </w:p>
    <w:p w14:paraId="2E1D413A">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调查成果验收时间，项目建议书、工可报告评审</w:t>
      </w:r>
      <w:r>
        <w:rPr>
          <w:rFonts w:hint="eastAsia" w:ascii="宋体" w:hAnsi="宋体" w:cs="宋体"/>
          <w:b w:val="0"/>
          <w:bCs w:val="0"/>
          <w:color w:val="auto"/>
          <w:szCs w:val="21"/>
          <w:highlight w:val="none"/>
          <w:lang w:val="en-US" w:eastAsia="zh-CN"/>
        </w:rPr>
        <w:t>（或验收）</w:t>
      </w:r>
      <w:r>
        <w:rPr>
          <w:rFonts w:hint="eastAsia" w:ascii="宋体" w:hAnsi="宋体" w:cs="宋体"/>
          <w:b w:val="0"/>
          <w:bCs w:val="0"/>
          <w:color w:val="auto"/>
          <w:szCs w:val="21"/>
          <w:highlight w:val="none"/>
          <w:lang w:eastAsia="zh-CN"/>
        </w:rPr>
        <w:t>时间另行计算，不计入总工期。</w:t>
      </w:r>
    </w:p>
    <w:p w14:paraId="477E78C4">
      <w:pPr>
        <w:pStyle w:val="85"/>
        <w:spacing w:line="360" w:lineRule="auto"/>
        <w:ind w:firstLine="420" w:firstLineChars="200"/>
        <w:rPr>
          <w:rFonts w:hint="eastAsia" w:ascii="宋体" w:hAnsi="宋体" w:cs="宋体"/>
          <w:b w:val="0"/>
          <w:bCs w:val="0"/>
          <w:color w:val="auto"/>
          <w:szCs w:val="21"/>
          <w:highlight w:val="none"/>
          <w:lang w:eastAsia="zh-CN"/>
        </w:rPr>
      </w:pPr>
    </w:p>
    <w:p w14:paraId="66D66FC4">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）成果文件应当符合现行相关国家标准、行业标准、地方标准等标准、规范，并通过专家评审或主管部门、机构组织的评审，取得主管部门批复（如需要）。</w:t>
      </w:r>
    </w:p>
    <w:p w14:paraId="3A7E6930">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lang w:eastAsia="zh-CN"/>
        </w:rPr>
        <w:t>履约验收其他事项</w:t>
      </w:r>
    </w:p>
    <w:p w14:paraId="521E7CFD">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 xml:space="preserve"> 验收过程所产生的专家咨询费等相关费用由供应商承担。 </w:t>
      </w:r>
    </w:p>
    <w:p w14:paraId="1C4FF96D">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（五）风险管控措施</w:t>
      </w:r>
    </w:p>
    <w:p w14:paraId="549424C1">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 xml:space="preserve">国家政策变化应对措施： 在合同实施期间国家政策变化，勘察咨询费不进行调整。  </w:t>
      </w:r>
    </w:p>
    <w:p w14:paraId="07AC1831">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 xml:space="preserve">实施环境变化应对措施： 在合同实施期间实施环境变化、物价波动，勘察咨询费不进行调整。  </w:t>
      </w:r>
    </w:p>
    <w:p w14:paraId="51A68661">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 xml:space="preserve">重大技术变化应对措施： 在合同实施期间方案变更、法律、法规、规范和标准变更等技术变化，勘察咨询费不进行调整。  </w:t>
      </w:r>
    </w:p>
    <w:p w14:paraId="1213ED0D">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 xml:space="preserve">预算项目调整应对措施： 加强采购计划编制质量；加强项目管理；根据法律法规和合同作相应调整。  </w:t>
      </w:r>
    </w:p>
    <w:p w14:paraId="6F8761D6">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 xml:space="preserve">因质疑投诉影响采购进度应对措施： 根据有关法律法规，加强采购文件编制质量；按有关法律法规要求，及时回复质疑投诉；合理缩短各环节实施时间。 </w:t>
      </w:r>
    </w:p>
    <w:p w14:paraId="1EF4BECE">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eastAsia="zh-CN"/>
        </w:rPr>
        <w:t xml:space="preserve">采购失败应对措施： 根据有关法律法规，加强采购文件编制质量。认真分析采购失败原因，采取相应措施：如工期设置太短，合理调整工期；如特殊资格条件设置过高，适当降低要求等。 </w:t>
      </w:r>
    </w:p>
    <w:p w14:paraId="62645E3E">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lang w:eastAsia="zh-CN"/>
        </w:rPr>
        <w:t xml:space="preserve">不按规定签订或者履行合同应对措施： 严格按有关法律法规要求，根据采购文件和响应文件内容，在成交通知发出后25日内签订合同；加强合同履约管理。  </w:t>
      </w:r>
    </w:p>
    <w:p w14:paraId="7C5B2993">
      <w:pPr>
        <w:pStyle w:val="8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lang w:eastAsia="zh-CN"/>
        </w:rPr>
        <w:t xml:space="preserve">出现损害国家利益和社会公共利益情形应对措施： </w:t>
      </w:r>
    </w:p>
    <w:p w14:paraId="5D1D63B4">
      <w:pPr>
        <w:pStyle w:val="8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 xml:space="preserve"> 严格遵守有关法律法规、标准规范和合同约定。</w:t>
      </w:r>
    </w:p>
    <w:p w14:paraId="73809CE0">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五</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color w:val="auto"/>
          <w:szCs w:val="21"/>
          <w:highlight w:val="none"/>
        </w:rPr>
        <w:t>本合同未尽事宜，由甲方和乙方双方协商并签订补充协议，补充协议与本合同不一致的，以补充协议为准。</w:t>
      </w:r>
    </w:p>
    <w:p w14:paraId="2AA6D7BF">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六</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444C00F9">
      <w:pPr>
        <w:pStyle w:val="85"/>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条</w:t>
      </w:r>
      <w:r>
        <w:rPr>
          <w:rFonts w:hint="eastAsia" w:ascii="宋体" w:hAnsi="宋体" w:cs="宋体"/>
          <w:b/>
          <w:bCs/>
          <w:color w:val="auto"/>
          <w:szCs w:val="21"/>
          <w:highlight w:val="none"/>
          <w:lang w:val="en-US" w:eastAsia="zh-CN"/>
        </w:rPr>
        <w:t xml:space="preserve"> </w:t>
      </w:r>
      <w:r>
        <w:rPr>
          <w:rFonts w:hint="eastAsia" w:ascii="宋体" w:hAnsi="宋体" w:cs="宋体"/>
          <w:color w:val="auto"/>
          <w:szCs w:val="21"/>
          <w:highlight w:val="none"/>
        </w:rPr>
        <w:t>本协议书在乙方提供履约担保后，由双方法定代表人或其委托代理人签字（或签章）并加盖单位公章或合同专用章后生效。乙方完成全部服务工作且合同费用结清后终止。</w:t>
      </w:r>
    </w:p>
    <w:p w14:paraId="002F03BE">
      <w:pPr>
        <w:snapToGrid w:val="0"/>
        <w:spacing w:line="360" w:lineRule="auto"/>
        <w:ind w:firstLine="420" w:firstLineChars="200"/>
        <w:rPr>
          <w:rFonts w:ascii="宋体" w:hAnsi="宋体" w:cs="宋体"/>
          <w:color w:val="auto"/>
          <w:szCs w:val="21"/>
          <w:highlight w:val="none"/>
        </w:rPr>
      </w:pPr>
    </w:p>
    <w:tbl>
      <w:tblPr>
        <w:tblStyle w:val="29"/>
        <w:tblW w:w="8745" w:type="dxa"/>
        <w:jc w:val="center"/>
        <w:tblLayout w:type="autofit"/>
        <w:tblCellMar>
          <w:top w:w="0" w:type="dxa"/>
          <w:left w:w="108" w:type="dxa"/>
          <w:bottom w:w="0" w:type="dxa"/>
          <w:right w:w="108" w:type="dxa"/>
        </w:tblCellMar>
      </w:tblPr>
      <w:tblGrid>
        <w:gridCol w:w="4144"/>
        <w:gridCol w:w="240"/>
        <w:gridCol w:w="240"/>
        <w:gridCol w:w="4121"/>
      </w:tblGrid>
      <w:tr w14:paraId="3469FAC4">
        <w:tblPrEx>
          <w:tblCellMar>
            <w:top w:w="0" w:type="dxa"/>
            <w:left w:w="108" w:type="dxa"/>
            <w:bottom w:w="0" w:type="dxa"/>
            <w:right w:w="108" w:type="dxa"/>
          </w:tblCellMar>
        </w:tblPrEx>
        <w:trPr>
          <w:trHeight w:val="895" w:hRule="atLeast"/>
          <w:jc w:val="center"/>
        </w:trPr>
        <w:tc>
          <w:tcPr>
            <w:tcW w:w="4144" w:type="dxa"/>
          </w:tcPr>
          <w:p w14:paraId="41AABAE8">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甲方：广西壮族自治区</w:t>
            </w:r>
            <w:r>
              <w:rPr>
                <w:rFonts w:hint="eastAsia" w:ascii="宋体" w:hAnsi="宋体" w:cs="宋体"/>
                <w:color w:val="auto"/>
                <w:szCs w:val="21"/>
                <w:highlight w:val="none"/>
                <w:lang w:eastAsia="zh-CN"/>
              </w:rPr>
              <w:t>水运</w:t>
            </w:r>
            <w:r>
              <w:rPr>
                <w:rFonts w:hint="eastAsia" w:ascii="宋体" w:hAnsi="宋体" w:cs="宋体"/>
                <w:color w:val="auto"/>
                <w:szCs w:val="21"/>
                <w:highlight w:val="none"/>
              </w:rPr>
              <w:t>发展中心（盖章）</w:t>
            </w:r>
          </w:p>
        </w:tc>
        <w:tc>
          <w:tcPr>
            <w:tcW w:w="240" w:type="dxa"/>
          </w:tcPr>
          <w:p w14:paraId="4C525376">
            <w:pPr>
              <w:pStyle w:val="6"/>
              <w:spacing w:line="360" w:lineRule="auto"/>
              <w:rPr>
                <w:rFonts w:ascii="宋体" w:hAnsi="宋体" w:cs="宋体"/>
                <w:color w:val="auto"/>
                <w:szCs w:val="21"/>
                <w:highlight w:val="none"/>
              </w:rPr>
            </w:pPr>
          </w:p>
        </w:tc>
        <w:tc>
          <w:tcPr>
            <w:tcW w:w="240" w:type="dxa"/>
          </w:tcPr>
          <w:p w14:paraId="7A5A510C">
            <w:pPr>
              <w:pStyle w:val="6"/>
              <w:spacing w:line="360" w:lineRule="auto"/>
              <w:rPr>
                <w:rFonts w:ascii="宋体" w:hAnsi="宋体" w:cs="宋体"/>
                <w:color w:val="auto"/>
                <w:szCs w:val="21"/>
                <w:highlight w:val="none"/>
              </w:rPr>
            </w:pPr>
          </w:p>
        </w:tc>
        <w:tc>
          <w:tcPr>
            <w:tcW w:w="4121" w:type="dxa"/>
          </w:tcPr>
          <w:p w14:paraId="51DE5747">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2783FDDE">
        <w:tblPrEx>
          <w:tblCellMar>
            <w:top w:w="0" w:type="dxa"/>
            <w:left w:w="108" w:type="dxa"/>
            <w:bottom w:w="0" w:type="dxa"/>
            <w:right w:w="108" w:type="dxa"/>
          </w:tblCellMar>
        </w:tblPrEx>
        <w:trPr>
          <w:jc w:val="center"/>
        </w:trPr>
        <w:tc>
          <w:tcPr>
            <w:tcW w:w="4144" w:type="dxa"/>
          </w:tcPr>
          <w:p w14:paraId="4BAE6347">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30E68278">
            <w:pPr>
              <w:pStyle w:val="6"/>
              <w:spacing w:line="360" w:lineRule="auto"/>
              <w:rPr>
                <w:rFonts w:ascii="宋体" w:hAnsi="宋体" w:cs="宋体"/>
                <w:color w:val="auto"/>
                <w:szCs w:val="21"/>
                <w:highlight w:val="none"/>
              </w:rPr>
            </w:pPr>
          </w:p>
        </w:tc>
        <w:tc>
          <w:tcPr>
            <w:tcW w:w="240" w:type="dxa"/>
          </w:tcPr>
          <w:p w14:paraId="1AD2321A">
            <w:pPr>
              <w:pStyle w:val="6"/>
              <w:spacing w:line="360" w:lineRule="auto"/>
              <w:rPr>
                <w:rFonts w:ascii="宋体" w:hAnsi="宋体" w:cs="宋体"/>
                <w:color w:val="auto"/>
                <w:szCs w:val="21"/>
                <w:highlight w:val="none"/>
              </w:rPr>
            </w:pPr>
          </w:p>
        </w:tc>
        <w:tc>
          <w:tcPr>
            <w:tcW w:w="4121" w:type="dxa"/>
          </w:tcPr>
          <w:p w14:paraId="4A51E5F3">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4A15DDAB">
        <w:tblPrEx>
          <w:tblCellMar>
            <w:top w:w="0" w:type="dxa"/>
            <w:left w:w="108" w:type="dxa"/>
            <w:bottom w:w="0" w:type="dxa"/>
            <w:right w:w="108" w:type="dxa"/>
          </w:tblCellMar>
        </w:tblPrEx>
        <w:trPr>
          <w:jc w:val="center"/>
        </w:trPr>
        <w:tc>
          <w:tcPr>
            <w:tcW w:w="4144" w:type="dxa"/>
          </w:tcPr>
          <w:p w14:paraId="57858656">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54EE101D">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255ED3C2">
            <w:pPr>
              <w:pStyle w:val="6"/>
              <w:spacing w:line="360" w:lineRule="auto"/>
              <w:rPr>
                <w:rFonts w:ascii="宋体" w:hAnsi="宋体" w:cs="宋体"/>
                <w:color w:val="auto"/>
                <w:szCs w:val="21"/>
                <w:highlight w:val="none"/>
              </w:rPr>
            </w:pPr>
          </w:p>
        </w:tc>
        <w:tc>
          <w:tcPr>
            <w:tcW w:w="240" w:type="dxa"/>
          </w:tcPr>
          <w:p w14:paraId="1C50C552">
            <w:pPr>
              <w:pStyle w:val="6"/>
              <w:spacing w:line="360" w:lineRule="auto"/>
              <w:rPr>
                <w:rFonts w:ascii="宋体" w:hAnsi="宋体" w:cs="宋体"/>
                <w:color w:val="auto"/>
                <w:szCs w:val="21"/>
                <w:highlight w:val="none"/>
              </w:rPr>
            </w:pPr>
          </w:p>
        </w:tc>
        <w:tc>
          <w:tcPr>
            <w:tcW w:w="4121" w:type="dxa"/>
          </w:tcPr>
          <w:p w14:paraId="4E70908F">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11211142">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r w14:paraId="1440E0D4">
        <w:tblPrEx>
          <w:tblCellMar>
            <w:top w:w="0" w:type="dxa"/>
            <w:left w:w="108" w:type="dxa"/>
            <w:bottom w:w="0" w:type="dxa"/>
            <w:right w:w="108" w:type="dxa"/>
          </w:tblCellMar>
        </w:tblPrEx>
        <w:trPr>
          <w:jc w:val="center"/>
        </w:trPr>
        <w:tc>
          <w:tcPr>
            <w:tcW w:w="4144" w:type="dxa"/>
          </w:tcPr>
          <w:p w14:paraId="57540405">
            <w:pPr>
              <w:pStyle w:val="6"/>
              <w:spacing w:line="360" w:lineRule="auto"/>
              <w:ind w:firstLine="0"/>
              <w:rPr>
                <w:rFonts w:ascii="宋体" w:hAnsi="宋体" w:cs="宋体"/>
                <w:color w:val="auto"/>
                <w:szCs w:val="21"/>
                <w:highlight w:val="none"/>
              </w:rPr>
            </w:pPr>
          </w:p>
        </w:tc>
        <w:tc>
          <w:tcPr>
            <w:tcW w:w="240" w:type="dxa"/>
          </w:tcPr>
          <w:p w14:paraId="235DF4E1">
            <w:pPr>
              <w:pStyle w:val="6"/>
              <w:spacing w:line="360" w:lineRule="auto"/>
              <w:rPr>
                <w:rFonts w:ascii="宋体" w:hAnsi="宋体" w:cs="宋体"/>
                <w:color w:val="auto"/>
                <w:szCs w:val="21"/>
                <w:highlight w:val="none"/>
              </w:rPr>
            </w:pPr>
          </w:p>
        </w:tc>
        <w:tc>
          <w:tcPr>
            <w:tcW w:w="240" w:type="dxa"/>
          </w:tcPr>
          <w:p w14:paraId="27DE29F2">
            <w:pPr>
              <w:pStyle w:val="6"/>
              <w:spacing w:line="360" w:lineRule="auto"/>
              <w:rPr>
                <w:rFonts w:ascii="宋体" w:hAnsi="宋体" w:cs="宋体"/>
                <w:color w:val="auto"/>
                <w:szCs w:val="21"/>
                <w:highlight w:val="none"/>
              </w:rPr>
            </w:pPr>
          </w:p>
        </w:tc>
        <w:tc>
          <w:tcPr>
            <w:tcW w:w="4121" w:type="dxa"/>
          </w:tcPr>
          <w:p w14:paraId="432D6754">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收款单位全称：</w:t>
            </w:r>
            <w:r>
              <w:rPr>
                <w:rFonts w:hint="eastAsia" w:ascii="宋体" w:hAnsi="宋体" w:cs="宋体"/>
                <w:color w:val="auto"/>
                <w:szCs w:val="21"/>
                <w:highlight w:val="none"/>
                <w:u w:val="single"/>
              </w:rPr>
              <w:t xml:space="preserve">              </w:t>
            </w:r>
          </w:p>
        </w:tc>
      </w:tr>
      <w:tr w14:paraId="314FFEAF">
        <w:tblPrEx>
          <w:tblCellMar>
            <w:top w:w="0" w:type="dxa"/>
            <w:left w:w="108" w:type="dxa"/>
            <w:bottom w:w="0" w:type="dxa"/>
            <w:right w:w="108" w:type="dxa"/>
          </w:tblCellMar>
        </w:tblPrEx>
        <w:trPr>
          <w:jc w:val="center"/>
        </w:trPr>
        <w:tc>
          <w:tcPr>
            <w:tcW w:w="4144" w:type="dxa"/>
          </w:tcPr>
          <w:p w14:paraId="75726E08">
            <w:pPr>
              <w:pStyle w:val="6"/>
              <w:spacing w:line="360" w:lineRule="auto"/>
              <w:ind w:firstLine="0"/>
              <w:rPr>
                <w:rFonts w:ascii="宋体" w:hAnsi="宋体" w:cs="宋体"/>
                <w:color w:val="auto"/>
                <w:szCs w:val="21"/>
                <w:highlight w:val="none"/>
              </w:rPr>
            </w:pPr>
          </w:p>
        </w:tc>
        <w:tc>
          <w:tcPr>
            <w:tcW w:w="240" w:type="dxa"/>
          </w:tcPr>
          <w:p w14:paraId="28158D52">
            <w:pPr>
              <w:pStyle w:val="6"/>
              <w:spacing w:line="360" w:lineRule="auto"/>
              <w:rPr>
                <w:rFonts w:ascii="宋体" w:hAnsi="宋体" w:cs="宋体"/>
                <w:color w:val="auto"/>
                <w:szCs w:val="21"/>
                <w:highlight w:val="none"/>
              </w:rPr>
            </w:pPr>
          </w:p>
        </w:tc>
        <w:tc>
          <w:tcPr>
            <w:tcW w:w="240" w:type="dxa"/>
          </w:tcPr>
          <w:p w14:paraId="381EA7E9">
            <w:pPr>
              <w:pStyle w:val="6"/>
              <w:spacing w:line="360" w:lineRule="auto"/>
              <w:rPr>
                <w:rFonts w:ascii="宋体" w:hAnsi="宋体" w:cs="宋体"/>
                <w:color w:val="auto"/>
                <w:szCs w:val="21"/>
                <w:highlight w:val="none"/>
              </w:rPr>
            </w:pPr>
          </w:p>
        </w:tc>
        <w:tc>
          <w:tcPr>
            <w:tcW w:w="4121" w:type="dxa"/>
          </w:tcPr>
          <w:p w14:paraId="5D514A0E">
            <w:pPr>
              <w:pStyle w:val="6"/>
              <w:spacing w:line="360" w:lineRule="auto"/>
              <w:ind w:firstLine="0"/>
              <w:rPr>
                <w:rFonts w:ascii="宋体" w:hAnsi="宋体" w:cs="宋体"/>
                <w:color w:val="auto"/>
                <w:szCs w:val="21"/>
                <w:highlight w:val="none"/>
                <w:u w:val="single"/>
              </w:rPr>
            </w:pPr>
            <w:r>
              <w:rPr>
                <w:rFonts w:hint="eastAsia" w:ascii="宋体" w:hAnsi="宋体" w:cs="宋体"/>
                <w:color w:val="auto"/>
                <w:szCs w:val="21"/>
                <w:highlight w:val="none"/>
              </w:rPr>
              <w:t xml:space="preserve">银行账号： </w:t>
            </w:r>
            <w:r>
              <w:rPr>
                <w:rFonts w:hint="eastAsia" w:ascii="宋体" w:hAnsi="宋体" w:cs="宋体"/>
                <w:color w:val="auto"/>
                <w:szCs w:val="21"/>
                <w:highlight w:val="none"/>
                <w:u w:val="single"/>
              </w:rPr>
              <w:t xml:space="preserve">                   </w:t>
            </w:r>
          </w:p>
        </w:tc>
      </w:tr>
      <w:tr w14:paraId="1735ABA4">
        <w:tblPrEx>
          <w:tblCellMar>
            <w:top w:w="0" w:type="dxa"/>
            <w:left w:w="108" w:type="dxa"/>
            <w:bottom w:w="0" w:type="dxa"/>
            <w:right w:w="108" w:type="dxa"/>
          </w:tblCellMar>
        </w:tblPrEx>
        <w:trPr>
          <w:jc w:val="center"/>
        </w:trPr>
        <w:tc>
          <w:tcPr>
            <w:tcW w:w="4144" w:type="dxa"/>
          </w:tcPr>
          <w:p w14:paraId="77B11DF1">
            <w:pPr>
              <w:pStyle w:val="6"/>
              <w:spacing w:line="360" w:lineRule="auto"/>
              <w:ind w:firstLine="0"/>
              <w:rPr>
                <w:rFonts w:ascii="宋体" w:hAnsi="宋体" w:cs="宋体"/>
                <w:color w:val="auto"/>
                <w:szCs w:val="21"/>
                <w:highlight w:val="none"/>
              </w:rPr>
            </w:pPr>
          </w:p>
        </w:tc>
        <w:tc>
          <w:tcPr>
            <w:tcW w:w="240" w:type="dxa"/>
          </w:tcPr>
          <w:p w14:paraId="11DD9E69">
            <w:pPr>
              <w:pStyle w:val="6"/>
              <w:spacing w:line="360" w:lineRule="auto"/>
              <w:rPr>
                <w:rFonts w:ascii="宋体" w:hAnsi="宋体" w:cs="宋体"/>
                <w:color w:val="auto"/>
                <w:szCs w:val="21"/>
                <w:highlight w:val="none"/>
              </w:rPr>
            </w:pPr>
          </w:p>
        </w:tc>
        <w:tc>
          <w:tcPr>
            <w:tcW w:w="240" w:type="dxa"/>
          </w:tcPr>
          <w:p w14:paraId="61FC8FE0">
            <w:pPr>
              <w:pStyle w:val="6"/>
              <w:spacing w:line="360" w:lineRule="auto"/>
              <w:rPr>
                <w:rFonts w:ascii="宋体" w:hAnsi="宋体" w:cs="宋体"/>
                <w:color w:val="auto"/>
                <w:szCs w:val="21"/>
                <w:highlight w:val="none"/>
              </w:rPr>
            </w:pPr>
          </w:p>
        </w:tc>
        <w:tc>
          <w:tcPr>
            <w:tcW w:w="4121" w:type="dxa"/>
          </w:tcPr>
          <w:p w14:paraId="7A9BDC09">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 xml:space="preserve">                     </w:t>
            </w:r>
          </w:p>
        </w:tc>
      </w:tr>
      <w:tr w14:paraId="5378C1A4">
        <w:tblPrEx>
          <w:tblCellMar>
            <w:top w:w="0" w:type="dxa"/>
            <w:left w:w="108" w:type="dxa"/>
            <w:bottom w:w="0" w:type="dxa"/>
            <w:right w:w="108" w:type="dxa"/>
          </w:tblCellMar>
        </w:tblPrEx>
        <w:trPr>
          <w:jc w:val="center"/>
        </w:trPr>
        <w:tc>
          <w:tcPr>
            <w:tcW w:w="4144" w:type="dxa"/>
          </w:tcPr>
          <w:p w14:paraId="75E5F842">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地址：南宁市百花岭路6号</w:t>
            </w:r>
          </w:p>
        </w:tc>
        <w:tc>
          <w:tcPr>
            <w:tcW w:w="240" w:type="dxa"/>
          </w:tcPr>
          <w:p w14:paraId="1C3B569B">
            <w:pPr>
              <w:pStyle w:val="6"/>
              <w:spacing w:line="360" w:lineRule="auto"/>
              <w:rPr>
                <w:rFonts w:ascii="宋体" w:hAnsi="宋体" w:cs="宋体"/>
                <w:color w:val="auto"/>
                <w:szCs w:val="21"/>
                <w:highlight w:val="none"/>
              </w:rPr>
            </w:pPr>
          </w:p>
        </w:tc>
        <w:tc>
          <w:tcPr>
            <w:tcW w:w="240" w:type="dxa"/>
          </w:tcPr>
          <w:p w14:paraId="5450BD47">
            <w:pPr>
              <w:pStyle w:val="6"/>
              <w:spacing w:line="360" w:lineRule="auto"/>
              <w:rPr>
                <w:rFonts w:ascii="宋体" w:hAnsi="宋体" w:cs="宋体"/>
                <w:color w:val="auto"/>
                <w:szCs w:val="21"/>
                <w:highlight w:val="none"/>
              </w:rPr>
            </w:pPr>
          </w:p>
        </w:tc>
        <w:tc>
          <w:tcPr>
            <w:tcW w:w="4121" w:type="dxa"/>
          </w:tcPr>
          <w:p w14:paraId="08463B3A">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tc>
      </w:tr>
      <w:tr w14:paraId="38A08CE3">
        <w:tblPrEx>
          <w:tblCellMar>
            <w:top w:w="0" w:type="dxa"/>
            <w:left w:w="108" w:type="dxa"/>
            <w:bottom w:w="0" w:type="dxa"/>
            <w:right w:w="108" w:type="dxa"/>
          </w:tblCellMar>
        </w:tblPrEx>
        <w:trPr>
          <w:jc w:val="center"/>
        </w:trPr>
        <w:tc>
          <w:tcPr>
            <w:tcW w:w="4144" w:type="dxa"/>
          </w:tcPr>
          <w:p w14:paraId="2B58959F">
            <w:pPr>
              <w:pStyle w:val="6"/>
              <w:spacing w:line="360" w:lineRule="auto"/>
              <w:ind w:firstLine="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0771-</w:t>
            </w:r>
            <w:r>
              <w:rPr>
                <w:rFonts w:hint="eastAsia" w:ascii="宋体" w:hAnsi="宋体" w:cs="宋体"/>
                <w:color w:val="auto"/>
                <w:szCs w:val="21"/>
                <w:highlight w:val="none"/>
                <w:u w:val="single"/>
                <w:lang w:val="en-US" w:eastAsia="zh-CN"/>
              </w:rPr>
              <w:t>2841511</w:t>
            </w:r>
          </w:p>
        </w:tc>
        <w:tc>
          <w:tcPr>
            <w:tcW w:w="240" w:type="dxa"/>
          </w:tcPr>
          <w:p w14:paraId="300D32DA">
            <w:pPr>
              <w:pStyle w:val="6"/>
              <w:spacing w:line="360" w:lineRule="auto"/>
              <w:rPr>
                <w:rFonts w:ascii="宋体" w:hAnsi="宋体" w:cs="宋体"/>
                <w:color w:val="auto"/>
                <w:szCs w:val="21"/>
                <w:highlight w:val="none"/>
              </w:rPr>
            </w:pPr>
          </w:p>
        </w:tc>
        <w:tc>
          <w:tcPr>
            <w:tcW w:w="240" w:type="dxa"/>
          </w:tcPr>
          <w:p w14:paraId="1119340B">
            <w:pPr>
              <w:pStyle w:val="6"/>
              <w:spacing w:line="360" w:lineRule="auto"/>
              <w:rPr>
                <w:rFonts w:ascii="宋体" w:hAnsi="宋体" w:cs="宋体"/>
                <w:color w:val="auto"/>
                <w:szCs w:val="21"/>
                <w:highlight w:val="none"/>
              </w:rPr>
            </w:pPr>
          </w:p>
        </w:tc>
        <w:tc>
          <w:tcPr>
            <w:tcW w:w="4121" w:type="dxa"/>
          </w:tcPr>
          <w:p w14:paraId="1E177CE6">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tc>
      </w:tr>
      <w:tr w14:paraId="25FF4B89">
        <w:tblPrEx>
          <w:tblCellMar>
            <w:top w:w="0" w:type="dxa"/>
            <w:left w:w="108" w:type="dxa"/>
            <w:bottom w:w="0" w:type="dxa"/>
            <w:right w:w="108" w:type="dxa"/>
          </w:tblCellMar>
        </w:tblPrEx>
        <w:trPr>
          <w:jc w:val="center"/>
        </w:trPr>
        <w:tc>
          <w:tcPr>
            <w:tcW w:w="4144" w:type="dxa"/>
          </w:tcPr>
          <w:p w14:paraId="56B63805">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240" w:type="dxa"/>
          </w:tcPr>
          <w:p w14:paraId="428C7FAE">
            <w:pPr>
              <w:pStyle w:val="6"/>
              <w:spacing w:line="360" w:lineRule="auto"/>
              <w:rPr>
                <w:rFonts w:ascii="宋体" w:hAnsi="宋体" w:cs="宋体"/>
                <w:color w:val="auto"/>
                <w:szCs w:val="21"/>
                <w:highlight w:val="none"/>
              </w:rPr>
            </w:pPr>
          </w:p>
        </w:tc>
        <w:tc>
          <w:tcPr>
            <w:tcW w:w="240" w:type="dxa"/>
          </w:tcPr>
          <w:p w14:paraId="00F49116">
            <w:pPr>
              <w:pStyle w:val="6"/>
              <w:spacing w:line="360" w:lineRule="auto"/>
              <w:rPr>
                <w:rFonts w:ascii="宋体" w:hAnsi="宋体" w:cs="宋体"/>
                <w:color w:val="auto"/>
                <w:szCs w:val="21"/>
                <w:highlight w:val="none"/>
              </w:rPr>
            </w:pPr>
          </w:p>
        </w:tc>
        <w:tc>
          <w:tcPr>
            <w:tcW w:w="4121" w:type="dxa"/>
          </w:tcPr>
          <w:p w14:paraId="2E9F3AC7">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1555C150">
      <w:pPr>
        <w:jc w:val="center"/>
        <w:rPr>
          <w:rFonts w:ascii="宋体" w:hAnsi="宋体" w:cs="@方正仿宋简体"/>
          <w:b/>
          <w:bCs/>
          <w:color w:val="auto"/>
          <w:kern w:val="0"/>
          <w:sz w:val="32"/>
          <w:szCs w:val="32"/>
          <w:highlight w:val="none"/>
        </w:rPr>
      </w:pPr>
    </w:p>
    <w:p w14:paraId="3FA6DC2A">
      <w:pPr>
        <w:jc w:val="center"/>
        <w:rPr>
          <w:rFonts w:ascii="宋体" w:hAnsi="宋体" w:cs="@方正仿宋简体"/>
          <w:b/>
          <w:bCs/>
          <w:color w:val="auto"/>
          <w:kern w:val="0"/>
          <w:sz w:val="32"/>
          <w:szCs w:val="32"/>
          <w:highlight w:val="none"/>
        </w:rPr>
        <w:sectPr>
          <w:pgSz w:w="11906" w:h="16838"/>
          <w:pgMar w:top="1417" w:right="1417" w:bottom="1417" w:left="1417" w:header="851" w:footer="567" w:gutter="0"/>
          <w:cols w:space="720" w:num="1"/>
          <w:titlePg/>
          <w:docGrid w:type="lines" w:linePitch="312" w:charSpace="0"/>
        </w:sectPr>
      </w:pPr>
    </w:p>
    <w:p w14:paraId="037EE314">
      <w:pPr>
        <w:spacing w:line="360" w:lineRule="auto"/>
        <w:jc w:val="left"/>
        <w:outlineLvl w:val="1"/>
        <w:rPr>
          <w:rFonts w:ascii="宋体" w:hAnsi="宋体" w:cs="宋体"/>
          <w:color w:val="auto"/>
          <w:szCs w:val="21"/>
          <w:highlight w:val="none"/>
        </w:rPr>
      </w:pPr>
      <w:bookmarkStart w:id="150" w:name="_Toc89866150"/>
      <w:bookmarkStart w:id="151" w:name="_Toc1168"/>
      <w:bookmarkStart w:id="152" w:name="_Toc26301"/>
      <w:bookmarkStart w:id="153" w:name="_Toc13560"/>
      <w:bookmarkStart w:id="154" w:name="_Toc32217"/>
      <w:bookmarkStart w:id="155" w:name="_Toc20487"/>
      <w:bookmarkStart w:id="156" w:name="_Toc5217"/>
      <w:bookmarkStart w:id="157" w:name="_Toc17013"/>
      <w:bookmarkStart w:id="158" w:name="_Toc15010"/>
      <w:bookmarkStart w:id="159" w:name="_Toc38903738"/>
      <w:bookmarkStart w:id="160" w:name="_Toc26667"/>
      <w:bookmarkStart w:id="161" w:name="_Toc8597"/>
      <w:bookmarkStart w:id="162" w:name="_Toc20040"/>
      <w:r>
        <w:rPr>
          <w:rFonts w:hint="eastAsia" w:ascii="宋体" w:hAnsi="宋体" w:cs="宋体"/>
          <w:color w:val="auto"/>
          <w:szCs w:val="21"/>
          <w:highlight w:val="none"/>
        </w:rPr>
        <w:t>附件  廉政合同</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5DE41D9A">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廉政合同</w:t>
      </w:r>
    </w:p>
    <w:p w14:paraId="740722EE">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 xml:space="preserve">根据《关于在交通基础设施建设中加强廉政建设的若干意见》以及有关工程建设、廉政建设的规定，为做好工程建设中的党风廉政建设，保证工程建设高效优质，保证建设资金的安全和有效使用以及投资效益， </w:t>
      </w:r>
      <w:r>
        <w:rPr>
          <w:rFonts w:hint="eastAsia" w:ascii="宋体" w:hAnsi="宋体" w:cs="宋体"/>
          <w:color w:val="auto"/>
          <w:szCs w:val="21"/>
          <w:highlight w:val="none"/>
          <w:u w:val="single"/>
        </w:rPr>
        <w:t xml:space="preserve"> 广西壮族自治区</w:t>
      </w:r>
      <w:r>
        <w:rPr>
          <w:rFonts w:hint="eastAsia" w:ascii="宋体" w:hAnsi="宋体" w:cs="宋体"/>
          <w:color w:val="auto"/>
          <w:szCs w:val="21"/>
          <w:highlight w:val="none"/>
          <w:u w:val="single"/>
          <w:lang w:eastAsia="zh-CN"/>
        </w:rPr>
        <w:t>水运</w:t>
      </w:r>
      <w:r>
        <w:rPr>
          <w:rFonts w:hint="eastAsia" w:ascii="宋体" w:hAnsi="宋体" w:cs="宋体"/>
          <w:color w:val="auto"/>
          <w:szCs w:val="21"/>
          <w:highlight w:val="none"/>
          <w:u w:val="single"/>
        </w:rPr>
        <w:t>发展中心</w:t>
      </w:r>
      <w:r>
        <w:rPr>
          <w:rFonts w:hint="eastAsia" w:ascii="宋体" w:hAnsi="宋体" w:cs="宋体"/>
          <w:color w:val="auto"/>
          <w:szCs w:val="21"/>
          <w:highlight w:val="none"/>
        </w:rPr>
        <w:t>（以下简称:甲方）为一方与另一方</w:t>
      </w:r>
      <w:r>
        <w:rPr>
          <w:rFonts w:hint="eastAsia" w:ascii="宋体" w:hAnsi="宋体" w:cs="宋体"/>
          <w:color w:val="auto"/>
          <w:szCs w:val="21"/>
          <w:highlight w:val="none"/>
          <w:u w:val="single"/>
        </w:rPr>
        <w:t xml:space="preserve">  全称    </w:t>
      </w:r>
      <w:r>
        <w:rPr>
          <w:rFonts w:hint="eastAsia" w:ascii="宋体" w:hAnsi="宋体" w:cs="宋体"/>
          <w:color w:val="auto"/>
          <w:szCs w:val="21"/>
          <w:highlight w:val="none"/>
        </w:rPr>
        <w:t>（以下称</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），特订立如下合同。</w:t>
      </w:r>
    </w:p>
    <w:p w14:paraId="21930733">
      <w:pPr>
        <w:pStyle w:val="6"/>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第一条  双方的权利和义务</w:t>
      </w:r>
    </w:p>
    <w:p w14:paraId="4DE13808">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（一）严格遵守党和国家有关法律法规及交通运输部的有关规定。</w:t>
      </w:r>
    </w:p>
    <w:p w14:paraId="1FCCE665">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（二）严格执行</w:t>
      </w:r>
      <w:r>
        <w:rPr>
          <w:rFonts w:hint="eastAsia" w:ascii="宋体" w:hAnsi="宋体" w:cs="宋体"/>
          <w:bCs/>
          <w:color w:val="auto"/>
          <w:sz w:val="22"/>
          <w:szCs w:val="21"/>
          <w:highlight w:val="none"/>
          <w:lang w:eastAsia="zh-CN"/>
        </w:rPr>
        <w:t>北部湾港铁山湾5#锚地工程前期工作</w:t>
      </w:r>
      <w:r>
        <w:rPr>
          <w:rFonts w:hint="eastAsia" w:ascii="宋体" w:hAnsi="宋体" w:cs="宋体"/>
          <w:color w:val="auto"/>
          <w:szCs w:val="21"/>
          <w:highlight w:val="none"/>
        </w:rPr>
        <w:t>合同文件，自觉按合同办事。</w:t>
      </w:r>
    </w:p>
    <w:p w14:paraId="70E86AFB">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（三）双方的业务活动坚持公开、公正、诚信、透明的原则（除法律认定的商业秘密和合同文件另有规定之外），不得损害国家和集体利益，违反工程建设管理规章制度。</w:t>
      </w:r>
    </w:p>
    <w:p w14:paraId="787AB321">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（四）建立健全廉政制度，开展廉政教育，设立廉政告示牌，公布举报电话，监督并认真查处违法违纪行为。</w:t>
      </w:r>
    </w:p>
    <w:p w14:paraId="36AF7585">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（五）发现对方在业务活动中有违反廉政规定的行为，有及时提醒对方纠正的权利和义务。</w:t>
      </w:r>
    </w:p>
    <w:p w14:paraId="6912ED66">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（六）发现对方严重违反本合同义务条款的行为，有向其上级有关部门举报、建议给予处理并要求告知处理结果的权利。</w:t>
      </w:r>
    </w:p>
    <w:p w14:paraId="08BBF7EC">
      <w:pPr>
        <w:pStyle w:val="6"/>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第二条 甲方的义务</w:t>
      </w:r>
    </w:p>
    <w:p w14:paraId="29021E3A">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（一）甲方及其工作人员不得索要或接受乙方的礼金、有价证券和贵重物品，不得让乙方报销任何应由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或个人支付的费用等。</w:t>
      </w:r>
    </w:p>
    <w:p w14:paraId="68643D9E">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（二）甲方工作人员不得参加乙方安排的超标准宴请和娱乐活动；不得接受乙方提供的通讯工具、交通工具和高档办公用品等。</w:t>
      </w:r>
    </w:p>
    <w:p w14:paraId="3231702F">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（三）甲方及其工作人员不得要求或者接受乙方为其住房装修、婚丧嫁娶活动、配偶子女的工作安排以及出国出境、旅游等提供方便等。</w:t>
      </w:r>
    </w:p>
    <w:p w14:paraId="46F9841B">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（四）不准向乙方和相关单位介绍或为配偶、子女、亲属参与同甲方项目工程合同有关的咨询业务等活动。不得以任何理由要求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和相关单位在咨询中使用某种产品、材料和设备。</w:t>
      </w:r>
    </w:p>
    <w:p w14:paraId="64CCEC5A">
      <w:pPr>
        <w:pStyle w:val="6"/>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第三条  乙方义务</w:t>
      </w:r>
    </w:p>
    <w:p w14:paraId="601FB900">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（一）乙方不得以任何理由向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及其工作人员行贿或馈赠礼金、有价证券、贵重礼品。</w:t>
      </w:r>
    </w:p>
    <w:p w14:paraId="36396455">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不得以任何名义为</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及其工作人员报销应由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单位或个人支付的任何费用。</w:t>
      </w:r>
    </w:p>
    <w:p w14:paraId="19D2E1AA">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不得以任何理由安排</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工作人员参加超标准宴请及娱乐活动。</w:t>
      </w:r>
    </w:p>
    <w:p w14:paraId="57455844">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不得为</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单位和个人购置或提供通讯工具、交通工具和高档办公用品等。</w:t>
      </w:r>
    </w:p>
    <w:p w14:paraId="5A4E176A">
      <w:pPr>
        <w:pStyle w:val="6"/>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第四条  违约责任</w:t>
      </w:r>
    </w:p>
    <w:p w14:paraId="6E998790">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及其工作人员违反本合同第一、二条，按管理权限，依据有关规定给予党纪、政纪处分或组织处理；涉嫌犯罪的，移交司法机关追究刑事责任；给</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单位造成经济损失的，应予以赔偿。</w:t>
      </w:r>
    </w:p>
    <w:p w14:paraId="60F6C1C8">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及其工作人员违反本合同第一、三条，按管理权限，依据有关规定给予党纪、政纪处分或组织处理；给</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单位造成经济损失的，应予以赔偿；情节严重的，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建议交通工程建设主管部门给予</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一至三年内不得进入其主管的交通工程建设市场的处罚。</w:t>
      </w:r>
    </w:p>
    <w:p w14:paraId="03326FB6">
      <w:pPr>
        <w:pStyle w:val="6"/>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第五条：双方约定：本合同由双方或双方上级单位的纪检监察机关负责监督。由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或</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上级单位的纪检监察机关约请</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或</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上级单位纪检监察机关对本合同履行情况进行检查，提出在本合同规定范围内的裁定意见。</w:t>
      </w:r>
    </w:p>
    <w:p w14:paraId="3174BF5A">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第六条  本合同自双方法定代表人或其委托代理人签字并加盖双方单位公章后、且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的履约担保后生效，至本项目全部成果通过验收后终止。</w:t>
      </w:r>
    </w:p>
    <w:p w14:paraId="3F344DCF">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第七条  本合同作为</w:t>
      </w:r>
      <w:r>
        <w:rPr>
          <w:rFonts w:hint="eastAsia" w:ascii="宋体" w:hAnsi="宋体" w:cs="宋体"/>
          <w:color w:val="auto"/>
          <w:szCs w:val="21"/>
          <w:highlight w:val="none"/>
          <w:u w:val="single"/>
        </w:rPr>
        <w:t xml:space="preserve"> 北部湾港铁山湾5#锚地工程前期工作 </w:t>
      </w:r>
      <w:r>
        <w:rPr>
          <w:rFonts w:hint="eastAsia" w:ascii="宋体" w:hAnsi="宋体" w:cs="宋体"/>
          <w:color w:val="auto"/>
          <w:szCs w:val="21"/>
          <w:highlight w:val="none"/>
        </w:rPr>
        <w:t>合同的附件，与咨询合同具有同等的法律效力。</w:t>
      </w:r>
    </w:p>
    <w:p w14:paraId="1B395853">
      <w:pPr>
        <w:pStyle w:val="6"/>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第八条  本合同陆份，双方各执叁份。</w:t>
      </w:r>
    </w:p>
    <w:p w14:paraId="696246B5">
      <w:pPr>
        <w:pStyle w:val="6"/>
        <w:snapToGrid w:val="0"/>
        <w:spacing w:line="360" w:lineRule="auto"/>
        <w:ind w:firstLine="480"/>
        <w:rPr>
          <w:rFonts w:ascii="宋体" w:hAnsi="宋体" w:cs="宋体"/>
          <w:color w:val="auto"/>
          <w:szCs w:val="21"/>
          <w:highlight w:val="none"/>
        </w:rPr>
      </w:pPr>
    </w:p>
    <w:p w14:paraId="7FD3AC49">
      <w:pPr>
        <w:snapToGrid w:val="0"/>
        <w:spacing w:line="360" w:lineRule="auto"/>
        <w:rPr>
          <w:rFonts w:ascii="宋体" w:hAnsi="宋体" w:cs="宋体"/>
          <w:color w:val="auto"/>
          <w:szCs w:val="21"/>
          <w:highlight w:val="none"/>
        </w:rPr>
      </w:pPr>
    </w:p>
    <w:tbl>
      <w:tblPr>
        <w:tblStyle w:val="29"/>
        <w:tblW w:w="8745" w:type="dxa"/>
        <w:jc w:val="center"/>
        <w:tblLayout w:type="autofit"/>
        <w:tblCellMar>
          <w:top w:w="0" w:type="dxa"/>
          <w:left w:w="108" w:type="dxa"/>
          <w:bottom w:w="0" w:type="dxa"/>
          <w:right w:w="108" w:type="dxa"/>
        </w:tblCellMar>
      </w:tblPr>
      <w:tblGrid>
        <w:gridCol w:w="4144"/>
        <w:gridCol w:w="240"/>
        <w:gridCol w:w="240"/>
        <w:gridCol w:w="4121"/>
      </w:tblGrid>
      <w:tr w14:paraId="670C8BC5">
        <w:tblPrEx>
          <w:tblCellMar>
            <w:top w:w="0" w:type="dxa"/>
            <w:left w:w="108" w:type="dxa"/>
            <w:bottom w:w="0" w:type="dxa"/>
            <w:right w:w="108" w:type="dxa"/>
          </w:tblCellMar>
        </w:tblPrEx>
        <w:trPr>
          <w:trHeight w:val="1662" w:hRule="atLeast"/>
          <w:jc w:val="center"/>
        </w:trPr>
        <w:tc>
          <w:tcPr>
            <w:tcW w:w="4144" w:type="dxa"/>
          </w:tcPr>
          <w:p w14:paraId="79E00519">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广西壮族自治区</w:t>
            </w:r>
            <w:r>
              <w:rPr>
                <w:rFonts w:hint="eastAsia" w:ascii="宋体" w:hAnsi="宋体" w:cs="宋体"/>
                <w:color w:val="auto"/>
                <w:szCs w:val="21"/>
                <w:highlight w:val="none"/>
                <w:u w:val="single"/>
                <w:lang w:eastAsia="zh-CN"/>
              </w:rPr>
              <w:t>水运</w:t>
            </w:r>
            <w:r>
              <w:rPr>
                <w:rFonts w:hint="eastAsia" w:ascii="宋体" w:hAnsi="宋体" w:cs="宋体"/>
                <w:color w:val="auto"/>
                <w:szCs w:val="21"/>
                <w:highlight w:val="none"/>
                <w:u w:val="single"/>
              </w:rPr>
              <w:t>发展中心</w:t>
            </w:r>
            <w:r>
              <w:rPr>
                <w:rFonts w:hint="eastAsia" w:ascii="宋体" w:hAnsi="宋体" w:cs="宋体"/>
                <w:color w:val="auto"/>
                <w:szCs w:val="21"/>
                <w:highlight w:val="none"/>
              </w:rPr>
              <w:t>（盖章）</w:t>
            </w:r>
          </w:p>
        </w:tc>
        <w:tc>
          <w:tcPr>
            <w:tcW w:w="240" w:type="dxa"/>
          </w:tcPr>
          <w:p w14:paraId="5E4E4AAA">
            <w:pPr>
              <w:pStyle w:val="6"/>
              <w:spacing w:line="360" w:lineRule="auto"/>
              <w:rPr>
                <w:rFonts w:ascii="宋体" w:hAnsi="宋体" w:cs="宋体"/>
                <w:color w:val="auto"/>
                <w:szCs w:val="21"/>
                <w:highlight w:val="none"/>
              </w:rPr>
            </w:pPr>
          </w:p>
        </w:tc>
        <w:tc>
          <w:tcPr>
            <w:tcW w:w="240" w:type="dxa"/>
          </w:tcPr>
          <w:p w14:paraId="42220CB7">
            <w:pPr>
              <w:pStyle w:val="6"/>
              <w:spacing w:line="360" w:lineRule="auto"/>
              <w:rPr>
                <w:rFonts w:ascii="宋体" w:hAnsi="宋体" w:cs="宋体"/>
                <w:color w:val="auto"/>
                <w:szCs w:val="21"/>
                <w:highlight w:val="none"/>
              </w:rPr>
            </w:pPr>
          </w:p>
        </w:tc>
        <w:tc>
          <w:tcPr>
            <w:tcW w:w="4121" w:type="dxa"/>
          </w:tcPr>
          <w:p w14:paraId="67A3ED7B">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24D5EFDF">
        <w:tblPrEx>
          <w:tblCellMar>
            <w:top w:w="0" w:type="dxa"/>
            <w:left w:w="108" w:type="dxa"/>
            <w:bottom w:w="0" w:type="dxa"/>
            <w:right w:w="108" w:type="dxa"/>
          </w:tblCellMar>
        </w:tblPrEx>
        <w:trPr>
          <w:jc w:val="center"/>
        </w:trPr>
        <w:tc>
          <w:tcPr>
            <w:tcW w:w="4144" w:type="dxa"/>
          </w:tcPr>
          <w:p w14:paraId="6EEA0AA8">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47CEFA7C">
            <w:pPr>
              <w:pStyle w:val="6"/>
              <w:spacing w:line="360" w:lineRule="auto"/>
              <w:rPr>
                <w:rFonts w:ascii="宋体" w:hAnsi="宋体" w:cs="宋体"/>
                <w:color w:val="auto"/>
                <w:szCs w:val="21"/>
                <w:highlight w:val="none"/>
              </w:rPr>
            </w:pPr>
          </w:p>
        </w:tc>
        <w:tc>
          <w:tcPr>
            <w:tcW w:w="240" w:type="dxa"/>
          </w:tcPr>
          <w:p w14:paraId="43CE041E">
            <w:pPr>
              <w:pStyle w:val="6"/>
              <w:spacing w:line="360" w:lineRule="auto"/>
              <w:rPr>
                <w:rFonts w:ascii="宋体" w:hAnsi="宋体" w:cs="宋体"/>
                <w:color w:val="auto"/>
                <w:szCs w:val="21"/>
                <w:highlight w:val="none"/>
              </w:rPr>
            </w:pPr>
          </w:p>
        </w:tc>
        <w:tc>
          <w:tcPr>
            <w:tcW w:w="4121" w:type="dxa"/>
          </w:tcPr>
          <w:p w14:paraId="3D2346D4">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33D7C048">
        <w:tblPrEx>
          <w:tblCellMar>
            <w:top w:w="0" w:type="dxa"/>
            <w:left w:w="108" w:type="dxa"/>
            <w:bottom w:w="0" w:type="dxa"/>
            <w:right w:w="108" w:type="dxa"/>
          </w:tblCellMar>
        </w:tblPrEx>
        <w:trPr>
          <w:jc w:val="center"/>
        </w:trPr>
        <w:tc>
          <w:tcPr>
            <w:tcW w:w="4144" w:type="dxa"/>
          </w:tcPr>
          <w:p w14:paraId="15E4E8BC">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79709E6A">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670C64F1">
            <w:pPr>
              <w:pStyle w:val="6"/>
              <w:spacing w:line="360" w:lineRule="auto"/>
              <w:rPr>
                <w:rFonts w:ascii="宋体" w:hAnsi="宋体" w:cs="宋体"/>
                <w:color w:val="auto"/>
                <w:szCs w:val="21"/>
                <w:highlight w:val="none"/>
              </w:rPr>
            </w:pPr>
          </w:p>
        </w:tc>
        <w:tc>
          <w:tcPr>
            <w:tcW w:w="240" w:type="dxa"/>
          </w:tcPr>
          <w:p w14:paraId="572246CC">
            <w:pPr>
              <w:pStyle w:val="6"/>
              <w:spacing w:line="360" w:lineRule="auto"/>
              <w:rPr>
                <w:rFonts w:ascii="宋体" w:hAnsi="宋体" w:cs="宋体"/>
                <w:color w:val="auto"/>
                <w:szCs w:val="21"/>
                <w:highlight w:val="none"/>
              </w:rPr>
            </w:pPr>
          </w:p>
        </w:tc>
        <w:tc>
          <w:tcPr>
            <w:tcW w:w="4121" w:type="dxa"/>
          </w:tcPr>
          <w:p w14:paraId="0517E33D">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40ED214E">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r w14:paraId="5FD5F34F">
        <w:tblPrEx>
          <w:tblCellMar>
            <w:top w:w="0" w:type="dxa"/>
            <w:left w:w="108" w:type="dxa"/>
            <w:bottom w:w="0" w:type="dxa"/>
            <w:right w:w="108" w:type="dxa"/>
          </w:tblCellMar>
        </w:tblPrEx>
        <w:trPr>
          <w:jc w:val="center"/>
        </w:trPr>
        <w:tc>
          <w:tcPr>
            <w:tcW w:w="4144" w:type="dxa"/>
          </w:tcPr>
          <w:p w14:paraId="734E172E">
            <w:pPr>
              <w:pStyle w:val="6"/>
              <w:spacing w:line="360" w:lineRule="auto"/>
              <w:ind w:firstLine="0"/>
              <w:rPr>
                <w:rFonts w:ascii="宋体" w:hAnsi="宋体" w:cs="宋体"/>
                <w:color w:val="auto"/>
                <w:szCs w:val="21"/>
                <w:highlight w:val="none"/>
              </w:rPr>
            </w:pPr>
          </w:p>
        </w:tc>
        <w:tc>
          <w:tcPr>
            <w:tcW w:w="240" w:type="dxa"/>
          </w:tcPr>
          <w:p w14:paraId="266D5B13">
            <w:pPr>
              <w:pStyle w:val="6"/>
              <w:spacing w:line="360" w:lineRule="auto"/>
              <w:rPr>
                <w:rFonts w:ascii="宋体" w:hAnsi="宋体" w:cs="宋体"/>
                <w:color w:val="auto"/>
                <w:szCs w:val="21"/>
                <w:highlight w:val="none"/>
              </w:rPr>
            </w:pPr>
          </w:p>
        </w:tc>
        <w:tc>
          <w:tcPr>
            <w:tcW w:w="240" w:type="dxa"/>
          </w:tcPr>
          <w:p w14:paraId="469B3B50">
            <w:pPr>
              <w:pStyle w:val="6"/>
              <w:spacing w:line="360" w:lineRule="auto"/>
              <w:rPr>
                <w:rFonts w:ascii="宋体" w:hAnsi="宋体" w:cs="宋体"/>
                <w:color w:val="auto"/>
                <w:szCs w:val="21"/>
                <w:highlight w:val="none"/>
              </w:rPr>
            </w:pPr>
          </w:p>
        </w:tc>
        <w:tc>
          <w:tcPr>
            <w:tcW w:w="4121" w:type="dxa"/>
          </w:tcPr>
          <w:p w14:paraId="6183EDA3">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收款单位全称：</w:t>
            </w:r>
            <w:r>
              <w:rPr>
                <w:rFonts w:hint="eastAsia" w:ascii="宋体" w:hAnsi="宋体" w:cs="宋体"/>
                <w:color w:val="auto"/>
                <w:szCs w:val="21"/>
                <w:highlight w:val="none"/>
                <w:u w:val="single"/>
              </w:rPr>
              <w:t xml:space="preserve">              </w:t>
            </w:r>
          </w:p>
        </w:tc>
      </w:tr>
      <w:tr w14:paraId="64210A49">
        <w:tblPrEx>
          <w:tblCellMar>
            <w:top w:w="0" w:type="dxa"/>
            <w:left w:w="108" w:type="dxa"/>
            <w:bottom w:w="0" w:type="dxa"/>
            <w:right w:w="108" w:type="dxa"/>
          </w:tblCellMar>
        </w:tblPrEx>
        <w:trPr>
          <w:jc w:val="center"/>
        </w:trPr>
        <w:tc>
          <w:tcPr>
            <w:tcW w:w="4144" w:type="dxa"/>
          </w:tcPr>
          <w:p w14:paraId="348A15DE">
            <w:pPr>
              <w:pStyle w:val="6"/>
              <w:spacing w:line="360" w:lineRule="auto"/>
              <w:ind w:firstLine="0"/>
              <w:rPr>
                <w:rFonts w:ascii="宋体" w:hAnsi="宋体" w:cs="宋体"/>
                <w:color w:val="auto"/>
                <w:szCs w:val="21"/>
                <w:highlight w:val="none"/>
              </w:rPr>
            </w:pPr>
          </w:p>
        </w:tc>
        <w:tc>
          <w:tcPr>
            <w:tcW w:w="240" w:type="dxa"/>
          </w:tcPr>
          <w:p w14:paraId="2EEB8943">
            <w:pPr>
              <w:pStyle w:val="6"/>
              <w:spacing w:line="360" w:lineRule="auto"/>
              <w:rPr>
                <w:rFonts w:ascii="宋体" w:hAnsi="宋体" w:cs="宋体"/>
                <w:color w:val="auto"/>
                <w:szCs w:val="21"/>
                <w:highlight w:val="none"/>
              </w:rPr>
            </w:pPr>
          </w:p>
        </w:tc>
        <w:tc>
          <w:tcPr>
            <w:tcW w:w="240" w:type="dxa"/>
          </w:tcPr>
          <w:p w14:paraId="09CDD832">
            <w:pPr>
              <w:pStyle w:val="6"/>
              <w:spacing w:line="360" w:lineRule="auto"/>
              <w:rPr>
                <w:rFonts w:ascii="宋体" w:hAnsi="宋体" w:cs="宋体"/>
                <w:color w:val="auto"/>
                <w:szCs w:val="21"/>
                <w:highlight w:val="none"/>
              </w:rPr>
            </w:pPr>
          </w:p>
        </w:tc>
        <w:tc>
          <w:tcPr>
            <w:tcW w:w="4121" w:type="dxa"/>
          </w:tcPr>
          <w:p w14:paraId="3F229E93">
            <w:pPr>
              <w:pStyle w:val="6"/>
              <w:spacing w:line="360" w:lineRule="auto"/>
              <w:ind w:firstLine="0"/>
              <w:rPr>
                <w:rFonts w:ascii="宋体" w:hAnsi="宋体" w:cs="宋体"/>
                <w:color w:val="auto"/>
                <w:szCs w:val="21"/>
                <w:highlight w:val="none"/>
                <w:u w:val="single"/>
              </w:rPr>
            </w:pPr>
            <w:r>
              <w:rPr>
                <w:rFonts w:hint="eastAsia" w:ascii="宋体" w:hAnsi="宋体" w:cs="宋体"/>
                <w:color w:val="auto"/>
                <w:szCs w:val="21"/>
                <w:highlight w:val="none"/>
              </w:rPr>
              <w:t xml:space="preserve">银行账号： </w:t>
            </w:r>
            <w:r>
              <w:rPr>
                <w:rFonts w:hint="eastAsia" w:ascii="宋体" w:hAnsi="宋体" w:cs="宋体"/>
                <w:color w:val="auto"/>
                <w:szCs w:val="21"/>
                <w:highlight w:val="none"/>
                <w:u w:val="single"/>
              </w:rPr>
              <w:t xml:space="preserve">                   </w:t>
            </w:r>
          </w:p>
        </w:tc>
      </w:tr>
      <w:tr w14:paraId="11D9756C">
        <w:tblPrEx>
          <w:tblCellMar>
            <w:top w:w="0" w:type="dxa"/>
            <w:left w:w="108" w:type="dxa"/>
            <w:bottom w:w="0" w:type="dxa"/>
            <w:right w:w="108" w:type="dxa"/>
          </w:tblCellMar>
        </w:tblPrEx>
        <w:trPr>
          <w:jc w:val="center"/>
        </w:trPr>
        <w:tc>
          <w:tcPr>
            <w:tcW w:w="4144" w:type="dxa"/>
          </w:tcPr>
          <w:p w14:paraId="32D33EA4">
            <w:pPr>
              <w:pStyle w:val="6"/>
              <w:spacing w:line="360" w:lineRule="auto"/>
              <w:ind w:firstLine="0"/>
              <w:rPr>
                <w:rFonts w:ascii="宋体" w:hAnsi="宋体" w:cs="宋体"/>
                <w:color w:val="auto"/>
                <w:szCs w:val="21"/>
                <w:highlight w:val="none"/>
              </w:rPr>
            </w:pPr>
          </w:p>
        </w:tc>
        <w:tc>
          <w:tcPr>
            <w:tcW w:w="240" w:type="dxa"/>
          </w:tcPr>
          <w:p w14:paraId="53534EDE">
            <w:pPr>
              <w:pStyle w:val="6"/>
              <w:spacing w:line="360" w:lineRule="auto"/>
              <w:rPr>
                <w:rFonts w:ascii="宋体" w:hAnsi="宋体" w:cs="宋体"/>
                <w:color w:val="auto"/>
                <w:szCs w:val="21"/>
                <w:highlight w:val="none"/>
              </w:rPr>
            </w:pPr>
          </w:p>
        </w:tc>
        <w:tc>
          <w:tcPr>
            <w:tcW w:w="240" w:type="dxa"/>
          </w:tcPr>
          <w:p w14:paraId="2FF0D622">
            <w:pPr>
              <w:pStyle w:val="6"/>
              <w:spacing w:line="360" w:lineRule="auto"/>
              <w:rPr>
                <w:rFonts w:ascii="宋体" w:hAnsi="宋体" w:cs="宋体"/>
                <w:color w:val="auto"/>
                <w:szCs w:val="21"/>
                <w:highlight w:val="none"/>
              </w:rPr>
            </w:pPr>
          </w:p>
        </w:tc>
        <w:tc>
          <w:tcPr>
            <w:tcW w:w="4121" w:type="dxa"/>
          </w:tcPr>
          <w:p w14:paraId="171CE2EF">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 xml:space="preserve">                     </w:t>
            </w:r>
          </w:p>
        </w:tc>
      </w:tr>
      <w:tr w14:paraId="1E5B9D53">
        <w:tblPrEx>
          <w:tblCellMar>
            <w:top w:w="0" w:type="dxa"/>
            <w:left w:w="108" w:type="dxa"/>
            <w:bottom w:w="0" w:type="dxa"/>
            <w:right w:w="108" w:type="dxa"/>
          </w:tblCellMar>
        </w:tblPrEx>
        <w:trPr>
          <w:jc w:val="center"/>
        </w:trPr>
        <w:tc>
          <w:tcPr>
            <w:tcW w:w="4144" w:type="dxa"/>
          </w:tcPr>
          <w:p w14:paraId="6D9B92E1">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地址：南宁市百花岭路6号</w:t>
            </w:r>
          </w:p>
        </w:tc>
        <w:tc>
          <w:tcPr>
            <w:tcW w:w="240" w:type="dxa"/>
          </w:tcPr>
          <w:p w14:paraId="2C75ABA2">
            <w:pPr>
              <w:pStyle w:val="6"/>
              <w:spacing w:line="360" w:lineRule="auto"/>
              <w:rPr>
                <w:rFonts w:ascii="宋体" w:hAnsi="宋体" w:cs="宋体"/>
                <w:color w:val="auto"/>
                <w:szCs w:val="21"/>
                <w:highlight w:val="none"/>
              </w:rPr>
            </w:pPr>
          </w:p>
        </w:tc>
        <w:tc>
          <w:tcPr>
            <w:tcW w:w="240" w:type="dxa"/>
          </w:tcPr>
          <w:p w14:paraId="0D43BE95">
            <w:pPr>
              <w:pStyle w:val="6"/>
              <w:spacing w:line="360" w:lineRule="auto"/>
              <w:rPr>
                <w:rFonts w:ascii="宋体" w:hAnsi="宋体" w:cs="宋体"/>
                <w:color w:val="auto"/>
                <w:szCs w:val="21"/>
                <w:highlight w:val="none"/>
              </w:rPr>
            </w:pPr>
          </w:p>
        </w:tc>
        <w:tc>
          <w:tcPr>
            <w:tcW w:w="4121" w:type="dxa"/>
          </w:tcPr>
          <w:p w14:paraId="53EFA3AE">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tc>
      </w:tr>
      <w:tr w14:paraId="0A0D9579">
        <w:tblPrEx>
          <w:tblCellMar>
            <w:top w:w="0" w:type="dxa"/>
            <w:left w:w="108" w:type="dxa"/>
            <w:bottom w:w="0" w:type="dxa"/>
            <w:right w:w="108" w:type="dxa"/>
          </w:tblCellMar>
        </w:tblPrEx>
        <w:trPr>
          <w:jc w:val="center"/>
        </w:trPr>
        <w:tc>
          <w:tcPr>
            <w:tcW w:w="4144" w:type="dxa"/>
          </w:tcPr>
          <w:p w14:paraId="3286BD19">
            <w:pPr>
              <w:pStyle w:val="6"/>
              <w:spacing w:line="360" w:lineRule="auto"/>
              <w:ind w:firstLine="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0771-</w:t>
            </w:r>
            <w:r>
              <w:rPr>
                <w:rFonts w:hint="eastAsia" w:ascii="宋体" w:hAnsi="宋体" w:cs="宋体"/>
                <w:color w:val="auto"/>
                <w:szCs w:val="21"/>
                <w:highlight w:val="none"/>
                <w:u w:val="single"/>
                <w:lang w:val="en-US" w:eastAsia="zh-CN"/>
              </w:rPr>
              <w:t>2841511</w:t>
            </w:r>
          </w:p>
        </w:tc>
        <w:tc>
          <w:tcPr>
            <w:tcW w:w="240" w:type="dxa"/>
          </w:tcPr>
          <w:p w14:paraId="2A91ACA6">
            <w:pPr>
              <w:pStyle w:val="6"/>
              <w:spacing w:line="360" w:lineRule="auto"/>
              <w:rPr>
                <w:rFonts w:ascii="宋体" w:hAnsi="宋体" w:cs="宋体"/>
                <w:color w:val="auto"/>
                <w:szCs w:val="21"/>
                <w:highlight w:val="none"/>
              </w:rPr>
            </w:pPr>
          </w:p>
        </w:tc>
        <w:tc>
          <w:tcPr>
            <w:tcW w:w="240" w:type="dxa"/>
          </w:tcPr>
          <w:p w14:paraId="304CBFF8">
            <w:pPr>
              <w:pStyle w:val="6"/>
              <w:spacing w:line="360" w:lineRule="auto"/>
              <w:rPr>
                <w:rFonts w:ascii="宋体" w:hAnsi="宋体" w:cs="宋体"/>
                <w:color w:val="auto"/>
                <w:szCs w:val="21"/>
                <w:highlight w:val="none"/>
              </w:rPr>
            </w:pPr>
          </w:p>
        </w:tc>
        <w:tc>
          <w:tcPr>
            <w:tcW w:w="4121" w:type="dxa"/>
          </w:tcPr>
          <w:p w14:paraId="3B384360">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tc>
      </w:tr>
      <w:tr w14:paraId="02FCA763">
        <w:tblPrEx>
          <w:tblCellMar>
            <w:top w:w="0" w:type="dxa"/>
            <w:left w:w="108" w:type="dxa"/>
            <w:bottom w:w="0" w:type="dxa"/>
            <w:right w:w="108" w:type="dxa"/>
          </w:tblCellMar>
        </w:tblPrEx>
        <w:trPr>
          <w:jc w:val="center"/>
        </w:trPr>
        <w:tc>
          <w:tcPr>
            <w:tcW w:w="4144" w:type="dxa"/>
          </w:tcPr>
          <w:p w14:paraId="40C4B0F3">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240" w:type="dxa"/>
          </w:tcPr>
          <w:p w14:paraId="3E1E1D34">
            <w:pPr>
              <w:pStyle w:val="6"/>
              <w:spacing w:line="360" w:lineRule="auto"/>
              <w:rPr>
                <w:rFonts w:ascii="宋体" w:hAnsi="宋体" w:cs="宋体"/>
                <w:color w:val="auto"/>
                <w:szCs w:val="21"/>
                <w:highlight w:val="none"/>
              </w:rPr>
            </w:pPr>
          </w:p>
        </w:tc>
        <w:tc>
          <w:tcPr>
            <w:tcW w:w="240" w:type="dxa"/>
          </w:tcPr>
          <w:p w14:paraId="3A36F96B">
            <w:pPr>
              <w:pStyle w:val="6"/>
              <w:spacing w:line="360" w:lineRule="auto"/>
              <w:rPr>
                <w:rFonts w:ascii="宋体" w:hAnsi="宋体" w:cs="宋体"/>
                <w:color w:val="auto"/>
                <w:szCs w:val="21"/>
                <w:highlight w:val="none"/>
              </w:rPr>
            </w:pPr>
          </w:p>
        </w:tc>
        <w:tc>
          <w:tcPr>
            <w:tcW w:w="4121" w:type="dxa"/>
          </w:tcPr>
          <w:p w14:paraId="0AAA8908">
            <w:pPr>
              <w:pStyle w:val="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2D425B50">
      <w:pPr>
        <w:spacing w:line="460" w:lineRule="exact"/>
        <w:rPr>
          <w:color w:val="auto"/>
          <w:highlight w:val="none"/>
        </w:rPr>
      </w:pPr>
    </w:p>
    <w:sectPr>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3094F01-AB3D-413C-BC39-32865F0F8E61}"/>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0D223F6-649E-4C90-AA75-F5ED27EC7E13}"/>
  </w:font>
  <w:font w:name="Courier New">
    <w:panose1 w:val="02070309020205020404"/>
    <w:charset w:val="01"/>
    <w:family w:val="modern"/>
    <w:pitch w:val="default"/>
    <w:sig w:usb0="E0002AFF" w:usb1="C0007843" w:usb2="00000009" w:usb3="00000000" w:csb0="400001FF" w:csb1="FFFF0000"/>
    <w:embedRegular r:id="rId3" w:fontKey="{315E1DE8-81A0-4B1C-9970-4C4ECC35D045}"/>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4531D728-0BEB-4C0C-9C82-E5083F904C25}"/>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5" w:fontKey="{18CA7600-863B-49C1-98B1-E833BCBA32BB}"/>
  </w:font>
  <w:font w:name="华文新魏">
    <w:altName w:val="宋体"/>
    <w:panose1 w:val="02010800040101010101"/>
    <w:charset w:val="86"/>
    <w:family w:val="auto"/>
    <w:pitch w:val="default"/>
    <w:sig w:usb0="00000000" w:usb1="00000000" w:usb2="00000000" w:usb3="00000000" w:csb0="00040000" w:csb1="00000000"/>
    <w:embedRegular r:id="rId6" w:fontKey="{75946824-8396-42F4-89E2-0907D064C9DE}"/>
  </w:font>
  <w:font w:name="楷体">
    <w:panose1 w:val="02010609060101010101"/>
    <w:charset w:val="86"/>
    <w:family w:val="modern"/>
    <w:pitch w:val="default"/>
    <w:sig w:usb0="800002BF" w:usb1="38CF7CFA" w:usb2="00000016" w:usb3="00000000" w:csb0="00040001" w:csb1="00000000"/>
    <w:embedRegular r:id="rId7" w:fontKey="{328513D9-2640-43E9-B5DD-838320FACE68}"/>
  </w:font>
  <w:font w:name="Wingdings 2">
    <w:altName w:val="Wingdings"/>
    <w:panose1 w:val="05020102010507070707"/>
    <w:charset w:val="02"/>
    <w:family w:val="auto"/>
    <w:pitch w:val="default"/>
    <w:sig w:usb0="00000000" w:usb1="00000000" w:usb2="00000000" w:usb3="00000000" w:csb0="80000000" w:csb1="00000000"/>
    <w:embedRegular r:id="rId8" w:fontKey="{52F74675-C1DD-4200-9209-38B26D75B869}"/>
  </w:font>
  <w:font w:name="Segoe UI Symbol">
    <w:panose1 w:val="020B0502040204020203"/>
    <w:charset w:val="00"/>
    <w:family w:val="swiss"/>
    <w:pitch w:val="default"/>
    <w:sig w:usb0="8000006F" w:usb1="1200FBEF" w:usb2="0064C000" w:usb3="00000002" w:csb0="00000001" w:csb1="40000000"/>
    <w:embedRegular r:id="rId9" w:fontKey="{ABFA53F0-4175-4E7D-8D21-040F43D5546E}"/>
  </w:font>
  <w:font w:name="微软雅黑">
    <w:panose1 w:val="020B0503020204020204"/>
    <w:charset w:val="86"/>
    <w:family w:val="swiss"/>
    <w:pitch w:val="default"/>
    <w:sig w:usb0="80000287" w:usb1="280F3C52" w:usb2="00000016" w:usb3="00000000" w:csb0="0004001F" w:csb1="00000000"/>
    <w:embedRegular r:id="rId10" w:fontKey="{33CE3167-9220-4CE9-8606-F43B9F76EC65}"/>
  </w:font>
  <w:font w:name="楷体_GB2312">
    <w:altName w:val="楷体"/>
    <w:panose1 w:val="02010609030101010101"/>
    <w:charset w:val="86"/>
    <w:family w:val="modern"/>
    <w:pitch w:val="default"/>
    <w:sig w:usb0="00000000" w:usb1="00000000" w:usb2="00000000" w:usb3="00000000" w:csb0="00040000" w:csb1="00000000"/>
    <w:embedRegular r:id="rId11" w:fontKey="{45C3C299-2BC2-4A40-8E9F-F156D6D57A44}"/>
  </w:font>
  <w:font w:name="@方正仿宋简体">
    <w:altName w:val="@SimSun-ExtB"/>
    <w:panose1 w:val="00000000000000000000"/>
    <w:charset w:val="86"/>
    <w:family w:val="auto"/>
    <w:pitch w:val="default"/>
    <w:sig w:usb0="00000000" w:usb1="00000000" w:usb2="00000012" w:usb3="00000000" w:csb0="00040001" w:csb1="00000000"/>
    <w:embedRegular r:id="rId12" w:fontKey="{E76C5938-30F8-4A9D-B908-3E2E41798456}"/>
  </w:font>
  <w:font w:name="@SimSun-ExtB">
    <w:panose1 w:val="02010609060101010101"/>
    <w:charset w:val="86"/>
    <w:family w:val="auto"/>
    <w:pitch w:val="default"/>
    <w:sig w:usb0="00000001" w:usb1="02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E1">
    <w:pPr>
      <w:pStyle w:val="20"/>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D8B57B2">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D8B57B2">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0C5BA4E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7110">
    <w:pPr>
      <w:pStyle w:val="2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C08BCD3"/>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4C08BCD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C22A">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0244F75">
                          <w:pPr>
                            <w:pStyle w:val="20"/>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30244F75">
                    <w:pPr>
                      <w:pStyle w:val="20"/>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2DA3A0E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51E9">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000EB20">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0000EB20">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E14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465">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36BB">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D9E0">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D281A"/>
    <w:multiLevelType w:val="singleLevel"/>
    <w:tmpl w:val="48DD281A"/>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2F5"/>
    <w:rsid w:val="0003117E"/>
    <w:rsid w:val="0003179F"/>
    <w:rsid w:val="000420F1"/>
    <w:rsid w:val="000442B2"/>
    <w:rsid w:val="00045203"/>
    <w:rsid w:val="000457AC"/>
    <w:rsid w:val="000578CA"/>
    <w:rsid w:val="00060B6C"/>
    <w:rsid w:val="00081C9B"/>
    <w:rsid w:val="00094D9C"/>
    <w:rsid w:val="00094DA1"/>
    <w:rsid w:val="000C509F"/>
    <w:rsid w:val="000C5B27"/>
    <w:rsid w:val="000D047C"/>
    <w:rsid w:val="000D0979"/>
    <w:rsid w:val="0010086F"/>
    <w:rsid w:val="001129BA"/>
    <w:rsid w:val="001205C9"/>
    <w:rsid w:val="0012137C"/>
    <w:rsid w:val="00142117"/>
    <w:rsid w:val="001469F3"/>
    <w:rsid w:val="00152D06"/>
    <w:rsid w:val="00153135"/>
    <w:rsid w:val="001539B0"/>
    <w:rsid w:val="00157C13"/>
    <w:rsid w:val="0016042A"/>
    <w:rsid w:val="00173BFA"/>
    <w:rsid w:val="00173D29"/>
    <w:rsid w:val="0017572B"/>
    <w:rsid w:val="001934CD"/>
    <w:rsid w:val="00195EA5"/>
    <w:rsid w:val="001A2F05"/>
    <w:rsid w:val="001B3836"/>
    <w:rsid w:val="001D4FF9"/>
    <w:rsid w:val="001F2E23"/>
    <w:rsid w:val="00200BA7"/>
    <w:rsid w:val="002061DC"/>
    <w:rsid w:val="0020630A"/>
    <w:rsid w:val="00231BE2"/>
    <w:rsid w:val="002440A9"/>
    <w:rsid w:val="00263E0B"/>
    <w:rsid w:val="00267E08"/>
    <w:rsid w:val="0027471E"/>
    <w:rsid w:val="00293C5F"/>
    <w:rsid w:val="002968F2"/>
    <w:rsid w:val="00297AB2"/>
    <w:rsid w:val="002A4834"/>
    <w:rsid w:val="002C267F"/>
    <w:rsid w:val="002C27BE"/>
    <w:rsid w:val="002E107C"/>
    <w:rsid w:val="002E70B1"/>
    <w:rsid w:val="002F045B"/>
    <w:rsid w:val="002F2376"/>
    <w:rsid w:val="002F38FC"/>
    <w:rsid w:val="002F44F7"/>
    <w:rsid w:val="003254D5"/>
    <w:rsid w:val="0033163E"/>
    <w:rsid w:val="00334216"/>
    <w:rsid w:val="00334AF5"/>
    <w:rsid w:val="00345BE0"/>
    <w:rsid w:val="00351793"/>
    <w:rsid w:val="00372A1B"/>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23E7"/>
    <w:rsid w:val="00403082"/>
    <w:rsid w:val="00404036"/>
    <w:rsid w:val="004045A3"/>
    <w:rsid w:val="004178E4"/>
    <w:rsid w:val="00422A3F"/>
    <w:rsid w:val="00441E5D"/>
    <w:rsid w:val="00443F38"/>
    <w:rsid w:val="004501C2"/>
    <w:rsid w:val="00460538"/>
    <w:rsid w:val="00460B41"/>
    <w:rsid w:val="004621D7"/>
    <w:rsid w:val="00474FE8"/>
    <w:rsid w:val="00477D0E"/>
    <w:rsid w:val="00480B8C"/>
    <w:rsid w:val="00493A57"/>
    <w:rsid w:val="004944ED"/>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316F1"/>
    <w:rsid w:val="005631DB"/>
    <w:rsid w:val="005667A8"/>
    <w:rsid w:val="005848D8"/>
    <w:rsid w:val="00595C3E"/>
    <w:rsid w:val="005A703B"/>
    <w:rsid w:val="005C4037"/>
    <w:rsid w:val="005C50D8"/>
    <w:rsid w:val="005D793E"/>
    <w:rsid w:val="005E0B09"/>
    <w:rsid w:val="005E358E"/>
    <w:rsid w:val="005F186A"/>
    <w:rsid w:val="00602F64"/>
    <w:rsid w:val="00607ACF"/>
    <w:rsid w:val="006103CF"/>
    <w:rsid w:val="00621B16"/>
    <w:rsid w:val="00631F41"/>
    <w:rsid w:val="00634D55"/>
    <w:rsid w:val="00651A8D"/>
    <w:rsid w:val="00662702"/>
    <w:rsid w:val="00686B94"/>
    <w:rsid w:val="00690F7A"/>
    <w:rsid w:val="006B1B34"/>
    <w:rsid w:val="006C49C6"/>
    <w:rsid w:val="006C5D12"/>
    <w:rsid w:val="006C7F9A"/>
    <w:rsid w:val="006D0252"/>
    <w:rsid w:val="006D684C"/>
    <w:rsid w:val="006F0B25"/>
    <w:rsid w:val="007117C0"/>
    <w:rsid w:val="0071764B"/>
    <w:rsid w:val="007337EE"/>
    <w:rsid w:val="00740D49"/>
    <w:rsid w:val="00747F79"/>
    <w:rsid w:val="00753BC2"/>
    <w:rsid w:val="00754D96"/>
    <w:rsid w:val="007801C8"/>
    <w:rsid w:val="007878EF"/>
    <w:rsid w:val="00794272"/>
    <w:rsid w:val="007A0403"/>
    <w:rsid w:val="007B496E"/>
    <w:rsid w:val="007B49F9"/>
    <w:rsid w:val="007B7BDB"/>
    <w:rsid w:val="007B7D09"/>
    <w:rsid w:val="007C079F"/>
    <w:rsid w:val="007C1337"/>
    <w:rsid w:val="007C65FB"/>
    <w:rsid w:val="007D0550"/>
    <w:rsid w:val="007D3C00"/>
    <w:rsid w:val="007D7DD1"/>
    <w:rsid w:val="007F6E4B"/>
    <w:rsid w:val="0080016A"/>
    <w:rsid w:val="008002FC"/>
    <w:rsid w:val="00805771"/>
    <w:rsid w:val="0082505C"/>
    <w:rsid w:val="0084180D"/>
    <w:rsid w:val="00844347"/>
    <w:rsid w:val="008501B1"/>
    <w:rsid w:val="00866E66"/>
    <w:rsid w:val="00866F98"/>
    <w:rsid w:val="0087375F"/>
    <w:rsid w:val="00884A9F"/>
    <w:rsid w:val="008A3DE0"/>
    <w:rsid w:val="008B2231"/>
    <w:rsid w:val="008D484B"/>
    <w:rsid w:val="008E55CC"/>
    <w:rsid w:val="008E67E5"/>
    <w:rsid w:val="008F4C27"/>
    <w:rsid w:val="008F7ED2"/>
    <w:rsid w:val="00904C99"/>
    <w:rsid w:val="009064F3"/>
    <w:rsid w:val="00921552"/>
    <w:rsid w:val="00927668"/>
    <w:rsid w:val="00931421"/>
    <w:rsid w:val="0094048F"/>
    <w:rsid w:val="00943B3A"/>
    <w:rsid w:val="00952222"/>
    <w:rsid w:val="00953F4B"/>
    <w:rsid w:val="00970EA2"/>
    <w:rsid w:val="00977A1B"/>
    <w:rsid w:val="009818D3"/>
    <w:rsid w:val="00982078"/>
    <w:rsid w:val="00985C0D"/>
    <w:rsid w:val="00991454"/>
    <w:rsid w:val="009A415F"/>
    <w:rsid w:val="009A5299"/>
    <w:rsid w:val="009A56AB"/>
    <w:rsid w:val="009B2CDD"/>
    <w:rsid w:val="009D38FD"/>
    <w:rsid w:val="009F1EC5"/>
    <w:rsid w:val="00A02FD8"/>
    <w:rsid w:val="00A156CE"/>
    <w:rsid w:val="00A35716"/>
    <w:rsid w:val="00A60E40"/>
    <w:rsid w:val="00A613B3"/>
    <w:rsid w:val="00A61526"/>
    <w:rsid w:val="00A64ADF"/>
    <w:rsid w:val="00A64C47"/>
    <w:rsid w:val="00A6638C"/>
    <w:rsid w:val="00A74E39"/>
    <w:rsid w:val="00A832C6"/>
    <w:rsid w:val="00A835EA"/>
    <w:rsid w:val="00A87624"/>
    <w:rsid w:val="00A96DE4"/>
    <w:rsid w:val="00AB0ADF"/>
    <w:rsid w:val="00AB6EDD"/>
    <w:rsid w:val="00AF0270"/>
    <w:rsid w:val="00AF4F86"/>
    <w:rsid w:val="00AF58FE"/>
    <w:rsid w:val="00B005E9"/>
    <w:rsid w:val="00B0462D"/>
    <w:rsid w:val="00B079C7"/>
    <w:rsid w:val="00B144BD"/>
    <w:rsid w:val="00B24C49"/>
    <w:rsid w:val="00B36033"/>
    <w:rsid w:val="00B409A4"/>
    <w:rsid w:val="00B64E15"/>
    <w:rsid w:val="00B83EF6"/>
    <w:rsid w:val="00B87354"/>
    <w:rsid w:val="00B92192"/>
    <w:rsid w:val="00BA4700"/>
    <w:rsid w:val="00BA4D5C"/>
    <w:rsid w:val="00BB2CB9"/>
    <w:rsid w:val="00BB4AF3"/>
    <w:rsid w:val="00BC01AC"/>
    <w:rsid w:val="00BE0B56"/>
    <w:rsid w:val="00BE3E5C"/>
    <w:rsid w:val="00BF2089"/>
    <w:rsid w:val="00C0189B"/>
    <w:rsid w:val="00C079C0"/>
    <w:rsid w:val="00C07EA8"/>
    <w:rsid w:val="00C07FBD"/>
    <w:rsid w:val="00C1382C"/>
    <w:rsid w:val="00C22AB7"/>
    <w:rsid w:val="00C31789"/>
    <w:rsid w:val="00C32BBF"/>
    <w:rsid w:val="00C420F1"/>
    <w:rsid w:val="00C476EB"/>
    <w:rsid w:val="00C53EE4"/>
    <w:rsid w:val="00C54288"/>
    <w:rsid w:val="00C71884"/>
    <w:rsid w:val="00C73234"/>
    <w:rsid w:val="00C75246"/>
    <w:rsid w:val="00C75F53"/>
    <w:rsid w:val="00C765AF"/>
    <w:rsid w:val="00C81DBB"/>
    <w:rsid w:val="00C93EB7"/>
    <w:rsid w:val="00C95168"/>
    <w:rsid w:val="00CB1FAB"/>
    <w:rsid w:val="00CB22E9"/>
    <w:rsid w:val="00CD4088"/>
    <w:rsid w:val="00CE2C5B"/>
    <w:rsid w:val="00D01D5F"/>
    <w:rsid w:val="00D03049"/>
    <w:rsid w:val="00D208C5"/>
    <w:rsid w:val="00D22E16"/>
    <w:rsid w:val="00D32121"/>
    <w:rsid w:val="00D33AC2"/>
    <w:rsid w:val="00D355A7"/>
    <w:rsid w:val="00D35C7C"/>
    <w:rsid w:val="00D4584F"/>
    <w:rsid w:val="00D5541A"/>
    <w:rsid w:val="00D62EDF"/>
    <w:rsid w:val="00D6600A"/>
    <w:rsid w:val="00D72960"/>
    <w:rsid w:val="00D739AB"/>
    <w:rsid w:val="00D81247"/>
    <w:rsid w:val="00D8326F"/>
    <w:rsid w:val="00D861D2"/>
    <w:rsid w:val="00D86669"/>
    <w:rsid w:val="00D97F07"/>
    <w:rsid w:val="00DA0395"/>
    <w:rsid w:val="00DA7057"/>
    <w:rsid w:val="00DB3B9B"/>
    <w:rsid w:val="00DB64EC"/>
    <w:rsid w:val="00DC0480"/>
    <w:rsid w:val="00DC423D"/>
    <w:rsid w:val="00DD7BED"/>
    <w:rsid w:val="00DE3FFD"/>
    <w:rsid w:val="00DE68E0"/>
    <w:rsid w:val="00DF13CA"/>
    <w:rsid w:val="00DF7D9E"/>
    <w:rsid w:val="00E06115"/>
    <w:rsid w:val="00E169C5"/>
    <w:rsid w:val="00E34CE1"/>
    <w:rsid w:val="00E460F5"/>
    <w:rsid w:val="00E50738"/>
    <w:rsid w:val="00E835F7"/>
    <w:rsid w:val="00E913B1"/>
    <w:rsid w:val="00EA0422"/>
    <w:rsid w:val="00EA4104"/>
    <w:rsid w:val="00EA5DFD"/>
    <w:rsid w:val="00EB4AE1"/>
    <w:rsid w:val="00EC575C"/>
    <w:rsid w:val="00ED49C5"/>
    <w:rsid w:val="00ED6F5F"/>
    <w:rsid w:val="00EE765E"/>
    <w:rsid w:val="00F049E0"/>
    <w:rsid w:val="00F07501"/>
    <w:rsid w:val="00F22140"/>
    <w:rsid w:val="00F34120"/>
    <w:rsid w:val="00F365C1"/>
    <w:rsid w:val="00F42F1E"/>
    <w:rsid w:val="00F5113C"/>
    <w:rsid w:val="00F521F0"/>
    <w:rsid w:val="00F61B4E"/>
    <w:rsid w:val="00F7304C"/>
    <w:rsid w:val="00F805AC"/>
    <w:rsid w:val="00F84E58"/>
    <w:rsid w:val="00F86199"/>
    <w:rsid w:val="00FD3202"/>
    <w:rsid w:val="00FD6FD5"/>
    <w:rsid w:val="00FE00D4"/>
    <w:rsid w:val="00FF3755"/>
    <w:rsid w:val="0DDF463D"/>
    <w:rsid w:val="0EB4443F"/>
    <w:rsid w:val="0F0C223F"/>
    <w:rsid w:val="1672615E"/>
    <w:rsid w:val="1D632D9C"/>
    <w:rsid w:val="23061C85"/>
    <w:rsid w:val="244737BE"/>
    <w:rsid w:val="27A54179"/>
    <w:rsid w:val="28331DFE"/>
    <w:rsid w:val="2C7311B3"/>
    <w:rsid w:val="47B944B8"/>
    <w:rsid w:val="49DE7B2F"/>
    <w:rsid w:val="4CE27766"/>
    <w:rsid w:val="57BA0D01"/>
    <w:rsid w:val="62127D3F"/>
    <w:rsid w:val="672E1BAB"/>
    <w:rsid w:val="67E94DF6"/>
    <w:rsid w:val="747A10E6"/>
    <w:rsid w:val="781B04EB"/>
    <w:rsid w:val="79830F71"/>
    <w:rsid w:val="7D01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39"/>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0"/>
    <w:qFormat/>
    <w:uiPriority w:val="9"/>
    <w:pPr>
      <w:keepNext/>
      <w:keepLines/>
      <w:spacing w:before="280" w:after="290" w:line="376" w:lineRule="auto"/>
      <w:outlineLvl w:val="4"/>
    </w:pPr>
    <w:rPr>
      <w:b/>
      <w:bCs/>
      <w:sz w:val="28"/>
      <w:szCs w:val="28"/>
    </w:rPr>
  </w:style>
  <w:style w:type="paragraph" w:styleId="7">
    <w:name w:val="heading 7"/>
    <w:basedOn w:val="1"/>
    <w:next w:val="1"/>
    <w:link w:val="41"/>
    <w:qFormat/>
    <w:uiPriority w:val="0"/>
    <w:pPr>
      <w:keepNext/>
      <w:keepLines/>
      <w:spacing w:before="240" w:after="64" w:line="320" w:lineRule="auto"/>
      <w:outlineLvl w:val="6"/>
    </w:pPr>
    <w:rPr>
      <w:b/>
      <w:bCs/>
      <w:sz w:val="24"/>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7"/>
    <w:qFormat/>
    <w:uiPriority w:val="0"/>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link w:val="44"/>
    <w:unhideWhenUsed/>
    <w:qFormat/>
    <w:uiPriority w:val="0"/>
    <w:pPr>
      <w:spacing w:after="120"/>
    </w:pPr>
  </w:style>
  <w:style w:type="paragraph" w:styleId="14">
    <w:name w:val="Body Text Indent"/>
    <w:basedOn w:val="1"/>
    <w:link w:val="49"/>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51"/>
    <w:qFormat/>
    <w:uiPriority w:val="0"/>
    <w:rPr>
      <w:rFonts w:ascii="宋体" w:hAnsi="Courier New"/>
      <w:kern w:val="0"/>
      <w:sz w:val="20"/>
      <w:szCs w:val="21"/>
    </w:rPr>
  </w:style>
  <w:style w:type="paragraph" w:styleId="17">
    <w:name w:val="Date"/>
    <w:basedOn w:val="1"/>
    <w:next w:val="1"/>
    <w:link w:val="52"/>
    <w:unhideWhenUsed/>
    <w:qFormat/>
    <w:uiPriority w:val="99"/>
    <w:pPr>
      <w:ind w:left="100" w:leftChars="2500"/>
    </w:pPr>
  </w:style>
  <w:style w:type="paragraph" w:styleId="18">
    <w:name w:val="Body Text Indent 2"/>
    <w:basedOn w:val="1"/>
    <w:link w:val="83"/>
    <w:semiHidden/>
    <w:unhideWhenUsed/>
    <w:qFormat/>
    <w:uiPriority w:val="99"/>
    <w:pPr>
      <w:spacing w:after="120" w:line="480" w:lineRule="auto"/>
      <w:ind w:left="420" w:leftChars="200"/>
    </w:pPr>
  </w:style>
  <w:style w:type="paragraph" w:styleId="19">
    <w:name w:val="Balloon Text"/>
    <w:basedOn w:val="1"/>
    <w:link w:val="53"/>
    <w:semiHidden/>
    <w:qFormat/>
    <w:uiPriority w:val="0"/>
    <w:rPr>
      <w:sz w:val="18"/>
      <w:szCs w:val="18"/>
    </w:rPr>
  </w:style>
  <w:style w:type="paragraph" w:styleId="20">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1">
    <w:name w:val="header"/>
    <w:basedOn w:val="1"/>
    <w:link w:val="3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2">
    <w:name w:val="toc 1"/>
    <w:basedOn w:val="1"/>
    <w:next w:val="1"/>
    <w:unhideWhenUsed/>
    <w:qFormat/>
    <w:uiPriority w:val="39"/>
  </w:style>
  <w:style w:type="paragraph" w:styleId="23">
    <w:name w:val="footnote text"/>
    <w:basedOn w:val="1"/>
    <w:link w:val="82"/>
    <w:unhideWhenUsed/>
    <w:qFormat/>
    <w:uiPriority w:val="99"/>
    <w:pPr>
      <w:snapToGrid w:val="0"/>
      <w:jc w:val="left"/>
    </w:pPr>
    <w:rPr>
      <w:sz w:val="18"/>
      <w:szCs w:val="18"/>
    </w:r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rPr>
      <w:rFonts w:ascii="Calibri" w:hAnsi="Calibri"/>
      <w:kern w:val="0"/>
      <w:sz w:val="24"/>
    </w:rPr>
  </w:style>
  <w:style w:type="paragraph" w:styleId="26">
    <w:name w:val="Title"/>
    <w:basedOn w:val="1"/>
    <w:next w:val="1"/>
    <w:link w:val="45"/>
    <w:qFormat/>
    <w:uiPriority w:val="0"/>
    <w:pPr>
      <w:spacing w:before="240" w:after="60"/>
      <w:jc w:val="center"/>
      <w:outlineLvl w:val="0"/>
    </w:pPr>
    <w:rPr>
      <w:rFonts w:ascii="Arial" w:hAnsi="Arial" w:cs="Arial"/>
      <w:b/>
      <w:bCs/>
      <w:sz w:val="32"/>
      <w:szCs w:val="32"/>
    </w:rPr>
  </w:style>
  <w:style w:type="paragraph" w:styleId="27">
    <w:name w:val="annotation subject"/>
    <w:basedOn w:val="11"/>
    <w:next w:val="11"/>
    <w:link w:val="54"/>
    <w:qFormat/>
    <w:uiPriority w:val="99"/>
    <w:rPr>
      <w:b/>
      <w:bCs/>
    </w:rPr>
  </w:style>
  <w:style w:type="paragraph" w:styleId="28">
    <w:name w:val="Body Text First Indent 2"/>
    <w:basedOn w:val="14"/>
    <w:next w:val="1"/>
    <w:link w:val="55"/>
    <w:qFormat/>
    <w:uiPriority w:val="99"/>
    <w:pPr>
      <w:ind w:firstLine="420" w:firstLineChars="200"/>
    </w:pPr>
    <w:rPr>
      <w:rFonts w:ascii="宋体" w:hAnsi="Courier New"/>
      <w:spacing w:val="-4"/>
      <w:sz w:val="18"/>
    </w:rPr>
  </w:style>
  <w:style w:type="table" w:styleId="30">
    <w:name w:val="Table Grid"/>
    <w:basedOn w:val="2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页眉 字符"/>
    <w:basedOn w:val="31"/>
    <w:link w:val="21"/>
    <w:qFormat/>
    <w:uiPriority w:val="99"/>
    <w:rPr>
      <w:sz w:val="18"/>
      <w:szCs w:val="18"/>
    </w:rPr>
  </w:style>
  <w:style w:type="character" w:customStyle="1" w:styleId="36">
    <w:name w:val="页脚 字符"/>
    <w:basedOn w:val="31"/>
    <w:link w:val="20"/>
    <w:qFormat/>
    <w:uiPriority w:val="99"/>
    <w:rPr>
      <w:sz w:val="18"/>
      <w:szCs w:val="18"/>
    </w:rPr>
  </w:style>
  <w:style w:type="character" w:customStyle="1" w:styleId="37">
    <w:name w:val="标题 1 字符"/>
    <w:basedOn w:val="31"/>
    <w:link w:val="2"/>
    <w:qFormat/>
    <w:uiPriority w:val="9"/>
    <w:rPr>
      <w:rFonts w:ascii="Times New Roman" w:hAnsi="Times New Roman" w:eastAsia="宋体" w:cs="Times New Roman"/>
      <w:b/>
      <w:bCs/>
      <w:kern w:val="44"/>
      <w:sz w:val="44"/>
      <w:szCs w:val="44"/>
    </w:rPr>
  </w:style>
  <w:style w:type="character" w:customStyle="1" w:styleId="38">
    <w:name w:val="标题 2 字符"/>
    <w:basedOn w:val="31"/>
    <w:link w:val="3"/>
    <w:qFormat/>
    <w:uiPriority w:val="0"/>
    <w:rPr>
      <w:rFonts w:ascii="Cambria" w:hAnsi="Cambria" w:eastAsia="宋体" w:cs="Times New Roman"/>
      <w:b/>
      <w:bCs/>
      <w:sz w:val="32"/>
      <w:szCs w:val="32"/>
    </w:rPr>
  </w:style>
  <w:style w:type="character" w:customStyle="1" w:styleId="39">
    <w:name w:val="标题 4 字符"/>
    <w:basedOn w:val="31"/>
    <w:link w:val="4"/>
    <w:qFormat/>
    <w:uiPriority w:val="0"/>
    <w:rPr>
      <w:rFonts w:ascii="Arial" w:hAnsi="Times New Roman" w:eastAsia="黑体" w:cs="Times New Roman"/>
      <w:kern w:val="0"/>
      <w:sz w:val="28"/>
      <w:szCs w:val="20"/>
    </w:rPr>
  </w:style>
  <w:style w:type="character" w:customStyle="1" w:styleId="40">
    <w:name w:val="标题 5 字符"/>
    <w:basedOn w:val="31"/>
    <w:link w:val="5"/>
    <w:qFormat/>
    <w:uiPriority w:val="9"/>
    <w:rPr>
      <w:rFonts w:ascii="Times New Roman" w:hAnsi="Times New Roman" w:eastAsia="宋体" w:cs="Times New Roman"/>
      <w:b/>
      <w:bCs/>
      <w:sz w:val="28"/>
      <w:szCs w:val="28"/>
    </w:rPr>
  </w:style>
  <w:style w:type="character" w:customStyle="1" w:styleId="41">
    <w:name w:val="标题 7 字符"/>
    <w:basedOn w:val="31"/>
    <w:link w:val="7"/>
    <w:qFormat/>
    <w:uiPriority w:val="0"/>
    <w:rPr>
      <w:rFonts w:ascii="Times New Roman" w:hAnsi="Times New Roman" w:eastAsia="宋体" w:cs="Times New Roman"/>
      <w:b/>
      <w:bCs/>
      <w:sz w:val="24"/>
      <w:szCs w:val="24"/>
    </w:rPr>
  </w:style>
  <w:style w:type="character" w:customStyle="1" w:styleId="42">
    <w:name w:val="标题 8 字符"/>
    <w:basedOn w:val="31"/>
    <w:link w:val="8"/>
    <w:qFormat/>
    <w:uiPriority w:val="9"/>
    <w:rPr>
      <w:rFonts w:ascii="等线 Light" w:hAnsi="等线 Light" w:eastAsia="等线 Light" w:cs="Times New Roman"/>
      <w:sz w:val="24"/>
      <w:szCs w:val="24"/>
    </w:rPr>
  </w:style>
  <w:style w:type="character" w:customStyle="1" w:styleId="43">
    <w:name w:val="正文文本 字符"/>
    <w:basedOn w:val="31"/>
    <w:qFormat/>
    <w:uiPriority w:val="0"/>
    <w:rPr>
      <w:rFonts w:ascii="Times New Roman" w:hAnsi="Times New Roman" w:eastAsia="宋体" w:cs="Times New Roman"/>
      <w:szCs w:val="24"/>
    </w:rPr>
  </w:style>
  <w:style w:type="character" w:customStyle="1" w:styleId="44">
    <w:name w:val="正文文本 字符1"/>
    <w:link w:val="13"/>
    <w:qFormat/>
    <w:uiPriority w:val="0"/>
    <w:rPr>
      <w:rFonts w:ascii="Times New Roman" w:hAnsi="Times New Roman" w:eastAsia="宋体" w:cs="Times New Roman"/>
      <w:szCs w:val="24"/>
    </w:rPr>
  </w:style>
  <w:style w:type="character" w:customStyle="1" w:styleId="45">
    <w:name w:val="标题 字符"/>
    <w:basedOn w:val="31"/>
    <w:link w:val="26"/>
    <w:qFormat/>
    <w:uiPriority w:val="0"/>
    <w:rPr>
      <w:rFonts w:ascii="Arial" w:hAnsi="Arial" w:eastAsia="宋体" w:cs="Arial"/>
      <w:b/>
      <w:bCs/>
      <w:sz w:val="32"/>
      <w:szCs w:val="32"/>
    </w:rPr>
  </w:style>
  <w:style w:type="character" w:customStyle="1" w:styleId="46">
    <w:name w:val="批注文字 字符"/>
    <w:basedOn w:val="31"/>
    <w:qFormat/>
    <w:uiPriority w:val="0"/>
    <w:rPr>
      <w:rFonts w:ascii="Times New Roman" w:hAnsi="Times New Roman" w:eastAsia="宋体" w:cs="Times New Roman"/>
      <w:szCs w:val="24"/>
    </w:rPr>
  </w:style>
  <w:style w:type="character" w:customStyle="1" w:styleId="47">
    <w:name w:val="批注文字 字符2"/>
    <w:link w:val="11"/>
    <w:qFormat/>
    <w:uiPriority w:val="0"/>
    <w:rPr>
      <w:rFonts w:ascii="Times New Roman" w:hAnsi="Times New Roman" w:eastAsia="宋体" w:cs="Times New Roman"/>
      <w:szCs w:val="24"/>
    </w:rPr>
  </w:style>
  <w:style w:type="character" w:customStyle="1" w:styleId="48">
    <w:name w:val="正文文本 3 字符"/>
    <w:basedOn w:val="31"/>
    <w:link w:val="12"/>
    <w:qFormat/>
    <w:uiPriority w:val="99"/>
    <w:rPr>
      <w:rFonts w:ascii="Times New Roman" w:hAnsi="Times New Roman" w:eastAsia="宋体" w:cs="Times New Roman"/>
      <w:sz w:val="16"/>
      <w:szCs w:val="16"/>
    </w:rPr>
  </w:style>
  <w:style w:type="character" w:customStyle="1" w:styleId="49">
    <w:name w:val="正文文本缩进 字符"/>
    <w:basedOn w:val="31"/>
    <w:link w:val="14"/>
    <w:qFormat/>
    <w:uiPriority w:val="0"/>
    <w:rPr>
      <w:rFonts w:ascii="仿宋_GB2312" w:hAnsi="Times New Roman" w:eastAsia="仿宋_GB2312" w:cs="Times New Roman"/>
      <w:kern w:val="0"/>
      <w:sz w:val="32"/>
      <w:szCs w:val="20"/>
    </w:rPr>
  </w:style>
  <w:style w:type="character" w:customStyle="1" w:styleId="50">
    <w:name w:val="纯文本 字符"/>
    <w:basedOn w:val="31"/>
    <w:qFormat/>
    <w:uiPriority w:val="0"/>
    <w:rPr>
      <w:rFonts w:hAnsi="Courier New" w:cs="Courier New" w:asciiTheme="minorEastAsia"/>
      <w:szCs w:val="24"/>
    </w:rPr>
  </w:style>
  <w:style w:type="character" w:customStyle="1" w:styleId="51">
    <w:name w:val="纯文本 字符3"/>
    <w:link w:val="16"/>
    <w:qFormat/>
    <w:uiPriority w:val="0"/>
    <w:rPr>
      <w:rFonts w:ascii="宋体" w:hAnsi="Courier New" w:eastAsia="宋体" w:cs="Times New Roman"/>
      <w:kern w:val="0"/>
      <w:sz w:val="20"/>
      <w:szCs w:val="21"/>
    </w:rPr>
  </w:style>
  <w:style w:type="character" w:customStyle="1" w:styleId="52">
    <w:name w:val="日期 字符"/>
    <w:basedOn w:val="31"/>
    <w:link w:val="17"/>
    <w:qFormat/>
    <w:uiPriority w:val="99"/>
    <w:rPr>
      <w:rFonts w:ascii="Times New Roman" w:hAnsi="Times New Roman" w:eastAsia="宋体" w:cs="Times New Roman"/>
      <w:szCs w:val="24"/>
    </w:rPr>
  </w:style>
  <w:style w:type="character" w:customStyle="1" w:styleId="53">
    <w:name w:val="批注框文本 字符"/>
    <w:basedOn w:val="31"/>
    <w:link w:val="19"/>
    <w:semiHidden/>
    <w:qFormat/>
    <w:uiPriority w:val="0"/>
    <w:rPr>
      <w:rFonts w:ascii="Times New Roman" w:hAnsi="Times New Roman" w:eastAsia="宋体" w:cs="Times New Roman"/>
      <w:sz w:val="18"/>
      <w:szCs w:val="18"/>
    </w:rPr>
  </w:style>
  <w:style w:type="character" w:customStyle="1" w:styleId="54">
    <w:name w:val="批注主题 字符"/>
    <w:basedOn w:val="46"/>
    <w:link w:val="27"/>
    <w:qFormat/>
    <w:uiPriority w:val="99"/>
    <w:rPr>
      <w:rFonts w:ascii="Times New Roman" w:hAnsi="Times New Roman" w:eastAsia="宋体" w:cs="Times New Roman"/>
      <w:b/>
      <w:bCs/>
      <w:szCs w:val="24"/>
    </w:rPr>
  </w:style>
  <w:style w:type="character" w:customStyle="1" w:styleId="55">
    <w:name w:val="正文文本首行缩进 2 字符"/>
    <w:basedOn w:val="49"/>
    <w:link w:val="28"/>
    <w:qFormat/>
    <w:uiPriority w:val="99"/>
    <w:rPr>
      <w:rFonts w:ascii="宋体" w:hAnsi="Courier New" w:eastAsia="仿宋_GB2312" w:cs="Times New Roman"/>
      <w:spacing w:val="-4"/>
      <w:kern w:val="0"/>
      <w:sz w:val="18"/>
      <w:szCs w:val="20"/>
    </w:rPr>
  </w:style>
  <w:style w:type="character" w:customStyle="1" w:styleId="56">
    <w:name w:val="纯文本 字符1"/>
    <w:qFormat/>
    <w:uiPriority w:val="0"/>
    <w:rPr>
      <w:rFonts w:ascii="宋体" w:hAnsi="Courier New"/>
    </w:rPr>
  </w:style>
  <w:style w:type="character" w:customStyle="1" w:styleId="57">
    <w:name w:val="正文文本 Char"/>
    <w:qFormat/>
    <w:uiPriority w:val="0"/>
    <w:rPr>
      <w:rFonts w:ascii="Times New Roman" w:hAnsi="Times New Roman"/>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批注文字 Char"/>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textcontents"/>
    <w:qFormat/>
    <w:uiPriority w:val="0"/>
  </w:style>
  <w:style w:type="character" w:customStyle="1" w:styleId="63">
    <w:name w:val="标题 1 字符1"/>
    <w:qFormat/>
    <w:uiPriority w:val="0"/>
    <w:rPr>
      <w:b/>
      <w:bCs/>
      <w:kern w:val="44"/>
      <w:sz w:val="44"/>
      <w:szCs w:val="44"/>
    </w:rPr>
  </w:style>
  <w:style w:type="character" w:customStyle="1" w:styleId="64">
    <w:name w:val="批注文字 Char2"/>
    <w:qFormat/>
    <w:uiPriority w:val="0"/>
    <w:rPr>
      <w:rFonts w:ascii="Times New Roman" w:hAnsi="Times New Roman"/>
      <w:kern w:val="2"/>
      <w:sz w:val="21"/>
      <w:szCs w:val="24"/>
    </w:rPr>
  </w:style>
  <w:style w:type="character" w:customStyle="1" w:styleId="65">
    <w:name w:val="标题 2 Char"/>
    <w:qFormat/>
    <w:uiPriority w:val="0"/>
    <w:rPr>
      <w:rFonts w:ascii="Cambria" w:hAnsi="Cambria" w:eastAsia="宋体" w:cs="Times New Roman"/>
      <w:b/>
      <w:bCs/>
      <w:kern w:val="2"/>
      <w:sz w:val="32"/>
      <w:szCs w:val="32"/>
    </w:rPr>
  </w:style>
  <w:style w:type="character" w:customStyle="1" w:styleId="66">
    <w:name w:val="纯文本 Char"/>
    <w:qFormat/>
    <w:uiPriority w:val="0"/>
    <w:rPr>
      <w:rFonts w:ascii="宋体" w:hAnsi="Courier New" w:eastAsia="宋体" w:cs="Courier New"/>
      <w:szCs w:val="21"/>
    </w:rPr>
  </w:style>
  <w:style w:type="character" w:customStyle="1" w:styleId="67">
    <w:name w:val="标题 8 Char"/>
    <w:qFormat/>
    <w:uiPriority w:val="0"/>
    <w:rPr>
      <w:rFonts w:ascii="Arial" w:hAnsi="Arial" w:eastAsia="黑体"/>
      <w:kern w:val="2"/>
      <w:sz w:val="24"/>
      <w:szCs w:val="24"/>
    </w:rPr>
  </w:style>
  <w:style w:type="character" w:customStyle="1" w:styleId="68">
    <w:name w:val="font51"/>
    <w:qFormat/>
    <w:uiPriority w:val="0"/>
    <w:rPr>
      <w:rFonts w:hint="default" w:ascii="Times New Roman" w:hAnsi="Times New Roman" w:cs="Times New Roman"/>
      <w:b/>
      <w:color w:val="000000"/>
      <w:sz w:val="18"/>
      <w:szCs w:val="18"/>
      <w:u w:val="none"/>
    </w:rPr>
  </w:style>
  <w:style w:type="character" w:customStyle="1" w:styleId="69">
    <w:name w:val="批注文字 字符1"/>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73">
    <w:name w:val="Title1"/>
    <w:basedOn w:val="1"/>
    <w:next w:val="1"/>
    <w:qFormat/>
    <w:uiPriority w:val="0"/>
    <w:pPr>
      <w:jc w:val="center"/>
      <w:outlineLvl w:val="0"/>
    </w:pPr>
    <w:rPr>
      <w:rFonts w:ascii="Calibri Light" w:hAnsi="Calibri Light" w:eastAsia="Arial Unicode MS"/>
      <w:b/>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样式 0正文 + 首行缩进:  2 字符1"/>
    <w:basedOn w:val="1"/>
    <w:qFormat/>
    <w:uiPriority w:val="99"/>
    <w:pPr>
      <w:spacing w:line="360" w:lineRule="auto"/>
      <w:ind w:firstLine="200" w:firstLineChars="200"/>
    </w:pPr>
    <w:rPr>
      <w:szCs w:val="20"/>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my正文"/>
    <w:basedOn w:val="1"/>
    <w:link w:val="80"/>
    <w:qFormat/>
    <w:uiPriority w:val="0"/>
    <w:pPr>
      <w:spacing w:line="360" w:lineRule="auto"/>
      <w:ind w:firstLine="480" w:firstLineChars="200"/>
    </w:pPr>
    <w:rPr>
      <w:sz w:val="24"/>
      <w:lang w:val="zh-CN"/>
    </w:rPr>
  </w:style>
  <w:style w:type="character" w:customStyle="1" w:styleId="80">
    <w:name w:val="my正文 Char"/>
    <w:link w:val="79"/>
    <w:qFormat/>
    <w:uiPriority w:val="0"/>
    <w:rPr>
      <w:rFonts w:ascii="Times New Roman" w:hAnsi="Times New Roman" w:eastAsia="宋体" w:cs="Times New Roman"/>
      <w:sz w:val="24"/>
      <w:szCs w:val="24"/>
      <w:lang w:val="zh-CN"/>
    </w:rPr>
  </w:style>
  <w:style w:type="character" w:customStyle="1" w:styleId="81">
    <w:name w:val="纯文本 Char2"/>
    <w:qFormat/>
    <w:uiPriority w:val="0"/>
    <w:rPr>
      <w:rFonts w:ascii="宋体" w:hAnsi="Courier New" w:eastAsia="宋体" w:cs="Courier New"/>
      <w:szCs w:val="21"/>
    </w:rPr>
  </w:style>
  <w:style w:type="character" w:customStyle="1" w:styleId="82">
    <w:name w:val="脚注文本 字符"/>
    <w:basedOn w:val="31"/>
    <w:link w:val="23"/>
    <w:qFormat/>
    <w:uiPriority w:val="99"/>
    <w:rPr>
      <w:rFonts w:ascii="Times New Roman" w:hAnsi="Times New Roman" w:eastAsia="宋体" w:cs="Times New Roman"/>
      <w:sz w:val="18"/>
      <w:szCs w:val="18"/>
    </w:rPr>
  </w:style>
  <w:style w:type="character" w:customStyle="1" w:styleId="83">
    <w:name w:val="正文文本缩进 2 字符"/>
    <w:basedOn w:val="31"/>
    <w:link w:val="18"/>
    <w:semiHidden/>
    <w:qFormat/>
    <w:uiPriority w:val="99"/>
    <w:rPr>
      <w:rFonts w:ascii="Times New Roman" w:hAnsi="Times New Roman" w:eastAsia="宋体" w:cs="Times New Roman"/>
      <w:szCs w:val="24"/>
    </w:rPr>
  </w:style>
  <w:style w:type="paragraph" w:customStyle="1" w:styleId="8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正文_0"/>
    <w:next w:val="1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Template>
  <Pages>98</Pages>
  <Words>19178</Words>
  <Characters>20510</Characters>
  <Lines>350</Lines>
  <Paragraphs>98</Paragraphs>
  <TotalTime>170</TotalTime>
  <ScaleCrop>false</ScaleCrop>
  <LinksUpToDate>false</LinksUpToDate>
  <CharactersWithSpaces>20818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TSE James</dc:creator>
  <cp:lastModifiedBy>浮云云云</cp:lastModifiedBy>
  <dcterms:modified xsi:type="dcterms:W3CDTF">2026-05-09T06:29:12Z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eyJoZGlkIjoiMzQxYzE3MDNmN2JhZTZmNTk5YzZjM2JjYjJkNTQ2MTIiLCJ1c2VySWQiOiIxMzkyODkwOTU3In0=</vt:lpwstr>
  </property>
  <property fmtid="{D5CDD505-2E9C-101B-9397-08002B2CF9AE}" pid="3" name="KSOProductBuildVer">
    <vt:lpwstr>2052-12.1.0.26375</vt:lpwstr>
  </property>
  <property fmtid="{D5CDD505-2E9C-101B-9397-08002B2CF9AE}" pid="4" name="ICV">
    <vt:lpwstr>199084E0E2FC439B93DA75BBCFC0C501_13</vt:lpwstr>
  </property>
</Properties>
</file>