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8C599">
      <w:pPr>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lang w:eastAsia="zh-CN"/>
        </w:rPr>
        <w:t>教学设备</w:t>
      </w:r>
      <w:r>
        <w:rPr>
          <w:rFonts w:hint="eastAsia" w:ascii="方正小标宋简体" w:hAnsi="方正小标宋简体" w:eastAsia="方正小标宋简体" w:cs="方正小标宋简体"/>
          <w:color w:val="auto"/>
          <w:sz w:val="36"/>
          <w:szCs w:val="36"/>
        </w:rPr>
        <w:t>采购需求</w:t>
      </w:r>
    </w:p>
    <w:tbl>
      <w:tblPr>
        <w:tblStyle w:val="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847"/>
        <w:gridCol w:w="5088"/>
        <w:gridCol w:w="662"/>
        <w:gridCol w:w="611"/>
        <w:gridCol w:w="772"/>
        <w:gridCol w:w="875"/>
      </w:tblGrid>
      <w:tr w14:paraId="1015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1F246302">
            <w:pPr>
              <w:widowControl/>
              <w:jc w:val="center"/>
              <w:rPr>
                <w:rFonts w:hint="eastAsia" w:asciiTheme="majorEastAsia" w:hAnsiTheme="majorEastAsia" w:eastAsiaTheme="majorEastAsia" w:cstheme="majorEastAsia"/>
                <w:bCs/>
                <w:color w:val="auto"/>
                <w:kern w:val="0"/>
                <w:sz w:val="21"/>
                <w:szCs w:val="21"/>
              </w:rPr>
            </w:pPr>
            <w:r>
              <w:rPr>
                <w:rFonts w:hint="eastAsia" w:asciiTheme="majorEastAsia" w:hAnsiTheme="majorEastAsia" w:eastAsiaTheme="majorEastAsia" w:cstheme="majorEastAsia"/>
                <w:bCs/>
                <w:color w:val="auto"/>
                <w:kern w:val="0"/>
                <w:sz w:val="21"/>
                <w:szCs w:val="21"/>
              </w:rPr>
              <w:t>序号</w:t>
            </w:r>
          </w:p>
        </w:tc>
        <w:tc>
          <w:tcPr>
            <w:tcW w:w="452" w:type="pct"/>
            <w:shd w:val="clear" w:color="auto" w:fill="auto"/>
            <w:vAlign w:val="center"/>
          </w:tcPr>
          <w:p w14:paraId="7A3416BE">
            <w:pPr>
              <w:widowControl/>
              <w:jc w:val="center"/>
              <w:rPr>
                <w:rFonts w:hint="eastAsia" w:asciiTheme="majorEastAsia" w:hAnsiTheme="majorEastAsia" w:eastAsiaTheme="majorEastAsia" w:cstheme="majorEastAsia"/>
                <w:bCs/>
                <w:color w:val="auto"/>
                <w:kern w:val="0"/>
                <w:sz w:val="21"/>
                <w:szCs w:val="21"/>
              </w:rPr>
            </w:pPr>
            <w:r>
              <w:rPr>
                <w:rFonts w:hint="eastAsia" w:asciiTheme="majorEastAsia" w:hAnsiTheme="majorEastAsia" w:eastAsiaTheme="majorEastAsia" w:cstheme="majorEastAsia"/>
                <w:bCs/>
                <w:color w:val="auto"/>
                <w:kern w:val="0"/>
                <w:sz w:val="21"/>
                <w:szCs w:val="21"/>
              </w:rPr>
              <w:t>名称</w:t>
            </w:r>
          </w:p>
        </w:tc>
        <w:tc>
          <w:tcPr>
            <w:tcW w:w="2715" w:type="pct"/>
            <w:shd w:val="clear" w:color="auto" w:fill="auto"/>
            <w:vAlign w:val="center"/>
          </w:tcPr>
          <w:p w14:paraId="60FFEE3E">
            <w:pPr>
              <w:widowControl/>
              <w:jc w:val="center"/>
              <w:rPr>
                <w:rFonts w:hint="eastAsia" w:asciiTheme="majorEastAsia" w:hAnsiTheme="majorEastAsia" w:eastAsiaTheme="majorEastAsia" w:cstheme="majorEastAsia"/>
                <w:bCs/>
                <w:color w:val="auto"/>
                <w:sz w:val="21"/>
                <w:szCs w:val="21"/>
              </w:rPr>
            </w:pPr>
            <w:r>
              <w:rPr>
                <w:rFonts w:hint="eastAsia" w:asciiTheme="majorEastAsia" w:hAnsiTheme="majorEastAsia" w:eastAsiaTheme="majorEastAsia" w:cstheme="majorEastAsia"/>
                <w:bCs/>
                <w:color w:val="auto"/>
                <w:kern w:val="0"/>
                <w:sz w:val="21"/>
                <w:szCs w:val="21"/>
              </w:rPr>
              <w:t>规格及技术参数</w:t>
            </w:r>
          </w:p>
        </w:tc>
        <w:tc>
          <w:tcPr>
            <w:tcW w:w="353" w:type="pct"/>
            <w:shd w:val="clear" w:color="auto" w:fill="auto"/>
            <w:vAlign w:val="center"/>
          </w:tcPr>
          <w:p w14:paraId="3FB5A5A6">
            <w:pPr>
              <w:widowControl/>
              <w:jc w:val="center"/>
              <w:rPr>
                <w:rFonts w:hint="eastAsia" w:asciiTheme="majorEastAsia" w:hAnsiTheme="majorEastAsia" w:eastAsiaTheme="majorEastAsia" w:cstheme="majorEastAsia"/>
                <w:bCs/>
                <w:color w:val="auto"/>
                <w:kern w:val="0"/>
                <w:sz w:val="21"/>
                <w:szCs w:val="21"/>
                <w:lang w:val="en-US" w:eastAsia="zh-CN" w:bidi="ar-SA"/>
              </w:rPr>
            </w:pPr>
            <w:r>
              <w:rPr>
                <w:rFonts w:hint="eastAsia" w:asciiTheme="majorEastAsia" w:hAnsiTheme="majorEastAsia" w:eastAsiaTheme="majorEastAsia" w:cstheme="majorEastAsia"/>
                <w:bCs/>
                <w:color w:val="auto"/>
                <w:kern w:val="0"/>
                <w:sz w:val="21"/>
                <w:szCs w:val="21"/>
              </w:rPr>
              <w:t>单位</w:t>
            </w:r>
          </w:p>
        </w:tc>
        <w:tc>
          <w:tcPr>
            <w:tcW w:w="326" w:type="pct"/>
            <w:shd w:val="clear" w:color="auto" w:fill="auto"/>
            <w:vAlign w:val="center"/>
          </w:tcPr>
          <w:p w14:paraId="04E6051E">
            <w:pPr>
              <w:widowControl/>
              <w:jc w:val="center"/>
              <w:rPr>
                <w:rFonts w:hint="eastAsia" w:asciiTheme="majorEastAsia" w:hAnsiTheme="majorEastAsia" w:eastAsiaTheme="majorEastAsia" w:cstheme="majorEastAsia"/>
                <w:bCs/>
                <w:color w:val="auto"/>
                <w:kern w:val="0"/>
                <w:sz w:val="21"/>
                <w:szCs w:val="21"/>
                <w:lang w:val="en-US" w:eastAsia="zh-CN" w:bidi="ar-SA"/>
              </w:rPr>
            </w:pPr>
            <w:r>
              <w:rPr>
                <w:rFonts w:hint="eastAsia" w:asciiTheme="majorEastAsia" w:hAnsiTheme="majorEastAsia" w:eastAsiaTheme="majorEastAsia" w:cstheme="majorEastAsia"/>
                <w:bCs/>
                <w:color w:val="auto"/>
                <w:kern w:val="0"/>
                <w:sz w:val="21"/>
                <w:szCs w:val="21"/>
              </w:rPr>
              <w:t>数量</w:t>
            </w:r>
          </w:p>
        </w:tc>
        <w:tc>
          <w:tcPr>
            <w:tcW w:w="410" w:type="pct"/>
            <w:shd w:val="clear" w:color="auto" w:fill="auto"/>
            <w:vAlign w:val="center"/>
          </w:tcPr>
          <w:p w14:paraId="5E638578">
            <w:pPr>
              <w:widowControl/>
              <w:ind w:left="-105" w:leftChars="-50" w:right="-105" w:rightChars="-50"/>
              <w:jc w:val="center"/>
              <w:rPr>
                <w:rFonts w:hint="eastAsia" w:asciiTheme="majorEastAsia" w:hAnsiTheme="majorEastAsia" w:eastAsiaTheme="majorEastAsia" w:cstheme="majorEastAsia"/>
                <w:bCs/>
                <w:color w:val="auto"/>
                <w:kern w:val="0"/>
                <w:sz w:val="21"/>
                <w:szCs w:val="21"/>
              </w:rPr>
            </w:pPr>
            <w:r>
              <w:rPr>
                <w:rFonts w:hint="eastAsia" w:asciiTheme="majorEastAsia" w:hAnsiTheme="majorEastAsia" w:eastAsiaTheme="majorEastAsia" w:cstheme="majorEastAsia"/>
                <w:bCs/>
                <w:color w:val="auto"/>
                <w:kern w:val="0"/>
                <w:sz w:val="21"/>
                <w:szCs w:val="21"/>
              </w:rPr>
              <w:t>单价</w:t>
            </w:r>
          </w:p>
          <w:p w14:paraId="3778D884">
            <w:pPr>
              <w:widowControl/>
              <w:ind w:left="-105" w:leftChars="-50" w:right="-105" w:rightChars="-50"/>
              <w:jc w:val="center"/>
              <w:rPr>
                <w:rFonts w:hint="eastAsia" w:asciiTheme="majorEastAsia" w:hAnsiTheme="majorEastAsia" w:eastAsiaTheme="majorEastAsia" w:cstheme="majorEastAsia"/>
                <w:bCs/>
                <w:color w:val="auto"/>
                <w:kern w:val="0"/>
                <w:sz w:val="21"/>
                <w:szCs w:val="21"/>
                <w:lang w:val="en-US" w:eastAsia="zh-CN" w:bidi="ar-SA"/>
              </w:rPr>
            </w:pPr>
            <w:r>
              <w:rPr>
                <w:rFonts w:hint="eastAsia" w:asciiTheme="majorEastAsia" w:hAnsiTheme="majorEastAsia" w:eastAsiaTheme="majorEastAsia" w:cstheme="majorEastAsia"/>
                <w:bCs/>
                <w:color w:val="auto"/>
                <w:kern w:val="0"/>
                <w:sz w:val="21"/>
                <w:szCs w:val="21"/>
              </w:rPr>
              <w:t>（元）</w:t>
            </w:r>
          </w:p>
        </w:tc>
        <w:tc>
          <w:tcPr>
            <w:tcW w:w="467" w:type="pct"/>
            <w:shd w:val="clear" w:color="auto" w:fill="auto"/>
            <w:vAlign w:val="center"/>
          </w:tcPr>
          <w:p w14:paraId="45DF8595">
            <w:pPr>
              <w:widowControl/>
              <w:jc w:val="center"/>
              <w:rPr>
                <w:rFonts w:hint="eastAsia" w:asciiTheme="majorEastAsia" w:hAnsiTheme="majorEastAsia" w:eastAsiaTheme="majorEastAsia" w:cstheme="majorEastAsia"/>
                <w:bCs/>
                <w:color w:val="auto"/>
                <w:kern w:val="0"/>
                <w:sz w:val="21"/>
                <w:szCs w:val="21"/>
                <w:lang w:val="en-US" w:eastAsia="zh-CN" w:bidi="ar-SA"/>
              </w:rPr>
            </w:pPr>
            <w:r>
              <w:rPr>
                <w:rFonts w:hint="eastAsia" w:asciiTheme="majorEastAsia" w:hAnsiTheme="majorEastAsia" w:eastAsiaTheme="majorEastAsia" w:cstheme="majorEastAsia"/>
                <w:bCs/>
                <w:color w:val="auto"/>
                <w:kern w:val="0"/>
                <w:sz w:val="21"/>
                <w:szCs w:val="21"/>
              </w:rPr>
              <w:t>总价（元）</w:t>
            </w:r>
          </w:p>
        </w:tc>
      </w:tr>
      <w:tr w14:paraId="2830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230C9ED1">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1</w:t>
            </w:r>
          </w:p>
        </w:tc>
        <w:tc>
          <w:tcPr>
            <w:tcW w:w="452" w:type="pct"/>
            <w:shd w:val="clear" w:color="auto" w:fill="auto"/>
            <w:vAlign w:val="center"/>
          </w:tcPr>
          <w:p w14:paraId="54042A76">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讲台</w:t>
            </w:r>
          </w:p>
        </w:tc>
        <w:tc>
          <w:tcPr>
            <w:tcW w:w="2715" w:type="pct"/>
            <w:shd w:val="clear" w:color="auto" w:fill="FFFFFF"/>
            <w:vAlign w:val="top"/>
          </w:tcPr>
          <w:p w14:paraId="51F083BA">
            <w:pPr>
              <w:keepNext w:val="0"/>
              <w:keepLines w:val="0"/>
              <w:widowControl/>
              <w:suppressLineNumbers w:val="0"/>
              <w:jc w:val="left"/>
              <w:textAlignment w:val="top"/>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1、讲桌的规格尺寸：约1000mm×500mm×900mm（长×宽×高）；</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材料：板材厚度不小于18mm的桉木基材的多层板，面压三聚氰胺饰面板；整体设计简洁大方，美观实用；板材符合国家GB/T9846-2015《普通胶合板》标准或其他相应国家标准要求，甲醛释放量符合国家GB18580-2025《室内装饰装修材料人造板及其制品中甲醛释放限量》标准，甲醛释放量≤0.124mg/m³，不变形、板材经过防潮、防虫、防腐等化学处理，具有物理力学强度高、纵向和横向强度同等、隔声、防霉、经济、保温等优点。翘曲度不易变形、握钉力较强、加工性能良好；</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连接件：采用优质三合一连接件、铰链，金属件表面应无锈蚀、毛刺刃口、露底，应光滑平整，应无起泡、花斑、烧焦、裂纹、划痕、磕碰等缺陷；塑料部位表面应光洁平滑，不应有裂纹、划伤、沙粒、疙瘩、麻点等缺陷，色泽应一致；</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4、封边：采用≥1.0mm厚PVC封边条，全自动机械封边，封边胶采用优质环保封边胶，封边胶通过GB 18583-2008《室内装饰装修材料 胶粘剂中有害物质限量》标准检测合格，检测结果包括但不限于以下内容：总挥发性有机物≤100g/L。</w:t>
            </w:r>
          </w:p>
        </w:tc>
        <w:tc>
          <w:tcPr>
            <w:tcW w:w="353" w:type="pct"/>
            <w:shd w:val="clear" w:color="auto" w:fill="auto"/>
            <w:vAlign w:val="center"/>
          </w:tcPr>
          <w:p w14:paraId="67C78B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张</w:t>
            </w:r>
          </w:p>
        </w:tc>
        <w:tc>
          <w:tcPr>
            <w:tcW w:w="326" w:type="pct"/>
            <w:shd w:val="clear" w:color="auto" w:fill="auto"/>
            <w:vAlign w:val="center"/>
          </w:tcPr>
          <w:p w14:paraId="7070F4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15</w:t>
            </w:r>
          </w:p>
        </w:tc>
        <w:tc>
          <w:tcPr>
            <w:tcW w:w="410" w:type="pct"/>
            <w:shd w:val="clear" w:color="000000" w:fill="FFFFFF"/>
            <w:vAlign w:val="center"/>
          </w:tcPr>
          <w:p w14:paraId="3A9ED9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800</w:t>
            </w:r>
          </w:p>
        </w:tc>
        <w:tc>
          <w:tcPr>
            <w:tcW w:w="467" w:type="pct"/>
            <w:shd w:val="clear" w:color="000000" w:fill="FFFFFF"/>
            <w:vAlign w:val="center"/>
          </w:tcPr>
          <w:p w14:paraId="64D200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12000</w:t>
            </w:r>
          </w:p>
        </w:tc>
      </w:tr>
      <w:tr w14:paraId="75CE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1C579DC1">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2</w:t>
            </w:r>
          </w:p>
        </w:tc>
        <w:tc>
          <w:tcPr>
            <w:tcW w:w="452" w:type="pct"/>
            <w:shd w:val="clear" w:color="auto" w:fill="auto"/>
            <w:vAlign w:val="center"/>
          </w:tcPr>
          <w:p w14:paraId="397E52A9">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课桌椅</w:t>
            </w:r>
          </w:p>
        </w:tc>
        <w:tc>
          <w:tcPr>
            <w:tcW w:w="2715" w:type="pct"/>
            <w:shd w:val="clear" w:color="auto" w:fill="FFFFFF"/>
            <w:vAlign w:val="top"/>
          </w:tcPr>
          <w:p w14:paraId="1EC0F717">
            <w:pPr>
              <w:keepNext w:val="0"/>
              <w:keepLines w:val="0"/>
              <w:widowControl/>
              <w:suppressLineNumbers w:val="0"/>
              <w:jc w:val="left"/>
              <w:textAlignment w:val="top"/>
              <w:rPr>
                <w:rFonts w:hint="eastAsia" w:asciiTheme="majorEastAsia" w:hAnsiTheme="majorEastAsia" w:eastAsiaTheme="majorEastAsia" w:cstheme="majorEastAsia"/>
                <w:i w:val="0"/>
                <w:iCs w:val="0"/>
                <w:color w:val="auto"/>
                <w:kern w:val="0"/>
                <w:sz w:val="21"/>
                <w:szCs w:val="21"/>
                <w:u w:val="none"/>
                <w:lang w:val="en-US" w:eastAsia="zh-CN" w:bidi="ar"/>
              </w:rPr>
            </w:pPr>
            <w:r>
              <w:rPr>
                <w:rFonts w:hint="eastAsia" w:asciiTheme="majorEastAsia" w:hAnsiTheme="majorEastAsia" w:eastAsiaTheme="majorEastAsia" w:cstheme="majorEastAsia"/>
                <w:i w:val="0"/>
                <w:iCs w:val="0"/>
                <w:color w:val="auto"/>
                <w:kern w:val="0"/>
                <w:sz w:val="21"/>
                <w:szCs w:val="21"/>
                <w:u w:val="none"/>
                <w:lang w:val="en-US" w:eastAsia="zh-CN" w:bidi="ar"/>
              </w:rPr>
              <w:t>一、单人课桌椅（每套包含课桌并配套单人椅1张）。</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二、型号规格要求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（一）课桌椅的型号规格及结构应符合国家标准要求。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（二）课桌：各型号规格的尺寸除本表中特别要求外，产品应符合国家标准GB/T 3976-2014《学校课桌椅功能尺寸及技术要求》中的功能尺寸及技术要求。在课桌左右两侧面设置挂书包的挂钩或在课桌的后端下面设置放书包的装置，其尺寸范围不能超出国家标准的规定范围。</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（三）课椅：各型号规格的尺寸除本表中特别要求外，产品应符合国家标准GB/T 3976-2014《学校课桌椅功能尺寸及技术要求》中的功能尺寸及技术要求。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(四)型号规格</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1、课桌桌面板尺寸：不小于600mm×400mm；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2、课桌高度：</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（1）高年级部分：采用双柱升降课桌；高度760mm（1号）、730mm（2号）、700mm（3号）、670mm（4号），允许误差±5mm，可按以上高度进行调节升降。</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（2）低年级部分：采用固定式双柱课桌；高度640 mm（5号）、610 mm（6号）、580mm（7号）、550mm（8号），允许偏差±5mm。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3、课椅椅座面板尺寸：</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（1）高年级部分：宽度不小于380mm、深380mm(±2mm)；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（2）低年级部分：宽度不小于340mm、深340mm(±2mm)；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4、课椅椅靠背面板尺寸：</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（1）高年级部分：宽度不小于380mm、高度155mm(±2mm)；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（2）低年级部分：宽度不小于340mm、高度135mm(±2mm)；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5、座面高度：</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（1）高年级部分：课椅高度：440 mm（1号）、420 mm（2号）、400 mm（3号）、380mm（4号），允许误差±5mm，可按以上高度进行调节升降。</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（2）低年级部分：以下型号要求固定高度：360mm（5号）、340mm（6号）、320mm（7号）、300mm（8号），允许误差±5mm。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6.桌斗尺寸：尺寸：深350mm，长520mm，高115mm，尺寸允许偏差±2mm；桌斗与侧板采用高频焊接，不允许使用铆钉或螺钉连接。</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 xml:space="preserve"> (五)结构要求：双柱升降调节。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三、课桌椅的材料要求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（一）金属件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1、主体材料：</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1.1、课桌、课椅的金属管件采用公称尺寸不小于25mm×50mm的椭圆管，管壁公称厚度均不小于1.0mm；</w:t>
            </w:r>
          </w:p>
          <w:p w14:paraId="555E9322">
            <w:pPr>
              <w:keepNext w:val="0"/>
              <w:keepLines w:val="0"/>
              <w:widowControl/>
              <w:suppressLineNumbers w:val="0"/>
              <w:jc w:val="left"/>
              <w:textAlignment w:val="top"/>
              <w:rPr>
                <w:rFonts w:hint="eastAsia" w:asciiTheme="majorEastAsia" w:hAnsiTheme="majorEastAsia" w:eastAsiaTheme="majorEastAsia" w:cstheme="majorEastAsia"/>
                <w:i w:val="0"/>
                <w:iCs w:val="0"/>
                <w:color w:val="auto"/>
                <w:kern w:val="0"/>
                <w:sz w:val="21"/>
                <w:szCs w:val="21"/>
                <w:u w:val="none"/>
                <w:lang w:val="en-US" w:eastAsia="zh-CN" w:bidi="ar"/>
              </w:rPr>
            </w:pPr>
            <w:r>
              <w:rPr>
                <w:rFonts w:hint="eastAsia" w:asciiTheme="majorEastAsia" w:hAnsiTheme="majorEastAsia" w:eastAsiaTheme="majorEastAsia" w:cstheme="majorEastAsia"/>
                <w:i w:val="0"/>
                <w:iCs w:val="0"/>
                <w:color w:val="auto"/>
                <w:kern w:val="0"/>
                <w:sz w:val="21"/>
                <w:szCs w:val="21"/>
                <w:u w:val="none"/>
                <w:lang w:val="en-US" w:eastAsia="zh-CN" w:bidi="ar"/>
              </w:rPr>
              <w:t>▲1.2、钢管符合GB/T 3094-2012《冷拔异型钢管》、QB/T3826-1999《轻工产品金属镀层和化学处理层的耐腐蚀试验方法 中性盐雾试验(NSS)法》、QB/T 3832-1999《轻工产品金属镀层腐蚀试验结果的评价》要求，其中：化学成分(%)（C≤0.20、Si≤0.35、Mn≤1.40、P≤0.045、S≤0.045），力学性能（下屈服强度≥235MPa、抗拉强度为370-500MPa、断后伸长率≥25%）。经过不少于70h试验，耐腐蚀等级达到9级以上，</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1.3、课桌的桌斗用公称厚度不小于0.6mm的优质冷轧钢板；</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1.4、立板采用优质冷轧板，课桌、课椅两侧可调高度的立板厚度不小于0.8mm；</w:t>
            </w:r>
          </w:p>
          <w:p w14:paraId="7F9FF895">
            <w:pPr>
              <w:keepNext w:val="0"/>
              <w:keepLines w:val="0"/>
              <w:widowControl/>
              <w:suppressLineNumbers w:val="0"/>
              <w:jc w:val="left"/>
              <w:textAlignment w:val="top"/>
              <w:rPr>
                <w:rFonts w:hint="eastAsia" w:asciiTheme="majorEastAsia" w:hAnsiTheme="majorEastAsia" w:eastAsiaTheme="majorEastAsia" w:cstheme="majorEastAsia"/>
                <w:i w:val="0"/>
                <w:iCs w:val="0"/>
                <w:color w:val="auto"/>
                <w:kern w:val="0"/>
                <w:sz w:val="21"/>
                <w:szCs w:val="21"/>
                <w:u w:val="none"/>
                <w:lang w:val="en-US" w:eastAsia="zh-CN" w:bidi="ar"/>
              </w:rPr>
            </w:pPr>
            <w:r>
              <w:rPr>
                <w:rFonts w:hint="eastAsia" w:asciiTheme="majorEastAsia" w:hAnsiTheme="majorEastAsia" w:eastAsiaTheme="majorEastAsia" w:cstheme="majorEastAsia"/>
                <w:i w:val="0"/>
                <w:iCs w:val="0"/>
                <w:color w:val="auto"/>
                <w:kern w:val="0"/>
                <w:sz w:val="21"/>
                <w:szCs w:val="21"/>
                <w:u w:val="none"/>
                <w:lang w:val="en-US" w:eastAsia="zh-CN" w:bidi="ar"/>
              </w:rPr>
              <w:t>▲1.5、冷轧钢板符合GB/T 700-2006《碳素结构钢》、QB/T 3826-1999《轻工产品金属镀层和化学处理层的耐腐蚀试验方法 中性盐雾试验(NSS)法》、QB/T 3832-1999《轻工产品金属镀层腐蚀试验结果的评价》要求，其中：化学成分(%)（C≤0.20、Si≤0.35、Mn≤1.40、P≤0.045、S≤0.045）；力学性能（屈服强度≥235N/m㎡、抗拉强度为370-500 N/m㎡、断后伸长率≥26%）；经过不少于70h试验，耐腐蚀等级达到9级以上，</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1.6、椅子靠背支架采用不小于20mm×20mm高频焊接方管，管壁厚度不小于1.0mm；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1.7、课桌左右两边要求配有挂钩，挂钩采用直径不小于4mm的冷拉普通钢丝制作，规格不小于55×25×20mm。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材料质量：金属管件外形的尺寸偏差、管壁厚度偏差和钢板厚度偏差以及金属材料的力学性能指标等质量技术参数，均应符合相应的国家标准的规定。不允许使用出现孔洞、缺口、开裂、尖角、裂缝、叠缝、腐蚀、离层、结疤、氧化皮等影响产品结构强度、外观和安全的材料。</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（二）木制件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1、桌面板厚15mm，采用桉木基材的胶合板,双面饰面,甲醛释放量达到E1级控制指标，四周采用PE注塑成型，注塑边缘与桌面圆润连接，无突兀感；</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▲2、胶合板符合GB/T9846-2015《普通胶合板》标准检测，检测结果包括但不限于以下内容：含水率5%～16%；静曲强度：顺纹≥24.0MPa、横纹≥20.0MPa；弹性模量：顺纹≥5000MPa、横纹≥3500MPa；胶合强度≥0.70MPa；</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课椅座面板厚≥10mm，主体采用桉木基材的胶合板,座面板前端为圆弧结构，双面饰面，甲醛释放量达到E1级控制指标，符合人体工程学的设计。面板四周采用PE注塑成型，注塑边缘与座面圆润连接，无突兀感，增加舒适程度。</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4、课椅靠背要求是弧形的主体采用桉木基材的胶合板,双面饰面，面板厚≥10mm。靠背面板四周采用PE注塑成型，注塑边缘与座面圆润连接，无突兀感，增加舒适程度。</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5、含水率：课桌椅加工所用胶合板含水率应不高于16%。课桌椅产品出厂时木材含水率不高于16%。</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（三）其它材料</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桌脚和椅脚的脚套为内嵌式脚套，采用超高分子量PE材料制作，脚套内深不低于35mm，加强筋4圈，底厚不低于5mm，脚套与桌脚和椅脚应结合紧密，牢靠，不脱落。</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四、课桌椅的加工要求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（一）金属件加工要求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金属零、部件的连接方式采取焊接连接，不允许采用铆钉连接（铆接）和螺钉连接。焊接件焊接时采用二氧化碳保护焊接。焊接件焊接处应无脱焊、虚焊、焊穿、错位；焊接处应无夹渣、气孔、焊瘤、焊丝头、咬边、飞溅；焊疤表面波纹应均匀、高低之差应不大于1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冲压件应无脱层、裂缝。桌斗利用钢板由机器冲压一次成型，端口作卷边处理增强刚性，以防尖利边角对人体的伤害。桌斗前端处冲压不少于两条上凸的加强筋以增强桌斗刚性。课桌两侧立板边缘打磨平滑后再喷漆，以防尖毛边刮伤人体。</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3、课桌和课椅钢架支撑立柱，采取圆弧弯管支撑，椭圆管折弯处饱满，无凹陷，留空桌脚周边空间便于打扫卫生。</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4、桌斗桌脚架、课椅脚架固定要用平头内六角螺栓、平垫片、弹簧垫片和六角圆头盖形螺母坚固；侧片采用圆形孔，安装好产品致使螺丝不能任意松垮，确保课桌、课椅的安全使用。</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（二）木制件加工要求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木制件端面应进行精加工以便于涂饰处理。</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（三）木制件与金属件的连接</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1、课桌面板与钢架的连接采用自攻钉固定，面板与钢架连接的自攻钉不少于八颗。</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2、课椅面板、靠背板与钢架的连接采用抽芯钉连接，面板、靠背板与钢架连接的抽芯钉均不少于四根。</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3、抽芯铆钉钉体直径d不小于5mm，钉体材料为铝合金、钉芯材料为钢（表面镀锌），铆钉表面应无毛刺和有害缺陷，并有完整的头、杆形状。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（四）课桌椅加工尺寸要求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桌面高、椅座面高尺寸的允许误差范围按GB/T 3976-2014《学校课桌椅功能尺寸及技术要求》的规定执行。</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五、课桌椅的涂饰要求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（一）涂饰要求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1、涂饰前课桌椅零、部件的表面应光滑、平整，不得有飞边、尖角、毛刺等可能造成机械伤害的缺陷。金属件应无开裂、脱焊、漏焊、焊渣等缺陷。</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涂饰前金属件零、部件表面必须进行预备处理，采用除锈、防锈处理工艺，除去锈迹等其他污迹后进行涂装打底磷化处理。预备处理后表面不得有氧化皮、锈蚀、粘砂等其他杂质，磷化层达到工艺要求，预备处理后应及时进行涂饰。</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3、采用环保产品环氧聚脂塑粉静电喷塑。喷塑外膜的表面光滑平整，色泽均匀，喷塑层无漏喷、起泡、模糊、划痕或碰伤等缺陷。</w:t>
            </w:r>
          </w:p>
          <w:p w14:paraId="58073D76">
            <w:pPr>
              <w:keepNext w:val="0"/>
              <w:keepLines w:val="0"/>
              <w:widowControl/>
              <w:suppressLineNumbers w:val="0"/>
              <w:jc w:val="left"/>
              <w:textAlignment w:val="top"/>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▲4、塑粉符合HG/T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5、课桌椅所有木制件的外表面（使用面）均应装饰处理；非使用面涂清漆。木制件端面应进行涂饰处理。</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（二）涂饰层外观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1、金属件涂层应无漏喷、锈蚀；应光滑均匀，色泽一致，应无流挂、疙瘩、皱皮、飞漆等缺陷。</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2、木制件表面装饰层应手感光滑，无划痕、压痕、雾光、白楞、白斑、鼓泡、流挂、刷毛、积粉和杂渣、皱皮、发粘、漏漆现象。薄木材料贴面不允许有明显透胶、脱胶、凹陷、压痕、鼓泡、胶迹。</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3、每批产品（含课桌、课椅）不允许有明显色差。</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4、产品上的五金配件应做防锈处理。</w:t>
            </w:r>
          </w:p>
        </w:tc>
        <w:tc>
          <w:tcPr>
            <w:tcW w:w="353" w:type="pct"/>
            <w:shd w:val="clear" w:color="auto" w:fill="auto"/>
            <w:vAlign w:val="center"/>
          </w:tcPr>
          <w:p w14:paraId="55C93C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套</w:t>
            </w:r>
          </w:p>
        </w:tc>
        <w:tc>
          <w:tcPr>
            <w:tcW w:w="326" w:type="pct"/>
            <w:shd w:val="clear" w:color="auto" w:fill="auto"/>
            <w:vAlign w:val="center"/>
          </w:tcPr>
          <w:p w14:paraId="4CE56B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500</w:t>
            </w:r>
          </w:p>
        </w:tc>
        <w:tc>
          <w:tcPr>
            <w:tcW w:w="410" w:type="pct"/>
            <w:shd w:val="clear" w:color="000000" w:fill="FFFFFF"/>
            <w:vAlign w:val="center"/>
          </w:tcPr>
          <w:p w14:paraId="617DFB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260</w:t>
            </w:r>
          </w:p>
        </w:tc>
        <w:tc>
          <w:tcPr>
            <w:tcW w:w="467" w:type="pct"/>
            <w:shd w:val="clear" w:color="000000" w:fill="FFFFFF"/>
            <w:vAlign w:val="center"/>
          </w:tcPr>
          <w:p w14:paraId="79466F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130000</w:t>
            </w:r>
          </w:p>
        </w:tc>
      </w:tr>
      <w:tr w14:paraId="3C49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4FCDFAF3">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3</w:t>
            </w:r>
          </w:p>
        </w:tc>
        <w:tc>
          <w:tcPr>
            <w:tcW w:w="452" w:type="pct"/>
            <w:shd w:val="clear" w:color="auto" w:fill="auto"/>
            <w:vAlign w:val="center"/>
          </w:tcPr>
          <w:p w14:paraId="7BCA0237">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一体机</w:t>
            </w:r>
          </w:p>
        </w:tc>
        <w:tc>
          <w:tcPr>
            <w:tcW w:w="2715" w:type="pct"/>
            <w:shd w:val="clear" w:color="auto" w:fill="FFFFFF"/>
            <w:vAlign w:val="center"/>
          </w:tcPr>
          <w:p w14:paraId="64652CE8">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0"/>
                <w:sz w:val="21"/>
                <w:szCs w:val="21"/>
                <w:u w:val="none"/>
                <w:lang w:val="en-US" w:eastAsia="zh-CN" w:bidi="ar"/>
              </w:rPr>
            </w:pPr>
            <w:r>
              <w:rPr>
                <w:rFonts w:hint="eastAsia" w:asciiTheme="majorEastAsia" w:hAnsiTheme="majorEastAsia" w:eastAsiaTheme="majorEastAsia" w:cstheme="majorEastAsia"/>
                <w:i w:val="0"/>
                <w:iCs w:val="0"/>
                <w:color w:val="auto"/>
                <w:kern w:val="0"/>
                <w:sz w:val="21"/>
                <w:szCs w:val="21"/>
                <w:u w:val="none"/>
                <w:lang w:val="en-US" w:eastAsia="zh-CN" w:bidi="ar"/>
              </w:rPr>
              <w:t>一、大屏屏体参数</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1、整机屏幕需采用UHD超高清A规LED液晶屏，屏幕显示尺寸≥86英寸，显示比例16:9，屏幕图像分辨率≥3840*2160。</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2、液晶显示层与钢化玻璃层需采用零贴合或全贴合设计。</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3、整机需采用内置摄像头、麦克风，支持无需外接线材连接和任何可见外接线材及模块化拼接痕迹，不占用整机外部设备接口。</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4、整机支持前置物理接口≥5个，所有接口均采用非转接方式，包含≥1路HDMI接口、≥2路双通道USB3.0接口(Windows和 整机系统均能被识别）、≥1路Type-C接口（支持全功能PD 65W）、≥1路USB-Type-B接口（Touch接口 支持触摸功能）。</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5、Type-C接口具备全功能，支持USB-PD3.0快充协议，且最大输出功率达到65W；支持Type-C线正反插；支持DP1.4，最高可达18Gbps视频输入功能，支持4K 60Hz视频格式；支持USB3.0，最大传输带宽高达5.0Gbps。</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6、整机前置接口需（不限USB接口）均具备防撞挡板设计，防撞挡板需采用转轴式翻转设计。</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7、整机后置物理接口需≥10个，包含≥2路HDMI2.0、≥2路USB2.0、≥1路RS232、≥1路RJ45、≥1路TOUCH USB(触控输出接口)、≥1路mic in3.5mm、≥1路LINE out 3.5mm、≥1路HDMI OUT</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8、整机需支持具有防浪涌、防静电、防辐射、防划伤、触摸屏防遮挡安全保护措施。</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9、整机需自带安卓操作系统， 系统版本≥安卓14，≥八核处理器，内存≥4GB，存储空间≥32GB。</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10、需支持通过口语表达快速返回系统桌面、选人和打开白板、亮度调整、声音大小调整、打开资源库和课本、计时器、管家、AI 录课、上一页、下一页等不低于300条语音指令。</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11、同品牌智能笔或无线麦克风接收设备，需支持OPS操作系统下的语音操作，支持通过语音指令打开操作系统桌面上的已安装应用。</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12、需支持在整机运行环境下，配套教学设备如智能笔实时显示连接状态，并支持监控当前电量百分比，支持提醒用户及时充电。</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13、整机下型材面板需具备两处磁吸区域，分别在左右各一侧，并具有磁吸标识，磁吸拉力≥1Kg，可吸附具备磁吸功能的书写笔和智能笔等物品，吸附稳定、不掉落。</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14、在整机运行环境下，需支持配套智能笔自适应扩音优化、防啸叫算法能力THD≤1%，啸叫距离≤20cm，7.5 米扩音延时≤27ms。</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15、整机需内置 2.2 声道扬声器，位于设备下边框出音，20W全频扬声器2个，15W高音扬声器2个，额定总功率≥70W，最大峰值功率≥80W，语言清晰度（STI-PA）≥0.8。</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16、整机扬声器需支持在100%音量下，1米处声压级≥90dB，10米处声压级≥85dB，1米到10米距离内响度差距≤5dB，声场覆盖85%区域内响度差异≤5dB。</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17、整机屏体需支持亮度≥350cd/m²，色彩覆盖率≥85%NTSC，对比度≥5000：1。</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18、整机需具备可达到4K分辨率，屏幕刷新率≥60Hz，无频闪。</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19、需支持标准、明亮、鲜艳三种图像模式调节，还支持自定义图像模式。</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20、整机需具备智能书写护眼模式，可做到屏幕书写过程中逐步降低整机背光亮度至50%，符合D65标准光源色温值，降低色温≤6500K。</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21、需支持WiFi6，为提高无线信号接发稳定性并避免信号遮挡，整机内置2.4G、5GHz双频wifi，满足IEEE 802.11 a/b/g/n/ac/ax</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22、整机需内置蓝牙模块，支持蓝牙Bluetooth 5.4标准。</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23、Wi-Fi和AP热点工作距离需≥12m。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24、整机需内置高清广角摄像头，结构采用非独立设计；需支持3D降噪算法，图像信噪比≥40db，支持输出MJPG视频格式。</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25、智能降噪麦克风阵列，需支持远场拾音，信噪比≥65dB， 超高灵敏度≥-38dB；支持AGC、AEC、NN智能AI降噪算法技术，环境信噪比(SNR )为0dB的情况依然可以清晰拾音，回声≤100dB可消除。</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26、摄像头需具备下倾设计，下倾角度≥10°，拍摄画面全面。</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27、整机高清摄像头，需支持生物特征识别，如面部识别功能，支持AI识别人像，最大距离≥10米。</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28、摄像头像素≥4800万像素，需支持输出8000×6000pix的照片，对角视场角≥135°，水平视场角≥120°，垂直视场角≥80°。</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29、整机在整机系统下触控需支持≥40点触控及同时书写，触摸分辨率≥32768×32768。</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30、整机在Windows系统下触控需支持≥50点触控及同时书写，触摸分辨率≥32768×32768。</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二、OPS参数要求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1、整机架构：为降低电脑模块维护成本，接口需严格遵循Intel相关规范,针脚数为行业通用≥80Pin ,与大屏无单独接线。</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2、整机OPS电脑安装结构需支持按压式卡扣或螺丝固定模式，抽拉式安装，无需工具就可快速拆卸电脑模块。</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3、CPU处理器：≥8核12线程，主频≥2GHz，内存≥8G（每根通道最大支持扩展到32G，总容量64GB），硬盘≥256G SSD （单盘最大支持扩展到1TB）。</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4、USB接口要求：USB3.0和USB2.0 不少于6个。</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5、其他接口要求：需支持网络接口不少于1个，DP输出接口不少于1个，HDMI不少于1个，耳机输出接口不少于1个，麦克风输入接口不少于1个。</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6、Wi-Fi 6：需支持802.11b/g/n/ac/ax；蓝牙支持Bluetooth 4.2及以上。</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三、智能教学系统</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1、支持一键开机后即刻进入教学应用系统界面，无需额外点击操作运行应用系统；支持教师通过二维码扫码、账密输入、人脸识别登录方式进入教学应用系统。</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2、教学应用快捷入口：教学桌面支持教学常用的功能，包括电子白板、文件管理、电子课本、视频展台、授课助手；需提供Windows桌面应用入口，无需切换到Windows系统桌面即可点击运行已安装的第三方应用。</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3、需提供罗盘工具，需支持五指点击屏幕调出罗盘工具栏，需支持在屏幕任意位置停留或左右侧边隐藏；需提供用于教学的便捷工具，包括选择、画笔、板擦、撤销、回退。</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4、画笔工具：需支持一键调取3层功能，包含笔触粗细、颜色、笔形，教师随机选择；需提供≥4种笔型，如钢笔、毛笔、铅笔、印刷笔；需支持将手写体转写成标准印刷体，印刷体支持自动识别≥5 种格式，如中文、英文、数学公式、化学无机方程式、有机分子式；</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在系统界面下，内置侧边栏快捷菜单，支持≥5种快捷入口，包括课本、白板、展台、讲评、智能笔等；需支持在系统界面下实现上课/下课，并自动登录/退出教师账号，登录后自动进入上次授课班级及教学进度。</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6、需支持≥5种智能手势操作，如调用系统菜单、召唤全局工具栏、窗口最小化、多窗口管理、亮/息屏、降半屏手势操作功能。</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7、录课功能：需支持录课功能，需支持≥2种调取方式，如前置物理按键一键调取或罗盘工具调取；支持对微课内容进行关键视频切片提取。</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8、需支持制作课件时可插入教学互动活动，如分类、连线、选词填空、翻翻卡课堂活动、支持插入素材资源、课件资源、试题资源；需支持直接引用与课程相关的云端、校本资源库、个人资源库资源；</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9、电子白板需支持提供书写工具，以实现教学过程中选择内容、书写、擦除操作；需支持多人书写功能，不低于20条同步书写轨迹。</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四、配件-智能笔</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1、外观：笔身造型需采用圆润一体化笔型设计，握笔处需采用人机工程学设计，方便用户握笔书写，表面采用手感漆工艺；长度≤170mm， 直径≤14mm，笔身重量≤25g。</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2、需支持压感不少于4096级，需支持手笔分离功能（防误触），还原真实书写体验。</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3、笔身需配置不少于5个按键，需支持不少于9个功能，包括上翻页、下翻页、智能语音、一键扩音、书写颜色切换、飞鼠功能、放大镜、板擦、聚光灯。</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4、需支持不少于2个用户可自定义功能的按键；需支持放大镜、聚光灯、窗口切换、画笔颜色切换的自定义功能。</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5、需采用锥型笔尖设计；需支持电容，红外触控屏幕设备书写。</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五、配件-视频展台</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1、采用≥800万像素摄像头，拍摄幅面≥A4，最高分辨率≥3264*2448。</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2、采用USB五伏电源直接供电，无需额外配置电源适配器，环保无辐射；箱内USB连线采用隐藏式设计，箱内无可见连线且USB口下出，有效防止积尘，且方便布线和返修。</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3、整机采用ABS材质，圆弧式设计无锐角；托板采用单板结构,托板尺寸不小于 A4 规格，托板平整无接缝，承托稳定。</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4、托板及挂墙部分采用金属加强处理，可承重 5kg 以上，同时托板采用磁吸吸附式机构，防止托板打落，方便打开及固定，避免机械式锁具故障率高的问题。</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5、展示托板正上方具备LED补光灯，保证展示区域的亮度及展示效果，整机自带磨砂均光罩 LED 3粒补光灯，LED灯设计符合光生物安全标准测试，对人体无危害。光线不足时可进行亮度补充，亮度均匀，采用无级触摸调光设计。</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6、实时批注：支持对展台画面实时批注，预设多种笔划粗细及颜色供选择，且支持对展台画面联同批注内容进行同步缩放、移动、保存。</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7、故障检测：软件支持故障自检功能，帮助用户检测“无画面”的原因，并给出引导性的修复和解决方案，可判断硬件连接、显卡驱动、摄像头占用、软件版本等问题。</w:t>
            </w:r>
          </w:p>
          <w:p w14:paraId="46A861FF">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0"/>
                <w:sz w:val="21"/>
                <w:szCs w:val="21"/>
                <w:u w:val="none"/>
                <w:lang w:val="en-US" w:eastAsia="zh-CN" w:bidi="ar"/>
              </w:rPr>
            </w:pPr>
            <w:r>
              <w:rPr>
                <w:rFonts w:hint="eastAsia" w:asciiTheme="majorEastAsia" w:hAnsiTheme="majorEastAsia" w:eastAsiaTheme="majorEastAsia" w:cstheme="majorEastAsia"/>
                <w:i w:val="0"/>
                <w:iCs w:val="0"/>
                <w:color w:val="auto"/>
                <w:kern w:val="0"/>
                <w:sz w:val="21"/>
                <w:szCs w:val="21"/>
                <w:u w:val="none"/>
                <w:lang w:val="en-US" w:eastAsia="zh-CN" w:bidi="ar"/>
              </w:rPr>
              <w:t>六、其他要求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供应商对其所销售的货物应当享有知识产权或经权利人合法授权，保证没有侵犯任何第三人的知识产权等权利。因违反前述约定对第三人构成侵权的，应当由供应商向第三人承担法律责任;采购人依法向第三人赔偿后，有权向供应商追偿。采购方有其他损失的，供应商应当赔偿。</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中标供应商须于签订合同前，有责任配合采购人进行检测测试，采购人将根据投标文件对所提供本次采购完整产品一套预安装，对参数的真实性和实际效果进行逐条逐字和功能验证，通过检测后方可进行验收。在检测测试过程中如发现有虚假应标行为的，采购人将拒绝接收货物、验收并退货。如检测结果合格，检测费用由采购人承担;检测结果不合格，检测费用由成交供应商承担，并依法进行处罚，且赔偿采购人一切损失。</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3.为确保产品为全新，质量和功能稳定性，签订合同后,要求提供厂家出具的技术参数确认表、售后服务保证原件、供货证明原件，否则采购方将不予验收通过。</w:t>
            </w:r>
          </w:p>
        </w:tc>
        <w:tc>
          <w:tcPr>
            <w:tcW w:w="353" w:type="pct"/>
            <w:shd w:val="clear" w:color="auto" w:fill="auto"/>
            <w:vAlign w:val="center"/>
          </w:tcPr>
          <w:p w14:paraId="119CAA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套</w:t>
            </w:r>
          </w:p>
        </w:tc>
        <w:tc>
          <w:tcPr>
            <w:tcW w:w="326" w:type="pct"/>
            <w:shd w:val="clear" w:color="auto" w:fill="auto"/>
            <w:vAlign w:val="center"/>
          </w:tcPr>
          <w:p w14:paraId="3ABEBA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15</w:t>
            </w:r>
          </w:p>
        </w:tc>
        <w:tc>
          <w:tcPr>
            <w:tcW w:w="410" w:type="pct"/>
            <w:shd w:val="clear" w:color="000000" w:fill="FFFFFF"/>
            <w:vAlign w:val="center"/>
          </w:tcPr>
          <w:p w14:paraId="7938B8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20700</w:t>
            </w:r>
          </w:p>
        </w:tc>
        <w:tc>
          <w:tcPr>
            <w:tcW w:w="467" w:type="pct"/>
            <w:shd w:val="clear" w:color="000000" w:fill="FFFFFF"/>
            <w:vAlign w:val="center"/>
          </w:tcPr>
          <w:p w14:paraId="7EEFDD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310500</w:t>
            </w:r>
          </w:p>
        </w:tc>
      </w:tr>
      <w:tr w14:paraId="48B2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5CEBCDA5">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4</w:t>
            </w:r>
          </w:p>
        </w:tc>
        <w:tc>
          <w:tcPr>
            <w:tcW w:w="452" w:type="pct"/>
            <w:shd w:val="clear" w:color="auto" w:fill="auto"/>
            <w:vAlign w:val="center"/>
          </w:tcPr>
          <w:p w14:paraId="17FD5F8E">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光能板</w:t>
            </w:r>
          </w:p>
        </w:tc>
        <w:tc>
          <w:tcPr>
            <w:tcW w:w="2715" w:type="pct"/>
            <w:shd w:val="clear" w:color="auto" w:fill="FFFFFF"/>
            <w:vAlign w:val="center"/>
          </w:tcPr>
          <w:p w14:paraId="25B7C805">
            <w:pPr>
              <w:keepNext w:val="0"/>
              <w:keepLines w:val="0"/>
              <w:widowControl/>
              <w:suppressLineNumbers w:val="0"/>
              <w:jc w:val="left"/>
              <w:textAlignment w:val="center"/>
              <w:rPr>
                <w:rFonts w:hint="eastAsia" w:asciiTheme="majorEastAsia" w:hAnsiTheme="majorEastAsia" w:eastAsiaTheme="majorEastAsia" w:cstheme="majorEastAsia"/>
                <w:b/>
                <w:bCs/>
                <w:i w:val="0"/>
                <w:iCs w:val="0"/>
                <w:color w:val="auto"/>
                <w:kern w:val="0"/>
                <w:sz w:val="21"/>
                <w:szCs w:val="21"/>
                <w:u w:val="none"/>
                <w:lang w:val="en-US" w:eastAsia="zh-CN" w:bidi="ar"/>
              </w:rPr>
            </w:pPr>
            <w:r>
              <w:rPr>
                <w:rFonts w:hint="eastAsia" w:asciiTheme="majorEastAsia" w:hAnsiTheme="majorEastAsia" w:eastAsiaTheme="majorEastAsia" w:cstheme="majorEastAsia"/>
                <w:i w:val="0"/>
                <w:iCs w:val="0"/>
                <w:color w:val="auto"/>
                <w:kern w:val="0"/>
                <w:sz w:val="21"/>
                <w:szCs w:val="21"/>
                <w:u w:val="none"/>
                <w:lang w:val="en-US" w:eastAsia="zh-CN" w:bidi="ar"/>
              </w:rPr>
              <w:t>一、硬件要求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1、每套配置两块光能黑板，单块光能黑板≥1290（长）*1150（高）mm。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▲2、板面粗糙度 Sa≤0.3μm，书写顺滑省力，有效降低教师长时间板书操作疲劳度。</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▲3、黑板侧面应采用侧封板，用于遮挡黑板与墙面间的缝隙，能够调整侧封板与墙面的闭合距离，便于安装及后期调节。</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4、书写适配通用性强，支持多种通用笔具直接书写，无需专属耗材；无粉笔粉尘产生，规避粉尘带来的师生健康风险。</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▲5、考虑黑板的边角安全因素，黑板四角应为圆角，且径向半径不小于4mm，法向半径不小于0.3mm。</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6、可使用配备的板擦对板书进行局部擦除，局部擦除时间不大于0.4秒，擦除应无断点、无死角，擦除之后应无明显残留痕迹。</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7、黑板内设有局部擦除灵敏度调节功能，支持自动感应调整，也支持通过手势按压书写板板面的特定位置，适应不同用户的使用需求。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8、一键擦除时间不大于1.5秒，擦除过程中有指示灯提醒，擦除完成后指示灯熄灭，擦除后应无明显残留痕迹。</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▲9、黑板表面具有暗格，避免板书歪斜、大小不一、布局混乱，提升板书可读性。</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10、支持磁吸附功能，可吸附磁贴、磁扣等教学工具，满足带有磁吸的板擦等教具吸附在黑板上。</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11、为让老师能够快速调取交互软件，方便使用功能，黑板的左/右侧应具有触摸快捷键。</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▲12、产品应通过GB4943安全要求中的恒定力试验、冲击试验，外壳无破裂，无任何危险迹象。</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二、软件要求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1、开启软件后，可以将教师在黑板上的板书内容同步显示在触控一体机的界面当中，软件在后台运行依然可以实现板书笔迹的自动记录。</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2、支持暂停板书笔迹的同步传输功能，分屏后将触控一体机变为板书界面，以此扩充了教师需要的书写面积。</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▲3、可以通过触摸快捷键切换单页和多页显示：单板书写时，可单页面显示（此时只有一块黑板界面）；多板同时书写时，可多页面同时显示。</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4、通过黑板的触摸键可以快速对教师的板书和课堂讲解内容进行录制，生成视频文档保存到电脑端，利于学生课后回看复习。</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5、板书的电子记录文档可以存储在本地的电脑端，支持PDF格式的保存，也可以生成二维码，便于师生扫码分享。</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▲6、支持导入PPT课件，可以在软件界面中同时显示出教师的PPT课件和板书的记录笔迹。</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▲7、具备打印功能，可连接打印机将保存的板书文档传输至打印机打印，方便灵活。</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▲8、支持恢复出厂设置，设备可以还原到刚出厂的干净初始状态。</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▲9、软件可自动检测版本，并完成在线更新，无需手动下载安装。</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p>
          <w:p w14:paraId="60BF1092">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▲10、黑板快捷键可调用Ai工具，支持Ai唤醒等功能，能够配合教室完成课堂中的问答、解题等学习内容。</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三、其他要求</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供应商对其所销售的货物应当享有知识产权或经权利人合法授权，保证没有侵犯任何第三人的知识产权等权利。因违反前述约定对第三人构成侵权的，应当由供应商向第三人承担法律责任;采购人依法向第三人赔偿后，有权向供应商追偿。采购方有其他损失的，供应商应当赔偿。</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中标供应商须于签订合同前，有责任配合采购人进行检测测试，采购人将根据投标文件对所提供本次采购完整产品一套预安装，对参数的真实性和实际效果进行逐条逐字和功能验证，通过检测后方可进行验收。在检测测试过程中如发现有虚假应标行为的，采购人将拒绝接收货物、验收并退货。如检测结果合格，检测费用由采购人承担;检测结果不合格，检测费用由成交供应商承担，并依法进行处罚，且赔偿采购人一切损失。</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3.为确保产品为全新，质量和功能稳定性，签订合同后,要求提供厂家出具的技术参数确认表、售后服务保证原件、供货证明原件，否则采购方将不予验收通过。</w:t>
            </w:r>
          </w:p>
        </w:tc>
        <w:tc>
          <w:tcPr>
            <w:tcW w:w="353" w:type="pct"/>
            <w:shd w:val="clear" w:color="auto" w:fill="auto"/>
            <w:vAlign w:val="center"/>
          </w:tcPr>
          <w:p w14:paraId="24FBB8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套</w:t>
            </w:r>
          </w:p>
        </w:tc>
        <w:tc>
          <w:tcPr>
            <w:tcW w:w="326" w:type="pct"/>
            <w:shd w:val="clear" w:color="auto" w:fill="auto"/>
            <w:vAlign w:val="center"/>
          </w:tcPr>
          <w:p w14:paraId="292AE4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15</w:t>
            </w:r>
          </w:p>
        </w:tc>
        <w:tc>
          <w:tcPr>
            <w:tcW w:w="410" w:type="pct"/>
            <w:shd w:val="clear" w:color="000000" w:fill="FFFFFF"/>
            <w:vAlign w:val="center"/>
          </w:tcPr>
          <w:p w14:paraId="6CD7B4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8000</w:t>
            </w:r>
          </w:p>
        </w:tc>
        <w:tc>
          <w:tcPr>
            <w:tcW w:w="467" w:type="pct"/>
            <w:shd w:val="clear" w:color="000000" w:fill="FFFFFF"/>
            <w:vAlign w:val="center"/>
          </w:tcPr>
          <w:p w14:paraId="4AE4C4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120000</w:t>
            </w:r>
          </w:p>
        </w:tc>
      </w:tr>
      <w:tr w14:paraId="49D8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2AEAD436">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5</w:t>
            </w:r>
          </w:p>
        </w:tc>
        <w:tc>
          <w:tcPr>
            <w:tcW w:w="452" w:type="pct"/>
            <w:shd w:val="clear" w:color="auto" w:fill="auto"/>
            <w:vAlign w:val="center"/>
          </w:tcPr>
          <w:p w14:paraId="5E4008FC">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音箱</w:t>
            </w:r>
          </w:p>
        </w:tc>
        <w:tc>
          <w:tcPr>
            <w:tcW w:w="2715" w:type="pct"/>
            <w:shd w:val="clear" w:color="auto" w:fill="FFFFFF"/>
            <w:vAlign w:val="center"/>
          </w:tcPr>
          <w:p w14:paraId="1303A024">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▲1、使用U段数字射频技术，内置超强精准电磁波发射接收天线，有效避免传输干扰，满足同一场所大量使用的需要；</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▲2、音箱具备两分频设计，大功率宽电压（100-260伏交流电）开关电源数字功放，音质清晰自然；</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▲3、一路话筒输入（环保麦克风插口自带幻像电源）；</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4、话筒音量、音乐音量及高低音独立控制；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▲5、带一路广播优先接口，当有广播信号时自动切换；</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6、标配壁挂安装配件，安装简单方便；</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7、额定功率≥65W；</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8、额定阻抗：4Ω；</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9、频率响应：55Hz-18kHz；</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10、驱动器：1个6.5寸长冲程低音驱动器、1个前纸盆高音；</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11、额定输入电平：话筒 10mV（非平衡），2组立体声RCA接口；1组立体声RCA输出；</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12、灵敏度：95dB/1W/1M；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13、信噪比：95dB；</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14、最大声压级：103dB；</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15、箱体型式：倒相式。</w:t>
            </w:r>
          </w:p>
        </w:tc>
        <w:tc>
          <w:tcPr>
            <w:tcW w:w="353" w:type="pct"/>
            <w:shd w:val="clear" w:color="auto" w:fill="auto"/>
            <w:vAlign w:val="center"/>
          </w:tcPr>
          <w:p w14:paraId="20E7D7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对</w:t>
            </w:r>
          </w:p>
        </w:tc>
        <w:tc>
          <w:tcPr>
            <w:tcW w:w="326" w:type="pct"/>
            <w:shd w:val="clear" w:color="auto" w:fill="auto"/>
            <w:vAlign w:val="center"/>
          </w:tcPr>
          <w:p w14:paraId="47D1A3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15</w:t>
            </w:r>
          </w:p>
        </w:tc>
        <w:tc>
          <w:tcPr>
            <w:tcW w:w="410" w:type="pct"/>
            <w:shd w:val="clear" w:color="000000" w:fill="FFFFFF"/>
            <w:vAlign w:val="center"/>
          </w:tcPr>
          <w:p w14:paraId="53B50D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800</w:t>
            </w:r>
          </w:p>
        </w:tc>
        <w:tc>
          <w:tcPr>
            <w:tcW w:w="467" w:type="pct"/>
            <w:shd w:val="clear" w:color="000000" w:fill="FFFFFF"/>
            <w:vAlign w:val="center"/>
          </w:tcPr>
          <w:p w14:paraId="7E630A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12000</w:t>
            </w:r>
          </w:p>
        </w:tc>
      </w:tr>
      <w:tr w14:paraId="5AD4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652563FA">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6</w:t>
            </w:r>
          </w:p>
        </w:tc>
        <w:tc>
          <w:tcPr>
            <w:tcW w:w="452" w:type="pct"/>
            <w:shd w:val="clear" w:color="auto" w:fill="auto"/>
            <w:vAlign w:val="center"/>
          </w:tcPr>
          <w:p w14:paraId="7C3A250B">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麦克风</w:t>
            </w:r>
          </w:p>
        </w:tc>
        <w:tc>
          <w:tcPr>
            <w:tcW w:w="2715" w:type="pct"/>
            <w:shd w:val="clear" w:color="auto" w:fill="FFFFFF"/>
            <w:vAlign w:val="center"/>
          </w:tcPr>
          <w:p w14:paraId="70DCA32B">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1、笔形麦身设计，抓握舒适，符合人体工程学，按键分区设计，操作简洁。外观时尚新颖靓丽，重量轻，持握方便；</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2、工作频段：UHF频段；</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3、采用24kHz 采样率，保证人声音质质量，传输前后经过独有技术处理，确保接收到的信号保持高保真效果；</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4、采用内置驻极体拾音器，设计独立拾音腔体，能有效抑制啸叫，提高拾音距离，腔体内置声学海绵垫，最大程度减少杂音；</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5、支持音量调节：可调节麦克风音量的大小，并具有记忆功能；支持一键静音功能；</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▲6、内置麦克风和支持外置麦克风；支持激光笔教鞭；</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7、支持PPT翻页和一键黑屏/恢复功能，可配合投影仪或者电脑展示讲解使用。PPT 翻页模块支持热插拔，无需装驱动软件；(选配）</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▲8、支持3.5MM音频输入和麦克风输入；</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9、全新噪声消除电路设计，可杜绝开关机冲击声；</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▲10、OLED高清液晶显示：信号强度，对频方式，电量，工作状态，音量，USB（PPT功能）等；</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11、内置可充式高性能3.7V聚合物锂电池。电池容量：340mAh，带保护电路，安全可靠；</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12、支持 TYPE C 接口充电,2小时充足电可持续续航时间≥8h；</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13、智能低能耗设计，无信号输入/断开连接1h后自动关机，节能环保；</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▲14、支持EQ设置：低音、中低、平衡、中高、高音5种调节；</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15、采样精度：16 Bit；</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16、采样率：24 kHz；</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 xml:space="preserve">17、频率响应：100Hz-10kHz@±3dB； </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 xml:space="preserve">18、失真度：&lt;0.4%@94dBSPL，1kHz； </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19、信噪比：83 dB；</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20、系统延时：15 Ms；</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21、满幅输入：220 mVrms；</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22、满幅输出：882 mVrms；</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23、输入/输出增益比：12.2 dB；</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24、数据速率：2 Mbps；</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25、发射功率：&gt;10 dBm；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26、最大工作距离：10 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27、充电：5V-800mA~2A；</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 xml:space="preserve">28、工作温度：-20~60℃； </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29、储存温度：-20~60℃。</w:t>
            </w:r>
          </w:p>
        </w:tc>
        <w:tc>
          <w:tcPr>
            <w:tcW w:w="353" w:type="pct"/>
            <w:shd w:val="clear" w:color="auto" w:fill="auto"/>
            <w:vAlign w:val="center"/>
          </w:tcPr>
          <w:p w14:paraId="37A8A4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个</w:t>
            </w:r>
          </w:p>
        </w:tc>
        <w:tc>
          <w:tcPr>
            <w:tcW w:w="326" w:type="pct"/>
            <w:shd w:val="clear" w:color="auto" w:fill="auto"/>
            <w:vAlign w:val="center"/>
          </w:tcPr>
          <w:p w14:paraId="5D64E3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15</w:t>
            </w:r>
          </w:p>
        </w:tc>
        <w:tc>
          <w:tcPr>
            <w:tcW w:w="410" w:type="pct"/>
            <w:shd w:val="clear" w:color="000000" w:fill="FFFFFF"/>
            <w:vAlign w:val="center"/>
          </w:tcPr>
          <w:p w14:paraId="781EFF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500</w:t>
            </w:r>
          </w:p>
        </w:tc>
        <w:tc>
          <w:tcPr>
            <w:tcW w:w="467" w:type="pct"/>
            <w:shd w:val="clear" w:color="000000" w:fill="FFFFFF"/>
            <w:vAlign w:val="center"/>
          </w:tcPr>
          <w:p w14:paraId="11A308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7500</w:t>
            </w:r>
          </w:p>
        </w:tc>
      </w:tr>
      <w:tr w14:paraId="7907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59723524">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7</w:t>
            </w:r>
          </w:p>
        </w:tc>
        <w:tc>
          <w:tcPr>
            <w:tcW w:w="452" w:type="pct"/>
            <w:shd w:val="clear" w:color="auto" w:fill="auto"/>
            <w:vAlign w:val="center"/>
          </w:tcPr>
          <w:p w14:paraId="7DB5A4C7">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直饮水机</w:t>
            </w:r>
          </w:p>
        </w:tc>
        <w:tc>
          <w:tcPr>
            <w:tcW w:w="2715" w:type="pct"/>
            <w:shd w:val="clear" w:color="auto" w:fill="FFFFFF"/>
            <w:vAlign w:val="center"/>
          </w:tcPr>
          <w:p w14:paraId="58A60702">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1、加热内胆≥35升；</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2、电源/功率：380V/50Hz，≥6KW；</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3、出水方式：一开五温；</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4、外形尺寸（长×宽×高）：1800×400×1100mm（±5%）；</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5、不低于3级过滤（至少包含PP棉滤芯、PP棉活性炭复合滤芯），净水流量≥3L/min，额定净水量≥13000L；</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6、全自动电脑式(LED显示)，可显示机器工作状态、实时水温、故障代码、实时显示滤芯使用寿命，具有滤芯寿命管理系统，自动提醒换芯；</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7、采用滤芯射频感应技术：具有滤芯真伪识别、使用寿命提醒功能，保证水质卫生安全。</w:t>
            </w:r>
          </w:p>
        </w:tc>
        <w:tc>
          <w:tcPr>
            <w:tcW w:w="353" w:type="pct"/>
            <w:shd w:val="clear" w:color="auto" w:fill="auto"/>
            <w:vAlign w:val="center"/>
          </w:tcPr>
          <w:p w14:paraId="509818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台</w:t>
            </w:r>
          </w:p>
        </w:tc>
        <w:tc>
          <w:tcPr>
            <w:tcW w:w="326" w:type="pct"/>
            <w:shd w:val="clear" w:color="auto" w:fill="auto"/>
            <w:vAlign w:val="center"/>
          </w:tcPr>
          <w:p w14:paraId="2A4DB6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8</w:t>
            </w:r>
          </w:p>
        </w:tc>
        <w:tc>
          <w:tcPr>
            <w:tcW w:w="410" w:type="pct"/>
            <w:shd w:val="clear" w:color="000000" w:fill="FFFFFF"/>
            <w:vAlign w:val="center"/>
          </w:tcPr>
          <w:p w14:paraId="20FFBA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7500</w:t>
            </w:r>
          </w:p>
        </w:tc>
        <w:tc>
          <w:tcPr>
            <w:tcW w:w="467" w:type="pct"/>
            <w:shd w:val="clear" w:color="000000" w:fill="FFFFFF"/>
            <w:vAlign w:val="center"/>
          </w:tcPr>
          <w:p w14:paraId="0AF969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60000</w:t>
            </w:r>
          </w:p>
        </w:tc>
      </w:tr>
      <w:tr w14:paraId="29C1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71E9BE48">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8</w:t>
            </w:r>
          </w:p>
        </w:tc>
        <w:tc>
          <w:tcPr>
            <w:tcW w:w="452" w:type="pct"/>
            <w:shd w:val="clear" w:color="auto" w:fill="auto"/>
            <w:vAlign w:val="center"/>
          </w:tcPr>
          <w:p w14:paraId="6B1B6658">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护眼灯</w:t>
            </w:r>
          </w:p>
        </w:tc>
        <w:tc>
          <w:tcPr>
            <w:tcW w:w="2715" w:type="pct"/>
            <w:shd w:val="clear" w:color="auto" w:fill="FFFFFF"/>
            <w:vAlign w:val="center"/>
          </w:tcPr>
          <w:p w14:paraId="6973E898">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0"/>
                <w:sz w:val="21"/>
                <w:szCs w:val="21"/>
                <w:u w:val="none"/>
                <w:lang w:val="en-US" w:eastAsia="zh-CN" w:bidi="ar"/>
              </w:rPr>
            </w:pPr>
            <w:r>
              <w:rPr>
                <w:rFonts w:hint="eastAsia" w:asciiTheme="majorEastAsia" w:hAnsiTheme="majorEastAsia" w:eastAsiaTheme="majorEastAsia" w:cstheme="majorEastAsia"/>
                <w:b/>
                <w:bCs/>
                <w:i w:val="0"/>
                <w:iCs w:val="0"/>
                <w:color w:val="auto"/>
                <w:kern w:val="0"/>
                <w:sz w:val="21"/>
                <w:szCs w:val="21"/>
                <w:u w:val="none"/>
                <w:lang w:val="en-US" w:eastAsia="zh-CN" w:bidi="ar"/>
              </w:rPr>
              <w:t>一、黑板护眼灯3盏：</w:t>
            </w:r>
            <w:r>
              <w:rPr>
                <w:rFonts w:hint="eastAsia" w:asciiTheme="majorEastAsia" w:hAnsiTheme="majorEastAsia" w:eastAsiaTheme="majorEastAsia" w:cstheme="majorEastAsia"/>
                <w:b/>
                <w:bCs/>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1、LED黑板灯额定功率≤36W, LED模块功率冗余量不低于2.5倍。</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2、一体式LED灯具，长≥1200mm  、  灯具材质：灯具主体采用铝合金材料 ，应牢固 、不变形；铝材表面须经阳极氧 化处理。</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宋体" w:hAnsi="宋体" w:eastAsia="宋体" w:cs="宋体"/>
                <w:color w:val="auto"/>
                <w:kern w:val="0"/>
                <w:sz w:val="23"/>
                <w:szCs w:val="23"/>
                <w:lang w:val="en-US" w:eastAsia="zh-CN" w:bidi="ar"/>
              </w:rPr>
              <w:t>▲</w:t>
            </w:r>
            <w:r>
              <w:rPr>
                <w:rFonts w:hint="eastAsia" w:asciiTheme="majorEastAsia" w:hAnsiTheme="majorEastAsia" w:eastAsiaTheme="majorEastAsia" w:cstheme="majorEastAsia"/>
                <w:i w:val="0"/>
                <w:iCs w:val="0"/>
                <w:color w:val="auto"/>
                <w:kern w:val="0"/>
                <w:sz w:val="21"/>
                <w:szCs w:val="21"/>
                <w:u w:val="none"/>
                <w:lang w:val="en-US" w:eastAsia="zh-CN" w:bidi="ar"/>
              </w:rPr>
              <w:t>3、灯具性能参数：灯具色温色温（或相关色温） ：3300-5300K，显指Ra≥90，光束角C0/C180为≥80°，C90/C270≥20°。</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宋体" w:hAnsi="宋体" w:eastAsia="宋体" w:cs="宋体"/>
                <w:color w:val="auto"/>
                <w:kern w:val="0"/>
                <w:sz w:val="23"/>
                <w:szCs w:val="23"/>
                <w:lang w:val="en-US" w:eastAsia="zh-CN" w:bidi="ar"/>
              </w:rPr>
              <w:t>▲</w:t>
            </w:r>
            <w:r>
              <w:rPr>
                <w:rFonts w:hint="eastAsia" w:asciiTheme="majorEastAsia" w:hAnsiTheme="majorEastAsia" w:eastAsiaTheme="majorEastAsia" w:cstheme="majorEastAsia"/>
                <w:i w:val="0"/>
                <w:iCs w:val="0"/>
                <w:color w:val="auto"/>
                <w:kern w:val="0"/>
                <w:sz w:val="21"/>
                <w:szCs w:val="21"/>
                <w:u w:val="none"/>
                <w:lang w:val="en-US" w:eastAsia="zh-CN" w:bidi="ar"/>
              </w:rPr>
              <w:t>4、LED黑板灯依据GB/T 31275-2020 照明设备对人体电磁辐射的安全要求：频率范围：20kHz-10MHz，感应电流密度限值:F≤1。</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宋体" w:hAnsi="宋体" w:eastAsia="宋体" w:cs="宋体"/>
                <w:color w:val="auto"/>
                <w:kern w:val="0"/>
                <w:sz w:val="23"/>
                <w:szCs w:val="23"/>
                <w:lang w:val="en-US" w:eastAsia="zh-CN" w:bidi="ar"/>
              </w:rPr>
              <w:t>▲</w:t>
            </w:r>
            <w:r>
              <w:rPr>
                <w:rFonts w:hint="eastAsia" w:asciiTheme="majorEastAsia" w:hAnsiTheme="majorEastAsia" w:eastAsiaTheme="majorEastAsia" w:cstheme="majorEastAsia"/>
                <w:i w:val="0"/>
                <w:iCs w:val="0"/>
                <w:color w:val="auto"/>
                <w:kern w:val="0"/>
                <w:sz w:val="21"/>
                <w:szCs w:val="21"/>
                <w:u w:val="none"/>
                <w:lang w:val="en-US" w:eastAsia="zh-CN" w:bidi="ar"/>
              </w:rPr>
              <w:t>5、 LED 黑板灯的蓝光危害等级应为  “RG0”无危害。</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宋体" w:hAnsi="宋体" w:eastAsia="宋体" w:cs="宋体"/>
                <w:color w:val="auto"/>
                <w:kern w:val="0"/>
                <w:sz w:val="23"/>
                <w:szCs w:val="23"/>
                <w:lang w:val="en-US" w:eastAsia="zh-CN" w:bidi="ar"/>
              </w:rPr>
              <w:t>▲</w:t>
            </w:r>
            <w:r>
              <w:rPr>
                <w:rFonts w:hint="eastAsia" w:asciiTheme="majorEastAsia" w:hAnsiTheme="majorEastAsia" w:eastAsiaTheme="majorEastAsia" w:cstheme="majorEastAsia"/>
                <w:i w:val="0"/>
                <w:iCs w:val="0"/>
                <w:color w:val="auto"/>
                <w:kern w:val="0"/>
                <w:sz w:val="21"/>
                <w:szCs w:val="21"/>
                <w:u w:val="none"/>
                <w:lang w:val="en-US" w:eastAsia="zh-CN" w:bidi="ar"/>
              </w:rPr>
              <w:t>6、LED黑板灯的寿命不应低于50000小时，依据CQC3155标准，正常燃点6000小时，光通维持率≥99%，色度变化 Δu'v'相对于初始值变化≤0.005。测试结果应当依据CQC3155标准规定正常燃点测试数据，非加速老化模型推算数据。</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7、LED黑板灯至少依据GB/T42064-2022并符合《CQC16-465143-2021》认证规则通过频闪无显著影响认证，短期闪烁指标标值 PstLM≤1,频闪效应可见度值(SVM)≤1。</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8、LED黑板灯至少依据GB/T26572-2011、GB/T39560系列标准通过有害物质限制使用（RoHS）认证。</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9、LED黑板灯产品符合GB/T 18595 标准的浪涌要求性能等级C认证。</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10、LED黑板灯在大气压力≥100kPa，平均湿度≥50%RH、及极值空气温度≥37℃，最低温度≤1℃及相对温差≥36℃的实地自然环境条件下至少持续运行1000小时，至少依据《GB/T36979》标准满足色品空间颜色不均匀性△u’v’≤0.007。</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11、LED 黑板灯依据GB/T 18595-2014《一般照明用设备电磁兼容抗扰度要求》标准并符合CQC16-465004-2024规则，通过性能等级A级认证。</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12、LED黑板灯提供对应的有效期内的国家 CCC 认证证书复印件。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13、LED黑板灯依据《GB40070-2021》标准认证规则通过《儿童青少年学习用品近视防控卫生要求认证》。                                                                      14、LED 黑板灯灯至少依据《GB7793》、《GB50034》、《GB/T26189》、《GB/T13379》、《GB/T36876》、《GB/T 5700》 、《GB40070》为标准的“教室优质照明光环境”认证，认证等级为一级 。                                                                      15、 LED黑板灯依据GB/T33721标准并符合《LED灯具电源开关性能认证实施规则》，通过50000次开关认证。</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b/>
                <w:bCs/>
                <w:i w:val="0"/>
                <w:iCs w:val="0"/>
                <w:color w:val="auto"/>
                <w:kern w:val="0"/>
                <w:sz w:val="21"/>
                <w:szCs w:val="21"/>
                <w:u w:val="none"/>
                <w:lang w:val="en-US" w:eastAsia="zh-CN" w:bidi="ar"/>
              </w:rPr>
              <w:t>二、教室护眼灯9盏：</w:t>
            </w:r>
            <w:r>
              <w:rPr>
                <w:rFonts w:hint="eastAsia" w:asciiTheme="majorEastAsia" w:hAnsiTheme="majorEastAsia" w:eastAsiaTheme="majorEastAsia" w:cstheme="majorEastAsia"/>
                <w:b/>
                <w:bCs/>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1、LED教室灯额定功率≤36W，光源颗数≥72颗，单颗光源功率≥1.5W，LED模块功率冗余量不低于3倍。  2、LED教室灯长度≥1000mm；为一体式微棱晶防眩面板灯，灯具外形应平整、无凹陷和毛刺，焊缝无透光现象，表面均匀、光洁，无流挂现象。</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宋体" w:hAnsi="宋体" w:eastAsia="宋体" w:cs="宋体"/>
                <w:color w:val="auto"/>
                <w:kern w:val="0"/>
                <w:sz w:val="23"/>
                <w:szCs w:val="23"/>
                <w:lang w:val="en-US" w:eastAsia="zh-CN" w:bidi="ar"/>
              </w:rPr>
              <w:t>▲</w:t>
            </w:r>
            <w:r>
              <w:rPr>
                <w:rFonts w:hint="eastAsia" w:asciiTheme="majorEastAsia" w:hAnsiTheme="majorEastAsia" w:eastAsiaTheme="majorEastAsia" w:cstheme="majorEastAsia"/>
                <w:i w:val="0"/>
                <w:iCs w:val="0"/>
                <w:color w:val="auto"/>
                <w:kern w:val="0"/>
                <w:sz w:val="21"/>
                <w:szCs w:val="21"/>
                <w:u w:val="none"/>
                <w:lang w:val="en-US" w:eastAsia="zh-CN" w:bidi="ar"/>
              </w:rPr>
              <w:t>3、LED教室灯具效能≥90lm/W，功率因数 ： PF ≥0.95，色温（K） ：3300- 5300K，显指（R） ： Ra≥90 ， R9≥50，光束角C0/C180为90±2°，C90/C270为90±2°。</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宋体" w:hAnsi="宋体" w:eastAsia="宋体" w:cs="宋体"/>
                <w:color w:val="auto"/>
                <w:kern w:val="0"/>
                <w:sz w:val="23"/>
                <w:szCs w:val="23"/>
                <w:lang w:val="en-US" w:eastAsia="zh-CN" w:bidi="ar"/>
              </w:rPr>
              <w:t>▲</w:t>
            </w:r>
            <w:r>
              <w:rPr>
                <w:rFonts w:hint="eastAsia" w:asciiTheme="majorEastAsia" w:hAnsiTheme="majorEastAsia" w:eastAsiaTheme="majorEastAsia" w:cstheme="majorEastAsia"/>
                <w:i w:val="0"/>
                <w:iCs w:val="0"/>
                <w:color w:val="auto"/>
                <w:kern w:val="0"/>
                <w:sz w:val="21"/>
                <w:szCs w:val="21"/>
                <w:u w:val="none"/>
                <w:lang w:val="en-US" w:eastAsia="zh-CN" w:bidi="ar"/>
              </w:rPr>
              <w:t>4、LED教室灯的蓝光危害等级应为“RG0”。</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宋体" w:hAnsi="宋体" w:eastAsia="宋体" w:cs="宋体"/>
                <w:color w:val="auto"/>
                <w:kern w:val="0"/>
                <w:sz w:val="23"/>
                <w:szCs w:val="23"/>
                <w:lang w:val="en-US" w:eastAsia="zh-CN" w:bidi="ar"/>
              </w:rPr>
              <w:t>▲</w:t>
            </w:r>
            <w:r>
              <w:rPr>
                <w:rFonts w:hint="eastAsia" w:asciiTheme="majorEastAsia" w:hAnsiTheme="majorEastAsia" w:eastAsiaTheme="majorEastAsia" w:cstheme="majorEastAsia"/>
                <w:i w:val="0"/>
                <w:iCs w:val="0"/>
                <w:color w:val="auto"/>
                <w:kern w:val="0"/>
                <w:sz w:val="21"/>
                <w:szCs w:val="21"/>
                <w:u w:val="none"/>
                <w:lang w:val="en-US" w:eastAsia="zh-CN" w:bidi="ar"/>
              </w:rPr>
              <w:t>5、LED教室灯的主要部件(电源线、LED 控制装置 tc、安装面、内部线、导线固定架、灯珠焊点、灯罩)等温度均小于 60℃。</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宋体" w:hAnsi="宋体" w:eastAsia="宋体" w:cs="宋体"/>
                <w:color w:val="auto"/>
                <w:kern w:val="0"/>
                <w:sz w:val="23"/>
                <w:szCs w:val="23"/>
                <w:lang w:val="en-US" w:eastAsia="zh-CN" w:bidi="ar"/>
              </w:rPr>
              <w:t>▲</w:t>
            </w:r>
            <w:r>
              <w:rPr>
                <w:rFonts w:hint="eastAsia" w:asciiTheme="majorEastAsia" w:hAnsiTheme="majorEastAsia" w:eastAsiaTheme="majorEastAsia" w:cstheme="majorEastAsia"/>
                <w:i w:val="0"/>
                <w:iCs w:val="0"/>
                <w:color w:val="auto"/>
                <w:kern w:val="0"/>
                <w:sz w:val="21"/>
                <w:szCs w:val="21"/>
                <w:u w:val="none"/>
                <w:lang w:val="en-US" w:eastAsia="zh-CN" w:bidi="ar"/>
              </w:rPr>
              <w:t>6、LED教室灯的寿命不应低于50000小时，依据CQC3155标准，正常燃点6000小时，光通维持率≥97%，色度变化 Δu'v'相对于初始值变化≤0.005。测试结果应当依据CQC3155标准规定正常燃点测试数据，非加速老化模型推算数据。</w:t>
            </w:r>
            <w:r>
              <w:rPr>
                <w:rFonts w:hint="eastAsia" w:asciiTheme="majorEastAsia" w:hAnsiTheme="majorEastAsia" w:eastAsiaTheme="majorEastAsia" w:cstheme="majorEastAsia"/>
                <w:b/>
                <w:bCs/>
                <w:i w:val="0"/>
                <w:iCs w:val="0"/>
                <w:color w:val="auto"/>
                <w:kern w:val="0"/>
                <w:sz w:val="21"/>
                <w:szCs w:val="21"/>
                <w:u w:val="none"/>
                <w:lang w:val="en-US" w:eastAsia="zh-CN" w:bidi="ar"/>
              </w:rPr>
              <w:t>报价时必须提供由具有合法检测资格的检测机构出具的符合上述要求的检测报告扫描件。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7、LED教室灯至少依据GB/T42064-2022并符合《CQC16-465143-2021》认证规则通过频闪无显著影响认证，短期闪烁指标标值 PstLM≤1,频闪效应可见度值(SVM)≤1。</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8、LED教室灯至少依据GB/T26572-2011、GB/T39560系列标准通过有害物质限制使用（RoHS）认证。</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9、LED教室灯产品符合GB/T 18595 标准的浪涌要求性能等级C认证。</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10、LED教室灯在大气压力≥100kPa，平均湿度≥50%RH、及极值空气温度≥37℃，最低温度≤1℃及相对温差≥36℃的实地自然环境条件下至少持续运行1000小时，至少依据《GB/T36979》标准满足色品空间颜色不均匀性△u’v’≤0.007。</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11、LED 教室灯依据GB/T 18595-2014《一般照明用设备电磁兼容抗扰度要求》标准并符合CQC16-465004-2024规则，通过性能等级A级认证。</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12、LED教室灯提供对应的有效期内的国家 CCC 认证证书复印件。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13、LED教室灯依据《GB40070-2021》标准认证规则通过《儿童青少年学习用品近视防控卫生要求认证》。                                    14、LED 教室灯至少依据《GB7793》、《GB50034》、《GB/T26189》、《GB/T13379》、《GB/T36876》、《GB/T 5700》 、《GB40070》为标准的“教室优质照明光环境”认证，认证等级为一级 。</w:t>
            </w:r>
          </w:p>
          <w:p w14:paraId="777CA377">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 xml:space="preserve">15、 LED教室灯依据GB/T33721标准并符合《LED灯具电源开关性能认证实施规则》，通过50000次开关认证。   </w:t>
            </w:r>
          </w:p>
        </w:tc>
        <w:tc>
          <w:tcPr>
            <w:tcW w:w="353" w:type="pct"/>
            <w:shd w:val="clear" w:color="auto" w:fill="auto"/>
            <w:vAlign w:val="center"/>
          </w:tcPr>
          <w:p w14:paraId="59A27F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间</w:t>
            </w:r>
          </w:p>
        </w:tc>
        <w:tc>
          <w:tcPr>
            <w:tcW w:w="326" w:type="pct"/>
            <w:shd w:val="clear" w:color="auto" w:fill="auto"/>
            <w:vAlign w:val="center"/>
          </w:tcPr>
          <w:p w14:paraId="2E0E8C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6</w:t>
            </w:r>
          </w:p>
        </w:tc>
        <w:tc>
          <w:tcPr>
            <w:tcW w:w="410" w:type="pct"/>
            <w:shd w:val="clear" w:color="000000" w:fill="FFFFFF"/>
            <w:vAlign w:val="center"/>
          </w:tcPr>
          <w:p w14:paraId="326457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8000</w:t>
            </w:r>
          </w:p>
        </w:tc>
        <w:tc>
          <w:tcPr>
            <w:tcW w:w="467" w:type="pct"/>
            <w:shd w:val="clear" w:color="000000" w:fill="FFFFFF"/>
            <w:vAlign w:val="center"/>
          </w:tcPr>
          <w:p w14:paraId="5A5E0F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48000</w:t>
            </w:r>
          </w:p>
        </w:tc>
      </w:tr>
      <w:tr w14:paraId="1BFD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22A6A37F">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9</w:t>
            </w:r>
          </w:p>
        </w:tc>
        <w:tc>
          <w:tcPr>
            <w:tcW w:w="452" w:type="pct"/>
            <w:shd w:val="clear" w:color="auto" w:fill="auto"/>
            <w:vAlign w:val="center"/>
          </w:tcPr>
          <w:p w14:paraId="2656D44C">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壁扇</w:t>
            </w:r>
          </w:p>
        </w:tc>
        <w:tc>
          <w:tcPr>
            <w:tcW w:w="2715" w:type="pct"/>
            <w:shd w:val="clear" w:color="auto" w:fill="auto"/>
            <w:vAlign w:val="center"/>
          </w:tcPr>
          <w:p w14:paraId="5314D1D6">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1、额定电压：220V / 50Hz。</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2、控制方式：机械拉绳 / 遥控。</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3、档位：3档风速。</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4、摇头角度：左右90°-120°、上下俯仰可调。</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 xml:space="preserve">5、功率：≥55W。 </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 xml:space="preserve">6、扇叶：5叶（ABS）。 </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7、网罩直径：约42cm。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8噪音：≤60dB。</w:t>
            </w:r>
          </w:p>
        </w:tc>
        <w:tc>
          <w:tcPr>
            <w:tcW w:w="353" w:type="pct"/>
            <w:shd w:val="clear" w:color="auto" w:fill="auto"/>
            <w:vAlign w:val="center"/>
          </w:tcPr>
          <w:p w14:paraId="0503C6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台</w:t>
            </w:r>
          </w:p>
        </w:tc>
        <w:tc>
          <w:tcPr>
            <w:tcW w:w="326" w:type="pct"/>
            <w:shd w:val="clear" w:color="auto" w:fill="auto"/>
            <w:vAlign w:val="center"/>
          </w:tcPr>
          <w:p w14:paraId="528CD6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100</w:t>
            </w:r>
          </w:p>
        </w:tc>
        <w:tc>
          <w:tcPr>
            <w:tcW w:w="410" w:type="pct"/>
            <w:shd w:val="clear" w:color="000000" w:fill="FFFFFF"/>
            <w:vAlign w:val="center"/>
          </w:tcPr>
          <w:p w14:paraId="42A2E4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200</w:t>
            </w:r>
          </w:p>
        </w:tc>
        <w:tc>
          <w:tcPr>
            <w:tcW w:w="467" w:type="pct"/>
            <w:shd w:val="clear" w:color="000000" w:fill="FFFFFF"/>
            <w:vAlign w:val="center"/>
          </w:tcPr>
          <w:p w14:paraId="274FA2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20000</w:t>
            </w:r>
          </w:p>
        </w:tc>
      </w:tr>
      <w:tr w14:paraId="6C0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4" w:type="pct"/>
            <w:shd w:val="clear" w:color="auto" w:fill="auto"/>
            <w:vAlign w:val="center"/>
          </w:tcPr>
          <w:p w14:paraId="64CFBBAB">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10</w:t>
            </w:r>
          </w:p>
        </w:tc>
        <w:tc>
          <w:tcPr>
            <w:tcW w:w="452" w:type="pct"/>
            <w:shd w:val="clear" w:color="auto" w:fill="auto"/>
            <w:vAlign w:val="center"/>
          </w:tcPr>
          <w:p w14:paraId="54057650">
            <w:pPr>
              <w:widowControl/>
              <w:jc w:val="center"/>
              <w:rPr>
                <w:rFonts w:hint="eastAsia" w:asciiTheme="majorEastAsia" w:hAnsiTheme="majorEastAsia" w:eastAsiaTheme="majorEastAsia" w:cstheme="majorEastAsia"/>
                <w:bCs/>
                <w:color w:val="auto"/>
                <w:kern w:val="0"/>
                <w:sz w:val="21"/>
                <w:szCs w:val="21"/>
                <w:lang w:eastAsia="zh-CN"/>
              </w:rPr>
            </w:pPr>
            <w:r>
              <w:rPr>
                <w:rFonts w:hint="eastAsia" w:asciiTheme="majorEastAsia" w:hAnsiTheme="majorEastAsia" w:eastAsiaTheme="majorEastAsia" w:cstheme="majorEastAsia"/>
                <w:bCs/>
                <w:color w:val="auto"/>
                <w:kern w:val="0"/>
                <w:sz w:val="21"/>
                <w:szCs w:val="21"/>
                <w:lang w:eastAsia="zh-CN"/>
              </w:rPr>
              <w:t>吊扇</w:t>
            </w:r>
          </w:p>
        </w:tc>
        <w:tc>
          <w:tcPr>
            <w:tcW w:w="2715" w:type="pct"/>
            <w:shd w:val="clear" w:color="auto" w:fill="auto"/>
            <w:vAlign w:val="center"/>
          </w:tcPr>
          <w:p w14:paraId="6EEDBC5D">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1、额定电压/频率：220V / 50Hz。</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2、电机：纯铜/铜芯电机。</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3、控制：机械壁控；3–5档风速。</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4、扇叶：铁/不锈钢，3叶。</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5、吊杆：标准约34cm。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6、约48寸（1200mm）</w:t>
            </w:r>
            <w:r>
              <w:rPr>
                <w:rFonts w:hint="eastAsia" w:asciiTheme="majorEastAsia" w:hAnsiTheme="majorEastAsia" w:eastAsiaTheme="majorEastAsia" w:cstheme="majorEastAsia"/>
                <w:i w:val="0"/>
                <w:iCs w:val="0"/>
                <w:color w:val="auto"/>
                <w:kern w:val="0"/>
                <w:sz w:val="21"/>
                <w:szCs w:val="21"/>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u w:val="none"/>
                <w:lang w:val="en-US" w:eastAsia="zh-CN" w:bidi="ar"/>
              </w:rPr>
              <w:t>7功率：≥55W。</w:t>
            </w:r>
          </w:p>
        </w:tc>
        <w:tc>
          <w:tcPr>
            <w:tcW w:w="353" w:type="pct"/>
            <w:shd w:val="clear" w:color="000000" w:fill="FFFFFF"/>
            <w:vAlign w:val="center"/>
          </w:tcPr>
          <w:p w14:paraId="4E864D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台</w:t>
            </w:r>
          </w:p>
        </w:tc>
        <w:tc>
          <w:tcPr>
            <w:tcW w:w="326" w:type="pct"/>
            <w:shd w:val="clear" w:color="000000" w:fill="FFFFFF"/>
            <w:vAlign w:val="center"/>
          </w:tcPr>
          <w:p w14:paraId="325BC0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100</w:t>
            </w:r>
          </w:p>
        </w:tc>
        <w:tc>
          <w:tcPr>
            <w:tcW w:w="410" w:type="pct"/>
            <w:shd w:val="clear" w:color="000000" w:fill="FFFFFF"/>
            <w:vAlign w:val="center"/>
          </w:tcPr>
          <w:p w14:paraId="6E512D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200</w:t>
            </w:r>
          </w:p>
        </w:tc>
        <w:tc>
          <w:tcPr>
            <w:tcW w:w="467" w:type="pct"/>
            <w:shd w:val="clear" w:color="000000" w:fill="FFFFFF"/>
            <w:vAlign w:val="center"/>
          </w:tcPr>
          <w:p w14:paraId="1B179C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2"/>
                <w:sz w:val="21"/>
                <w:szCs w:val="21"/>
                <w:u w:val="none"/>
                <w:lang w:val="en-US" w:eastAsia="zh-CN" w:bidi="ar-SA"/>
              </w:rPr>
            </w:pPr>
            <w:r>
              <w:rPr>
                <w:rFonts w:hint="eastAsia" w:asciiTheme="majorEastAsia" w:hAnsiTheme="majorEastAsia" w:eastAsiaTheme="majorEastAsia" w:cstheme="majorEastAsia"/>
                <w:i w:val="0"/>
                <w:iCs w:val="0"/>
                <w:color w:val="auto"/>
                <w:kern w:val="0"/>
                <w:sz w:val="21"/>
                <w:szCs w:val="21"/>
                <w:u w:val="none"/>
                <w:lang w:val="en-US" w:eastAsia="zh-CN" w:bidi="ar"/>
              </w:rPr>
              <w:t>20000</w:t>
            </w:r>
          </w:p>
        </w:tc>
      </w:tr>
      <w:tr w14:paraId="122E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532" w:type="pct"/>
            <w:gridSpan w:val="6"/>
            <w:shd w:val="clear" w:color="auto" w:fill="auto"/>
            <w:vAlign w:val="center"/>
          </w:tcPr>
          <w:p w14:paraId="3526F5D5">
            <w:pPr>
              <w:widowControl/>
              <w:jc w:val="center"/>
              <w:rPr>
                <w:rFonts w:hint="eastAsia" w:asciiTheme="majorEastAsia" w:hAnsiTheme="majorEastAsia" w:eastAsiaTheme="majorEastAsia" w:cstheme="majorEastAsia"/>
                <w:bCs/>
                <w:color w:val="auto"/>
                <w:kern w:val="0"/>
                <w:sz w:val="21"/>
                <w:szCs w:val="21"/>
              </w:rPr>
            </w:pPr>
            <w:r>
              <w:rPr>
                <w:rFonts w:hint="eastAsia" w:asciiTheme="majorEastAsia" w:hAnsiTheme="majorEastAsia" w:eastAsiaTheme="majorEastAsia" w:cstheme="majorEastAsia"/>
                <w:bCs/>
                <w:color w:val="auto"/>
                <w:sz w:val="21"/>
                <w:szCs w:val="21"/>
                <w:lang w:val="en-US" w:eastAsia="zh-CN"/>
              </w:rPr>
              <w:t>合计：</w:t>
            </w:r>
            <w:r>
              <w:rPr>
                <w:rFonts w:hint="eastAsia" w:asciiTheme="majorEastAsia" w:hAnsiTheme="majorEastAsia" w:eastAsiaTheme="majorEastAsia" w:cstheme="majorEastAsia"/>
                <w:bCs/>
                <w:color w:val="auto"/>
                <w:sz w:val="21"/>
                <w:szCs w:val="21"/>
                <w:lang w:val="en-US" w:eastAsia="zh-CN"/>
              </w:rPr>
              <w:fldChar w:fldCharType="begin"/>
            </w:r>
            <w:r>
              <w:rPr>
                <w:rFonts w:hint="eastAsia" w:asciiTheme="majorEastAsia" w:hAnsiTheme="majorEastAsia" w:eastAsiaTheme="majorEastAsia" w:cstheme="majorEastAsia"/>
                <w:bCs/>
                <w:color w:val="auto"/>
                <w:sz w:val="21"/>
                <w:szCs w:val="21"/>
                <w:lang w:val="en-US" w:eastAsia="zh-CN"/>
              </w:rPr>
              <w:instrText xml:space="preserve"> = 740000 \* CHINESENUM4 \* MERGEFORMAT </w:instrText>
            </w:r>
            <w:r>
              <w:rPr>
                <w:rFonts w:hint="eastAsia" w:asciiTheme="majorEastAsia" w:hAnsiTheme="majorEastAsia" w:eastAsiaTheme="majorEastAsia" w:cstheme="majorEastAsia"/>
                <w:bCs/>
                <w:color w:val="auto"/>
                <w:sz w:val="21"/>
                <w:szCs w:val="21"/>
                <w:lang w:val="en-US" w:eastAsia="zh-CN"/>
              </w:rPr>
              <w:fldChar w:fldCharType="separate"/>
            </w:r>
            <w:r>
              <w:rPr>
                <w:rFonts w:hint="eastAsia" w:asciiTheme="majorEastAsia" w:hAnsiTheme="majorEastAsia" w:eastAsiaTheme="majorEastAsia" w:cstheme="majorEastAsia"/>
                <w:color w:val="auto"/>
                <w:sz w:val="21"/>
                <w:szCs w:val="21"/>
              </w:rPr>
              <w:t>柒拾肆万元整</w:t>
            </w:r>
            <w:r>
              <w:rPr>
                <w:rFonts w:hint="eastAsia" w:asciiTheme="majorEastAsia" w:hAnsiTheme="majorEastAsia" w:eastAsiaTheme="majorEastAsia" w:cstheme="majorEastAsia"/>
                <w:bCs/>
                <w:color w:val="auto"/>
                <w:sz w:val="21"/>
                <w:szCs w:val="21"/>
                <w:lang w:val="en-US" w:eastAsia="zh-CN"/>
              </w:rPr>
              <w:fldChar w:fldCharType="end"/>
            </w:r>
          </w:p>
        </w:tc>
        <w:tc>
          <w:tcPr>
            <w:tcW w:w="467" w:type="pct"/>
            <w:shd w:val="clear" w:color="auto" w:fill="auto"/>
            <w:vAlign w:val="center"/>
          </w:tcPr>
          <w:p w14:paraId="7194BD82">
            <w:pPr>
              <w:widowControl/>
              <w:jc w:val="center"/>
              <w:rPr>
                <w:rFonts w:hint="eastAsia" w:asciiTheme="majorEastAsia" w:hAnsiTheme="majorEastAsia" w:eastAsiaTheme="majorEastAsia" w:cstheme="majorEastAsia"/>
                <w:bCs/>
                <w:color w:val="auto"/>
                <w:kern w:val="0"/>
                <w:sz w:val="21"/>
                <w:szCs w:val="21"/>
                <w:lang w:val="en-US" w:eastAsia="zh-CN"/>
              </w:rPr>
            </w:pPr>
            <w:r>
              <w:rPr>
                <w:rFonts w:hint="eastAsia" w:asciiTheme="majorEastAsia" w:hAnsiTheme="majorEastAsia" w:eastAsiaTheme="majorEastAsia" w:cstheme="majorEastAsia"/>
                <w:bCs/>
                <w:color w:val="auto"/>
                <w:kern w:val="0"/>
                <w:sz w:val="21"/>
                <w:szCs w:val="21"/>
                <w:lang w:val="en-US" w:eastAsia="zh-CN"/>
              </w:rPr>
              <w:t>740000</w:t>
            </w:r>
          </w:p>
        </w:tc>
      </w:tr>
    </w:tbl>
    <w:p w14:paraId="5529F8A1">
      <w:pPr>
        <w:jc w:val="left"/>
        <w:rPr>
          <w:rFonts w:ascii="宋体" w:hAnsi="宋体" w:eastAsia="宋体" w:cs="宋体"/>
          <w:bCs/>
          <w:color w:val="auto"/>
          <w:sz w:val="24"/>
        </w:rPr>
      </w:pPr>
    </w:p>
    <w:p w14:paraId="5CE4FBDC">
      <w:pPr>
        <w:jc w:val="left"/>
        <w:rPr>
          <w:rFonts w:ascii="宋体" w:hAnsi="宋体" w:eastAsia="宋体" w:cs="宋体"/>
          <w:bCs/>
          <w:color w:val="auto"/>
          <w:sz w:val="24"/>
        </w:rPr>
      </w:pPr>
    </w:p>
    <w:p w14:paraId="63522DFF">
      <w:pPr>
        <w:jc w:val="left"/>
        <w:rPr>
          <w:rFonts w:ascii="宋体" w:hAnsi="宋体" w:eastAsia="宋体" w:cs="宋体"/>
          <w:bCs/>
          <w:color w:val="auto"/>
          <w:sz w:val="24"/>
        </w:rPr>
      </w:pPr>
    </w:p>
    <w:tbl>
      <w:tblPr>
        <w:tblStyle w:val="6"/>
        <w:tblW w:w="10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1"/>
      </w:tblGrid>
      <w:tr w14:paraId="63F6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91" w:type="dxa"/>
            <w:shd w:val="clear" w:color="auto" w:fill="auto"/>
            <w:vAlign w:val="center"/>
          </w:tcPr>
          <w:p w14:paraId="59DF44BF">
            <w:pPr>
              <w:spacing w:line="400" w:lineRule="exact"/>
              <w:ind w:firstLine="422" w:firstLineChars="200"/>
              <w:rPr>
                <w:rFonts w:ascii="宋体" w:hAnsi="宋体" w:eastAsia="宋体" w:cs="宋体"/>
                <w:b/>
                <w:color w:val="auto"/>
              </w:rPr>
            </w:pPr>
            <w:r>
              <w:rPr>
                <w:rFonts w:hint="eastAsia" w:ascii="宋体" w:hAnsi="宋体" w:eastAsia="宋体" w:cs="宋体"/>
                <w:b/>
                <w:color w:val="auto"/>
              </w:rPr>
              <w:t>商务要求：</w:t>
            </w:r>
          </w:p>
          <w:p w14:paraId="188EF270">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一、响应要求</w:t>
            </w:r>
          </w:p>
          <w:p w14:paraId="7865B59F">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eastAsia" w:ascii="Times New Roman" w:hAnsi="Times New Roman" w:eastAsia="宋体" w:cs="Times New Roman"/>
                <w:color w:val="auto"/>
                <w:kern w:val="0"/>
                <w:sz w:val="23"/>
                <w:szCs w:val="23"/>
                <w:lang w:val="en-US" w:eastAsia="zh-CN" w:bidi="ar"/>
              </w:rPr>
              <w:t>1</w:t>
            </w:r>
            <w:r>
              <w:rPr>
                <w:rFonts w:hint="default" w:ascii="Times New Roman" w:hAnsi="Times New Roman" w:eastAsia="宋体" w:cs="Times New Roman"/>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本采购需求均为实质性要求，若供应商有任意一项不满足，按响应无效处理。</w:t>
            </w:r>
          </w:p>
          <w:p w14:paraId="75A0634F">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default" w:ascii="Times New Roman" w:hAnsi="Times New Roman" w:eastAsia="宋体" w:cs="Times New Roman"/>
                <w:color w:val="auto"/>
                <w:kern w:val="0"/>
                <w:sz w:val="23"/>
                <w:szCs w:val="23"/>
                <w:lang w:val="en-US" w:eastAsia="zh-CN" w:bidi="ar"/>
              </w:rPr>
              <w:t>2.</w:t>
            </w:r>
            <w:r>
              <w:rPr>
                <w:rFonts w:hint="eastAsia" w:ascii="宋体" w:hAnsi="宋体" w:eastAsia="宋体" w:cs="宋体"/>
                <w:color w:val="auto"/>
                <w:kern w:val="0"/>
                <w:sz w:val="23"/>
                <w:szCs w:val="23"/>
                <w:lang w:val="en-US" w:eastAsia="zh-CN" w:bidi="ar"/>
              </w:rPr>
              <w:t>针对技术要求中标注</w:t>
            </w:r>
            <w:r>
              <w:rPr>
                <w:rFonts w:hint="default" w:ascii="Times New Roman" w:hAnsi="Times New Roman" w:eastAsia="宋体" w:cs="Times New Roman"/>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w:t>
            </w:r>
            <w:r>
              <w:rPr>
                <w:rFonts w:hint="default" w:ascii="Times New Roman" w:hAnsi="Times New Roman" w:eastAsia="宋体" w:cs="Times New Roman"/>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条款，供应商于竞价时必须提供（上传）所竞产品由提供第三方检测机构出具的检测报告复印件或全国认证认可信息公共服务平台检测报告编号查询截图，否则按响应无效处理 。</w:t>
            </w:r>
          </w:p>
          <w:p w14:paraId="6ECFE160">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default" w:ascii="Times New Roman" w:hAnsi="Times New Roman" w:eastAsia="宋体" w:cs="Times New Roman"/>
                <w:color w:val="auto"/>
                <w:kern w:val="0"/>
                <w:sz w:val="23"/>
                <w:szCs w:val="23"/>
                <w:lang w:val="en-US" w:eastAsia="zh-CN" w:bidi="ar"/>
              </w:rPr>
              <w:t>3.</w:t>
            </w:r>
            <w:r>
              <w:rPr>
                <w:rFonts w:hint="eastAsia" w:ascii="宋体" w:hAnsi="宋体" w:eastAsia="宋体" w:cs="宋体"/>
                <w:color w:val="auto"/>
                <w:kern w:val="0"/>
                <w:sz w:val="23"/>
                <w:szCs w:val="23"/>
                <w:lang w:val="en-US" w:eastAsia="zh-CN" w:bidi="ar"/>
              </w:rPr>
              <w:t xml:space="preserve">供应商于报价时必须提供（上传）完整唯一的报价明细表、技术响应表和商务响应表（格式详见附表《教学设备采购在线询价响应文件（格式）》），并加盖供应商公章，响应内容必须相应满足全部技术要求及商务要求，否则，按响应无效处理。 </w:t>
            </w:r>
          </w:p>
          <w:p w14:paraId="279109B7">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default" w:ascii="Times New Roman" w:hAnsi="Times New Roman" w:eastAsia="宋体" w:cs="Times New Roman"/>
                <w:color w:val="auto"/>
                <w:kern w:val="0"/>
                <w:sz w:val="23"/>
                <w:szCs w:val="23"/>
                <w:lang w:val="en-US" w:eastAsia="zh-CN" w:bidi="ar"/>
              </w:rPr>
              <w:t>4.</w:t>
            </w:r>
            <w:r>
              <w:rPr>
                <w:rFonts w:hint="eastAsia" w:ascii="宋体" w:hAnsi="宋体" w:eastAsia="宋体" w:cs="宋体"/>
                <w:color w:val="auto"/>
                <w:kern w:val="0"/>
                <w:sz w:val="23"/>
                <w:szCs w:val="23"/>
                <w:lang w:val="en-US" w:eastAsia="zh-CN" w:bidi="ar"/>
              </w:rPr>
              <w:t xml:space="preserve">便于售后服务及时响应，要求成交商在南宁市区有服务机构或者服务网点，并提供相关证明。 </w:t>
            </w:r>
          </w:p>
          <w:p w14:paraId="4A21E9DB">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default" w:ascii="Times New Roman" w:hAnsi="Times New Roman" w:eastAsia="宋体" w:cs="Times New Roman"/>
                <w:color w:val="auto"/>
                <w:kern w:val="0"/>
                <w:sz w:val="23"/>
                <w:szCs w:val="23"/>
                <w:lang w:val="en-US" w:eastAsia="zh-CN" w:bidi="ar"/>
              </w:rPr>
              <w:t>5.</w:t>
            </w:r>
            <w:r>
              <w:rPr>
                <w:rFonts w:hint="eastAsia" w:ascii="宋体" w:hAnsi="宋体" w:eastAsia="宋体" w:cs="宋体"/>
                <w:color w:val="auto"/>
                <w:kern w:val="0"/>
                <w:sz w:val="23"/>
                <w:szCs w:val="23"/>
                <w:lang w:val="en-US" w:eastAsia="zh-CN" w:bidi="ar"/>
              </w:rPr>
              <w:t>成交供应商须严格按照本采购需求进行响应，不得延误采购进展或耽误货物使用，响应即为同意全部以上要求 ，如交付产品不符，采购人必将按供应商虚假响应向政采云平台和相关政府采购管理部门举报并追究恶意扰乱规则的供应商责任。</w:t>
            </w:r>
          </w:p>
          <w:p w14:paraId="538E5954">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二、报价要求</w:t>
            </w:r>
          </w:p>
          <w:p w14:paraId="0F887090">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default" w:ascii="Times New Roman" w:hAnsi="Times New Roman" w:eastAsia="宋体" w:cs="Times New Roman"/>
                <w:color w:val="auto"/>
                <w:kern w:val="0"/>
                <w:sz w:val="23"/>
                <w:szCs w:val="23"/>
                <w:lang w:val="en-US" w:eastAsia="zh-CN" w:bidi="ar"/>
              </w:rPr>
              <w:t>1.</w:t>
            </w:r>
            <w:r>
              <w:rPr>
                <w:rFonts w:hint="eastAsia" w:ascii="宋体" w:hAnsi="宋体" w:eastAsia="宋体" w:cs="宋体"/>
                <w:color w:val="auto"/>
                <w:kern w:val="0"/>
                <w:sz w:val="23"/>
                <w:szCs w:val="23"/>
                <w:lang w:val="en-US" w:eastAsia="zh-CN" w:bidi="ar"/>
              </w:rPr>
              <w:t>本项目采购预算为人民币</w:t>
            </w:r>
            <w:r>
              <w:rPr>
                <w:rFonts w:hint="eastAsia" w:ascii="宋体" w:hAnsi="宋体" w:eastAsia="宋体" w:cs="宋体"/>
                <w:color w:val="auto"/>
                <w:kern w:val="0"/>
                <w:sz w:val="23"/>
                <w:szCs w:val="23"/>
                <w:lang w:val="en-US" w:eastAsia="zh-CN" w:bidi="ar"/>
              </w:rPr>
              <w:fldChar w:fldCharType="begin"/>
            </w:r>
            <w:r>
              <w:rPr>
                <w:rFonts w:hint="eastAsia" w:ascii="宋体" w:hAnsi="宋体" w:eastAsia="宋体" w:cs="宋体"/>
                <w:color w:val="auto"/>
                <w:kern w:val="0"/>
                <w:sz w:val="23"/>
                <w:szCs w:val="23"/>
                <w:lang w:val="en-US" w:eastAsia="zh-CN" w:bidi="ar"/>
              </w:rPr>
              <w:instrText xml:space="preserve"> = 740000 \* CHINESENUM4 \* MERGEFORMAT </w:instrText>
            </w:r>
            <w:r>
              <w:rPr>
                <w:rFonts w:hint="eastAsia" w:ascii="宋体" w:hAnsi="宋体" w:eastAsia="宋体" w:cs="宋体"/>
                <w:color w:val="auto"/>
                <w:kern w:val="0"/>
                <w:sz w:val="23"/>
                <w:szCs w:val="23"/>
                <w:lang w:val="en-US" w:eastAsia="zh-CN" w:bidi="ar"/>
              </w:rPr>
              <w:fldChar w:fldCharType="separate"/>
            </w:r>
            <w:r>
              <w:rPr>
                <w:rFonts w:hint="eastAsia" w:ascii="宋体" w:hAnsi="宋体" w:eastAsia="宋体" w:cs="宋体"/>
                <w:color w:val="auto"/>
                <w:kern w:val="0"/>
                <w:sz w:val="23"/>
                <w:szCs w:val="23"/>
                <w:lang w:val="en-US" w:eastAsia="zh-CN" w:bidi="ar"/>
              </w:rPr>
              <w:t>柒拾肆万元整</w:t>
            </w:r>
            <w:r>
              <w:rPr>
                <w:rFonts w:hint="eastAsia" w:ascii="宋体" w:hAnsi="宋体" w:eastAsia="宋体" w:cs="宋体"/>
                <w:color w:val="auto"/>
                <w:kern w:val="0"/>
                <w:sz w:val="23"/>
                <w:szCs w:val="23"/>
                <w:lang w:val="en-US" w:eastAsia="zh-CN" w:bidi="ar"/>
              </w:rPr>
              <w:fldChar w:fldCharType="end"/>
            </w:r>
            <w:r>
              <w:rPr>
                <w:rFonts w:hint="eastAsia" w:ascii="宋体" w:hAnsi="宋体" w:eastAsia="宋体" w:cs="宋体"/>
                <w:color w:val="auto"/>
                <w:kern w:val="0"/>
                <w:sz w:val="23"/>
                <w:szCs w:val="23"/>
                <w:lang w:val="en-US" w:eastAsia="zh-CN" w:bidi="ar"/>
              </w:rPr>
              <w:t>（</w:t>
            </w:r>
            <w:r>
              <w:rPr>
                <w:rFonts w:hint="default" w:ascii="Times New Roman" w:hAnsi="Times New Roman" w:eastAsia="宋体" w:cs="Times New Roman"/>
                <w:color w:val="auto"/>
                <w:kern w:val="0"/>
                <w:sz w:val="23"/>
                <w:szCs w:val="23"/>
                <w:lang w:val="en-US" w:eastAsia="zh-CN" w:bidi="ar"/>
              </w:rPr>
              <w:t>¥</w:t>
            </w:r>
            <w:r>
              <w:rPr>
                <w:rFonts w:hint="eastAsia" w:ascii="Times New Roman" w:hAnsi="Times New Roman" w:eastAsia="宋体" w:cs="Times New Roman"/>
                <w:color w:val="auto"/>
                <w:kern w:val="0"/>
                <w:sz w:val="23"/>
                <w:szCs w:val="23"/>
                <w:lang w:val="en-US" w:eastAsia="zh-CN" w:bidi="ar"/>
              </w:rPr>
              <w:t>740000</w:t>
            </w:r>
            <w:r>
              <w:rPr>
                <w:rFonts w:hint="default" w:ascii="Times New Roman" w:hAnsi="Times New Roman" w:eastAsia="宋体" w:cs="Times New Roman"/>
                <w:color w:val="auto"/>
                <w:kern w:val="0"/>
                <w:sz w:val="23"/>
                <w:szCs w:val="23"/>
                <w:lang w:val="en-US" w:eastAsia="zh-CN" w:bidi="ar"/>
              </w:rPr>
              <w:t>.00</w:t>
            </w:r>
            <w:r>
              <w:rPr>
                <w:rFonts w:hint="eastAsia" w:ascii="宋体" w:hAnsi="宋体" w:eastAsia="宋体" w:cs="宋体"/>
                <w:color w:val="auto"/>
                <w:kern w:val="0"/>
                <w:sz w:val="23"/>
                <w:szCs w:val="23"/>
                <w:lang w:val="en-US" w:eastAsia="zh-CN" w:bidi="ar"/>
              </w:rPr>
              <w:t xml:space="preserve">）。供应商报价超采购预算的，按响应无效处理。 </w:t>
            </w:r>
          </w:p>
          <w:p w14:paraId="7C567C0A">
            <w:pPr>
              <w:keepNext w:val="0"/>
              <w:keepLines w:val="0"/>
              <w:widowControl/>
              <w:suppressLineNumbers w:val="0"/>
              <w:jc w:val="left"/>
              <w:rPr>
                <w:color w:val="auto"/>
              </w:rPr>
            </w:pPr>
            <w:r>
              <w:rPr>
                <w:rFonts w:hint="default" w:ascii="Times New Roman" w:hAnsi="Times New Roman" w:eastAsia="宋体" w:cs="Times New Roman"/>
                <w:color w:val="auto"/>
                <w:kern w:val="0"/>
                <w:sz w:val="23"/>
                <w:szCs w:val="23"/>
                <w:lang w:val="en-US" w:eastAsia="zh-CN" w:bidi="ar"/>
              </w:rPr>
              <w:t>2.</w:t>
            </w:r>
            <w:r>
              <w:rPr>
                <w:rFonts w:hint="eastAsia" w:ascii="宋体" w:hAnsi="宋体" w:eastAsia="宋体" w:cs="宋体"/>
                <w:color w:val="auto"/>
                <w:kern w:val="0"/>
                <w:sz w:val="23"/>
                <w:szCs w:val="23"/>
                <w:lang w:val="en-US" w:eastAsia="zh-CN" w:bidi="ar"/>
              </w:rPr>
              <w:t>供应商报价应包含采购范围内货物、货物标准附件、备品配件、专用工具、包装、运输、装卸、保险、施工人员意外保险及意外伤害赔偿金、税金、货到就位和安装、调试、培训、保修等费用的总和。供应商应对本项目的所有内容范围的货物及服务进行总承包报价，采购人不再支付其余任何费用。</w:t>
            </w:r>
          </w:p>
          <w:p w14:paraId="5707FFBD">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三、合同签订</w:t>
            </w:r>
          </w:p>
          <w:p w14:paraId="57A2E9C7">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自中标通知书发出之日起</w:t>
            </w:r>
            <w:r>
              <w:rPr>
                <w:rFonts w:hint="default" w:ascii="Times New Roman" w:hAnsi="Times New Roman" w:eastAsia="宋体" w:cs="Times New Roman"/>
                <w:color w:val="auto"/>
                <w:kern w:val="0"/>
                <w:sz w:val="23"/>
                <w:szCs w:val="23"/>
                <w:lang w:val="en-US" w:eastAsia="zh-CN" w:bidi="ar"/>
              </w:rPr>
              <w:t>3</w:t>
            </w:r>
            <w:r>
              <w:rPr>
                <w:rFonts w:hint="eastAsia" w:ascii="宋体" w:hAnsi="宋体" w:eastAsia="宋体" w:cs="宋体"/>
                <w:color w:val="auto"/>
                <w:kern w:val="0"/>
                <w:sz w:val="23"/>
                <w:szCs w:val="23"/>
                <w:lang w:val="en-US" w:eastAsia="zh-CN" w:bidi="ar"/>
              </w:rPr>
              <w:t>个工作日内。</w:t>
            </w:r>
          </w:p>
          <w:p w14:paraId="5B78A0E9">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四、交货期限、地点</w:t>
            </w:r>
          </w:p>
          <w:p w14:paraId="2233D5F3">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自合同签订之日起</w:t>
            </w:r>
            <w:r>
              <w:rPr>
                <w:rFonts w:hint="eastAsia" w:ascii="Times New Roman" w:hAnsi="Times New Roman" w:eastAsia="宋体" w:cs="Times New Roman"/>
                <w:color w:val="auto"/>
                <w:kern w:val="0"/>
                <w:sz w:val="23"/>
                <w:szCs w:val="23"/>
                <w:lang w:val="en-US" w:eastAsia="zh-CN" w:bidi="ar"/>
              </w:rPr>
              <w:t>15</w:t>
            </w:r>
            <w:bookmarkStart w:id="0" w:name="_GoBack"/>
            <w:bookmarkEnd w:id="0"/>
            <w:r>
              <w:rPr>
                <w:rFonts w:hint="eastAsia" w:ascii="宋体" w:hAnsi="宋体" w:eastAsia="宋体" w:cs="宋体"/>
                <w:color w:val="auto"/>
                <w:kern w:val="0"/>
                <w:sz w:val="23"/>
                <w:szCs w:val="23"/>
                <w:lang w:val="en-US" w:eastAsia="zh-CN" w:bidi="ar"/>
              </w:rPr>
              <w:t>日内交货并安装调试完毕；并交货到采购方指定的地点。</w:t>
            </w:r>
          </w:p>
          <w:p w14:paraId="3ABFD671">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五、验收要求</w:t>
            </w:r>
          </w:p>
          <w:p w14:paraId="6695D568">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default" w:ascii="Times New Roman" w:hAnsi="Times New Roman" w:eastAsia="宋体" w:cs="Times New Roman"/>
                <w:color w:val="auto"/>
                <w:kern w:val="0"/>
                <w:sz w:val="23"/>
                <w:szCs w:val="23"/>
                <w:lang w:val="en-US" w:eastAsia="zh-CN" w:bidi="ar"/>
              </w:rPr>
              <w:t>1.</w:t>
            </w:r>
            <w:r>
              <w:rPr>
                <w:rFonts w:hint="eastAsia" w:ascii="宋体" w:hAnsi="宋体" w:eastAsia="宋体" w:cs="宋体"/>
                <w:color w:val="auto"/>
                <w:kern w:val="0"/>
                <w:sz w:val="23"/>
                <w:szCs w:val="23"/>
                <w:lang w:val="en-US" w:eastAsia="zh-CN" w:bidi="ar"/>
              </w:rPr>
              <w:t xml:space="preserve">成交供应商供货且安装完成后，由采购人、成交供应商共同现场验收，并出具验收文书。有必要时可委托第三方或具有相关资质的第三方检测机构（具备省级或以上质量技术监督部门颁发的计量认证资质 </w:t>
            </w:r>
            <w:r>
              <w:rPr>
                <w:rFonts w:hint="default" w:ascii="Times New Roman" w:hAnsi="Times New Roman" w:eastAsia="宋体" w:cs="Times New Roman"/>
                <w:color w:val="auto"/>
                <w:kern w:val="0"/>
                <w:sz w:val="23"/>
                <w:szCs w:val="23"/>
                <w:lang w:val="en-US" w:eastAsia="zh-CN" w:bidi="ar"/>
              </w:rPr>
              <w:t>CMA</w:t>
            </w:r>
            <w:r>
              <w:rPr>
                <w:rFonts w:hint="eastAsia" w:ascii="宋体" w:hAnsi="宋体" w:eastAsia="宋体" w:cs="宋体"/>
                <w:color w:val="auto"/>
                <w:kern w:val="0"/>
                <w:sz w:val="23"/>
                <w:szCs w:val="23"/>
                <w:lang w:val="en-US" w:eastAsia="zh-CN" w:bidi="ar"/>
              </w:rPr>
              <w:t xml:space="preserve">、国家实验室认证认可证书 </w:t>
            </w:r>
            <w:r>
              <w:rPr>
                <w:rFonts w:hint="default" w:ascii="Times New Roman" w:hAnsi="Times New Roman" w:eastAsia="宋体" w:cs="Times New Roman"/>
                <w:color w:val="auto"/>
                <w:kern w:val="0"/>
                <w:sz w:val="23"/>
                <w:szCs w:val="23"/>
                <w:lang w:val="en-US" w:eastAsia="zh-CN" w:bidi="ar"/>
              </w:rPr>
              <w:t>CNAS</w:t>
            </w:r>
            <w:r>
              <w:rPr>
                <w:rFonts w:hint="eastAsia" w:ascii="宋体" w:hAnsi="宋体" w:eastAsia="宋体" w:cs="宋体"/>
                <w:color w:val="auto"/>
                <w:kern w:val="0"/>
                <w:sz w:val="23"/>
                <w:szCs w:val="23"/>
                <w:lang w:val="en-US" w:eastAsia="zh-CN" w:bidi="ar"/>
              </w:rPr>
              <w:t xml:space="preserve">，且具备司法鉴定资质的检测机构）开展采购项目验收工作，相关费用由成交供应商支付。如抽取的货物检测报告结果不合格的，则视为货物不合格，须按采购人要求及时整改，如因此过程耽误交货时间导致采购人不能及时接受货物、安装货物、使用货物造成损失的，成交供应商承担由此所造成全部损失。 </w:t>
            </w:r>
          </w:p>
          <w:p w14:paraId="5F64EE5C">
            <w:pPr>
              <w:keepNext w:val="0"/>
              <w:keepLines w:val="0"/>
              <w:widowControl/>
              <w:suppressLineNumbers w:val="0"/>
              <w:jc w:val="left"/>
              <w:rPr>
                <w:color w:val="auto"/>
              </w:rPr>
            </w:pPr>
            <w:r>
              <w:rPr>
                <w:rFonts w:hint="default" w:ascii="Times New Roman" w:hAnsi="Times New Roman" w:eastAsia="宋体" w:cs="Times New Roman"/>
                <w:color w:val="auto"/>
                <w:kern w:val="0"/>
                <w:sz w:val="23"/>
                <w:szCs w:val="23"/>
                <w:lang w:val="en-US" w:eastAsia="zh-CN" w:bidi="ar"/>
              </w:rPr>
              <w:t>2.</w:t>
            </w:r>
            <w:r>
              <w:rPr>
                <w:rFonts w:hint="eastAsia" w:ascii="宋体" w:hAnsi="宋体" w:eastAsia="宋体" w:cs="宋体"/>
                <w:color w:val="auto"/>
                <w:kern w:val="0"/>
                <w:sz w:val="23"/>
                <w:szCs w:val="23"/>
                <w:lang w:val="en-US" w:eastAsia="zh-CN" w:bidi="ar"/>
              </w:rPr>
              <w:t>本次采购货物在完成所有安装调试并经采购人验收前，商品的丢失、损害或毁坏等风险由成交供应商承担。成交供应商组织安装调试期间应做到安全安装调试，不损坏采购人的设备设施，否则，应承担由于自身安全措施不力所造成的事故责任和造成的损失。</w:t>
            </w:r>
          </w:p>
          <w:p w14:paraId="3110FEF1">
            <w:pPr>
              <w:keepNext w:val="0"/>
              <w:keepLines w:val="0"/>
              <w:widowControl/>
              <w:suppressLineNumbers w:val="0"/>
              <w:jc w:val="left"/>
              <w:rPr>
                <w:color w:val="auto"/>
              </w:rPr>
            </w:pPr>
            <w:r>
              <w:rPr>
                <w:rFonts w:hint="eastAsia" w:ascii="宋体" w:hAnsi="宋体" w:eastAsia="宋体" w:cs="宋体"/>
                <w:color w:val="auto"/>
                <w:kern w:val="0"/>
                <w:sz w:val="23"/>
                <w:szCs w:val="23"/>
                <w:lang w:val="en-US" w:eastAsia="zh-CN" w:bidi="ar"/>
              </w:rPr>
              <w:t>六、售后服务要求</w:t>
            </w:r>
          </w:p>
          <w:p w14:paraId="53820DCF">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default" w:ascii="Times New Roman" w:hAnsi="Times New Roman" w:eastAsia="宋体" w:cs="Times New Roman"/>
                <w:color w:val="auto"/>
                <w:kern w:val="0"/>
                <w:sz w:val="23"/>
                <w:szCs w:val="23"/>
                <w:lang w:val="en-US" w:eastAsia="zh-CN" w:bidi="ar"/>
              </w:rPr>
              <w:t>1.</w:t>
            </w:r>
            <w:r>
              <w:rPr>
                <w:rFonts w:hint="eastAsia" w:ascii="宋体" w:hAnsi="宋体" w:eastAsia="宋体" w:cs="宋体"/>
                <w:color w:val="auto"/>
                <w:kern w:val="0"/>
                <w:sz w:val="23"/>
                <w:szCs w:val="23"/>
                <w:lang w:val="en-US" w:eastAsia="zh-CN" w:bidi="ar"/>
              </w:rPr>
              <w:t>免费保修期：按国家有关产品</w:t>
            </w:r>
            <w:r>
              <w:rPr>
                <w:rFonts w:hint="default" w:ascii="Times New Roman" w:hAnsi="Times New Roman" w:eastAsia="宋体" w:cs="Times New Roman"/>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三包</w:t>
            </w:r>
            <w:r>
              <w:rPr>
                <w:rFonts w:hint="default" w:ascii="Times New Roman" w:hAnsi="Times New Roman" w:eastAsia="宋体" w:cs="Times New Roman"/>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规定执行</w:t>
            </w:r>
            <w:r>
              <w:rPr>
                <w:rFonts w:hint="default" w:ascii="Times New Roman" w:hAnsi="Times New Roman" w:eastAsia="宋体" w:cs="Times New Roman"/>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三包</w:t>
            </w:r>
            <w:r>
              <w:rPr>
                <w:rFonts w:hint="default" w:ascii="Times New Roman" w:hAnsi="Times New Roman" w:eastAsia="宋体" w:cs="Times New Roman"/>
                <w:color w:val="auto"/>
                <w:kern w:val="0"/>
                <w:sz w:val="23"/>
                <w:szCs w:val="23"/>
                <w:lang w:val="en-US" w:eastAsia="zh-CN" w:bidi="ar"/>
              </w:rPr>
              <w:t>”</w:t>
            </w:r>
            <w:r>
              <w:rPr>
                <w:rFonts w:hint="eastAsia" w:ascii="宋体" w:hAnsi="宋体" w:eastAsia="宋体" w:cs="宋体"/>
                <w:color w:val="auto"/>
                <w:kern w:val="0"/>
                <w:sz w:val="23"/>
                <w:szCs w:val="23"/>
                <w:lang w:val="en-US" w:eastAsia="zh-CN" w:bidi="ar"/>
              </w:rPr>
              <w:t>，本项目整体免费保修期不少于</w:t>
            </w:r>
            <w:r>
              <w:rPr>
                <w:rFonts w:hint="default" w:ascii="Times New Roman" w:hAnsi="Times New Roman" w:eastAsia="宋体" w:cs="Times New Roman"/>
                <w:color w:val="auto"/>
                <w:kern w:val="0"/>
                <w:sz w:val="23"/>
                <w:szCs w:val="23"/>
                <w:lang w:val="en-US" w:eastAsia="zh-CN" w:bidi="ar"/>
              </w:rPr>
              <w:t>1</w:t>
            </w:r>
            <w:r>
              <w:rPr>
                <w:rFonts w:hint="eastAsia" w:ascii="宋体" w:hAnsi="宋体" w:eastAsia="宋体" w:cs="宋体"/>
                <w:color w:val="auto"/>
                <w:kern w:val="0"/>
                <w:sz w:val="23"/>
                <w:szCs w:val="23"/>
                <w:lang w:val="en-US" w:eastAsia="zh-CN" w:bidi="ar"/>
              </w:rPr>
              <w:t>年（免费保修期自验收合格之日起计算）（技术需求中有规定的，按其规定执行），提供免费上门保修服务。</w:t>
            </w:r>
          </w:p>
          <w:p w14:paraId="6085DB58">
            <w:pPr>
              <w:keepNext w:val="0"/>
              <w:keepLines w:val="0"/>
              <w:widowControl/>
              <w:suppressLineNumbers w:val="0"/>
              <w:jc w:val="left"/>
              <w:rPr>
                <w:color w:val="auto"/>
              </w:rPr>
            </w:pPr>
            <w:r>
              <w:rPr>
                <w:rFonts w:hint="default" w:ascii="Times New Roman" w:hAnsi="Times New Roman" w:eastAsia="宋体" w:cs="Times New Roman"/>
                <w:color w:val="auto"/>
                <w:kern w:val="0"/>
                <w:sz w:val="23"/>
                <w:szCs w:val="23"/>
                <w:lang w:val="en-US" w:eastAsia="zh-CN" w:bidi="ar"/>
              </w:rPr>
              <w:t>2.</w:t>
            </w:r>
            <w:r>
              <w:rPr>
                <w:rFonts w:hint="eastAsia" w:ascii="宋体" w:hAnsi="宋体" w:eastAsia="宋体" w:cs="宋体"/>
                <w:color w:val="auto"/>
                <w:kern w:val="0"/>
                <w:sz w:val="23"/>
                <w:szCs w:val="23"/>
                <w:lang w:val="en-US" w:eastAsia="zh-CN" w:bidi="ar"/>
              </w:rPr>
              <w:t>对于故障处理，要求成交供应商在质保期内提供</w:t>
            </w:r>
            <w:r>
              <w:rPr>
                <w:rFonts w:hint="default" w:ascii="Times New Roman" w:hAnsi="Times New Roman" w:eastAsia="宋体" w:cs="Times New Roman"/>
                <w:color w:val="auto"/>
                <w:kern w:val="0"/>
                <w:sz w:val="23"/>
                <w:szCs w:val="23"/>
                <w:lang w:val="en-US" w:eastAsia="zh-CN" w:bidi="ar"/>
              </w:rPr>
              <w:t>7*24</w:t>
            </w:r>
            <w:r>
              <w:rPr>
                <w:rFonts w:hint="eastAsia" w:ascii="宋体" w:hAnsi="宋体" w:eastAsia="宋体" w:cs="宋体"/>
                <w:color w:val="auto"/>
                <w:kern w:val="0"/>
                <w:sz w:val="23"/>
                <w:szCs w:val="23"/>
                <w:lang w:val="en-US" w:eastAsia="zh-CN" w:bidi="ar"/>
              </w:rPr>
              <w:t>小时提供免费提供维护服务。接到故障通知后成交供应商应在</w:t>
            </w:r>
            <w:r>
              <w:rPr>
                <w:rFonts w:hint="default" w:ascii="Times New Roman" w:hAnsi="Times New Roman" w:eastAsia="宋体" w:cs="Times New Roman"/>
                <w:color w:val="auto"/>
                <w:kern w:val="0"/>
                <w:sz w:val="23"/>
                <w:szCs w:val="23"/>
                <w:lang w:val="en-US" w:eastAsia="zh-CN" w:bidi="ar"/>
              </w:rPr>
              <w:t>30</w:t>
            </w:r>
            <w:r>
              <w:rPr>
                <w:rFonts w:hint="eastAsia" w:ascii="宋体" w:hAnsi="宋体" w:eastAsia="宋体" w:cs="宋体"/>
                <w:color w:val="auto"/>
                <w:kern w:val="0"/>
                <w:sz w:val="23"/>
                <w:szCs w:val="23"/>
                <w:lang w:val="en-US" w:eastAsia="zh-CN" w:bidi="ar"/>
              </w:rPr>
              <w:t>分钟内电话服务应答，</w:t>
            </w:r>
            <w:r>
              <w:rPr>
                <w:rFonts w:hint="default" w:ascii="Times New Roman" w:hAnsi="Times New Roman" w:eastAsia="宋体" w:cs="Times New Roman"/>
                <w:color w:val="auto"/>
                <w:kern w:val="0"/>
                <w:sz w:val="23"/>
                <w:szCs w:val="23"/>
                <w:lang w:val="en-US" w:eastAsia="zh-CN" w:bidi="ar"/>
              </w:rPr>
              <w:t>8</w:t>
            </w:r>
            <w:r>
              <w:rPr>
                <w:rFonts w:hint="eastAsia" w:ascii="宋体" w:hAnsi="宋体" w:eastAsia="宋体" w:cs="宋体"/>
                <w:color w:val="auto"/>
                <w:kern w:val="0"/>
                <w:sz w:val="23"/>
                <w:szCs w:val="23"/>
                <w:lang w:val="en-US" w:eastAsia="zh-CN" w:bidi="ar"/>
              </w:rPr>
              <w:t>个小时内现场维护响应，</w:t>
            </w:r>
            <w:r>
              <w:rPr>
                <w:rFonts w:hint="default" w:ascii="Times New Roman" w:hAnsi="Times New Roman" w:eastAsia="宋体" w:cs="Times New Roman"/>
                <w:color w:val="auto"/>
                <w:kern w:val="0"/>
                <w:sz w:val="23"/>
                <w:szCs w:val="23"/>
                <w:lang w:val="en-US" w:eastAsia="zh-CN" w:bidi="ar"/>
              </w:rPr>
              <w:t>24</w:t>
            </w:r>
            <w:r>
              <w:rPr>
                <w:rFonts w:hint="eastAsia" w:ascii="宋体" w:hAnsi="宋体" w:eastAsia="宋体" w:cs="宋体"/>
                <w:color w:val="auto"/>
                <w:kern w:val="0"/>
                <w:sz w:val="23"/>
                <w:szCs w:val="23"/>
                <w:lang w:val="en-US" w:eastAsia="zh-CN" w:bidi="ar"/>
              </w:rPr>
              <w:t>小时内提供解决方案，</w:t>
            </w:r>
            <w:r>
              <w:rPr>
                <w:rFonts w:hint="default" w:ascii="Times New Roman" w:hAnsi="Times New Roman" w:eastAsia="宋体" w:cs="Times New Roman"/>
                <w:color w:val="auto"/>
                <w:kern w:val="0"/>
                <w:sz w:val="23"/>
                <w:szCs w:val="23"/>
                <w:lang w:val="en-US" w:eastAsia="zh-CN" w:bidi="ar"/>
              </w:rPr>
              <w:t>24</w:t>
            </w:r>
            <w:r>
              <w:rPr>
                <w:rFonts w:hint="eastAsia" w:ascii="宋体" w:hAnsi="宋体" w:eastAsia="宋体" w:cs="宋体"/>
                <w:color w:val="auto"/>
                <w:kern w:val="0"/>
                <w:sz w:val="23"/>
                <w:szCs w:val="23"/>
                <w:lang w:val="en-US" w:eastAsia="zh-CN" w:bidi="ar"/>
              </w:rPr>
              <w:t>小时未解决故障的，必须提供性能不低于所供产品的备用设备。</w:t>
            </w:r>
          </w:p>
          <w:p w14:paraId="0EB3D68E">
            <w:pPr>
              <w:keepNext w:val="0"/>
              <w:keepLines w:val="0"/>
              <w:widowControl/>
              <w:suppressLineNumbers w:val="0"/>
              <w:jc w:val="left"/>
              <w:rPr>
                <w:rFonts w:hint="eastAsia" w:ascii="宋体" w:hAnsi="宋体" w:eastAsia="宋体" w:cs="宋体"/>
                <w:color w:val="auto"/>
                <w:kern w:val="0"/>
                <w:sz w:val="23"/>
                <w:szCs w:val="23"/>
                <w:lang w:val="en-US" w:eastAsia="zh-CN" w:bidi="ar"/>
              </w:rPr>
            </w:pPr>
            <w:r>
              <w:rPr>
                <w:rFonts w:hint="eastAsia" w:ascii="宋体" w:hAnsi="宋体" w:eastAsia="宋体" w:cs="宋体"/>
                <w:color w:val="auto"/>
                <w:kern w:val="0"/>
                <w:sz w:val="23"/>
                <w:szCs w:val="23"/>
                <w:lang w:val="en-US" w:eastAsia="zh-CN" w:bidi="ar"/>
              </w:rPr>
              <w:t>七、付款方式</w:t>
            </w:r>
          </w:p>
          <w:p w14:paraId="4428580D">
            <w:pPr>
              <w:keepNext w:val="0"/>
              <w:keepLines w:val="0"/>
              <w:widowControl/>
              <w:suppressLineNumbers w:val="0"/>
              <w:jc w:val="left"/>
              <w:rPr>
                <w:color w:val="FF0000"/>
              </w:rPr>
            </w:pPr>
            <w:r>
              <w:rPr>
                <w:rFonts w:hint="eastAsia" w:ascii="宋体" w:hAnsi="宋体" w:eastAsia="宋体" w:cs="宋体"/>
                <w:color w:val="FF0000"/>
                <w:kern w:val="0"/>
                <w:sz w:val="23"/>
                <w:szCs w:val="23"/>
                <w:lang w:val="en-US" w:eastAsia="zh-CN" w:bidi="ar"/>
              </w:rPr>
              <w:t>所有货物到货安装调试完毕且项目通过采购人或采购人授权代表、成交供应商同时进行的验收合格后，按财政国库集中支付规定程序办理；采购人收到成交供应商提供的发票（发票金额为合同金额的</w:t>
            </w:r>
            <w:r>
              <w:rPr>
                <w:rFonts w:hint="default" w:ascii="Times New Roman" w:hAnsi="Times New Roman" w:eastAsia="宋体" w:cs="Times New Roman"/>
                <w:color w:val="FF0000"/>
                <w:kern w:val="0"/>
                <w:sz w:val="23"/>
                <w:szCs w:val="23"/>
                <w:lang w:val="en-US" w:eastAsia="zh-CN" w:bidi="ar"/>
              </w:rPr>
              <w:t>100%</w:t>
            </w:r>
            <w:r>
              <w:rPr>
                <w:rFonts w:hint="eastAsia" w:ascii="宋体" w:hAnsi="宋体" w:eastAsia="宋体" w:cs="宋体"/>
                <w:color w:val="FF0000"/>
                <w:kern w:val="0"/>
                <w:sz w:val="23"/>
                <w:szCs w:val="23"/>
                <w:lang w:val="en-US" w:eastAsia="zh-CN" w:bidi="ar"/>
              </w:rPr>
              <w:t>）之日起壹年内支付完合同款（无利息）。</w:t>
            </w:r>
          </w:p>
          <w:p w14:paraId="45EEB91E">
            <w:pPr>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微软雅黑" w:hAnsi="微软雅黑" w:eastAsia="微软雅黑" w:cs="微软雅黑"/>
                <w:bCs/>
                <w:color w:val="auto"/>
                <w:sz w:val="18"/>
                <w:szCs w:val="18"/>
                <w:lang w:val="en-US" w:eastAsia="zh-CN"/>
              </w:rPr>
            </w:pPr>
          </w:p>
        </w:tc>
      </w:tr>
    </w:tbl>
    <w:p w14:paraId="74776AAF">
      <w:pPr>
        <w:jc w:val="left"/>
        <w:rPr>
          <w:rFonts w:ascii="宋体" w:hAnsi="宋体" w:eastAsia="宋体" w:cs="宋体"/>
          <w:bCs/>
          <w:color w:val="auto"/>
          <w:sz w:val="24"/>
        </w:rPr>
      </w:pPr>
    </w:p>
    <w:sectPr>
      <w:pgSz w:w="11906" w:h="16838"/>
      <w:pgMar w:top="1304" w:right="1440" w:bottom="1440"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xZjM2MTQzOGE3M2RiZThiYmNhODljYzJjNzJjNTUifQ=="/>
  </w:docVars>
  <w:rsids>
    <w:rsidRoot w:val="5BA430FC"/>
    <w:rsid w:val="00491D96"/>
    <w:rsid w:val="0078135F"/>
    <w:rsid w:val="00802A52"/>
    <w:rsid w:val="00BD3372"/>
    <w:rsid w:val="00E5474B"/>
    <w:rsid w:val="00F9240C"/>
    <w:rsid w:val="017652D8"/>
    <w:rsid w:val="023B6BC5"/>
    <w:rsid w:val="02A05455"/>
    <w:rsid w:val="04AB25F6"/>
    <w:rsid w:val="05334F2E"/>
    <w:rsid w:val="05E4714F"/>
    <w:rsid w:val="06431561"/>
    <w:rsid w:val="06EE06AA"/>
    <w:rsid w:val="08D34D56"/>
    <w:rsid w:val="091E72AA"/>
    <w:rsid w:val="09507CAC"/>
    <w:rsid w:val="098748C2"/>
    <w:rsid w:val="09C02FAF"/>
    <w:rsid w:val="0B2E6959"/>
    <w:rsid w:val="0BA34005"/>
    <w:rsid w:val="0D57120A"/>
    <w:rsid w:val="0DE05713"/>
    <w:rsid w:val="0E0C362C"/>
    <w:rsid w:val="0E326B94"/>
    <w:rsid w:val="0F626F2F"/>
    <w:rsid w:val="0FCE0CA6"/>
    <w:rsid w:val="10156FFC"/>
    <w:rsid w:val="10373296"/>
    <w:rsid w:val="10596514"/>
    <w:rsid w:val="11080BD7"/>
    <w:rsid w:val="12207D69"/>
    <w:rsid w:val="130A4DA5"/>
    <w:rsid w:val="13675752"/>
    <w:rsid w:val="14972B2A"/>
    <w:rsid w:val="15BC4AC1"/>
    <w:rsid w:val="16277318"/>
    <w:rsid w:val="164D719B"/>
    <w:rsid w:val="16556C04"/>
    <w:rsid w:val="16AB4A54"/>
    <w:rsid w:val="16CB4C6E"/>
    <w:rsid w:val="184A4E1E"/>
    <w:rsid w:val="1A0669A9"/>
    <w:rsid w:val="1ADD56B1"/>
    <w:rsid w:val="1B8225B3"/>
    <w:rsid w:val="1C4415CA"/>
    <w:rsid w:val="1E1C4EBD"/>
    <w:rsid w:val="1E811D91"/>
    <w:rsid w:val="1EAF16E2"/>
    <w:rsid w:val="201F41E1"/>
    <w:rsid w:val="21330D80"/>
    <w:rsid w:val="222E3EEA"/>
    <w:rsid w:val="22775051"/>
    <w:rsid w:val="22FB5810"/>
    <w:rsid w:val="23700712"/>
    <w:rsid w:val="24B57F02"/>
    <w:rsid w:val="24C60882"/>
    <w:rsid w:val="24FD7FDE"/>
    <w:rsid w:val="26CD0698"/>
    <w:rsid w:val="26CD0C40"/>
    <w:rsid w:val="27BD511B"/>
    <w:rsid w:val="282C4737"/>
    <w:rsid w:val="28F0501B"/>
    <w:rsid w:val="298A320D"/>
    <w:rsid w:val="2AC84060"/>
    <w:rsid w:val="2AE1104B"/>
    <w:rsid w:val="2C586F4D"/>
    <w:rsid w:val="2D457E96"/>
    <w:rsid w:val="2E8B665B"/>
    <w:rsid w:val="2F4F00D0"/>
    <w:rsid w:val="2F9075AA"/>
    <w:rsid w:val="2F9D1EC9"/>
    <w:rsid w:val="306C61F5"/>
    <w:rsid w:val="308233E6"/>
    <w:rsid w:val="311B47FD"/>
    <w:rsid w:val="31D450F3"/>
    <w:rsid w:val="32AB3EDE"/>
    <w:rsid w:val="3418025A"/>
    <w:rsid w:val="354F4DD5"/>
    <w:rsid w:val="356F7FFC"/>
    <w:rsid w:val="360729EB"/>
    <w:rsid w:val="36276280"/>
    <w:rsid w:val="367016B3"/>
    <w:rsid w:val="37B3452D"/>
    <w:rsid w:val="3A935A68"/>
    <w:rsid w:val="3A9942CD"/>
    <w:rsid w:val="3B4014F1"/>
    <w:rsid w:val="3B564181"/>
    <w:rsid w:val="3BAB1079"/>
    <w:rsid w:val="3D166E1A"/>
    <w:rsid w:val="3E16607D"/>
    <w:rsid w:val="3EC74986"/>
    <w:rsid w:val="3F0D09C6"/>
    <w:rsid w:val="3FA27361"/>
    <w:rsid w:val="40EF797C"/>
    <w:rsid w:val="444B7EDD"/>
    <w:rsid w:val="458E0249"/>
    <w:rsid w:val="45FA2636"/>
    <w:rsid w:val="463B6085"/>
    <w:rsid w:val="46475E9E"/>
    <w:rsid w:val="482A589F"/>
    <w:rsid w:val="482C0C1A"/>
    <w:rsid w:val="482F79B3"/>
    <w:rsid w:val="48380AEA"/>
    <w:rsid w:val="4A961B80"/>
    <w:rsid w:val="4AE42355"/>
    <w:rsid w:val="4AE51485"/>
    <w:rsid w:val="4C38770D"/>
    <w:rsid w:val="4D9117BA"/>
    <w:rsid w:val="4E3F4D58"/>
    <w:rsid w:val="4EF67677"/>
    <w:rsid w:val="4F0F54B5"/>
    <w:rsid w:val="4F2D229B"/>
    <w:rsid w:val="5047309D"/>
    <w:rsid w:val="51E97071"/>
    <w:rsid w:val="52483D98"/>
    <w:rsid w:val="525941F7"/>
    <w:rsid w:val="52A451A1"/>
    <w:rsid w:val="53EE4D91"/>
    <w:rsid w:val="56501E2E"/>
    <w:rsid w:val="56950093"/>
    <w:rsid w:val="56DC10DA"/>
    <w:rsid w:val="57CE1177"/>
    <w:rsid w:val="59115EBC"/>
    <w:rsid w:val="59E91A2B"/>
    <w:rsid w:val="5A186C76"/>
    <w:rsid w:val="5A7476F4"/>
    <w:rsid w:val="5A7A619D"/>
    <w:rsid w:val="5B130DAB"/>
    <w:rsid w:val="5BA430FC"/>
    <w:rsid w:val="5D083F57"/>
    <w:rsid w:val="5D104AB9"/>
    <w:rsid w:val="5F351B48"/>
    <w:rsid w:val="5F7D704B"/>
    <w:rsid w:val="5F927E71"/>
    <w:rsid w:val="600A54B0"/>
    <w:rsid w:val="60121E89"/>
    <w:rsid w:val="618E7ED4"/>
    <w:rsid w:val="62073C05"/>
    <w:rsid w:val="626A2F89"/>
    <w:rsid w:val="62C202F6"/>
    <w:rsid w:val="631F0B45"/>
    <w:rsid w:val="6412092B"/>
    <w:rsid w:val="64340620"/>
    <w:rsid w:val="65655C10"/>
    <w:rsid w:val="66F37199"/>
    <w:rsid w:val="670F6999"/>
    <w:rsid w:val="679958AE"/>
    <w:rsid w:val="680A7EC1"/>
    <w:rsid w:val="68801C2A"/>
    <w:rsid w:val="68BF0326"/>
    <w:rsid w:val="699A7E0B"/>
    <w:rsid w:val="6AD44AFB"/>
    <w:rsid w:val="6B2B1072"/>
    <w:rsid w:val="6C2D7F4E"/>
    <w:rsid w:val="6DF6230A"/>
    <w:rsid w:val="6E9147A1"/>
    <w:rsid w:val="6F2C651F"/>
    <w:rsid w:val="6F3C5AED"/>
    <w:rsid w:val="703E0C4E"/>
    <w:rsid w:val="709C1EE6"/>
    <w:rsid w:val="70C96594"/>
    <w:rsid w:val="72BB64BD"/>
    <w:rsid w:val="74B6336E"/>
    <w:rsid w:val="75107E41"/>
    <w:rsid w:val="75343457"/>
    <w:rsid w:val="76544B51"/>
    <w:rsid w:val="76873372"/>
    <w:rsid w:val="771428F8"/>
    <w:rsid w:val="779F3BAA"/>
    <w:rsid w:val="78DA18D1"/>
    <w:rsid w:val="7A0C0716"/>
    <w:rsid w:val="7AC66012"/>
    <w:rsid w:val="7B2E6B73"/>
    <w:rsid w:val="7CAE2BA1"/>
    <w:rsid w:val="7D29122B"/>
    <w:rsid w:val="7D500D96"/>
    <w:rsid w:val="7E074257"/>
    <w:rsid w:val="7E1F7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sz w:val="24"/>
    </w:rPr>
  </w:style>
  <w:style w:type="paragraph" w:styleId="3">
    <w:name w:val="Plain Text"/>
    <w:basedOn w:val="1"/>
    <w:qFormat/>
    <w:uiPriority w:val="0"/>
    <w:rPr>
      <w:rFonts w:ascii="宋体" w:hAnsi="Courier New"/>
      <w:szCs w:val="2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Hyperlink"/>
    <w:basedOn w:val="8"/>
    <w:qFormat/>
    <w:uiPriority w:val="0"/>
    <w:rPr>
      <w:color w:val="0000FF"/>
      <w:u w:val="single"/>
    </w:rPr>
  </w:style>
  <w:style w:type="paragraph" w:customStyle="1" w:styleId="11">
    <w:name w:val="列出段落1"/>
    <w:basedOn w:val="1"/>
    <w:qFormat/>
    <w:uiPriority w:val="0"/>
    <w:pPr>
      <w:ind w:firstLine="420" w:firstLineChars="200"/>
    </w:pPr>
    <w:rPr>
      <w:rFonts w:ascii="Calibri" w:hAnsi="Calibri" w:eastAsia="宋体" w:cs="Times New Roman"/>
    </w:rPr>
  </w:style>
  <w:style w:type="paragraph" w:customStyle="1" w:styleId="12">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13842</Words>
  <Characters>15970</Characters>
  <Lines>40</Lines>
  <Paragraphs>11</Paragraphs>
  <TotalTime>2</TotalTime>
  <ScaleCrop>false</ScaleCrop>
  <LinksUpToDate>false</LinksUpToDate>
  <CharactersWithSpaces>16293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2025-03-07T07:46:00Z</dcterms:created>
  <dc:creator>Administrator</dc:creator>
  <cp:lastModifiedBy>憧憬未来</cp:lastModifiedBy>
  <cp:lastPrinted>2026-06-08T08:30:00Z</cp:lastPrinted>
  <dcterms:modified xsi:type="dcterms:W3CDTF">2026-08-09T09:47:20Z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DE3245C711C9412AB412AD5CF6ADE817_13</vt:lpwstr>
  </property>
  <property fmtid="{D5CDD505-2E9C-101B-9397-08002B2CF9AE}" pid="4" name="KSOTemplateDocerSaveRecord">
    <vt:lpwstr>eyJoZGlkIjoiOTg4YWE0MjAzOTliOTVmNTcwZmVhYWJjNmVlZTQ5MTQiLCJ1c2VySWQiOiIxNzE5NzQ4NzEyIn0=</vt:lpwstr>
  </property>
</Properties>
</file>