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49F6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服务需求一览表</w:t>
      </w:r>
    </w:p>
    <w:p w14:paraId="3B6DBE65">
      <w:pPr>
        <w:pStyle w:val="2"/>
        <w:rPr>
          <w:rFonts w:hint="default"/>
        </w:rPr>
      </w:pPr>
    </w:p>
    <w:p w14:paraId="158C4FEA">
      <w:pPr>
        <w:pStyle w:val="2"/>
        <w:keepNext w:val="0"/>
        <w:keepLines w:val="0"/>
        <w:pageBreakBefore w:val="0"/>
        <w:widowControl w:val="0"/>
        <w:numPr>
          <w:ilvl w:val="0"/>
          <w:numId w:val="1"/>
        </w:numP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项目名称：</w:t>
      </w:r>
      <w:r>
        <w:rPr>
          <w:rFonts w:hint="eastAsia" w:ascii="仿宋_GB2312" w:hAnsi="仿宋_GB2312" w:eastAsia="仿宋_GB2312" w:cs="仿宋_GB2312"/>
          <w:i w:val="0"/>
          <w:iCs w:val="0"/>
          <w:caps w:val="0"/>
          <w:color w:val="333333"/>
          <w:spacing w:val="0"/>
          <w:sz w:val="28"/>
          <w:szCs w:val="28"/>
          <w:shd w:val="clear" w:fill="FFFFFF"/>
        </w:rPr>
        <w:t>城区征地拆迁“大会战”第七工作队办公楼网络服务</w:t>
      </w:r>
    </w:p>
    <w:p w14:paraId="692DD03E">
      <w:pPr>
        <w:pStyle w:val="2"/>
        <w:keepNext w:val="0"/>
        <w:keepLines w:val="0"/>
        <w:pageBreakBefore w:val="0"/>
        <w:widowControl w:val="0"/>
        <w:numPr>
          <w:ilvl w:val="0"/>
          <w:numId w:val="1"/>
        </w:numP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项目预算：</w:t>
      </w:r>
      <w:r>
        <w:rPr>
          <w:rFonts w:hint="eastAsia" w:ascii="仿宋_GB2312" w:hAnsi="仿宋_GB2312" w:eastAsia="仿宋_GB2312" w:cs="仿宋_GB2312"/>
          <w:b w:val="0"/>
          <w:bCs w:val="0"/>
          <w:sz w:val="28"/>
          <w:szCs w:val="28"/>
          <w:lang w:val="en-US" w:eastAsia="zh-CN"/>
        </w:rPr>
        <w:t>9.42万元</w:t>
      </w:r>
    </w:p>
    <w:p w14:paraId="4C7E4C80">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三、采购需求：</w:t>
      </w:r>
    </w:p>
    <w:tbl>
      <w:tblPr>
        <w:tblStyle w:val="5"/>
        <w:tblW w:w="8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7282"/>
      </w:tblGrid>
      <w:tr w14:paraId="5F83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93" w:type="dxa"/>
          </w:tcPr>
          <w:p w14:paraId="2137DD71">
            <w:pPr>
              <w:pStyle w:val="2"/>
              <w:numPr>
                <w:ilvl w:val="0"/>
                <w:numId w:val="0"/>
              </w:numPr>
              <w:jc w:val="center"/>
              <w:rPr>
                <w:rFonts w:hint="eastAsia"/>
                <w:sz w:val="21"/>
                <w:szCs w:val="21"/>
                <w:vertAlign w:val="baseline"/>
                <w:lang w:val="en-US" w:eastAsia="zh-CN"/>
              </w:rPr>
            </w:pPr>
          </w:p>
          <w:p w14:paraId="56062DEF">
            <w:pPr>
              <w:pStyle w:val="2"/>
              <w:numPr>
                <w:ilvl w:val="0"/>
                <w:numId w:val="0"/>
              </w:numPr>
              <w:jc w:val="center"/>
              <w:rPr>
                <w:rFonts w:hint="default"/>
                <w:sz w:val="21"/>
                <w:szCs w:val="21"/>
                <w:vertAlign w:val="baseline"/>
                <w:lang w:val="en-US" w:eastAsia="zh-CN"/>
              </w:rPr>
            </w:pPr>
            <w:r>
              <w:rPr>
                <w:rFonts w:hint="eastAsia"/>
                <w:sz w:val="21"/>
                <w:szCs w:val="21"/>
                <w:vertAlign w:val="baseline"/>
                <w:lang w:val="en-US" w:eastAsia="zh-CN"/>
              </w:rPr>
              <w:t>商品名称</w:t>
            </w:r>
          </w:p>
        </w:tc>
        <w:tc>
          <w:tcPr>
            <w:tcW w:w="7282" w:type="dxa"/>
          </w:tcPr>
          <w:p w14:paraId="7A27FF80">
            <w:pPr>
              <w:pStyle w:val="2"/>
              <w:numPr>
                <w:ilvl w:val="0"/>
                <w:numId w:val="0"/>
              </w:numPr>
              <w:jc w:val="center"/>
              <w:rPr>
                <w:rFonts w:hint="eastAsia"/>
                <w:sz w:val="21"/>
                <w:szCs w:val="21"/>
                <w:vertAlign w:val="baseline"/>
                <w:lang w:val="en-US" w:eastAsia="zh-CN"/>
              </w:rPr>
            </w:pPr>
          </w:p>
          <w:p w14:paraId="1937AF19">
            <w:pPr>
              <w:pStyle w:val="2"/>
              <w:numPr>
                <w:ilvl w:val="0"/>
                <w:numId w:val="0"/>
              </w:numPr>
              <w:jc w:val="center"/>
              <w:rPr>
                <w:rFonts w:hint="default"/>
                <w:sz w:val="21"/>
                <w:szCs w:val="21"/>
                <w:vertAlign w:val="baseline"/>
                <w:lang w:val="en-US" w:eastAsia="zh-CN"/>
              </w:rPr>
            </w:pPr>
            <w:r>
              <w:rPr>
                <w:rFonts w:hint="eastAsia"/>
                <w:sz w:val="21"/>
                <w:szCs w:val="21"/>
                <w:vertAlign w:val="baseline"/>
                <w:lang w:val="en-US" w:eastAsia="zh-CN"/>
              </w:rPr>
              <w:t>服务要求</w:t>
            </w:r>
          </w:p>
        </w:tc>
      </w:tr>
      <w:tr w14:paraId="00B6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8" w:hRule="atLeast"/>
        </w:trPr>
        <w:tc>
          <w:tcPr>
            <w:tcW w:w="1493" w:type="dxa"/>
          </w:tcPr>
          <w:p w14:paraId="755C4FA9">
            <w:pPr>
              <w:pStyle w:val="2"/>
              <w:numPr>
                <w:ilvl w:val="0"/>
                <w:numId w:val="0"/>
              </w:numPr>
              <w:rPr>
                <w:rFonts w:hint="eastAsia" w:ascii="宋体" w:hAnsi="宋体" w:eastAsia="宋体" w:cs="宋体"/>
                <w:sz w:val="21"/>
                <w:szCs w:val="21"/>
              </w:rPr>
            </w:pPr>
          </w:p>
          <w:p w14:paraId="3F61C9D9">
            <w:pPr>
              <w:pStyle w:val="2"/>
              <w:numPr>
                <w:ilvl w:val="0"/>
                <w:numId w:val="0"/>
              </w:numPr>
              <w:rPr>
                <w:rFonts w:hint="eastAsia" w:ascii="宋体" w:hAnsi="宋体" w:eastAsia="宋体" w:cs="宋体"/>
                <w:sz w:val="21"/>
                <w:szCs w:val="21"/>
              </w:rPr>
            </w:pPr>
          </w:p>
          <w:p w14:paraId="471FFF09">
            <w:pPr>
              <w:pStyle w:val="2"/>
              <w:numPr>
                <w:ilvl w:val="0"/>
                <w:numId w:val="0"/>
              </w:numPr>
              <w:rPr>
                <w:rFonts w:hint="eastAsia" w:ascii="宋体" w:hAnsi="宋体" w:eastAsia="宋体" w:cs="宋体"/>
                <w:sz w:val="21"/>
                <w:szCs w:val="21"/>
              </w:rPr>
            </w:pPr>
          </w:p>
          <w:p w14:paraId="12ABB0DF">
            <w:pPr>
              <w:pStyle w:val="2"/>
              <w:numPr>
                <w:ilvl w:val="0"/>
                <w:numId w:val="0"/>
              </w:numPr>
              <w:rPr>
                <w:rFonts w:hint="eastAsia" w:ascii="宋体" w:hAnsi="宋体" w:eastAsia="宋体" w:cs="宋体"/>
                <w:sz w:val="21"/>
                <w:szCs w:val="21"/>
              </w:rPr>
            </w:pPr>
          </w:p>
          <w:p w14:paraId="71225BA5">
            <w:pPr>
              <w:pStyle w:val="2"/>
              <w:numPr>
                <w:ilvl w:val="0"/>
                <w:numId w:val="0"/>
              </w:numPr>
              <w:rPr>
                <w:rFonts w:hint="eastAsia" w:ascii="宋体" w:hAnsi="宋体" w:eastAsia="宋体" w:cs="宋体"/>
                <w:sz w:val="21"/>
                <w:szCs w:val="21"/>
              </w:rPr>
            </w:pPr>
          </w:p>
          <w:p w14:paraId="4ADEE8F1">
            <w:pPr>
              <w:pStyle w:val="2"/>
              <w:numPr>
                <w:ilvl w:val="0"/>
                <w:numId w:val="0"/>
              </w:numPr>
              <w:rPr>
                <w:rFonts w:hint="eastAsia" w:ascii="宋体" w:hAnsi="宋体" w:eastAsia="宋体" w:cs="宋体"/>
                <w:sz w:val="21"/>
                <w:szCs w:val="21"/>
              </w:rPr>
            </w:pPr>
          </w:p>
          <w:p w14:paraId="38233CE0">
            <w:pPr>
              <w:pStyle w:val="2"/>
              <w:numPr>
                <w:ilvl w:val="0"/>
                <w:numId w:val="0"/>
              </w:numPr>
              <w:rPr>
                <w:rFonts w:hint="eastAsia" w:ascii="宋体" w:hAnsi="宋体" w:eastAsia="宋体" w:cs="宋体"/>
                <w:sz w:val="21"/>
                <w:szCs w:val="21"/>
              </w:rPr>
            </w:pPr>
          </w:p>
          <w:p w14:paraId="38CF988B">
            <w:pPr>
              <w:pStyle w:val="2"/>
              <w:numPr>
                <w:ilvl w:val="0"/>
                <w:numId w:val="0"/>
              </w:numPr>
              <w:rPr>
                <w:rFonts w:hint="default" w:eastAsia="宋体"/>
                <w:sz w:val="21"/>
                <w:szCs w:val="21"/>
                <w:vertAlign w:val="baseline"/>
                <w:lang w:val="en-US" w:eastAsia="zh-CN"/>
              </w:rPr>
            </w:pPr>
            <w:r>
              <w:rPr>
                <w:rFonts w:hint="eastAsia" w:ascii="宋体" w:hAnsi="宋体" w:eastAsia="宋体" w:cs="宋体"/>
                <w:sz w:val="21"/>
                <w:szCs w:val="21"/>
                <w:lang w:val="en-US" w:eastAsia="zh-CN"/>
              </w:rPr>
              <w:t>网络服务</w:t>
            </w:r>
          </w:p>
        </w:tc>
        <w:tc>
          <w:tcPr>
            <w:tcW w:w="7282" w:type="dxa"/>
          </w:tcPr>
          <w:p w14:paraId="1514221A">
            <w:pPr>
              <w:pStyle w:val="2"/>
              <w:numPr>
                <w:ilvl w:val="0"/>
                <w:numId w:val="0"/>
              </w:numPr>
              <w:rPr>
                <w:rFonts w:hint="default"/>
                <w:sz w:val="21"/>
                <w:szCs w:val="21"/>
                <w:vertAlign w:val="baseline"/>
                <w:lang w:val="en-US" w:eastAsia="zh-CN"/>
              </w:rPr>
            </w:pPr>
            <w:r>
              <w:rPr>
                <w:rFonts w:hint="default"/>
                <w:sz w:val="21"/>
                <w:szCs w:val="21"/>
                <w:vertAlign w:val="baseline"/>
                <w:lang w:val="en-US" w:eastAsia="zh-CN"/>
              </w:rPr>
              <w:t>1、提供2条1000M互联网接入线路，保证采购人具备优异的互联网访问性能；</w:t>
            </w:r>
          </w:p>
          <w:p w14:paraId="141BC9A4">
            <w:pPr>
              <w:pStyle w:val="2"/>
              <w:numPr>
                <w:ilvl w:val="0"/>
                <w:numId w:val="0"/>
              </w:numPr>
              <w:rPr>
                <w:rFonts w:hint="default"/>
                <w:sz w:val="21"/>
                <w:szCs w:val="21"/>
                <w:vertAlign w:val="baseline"/>
                <w:lang w:val="en-US" w:eastAsia="zh-CN"/>
              </w:rPr>
            </w:pPr>
            <w:r>
              <w:rPr>
                <w:rFonts w:hint="default"/>
                <w:sz w:val="21"/>
                <w:szCs w:val="21"/>
                <w:vertAlign w:val="baseline"/>
                <w:lang w:val="en-US" w:eastAsia="zh-CN"/>
              </w:rPr>
              <w:t>2、要求提供的互联网光纤线路在不中断现有业务的情况下平滑升级扩容，避免正常工作造成影响；</w:t>
            </w:r>
          </w:p>
          <w:p w14:paraId="53AA2186">
            <w:pPr>
              <w:pStyle w:val="2"/>
              <w:numPr>
                <w:ilvl w:val="0"/>
                <w:numId w:val="0"/>
              </w:numPr>
              <w:rPr>
                <w:rFonts w:hint="default"/>
                <w:sz w:val="21"/>
                <w:szCs w:val="21"/>
                <w:vertAlign w:val="baseline"/>
                <w:lang w:val="en-US" w:eastAsia="zh-CN"/>
              </w:rPr>
            </w:pPr>
            <w:r>
              <w:rPr>
                <w:rFonts w:hint="default"/>
                <w:sz w:val="21"/>
                <w:szCs w:val="21"/>
                <w:vertAlign w:val="baseline"/>
                <w:lang w:val="en-US" w:eastAsia="zh-CN"/>
              </w:rPr>
              <w:t>3、每条互联网带宽裸机测试，下行速率稳定在 100MB/s；</w:t>
            </w:r>
          </w:p>
          <w:p w14:paraId="7B25C683">
            <w:pPr>
              <w:pStyle w:val="2"/>
              <w:numPr>
                <w:ilvl w:val="0"/>
                <w:numId w:val="0"/>
              </w:numPr>
              <w:rPr>
                <w:rFonts w:hint="default"/>
                <w:sz w:val="21"/>
                <w:szCs w:val="21"/>
                <w:vertAlign w:val="baseline"/>
                <w:lang w:val="en-US" w:eastAsia="zh-CN"/>
              </w:rPr>
            </w:pPr>
            <w:r>
              <w:rPr>
                <w:rFonts w:hint="default"/>
                <w:sz w:val="21"/>
                <w:szCs w:val="21"/>
                <w:vertAlign w:val="baseline"/>
                <w:lang w:val="en-US" w:eastAsia="zh-CN"/>
              </w:rPr>
              <w:t>4、提供的光纤专线运营商在中国大陆主要骨干网络国际出口中，出口带宽在4000000 Mbps以上(以中国互联网络信息中心发布的中国互联网络发展状况统计报告为准)，竞价时提供体现主要骨干网络国际出口带宽数据的报告截图；</w:t>
            </w:r>
          </w:p>
          <w:p w14:paraId="6790F649">
            <w:pPr>
              <w:pStyle w:val="2"/>
              <w:numPr>
                <w:ilvl w:val="0"/>
                <w:numId w:val="0"/>
              </w:numPr>
              <w:rPr>
                <w:rFonts w:hint="default"/>
                <w:sz w:val="21"/>
                <w:szCs w:val="21"/>
                <w:vertAlign w:val="baseline"/>
                <w:lang w:val="en-US" w:eastAsia="zh-CN"/>
              </w:rPr>
            </w:pPr>
            <w:r>
              <w:rPr>
                <w:rFonts w:hint="eastAsia"/>
                <w:sz w:val="21"/>
                <w:szCs w:val="21"/>
                <w:vertAlign w:val="baseline"/>
                <w:lang w:val="en-US" w:eastAsia="zh-CN"/>
              </w:rPr>
              <w:t>5、供应商须配有满足网络正常运行的相应的备件、配件（如：路由器、交换机、控制器、摄像头等）。</w:t>
            </w:r>
          </w:p>
          <w:p w14:paraId="3753E68C">
            <w:pPr>
              <w:pStyle w:val="2"/>
              <w:numPr>
                <w:ilvl w:val="0"/>
                <w:numId w:val="0"/>
              </w:numPr>
              <w:rPr>
                <w:rFonts w:hint="default"/>
                <w:sz w:val="21"/>
                <w:szCs w:val="21"/>
                <w:vertAlign w:val="baseline"/>
                <w:lang w:val="en-US" w:eastAsia="zh-CN"/>
              </w:rPr>
            </w:pPr>
            <w:r>
              <w:rPr>
                <w:rFonts w:hint="eastAsia"/>
                <w:sz w:val="21"/>
                <w:szCs w:val="21"/>
                <w:vertAlign w:val="baseline"/>
                <w:lang w:val="en-US" w:eastAsia="zh-CN"/>
              </w:rPr>
              <w:t>6</w:t>
            </w:r>
            <w:r>
              <w:rPr>
                <w:rFonts w:hint="default"/>
                <w:sz w:val="21"/>
                <w:szCs w:val="21"/>
                <w:vertAlign w:val="baseline"/>
                <w:lang w:val="en-US" w:eastAsia="zh-CN"/>
              </w:rPr>
              <w:t>、网络施工、调测以及割接升级期间，不对现有业务系统产生影响。因网络施工、调测、割接等原因影响宽带网络运行的，应当提前2天通知用户，并尽快消除故障、恢复通信线路；</w:t>
            </w:r>
          </w:p>
          <w:p w14:paraId="63E30F70">
            <w:pPr>
              <w:pStyle w:val="2"/>
              <w:numPr>
                <w:ilvl w:val="0"/>
                <w:numId w:val="0"/>
              </w:numPr>
              <w:rPr>
                <w:rFonts w:hint="default"/>
                <w:sz w:val="21"/>
                <w:szCs w:val="21"/>
                <w:vertAlign w:val="baseline"/>
                <w:lang w:val="en-US" w:eastAsia="zh-CN"/>
              </w:rPr>
            </w:pPr>
            <w:r>
              <w:rPr>
                <w:rFonts w:hint="eastAsia"/>
                <w:sz w:val="21"/>
                <w:szCs w:val="21"/>
                <w:vertAlign w:val="baseline"/>
                <w:lang w:val="en-US" w:eastAsia="zh-CN"/>
              </w:rPr>
              <w:t>7</w:t>
            </w:r>
            <w:r>
              <w:rPr>
                <w:rFonts w:hint="default"/>
                <w:sz w:val="21"/>
                <w:szCs w:val="21"/>
                <w:vertAlign w:val="baseline"/>
                <w:lang w:val="en-US" w:eastAsia="zh-CN"/>
              </w:rPr>
              <w:t>、保证网络的畅通，运营商到</w:t>
            </w:r>
            <w:r>
              <w:rPr>
                <w:rFonts w:hint="eastAsia"/>
                <w:sz w:val="21"/>
                <w:szCs w:val="21"/>
                <w:vertAlign w:val="baseline"/>
                <w:lang w:val="en-US" w:eastAsia="zh-CN"/>
              </w:rPr>
              <w:t>采购</w:t>
            </w:r>
            <w:r>
              <w:rPr>
                <w:rFonts w:hint="default"/>
                <w:sz w:val="21"/>
                <w:szCs w:val="21"/>
                <w:vertAlign w:val="baseline"/>
                <w:lang w:val="en-US" w:eastAsia="zh-CN"/>
              </w:rPr>
              <w:t>单位主干光缆及运营商配套设备的免费运行维护，如光端机、转换器等设备；免费培训传输知识，指导采购单位做好日常维护；</w:t>
            </w:r>
          </w:p>
          <w:p w14:paraId="30FFA54A">
            <w:pPr>
              <w:pStyle w:val="2"/>
              <w:numPr>
                <w:ilvl w:val="0"/>
                <w:numId w:val="0"/>
              </w:numPr>
              <w:rPr>
                <w:rFonts w:hint="default"/>
                <w:sz w:val="21"/>
                <w:szCs w:val="21"/>
                <w:vertAlign w:val="baseline"/>
                <w:lang w:val="en-US" w:eastAsia="zh-CN"/>
              </w:rPr>
            </w:pPr>
            <w:r>
              <w:rPr>
                <w:rFonts w:hint="eastAsia"/>
                <w:sz w:val="21"/>
                <w:szCs w:val="21"/>
                <w:vertAlign w:val="baseline"/>
                <w:lang w:val="en-US" w:eastAsia="zh-CN"/>
              </w:rPr>
              <w:t>8</w:t>
            </w:r>
            <w:r>
              <w:rPr>
                <w:rFonts w:hint="default"/>
                <w:sz w:val="21"/>
                <w:szCs w:val="21"/>
                <w:vertAlign w:val="baseline"/>
                <w:lang w:val="en-US" w:eastAsia="zh-CN"/>
              </w:rPr>
              <w:t>、采购单位网络需要扩展或升级时，须提供相应解决方案等技术支持；</w:t>
            </w:r>
          </w:p>
          <w:p w14:paraId="180EC504">
            <w:pPr>
              <w:pStyle w:val="2"/>
              <w:numPr>
                <w:ilvl w:val="0"/>
                <w:numId w:val="0"/>
              </w:numPr>
              <w:rPr>
                <w:rFonts w:hint="default"/>
                <w:sz w:val="21"/>
                <w:szCs w:val="21"/>
                <w:vertAlign w:val="baseline"/>
                <w:lang w:val="en-US" w:eastAsia="zh-CN"/>
              </w:rPr>
            </w:pPr>
            <w:r>
              <w:rPr>
                <w:rFonts w:hint="eastAsia"/>
                <w:sz w:val="21"/>
                <w:szCs w:val="21"/>
                <w:vertAlign w:val="baseline"/>
                <w:lang w:val="en-US" w:eastAsia="zh-CN"/>
              </w:rPr>
              <w:t>9</w:t>
            </w:r>
            <w:r>
              <w:rPr>
                <w:rFonts w:hint="default"/>
                <w:sz w:val="21"/>
                <w:szCs w:val="21"/>
                <w:vertAlign w:val="baseline"/>
                <w:lang w:val="en-US" w:eastAsia="zh-CN"/>
              </w:rPr>
              <w:t>、在租用期限内，严格遵守《中华人民共和国电信条例》，按信息产业部颁布的《电信服务标准》的电路质量要求，保证租用线路畅通及安全使用。</w:t>
            </w:r>
          </w:p>
        </w:tc>
      </w:tr>
    </w:tbl>
    <w:p w14:paraId="55AF3E2F">
      <w:pPr>
        <w:pStyle w:val="2"/>
        <w:numPr>
          <w:ilvl w:val="0"/>
          <w:numId w:val="0"/>
        </w:numPr>
        <w:rPr>
          <w:rFonts w:hint="default"/>
          <w:lang w:val="en-US" w:eastAsia="zh-CN"/>
        </w:rPr>
      </w:pPr>
    </w:p>
    <w:p w14:paraId="75AF7704">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四、商务要求：</w:t>
      </w:r>
    </w:p>
    <w:p w14:paraId="0828684C">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1、合同签订期：自成交知书发出之日起25日内；</w:t>
      </w:r>
    </w:p>
    <w:p w14:paraId="3B60B3CD">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▲2、提交服务成果时间：自合同签订之日起 30个工作日内开通所有业务，并交付使用。</w:t>
      </w:r>
    </w:p>
    <w:p w14:paraId="0A7FF389">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3、提交服务成果地点：采购人指定地点。</w:t>
      </w:r>
    </w:p>
    <w:p w14:paraId="63127741">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▲4、服务期限：自服务成果交付使用之日起服务期1年。</w:t>
      </w:r>
    </w:p>
    <w:p w14:paraId="1131D462">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▲5、质保期：自合同签订之日起至服务期满验收合格之日止。</w:t>
      </w:r>
    </w:p>
    <w:p w14:paraId="57F6A6EF">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▲6、本项目报价方式为总价包干，报价必须含以下部分，包括：</w:t>
      </w:r>
    </w:p>
    <w:p w14:paraId="71823CFB">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（1）服务的价格；</w:t>
      </w:r>
    </w:p>
    <w:p w14:paraId="1C21AA30">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（2）必要的保险费用和各项税金；</w:t>
      </w:r>
    </w:p>
    <w:p w14:paraId="44D4A2BA">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（3）技术支持、售后服务、更新升级等费用；</w:t>
      </w:r>
    </w:p>
    <w:p w14:paraId="3E18BCED">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（4）项目组织验收的费用。</w:t>
      </w:r>
    </w:p>
    <w:p w14:paraId="52B8A136">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7、付款方式：本项目无预付款，合同签订后及所有业务交付使用后，一次性支付合同款。</w:t>
      </w:r>
    </w:p>
    <w:p w14:paraId="750B331B">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票据要求：付款前成交供应商必须按照合同要求提供真实、有效、合法的增值税专用发票。一旦发现成交供应商提供虚假发票，除须向采购人补开合法发票外，须赔偿采购人发票票面金额一倍的违约金，且采购人有权终止合同，因终止合同而产生的一切损失均由供应商承担。</w:t>
      </w:r>
    </w:p>
    <w:p w14:paraId="0A4EDD45">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（2）本合同使用货币币制如未作特别说明均为人民币。</w:t>
      </w:r>
    </w:p>
    <w:p w14:paraId="58ABBF2E">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8、服务要求：</w:t>
      </w:r>
    </w:p>
    <w:p w14:paraId="35B0D638">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（1）成交供应商应保障网络的畅通，做好通信专线传输保障工作；免费培训传输知识，指导采购人做好日常维护管理工作；</w:t>
      </w:r>
    </w:p>
    <w:p w14:paraId="51FF5E87">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供7*24小时热线服务电话和售后服务，接到故障报修后，技术服务人员在1小时内进行电话反馈。如果确认需要现场服务，技术服务人员在4小时内到达现场。如果线路故障或设备在检修12小时后仍无法排除，应在24小时内提供速率不低于故障线路的备用线路更换使用。</w:t>
      </w:r>
    </w:p>
    <w:p w14:paraId="1B6EB9EF">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（3）采购人在使用过程中，对通信专线传输网络有疑问的，成交供应商应在8小时内及时给予处理和答复。</w:t>
      </w:r>
    </w:p>
    <w:p w14:paraId="5C015F3B">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▲（4）成交供应商应每个季度对网络进行一次巡检，检查网络设备和主干光缆的运行情况，提交巡检报告；</w:t>
      </w:r>
    </w:p>
    <w:p w14:paraId="1AB8CEB5">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（5）当采购人网络需要扩展或升级时，成交供应商免费提供相应解决方案等技术支持；   </w:t>
      </w:r>
    </w:p>
    <w:p w14:paraId="49AF2D44">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▲（6）成交供应商因施工、网络割接等原因影响通信专线传输的，应提前24小时通知用户，并尽快恢复通信线路。</w:t>
      </w:r>
    </w:p>
    <w:p w14:paraId="290089A1">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▲（7）成交供应商必须备有充足的备件、配件，并及时向采购人提供技术服务和备件服务。</w:t>
      </w:r>
    </w:p>
    <w:p w14:paraId="3E8AB786">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▲（8）供应商应具有成熟的运维体系，售后服务符合GB/T27922标准，成交后提供相关证书的复印件，以供审核。 </w:t>
      </w:r>
    </w:p>
    <w:p w14:paraId="0BC83F51">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供应商参与竞价时需同时向政采云系统上传公司营业执照、报价函(格式自拟）、体现主要骨干网络国际出口带宽数据的报告截图，所有材料需加盖公章，预成交供应商须在成交公示结束后5个工作日内，向采购人提交响应材料的原件，逾期未提交或材料虚假的，经2日补正期后仍不符合的，取消资格并报监管部门。</w:t>
      </w:r>
    </w:p>
    <w:p w14:paraId="723AF371">
      <w:pPr>
        <w:pStyle w:val="2"/>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以上标注“▲”号条款必须满足，对不能满足参数要求虚假响应，或者无法正常交货影响使用的，采购单位将作为废标处理，并上报上级监管机构追究中标供应商虚假应标责任。</w:t>
      </w:r>
    </w:p>
    <w:p w14:paraId="7D4FAF18">
      <w:pPr>
        <w:pStyle w:val="2"/>
        <w:keepNext w:val="0"/>
        <w:keepLines w:val="0"/>
        <w:pageBreakBefore w:val="0"/>
        <w:widowControl w:val="0"/>
        <w:kinsoku/>
        <w:wordWrap/>
        <w:overflowPunct/>
        <w:topLinePunct w:val="0"/>
        <w:autoSpaceDE/>
        <w:autoSpaceDN/>
        <w:bidi w:val="0"/>
        <w:adjustRightInd/>
        <w:snapToGrid w:val="0"/>
        <w:spacing w:line="500" w:lineRule="exact"/>
        <w:textAlignment w:val="auto"/>
        <w:rPr>
          <w:sz w:val="28"/>
          <w:szCs w:val="28"/>
        </w:rPr>
      </w:pPr>
    </w:p>
    <w:p w14:paraId="4C0568EA">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C02AD"/>
    <w:multiLevelType w:val="singleLevel"/>
    <w:tmpl w:val="9FFC02A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600FE"/>
    <w:rsid w:val="10FD2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annotation text"/>
    <w:basedOn w:val="1"/>
    <w:unhideWhenUsed/>
    <w:qFormat/>
    <w:uiPriority w:val="0"/>
    <w:pPr>
      <w:jc w:val="left"/>
    </w:p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annotation reference"/>
    <w:uiPriority w:val="0"/>
    <w:rPr>
      <w:sz w:val="21"/>
      <w:szCs w:val="21"/>
    </w:rPr>
  </w:style>
  <w:style w:type="character" w:customStyle="1" w:styleId="8">
    <w:name w:val="font11"/>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1663</Words>
  <Characters>1701</Characters>
  <Lines>0</Lines>
  <Paragraphs>0</Paragraphs>
  <TotalTime>12</TotalTime>
  <ScaleCrop>false</ScaleCrop>
  <LinksUpToDate>false</LinksUpToDate>
  <CharactersWithSpaces>1708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2025-08-26T10:52:00Z</dcterms:created>
  <dc:creator>Administrator</dc:creator>
  <cp:lastModifiedBy>Administrator</cp:lastModifiedBy>
  <dcterms:modified xsi:type="dcterms:W3CDTF">2025-08-26T11:52:03Z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eyJoZGlkIjoiZTUzNDIyZGRlMzA2NTA5ZDcyMWI4NjM2MzE3YmE2NWMifQ==</vt:lpwstr>
  </property>
  <property fmtid="{D5CDD505-2E9C-101B-9397-08002B2CF9AE}" pid="4" name="ICV">
    <vt:lpwstr>6B5C2CACFC474564BF8BF4FA6FE4D156_12</vt:lpwstr>
  </property>
</Properties>
</file>