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left"/>
        <w:rPr>
          <w:rFonts w:ascii="宋体" w:hAnsi="宋体"/>
          <w:bCs w:val="0"/>
          <w:sz w:val="21"/>
          <w:szCs w:val="21"/>
        </w:rPr>
      </w:pPr>
      <w:bookmarkStart w:id="0" w:name="_Toc1242"/>
      <w:r>
        <w:rPr>
          <w:rFonts w:hint="eastAsia" w:ascii="宋体" w:hAnsi="宋体"/>
          <w:bCs w:val="0"/>
          <w:sz w:val="21"/>
          <w:szCs w:val="21"/>
        </w:rPr>
        <w:t>项目基本情况</w:t>
      </w:r>
    </w:p>
    <w:p>
      <w:pPr>
        <w:spacing w:line="360" w:lineRule="auto"/>
        <w:ind w:firstLine="420" w:firstLineChars="200"/>
        <w:rPr>
          <w:rFonts w:ascii="宋体" w:hAnsi="宋体"/>
          <w:color w:val="000000"/>
          <w:szCs w:val="21"/>
        </w:rPr>
      </w:pPr>
      <w:r>
        <w:rPr>
          <w:rFonts w:hint="eastAsia" w:ascii="宋体" w:hAnsi="宋体"/>
          <w:color w:val="000000"/>
          <w:szCs w:val="21"/>
        </w:rPr>
        <w:t>采购方式：在线询价</w:t>
      </w:r>
    </w:p>
    <w:p>
      <w:pPr>
        <w:spacing w:line="360" w:lineRule="auto"/>
        <w:ind w:firstLine="420" w:firstLineChars="200"/>
        <w:rPr>
          <w:rFonts w:ascii="宋体" w:hAnsi="宋体"/>
          <w:color w:val="000000"/>
          <w:szCs w:val="21"/>
          <w:highlight w:val="none"/>
        </w:rPr>
      </w:pPr>
      <w:r>
        <w:rPr>
          <w:rFonts w:hint="eastAsia" w:ascii="宋体" w:hAnsi="宋体"/>
          <w:color w:val="000000"/>
          <w:szCs w:val="21"/>
        </w:rPr>
        <w:t>项目名称：</w:t>
      </w:r>
      <w:r>
        <w:rPr>
          <w:rFonts w:hint="eastAsia" w:ascii="宋体" w:hAnsi="宋体"/>
          <w:color w:val="000000"/>
          <w:szCs w:val="21"/>
          <w:highlight w:val="none"/>
        </w:rPr>
        <w:t xml:space="preserve">2026年江南区综治视联网会议系统专线 </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预算金额</w:t>
      </w:r>
      <w:r>
        <w:rPr>
          <w:rFonts w:hint="eastAsia" w:ascii="宋体" w:hAnsi="宋体"/>
          <w:color w:val="000000"/>
          <w:szCs w:val="21"/>
          <w:highlight w:val="none"/>
          <w:lang w:eastAsia="zh-CN"/>
        </w:rPr>
        <w:t>：</w:t>
      </w:r>
      <w:r>
        <w:rPr>
          <w:rFonts w:hint="eastAsia" w:ascii="宋体" w:hAnsi="宋体"/>
          <w:szCs w:val="21"/>
          <w:highlight w:val="none"/>
          <w:lang w:val="en-US" w:eastAsia="zh-CN"/>
        </w:rPr>
        <w:t>383400.00</w:t>
      </w:r>
      <w:r>
        <w:rPr>
          <w:rFonts w:hint="eastAsia" w:ascii="宋体" w:hAnsi="宋体"/>
          <w:color w:val="000000"/>
          <w:szCs w:val="21"/>
          <w:highlight w:val="none"/>
          <w:lang w:val="en-US" w:eastAsia="zh-CN"/>
        </w:rPr>
        <w:t>元</w:t>
      </w:r>
    </w:p>
    <w:p>
      <w:pPr>
        <w:spacing w:line="360" w:lineRule="auto"/>
        <w:ind w:firstLine="420" w:firstLineChars="200"/>
        <w:rPr>
          <w:rFonts w:ascii="宋体" w:hAnsi="宋体"/>
          <w:color w:val="000000"/>
          <w:szCs w:val="21"/>
        </w:rPr>
      </w:pPr>
      <w:r>
        <w:rPr>
          <w:rFonts w:hint="eastAsia" w:ascii="宋体" w:hAnsi="宋体"/>
          <w:color w:val="000000"/>
          <w:szCs w:val="21"/>
        </w:rPr>
        <w:t xml:space="preserve">采购需求： </w:t>
      </w:r>
    </w:p>
    <w:tbl>
      <w:tblPr>
        <w:tblStyle w:val="30"/>
        <w:tblW w:w="90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3682"/>
        <w:gridCol w:w="1294"/>
        <w:gridCol w:w="2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序号</w:t>
            </w:r>
          </w:p>
        </w:tc>
        <w:tc>
          <w:tcPr>
            <w:tcW w:w="36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标的名称</w:t>
            </w:r>
          </w:p>
        </w:tc>
        <w:tc>
          <w:tcPr>
            <w:tcW w:w="12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数量及</w:t>
            </w:r>
          </w:p>
          <w:p>
            <w:pPr>
              <w:snapToGrid w:val="0"/>
              <w:spacing w:line="360" w:lineRule="auto"/>
              <w:jc w:val="center"/>
              <w:rPr>
                <w:rFonts w:ascii="宋体" w:hAnsi="宋体"/>
                <w:color w:val="000000"/>
                <w:szCs w:val="21"/>
              </w:rPr>
            </w:pPr>
            <w:r>
              <w:rPr>
                <w:rFonts w:hint="eastAsia" w:ascii="宋体" w:hAnsi="宋体"/>
                <w:color w:val="000000"/>
                <w:szCs w:val="21"/>
              </w:rPr>
              <w:t>单位</w:t>
            </w:r>
          </w:p>
        </w:tc>
        <w:tc>
          <w:tcPr>
            <w:tcW w:w="298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1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1</w:t>
            </w:r>
          </w:p>
        </w:tc>
        <w:tc>
          <w:tcPr>
            <w:tcW w:w="3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rPr>
            </w:pPr>
            <w:r>
              <w:rPr>
                <w:rFonts w:hint="eastAsia" w:ascii="宋体" w:hAnsi="宋体"/>
                <w:color w:val="000000"/>
                <w:szCs w:val="21"/>
                <w:highlight w:val="none"/>
              </w:rPr>
              <w:t>2026年江南区综治视联网会议系统专线</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pPr>
            <w:r>
              <w:t>1</w:t>
            </w:r>
            <w:r>
              <w:rPr>
                <w:rFonts w:hint="eastAsia"/>
              </w:rPr>
              <w:t>项</w:t>
            </w:r>
          </w:p>
        </w:tc>
        <w:tc>
          <w:tcPr>
            <w:tcW w:w="298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olor w:val="000000"/>
                <w:szCs w:val="21"/>
              </w:rPr>
            </w:pPr>
            <w:r>
              <w:rPr>
                <w:rFonts w:hint="eastAsia" w:ascii="宋体" w:hAnsi="宋体"/>
                <w:color w:val="000000"/>
                <w:szCs w:val="21"/>
              </w:rPr>
              <w:t>具体内容详见采购文件</w:t>
            </w:r>
          </w:p>
        </w:tc>
      </w:tr>
    </w:tbl>
    <w:p>
      <w:pPr>
        <w:spacing w:line="360" w:lineRule="auto"/>
        <w:ind w:firstLine="420" w:firstLineChars="200"/>
        <w:rPr>
          <w:rFonts w:ascii="宋体" w:hAnsi="宋体"/>
          <w:color w:val="000000"/>
          <w:szCs w:val="21"/>
          <w:u w:val="single"/>
        </w:rPr>
      </w:pPr>
      <w:r>
        <w:rPr>
          <w:rFonts w:hint="eastAsia" w:ascii="宋体" w:hAnsi="宋体"/>
          <w:color w:val="000000"/>
          <w:szCs w:val="21"/>
        </w:rPr>
        <w:t>合同履行期限：详见</w:t>
      </w:r>
      <w:r>
        <w:rPr>
          <w:rFonts w:hint="eastAsia" w:ascii="宋体" w:hAnsi="宋体"/>
          <w:color w:val="000000"/>
          <w:szCs w:val="21"/>
          <w:lang w:val="en-US" w:eastAsia="zh-CN"/>
        </w:rPr>
        <w:t>服务</w:t>
      </w:r>
      <w:r>
        <w:rPr>
          <w:rFonts w:hint="eastAsia" w:ascii="宋体" w:hAnsi="宋体"/>
          <w:color w:val="000000"/>
          <w:szCs w:val="21"/>
        </w:rPr>
        <w:t>需求一览表</w:t>
      </w:r>
    </w:p>
    <w:p>
      <w:pPr>
        <w:spacing w:line="360" w:lineRule="auto"/>
        <w:ind w:firstLine="420" w:firstLineChars="200"/>
        <w:rPr>
          <w:rFonts w:ascii="宋体" w:hAnsi="宋体"/>
          <w:color w:val="000000"/>
          <w:szCs w:val="21"/>
        </w:rPr>
      </w:pPr>
      <w:r>
        <w:rPr>
          <w:rFonts w:hint="eastAsia" w:ascii="宋体" w:hAnsi="宋体"/>
          <w:color w:val="000000"/>
          <w:szCs w:val="21"/>
        </w:rPr>
        <w:t>本项目是否接受联合体响应：□是/</w:t>
      </w:r>
      <w:r>
        <w:rPr>
          <w:rFonts w:hint="eastAsia" w:ascii="宋体" w:hAnsi="宋体"/>
          <w:color w:val="000000"/>
          <w:szCs w:val="21"/>
          <w:lang w:eastAsia="zh-CN"/>
        </w:rPr>
        <w:t>☑</w:t>
      </w:r>
      <w:r>
        <w:rPr>
          <w:rFonts w:hint="eastAsia" w:ascii="宋体" w:hAnsi="宋体"/>
          <w:color w:val="000000"/>
          <w:szCs w:val="21"/>
        </w:rPr>
        <w:t>否。</w:t>
      </w:r>
    </w:p>
    <w:p>
      <w:pPr>
        <w:pStyle w:val="3"/>
        <w:jc w:val="left"/>
        <w:rPr>
          <w:rFonts w:ascii="宋体" w:hAnsi="宋体"/>
          <w:bCs w:val="0"/>
          <w:sz w:val="21"/>
          <w:szCs w:val="21"/>
        </w:rPr>
      </w:pPr>
      <w:bookmarkStart w:id="1" w:name="_Toc35393630"/>
      <w:bookmarkStart w:id="2" w:name="_Toc28359013"/>
      <w:bookmarkStart w:id="3" w:name="_Toc28359090"/>
      <w:bookmarkStart w:id="4" w:name="_Toc35393799"/>
      <w:bookmarkStart w:id="5" w:name="_Toc44229879"/>
      <w:r>
        <w:rPr>
          <w:rFonts w:hint="eastAsia" w:ascii="宋体" w:hAnsi="宋体"/>
          <w:bCs w:val="0"/>
          <w:sz w:val="21"/>
          <w:szCs w:val="21"/>
        </w:rPr>
        <w:t>二、供应商的资格条件</w:t>
      </w:r>
      <w:bookmarkEnd w:id="1"/>
      <w:bookmarkEnd w:id="2"/>
      <w:bookmarkEnd w:id="3"/>
      <w:bookmarkEnd w:id="4"/>
      <w:bookmarkEnd w:id="5"/>
    </w:p>
    <w:p>
      <w:pPr>
        <w:spacing w:line="360" w:lineRule="auto"/>
        <w:ind w:firstLine="420" w:firstLineChars="200"/>
        <w:rPr>
          <w:rFonts w:ascii="宋体" w:hAnsi="宋体"/>
          <w:color w:val="000000"/>
          <w:szCs w:val="21"/>
        </w:rPr>
      </w:pPr>
      <w:r>
        <w:rPr>
          <w:rFonts w:hint="eastAsia" w:ascii="宋体" w:hAnsi="宋体"/>
          <w:color w:val="000000"/>
          <w:szCs w:val="21"/>
        </w:rPr>
        <w:t>1.满足《中华人民共和国政府采购法》第二十二条规定；</w:t>
      </w:r>
    </w:p>
    <w:p>
      <w:pPr>
        <w:spacing w:line="360" w:lineRule="auto"/>
        <w:ind w:firstLine="420" w:firstLineChars="200"/>
        <w:rPr>
          <w:rFonts w:ascii="宋体" w:hAnsi="宋体"/>
          <w:color w:val="000000"/>
          <w:szCs w:val="21"/>
        </w:rPr>
      </w:pPr>
      <w:r>
        <w:rPr>
          <w:rFonts w:hint="eastAsia" w:ascii="宋体" w:hAnsi="宋体"/>
          <w:color w:val="000000"/>
          <w:szCs w:val="21"/>
        </w:rPr>
        <w:t>2.落实政府采购政策需满足的资格要求：</w:t>
      </w:r>
    </w:p>
    <w:p>
      <w:pPr>
        <w:spacing w:line="360" w:lineRule="auto"/>
        <w:ind w:firstLine="420" w:firstLineChars="200"/>
        <w:rPr>
          <w:rFonts w:ascii="宋体" w:hAnsi="宋体"/>
          <w:color w:val="000000"/>
          <w:szCs w:val="21"/>
        </w:rPr>
      </w:pPr>
      <w:r>
        <w:rPr>
          <w:rFonts w:hint="eastAsia" w:ascii="宋体" w:hAnsi="宋体"/>
          <w:color w:val="000000"/>
          <w:szCs w:val="21"/>
        </w:rPr>
        <w:t>□专门面向中小企业采购的项目（供应商应为中小微企业、监狱企业、残疾人福利性单位)</w:t>
      </w:r>
    </w:p>
    <w:p>
      <w:pPr>
        <w:spacing w:line="360" w:lineRule="auto"/>
        <w:ind w:firstLine="420" w:firstLineChars="200"/>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pPr>
        <w:spacing w:line="360" w:lineRule="auto"/>
        <w:ind w:firstLine="420" w:firstLineChars="200"/>
        <w:rPr>
          <w:rFonts w:ascii="宋体" w:hAnsi="宋体"/>
          <w:color w:val="000000"/>
          <w:szCs w:val="21"/>
        </w:rPr>
      </w:pPr>
      <w:r>
        <w:rPr>
          <w:rFonts w:hint="eastAsia" w:ascii="宋体" w:hAnsi="宋体"/>
          <w:color w:val="000000"/>
          <w:szCs w:val="21"/>
        </w:rPr>
        <w:t>3.本项目的特定资格要求：</w:t>
      </w:r>
      <w:r>
        <w:rPr>
          <w:rFonts w:hint="eastAsia" w:ascii="宋体" w:hAnsi="宋体"/>
          <w:color w:val="000000"/>
          <w:szCs w:val="21"/>
          <w:u w:val="single"/>
        </w:rPr>
        <w:t>无</w:t>
      </w:r>
    </w:p>
    <w:p>
      <w:pPr>
        <w:spacing w:line="360" w:lineRule="auto"/>
        <w:ind w:firstLine="420" w:firstLineChars="200"/>
        <w:rPr>
          <w:rFonts w:ascii="宋体" w:hAnsi="宋体"/>
          <w:color w:val="000000"/>
          <w:szCs w:val="21"/>
        </w:rPr>
      </w:pPr>
      <w:r>
        <w:rPr>
          <w:rFonts w:hint="eastAsia" w:ascii="宋体" w:hAnsi="宋体"/>
          <w:color w:val="000000"/>
          <w:szCs w:val="21"/>
        </w:rPr>
        <w:t>4. 本项目的特定条件：</w:t>
      </w:r>
      <w:r>
        <w:rPr>
          <w:rFonts w:hint="eastAsia" w:ascii="宋体" w:hAnsi="宋体"/>
          <w:i/>
          <w:iCs/>
          <w:color w:val="000000"/>
          <w:szCs w:val="21"/>
          <w:u w:val="single"/>
        </w:rPr>
        <w:t>无</w:t>
      </w:r>
    </w:p>
    <w:p>
      <w:pPr>
        <w:snapToGrid w:val="0"/>
        <w:spacing w:line="360" w:lineRule="auto"/>
        <w:ind w:firstLine="420" w:firstLineChars="200"/>
        <w:jc w:val="left"/>
        <w:rPr>
          <w:rFonts w:ascii="宋体" w:hAnsi="宋体"/>
          <w:szCs w:val="21"/>
        </w:rPr>
      </w:pPr>
      <w:r>
        <w:rPr>
          <w:rFonts w:hint="eastAsia" w:ascii="宋体" w:hAnsi="宋体"/>
          <w:color w:val="000000"/>
          <w:szCs w:val="21"/>
        </w:rPr>
        <w:t xml:space="preserve">5. </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3"/>
        <w:jc w:val="left"/>
        <w:rPr>
          <w:rFonts w:ascii="宋体" w:hAnsi="宋体"/>
          <w:bCs w:val="0"/>
          <w:sz w:val="21"/>
          <w:szCs w:val="21"/>
        </w:rPr>
      </w:pPr>
      <w:r>
        <w:rPr>
          <w:rFonts w:hint="eastAsia" w:ascii="宋体" w:hAnsi="宋体"/>
          <w:bCs w:val="0"/>
          <w:sz w:val="21"/>
          <w:szCs w:val="21"/>
        </w:rPr>
        <w:t>三、</w:t>
      </w:r>
      <w:r>
        <w:rPr>
          <w:rFonts w:hint="eastAsia" w:ascii="宋体" w:hAnsi="宋体"/>
          <w:bCs w:val="0"/>
          <w:sz w:val="21"/>
          <w:szCs w:val="21"/>
          <w:lang w:val="en-US" w:eastAsia="zh-CN"/>
        </w:rPr>
        <w:t>服务</w:t>
      </w:r>
      <w:r>
        <w:rPr>
          <w:rFonts w:hint="eastAsia" w:ascii="宋体" w:hAnsi="宋体"/>
          <w:bCs w:val="0"/>
          <w:sz w:val="21"/>
          <w:szCs w:val="21"/>
        </w:rPr>
        <w:t>需求一览表</w:t>
      </w:r>
      <w:bookmarkEnd w:id="0"/>
    </w:p>
    <w:p>
      <w:pPr>
        <w:spacing w:line="420" w:lineRule="exact"/>
        <w:jc w:val="left"/>
        <w:rPr>
          <w:rFonts w:ascii="宋体" w:hAnsi="宋体" w:cs="宋体"/>
          <w:szCs w:val="21"/>
        </w:rPr>
      </w:pPr>
      <w:r>
        <w:rPr>
          <w:rFonts w:hint="eastAsia" w:ascii="宋体" w:hAnsi="宋体" w:cs="宋体"/>
          <w:szCs w:val="21"/>
        </w:rPr>
        <w:t>说明：</w:t>
      </w:r>
    </w:p>
    <w:p>
      <w:pPr>
        <w:spacing w:line="420" w:lineRule="exact"/>
        <w:ind w:firstLine="420" w:firstLineChars="200"/>
        <w:jc w:val="left"/>
        <w:rPr>
          <w:rFonts w:ascii="宋体" w:hAnsi="宋体" w:cs="宋体"/>
          <w:szCs w:val="21"/>
        </w:rPr>
      </w:pPr>
      <w:r>
        <w:rPr>
          <w:rFonts w:hint="eastAsia" w:ascii="宋体" w:hAnsi="宋体"/>
        </w:rPr>
        <w:t>1</w:t>
      </w:r>
      <w:r>
        <w:t xml:space="preserve">. </w:t>
      </w:r>
      <w:r>
        <w:rPr>
          <w:rFonts w:hint="eastAsia"/>
        </w:rPr>
        <w:t>为落实政府采购政策需满足的要求（根据项目实际情况填写内容）</w:t>
      </w:r>
    </w:p>
    <w:p>
      <w:pPr>
        <w:spacing w:line="420" w:lineRule="exact"/>
        <w:ind w:firstLine="420" w:firstLineChars="200"/>
        <w:jc w:val="left"/>
        <w:rPr>
          <w:rFonts w:ascii="宋体" w:hAnsi="宋体" w:cs="宋体"/>
          <w:szCs w:val="21"/>
        </w:rPr>
      </w:pPr>
      <w:r>
        <w:rPr>
          <w:rFonts w:hint="eastAsia" w:ascii="宋体" w:hAnsi="宋体" w:cs="宋体"/>
          <w:szCs w:val="21"/>
        </w:rPr>
        <w:t>（1）本竞争性谈判采购文件所称中小企业必须符合《政府采购促进中小企业发展管理办法》（财库〔2020〕46号）的规定。</w:t>
      </w:r>
    </w:p>
    <w:p>
      <w:pPr>
        <w:tabs>
          <w:tab w:val="left" w:pos="180"/>
          <w:tab w:val="left" w:pos="1620"/>
        </w:tabs>
        <w:spacing w:line="420" w:lineRule="exact"/>
        <w:ind w:firstLine="420" w:firstLineChars="200"/>
        <w:rPr>
          <w:rFonts w:ascii="宋体" w:hAnsi="宋体" w:cs="宋体"/>
          <w:b/>
          <w:bCs/>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作无效处理。如本项目包含的配套服务属于品目清单内非标注“★”的产品时，应优先采购，具体详见“第四章 评审程序和评定成交的标准”。</w:t>
      </w:r>
    </w:p>
    <w:p>
      <w:pPr>
        <w:spacing w:line="420" w:lineRule="exact"/>
        <w:ind w:firstLine="413" w:firstLineChars="196"/>
        <w:rPr>
          <w:rFonts w:ascii="宋体" w:hAnsi="宋体" w:cs="宋体"/>
          <w:b/>
          <w:bCs/>
          <w:szCs w:val="21"/>
        </w:rPr>
      </w:pPr>
      <w:r>
        <w:rPr>
          <w:rFonts w:hint="eastAsia" w:ascii="宋体" w:hAnsi="宋体" w:cs="宋体"/>
          <w:b/>
          <w:bCs/>
          <w:szCs w:val="21"/>
        </w:rPr>
        <w:t>2.“实质性要求”是指采购需求中带“▲”的条款或者不能负偏离的条款或者已经指明不满足按响应文件作无效处理的条款。</w:t>
      </w:r>
    </w:p>
    <w:p>
      <w:pPr>
        <w:spacing w:line="42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b/>
          <w:bCs/>
          <w:szCs w:val="21"/>
        </w:rPr>
        <w:t>不需要供应商对采购需求响应为具体数值的，此采购需求的数值后将以◆号标注。</w:t>
      </w:r>
    </w:p>
    <w:p>
      <w:pPr>
        <w:spacing w:line="360" w:lineRule="auto"/>
        <w:ind w:left="424"/>
        <w:jc w:val="left"/>
        <w:rPr>
          <w:rFonts w:hint="eastAsia" w:ascii="宋体" w:hAnsi="宋体" w:cs="宋体"/>
          <w:szCs w:val="21"/>
        </w:rPr>
      </w:pPr>
      <w:r>
        <w:rPr>
          <w:rFonts w:ascii="宋体" w:hAnsi="宋体" w:cs="宋体"/>
          <w:szCs w:val="21"/>
        </w:rPr>
        <w:t>4</w:t>
      </w:r>
      <w:r>
        <w:rPr>
          <w:rFonts w:hint="eastAsia" w:ascii="宋体" w:hAnsi="宋体" w:cs="宋体"/>
          <w:szCs w:val="21"/>
        </w:rPr>
        <w:t>. 供应商必须自行为其竞标产品侵犯他人的知识产权或者专利成果的行为承担相应法律责任。</w:t>
      </w:r>
    </w:p>
    <w:tbl>
      <w:tblPr>
        <w:tblStyle w:val="30"/>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012"/>
        <w:gridCol w:w="621"/>
        <w:gridCol w:w="482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000" w:type="pct"/>
            <w:gridSpan w:val="5"/>
            <w:noWrap w:val="0"/>
            <w:vAlign w:val="center"/>
          </w:tcPr>
          <w:p>
            <w:pPr>
              <w:spacing w:before="156" w:after="156" w:line="320" w:lineRule="exact"/>
              <w:jc w:val="center"/>
              <w:rPr>
                <w:rFonts w:hint="eastAsia" w:ascii="宋体" w:hAnsi="宋体" w:cs="仿宋"/>
                <w:b/>
                <w:color w:val="000000"/>
                <w:kern w:val="0"/>
                <w:szCs w:val="21"/>
              </w:rPr>
            </w:pPr>
            <w:r>
              <w:rPr>
                <w:rFonts w:hint="eastAsia" w:ascii="宋体" w:hAnsi="宋体" w:cs="Arial"/>
                <w:b/>
                <w:szCs w:val="21"/>
              </w:rPr>
              <w:t>服务需求一览表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0" w:type="pct"/>
            <w:noWrap w:val="0"/>
            <w:vAlign w:val="center"/>
          </w:tcPr>
          <w:p>
            <w:pPr>
              <w:widowControl/>
              <w:jc w:val="center"/>
              <w:rPr>
                <w:rFonts w:ascii="宋体" w:hAnsi="宋体" w:cs="仿宋"/>
                <w:b/>
                <w:color w:val="000000"/>
                <w:kern w:val="0"/>
                <w:szCs w:val="21"/>
              </w:rPr>
            </w:pPr>
            <w:r>
              <w:rPr>
                <w:rFonts w:hint="eastAsia" w:ascii="宋体" w:hAnsi="宋体" w:cs="仿宋"/>
                <w:b/>
                <w:color w:val="000000"/>
                <w:kern w:val="0"/>
                <w:szCs w:val="21"/>
              </w:rPr>
              <w:t>项号</w:t>
            </w:r>
          </w:p>
        </w:tc>
        <w:tc>
          <w:tcPr>
            <w:tcW w:w="611" w:type="pct"/>
            <w:noWrap w:val="0"/>
            <w:vAlign w:val="center"/>
          </w:tcPr>
          <w:p>
            <w:pPr>
              <w:widowControl/>
              <w:jc w:val="center"/>
              <w:rPr>
                <w:rFonts w:hint="eastAsia" w:ascii="宋体" w:hAnsi="宋体" w:cs="仿宋"/>
                <w:b/>
                <w:color w:val="000000"/>
                <w:kern w:val="0"/>
                <w:szCs w:val="21"/>
              </w:rPr>
            </w:pPr>
            <w:r>
              <w:rPr>
                <w:rFonts w:hint="eastAsia" w:ascii="宋体" w:hAnsi="宋体" w:cs="仿宋"/>
                <w:b/>
                <w:color w:val="000000"/>
                <w:kern w:val="0"/>
                <w:szCs w:val="21"/>
              </w:rPr>
              <w:t>服务</w:t>
            </w:r>
          </w:p>
          <w:p>
            <w:pPr>
              <w:widowControl/>
              <w:jc w:val="center"/>
              <w:rPr>
                <w:rFonts w:ascii="宋体" w:hAnsi="宋体" w:cs="仿宋"/>
                <w:b/>
                <w:color w:val="000000"/>
                <w:kern w:val="0"/>
                <w:szCs w:val="21"/>
              </w:rPr>
            </w:pPr>
            <w:r>
              <w:rPr>
                <w:rFonts w:hint="eastAsia" w:ascii="宋体" w:hAnsi="宋体" w:cs="仿宋"/>
                <w:b/>
                <w:color w:val="000000"/>
                <w:kern w:val="0"/>
                <w:szCs w:val="21"/>
              </w:rPr>
              <w:t>名称</w:t>
            </w:r>
          </w:p>
        </w:tc>
        <w:tc>
          <w:tcPr>
            <w:tcW w:w="375" w:type="pct"/>
            <w:noWrap w:val="0"/>
            <w:vAlign w:val="center"/>
          </w:tcPr>
          <w:p>
            <w:pPr>
              <w:widowControl/>
              <w:jc w:val="center"/>
              <w:rPr>
                <w:rFonts w:ascii="宋体" w:hAnsi="宋体" w:cs="仿宋"/>
                <w:b/>
                <w:color w:val="000000"/>
                <w:kern w:val="0"/>
                <w:szCs w:val="21"/>
              </w:rPr>
            </w:pPr>
            <w:r>
              <w:rPr>
                <w:rFonts w:hint="eastAsia" w:ascii="宋体" w:hAnsi="宋体" w:cs="仿宋"/>
                <w:b/>
                <w:color w:val="000000"/>
                <w:kern w:val="0"/>
                <w:szCs w:val="21"/>
              </w:rPr>
              <w:t>数量</w:t>
            </w:r>
          </w:p>
        </w:tc>
        <w:tc>
          <w:tcPr>
            <w:tcW w:w="2914" w:type="pct"/>
            <w:noWrap w:val="0"/>
            <w:vAlign w:val="center"/>
          </w:tcPr>
          <w:p>
            <w:pPr>
              <w:widowControl/>
              <w:jc w:val="center"/>
              <w:rPr>
                <w:rFonts w:ascii="宋体" w:hAnsi="宋体" w:cs="仿宋"/>
                <w:b/>
                <w:color w:val="000000"/>
                <w:kern w:val="0"/>
                <w:szCs w:val="21"/>
              </w:rPr>
            </w:pPr>
            <w:r>
              <w:rPr>
                <w:rFonts w:hint="eastAsia" w:ascii="宋体" w:hAnsi="宋体" w:cs="仿宋"/>
                <w:b/>
                <w:color w:val="000000"/>
                <w:kern w:val="0"/>
                <w:szCs w:val="21"/>
              </w:rPr>
              <w:t>服务内容及要求</w:t>
            </w:r>
          </w:p>
        </w:tc>
        <w:tc>
          <w:tcPr>
            <w:tcW w:w="770" w:type="pct"/>
            <w:noWrap w:val="0"/>
            <w:vAlign w:val="center"/>
          </w:tcPr>
          <w:p>
            <w:pPr>
              <w:rPr>
                <w:rFonts w:ascii="宋体" w:hAnsi="宋体" w:cs="仿宋"/>
                <w:b/>
                <w:color w:val="000000"/>
                <w:kern w:val="0"/>
                <w:szCs w:val="21"/>
              </w:rPr>
            </w:pPr>
            <w:r>
              <w:rPr>
                <w:rFonts w:hint="eastAsia" w:ascii="宋体" w:hAnsi="宋体" w:cs="仿宋"/>
                <w:b/>
                <w:color w:val="000000"/>
                <w:kern w:val="0"/>
                <w:szCs w:val="21"/>
              </w:rPr>
              <w:t>分项预算合价（万元）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0" w:type="pct"/>
            <w:noWrap w:val="0"/>
            <w:vAlign w:val="center"/>
          </w:tcPr>
          <w:p>
            <w:pPr>
              <w:rPr>
                <w:szCs w:val="21"/>
                <w:highlight w:val="none"/>
              </w:rPr>
            </w:pPr>
            <w:r>
              <w:rPr>
                <w:rFonts w:hint="eastAsia"/>
                <w:szCs w:val="21"/>
                <w:highlight w:val="none"/>
              </w:rPr>
              <w:t>1</w:t>
            </w:r>
          </w:p>
        </w:tc>
        <w:tc>
          <w:tcPr>
            <w:tcW w:w="611" w:type="pct"/>
            <w:noWrap w:val="0"/>
            <w:vAlign w:val="center"/>
          </w:tcPr>
          <w:p>
            <w:pPr>
              <w:rPr>
                <w:rFonts w:hint="default" w:eastAsia="宋体"/>
                <w:szCs w:val="21"/>
                <w:highlight w:val="none"/>
                <w:lang w:val="en-US" w:eastAsia="zh-CN"/>
              </w:rPr>
            </w:pPr>
            <w:r>
              <w:rPr>
                <w:rFonts w:hint="eastAsia"/>
                <w:szCs w:val="21"/>
                <w:highlight w:val="none"/>
                <w:lang w:val="en-US" w:eastAsia="zh-CN"/>
              </w:rPr>
              <w:t>2026年江南区综治视联网会议系统专线服务</w:t>
            </w:r>
          </w:p>
        </w:tc>
        <w:tc>
          <w:tcPr>
            <w:tcW w:w="375" w:type="pct"/>
            <w:noWrap w:val="0"/>
            <w:vAlign w:val="center"/>
          </w:tcPr>
          <w:p>
            <w:pPr>
              <w:jc w:val="center"/>
              <w:rPr>
                <w:szCs w:val="21"/>
                <w:highlight w:val="none"/>
              </w:rPr>
            </w:pPr>
            <w:r>
              <w:rPr>
                <w:rFonts w:hint="eastAsia"/>
                <w:szCs w:val="21"/>
                <w:highlight w:val="none"/>
              </w:rPr>
              <w:t>1项</w:t>
            </w:r>
          </w:p>
        </w:tc>
        <w:tc>
          <w:tcPr>
            <w:tcW w:w="2914" w:type="pct"/>
            <w:noWrap w:val="0"/>
            <w:vAlign w:val="center"/>
          </w:tcPr>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为满足江南区综治视联网数据传输需求，</w:t>
            </w:r>
            <w:r>
              <w:rPr>
                <w:rFonts w:hint="eastAsia" w:ascii="宋体" w:hAnsi="宋体" w:eastAsia="宋体" w:cs="宋体"/>
                <w:color w:val="auto"/>
                <w:sz w:val="21"/>
                <w:szCs w:val="21"/>
              </w:rPr>
              <w:t>须提供</w:t>
            </w:r>
            <w:bookmarkStart w:id="6" w:name="_GoBack"/>
            <w:r>
              <w:rPr>
                <w:rFonts w:hint="eastAsia" w:ascii="宋体" w:hAnsi="宋体" w:eastAsia="宋体" w:cs="宋体"/>
                <w:color w:val="auto"/>
                <w:sz w:val="21"/>
                <w:szCs w:val="21"/>
                <w:highlight w:val="none"/>
              </w:rPr>
              <w:t>1条≥</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0M</w:t>
            </w:r>
            <w:r>
              <w:rPr>
                <w:rFonts w:hint="eastAsia" w:ascii="宋体" w:hAnsi="宋体" w:eastAsia="宋体" w:cs="宋体"/>
                <w:color w:val="auto"/>
                <w:sz w:val="21"/>
                <w:szCs w:val="21"/>
                <w:highlight w:val="none"/>
                <w:lang w:val="en-US" w:eastAsia="zh-CN"/>
              </w:rPr>
              <w:t>bps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lang w:val="en-US" w:eastAsia="zh-CN"/>
              </w:rPr>
              <w:t>bps</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0M</w:t>
            </w:r>
            <w:r>
              <w:rPr>
                <w:rFonts w:hint="eastAsia" w:ascii="宋体" w:hAnsi="宋体" w:eastAsia="宋体" w:cs="宋体"/>
                <w:color w:val="auto"/>
                <w:sz w:val="21"/>
                <w:szCs w:val="21"/>
                <w:highlight w:val="none"/>
                <w:lang w:val="en-US" w:eastAsia="zh-CN"/>
              </w:rPr>
              <w:t>bps</w:t>
            </w:r>
            <w:bookmarkEnd w:id="6"/>
            <w:r>
              <w:rPr>
                <w:rFonts w:hint="eastAsia" w:ascii="宋体" w:hAnsi="宋体" w:eastAsia="宋体" w:cs="宋体"/>
                <w:color w:val="auto"/>
                <w:sz w:val="21"/>
                <w:szCs w:val="21"/>
              </w:rPr>
              <w:t>点对点数字</w:t>
            </w:r>
            <w:r>
              <w:rPr>
                <w:rFonts w:hint="eastAsia" w:ascii="宋体" w:hAnsi="宋体" w:eastAsia="宋体" w:cs="宋体"/>
                <w:color w:val="auto"/>
                <w:sz w:val="21"/>
                <w:szCs w:val="21"/>
                <w:lang w:val="en-US" w:eastAsia="zh-CN"/>
              </w:rPr>
              <w:t>电路服务（接入地点由采购人指定）。</w:t>
            </w:r>
          </w:p>
          <w:p>
            <w:pPr>
              <w:pStyle w:val="2"/>
              <w:pageBreakBefore w:val="0"/>
              <w:widowControl w:val="0"/>
              <w:numPr>
                <w:ilvl w:val="0"/>
                <w:numId w:val="0"/>
              </w:numPr>
              <w:kinsoku/>
              <w:wordWrap/>
              <w:overflowPunct/>
              <w:topLinePunct w:val="0"/>
              <w:autoSpaceDE/>
              <w:autoSpaceDN/>
              <w:bidi w:val="0"/>
              <w:adjustRightInd/>
              <w:spacing w:before="0" w:after="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数据专线采用光纤接入方式，要求专线速率上、下行对称，与互联网物理隔离，保证数据传输的安全和稳定。</w:t>
            </w:r>
          </w:p>
          <w:p>
            <w:pPr>
              <w:pageBreakBefore w:val="0"/>
              <w:widowControl w:val="0"/>
              <w:numPr>
                <w:ilvl w:val="0"/>
                <w:numId w:val="0"/>
              </w:numPr>
              <w:kinsoku/>
              <w:wordWrap/>
              <w:overflowPunct/>
              <w:topLinePunct w:val="0"/>
              <w:autoSpaceDE/>
              <w:autoSpaceDN/>
              <w:bidi w:val="0"/>
              <w:adjustRightInd/>
              <w:spacing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要求提供各种主流物理光、电接口，如RJ45/LC/FC等供采购人使用。</w:t>
            </w:r>
          </w:p>
          <w:p>
            <w:pPr>
              <w:pStyle w:val="2"/>
              <w:pageBreakBefore w:val="0"/>
              <w:widowControl w:val="0"/>
              <w:numPr>
                <w:ilvl w:val="0"/>
                <w:numId w:val="0"/>
              </w:numPr>
              <w:kinsoku/>
              <w:wordWrap/>
              <w:overflowPunct/>
              <w:topLinePunct w:val="0"/>
              <w:autoSpaceDE/>
              <w:autoSpaceDN/>
              <w:bidi w:val="0"/>
              <w:adjustRightInd/>
              <w:spacing w:before="0" w:after="0"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val="en-US" w:eastAsia="zh-CN"/>
              </w:rPr>
              <w:t>供应商所采用的网络为面向分组传送的弹性网络，可应对采购人突发的带宽增长需求。</w:t>
            </w:r>
          </w:p>
          <w:p>
            <w:pPr>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lang w:val="en-US" w:eastAsia="zh-CN"/>
              </w:rPr>
              <w:t>采用基于分组复用、静态寻址方式等网络技术进行组网，具备在本地大规模使用分组复用网络技术组网的能力。</w:t>
            </w:r>
          </w:p>
          <w:p>
            <w:pPr>
              <w:pStyle w:val="2"/>
              <w:pageBreakBefore w:val="0"/>
              <w:widowControl w:val="0"/>
              <w:numPr>
                <w:ilvl w:val="0"/>
                <w:numId w:val="0"/>
              </w:numPr>
              <w:kinsoku/>
              <w:wordWrap/>
              <w:overflowPunct/>
              <w:topLinePunct w:val="0"/>
              <w:autoSpaceDE/>
              <w:autoSpaceDN/>
              <w:bidi w:val="0"/>
              <w:adjustRightInd/>
              <w:spacing w:before="0" w:after="0" w:line="36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lang w:val="en-US" w:eastAsia="zh-CN"/>
              </w:rPr>
              <w:t>线路技术指标：单条电路端到端可用率≥99.90%；PING测1M报文，线路最大时延≤10ms；线路丢包率≤1%，且不允许出现连续丢包。</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7.供应商</w:t>
            </w:r>
            <w:r>
              <w:rPr>
                <w:rFonts w:hint="eastAsia" w:ascii="宋体" w:hAnsi="宋体" w:eastAsia="宋体" w:cs="宋体"/>
                <w:color w:val="auto"/>
                <w:sz w:val="21"/>
                <w:szCs w:val="21"/>
              </w:rPr>
              <w:t>需提供足额</w:t>
            </w:r>
            <w:r>
              <w:rPr>
                <w:rFonts w:hint="eastAsia" w:ascii="宋体" w:hAnsi="宋体" w:eastAsia="宋体" w:cs="宋体"/>
                <w:color w:val="auto"/>
                <w:sz w:val="21"/>
                <w:szCs w:val="21"/>
                <w:lang w:val="en-US" w:eastAsia="zh-CN"/>
              </w:rPr>
              <w:t>的传输线路</w:t>
            </w:r>
            <w:r>
              <w:rPr>
                <w:rFonts w:hint="eastAsia" w:ascii="宋体" w:hAnsi="宋体" w:eastAsia="宋体" w:cs="宋体"/>
                <w:color w:val="auto"/>
                <w:sz w:val="21"/>
                <w:szCs w:val="21"/>
              </w:rPr>
              <w:t>速率：</w:t>
            </w:r>
            <w:r>
              <w:rPr>
                <w:rFonts w:hint="eastAsia" w:ascii="宋体" w:hAnsi="宋体" w:eastAsia="宋体" w:cs="宋体"/>
                <w:color w:val="auto"/>
                <w:sz w:val="21"/>
                <w:szCs w:val="21"/>
                <w:lang w:val="en-US" w:eastAsia="zh-CN"/>
              </w:rPr>
              <w:t>要求所提供的传输线路，两端裸机测试，速率均能稳定在所承诺提供的线路速率。</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数字电路专线要求具有端到端全程网管监控功能，并实现7*24小时实时监控，具备自动告警、日志查询等功能。</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9.供应商</w:t>
            </w:r>
            <w:r>
              <w:rPr>
                <w:rFonts w:hint="eastAsia" w:ascii="宋体" w:hAnsi="宋体" w:eastAsia="宋体" w:cs="宋体"/>
                <w:color w:val="auto"/>
                <w:sz w:val="21"/>
                <w:szCs w:val="21"/>
                <w:lang w:eastAsia="zh-CN"/>
              </w:rPr>
              <w:t>提供本项目服务需求的通信链路和相关接入设备的全部软硬件安装和调试。采购人提供必要</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安装条件（如场地、电源等）。</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当采购人网络需要扩展或升级时，供应商免费提供相应解决方案等技术支持。</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提供江南区政法委综治视联网网络设备硬件维保服务，确保设备损坏时可进行免费维修或更换，保证江南区政法委综治视联网网络连续稳定运行。</w:t>
            </w:r>
          </w:p>
          <w:p>
            <w:pPr>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提供江南区政法委综治视联网</w:t>
            </w:r>
            <w:r>
              <w:rPr>
                <w:rFonts w:hint="eastAsia" w:ascii="宋体" w:hAnsi="宋体" w:eastAsia="宋体" w:cs="宋体"/>
                <w:color w:val="auto"/>
                <w:sz w:val="21"/>
                <w:szCs w:val="21"/>
                <w:lang w:val="en-US" w:eastAsia="zh-CN"/>
              </w:rPr>
              <w:t>日常</w:t>
            </w:r>
            <w:r>
              <w:rPr>
                <w:rFonts w:hint="eastAsia" w:ascii="宋体" w:hAnsi="宋体" w:eastAsia="宋体" w:cs="宋体"/>
                <w:color w:val="auto"/>
                <w:sz w:val="21"/>
                <w:szCs w:val="21"/>
                <w:lang w:eastAsia="zh-CN"/>
              </w:rPr>
              <w:t>运维服务，对江南区综治视联网网络全网设备运行情况进行监控，当发生网络故障时可及时进行处理。</w:t>
            </w:r>
          </w:p>
        </w:tc>
        <w:tc>
          <w:tcPr>
            <w:tcW w:w="770" w:type="pct"/>
            <w:noWrap w:val="0"/>
            <w:vAlign w:val="center"/>
          </w:tcPr>
          <w:p>
            <w:pPr>
              <w:widowControl/>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0" w:type="pct"/>
            <w:noWrap w:val="0"/>
            <w:vAlign w:val="center"/>
          </w:tcPr>
          <w:p>
            <w:pPr>
              <w:spacing w:before="156" w:after="156"/>
              <w:jc w:val="center"/>
              <w:rPr>
                <w:rFonts w:hint="eastAsia"/>
                <w:szCs w:val="21"/>
                <w:highlight w:val="none"/>
              </w:rPr>
            </w:pPr>
            <w:r>
              <w:rPr>
                <w:rFonts w:hint="eastAsia" w:ascii="宋体" w:hAnsi="宋体" w:cs="仿宋"/>
                <w:szCs w:val="21"/>
                <w:highlight w:val="none"/>
              </w:rPr>
              <w:t>商务条款</w:t>
            </w:r>
          </w:p>
        </w:tc>
        <w:tc>
          <w:tcPr>
            <w:tcW w:w="4670" w:type="pct"/>
            <w:gridSpan w:val="4"/>
            <w:noWrap w:val="0"/>
            <w:vAlign w:val="center"/>
          </w:tcPr>
          <w:p>
            <w:pPr>
              <w:widowControl/>
              <w:adjustRightInd w:val="0"/>
              <w:snapToGrid w:val="0"/>
              <w:spacing w:line="360" w:lineRule="auto"/>
              <w:rPr>
                <w:rFonts w:hint="eastAsia"/>
                <w:szCs w:val="21"/>
                <w:highlight w:val="none"/>
              </w:rPr>
            </w:pPr>
            <w:r>
              <w:rPr>
                <w:rFonts w:hint="eastAsia"/>
                <w:szCs w:val="21"/>
                <w:highlight w:val="none"/>
              </w:rPr>
              <w:t>▲一、合同签订期：自中标通知书发出之日起</w:t>
            </w:r>
            <w:r>
              <w:rPr>
                <w:szCs w:val="21"/>
                <w:highlight w:val="none"/>
              </w:rPr>
              <w:t>25</w:t>
            </w:r>
            <w:r>
              <w:rPr>
                <w:rFonts w:hint="eastAsia"/>
                <w:szCs w:val="21"/>
                <w:highlight w:val="none"/>
              </w:rPr>
              <w:t>个工作日内。</w:t>
            </w:r>
          </w:p>
          <w:p>
            <w:pPr>
              <w:widowControl/>
              <w:adjustRightInd w:val="0"/>
              <w:snapToGrid w:val="0"/>
              <w:spacing w:line="360" w:lineRule="auto"/>
              <w:rPr>
                <w:rFonts w:hint="eastAsia"/>
                <w:szCs w:val="21"/>
                <w:highlight w:val="none"/>
              </w:rPr>
            </w:pPr>
            <w:r>
              <w:rPr>
                <w:rFonts w:hint="eastAsia"/>
                <w:szCs w:val="21"/>
                <w:highlight w:val="none"/>
              </w:rPr>
              <w:t>▲二、提交服务成果时间：自合同签订之日起</w:t>
            </w:r>
            <w:r>
              <w:rPr>
                <w:rFonts w:hint="eastAsia"/>
                <w:szCs w:val="21"/>
                <w:highlight w:val="none"/>
                <w:lang w:val="en-US" w:eastAsia="zh-CN"/>
              </w:rPr>
              <w:t>30</w:t>
            </w:r>
            <w:r>
              <w:rPr>
                <w:rFonts w:hint="eastAsia"/>
                <w:szCs w:val="21"/>
                <w:highlight w:val="none"/>
              </w:rPr>
              <w:t>个</w:t>
            </w:r>
            <w:r>
              <w:rPr>
                <w:rFonts w:hint="eastAsia"/>
                <w:szCs w:val="21"/>
                <w:highlight w:val="none"/>
                <w:lang w:val="en-US" w:eastAsia="zh-CN"/>
              </w:rPr>
              <w:t>工作日</w:t>
            </w:r>
            <w:r>
              <w:rPr>
                <w:rFonts w:hint="eastAsia"/>
                <w:szCs w:val="21"/>
                <w:highlight w:val="none"/>
              </w:rPr>
              <w:t>内开通所有线路，并交付使用。</w:t>
            </w:r>
          </w:p>
          <w:p>
            <w:pPr>
              <w:widowControl/>
              <w:adjustRightInd w:val="0"/>
              <w:snapToGrid w:val="0"/>
              <w:spacing w:line="360" w:lineRule="auto"/>
              <w:rPr>
                <w:szCs w:val="21"/>
                <w:highlight w:val="none"/>
              </w:rPr>
            </w:pPr>
            <w:r>
              <w:rPr>
                <w:rFonts w:hint="eastAsia"/>
                <w:szCs w:val="21"/>
                <w:highlight w:val="none"/>
              </w:rPr>
              <w:t>三、提交服务成果地点：南宁市范围内由采购</w:t>
            </w:r>
            <w:r>
              <w:rPr>
                <w:rFonts w:hint="eastAsia"/>
                <w:szCs w:val="21"/>
                <w:highlight w:val="none"/>
                <w:lang w:val="en-US" w:eastAsia="zh-CN"/>
              </w:rPr>
              <w:t>人</w:t>
            </w:r>
            <w:r>
              <w:rPr>
                <w:rFonts w:hint="eastAsia"/>
                <w:szCs w:val="21"/>
                <w:highlight w:val="none"/>
              </w:rPr>
              <w:t>指定地点。</w:t>
            </w:r>
          </w:p>
          <w:p>
            <w:pPr>
              <w:widowControl/>
              <w:adjustRightInd w:val="0"/>
              <w:snapToGrid w:val="0"/>
              <w:spacing w:line="360" w:lineRule="auto"/>
              <w:rPr>
                <w:rFonts w:hint="eastAsia"/>
                <w:szCs w:val="21"/>
                <w:highlight w:val="none"/>
              </w:rPr>
            </w:pPr>
            <w:r>
              <w:rPr>
                <w:rFonts w:hint="eastAsia"/>
                <w:szCs w:val="21"/>
                <w:highlight w:val="none"/>
              </w:rPr>
              <w:t>▲四、服务期限：</w:t>
            </w:r>
            <w:r>
              <w:rPr>
                <w:rFonts w:hint="eastAsia" w:ascii="宋体" w:hAnsi="宋体"/>
                <w:bCs/>
                <w:color w:val="000000"/>
                <w:szCs w:val="21"/>
                <w:highlight w:val="none"/>
              </w:rPr>
              <w:t>自</w:t>
            </w:r>
            <w:r>
              <w:rPr>
                <w:rFonts w:hint="eastAsia" w:ascii="宋体" w:hAnsi="宋体"/>
                <w:bCs/>
                <w:color w:val="000000"/>
                <w:szCs w:val="21"/>
                <w:highlight w:val="none"/>
                <w:lang w:val="en-US" w:eastAsia="zh-CN"/>
              </w:rPr>
              <w:t>项目</w:t>
            </w:r>
            <w:r>
              <w:rPr>
                <w:rFonts w:hint="eastAsia" w:ascii="宋体" w:hAnsi="宋体"/>
                <w:bCs/>
                <w:color w:val="000000"/>
                <w:szCs w:val="21"/>
                <w:highlight w:val="none"/>
              </w:rPr>
              <w:t>交付使用之日起服务一年。</w:t>
            </w:r>
          </w:p>
          <w:p>
            <w:pPr>
              <w:widowControl/>
              <w:adjustRightInd w:val="0"/>
              <w:snapToGrid w:val="0"/>
              <w:spacing w:line="360" w:lineRule="auto"/>
              <w:rPr>
                <w:szCs w:val="21"/>
                <w:highlight w:val="none"/>
              </w:rPr>
            </w:pPr>
            <w:r>
              <w:rPr>
                <w:rFonts w:hint="eastAsia"/>
                <w:szCs w:val="21"/>
                <w:highlight w:val="none"/>
              </w:rPr>
              <w:t>五、质保期：</w:t>
            </w:r>
            <w:r>
              <w:rPr>
                <w:rFonts w:hint="eastAsia"/>
                <w:szCs w:val="21"/>
                <w:highlight w:val="none"/>
                <w:lang w:val="en-US" w:eastAsia="zh-CN"/>
              </w:rPr>
              <w:t>1年（自验收交付之日起计算）</w:t>
            </w:r>
          </w:p>
          <w:p>
            <w:pPr>
              <w:widowControl/>
              <w:adjustRightInd w:val="0"/>
              <w:snapToGrid w:val="0"/>
              <w:spacing w:line="360" w:lineRule="auto"/>
              <w:rPr>
                <w:rFonts w:hint="eastAsia"/>
                <w:szCs w:val="21"/>
                <w:highlight w:val="none"/>
              </w:rPr>
            </w:pPr>
            <w:r>
              <w:rPr>
                <w:rFonts w:hint="eastAsia"/>
                <w:szCs w:val="21"/>
                <w:highlight w:val="none"/>
              </w:rPr>
              <w:t>▲六、售后服务要求：</w:t>
            </w:r>
          </w:p>
          <w:p>
            <w:pPr>
              <w:widowControl/>
              <w:adjustRightInd w:val="0"/>
              <w:snapToGrid w:val="0"/>
              <w:spacing w:line="360" w:lineRule="auto"/>
              <w:rPr>
                <w:rFonts w:hint="eastAsia" w:ascii="宋体" w:hAnsi="宋体" w:cs="Arial"/>
                <w:bCs/>
                <w:color w:val="000000"/>
                <w:kern w:val="0"/>
                <w:sz w:val="21"/>
                <w:szCs w:val="21"/>
                <w:highlight w:val="none"/>
                <w:lang w:eastAsia="zh-CN"/>
              </w:rPr>
            </w:pPr>
            <w:r>
              <w:rPr>
                <w:rFonts w:hint="eastAsia"/>
                <w:szCs w:val="21"/>
                <w:highlight w:val="none"/>
                <w:lang w:eastAsia="zh-CN"/>
              </w:rPr>
              <w:t>（</w:t>
            </w:r>
            <w:r>
              <w:rPr>
                <w:rFonts w:hint="eastAsia"/>
                <w:szCs w:val="21"/>
                <w:highlight w:val="none"/>
                <w:lang w:val="en-US" w:eastAsia="zh-CN"/>
              </w:rPr>
              <w:t>1</w:t>
            </w:r>
            <w:r>
              <w:rPr>
                <w:rFonts w:hint="eastAsia"/>
                <w:szCs w:val="21"/>
                <w:highlight w:val="none"/>
                <w:lang w:eastAsia="zh-CN"/>
              </w:rPr>
              <w:t>）</w:t>
            </w:r>
            <w:r>
              <w:rPr>
                <w:rFonts w:hint="eastAsia" w:ascii="宋体" w:hAnsi="宋体" w:cs="Arial"/>
                <w:bCs/>
                <w:color w:val="000000"/>
                <w:kern w:val="0"/>
                <w:sz w:val="21"/>
                <w:szCs w:val="21"/>
                <w:highlight w:val="none"/>
              </w:rPr>
              <w:t>提供7x24小时热线电话服务，并提供故障申告途径及绿色通道，做到全方位响应</w:t>
            </w:r>
            <w:r>
              <w:rPr>
                <w:rFonts w:hint="eastAsia" w:ascii="宋体" w:hAnsi="宋体" w:cs="Arial"/>
                <w:bCs/>
                <w:color w:val="000000"/>
                <w:kern w:val="0"/>
                <w:sz w:val="21"/>
                <w:szCs w:val="21"/>
                <w:highlight w:val="none"/>
                <w:lang w:eastAsia="zh-CN"/>
              </w:rPr>
              <w:t>。</w:t>
            </w:r>
          </w:p>
          <w:p>
            <w:pPr>
              <w:widowControl/>
              <w:adjustRightInd w:val="0"/>
              <w:snapToGrid w:val="0"/>
              <w:spacing w:line="360" w:lineRule="auto"/>
              <w:rPr>
                <w:rFonts w:hint="eastAsia" w:ascii="宋体" w:hAnsi="宋体" w:cs="Arial"/>
                <w:bCs/>
                <w:color w:val="000000"/>
                <w:kern w:val="0"/>
                <w:sz w:val="21"/>
                <w:szCs w:val="21"/>
                <w:highlight w:val="none"/>
                <w:lang w:eastAsia="zh-CN"/>
              </w:rPr>
            </w:pPr>
            <w:r>
              <w:rPr>
                <w:rFonts w:hint="eastAsia" w:ascii="宋体" w:hAnsi="宋体" w:cs="Arial"/>
                <w:bCs/>
                <w:color w:val="000000"/>
                <w:kern w:val="0"/>
                <w:sz w:val="21"/>
                <w:szCs w:val="21"/>
                <w:highlight w:val="none"/>
                <w:lang w:eastAsia="zh-CN"/>
              </w:rPr>
              <w:t>（</w:t>
            </w:r>
            <w:r>
              <w:rPr>
                <w:rFonts w:hint="eastAsia" w:ascii="宋体" w:hAnsi="宋体" w:cs="Arial"/>
                <w:bCs/>
                <w:color w:val="000000"/>
                <w:kern w:val="0"/>
                <w:sz w:val="21"/>
                <w:szCs w:val="21"/>
                <w:highlight w:val="none"/>
                <w:lang w:val="en-US" w:eastAsia="zh-CN"/>
              </w:rPr>
              <w:t>2</w:t>
            </w:r>
            <w:r>
              <w:rPr>
                <w:rFonts w:hint="eastAsia" w:ascii="宋体" w:hAnsi="宋体" w:cs="Arial"/>
                <w:bCs/>
                <w:color w:val="000000"/>
                <w:kern w:val="0"/>
                <w:sz w:val="21"/>
                <w:szCs w:val="21"/>
                <w:highlight w:val="none"/>
                <w:lang w:eastAsia="zh-CN"/>
              </w:rPr>
              <w:t>）在服务期限内出现故障时，</w:t>
            </w:r>
            <w:r>
              <w:rPr>
                <w:rFonts w:hint="eastAsia" w:ascii="宋体" w:hAnsi="宋体" w:cs="Arial"/>
                <w:bCs/>
                <w:color w:val="000000"/>
                <w:kern w:val="0"/>
                <w:sz w:val="21"/>
                <w:szCs w:val="21"/>
                <w:highlight w:val="none"/>
                <w:lang w:val="en-US" w:eastAsia="zh-CN"/>
              </w:rPr>
              <w:t>2</w:t>
            </w:r>
            <w:r>
              <w:rPr>
                <w:rFonts w:hint="eastAsia" w:ascii="宋体" w:hAnsi="宋体" w:cs="Arial"/>
                <w:bCs/>
                <w:color w:val="000000"/>
                <w:kern w:val="0"/>
                <w:sz w:val="21"/>
                <w:szCs w:val="21"/>
                <w:highlight w:val="none"/>
                <w:lang w:eastAsia="zh-CN"/>
              </w:rPr>
              <w:t>小时内响应，24小时内排除故障，如不能在规定时间内排除故障，需在故障次日向采购人说明原因并提供</w:t>
            </w:r>
            <w:r>
              <w:rPr>
                <w:rFonts w:hint="eastAsia" w:ascii="宋体" w:hAnsi="宋体" w:cs="Arial"/>
                <w:bCs/>
                <w:color w:val="000000"/>
                <w:kern w:val="0"/>
                <w:sz w:val="21"/>
                <w:szCs w:val="21"/>
                <w:highlight w:val="none"/>
                <w:lang w:val="en-US" w:eastAsia="zh-CN"/>
              </w:rPr>
              <w:t>备用</w:t>
            </w:r>
            <w:r>
              <w:rPr>
                <w:rFonts w:hint="eastAsia" w:ascii="宋体" w:hAnsi="宋体" w:cs="Arial"/>
                <w:bCs/>
                <w:color w:val="000000"/>
                <w:kern w:val="0"/>
                <w:sz w:val="21"/>
                <w:szCs w:val="21"/>
                <w:highlight w:val="none"/>
                <w:lang w:eastAsia="zh-CN"/>
              </w:rPr>
              <w:t>解决方案。若出现业务中断故障，1小时内做出响应，</w:t>
            </w:r>
            <w:r>
              <w:rPr>
                <w:rFonts w:hint="eastAsia" w:ascii="宋体" w:hAnsi="宋体" w:cs="Arial"/>
                <w:bCs/>
                <w:color w:val="000000"/>
                <w:kern w:val="0"/>
                <w:sz w:val="21"/>
                <w:szCs w:val="21"/>
                <w:highlight w:val="none"/>
                <w:lang w:val="en-US" w:eastAsia="zh-CN"/>
              </w:rPr>
              <w:t>4</w:t>
            </w:r>
            <w:r>
              <w:rPr>
                <w:rFonts w:hint="eastAsia" w:ascii="宋体" w:hAnsi="宋体" w:cs="Arial"/>
                <w:bCs/>
                <w:color w:val="000000"/>
                <w:kern w:val="0"/>
                <w:sz w:val="21"/>
                <w:szCs w:val="21"/>
                <w:highlight w:val="none"/>
                <w:lang w:eastAsia="zh-CN"/>
              </w:rPr>
              <w:t>个小时内赶往现场，</w:t>
            </w:r>
            <w:r>
              <w:rPr>
                <w:rFonts w:hint="eastAsia" w:ascii="宋体" w:hAnsi="宋体" w:cs="Arial"/>
                <w:bCs/>
                <w:color w:val="000000"/>
                <w:kern w:val="0"/>
                <w:sz w:val="21"/>
                <w:szCs w:val="21"/>
                <w:highlight w:val="none"/>
                <w:lang w:val="en-US" w:eastAsia="zh-CN"/>
              </w:rPr>
              <w:t>8</w:t>
            </w:r>
            <w:r>
              <w:rPr>
                <w:rFonts w:hint="eastAsia" w:ascii="宋体" w:hAnsi="宋体" w:cs="Arial"/>
                <w:bCs/>
                <w:color w:val="000000"/>
                <w:kern w:val="0"/>
                <w:sz w:val="21"/>
                <w:szCs w:val="21"/>
                <w:highlight w:val="none"/>
                <w:lang w:eastAsia="zh-CN"/>
              </w:rPr>
              <w:t>小时内解决问题。</w:t>
            </w:r>
          </w:p>
          <w:p>
            <w:pPr>
              <w:widowControl/>
              <w:adjustRightInd w:val="0"/>
              <w:snapToGrid w:val="0"/>
              <w:spacing w:line="360" w:lineRule="auto"/>
              <w:rPr>
                <w:rFonts w:hint="eastAsia"/>
                <w:szCs w:val="21"/>
                <w:highlight w:val="none"/>
                <w:lang w:eastAsia="zh-CN"/>
              </w:rPr>
            </w:pPr>
            <w:r>
              <w:rPr>
                <w:rFonts w:hint="eastAsia"/>
                <w:szCs w:val="21"/>
                <w:highlight w:val="none"/>
                <w:lang w:eastAsia="zh-CN"/>
              </w:rPr>
              <w:t>（</w:t>
            </w:r>
            <w:r>
              <w:rPr>
                <w:rFonts w:hint="eastAsia"/>
                <w:szCs w:val="21"/>
                <w:highlight w:val="none"/>
                <w:lang w:val="en-US" w:eastAsia="zh-CN"/>
              </w:rPr>
              <w:t>3</w:t>
            </w:r>
            <w:r>
              <w:rPr>
                <w:rFonts w:hint="eastAsia"/>
                <w:szCs w:val="21"/>
                <w:highlight w:val="none"/>
                <w:lang w:eastAsia="zh-CN"/>
              </w:rPr>
              <w:t>）</w:t>
            </w:r>
            <w:r>
              <w:rPr>
                <w:rFonts w:hint="eastAsia"/>
                <w:szCs w:val="21"/>
                <w:highlight w:val="none"/>
                <w:lang w:val="en-US" w:eastAsia="zh-CN"/>
              </w:rPr>
              <w:t>提供</w:t>
            </w:r>
            <w:r>
              <w:rPr>
                <w:rFonts w:hint="eastAsia"/>
                <w:szCs w:val="21"/>
                <w:highlight w:val="none"/>
              </w:rPr>
              <w:t>本地化服务，中标人需提供1名项目经理、1名</w:t>
            </w:r>
            <w:r>
              <w:rPr>
                <w:rFonts w:hint="eastAsia"/>
                <w:szCs w:val="21"/>
                <w:highlight w:val="none"/>
                <w:lang w:val="en-US" w:eastAsia="zh-CN"/>
              </w:rPr>
              <w:t>技术</w:t>
            </w:r>
            <w:r>
              <w:rPr>
                <w:rFonts w:hint="eastAsia"/>
                <w:szCs w:val="21"/>
                <w:highlight w:val="none"/>
              </w:rPr>
              <w:t>负责人负责项目管理及建设工作，并配备相关技术人员，提供1名售后负责人及售后服务技术团队保障售后服务响应，配置本地化技术服务人员提供7×24小时技术服务支持，提供长期的良好的本地化技术支持，中标人必须按采购人的要求提供售后服务技术支持，并做好服务记录</w:t>
            </w:r>
            <w:r>
              <w:rPr>
                <w:rFonts w:hint="eastAsia"/>
                <w:szCs w:val="21"/>
                <w:highlight w:val="none"/>
                <w:lang w:eastAsia="zh-CN"/>
              </w:rPr>
              <w:t>。</w:t>
            </w:r>
          </w:p>
          <w:p>
            <w:pPr>
              <w:widowControl/>
              <w:adjustRightInd w:val="0"/>
              <w:snapToGrid w:val="0"/>
              <w:spacing w:line="360" w:lineRule="auto"/>
              <w:ind w:firstLine="420" w:firstLineChars="200"/>
              <w:rPr>
                <w:rFonts w:hint="eastAsia"/>
                <w:szCs w:val="21"/>
                <w:highlight w:val="none"/>
              </w:rPr>
            </w:pPr>
            <w:r>
              <w:rPr>
                <w:rFonts w:hint="eastAsia"/>
                <w:szCs w:val="21"/>
                <w:highlight w:val="none"/>
                <w:lang w:val="en-US" w:eastAsia="zh-CN"/>
              </w:rPr>
              <w:t xml:space="preserve"> 七、</w:t>
            </w:r>
            <w:r>
              <w:rPr>
                <w:rFonts w:hint="eastAsia"/>
                <w:szCs w:val="21"/>
                <w:highlight w:val="none"/>
              </w:rPr>
              <w:t>项目验收</w:t>
            </w:r>
          </w:p>
          <w:p>
            <w:pPr>
              <w:widowControl/>
              <w:adjustRightInd w:val="0"/>
              <w:snapToGrid w:val="0"/>
              <w:spacing w:line="360" w:lineRule="auto"/>
              <w:ind w:firstLine="420" w:firstLineChars="200"/>
              <w:rPr>
                <w:color w:val="FF0000"/>
                <w:szCs w:val="21"/>
                <w:highlight w:val="none"/>
              </w:rPr>
            </w:pPr>
            <w:r>
              <w:rPr>
                <w:rFonts w:hint="eastAsia"/>
                <w:szCs w:val="21"/>
                <w:highlight w:val="none"/>
              </w:rPr>
              <w:t>所有</w:t>
            </w:r>
            <w:r>
              <w:rPr>
                <w:rFonts w:hint="eastAsia"/>
                <w:szCs w:val="21"/>
                <w:highlight w:val="none"/>
                <w:lang w:val="en-US" w:eastAsia="zh-CN"/>
              </w:rPr>
              <w:t>线路</w:t>
            </w:r>
            <w:r>
              <w:rPr>
                <w:rFonts w:hint="eastAsia"/>
                <w:szCs w:val="21"/>
                <w:highlight w:val="none"/>
              </w:rPr>
              <w:t>开通完成后，中标人提请项目验收，由采购人组织项目验收工作，依据行业规范及采购人的需求来确定，经双方现场测试确认，才能通过验收</w:t>
            </w:r>
            <w:r>
              <w:rPr>
                <w:rFonts w:hint="eastAsia"/>
                <w:szCs w:val="21"/>
                <w:highlight w:val="none"/>
                <w:lang w:eastAsia="zh-CN"/>
              </w:rPr>
              <w:t>，</w:t>
            </w:r>
            <w:r>
              <w:rPr>
                <w:rFonts w:hint="eastAsia"/>
                <w:szCs w:val="21"/>
                <w:highlight w:val="none"/>
              </w:rPr>
              <w:t>检测、验收过程中所产生的一切费用均由中标人承担。</w:t>
            </w:r>
          </w:p>
          <w:p>
            <w:pPr>
              <w:widowControl/>
              <w:adjustRightInd w:val="0"/>
              <w:snapToGrid w:val="0"/>
              <w:spacing w:line="360" w:lineRule="auto"/>
              <w:rPr>
                <w:szCs w:val="21"/>
                <w:highlight w:val="none"/>
              </w:rPr>
            </w:pPr>
            <w:r>
              <w:rPr>
                <w:rFonts w:hint="eastAsia"/>
                <w:szCs w:val="21"/>
                <w:highlight w:val="none"/>
                <w:lang w:val="en-US" w:eastAsia="zh-CN"/>
              </w:rPr>
              <w:t>八</w:t>
            </w:r>
            <w:r>
              <w:rPr>
                <w:rFonts w:hint="eastAsia"/>
                <w:szCs w:val="21"/>
                <w:highlight w:val="none"/>
              </w:rPr>
              <w:t>、其他要求：</w:t>
            </w:r>
          </w:p>
          <w:p>
            <w:pPr>
              <w:widowControl/>
              <w:adjustRightInd w:val="0"/>
              <w:snapToGrid w:val="0"/>
              <w:spacing w:line="360" w:lineRule="auto"/>
              <w:ind w:firstLine="420" w:firstLineChars="200"/>
              <w:rPr>
                <w:szCs w:val="21"/>
                <w:highlight w:val="none"/>
              </w:rPr>
            </w:pPr>
            <w:r>
              <w:rPr>
                <w:rFonts w:hint="eastAsia"/>
                <w:szCs w:val="21"/>
                <w:highlight w:val="none"/>
              </w:rPr>
              <w:t>▲1.报价必须含以下部分，包括：</w:t>
            </w:r>
          </w:p>
          <w:p>
            <w:pPr>
              <w:widowControl/>
              <w:adjustRightInd w:val="0"/>
              <w:snapToGrid w:val="0"/>
              <w:spacing w:line="360" w:lineRule="auto"/>
              <w:ind w:firstLine="420" w:firstLineChars="200"/>
              <w:rPr>
                <w:szCs w:val="21"/>
                <w:highlight w:val="none"/>
              </w:rPr>
            </w:pPr>
            <w:r>
              <w:rPr>
                <w:rFonts w:hint="eastAsia"/>
                <w:szCs w:val="21"/>
                <w:highlight w:val="none"/>
              </w:rPr>
              <w:t>（1）服务的价格；</w:t>
            </w:r>
          </w:p>
          <w:p>
            <w:pPr>
              <w:widowControl/>
              <w:adjustRightInd w:val="0"/>
              <w:snapToGrid w:val="0"/>
              <w:spacing w:line="360" w:lineRule="auto"/>
              <w:ind w:firstLine="420" w:firstLineChars="200"/>
              <w:rPr>
                <w:szCs w:val="21"/>
                <w:highlight w:val="none"/>
              </w:rPr>
            </w:pPr>
            <w:r>
              <w:rPr>
                <w:rFonts w:hint="eastAsia"/>
                <w:szCs w:val="21"/>
                <w:highlight w:val="none"/>
              </w:rPr>
              <w:t>（2）必要的保险费用和各项税金；</w:t>
            </w:r>
          </w:p>
          <w:p>
            <w:pPr>
              <w:widowControl/>
              <w:adjustRightInd w:val="0"/>
              <w:snapToGrid w:val="0"/>
              <w:spacing w:line="360" w:lineRule="auto"/>
              <w:ind w:firstLine="420" w:firstLineChars="200"/>
              <w:rPr>
                <w:szCs w:val="21"/>
                <w:highlight w:val="none"/>
              </w:rPr>
            </w:pPr>
            <w:r>
              <w:rPr>
                <w:rFonts w:hint="eastAsia"/>
                <w:szCs w:val="21"/>
                <w:highlight w:val="none"/>
              </w:rPr>
              <w:t>（3）其他：如运输、装卸、安装、调试、培训、技术支持、售后服务、更新升级、迁移等费用。</w:t>
            </w:r>
          </w:p>
          <w:p>
            <w:pPr>
              <w:widowControl/>
              <w:adjustRightInd w:val="0"/>
              <w:snapToGrid w:val="0"/>
              <w:spacing w:line="360" w:lineRule="auto"/>
              <w:ind w:firstLine="420" w:firstLineChars="200"/>
              <w:rPr>
                <w:rFonts w:hint="eastAsia" w:ascii="宋体" w:hAnsi="宋体" w:eastAsia="宋体"/>
                <w:szCs w:val="21"/>
                <w:highlight w:val="none"/>
                <w:lang w:eastAsia="zh-CN"/>
              </w:rPr>
            </w:pPr>
            <w:r>
              <w:rPr>
                <w:rFonts w:hint="eastAsia"/>
                <w:szCs w:val="21"/>
                <w:highlight w:val="none"/>
              </w:rPr>
              <w:t>▲2.</w:t>
            </w:r>
            <w:r>
              <w:rPr>
                <w:rFonts w:hint="eastAsia" w:ascii="宋体" w:hAnsi="宋体"/>
                <w:szCs w:val="21"/>
                <w:highlight w:val="none"/>
              </w:rPr>
              <w:t>付款方式：本项目无预付款，</w:t>
            </w:r>
            <w:r>
              <w:rPr>
                <w:rFonts w:hint="eastAsia" w:ascii="宋体" w:hAnsi="宋体"/>
                <w:szCs w:val="21"/>
                <w:highlight w:val="none"/>
                <w:lang w:eastAsia="zh-CN"/>
              </w:rPr>
              <w:t>供应商所提交的服务经采购人书面验收合格后，一次性支付合同款。</w:t>
            </w:r>
          </w:p>
          <w:p>
            <w:pPr>
              <w:widowControl/>
              <w:adjustRightInd w:val="0"/>
              <w:snapToGrid w:val="0"/>
              <w:spacing w:line="360" w:lineRule="auto"/>
              <w:ind w:firstLine="420" w:firstLineChars="200"/>
              <w:rPr>
                <w:rFonts w:hint="eastAsia" w:ascii="宋体" w:hAnsi="宋体" w:cs="Arial"/>
                <w:bCs/>
                <w:color w:val="000000"/>
                <w:kern w:val="0"/>
                <w:sz w:val="21"/>
                <w:szCs w:val="21"/>
                <w:highlight w:val="none"/>
                <w:lang w:val="en-US" w:eastAsia="zh-CN"/>
              </w:rPr>
            </w:pPr>
            <w:r>
              <w:rPr>
                <w:rFonts w:hint="eastAsia" w:ascii="宋体" w:hAnsi="宋体" w:eastAsia="宋体" w:cs="Arial"/>
                <w:bCs/>
                <w:color w:val="000000"/>
                <w:kern w:val="0"/>
                <w:sz w:val="21"/>
                <w:szCs w:val="21"/>
                <w:highlight w:val="none"/>
                <w:lang w:val="en-US" w:eastAsia="zh-CN"/>
              </w:rPr>
              <w:t>★3.要求成交供应</w:t>
            </w:r>
            <w:r>
              <w:rPr>
                <w:rFonts w:hint="eastAsia" w:ascii="宋体" w:hAnsi="宋体" w:cs="Arial"/>
                <w:bCs/>
                <w:color w:val="000000"/>
                <w:kern w:val="0"/>
                <w:sz w:val="21"/>
                <w:szCs w:val="21"/>
                <w:highlight w:val="none"/>
                <w:lang w:val="en-US" w:eastAsia="zh-CN"/>
              </w:rPr>
              <w:t>商对所选用网络技术基于分组交换、面向连接等特性提供科普中国（或中国科技网，或中国科普博览，或同等级别）网站截图证明材料，并加盖供应商公章。</w:t>
            </w:r>
          </w:p>
          <w:p>
            <w:pPr>
              <w:widowControl/>
              <w:adjustRightInd w:val="0"/>
              <w:snapToGrid w:val="0"/>
              <w:spacing w:line="360" w:lineRule="auto"/>
              <w:ind w:firstLine="420" w:firstLineChars="200"/>
              <w:rPr>
                <w:rFonts w:hint="eastAsia" w:ascii="宋体" w:hAnsi="宋体" w:cs="Arial"/>
                <w:bCs/>
                <w:color w:val="000000"/>
                <w:kern w:val="0"/>
                <w:sz w:val="21"/>
                <w:szCs w:val="21"/>
                <w:highlight w:val="none"/>
                <w:lang w:val="en-US" w:eastAsia="zh-CN"/>
              </w:rPr>
            </w:pPr>
            <w:r>
              <w:rPr>
                <w:rFonts w:hint="eastAsia" w:ascii="宋体" w:hAnsi="宋体" w:eastAsia="宋体" w:cs="Arial"/>
                <w:bCs/>
                <w:color w:val="000000"/>
                <w:kern w:val="0"/>
                <w:sz w:val="21"/>
                <w:szCs w:val="21"/>
                <w:highlight w:val="none"/>
                <w:lang w:val="en-US" w:eastAsia="zh-CN"/>
              </w:rPr>
              <w:t>★</w:t>
            </w:r>
            <w:r>
              <w:rPr>
                <w:rFonts w:hint="eastAsia" w:ascii="宋体" w:hAnsi="宋体" w:cs="Arial"/>
                <w:bCs/>
                <w:color w:val="000000"/>
                <w:kern w:val="0"/>
                <w:sz w:val="21"/>
                <w:szCs w:val="21"/>
                <w:highlight w:val="none"/>
                <w:lang w:val="en-US" w:eastAsia="zh-CN"/>
              </w:rPr>
              <w:t>4.预成交供应商须指定1名项目经理，该项目经理具备一级建造师（机电工程）、一级建造师（通信与广电工程）、通信专业技术人员职业资格（互联网技术）和通信专业技术人员职业资格（传输与接入）证书（须提供上述人员证书扫描件及投标截止时间前半年内连续3个月供应商为其缴纳社保证明材料并加盖公章）。</w:t>
            </w:r>
          </w:p>
          <w:p>
            <w:pPr>
              <w:widowControl/>
              <w:adjustRightInd w:val="0"/>
              <w:snapToGrid w:val="0"/>
              <w:spacing w:line="360" w:lineRule="auto"/>
              <w:ind w:firstLine="420" w:firstLineChars="200"/>
              <w:rPr>
                <w:rFonts w:hint="eastAsia"/>
                <w:lang w:eastAsia="zh-CN"/>
              </w:rPr>
            </w:pPr>
            <w:r>
              <w:rPr>
                <w:rFonts w:hint="eastAsia" w:ascii="宋体" w:hAnsi="宋体" w:eastAsia="宋体" w:cs="Arial"/>
                <w:bCs/>
                <w:color w:val="000000"/>
                <w:kern w:val="0"/>
                <w:sz w:val="21"/>
                <w:szCs w:val="21"/>
                <w:highlight w:val="none"/>
                <w:lang w:val="en-US" w:eastAsia="zh-CN"/>
              </w:rPr>
              <w:t>★</w:t>
            </w:r>
            <w:r>
              <w:rPr>
                <w:rFonts w:hint="eastAsia" w:ascii="宋体" w:hAnsi="宋体" w:cs="Arial"/>
                <w:bCs/>
                <w:color w:val="000000"/>
                <w:kern w:val="0"/>
                <w:sz w:val="21"/>
                <w:szCs w:val="21"/>
                <w:highlight w:val="none"/>
                <w:lang w:val="en-US" w:eastAsia="zh-CN"/>
              </w:rPr>
              <w:t>5.预成交供应商须指定1名技术负责人，该售后负责人</w:t>
            </w:r>
            <w:r>
              <w:rPr>
                <w:rFonts w:hint="eastAsia" w:hAnsi="宋体"/>
                <w:bCs/>
                <w:color w:val="000000"/>
              </w:rPr>
              <w:t>具备</w:t>
            </w:r>
            <w:r>
              <w:rPr>
                <w:rFonts w:hint="eastAsia" w:hAnsi="宋体"/>
                <w:bCs/>
                <w:color w:val="000000"/>
                <w:lang w:val="en-US" w:eastAsia="zh-CN"/>
              </w:rPr>
              <w:t>通信工程正高级工程师、计算机应用高级工程师和信息系统项目管理师（高级）</w:t>
            </w:r>
            <w:r>
              <w:rPr>
                <w:rFonts w:hint="eastAsia" w:ascii="宋体" w:hAnsi="宋体" w:cs="宋体"/>
                <w:color w:val="000000"/>
                <w:szCs w:val="21"/>
              </w:rPr>
              <w:t>证书</w:t>
            </w:r>
            <w:r>
              <w:rPr>
                <w:rFonts w:hint="eastAsia" w:ascii="宋体" w:hAnsi="宋体" w:cs="Arial"/>
                <w:bCs/>
                <w:color w:val="000000"/>
                <w:kern w:val="0"/>
                <w:sz w:val="21"/>
                <w:szCs w:val="21"/>
                <w:highlight w:val="none"/>
                <w:lang w:val="en-US" w:eastAsia="zh-CN"/>
              </w:rPr>
              <w:t>（须提供上述人员证书扫描件及投标截止时间前半年内连续3个月供应商为其缴纳社保证明材料并加盖公章）</w:t>
            </w:r>
            <w:r>
              <w:rPr>
                <w:rFonts w:hint="eastAsia"/>
                <w:lang w:eastAsia="zh-CN"/>
              </w:rPr>
              <w:t>。</w:t>
            </w:r>
          </w:p>
          <w:p>
            <w:pPr>
              <w:widowControl/>
              <w:adjustRightInd w:val="0"/>
              <w:snapToGrid w:val="0"/>
              <w:spacing w:line="360" w:lineRule="auto"/>
              <w:ind w:firstLine="420" w:firstLineChars="200"/>
              <w:rPr>
                <w:rFonts w:hint="eastAsia" w:ascii="宋体" w:hAnsi="宋体" w:cs="Arial"/>
                <w:bCs/>
                <w:color w:val="000000"/>
                <w:kern w:val="0"/>
                <w:sz w:val="21"/>
                <w:szCs w:val="21"/>
                <w:highlight w:val="none"/>
                <w:lang w:val="en-US" w:eastAsia="zh-CN"/>
              </w:rPr>
            </w:pPr>
            <w:r>
              <w:rPr>
                <w:rFonts w:hint="eastAsia" w:ascii="宋体" w:hAnsi="宋体" w:eastAsia="宋体" w:cs="Arial"/>
                <w:bCs/>
                <w:color w:val="000000"/>
                <w:kern w:val="0"/>
                <w:sz w:val="21"/>
                <w:szCs w:val="21"/>
                <w:highlight w:val="none"/>
                <w:lang w:val="en-US" w:eastAsia="zh-CN"/>
              </w:rPr>
              <w:t>★</w:t>
            </w:r>
            <w:r>
              <w:rPr>
                <w:rFonts w:hint="eastAsia" w:ascii="宋体" w:hAnsi="宋体" w:cs="Arial"/>
                <w:bCs/>
                <w:color w:val="000000"/>
                <w:kern w:val="0"/>
                <w:sz w:val="21"/>
                <w:szCs w:val="21"/>
                <w:highlight w:val="none"/>
                <w:lang w:val="en-US" w:eastAsia="zh-CN"/>
              </w:rPr>
              <w:t>6.预成交供应商须指定1名售后负责人（不能与技术负责人为同一人）同时信息系统项目管理师（高级）证书、通信工程（高级）工程师证书、网络安全能力认证（技术I级（含）以上）、注册信息安全工程师证书（须提供上述人员证书扫描件及投标截止时间前半年内连续3个月供应商为其缴纳社保证明材料并加盖公章）。</w:t>
            </w:r>
          </w:p>
          <w:p>
            <w:pPr>
              <w:widowControl/>
              <w:adjustRightInd w:val="0"/>
              <w:snapToGrid w:val="0"/>
              <w:spacing w:line="360" w:lineRule="auto"/>
              <w:ind w:firstLine="420" w:firstLineChars="200"/>
              <w:rPr>
                <w:rFonts w:hint="eastAsia"/>
              </w:rPr>
            </w:pPr>
            <w:r>
              <w:rPr>
                <w:rFonts w:hint="eastAsia" w:ascii="宋体" w:hAnsi="宋体" w:cs="Arial"/>
                <w:bCs/>
                <w:color w:val="000000"/>
                <w:kern w:val="0"/>
                <w:sz w:val="21"/>
                <w:szCs w:val="21"/>
                <w:highlight w:val="none"/>
                <w:lang w:val="en-US" w:eastAsia="zh-CN"/>
              </w:rPr>
              <w:t>7.以上标注“★”号条款必须满足，成交供应商须在中标结果公示起2个工作日内按照前述技术要求提供相关证明材料。若不按时提供全部材料，则视为虚假应标，本次采购成交资格自动作废，由排名其后的候选供应商依次递补，同时采购人有权上报上级监管机构追究投标供应商虚假应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0" w:type="pct"/>
            <w:noWrap w:val="0"/>
            <w:vAlign w:val="center"/>
          </w:tcPr>
          <w:p>
            <w:pPr>
              <w:spacing w:before="156" w:after="156"/>
              <w:jc w:val="center"/>
              <w:rPr>
                <w:rFonts w:ascii="宋体" w:hAnsi="宋体" w:cs="仿宋"/>
                <w:szCs w:val="21"/>
                <w:highlight w:val="none"/>
              </w:rPr>
            </w:pPr>
            <w:r>
              <w:rPr>
                <w:rFonts w:hint="eastAsia" w:ascii="宋体" w:hAnsi="宋体" w:cs="仿宋"/>
                <w:szCs w:val="21"/>
                <w:highlight w:val="none"/>
              </w:rPr>
              <w:t>其他说明</w:t>
            </w:r>
          </w:p>
        </w:tc>
        <w:tc>
          <w:tcPr>
            <w:tcW w:w="4670" w:type="pct"/>
            <w:gridSpan w:val="4"/>
            <w:noWrap w:val="0"/>
            <w:vAlign w:val="center"/>
          </w:tcPr>
          <w:p>
            <w:pPr>
              <w:widowControl/>
              <w:shd w:val="clear" w:color="auto" w:fill="FFFFFF"/>
              <w:spacing w:line="360" w:lineRule="auto"/>
              <w:rPr>
                <w:rFonts w:ascii="宋体" w:hAnsi="宋体"/>
                <w:szCs w:val="21"/>
                <w:highlight w:val="none"/>
              </w:rPr>
            </w:pPr>
            <w:r>
              <w:rPr>
                <w:rFonts w:hint="eastAsia" w:ascii="宋体" w:hAnsi="宋体"/>
                <w:szCs w:val="21"/>
                <w:highlight w:val="none"/>
              </w:rPr>
              <w:t>1.进口产品说明（根据项目实际情况选择）</w:t>
            </w:r>
          </w:p>
          <w:p>
            <w:pPr>
              <w:tabs>
                <w:tab w:val="left" w:pos="180"/>
                <w:tab w:val="left" w:pos="1620"/>
              </w:tabs>
              <w:spacing w:line="360" w:lineRule="auto"/>
              <w:ind w:firstLine="420" w:firstLineChars="200"/>
              <w:rPr>
                <w:rFonts w:ascii="宋体" w:hAnsi="宋体"/>
                <w:szCs w:val="21"/>
                <w:highlight w:val="none"/>
              </w:rPr>
            </w:pPr>
            <w:r>
              <w:rPr>
                <w:rFonts w:hint="eastAsia" w:ascii="宋体" w:hAnsi="宋体"/>
                <w:szCs w:val="21"/>
                <w:highlight w:val="none"/>
              </w:rPr>
              <w:t>本分标服务所涉及的采购货物不接受进口产品（即通过中国海关报关验放进入中国境内且产自关境外的产品）参与投标，</w:t>
            </w:r>
            <w:r>
              <w:rPr>
                <w:rFonts w:hint="eastAsia" w:ascii="宋体" w:hAnsi="宋体"/>
                <w:b/>
                <w:szCs w:val="21"/>
                <w:highlight w:val="none"/>
              </w:rPr>
              <w:t>如有进口产品参与投标的作无效标处理</w:t>
            </w:r>
            <w:r>
              <w:rPr>
                <w:rFonts w:hint="eastAsia" w:ascii="宋体" w:hAnsi="宋体"/>
                <w:szCs w:val="21"/>
                <w:highlight w:val="none"/>
              </w:rPr>
              <w:t>。</w:t>
            </w:r>
          </w:p>
          <w:p>
            <w:pPr>
              <w:widowControl/>
              <w:shd w:val="clear" w:color="auto" w:fill="FFFFFF"/>
              <w:spacing w:line="360" w:lineRule="auto"/>
              <w:rPr>
                <w:rFonts w:hint="eastAsia" w:ascii="宋体" w:hAnsi="宋体" w:cs="宋体"/>
                <w:szCs w:val="21"/>
                <w:highlight w:val="none"/>
              </w:rPr>
            </w:pPr>
            <w:r>
              <w:rPr>
                <w:rFonts w:hint="eastAsia" w:ascii="宋体" w:hAnsi="宋体"/>
                <w:szCs w:val="21"/>
                <w:highlight w:val="none"/>
              </w:rPr>
              <w:t>2</w:t>
            </w:r>
            <w:r>
              <w:rPr>
                <w:rFonts w:hint="eastAsia" w:ascii="宋体" w:hAnsi="宋体" w:cs="宋体"/>
                <w:szCs w:val="21"/>
                <w:highlight w:val="none"/>
              </w:rPr>
              <w:t>.本项目采购标的对应的中小企业划分标准所属行业：</w:t>
            </w:r>
            <w:r>
              <w:rPr>
                <w:rFonts w:hint="eastAsia"/>
                <w:color w:val="0D0D0D"/>
                <w:highlight w:val="none"/>
              </w:rPr>
              <w:t>软件和信息技术服务业</w:t>
            </w:r>
            <w:r>
              <w:rPr>
                <w:rFonts w:hint="eastAsia" w:ascii="宋体" w:hAnsi="宋体" w:cs="宋体"/>
                <w:szCs w:val="21"/>
                <w:highlight w:val="none"/>
              </w:rPr>
              <w:t>。</w:t>
            </w:r>
          </w:p>
          <w:p>
            <w:pPr>
              <w:adjustRightInd w:val="0"/>
              <w:snapToGrid w:val="0"/>
              <w:spacing w:line="360" w:lineRule="auto"/>
              <w:ind w:left="-2"/>
              <w:rPr>
                <w:rFonts w:ascii="宋体" w:hAnsi="宋体"/>
                <w:szCs w:val="21"/>
                <w:highlight w:val="none"/>
              </w:rPr>
            </w:pPr>
            <w:r>
              <w:rPr>
                <w:rFonts w:hint="eastAsia" w:ascii="宋体" w:hAnsi="宋体"/>
                <w:b/>
                <w:color w:val="000000"/>
                <w:szCs w:val="21"/>
                <w:highlight w:val="none"/>
              </w:rPr>
              <w:t>3.合同延续年限、条件和方式：</w:t>
            </w:r>
            <w:r>
              <w:rPr>
                <w:rFonts w:hint="eastAsia" w:ascii="宋体" w:hAnsi="宋体"/>
                <w:szCs w:val="21"/>
                <w:highlight w:val="none"/>
              </w:rPr>
              <w:t>本项目合同履约期到期后，采购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tc>
      </w:tr>
    </w:tbl>
    <w:p>
      <w:pPr>
        <w:pStyle w:val="14"/>
        <w:rPr>
          <w:rFonts w:hint="eastAsia" w:ascii="宋体" w:hAnsi="宋体" w:cs="宋体"/>
          <w:szCs w:val="21"/>
        </w:rPr>
      </w:pPr>
    </w:p>
    <w:p>
      <w:pPr>
        <w:pStyle w:val="15"/>
        <w:rPr>
          <w:rFonts w:hint="eastAsia" w:ascii="宋体" w:hAnsi="宋体" w:cs="宋体"/>
          <w:szCs w:val="21"/>
        </w:rPr>
      </w:pPr>
    </w:p>
    <w:p>
      <w:pPr>
        <w:pStyle w:val="15"/>
        <w:rPr>
          <w:rFonts w:hint="eastAsia" w:ascii="宋体" w:hAnsi="宋体" w:cs="宋体"/>
          <w:szCs w:val="21"/>
        </w:rPr>
      </w:pPr>
    </w:p>
    <w:p>
      <w:pPr>
        <w:ind w:firstLine="424" w:firstLineChars="201"/>
        <w:jc w:val="center"/>
        <w:rPr>
          <w:rFonts w:ascii="宋体" w:hAnsi="宋体" w:cs="宋体"/>
          <w:b/>
          <w:szCs w:val="21"/>
        </w:rPr>
      </w:pPr>
      <w:r>
        <w:rPr>
          <w:rFonts w:hint="eastAsia" w:ascii="宋体" w:hAnsi="宋体" w:cs="宋体"/>
          <w:b/>
          <w:szCs w:val="21"/>
        </w:rPr>
        <w:t xml:space="preserve"> </w:t>
      </w:r>
      <w:r>
        <w:rPr>
          <w:rFonts w:ascii="宋体" w:hAnsi="宋体" w:cs="宋体"/>
          <w:b/>
          <w:szCs w:val="21"/>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24"/>
          <w:szCs w:val="24"/>
          <w:lang w:eastAsia="zh-CN"/>
        </w:rPr>
      </w:pPr>
      <w:r>
        <w:rPr>
          <w:rFonts w:hint="eastAsia"/>
          <w:sz w:val="24"/>
          <w:szCs w:val="24"/>
        </w:rPr>
        <w:t>响应附件要求：营业执照、供应商依法纳税相关材料、财务状况报告、供应商直接控股管理关系表、竞标声明（信用查询）、法人授权委托书、技术偏离表、商务偏离表</w:t>
      </w:r>
      <w:r>
        <w:rPr>
          <w:rFonts w:hint="eastAsia"/>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13D8E"/>
    <w:multiLevelType w:val="multilevel"/>
    <w:tmpl w:val="45713D8E"/>
    <w:lvl w:ilvl="0" w:tentative="0">
      <w:start w:val="1"/>
      <w:numFmt w:val="japaneseCounting"/>
      <w:lvlText w:val="%1、"/>
      <w:lvlJc w:val="left"/>
      <w:pPr>
        <w:ind w:left="435" w:hanging="43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62BF8"/>
    <w:rsid w:val="0002586A"/>
    <w:rsid w:val="00062BF8"/>
    <w:rsid w:val="0007389B"/>
    <w:rsid w:val="00073C96"/>
    <w:rsid w:val="001144AF"/>
    <w:rsid w:val="00182A3F"/>
    <w:rsid w:val="001869F9"/>
    <w:rsid w:val="001B3F56"/>
    <w:rsid w:val="00204B45"/>
    <w:rsid w:val="00253DC8"/>
    <w:rsid w:val="002C07A7"/>
    <w:rsid w:val="002C41AD"/>
    <w:rsid w:val="00315B4F"/>
    <w:rsid w:val="00391994"/>
    <w:rsid w:val="003D003C"/>
    <w:rsid w:val="004303DD"/>
    <w:rsid w:val="00464F31"/>
    <w:rsid w:val="004B4068"/>
    <w:rsid w:val="00502632"/>
    <w:rsid w:val="0051468C"/>
    <w:rsid w:val="005170B7"/>
    <w:rsid w:val="00561BD8"/>
    <w:rsid w:val="005C1F95"/>
    <w:rsid w:val="005D0649"/>
    <w:rsid w:val="005F6A62"/>
    <w:rsid w:val="005F71F5"/>
    <w:rsid w:val="006140BD"/>
    <w:rsid w:val="0062718E"/>
    <w:rsid w:val="00634A9B"/>
    <w:rsid w:val="00657642"/>
    <w:rsid w:val="006D2213"/>
    <w:rsid w:val="00712FF6"/>
    <w:rsid w:val="00756926"/>
    <w:rsid w:val="007746EA"/>
    <w:rsid w:val="007B53BB"/>
    <w:rsid w:val="007E630E"/>
    <w:rsid w:val="007F76E3"/>
    <w:rsid w:val="0080541B"/>
    <w:rsid w:val="008541A9"/>
    <w:rsid w:val="00854430"/>
    <w:rsid w:val="00883806"/>
    <w:rsid w:val="008A3CE2"/>
    <w:rsid w:val="008A7487"/>
    <w:rsid w:val="008A7668"/>
    <w:rsid w:val="008E0B37"/>
    <w:rsid w:val="008F7B2D"/>
    <w:rsid w:val="00913070"/>
    <w:rsid w:val="009222C4"/>
    <w:rsid w:val="009612C6"/>
    <w:rsid w:val="009871AF"/>
    <w:rsid w:val="009A028E"/>
    <w:rsid w:val="009C14B0"/>
    <w:rsid w:val="009F5563"/>
    <w:rsid w:val="00A21887"/>
    <w:rsid w:val="00A66B72"/>
    <w:rsid w:val="00A7286A"/>
    <w:rsid w:val="00A76BB1"/>
    <w:rsid w:val="00AA2D3C"/>
    <w:rsid w:val="00AE0AAF"/>
    <w:rsid w:val="00AF37B0"/>
    <w:rsid w:val="00B45E5E"/>
    <w:rsid w:val="00B84A13"/>
    <w:rsid w:val="00BC3DDF"/>
    <w:rsid w:val="00C22A9A"/>
    <w:rsid w:val="00C22D61"/>
    <w:rsid w:val="00C26757"/>
    <w:rsid w:val="00C450C7"/>
    <w:rsid w:val="00C45628"/>
    <w:rsid w:val="00C533E4"/>
    <w:rsid w:val="00C71F56"/>
    <w:rsid w:val="00C95986"/>
    <w:rsid w:val="00CB2927"/>
    <w:rsid w:val="00D2294D"/>
    <w:rsid w:val="00D5153B"/>
    <w:rsid w:val="00D90F3D"/>
    <w:rsid w:val="00DC4F22"/>
    <w:rsid w:val="00DF179B"/>
    <w:rsid w:val="00DF4282"/>
    <w:rsid w:val="00E50EA3"/>
    <w:rsid w:val="00E86058"/>
    <w:rsid w:val="00ED552F"/>
    <w:rsid w:val="00EF6E2C"/>
    <w:rsid w:val="00F623FA"/>
    <w:rsid w:val="00F9503F"/>
    <w:rsid w:val="00FB0EC5"/>
    <w:rsid w:val="03C43B4B"/>
    <w:rsid w:val="0B116A10"/>
    <w:rsid w:val="0BBD2C3B"/>
    <w:rsid w:val="0F2B7D5F"/>
    <w:rsid w:val="11BD6317"/>
    <w:rsid w:val="1577373D"/>
    <w:rsid w:val="19687EF8"/>
    <w:rsid w:val="1D862DB1"/>
    <w:rsid w:val="1F0316A9"/>
    <w:rsid w:val="21756511"/>
    <w:rsid w:val="23845205"/>
    <w:rsid w:val="2EFD40A0"/>
    <w:rsid w:val="303061A7"/>
    <w:rsid w:val="33E87C31"/>
    <w:rsid w:val="350A242B"/>
    <w:rsid w:val="36161B2A"/>
    <w:rsid w:val="3A792308"/>
    <w:rsid w:val="3BFE736C"/>
    <w:rsid w:val="3C6E42BD"/>
    <w:rsid w:val="436E2609"/>
    <w:rsid w:val="44FA4BF9"/>
    <w:rsid w:val="47D14035"/>
    <w:rsid w:val="4B6B3B43"/>
    <w:rsid w:val="4E246C4A"/>
    <w:rsid w:val="56667A7C"/>
    <w:rsid w:val="57036966"/>
    <w:rsid w:val="5AD35DF6"/>
    <w:rsid w:val="5E244A98"/>
    <w:rsid w:val="5E6F4C64"/>
    <w:rsid w:val="607E5AAB"/>
    <w:rsid w:val="60894499"/>
    <w:rsid w:val="681D6519"/>
    <w:rsid w:val="6B9474B8"/>
    <w:rsid w:val="6D2F2FDA"/>
    <w:rsid w:val="6E4F14C5"/>
    <w:rsid w:val="71457872"/>
    <w:rsid w:val="73C37EB7"/>
    <w:rsid w:val="77D526EF"/>
    <w:rsid w:val="7A017039"/>
    <w:rsid w:val="7A0F03BE"/>
    <w:rsid w:val="7B061E7A"/>
    <w:rsid w:val="7C6931B5"/>
    <w:rsid w:val="7D783967"/>
    <w:rsid w:val="FFD6E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2">
    <w:name w:val="heading 4"/>
    <w:basedOn w:val="1"/>
    <w:next w:val="1"/>
    <w:unhideWhenUsed/>
    <w:qFormat/>
    <w:uiPriority w:val="9"/>
    <w:pPr>
      <w:keepNext/>
      <w:keepLines/>
      <w:spacing w:before="80" w:after="40" w:line="278" w:lineRule="auto"/>
      <w:jc w:val="left"/>
      <w:outlineLvl w:val="3"/>
    </w:pPr>
    <w:rPr>
      <w:rFonts w:ascii="Calibri" w:hAnsi="Calibri" w:eastAsia="宋体" w:cs="Times New Roman"/>
      <w:color w:val="2E75B5"/>
      <w:sz w:val="28"/>
      <w:szCs w:val="28"/>
    </w:rPr>
  </w:style>
  <w:style w:type="paragraph" w:styleId="6">
    <w:name w:val="heading 5"/>
    <w:basedOn w:val="1"/>
    <w:next w:val="7"/>
    <w:link w:val="54"/>
    <w:qFormat/>
    <w:uiPriority w:val="0"/>
    <w:pPr>
      <w:keepNext/>
      <w:keepLines/>
      <w:spacing w:before="280" w:after="290" w:line="376" w:lineRule="auto"/>
      <w:outlineLvl w:val="4"/>
    </w:pPr>
    <w:rPr>
      <w:b/>
      <w:bCs/>
      <w:sz w:val="28"/>
      <w:szCs w:val="28"/>
    </w:rPr>
  </w:style>
  <w:style w:type="paragraph" w:styleId="8">
    <w:name w:val="heading 8"/>
    <w:basedOn w:val="1"/>
    <w:next w:val="1"/>
    <w:link w:val="55"/>
    <w:qFormat/>
    <w:uiPriority w:val="0"/>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56"/>
    <w:qFormat/>
    <w:uiPriority w:val="0"/>
    <w:pPr>
      <w:keepNext/>
      <w:keepLines/>
      <w:spacing w:before="240" w:after="64" w:line="320"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8"/>
    <w:qFormat/>
    <w:uiPriority w:val="0"/>
    <w:pPr>
      <w:jc w:val="left"/>
    </w:pPr>
  </w:style>
  <w:style w:type="paragraph" w:styleId="12">
    <w:name w:val="Body Text 3"/>
    <w:basedOn w:val="1"/>
    <w:link w:val="60"/>
    <w:qFormat/>
    <w:uiPriority w:val="0"/>
    <w:pPr>
      <w:spacing w:after="120"/>
    </w:pPr>
    <w:rPr>
      <w:sz w:val="16"/>
      <w:szCs w:val="16"/>
    </w:rPr>
  </w:style>
  <w:style w:type="paragraph" w:styleId="13">
    <w:name w:val="Body Text"/>
    <w:basedOn w:val="1"/>
    <w:link w:val="62"/>
    <w:unhideWhenUsed/>
    <w:qFormat/>
    <w:uiPriority w:val="0"/>
    <w:pPr>
      <w:spacing w:after="120"/>
    </w:pPr>
  </w:style>
  <w:style w:type="paragraph" w:styleId="14">
    <w:name w:val="Body Text Indent"/>
    <w:basedOn w:val="1"/>
    <w:next w:val="15"/>
    <w:link w:val="64"/>
    <w:qFormat/>
    <w:uiPriority w:val="0"/>
    <w:pPr>
      <w:ind w:firstLine="830" w:firstLineChars="352"/>
    </w:pPr>
    <w:rPr>
      <w:rFonts w:ascii="仿宋_GB2312" w:eastAsia="仿宋_GB2312"/>
      <w:kern w:val="0"/>
      <w:sz w:val="32"/>
      <w:szCs w:val="20"/>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6">
    <w:name w:val="List 2"/>
    <w:basedOn w:val="1"/>
    <w:qFormat/>
    <w:uiPriority w:val="0"/>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link w:val="66"/>
    <w:qFormat/>
    <w:uiPriority w:val="0"/>
    <w:rPr>
      <w:rFonts w:ascii="宋体" w:hAnsi="Courier New"/>
      <w:kern w:val="0"/>
      <w:sz w:val="20"/>
      <w:szCs w:val="21"/>
    </w:rPr>
  </w:style>
  <w:style w:type="paragraph" w:styleId="19">
    <w:name w:val="Date"/>
    <w:basedOn w:val="1"/>
    <w:next w:val="1"/>
    <w:link w:val="68"/>
    <w:qFormat/>
    <w:uiPriority w:val="0"/>
    <w:pPr>
      <w:ind w:left="100" w:leftChars="2500"/>
    </w:pPr>
  </w:style>
  <w:style w:type="paragraph" w:styleId="20">
    <w:name w:val="Balloon Text"/>
    <w:basedOn w:val="1"/>
    <w:link w:val="70"/>
    <w:qFormat/>
    <w:uiPriority w:val="0"/>
    <w:rPr>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0"/>
    <w:pP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rPr>
      <w:rFonts w:ascii="Calibri" w:hAnsi="Calibri"/>
      <w:kern w:val="0"/>
      <w:sz w:val="24"/>
    </w:rPr>
  </w:style>
  <w:style w:type="paragraph" w:styleId="27">
    <w:name w:val="Title"/>
    <w:basedOn w:val="1"/>
    <w:link w:val="74"/>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8">
    <w:name w:val="annotation subject"/>
    <w:basedOn w:val="11"/>
    <w:next w:val="11"/>
    <w:link w:val="76"/>
    <w:qFormat/>
    <w:uiPriority w:val="0"/>
    <w:rPr>
      <w:b/>
      <w:bCs/>
    </w:rPr>
  </w:style>
  <w:style w:type="paragraph" w:styleId="29">
    <w:name w:val="Body Text First Indent 2"/>
    <w:basedOn w:val="14"/>
    <w:link w:val="78"/>
    <w:qFormat/>
    <w:uiPriority w:val="0"/>
    <w:pPr>
      <w:spacing w:after="120"/>
      <w:ind w:left="420" w:leftChars="200" w:firstLine="420" w:firstLineChars="200"/>
    </w:pPr>
    <w:rPr>
      <w:rFonts w:ascii="Times New Roman" w:eastAsia="宋体"/>
      <w:kern w:val="2"/>
      <w:sz w:val="21"/>
      <w:szCs w:val="24"/>
    </w:r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qFormat/>
    <w:uiPriority w:val="0"/>
    <w:rPr>
      <w:vertAlign w:val="superscript"/>
    </w:rPr>
  </w:style>
  <w:style w:type="character" w:styleId="34">
    <w:name w:val="page number"/>
    <w:qFormat/>
    <w:uiPriority w:val="0"/>
    <w:rPr>
      <w:rFonts w:ascii="Arial" w:hAnsi="Arial" w:eastAsia="黑体" w:cs="Arial"/>
      <w:snapToGrid w:val="0"/>
      <w:kern w:val="0"/>
      <w:szCs w:val="21"/>
    </w:rPr>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标题 1 Char1"/>
    <w:basedOn w:val="32"/>
    <w:link w:val="3"/>
    <w:qFormat/>
    <w:uiPriority w:val="9"/>
    <w:rPr>
      <w:rFonts w:ascii="Times New Roman" w:hAnsi="Times New Roman" w:eastAsia="宋体" w:cs="Times New Roman"/>
      <w:b/>
      <w:bCs/>
      <w:kern w:val="44"/>
      <w:sz w:val="44"/>
      <w:szCs w:val="44"/>
      <w:lang w:val="zh-CN" w:eastAsia="zh-CN"/>
    </w:rPr>
  </w:style>
  <w:style w:type="character" w:customStyle="1" w:styleId="39">
    <w:name w:val="font41"/>
    <w:qFormat/>
    <w:uiPriority w:val="0"/>
    <w:rPr>
      <w:rFonts w:hint="eastAsia" w:ascii="宋体" w:hAnsi="宋体" w:eastAsia="宋体" w:cs="宋体"/>
      <w:b/>
      <w:bCs/>
      <w:color w:val="000000"/>
      <w:sz w:val="20"/>
      <w:szCs w:val="20"/>
      <w:u w:val="none"/>
    </w:rPr>
  </w:style>
  <w:style w:type="character" w:customStyle="1" w:styleId="40">
    <w:name w:val="font21"/>
    <w:qFormat/>
    <w:uiPriority w:val="0"/>
    <w:rPr>
      <w:rFonts w:hint="eastAsia" w:ascii="宋体" w:hAnsi="宋体" w:eastAsia="宋体" w:cs="宋体"/>
      <w:color w:val="000000"/>
      <w:sz w:val="20"/>
      <w:szCs w:val="20"/>
      <w:u w:val="none"/>
    </w:rPr>
  </w:style>
  <w:style w:type="character" w:customStyle="1" w:styleId="41">
    <w:name w:val="font01"/>
    <w:basedOn w:val="32"/>
    <w:qFormat/>
    <w:uiPriority w:val="0"/>
    <w:rPr>
      <w:rFonts w:hint="eastAsia" w:ascii="宋体" w:hAnsi="宋体" w:eastAsia="宋体" w:cs="宋体"/>
      <w:color w:val="000000"/>
      <w:sz w:val="22"/>
      <w:szCs w:val="22"/>
      <w:u w:val="none"/>
    </w:rPr>
  </w:style>
  <w:style w:type="character" w:customStyle="1" w:styleId="42">
    <w:name w:val="页眉 Char2"/>
    <w:basedOn w:val="32"/>
    <w:link w:val="22"/>
    <w:qFormat/>
    <w:uiPriority w:val="99"/>
    <w:rPr>
      <w:kern w:val="2"/>
      <w:sz w:val="18"/>
      <w:szCs w:val="18"/>
    </w:rPr>
  </w:style>
  <w:style w:type="character" w:customStyle="1" w:styleId="43">
    <w:name w:val="页脚 Char1"/>
    <w:basedOn w:val="32"/>
    <w:link w:val="21"/>
    <w:qFormat/>
    <w:uiPriority w:val="99"/>
    <w:rPr>
      <w:kern w:val="2"/>
      <w:sz w:val="18"/>
      <w:szCs w:val="18"/>
    </w:rPr>
  </w:style>
  <w:style w:type="character" w:customStyle="1" w:styleId="44">
    <w:name w:val="style41"/>
    <w:qFormat/>
    <w:uiPriority w:val="0"/>
    <w:rPr>
      <w:sz w:val="21"/>
      <w:szCs w:val="21"/>
    </w:rPr>
  </w:style>
  <w:style w:type="paragraph" w:styleId="45">
    <w:name w:val="List Paragraph"/>
    <w:basedOn w:val="1"/>
    <w:unhideWhenUsed/>
    <w:qFormat/>
    <w:uiPriority w:val="34"/>
    <w:pPr>
      <w:ind w:firstLine="420" w:firstLineChars="200"/>
    </w:pPr>
  </w:style>
  <w:style w:type="character" w:customStyle="1" w:styleId="46">
    <w:name w:val="标题 2 字符"/>
    <w:basedOn w:val="32"/>
    <w:qFormat/>
    <w:uiPriority w:val="9"/>
    <w:rPr>
      <w:rFonts w:asciiTheme="majorHAnsi" w:hAnsiTheme="majorHAnsi" w:eastAsiaTheme="majorEastAsia" w:cstheme="majorBidi"/>
      <w:b/>
      <w:bCs/>
      <w:kern w:val="2"/>
      <w:sz w:val="32"/>
      <w:szCs w:val="32"/>
    </w:rPr>
  </w:style>
  <w:style w:type="character" w:customStyle="1" w:styleId="47">
    <w:name w:val="标题 3 字符"/>
    <w:basedOn w:val="32"/>
    <w:qFormat/>
    <w:uiPriority w:val="9"/>
    <w:rPr>
      <w:b/>
      <w:bCs/>
      <w:kern w:val="2"/>
      <w:sz w:val="32"/>
      <w:szCs w:val="32"/>
    </w:rPr>
  </w:style>
  <w:style w:type="character" w:customStyle="1" w:styleId="48">
    <w:name w:val="标题 5 字符"/>
    <w:basedOn w:val="32"/>
    <w:qFormat/>
    <w:uiPriority w:val="9"/>
    <w:rPr>
      <w:b/>
      <w:bCs/>
      <w:kern w:val="2"/>
      <w:sz w:val="28"/>
      <w:szCs w:val="28"/>
    </w:rPr>
  </w:style>
  <w:style w:type="character" w:customStyle="1" w:styleId="49">
    <w:name w:val="标题 8 字符"/>
    <w:basedOn w:val="32"/>
    <w:qFormat/>
    <w:uiPriority w:val="9"/>
    <w:rPr>
      <w:rFonts w:asciiTheme="majorHAnsi" w:hAnsiTheme="majorHAnsi" w:eastAsiaTheme="majorEastAsia" w:cstheme="majorBidi"/>
      <w:kern w:val="2"/>
      <w:sz w:val="24"/>
      <w:szCs w:val="24"/>
    </w:rPr>
  </w:style>
  <w:style w:type="character" w:customStyle="1" w:styleId="50">
    <w:name w:val="标题 9 字符"/>
    <w:basedOn w:val="32"/>
    <w:qFormat/>
    <w:uiPriority w:val="9"/>
    <w:rPr>
      <w:rFonts w:asciiTheme="majorHAnsi" w:hAnsiTheme="majorHAnsi" w:eastAsiaTheme="majorEastAsia" w:cstheme="majorBidi"/>
      <w:kern w:val="2"/>
      <w:sz w:val="21"/>
      <w:szCs w:val="21"/>
    </w:rPr>
  </w:style>
  <w:style w:type="character" w:customStyle="1" w:styleId="51">
    <w:name w:val="标题 1 Char"/>
    <w:qFormat/>
    <w:uiPriority w:val="0"/>
    <w:rPr>
      <w:b/>
      <w:bCs/>
      <w:kern w:val="44"/>
      <w:sz w:val="44"/>
      <w:szCs w:val="44"/>
    </w:rPr>
  </w:style>
  <w:style w:type="character" w:customStyle="1" w:styleId="52">
    <w:name w:val="标题 2 Char1"/>
    <w:link w:val="4"/>
    <w:qFormat/>
    <w:uiPriority w:val="0"/>
    <w:rPr>
      <w:rFonts w:ascii="Cambria" w:hAnsi="Cambria"/>
      <w:b/>
      <w:bCs/>
      <w:kern w:val="2"/>
      <w:sz w:val="32"/>
      <w:szCs w:val="32"/>
    </w:rPr>
  </w:style>
  <w:style w:type="character" w:customStyle="1" w:styleId="53">
    <w:name w:val="标题 3 Char"/>
    <w:link w:val="5"/>
    <w:qFormat/>
    <w:uiPriority w:val="0"/>
    <w:rPr>
      <w:b/>
      <w:bCs/>
      <w:kern w:val="2"/>
      <w:sz w:val="32"/>
      <w:szCs w:val="32"/>
    </w:rPr>
  </w:style>
  <w:style w:type="character" w:customStyle="1" w:styleId="54">
    <w:name w:val="标题 5 Char"/>
    <w:link w:val="6"/>
    <w:qFormat/>
    <w:uiPriority w:val="0"/>
    <w:rPr>
      <w:b/>
      <w:bCs/>
      <w:kern w:val="2"/>
      <w:sz w:val="28"/>
      <w:szCs w:val="28"/>
    </w:rPr>
  </w:style>
  <w:style w:type="character" w:customStyle="1" w:styleId="55">
    <w:name w:val="标题 8 Char1"/>
    <w:link w:val="8"/>
    <w:qFormat/>
    <w:uiPriority w:val="0"/>
    <w:rPr>
      <w:rFonts w:ascii="等线 Light" w:hAnsi="等线 Light" w:eastAsia="等线 Light"/>
      <w:kern w:val="2"/>
      <w:sz w:val="24"/>
      <w:szCs w:val="24"/>
    </w:rPr>
  </w:style>
  <w:style w:type="character" w:customStyle="1" w:styleId="56">
    <w:name w:val="标题 9 Char"/>
    <w:link w:val="9"/>
    <w:qFormat/>
    <w:uiPriority w:val="0"/>
    <w:rPr>
      <w:rFonts w:ascii="Cambria" w:hAnsi="Cambria"/>
      <w:kern w:val="2"/>
      <w:sz w:val="21"/>
      <w:szCs w:val="21"/>
    </w:rPr>
  </w:style>
  <w:style w:type="character" w:customStyle="1" w:styleId="57">
    <w:name w:val="批注文字 字符"/>
    <w:basedOn w:val="32"/>
    <w:qFormat/>
    <w:uiPriority w:val="0"/>
    <w:rPr>
      <w:kern w:val="2"/>
      <w:sz w:val="21"/>
      <w:szCs w:val="24"/>
    </w:rPr>
  </w:style>
  <w:style w:type="character" w:customStyle="1" w:styleId="58">
    <w:name w:val="批注文字 Char1"/>
    <w:link w:val="11"/>
    <w:qFormat/>
    <w:uiPriority w:val="0"/>
    <w:rPr>
      <w:kern w:val="2"/>
      <w:sz w:val="21"/>
      <w:szCs w:val="24"/>
    </w:rPr>
  </w:style>
  <w:style w:type="character" w:customStyle="1" w:styleId="59">
    <w:name w:val="正文文本 3 字符"/>
    <w:basedOn w:val="32"/>
    <w:qFormat/>
    <w:uiPriority w:val="99"/>
    <w:rPr>
      <w:kern w:val="2"/>
      <w:sz w:val="16"/>
      <w:szCs w:val="16"/>
    </w:rPr>
  </w:style>
  <w:style w:type="character" w:customStyle="1" w:styleId="60">
    <w:name w:val="正文文本 3 Char"/>
    <w:link w:val="12"/>
    <w:qFormat/>
    <w:uiPriority w:val="0"/>
    <w:rPr>
      <w:kern w:val="2"/>
      <w:sz w:val="16"/>
      <w:szCs w:val="16"/>
    </w:rPr>
  </w:style>
  <w:style w:type="character" w:customStyle="1" w:styleId="61">
    <w:name w:val="正文文本 字符"/>
    <w:basedOn w:val="32"/>
    <w:qFormat/>
    <w:uiPriority w:val="0"/>
    <w:rPr>
      <w:kern w:val="2"/>
      <w:sz w:val="21"/>
      <w:szCs w:val="24"/>
    </w:rPr>
  </w:style>
  <w:style w:type="character" w:customStyle="1" w:styleId="62">
    <w:name w:val="正文文本 Char1"/>
    <w:link w:val="13"/>
    <w:qFormat/>
    <w:uiPriority w:val="0"/>
    <w:rPr>
      <w:kern w:val="2"/>
      <w:sz w:val="21"/>
      <w:szCs w:val="24"/>
    </w:rPr>
  </w:style>
  <w:style w:type="character" w:customStyle="1" w:styleId="63">
    <w:name w:val="正文文本缩进 字符"/>
    <w:basedOn w:val="32"/>
    <w:qFormat/>
    <w:uiPriority w:val="0"/>
    <w:rPr>
      <w:kern w:val="2"/>
      <w:sz w:val="21"/>
      <w:szCs w:val="24"/>
    </w:rPr>
  </w:style>
  <w:style w:type="character" w:customStyle="1" w:styleId="64">
    <w:name w:val="正文文本缩进 Char"/>
    <w:link w:val="14"/>
    <w:qFormat/>
    <w:uiPriority w:val="0"/>
    <w:rPr>
      <w:rFonts w:ascii="仿宋_GB2312" w:eastAsia="仿宋_GB2312"/>
      <w:sz w:val="32"/>
    </w:rPr>
  </w:style>
  <w:style w:type="character" w:customStyle="1" w:styleId="65">
    <w:name w:val="纯文本 字符"/>
    <w:basedOn w:val="32"/>
    <w:qFormat/>
    <w:uiPriority w:val="0"/>
    <w:rPr>
      <w:rFonts w:hAnsi="Courier New" w:cs="Courier New" w:asciiTheme="minorEastAsia" w:eastAsiaTheme="minorEastAsia"/>
      <w:kern w:val="2"/>
      <w:sz w:val="21"/>
      <w:szCs w:val="24"/>
    </w:rPr>
  </w:style>
  <w:style w:type="character" w:customStyle="1" w:styleId="66">
    <w:name w:val="纯文本 Char3"/>
    <w:link w:val="18"/>
    <w:qFormat/>
    <w:uiPriority w:val="0"/>
    <w:rPr>
      <w:rFonts w:ascii="宋体" w:hAnsi="Courier New"/>
      <w:szCs w:val="21"/>
    </w:rPr>
  </w:style>
  <w:style w:type="character" w:customStyle="1" w:styleId="67">
    <w:name w:val="日期 字符"/>
    <w:basedOn w:val="32"/>
    <w:qFormat/>
    <w:uiPriority w:val="99"/>
    <w:rPr>
      <w:kern w:val="2"/>
      <w:sz w:val="21"/>
      <w:szCs w:val="24"/>
    </w:rPr>
  </w:style>
  <w:style w:type="character" w:customStyle="1" w:styleId="68">
    <w:name w:val="日期 Char"/>
    <w:link w:val="19"/>
    <w:qFormat/>
    <w:uiPriority w:val="0"/>
    <w:rPr>
      <w:kern w:val="2"/>
      <w:sz w:val="21"/>
      <w:szCs w:val="24"/>
    </w:rPr>
  </w:style>
  <w:style w:type="character" w:customStyle="1" w:styleId="69">
    <w:name w:val="批注框文本 字符"/>
    <w:basedOn w:val="32"/>
    <w:semiHidden/>
    <w:qFormat/>
    <w:uiPriority w:val="99"/>
    <w:rPr>
      <w:kern w:val="2"/>
      <w:sz w:val="18"/>
      <w:szCs w:val="18"/>
    </w:rPr>
  </w:style>
  <w:style w:type="character" w:customStyle="1" w:styleId="70">
    <w:name w:val="批注框文本 Char"/>
    <w:link w:val="20"/>
    <w:qFormat/>
    <w:uiPriority w:val="0"/>
    <w:rPr>
      <w:kern w:val="2"/>
      <w:sz w:val="18"/>
      <w:szCs w:val="18"/>
    </w:rPr>
  </w:style>
  <w:style w:type="character" w:customStyle="1" w:styleId="71">
    <w:name w:val="页脚 Char"/>
    <w:qFormat/>
    <w:uiPriority w:val="99"/>
    <w:rPr>
      <w:sz w:val="18"/>
      <w:szCs w:val="18"/>
    </w:rPr>
  </w:style>
  <w:style w:type="character" w:customStyle="1" w:styleId="72">
    <w:name w:val="页眉 Char1"/>
    <w:qFormat/>
    <w:uiPriority w:val="0"/>
    <w:rPr>
      <w:sz w:val="18"/>
      <w:szCs w:val="18"/>
    </w:rPr>
  </w:style>
  <w:style w:type="character" w:customStyle="1" w:styleId="73">
    <w:name w:val="标题 字符"/>
    <w:basedOn w:val="32"/>
    <w:qFormat/>
    <w:uiPriority w:val="99"/>
    <w:rPr>
      <w:rFonts w:asciiTheme="majorHAnsi" w:hAnsiTheme="majorHAnsi" w:eastAsiaTheme="majorEastAsia" w:cstheme="majorBidi"/>
      <w:b/>
      <w:bCs/>
      <w:kern w:val="2"/>
      <w:sz w:val="32"/>
      <w:szCs w:val="32"/>
    </w:rPr>
  </w:style>
  <w:style w:type="character" w:customStyle="1" w:styleId="74">
    <w:name w:val="标题 Char1"/>
    <w:link w:val="27"/>
    <w:qFormat/>
    <w:uiPriority w:val="0"/>
    <w:rPr>
      <w:rFonts w:ascii="Calibri" w:hAnsi="Calibri"/>
      <w:b/>
      <w:sz w:val="24"/>
      <w:lang w:val="en-GB"/>
    </w:rPr>
  </w:style>
  <w:style w:type="character" w:customStyle="1" w:styleId="75">
    <w:name w:val="批注主题 字符"/>
    <w:basedOn w:val="57"/>
    <w:qFormat/>
    <w:uiPriority w:val="99"/>
    <w:rPr>
      <w:b/>
      <w:bCs/>
      <w:kern w:val="2"/>
      <w:sz w:val="21"/>
      <w:szCs w:val="24"/>
    </w:rPr>
  </w:style>
  <w:style w:type="character" w:customStyle="1" w:styleId="76">
    <w:name w:val="批注主题 Char"/>
    <w:link w:val="28"/>
    <w:qFormat/>
    <w:uiPriority w:val="0"/>
    <w:rPr>
      <w:b/>
      <w:bCs/>
      <w:kern w:val="2"/>
      <w:sz w:val="21"/>
      <w:szCs w:val="24"/>
    </w:rPr>
  </w:style>
  <w:style w:type="character" w:customStyle="1" w:styleId="77">
    <w:name w:val="正文首行缩进 2 字符"/>
    <w:basedOn w:val="63"/>
    <w:qFormat/>
    <w:uiPriority w:val="99"/>
    <w:rPr>
      <w:kern w:val="2"/>
      <w:sz w:val="21"/>
      <w:szCs w:val="24"/>
    </w:rPr>
  </w:style>
  <w:style w:type="character" w:customStyle="1" w:styleId="78">
    <w:name w:val="正文首行缩进 2 Char"/>
    <w:link w:val="29"/>
    <w:qFormat/>
    <w:uiPriority w:val="0"/>
    <w:rPr>
      <w:kern w:val="2"/>
      <w:sz w:val="21"/>
      <w:szCs w:val="24"/>
    </w:rPr>
  </w:style>
  <w:style w:type="character" w:customStyle="1" w:styleId="79">
    <w:name w:val="批注文字 字符2"/>
    <w:qFormat/>
    <w:uiPriority w:val="0"/>
    <w:rPr>
      <w:rFonts w:ascii="Times New Roman" w:hAnsi="Times New Roman" w:eastAsia="宋体" w:cs="Times New Roman"/>
      <w:kern w:val="2"/>
      <w:sz w:val="21"/>
      <w:szCs w:val="24"/>
    </w:rPr>
  </w:style>
  <w:style w:type="character" w:customStyle="1" w:styleId="80">
    <w:name w:val="正文文本 字符1"/>
    <w:qFormat/>
    <w:uiPriority w:val="99"/>
    <w:rPr>
      <w:rFonts w:ascii="Times New Roman" w:hAnsi="Times New Roman" w:eastAsia="宋体" w:cs="Times New Roman"/>
      <w:kern w:val="2"/>
      <w:sz w:val="21"/>
      <w:szCs w:val="24"/>
    </w:rPr>
  </w:style>
  <w:style w:type="character" w:customStyle="1" w:styleId="81">
    <w:name w:val="正文文本缩进 字符1"/>
    <w:qFormat/>
    <w:uiPriority w:val="99"/>
    <w:rPr>
      <w:rFonts w:ascii="仿宋_GB2312" w:hAnsi="Times New Roman" w:eastAsia="仿宋_GB2312" w:cs="Times New Roman"/>
      <w:sz w:val="32"/>
      <w:szCs w:val="20"/>
    </w:rPr>
  </w:style>
  <w:style w:type="character" w:customStyle="1" w:styleId="82">
    <w:name w:val="纯文本 字符3"/>
    <w:qFormat/>
    <w:uiPriority w:val="99"/>
    <w:rPr>
      <w:rFonts w:ascii="宋体" w:hAnsi="Courier New" w:eastAsia="宋体" w:cs="Courier New"/>
      <w:szCs w:val="21"/>
    </w:rPr>
  </w:style>
  <w:style w:type="character" w:customStyle="1" w:styleId="83">
    <w:name w:val="正文首行缩进 2 字符1"/>
    <w:qFormat/>
    <w:uiPriority w:val="99"/>
    <w:rPr>
      <w:rFonts w:ascii="Times New Roman" w:hAnsi="Times New Roman" w:eastAsia="宋体" w:cs="Times New Roman"/>
      <w:kern w:val="2"/>
      <w:sz w:val="21"/>
      <w:szCs w:val="24"/>
    </w:rPr>
  </w:style>
  <w:style w:type="character" w:customStyle="1" w:styleId="84">
    <w:name w:val="标题 8 Char"/>
    <w:qFormat/>
    <w:uiPriority w:val="0"/>
    <w:rPr>
      <w:rFonts w:ascii="Arial" w:hAnsi="Arial" w:eastAsia="黑体"/>
      <w:kern w:val="2"/>
      <w:sz w:val="24"/>
      <w:szCs w:val="24"/>
    </w:rPr>
  </w:style>
  <w:style w:type="character" w:customStyle="1" w:styleId="8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6">
    <w:name w:val="纯文本 Char"/>
    <w:qFormat/>
    <w:uiPriority w:val="0"/>
    <w:rPr>
      <w:rFonts w:ascii="宋体" w:hAnsi="Courier New" w:eastAsia="宋体" w:cs="Courier New"/>
      <w:szCs w:val="21"/>
    </w:rPr>
  </w:style>
  <w:style w:type="character" w:customStyle="1" w:styleId="87">
    <w:name w:val="正文文本 Char"/>
    <w:qFormat/>
    <w:uiPriority w:val="99"/>
    <w:rPr>
      <w:rFonts w:ascii="Times New Roman" w:hAnsi="Times New Roman"/>
      <w:kern w:val="2"/>
      <w:sz w:val="21"/>
      <w:szCs w:val="24"/>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标题 2 Char"/>
    <w:qFormat/>
    <w:uiPriority w:val="9"/>
    <w:rPr>
      <w:rFonts w:ascii="Cambria" w:hAnsi="Cambria" w:eastAsia="宋体" w:cs="Times New Roman"/>
      <w:b/>
      <w:bCs/>
      <w:kern w:val="2"/>
      <w:sz w:val="32"/>
      <w:szCs w:val="32"/>
    </w:rPr>
  </w:style>
  <w:style w:type="character" w:customStyle="1" w:styleId="90">
    <w:name w:val="未处理的提及"/>
    <w:unhideWhenUsed/>
    <w:qFormat/>
    <w:uiPriority w:val="99"/>
    <w:rPr>
      <w:color w:val="605E5C"/>
      <w:shd w:val="clear" w:color="auto" w:fill="E1DFDD"/>
    </w:rPr>
  </w:style>
  <w:style w:type="character" w:customStyle="1" w:styleId="91">
    <w:name w:val="apple-style-span"/>
    <w:qFormat/>
    <w:uiPriority w:val="0"/>
  </w:style>
  <w:style w:type="character" w:customStyle="1" w:styleId="92">
    <w:name w:val="纯文本 字符2"/>
    <w:qFormat/>
    <w:uiPriority w:val="0"/>
    <w:rPr>
      <w:rFonts w:ascii="宋体" w:hAnsi="Courier New" w:eastAsia="宋体" w:cs="Courier New"/>
      <w:szCs w:val="21"/>
    </w:rPr>
  </w:style>
  <w:style w:type="character" w:customStyle="1" w:styleId="93">
    <w:name w:val="textcontents"/>
    <w:qFormat/>
    <w:uiPriority w:val="0"/>
  </w:style>
  <w:style w:type="character" w:customStyle="1" w:styleId="94">
    <w:name w:val="纯文本 字符1"/>
    <w:qFormat/>
    <w:uiPriority w:val="0"/>
    <w:rPr>
      <w:rFonts w:ascii="宋体" w:hAnsi="Courier New"/>
    </w:rPr>
  </w:style>
  <w:style w:type="character" w:customStyle="1" w:styleId="95">
    <w:name w:val="批注文字 Char"/>
    <w:qFormat/>
    <w:uiPriority w:val="0"/>
    <w:rPr>
      <w:rFonts w:ascii="Times New Roman" w:hAnsi="Times New Roman"/>
      <w:kern w:val="2"/>
      <w:sz w:val="21"/>
      <w:szCs w:val="24"/>
    </w:rPr>
  </w:style>
  <w:style w:type="character" w:customStyle="1" w:styleId="96">
    <w:name w:val="标题 1 字符1"/>
    <w:qFormat/>
    <w:uiPriority w:val="0"/>
    <w:rPr>
      <w:b/>
      <w:bCs/>
      <w:kern w:val="44"/>
      <w:sz w:val="44"/>
      <w:szCs w:val="44"/>
    </w:rPr>
  </w:style>
  <w:style w:type="paragraph" w:customStyle="1" w:styleId="97">
    <w:name w:val="Char Char Char Char"/>
    <w:basedOn w:val="1"/>
    <w:qFormat/>
    <w:uiPriority w:val="99"/>
    <w:pPr>
      <w:widowControl/>
      <w:spacing w:after="160" w:line="240" w:lineRule="exact"/>
      <w:jc w:val="left"/>
    </w:pPr>
  </w:style>
  <w:style w:type="paragraph" w:customStyle="1" w:styleId="98">
    <w:name w:val="默认段落字体 Para Char Char Char Char Char Char Char Char Char1 Char Char Char Char"/>
    <w:basedOn w:val="1"/>
    <w:qFormat/>
    <w:uiPriority w:val="99"/>
    <w:rPr>
      <w:rFonts w:ascii="Tahoma" w:hAnsi="Tahoma"/>
      <w:sz w:val="24"/>
      <w:szCs w:val="20"/>
    </w:rPr>
  </w:style>
  <w:style w:type="paragraph" w:customStyle="1" w:styleId="99">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10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101">
    <w:name w:val="Table Paragraph"/>
    <w:basedOn w:val="1"/>
    <w:qFormat/>
    <w:uiPriority w:val="1"/>
    <w:pPr>
      <w:jc w:val="left"/>
    </w:pPr>
    <w:rPr>
      <w:rFonts w:ascii="Calibri" w:hAnsi="Calibri"/>
      <w:kern w:val="0"/>
      <w:sz w:val="22"/>
      <w:szCs w:val="22"/>
      <w:lang w:eastAsia="en-US"/>
    </w:rPr>
  </w:style>
  <w:style w:type="character" w:customStyle="1" w:styleId="102">
    <w:name w:val="正文2 Char Char"/>
    <w:link w:val="103"/>
    <w:qFormat/>
    <w:uiPriority w:val="0"/>
    <w:rPr>
      <w:sz w:val="24"/>
    </w:rPr>
  </w:style>
  <w:style w:type="paragraph" w:customStyle="1" w:styleId="103">
    <w:name w:val="正文2"/>
    <w:basedOn w:val="1"/>
    <w:link w:val="102"/>
    <w:qFormat/>
    <w:uiPriority w:val="0"/>
    <w:pPr>
      <w:adjustRightInd w:val="0"/>
      <w:spacing w:before="156" w:line="360" w:lineRule="auto"/>
      <w:ind w:firstLine="510" w:firstLineChars="200"/>
    </w:pPr>
    <w:rPr>
      <w:kern w:val="0"/>
      <w:sz w:val="24"/>
      <w:szCs w:val="20"/>
    </w:rPr>
  </w:style>
  <w:style w:type="character" w:customStyle="1" w:styleId="104">
    <w:name w:val="纯文本 Char2"/>
    <w:qFormat/>
    <w:uiPriority w:val="0"/>
    <w:rPr>
      <w:rFonts w:ascii="宋体" w:hAnsi="Courier New" w:cs="Arial"/>
      <w:snapToGrid w:val="0"/>
      <w:szCs w:val="21"/>
    </w:rPr>
  </w:style>
  <w:style w:type="paragraph" w:customStyle="1" w:styleId="105">
    <w:name w:val="表格文字"/>
    <w:basedOn w:val="1"/>
    <w:next w:val="13"/>
    <w:qFormat/>
    <w:uiPriority w:val="99"/>
    <w:pPr>
      <w:adjustRightInd w:val="0"/>
      <w:spacing w:line="420" w:lineRule="atLeast"/>
      <w:jc w:val="left"/>
      <w:textAlignment w:val="baseline"/>
    </w:pPr>
    <w:rPr>
      <w:kern w:val="0"/>
    </w:rPr>
  </w:style>
  <w:style w:type="character" w:customStyle="1" w:styleId="106">
    <w:name w:val="标题 Char"/>
    <w:qFormat/>
    <w:uiPriority w:val="10"/>
    <w:rPr>
      <w:rFonts w:ascii="Cambria" w:hAnsi="Cambria" w:cs="Times New Roman"/>
      <w:b/>
      <w:bCs/>
      <w:kern w:val="2"/>
      <w:sz w:val="32"/>
      <w:szCs w:val="32"/>
    </w:rPr>
  </w:style>
  <w:style w:type="paragraph" w:customStyle="1" w:styleId="107">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108">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109">
    <w:name w:val="NormalCharacter"/>
    <w:qFormat/>
    <w:uiPriority w:val="0"/>
  </w:style>
  <w:style w:type="character" w:customStyle="1" w:styleId="110">
    <w:name w:val="页眉 Char"/>
    <w:qFormat/>
    <w:uiPriority w:val="99"/>
    <w:rPr>
      <w:lang w:eastAsia="zh-CN"/>
    </w:rPr>
  </w:style>
  <w:style w:type="character" w:customStyle="1" w:styleId="111">
    <w:name w:val="纯文本 Char1"/>
    <w:qFormat/>
    <w:uiPriority w:val="0"/>
    <w:rPr>
      <w:rFonts w:ascii="宋体" w:hAnsi="Courier New" w:eastAsia="宋体" w:cs="Times New Roman"/>
      <w:kern w:val="0"/>
      <w:sz w:val="20"/>
      <w:szCs w:val="21"/>
    </w:rPr>
  </w:style>
  <w:style w:type="paragraph" w:customStyle="1" w:styleId="112">
    <w:name w:val="_Style 93"/>
    <w:basedOn w:val="1"/>
    <w:next w:val="45"/>
    <w:qFormat/>
    <w:uiPriority w:val="99"/>
    <w:pPr>
      <w:ind w:firstLine="420" w:firstLineChars="200"/>
    </w:pPr>
  </w:style>
  <w:style w:type="paragraph" w:customStyle="1" w:styleId="113">
    <w:name w:val="_Style 94"/>
    <w:basedOn w:val="1"/>
    <w:next w:val="1"/>
    <w:unhideWhenUsed/>
    <w:qFormat/>
    <w:uiPriority w:val="39"/>
    <w:pPr>
      <w:tabs>
        <w:tab w:val="right" w:leader="dot" w:pos="8296"/>
      </w:tabs>
      <w:ind w:left="420" w:leftChars="200"/>
    </w:pPr>
  </w:style>
  <w:style w:type="paragraph" w:customStyle="1" w:styleId="114">
    <w:name w:val="msonormal"/>
    <w:basedOn w:val="1"/>
    <w:qFormat/>
    <w:uiPriority w:val="99"/>
    <w:rPr>
      <w:rFonts w:ascii="Calibri" w:hAnsi="Calibri"/>
      <w:kern w:val="0"/>
      <w:sz w:val="24"/>
    </w:rPr>
  </w:style>
  <w:style w:type="character" w:customStyle="1" w:styleId="115">
    <w:name w:val="font81"/>
    <w:qFormat/>
    <w:uiPriority w:val="0"/>
    <w:rPr>
      <w:rFonts w:hint="eastAsia" w:ascii="宋体" w:hAnsi="宋体" w:eastAsia="宋体" w:cs="宋体"/>
      <w:color w:val="000000"/>
      <w:sz w:val="22"/>
      <w:szCs w:val="22"/>
      <w:u w:val="none"/>
    </w:rPr>
  </w:style>
  <w:style w:type="character" w:customStyle="1" w:styleId="116">
    <w:name w:val="font12"/>
    <w:qFormat/>
    <w:uiPriority w:val="0"/>
    <w:rPr>
      <w:rFonts w:hint="default" w:ascii="Times New Roman" w:hAnsi="Times New Roman" w:cs="Times New Roman"/>
      <w:color w:val="000000"/>
      <w:sz w:val="22"/>
      <w:szCs w:val="22"/>
      <w:u w:val="none"/>
    </w:rPr>
  </w:style>
  <w:style w:type="character" w:customStyle="1" w:styleId="117">
    <w:name w:val="font1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2614</Words>
  <Characters>14903</Characters>
  <Lines>124</Lines>
  <Paragraphs>34</Paragraphs>
  <TotalTime>161</TotalTime>
  <ScaleCrop>false</ScaleCrop>
  <LinksUpToDate>false</LinksUpToDate>
  <CharactersWithSpaces>17483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2023-09-20T09:46:00Z</dcterms:created>
  <dc:creator>wenzhong fang</dc:creator>
  <cp:lastModifiedBy>Administrator</cp:lastModifiedBy>
  <dcterms:modified xsi:type="dcterms:W3CDTF">2026-06-02T08:15:21Z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713720E4783B522854011D6A07713373_43</vt:lpwstr>
  </property>
</Properties>
</file>