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57729">
      <w:pPr>
        <w:shd w:val="clear" w:fill="FFFFFF" w:themeFill="background1"/>
        <w:rPr>
          <w:rFonts w:hint="eastAsia"/>
          <w:color w:val="auto"/>
          <w:sz w:val="32"/>
          <w:szCs w:val="32"/>
          <w:highlight w:val="none"/>
          <w:lang w:eastAsia="zh-CN"/>
        </w:rPr>
      </w:pPr>
      <w:r>
        <w:rPr>
          <w:rFonts w:hint="eastAsia"/>
          <w:color w:val="auto"/>
          <w:sz w:val="32"/>
          <w:szCs w:val="32"/>
          <w:highlight w:val="none"/>
          <w:lang w:eastAsia="zh-CN"/>
        </w:rPr>
        <w:t>次参数要求：</w:t>
      </w:r>
    </w:p>
    <w:tbl>
      <w:tblPr>
        <w:tblStyle w:val="4"/>
        <w:tblpPr w:leftFromText="180" w:rightFromText="180" w:vertAnchor="text" w:horzAnchor="page" w:tblpX="1647" w:tblpY="207"/>
        <w:tblOverlap w:val="never"/>
        <w:tblW w:w="5157" w:type="pct"/>
        <w:tblInd w:w="0" w:type="dxa"/>
        <w:tblLayout w:type="fixed"/>
        <w:tblCellMar>
          <w:top w:w="0" w:type="dxa"/>
          <w:left w:w="108" w:type="dxa"/>
          <w:bottom w:w="0" w:type="dxa"/>
          <w:right w:w="108" w:type="dxa"/>
        </w:tblCellMar>
      </w:tblPr>
      <w:tblGrid>
        <w:gridCol w:w="396"/>
        <w:gridCol w:w="29"/>
        <w:gridCol w:w="650"/>
        <w:gridCol w:w="948"/>
        <w:gridCol w:w="3675"/>
        <w:gridCol w:w="732"/>
        <w:gridCol w:w="744"/>
        <w:gridCol w:w="996"/>
        <w:gridCol w:w="621"/>
      </w:tblGrid>
      <w:tr w14:paraId="0867AD51">
        <w:tblPrEx>
          <w:tblCellMar>
            <w:top w:w="0" w:type="dxa"/>
            <w:left w:w="108" w:type="dxa"/>
            <w:bottom w:w="0" w:type="dxa"/>
            <w:right w:w="108" w:type="dxa"/>
          </w:tblCellMar>
        </w:tblPrEx>
        <w:trPr>
          <w:trHeight w:val="390" w:hRule="atLeast"/>
        </w:trPr>
        <w:tc>
          <w:tcPr>
            <w:tcW w:w="241" w:type="pct"/>
            <w:gridSpan w:val="2"/>
            <w:vMerge w:val="restart"/>
            <w:tcBorders>
              <w:top w:val="single" w:color="auto" w:sz="4" w:space="0"/>
              <w:left w:val="single" w:color="auto" w:sz="4" w:space="0"/>
              <w:right w:val="single" w:color="auto" w:sz="4" w:space="0"/>
            </w:tcBorders>
            <w:noWrap w:val="0"/>
            <w:vAlign w:val="center"/>
          </w:tcPr>
          <w:p w14:paraId="2B97CD2F">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服</w:t>
            </w:r>
          </w:p>
          <w:p w14:paraId="68851909">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务</w:t>
            </w:r>
          </w:p>
          <w:p w14:paraId="047AA08B">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内</w:t>
            </w:r>
          </w:p>
          <w:p w14:paraId="4FCE4634">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容</w:t>
            </w:r>
          </w:p>
          <w:p w14:paraId="078C568A">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及</w:t>
            </w:r>
          </w:p>
          <w:p w14:paraId="1FD68C30">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技</w:t>
            </w:r>
          </w:p>
          <w:p w14:paraId="2D503415">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术</w:t>
            </w:r>
          </w:p>
          <w:p w14:paraId="78B4E27E">
            <w:pPr>
              <w:keepNext w:val="0"/>
              <w:keepLines w:val="0"/>
              <w:suppressLineNumbers w:val="0"/>
              <w:shd w:val="clear" w:fill="FFFFFF" w:themeFill="background1"/>
              <w:spacing w:before="0" w:beforeAutospacing="0" w:after="0" w:afterAutospacing="0" w:line="208" w:lineRule="auto"/>
              <w:ind w:left="0" w:right="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参</w:t>
            </w:r>
          </w:p>
          <w:p w14:paraId="7E4053CA">
            <w:pPr>
              <w:keepNext w:val="0"/>
              <w:keepLines w:val="0"/>
              <w:suppressLineNumbers w:val="0"/>
              <w:shd w:val="clear" w:fill="FFFFFF" w:themeFill="background1"/>
              <w:spacing w:before="0" w:beforeAutospacing="0" w:after="0" w:afterAutospacing="0" w:line="300" w:lineRule="exact"/>
              <w:ind w:left="0" w:right="0"/>
              <w:jc w:val="center"/>
              <w:textAlignment w:val="center"/>
              <w:rPr>
                <w:rFonts w:hint="default" w:ascii="宋体" w:hAnsi="宋体" w:cs="宋体"/>
                <w:b/>
                <w:bCs/>
                <w:color w:val="auto"/>
                <w:szCs w:val="21"/>
                <w:highlight w:val="none"/>
              </w:rPr>
            </w:pPr>
            <w:r>
              <w:rPr>
                <w:rFonts w:hint="eastAsia" w:ascii="宋体" w:hAnsi="宋体" w:cs="Times New Roman"/>
                <w:b/>
                <w:bCs/>
                <w:color w:val="auto"/>
                <w:szCs w:val="21"/>
                <w:highlight w:val="none"/>
              </w:rPr>
              <w:t>数</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6DC840E4">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lang w:eastAsia="zh-CN"/>
              </w:rPr>
            </w:pPr>
            <w:r>
              <w:rPr>
                <w:rFonts w:hint="eastAsia" w:ascii="黑体" w:hAnsi="黑体" w:eastAsia="黑体" w:cs="黑体"/>
                <w:color w:val="auto"/>
                <w:sz w:val="24"/>
                <w:szCs w:val="24"/>
                <w:highlight w:val="none"/>
                <w:lang w:eastAsia="zh-CN"/>
              </w:rPr>
              <w:t>序号</w:t>
            </w:r>
          </w:p>
        </w:tc>
        <w:tc>
          <w:tcPr>
            <w:tcW w:w="539" w:type="pct"/>
            <w:tcBorders>
              <w:top w:val="single" w:color="auto" w:sz="4" w:space="0"/>
              <w:left w:val="single" w:color="auto" w:sz="4" w:space="0"/>
              <w:bottom w:val="single" w:color="auto" w:sz="4" w:space="0"/>
              <w:right w:val="single" w:color="auto" w:sz="4" w:space="0"/>
            </w:tcBorders>
            <w:noWrap w:val="0"/>
            <w:vAlign w:val="center"/>
          </w:tcPr>
          <w:p w14:paraId="04A1BC55">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服务名称</w:t>
            </w:r>
          </w:p>
        </w:tc>
        <w:tc>
          <w:tcPr>
            <w:tcW w:w="2090" w:type="pct"/>
            <w:tcBorders>
              <w:top w:val="single" w:color="auto" w:sz="4" w:space="0"/>
              <w:left w:val="single" w:color="auto" w:sz="4" w:space="0"/>
              <w:bottom w:val="single" w:color="auto" w:sz="4" w:space="0"/>
              <w:right w:val="single" w:color="auto" w:sz="4" w:space="0"/>
            </w:tcBorders>
            <w:noWrap w:val="0"/>
            <w:vAlign w:val="center"/>
          </w:tcPr>
          <w:p w14:paraId="2F353979">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服务要求</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5F157060">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单价/月</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1E46DDB">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数量</w:t>
            </w:r>
          </w:p>
          <w:p w14:paraId="437897A4">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（月）</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5F9265CE">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金额</w:t>
            </w:r>
          </w:p>
          <w:p w14:paraId="3546CE14">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（元）</w:t>
            </w:r>
          </w:p>
        </w:tc>
        <w:tc>
          <w:tcPr>
            <w:tcW w:w="353" w:type="pct"/>
            <w:tcBorders>
              <w:top w:val="single" w:color="auto" w:sz="4" w:space="0"/>
              <w:left w:val="single" w:color="auto" w:sz="4" w:space="0"/>
              <w:bottom w:val="single" w:color="auto" w:sz="4" w:space="0"/>
              <w:right w:val="single" w:color="auto" w:sz="4" w:space="0"/>
            </w:tcBorders>
            <w:noWrap w:val="0"/>
            <w:vAlign w:val="center"/>
          </w:tcPr>
          <w:p w14:paraId="5141B87D">
            <w:pPr>
              <w:keepNext w:val="0"/>
              <w:keepLines w:val="0"/>
              <w:suppressLineNumbers w:val="0"/>
              <w:shd w:val="clear" w:fill="FFFFFF" w:themeFill="background1"/>
              <w:spacing w:before="0" w:beforeAutospacing="0" w:after="0" w:afterAutospacing="0" w:line="360" w:lineRule="exact"/>
              <w:ind w:left="0" w:right="0"/>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备注</w:t>
            </w:r>
          </w:p>
        </w:tc>
      </w:tr>
      <w:tr w14:paraId="7330EEAA">
        <w:tblPrEx>
          <w:tblCellMar>
            <w:top w:w="0" w:type="dxa"/>
            <w:left w:w="108" w:type="dxa"/>
            <w:bottom w:w="0" w:type="dxa"/>
            <w:right w:w="108" w:type="dxa"/>
          </w:tblCellMar>
        </w:tblPrEx>
        <w:trPr>
          <w:trHeight w:val="3259" w:hRule="atLeast"/>
        </w:trPr>
        <w:tc>
          <w:tcPr>
            <w:tcW w:w="241" w:type="pct"/>
            <w:gridSpan w:val="2"/>
            <w:vMerge w:val="continue"/>
            <w:tcBorders>
              <w:left w:val="single" w:color="auto" w:sz="4" w:space="0"/>
              <w:right w:val="single" w:color="auto" w:sz="4" w:space="0"/>
            </w:tcBorders>
            <w:noWrap/>
            <w:vAlign w:val="center"/>
          </w:tcPr>
          <w:p w14:paraId="3464BC9D">
            <w:pPr>
              <w:keepNext w:val="0"/>
              <w:keepLines w:val="0"/>
              <w:suppressLineNumbers w:val="0"/>
              <w:shd w:val="clear" w:fill="FFFFFF" w:themeFill="background1"/>
              <w:spacing w:before="0" w:beforeAutospacing="0" w:after="0" w:afterAutospacing="0" w:line="300" w:lineRule="exact"/>
              <w:ind w:left="0" w:right="0"/>
              <w:jc w:val="center"/>
              <w:textAlignment w:val="center"/>
              <w:rPr>
                <w:rFonts w:hint="default" w:ascii="宋体" w:hAnsi="宋体" w:cs="宋体"/>
                <w:b/>
                <w:bCs/>
                <w:color w:val="auto"/>
                <w:szCs w:val="21"/>
                <w:highlight w:val="none"/>
              </w:rPr>
            </w:pPr>
            <w:bookmarkStart w:id="0" w:name="OLE_LINK5" w:colFirst="3" w:colLast="3"/>
          </w:p>
        </w:tc>
        <w:tc>
          <w:tcPr>
            <w:tcW w:w="369" w:type="pct"/>
            <w:tcBorders>
              <w:top w:val="single" w:color="auto" w:sz="4" w:space="0"/>
              <w:left w:val="single" w:color="auto" w:sz="4" w:space="0"/>
              <w:bottom w:val="single" w:color="auto" w:sz="4" w:space="0"/>
              <w:right w:val="single" w:color="auto" w:sz="4" w:space="0"/>
            </w:tcBorders>
            <w:noWrap/>
            <w:vAlign w:val="center"/>
          </w:tcPr>
          <w:p w14:paraId="152BA7A0">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p w14:paraId="6BADFD11">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rPr>
            </w:pPr>
          </w:p>
        </w:tc>
        <w:tc>
          <w:tcPr>
            <w:tcW w:w="539" w:type="pct"/>
            <w:tcBorders>
              <w:top w:val="single" w:color="auto" w:sz="4" w:space="0"/>
              <w:left w:val="single" w:color="auto" w:sz="4" w:space="0"/>
              <w:bottom w:val="single" w:color="auto" w:sz="4" w:space="0"/>
              <w:right w:val="single" w:color="auto" w:sz="4" w:space="0"/>
            </w:tcBorders>
            <w:noWrap/>
            <w:vAlign w:val="center"/>
          </w:tcPr>
          <w:p w14:paraId="7309263A">
            <w:pPr>
              <w:pStyle w:val="3"/>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视频监控及平台接入服务</w:t>
            </w:r>
          </w:p>
        </w:tc>
        <w:tc>
          <w:tcPr>
            <w:tcW w:w="2090" w:type="pct"/>
            <w:tcBorders>
              <w:top w:val="single" w:color="auto" w:sz="4" w:space="0"/>
              <w:left w:val="single" w:color="auto" w:sz="4" w:space="0"/>
              <w:bottom w:val="single" w:color="auto" w:sz="4" w:space="0"/>
              <w:right w:val="single" w:color="auto" w:sz="4" w:space="0"/>
            </w:tcBorders>
            <w:noWrap w:val="0"/>
            <w:vAlign w:val="center"/>
          </w:tcPr>
          <w:p w14:paraId="2E07B005">
            <w:pPr>
              <w:keepNext w:val="0"/>
              <w:keepLines w:val="0"/>
              <w:numPr>
                <w:ilvl w:val="0"/>
                <w:numId w:val="0"/>
              </w:numPr>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rPr>
              <w:t>项目包含前端摄像头安装接入服务、视频云平台接入调试服务、安装服务、网络接入服务等。</w:t>
            </w:r>
          </w:p>
          <w:p w14:paraId="33974B80">
            <w:pPr>
              <w:keepNext w:val="0"/>
              <w:keepLines w:val="0"/>
              <w:numPr>
                <w:ilvl w:val="0"/>
                <w:numId w:val="0"/>
              </w:numPr>
              <w:suppressLineNumbers w:val="0"/>
              <w:shd w:val="clear" w:fill="FFFFFF" w:themeFill="background1"/>
              <w:spacing w:before="0" w:beforeAutospacing="0" w:after="0" w:afterAutospacing="0" w:line="360" w:lineRule="auto"/>
              <w:ind w:left="0" w:right="0"/>
              <w:jc w:val="left"/>
              <w:rPr>
                <w:rFonts w:hint="default" w:ascii="宋体" w:hAnsi="宋体" w:cs="宋体"/>
                <w:color w:val="auto"/>
                <w:highlight w:val="none"/>
              </w:rPr>
            </w:pPr>
            <w:r>
              <w:rPr>
                <w:rFonts w:hint="eastAsia" w:ascii="宋体" w:hAnsi="宋体" w:cs="宋体"/>
                <w:color w:val="auto"/>
                <w:highlight w:val="none"/>
                <w:lang w:eastAsia="zh-CN"/>
              </w:rPr>
              <w:t>一、</w:t>
            </w:r>
            <w:r>
              <w:rPr>
                <w:rFonts w:hint="eastAsia" w:ascii="宋体" w:hAnsi="宋体" w:cs="宋体"/>
                <w:color w:val="auto"/>
                <w:highlight w:val="none"/>
              </w:rPr>
              <w:t>前端视频监控服务</w:t>
            </w:r>
          </w:p>
          <w:p w14:paraId="522D3E4A">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eastAsia="宋体" w:cs="宋体"/>
                <w:color w:val="auto"/>
                <w:highlight w:val="none"/>
                <w:lang w:val="en-US" w:eastAsia="zh-CN"/>
              </w:rPr>
            </w:pPr>
            <w:r>
              <w:rPr>
                <w:rFonts w:hint="eastAsia" w:ascii="宋体" w:hAnsi="宋体" w:cs="宋体"/>
                <w:color w:val="auto"/>
                <w:highlight w:val="none"/>
              </w:rPr>
              <w:t>1.提供</w:t>
            </w:r>
            <w:r>
              <w:rPr>
                <w:rFonts w:hint="eastAsia" w:ascii="宋体" w:hAnsi="宋体" w:cs="宋体"/>
                <w:color w:val="auto"/>
                <w:highlight w:val="none"/>
                <w:lang w:val="en-US" w:eastAsia="zh-CN"/>
              </w:rPr>
              <w:t>23</w:t>
            </w:r>
            <w:r>
              <w:rPr>
                <w:rFonts w:hint="eastAsia" w:ascii="宋体" w:hAnsi="宋体" w:cs="宋体"/>
                <w:color w:val="auto"/>
                <w:highlight w:val="none"/>
              </w:rPr>
              <w:t>个点位视频监控服务，并提供前端图像与监控平台间的数据传输服务，确保监控数据流畅稳定，无丢帧卡顿现象</w:t>
            </w:r>
            <w:r>
              <w:rPr>
                <w:rFonts w:hint="eastAsia" w:ascii="宋体" w:hAnsi="宋体" w:cs="宋体"/>
                <w:color w:val="auto"/>
                <w:highlight w:val="none"/>
                <w:lang w:eastAsia="zh-CN"/>
              </w:rPr>
              <w:t>。</w:t>
            </w:r>
          </w:p>
          <w:p w14:paraId="60A80DE5">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2.全高清400W分辨率，图像清晰、细腻 </w:t>
            </w:r>
          </w:p>
          <w:p w14:paraId="02285C69">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3. 支持POE供电 </w:t>
            </w:r>
          </w:p>
          <w:p w14:paraId="4C7DDB50">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4.ICR自动切换，实现昼夜监控 </w:t>
            </w:r>
          </w:p>
          <w:p w14:paraId="36E86AB3">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5.支持H.265视频编码 </w:t>
            </w:r>
          </w:p>
          <w:p w14:paraId="4BFF241C">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6.支持24小时云存储、本地存储 </w:t>
            </w:r>
          </w:p>
          <w:p w14:paraId="24259C39">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7.支持动作和声音侦测报警 </w:t>
            </w:r>
          </w:p>
          <w:p w14:paraId="1594C387">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8.支持人形侦测 </w:t>
            </w:r>
          </w:p>
          <w:p w14:paraId="01488033">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9.支持双向语音通话 </w:t>
            </w:r>
          </w:p>
          <w:p w14:paraId="10EA20B9">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highlight w:val="none"/>
                <w:lang w:val="en-US" w:eastAsia="zh-CN"/>
              </w:rPr>
              <w:t xml:space="preserve">10.支持人脸抓拍 </w:t>
            </w:r>
          </w:p>
          <w:p w14:paraId="7E670294">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 xml:space="preserve">12.支持车牌识别和抓拍 </w:t>
            </w:r>
          </w:p>
          <w:p w14:paraId="4240960B">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13、支持深度算法</w:t>
            </w:r>
          </w:p>
          <w:p w14:paraId="332D0477">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b/>
                <w:bCs/>
                <w:color w:val="auto"/>
                <w:szCs w:val="21"/>
                <w:highlight w:val="none"/>
              </w:rPr>
            </w:pPr>
            <w:r>
              <w:rPr>
                <w:rFonts w:hint="eastAsia" w:ascii="宋体" w:hAnsi="宋体" w:cs="宋体"/>
                <w:color w:val="auto"/>
                <w:highlight w:val="none"/>
                <w:lang w:val="en-US" w:eastAsia="zh-CN"/>
              </w:rPr>
              <w:t>二、</w:t>
            </w:r>
            <w:r>
              <w:rPr>
                <w:rFonts w:hint="eastAsia" w:ascii="宋体" w:hAnsi="宋体" w:cs="宋体"/>
                <w:b/>
                <w:bCs/>
                <w:color w:val="auto"/>
                <w:szCs w:val="21"/>
                <w:highlight w:val="none"/>
              </w:rPr>
              <w:t>视频监控云平台系统要求</w:t>
            </w:r>
          </w:p>
          <w:p w14:paraId="66B0B064">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（一）视频监控</w:t>
            </w:r>
            <w:r>
              <w:rPr>
                <w:rFonts w:hint="eastAsia" w:ascii="宋体" w:hAnsi="宋体" w:cs="宋体"/>
                <w:color w:val="auto"/>
                <w:szCs w:val="21"/>
                <w:highlight w:val="none"/>
                <w:lang w:val="en-US" w:eastAsia="zh-CN"/>
              </w:rPr>
              <w:t>云</w:t>
            </w:r>
            <w:r>
              <w:rPr>
                <w:rFonts w:hint="eastAsia" w:ascii="宋体" w:hAnsi="宋体" w:cs="宋体"/>
                <w:color w:val="auto"/>
                <w:szCs w:val="21"/>
                <w:highlight w:val="none"/>
              </w:rPr>
              <w:t>平台能力需求</w:t>
            </w:r>
          </w:p>
          <w:p w14:paraId="39EE91FE">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bCs/>
                <w:color w:val="auto"/>
                <w:szCs w:val="21"/>
                <w:highlight w:val="none"/>
              </w:rPr>
              <w:t>▲</w:t>
            </w:r>
            <w:r>
              <w:rPr>
                <w:rFonts w:hint="eastAsia" w:ascii="宋体" w:hAnsi="宋体" w:cs="宋体"/>
                <w:color w:val="auto"/>
                <w:szCs w:val="21"/>
                <w:highlight w:val="none"/>
              </w:rPr>
              <w:t>1、服务能力</w:t>
            </w:r>
          </w:p>
          <w:p w14:paraId="201DA8D8">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（1）接入路数不限，支持不低于30天的云存储。</w:t>
            </w:r>
          </w:p>
          <w:p w14:paraId="2BFEAD3A">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（2）支持RTMP、FLV、HLS协议，支持在浏览器和微信公众号无插件化直播视频。</w:t>
            </w:r>
          </w:p>
          <w:p w14:paraId="32A3DD48">
            <w:pPr>
              <w:pStyle w:val="6"/>
              <w:keepNext w:val="0"/>
              <w:keepLines w:val="0"/>
              <w:suppressLineNumbers w:val="0"/>
              <w:shd w:val="clear" w:fill="FFFFFF" w:themeFill="background1"/>
              <w:spacing w:before="0" w:beforeAutospacing="0" w:after="0" w:afterAutospacing="0" w:line="360" w:lineRule="auto"/>
              <w:ind w:left="0" w:leftChars="0" w:right="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（3）视频监控服务应符合GB/T 28181 的相关规定；并应支持与</w:t>
            </w:r>
            <w:r>
              <w:rPr>
                <w:rFonts w:hint="eastAsia" w:ascii="宋体" w:hAnsi="宋体" w:eastAsia="宋体" w:cs="宋体"/>
                <w:color w:val="auto"/>
                <w:szCs w:val="21"/>
                <w:highlight w:val="none"/>
                <w:lang w:val="en-US" w:eastAsia="zh-CN"/>
              </w:rPr>
              <w:t>公安部门、</w:t>
            </w:r>
            <w:r>
              <w:rPr>
                <w:rFonts w:hint="eastAsia" w:ascii="宋体" w:hAnsi="宋体" w:eastAsia="宋体" w:cs="宋体"/>
                <w:color w:val="auto"/>
                <w:szCs w:val="21"/>
                <w:highlight w:val="none"/>
              </w:rPr>
              <w:t>政法委</w:t>
            </w:r>
            <w:r>
              <w:rPr>
                <w:rFonts w:hint="eastAsia" w:ascii="宋体" w:hAnsi="宋体" w:eastAsia="宋体" w:cs="宋体"/>
                <w:color w:val="auto"/>
                <w:szCs w:val="21"/>
                <w:highlight w:val="none"/>
                <w:lang w:val="en-US" w:eastAsia="zh-CN"/>
              </w:rPr>
              <w:t>等</w:t>
            </w:r>
            <w:r>
              <w:rPr>
                <w:rFonts w:hint="eastAsia" w:ascii="宋体" w:hAnsi="宋体" w:eastAsia="宋体" w:cs="宋体"/>
                <w:color w:val="auto"/>
                <w:szCs w:val="21"/>
                <w:highlight w:val="none"/>
              </w:rPr>
              <w:t>相关平台进行数据双向推送，进行视频、音频、数据等信息传输、交换和控制，且推送时的通信协议</w:t>
            </w:r>
            <w:r>
              <w:rPr>
                <w:rFonts w:hint="eastAsia" w:ascii="宋体" w:hAnsi="宋体" w:eastAsia="宋体" w:cs="宋体"/>
                <w:color w:val="auto"/>
                <w:kern w:val="2"/>
                <w:sz w:val="21"/>
                <w:szCs w:val="21"/>
                <w:highlight w:val="none"/>
                <w:lang w:val="en-US" w:eastAsia="zh-CN" w:bidi="ar-SA"/>
              </w:rPr>
              <w:t>应符合GB/T 28181 的相关要求。</w:t>
            </w:r>
          </w:p>
          <w:p w14:paraId="470D3CF4">
            <w:pPr>
              <w:keepNext w:val="0"/>
              <w:keepLines w:val="0"/>
              <w:pageBreakBefore w:val="0"/>
              <w:widowControl w:val="0"/>
              <w:suppressLineNumbers w:val="0"/>
              <w:shd w:val="clear" w:fill="FFFFFF" w:themeFill="background1"/>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4）支持无限分级管理功能，并能自由无限创建子组织及子账号，实现分层级管理；设备具备内部分级管理，可实现设备停用、起用、内容删除、回看、录制、抓图权限设置。支持创建上林县中小学安全监控平台，依托上述分级与权限管理能力，为县域内各中小学统一部署监控平台、建立分级账号体系，实现县教育局-乡镇-学校的分层监管与权限隔离，保障校园安全监控的合规、可控、可追溯。</w:t>
            </w:r>
          </w:p>
          <w:p w14:paraId="764F8074">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）要求视频</w:t>
            </w:r>
            <w:r>
              <w:rPr>
                <w:rFonts w:hint="eastAsia" w:ascii="宋体" w:hAnsi="宋体" w:cs="宋体"/>
                <w:color w:val="auto"/>
                <w:szCs w:val="21"/>
                <w:highlight w:val="none"/>
                <w:lang w:val="en-US" w:eastAsia="zh-CN"/>
              </w:rPr>
              <w:t>云平台</w:t>
            </w:r>
            <w:r>
              <w:rPr>
                <w:rFonts w:hint="eastAsia" w:ascii="宋体" w:hAnsi="宋体" w:cs="宋体"/>
                <w:color w:val="auto"/>
                <w:szCs w:val="21"/>
                <w:highlight w:val="none"/>
              </w:rPr>
              <w:t>存储系统具备7×24 小时</w:t>
            </w:r>
            <w:r>
              <w:rPr>
                <w:rFonts w:hint="eastAsia" w:ascii="宋体" w:hAnsi="宋体" w:cs="宋体"/>
                <w:color w:val="auto"/>
                <w:szCs w:val="21"/>
                <w:highlight w:val="none"/>
                <w:lang w:val="en-US" w:eastAsia="zh-CN"/>
              </w:rPr>
              <w:t>不间断的</w:t>
            </w:r>
            <w:r>
              <w:rPr>
                <w:rFonts w:hint="eastAsia" w:ascii="宋体" w:hAnsi="宋体" w:cs="宋体"/>
                <w:color w:val="auto"/>
                <w:szCs w:val="21"/>
                <w:highlight w:val="none"/>
              </w:rPr>
              <w:t>大码流视频录像</w:t>
            </w:r>
            <w:r>
              <w:rPr>
                <w:rFonts w:hint="eastAsia" w:ascii="宋体" w:hAnsi="宋体" w:cs="宋体"/>
                <w:color w:val="auto"/>
                <w:szCs w:val="21"/>
                <w:highlight w:val="none"/>
                <w:lang w:eastAsia="zh-CN"/>
              </w:rPr>
              <w:t>，支持第三方在WEB、APP端集成，提供SDK等方式。</w:t>
            </w:r>
            <w:r>
              <w:rPr>
                <w:rFonts w:hint="eastAsia" w:ascii="宋体" w:hAnsi="宋体" w:cs="宋体"/>
                <w:color w:val="auto"/>
                <w:szCs w:val="21"/>
                <w:highlight w:val="none"/>
                <w:lang w:val="en-US" w:eastAsia="zh-CN"/>
              </w:rPr>
              <w:t>支持</w:t>
            </w:r>
            <w:r>
              <w:rPr>
                <w:rFonts w:hint="eastAsia" w:ascii="宋体" w:hAnsi="宋体" w:cs="宋体"/>
                <w:color w:val="auto"/>
                <w:szCs w:val="21"/>
                <w:highlight w:val="none"/>
              </w:rPr>
              <w:t>快速检索、回放和管理的功能服务，优化视频的回放；支持对录像按照多种方式检索服务；支持标注、循环覆盖等方式进行管理服务。要求视频存储系统支持图片的高速写入、并发下载、图片压缩等服务；要求统一服务接口，要求提供统一的管理界面。</w:t>
            </w:r>
          </w:p>
          <w:p w14:paraId="78774958">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）支持对实时视频或历史录像进行截图或录像，并作为线上巡检记录的附件留存，对截图或录像的视频，必须有专属的印记，实现对截图或录像的视频溯源。</w:t>
            </w:r>
          </w:p>
          <w:p w14:paraId="7070A303">
            <w:pPr>
              <w:pStyle w:val="2"/>
              <w:keepNext w:val="0"/>
              <w:keepLines w:val="0"/>
              <w:pageBreakBefore w:val="0"/>
              <w:widowControl w:val="0"/>
              <w:suppressLineNumbers w:val="0"/>
              <w:shd w:val="clear" w:fill="FFFFFF" w:themeFill="background1"/>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（7）支持多种设备制造商的设备自动发现和接入。边缘与云同步，使用Wireguard技术确保信息实时、安全同步。</w:t>
            </w:r>
          </w:p>
          <w:p w14:paraId="1150D28B">
            <w:pPr>
              <w:keepNext w:val="0"/>
              <w:keepLines w:val="0"/>
              <w:pageBreakBefore w:val="0"/>
              <w:widowControl w:val="0"/>
              <w:suppressLineNumbers w:val="0"/>
              <w:shd w:val="clear" w:fill="FFFFFF" w:themeFill="background1"/>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color w:val="auto"/>
                <w:highlight w:val="none"/>
                <w:lang w:val="en-US" w:eastAsia="zh-CN"/>
              </w:rPr>
            </w:pPr>
            <w:r>
              <w:rPr>
                <w:rFonts w:hint="eastAsia" w:ascii="宋体" w:hAnsi="宋体" w:cs="宋体"/>
                <w:color w:val="auto"/>
                <w:kern w:val="2"/>
                <w:sz w:val="21"/>
                <w:szCs w:val="21"/>
                <w:highlight w:val="none"/>
                <w:lang w:val="en-US" w:eastAsia="zh-CN" w:bidi="ar-SA"/>
              </w:rPr>
              <w:t>（8）平台采用分布式架构，支持线性扩展，满足大规模数据共享和数据挖掘需求。提供多种访问接口，方便业务系统访问。</w:t>
            </w:r>
          </w:p>
          <w:p w14:paraId="3C9D7070">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▲2、数据共享接口服务能力：竞标人提供的平台</w:t>
            </w:r>
            <w:r>
              <w:rPr>
                <w:rFonts w:hint="eastAsia" w:ascii="宋体" w:hAnsi="宋体" w:cs="宋体"/>
                <w:color w:val="auto"/>
                <w:szCs w:val="21"/>
                <w:highlight w:val="none"/>
              </w:rPr>
              <w:t>能够具备数据开发接口能力，能够提供基于RESTFul接口供</w:t>
            </w:r>
            <w:r>
              <w:rPr>
                <w:rFonts w:hint="eastAsia" w:ascii="宋体" w:hAnsi="宋体" w:cs="宋体"/>
                <w:color w:val="auto"/>
                <w:szCs w:val="21"/>
                <w:highlight w:val="none"/>
                <w:lang w:val="en-US" w:eastAsia="zh-CN"/>
              </w:rPr>
              <w:t>采购人相关</w:t>
            </w:r>
            <w:r>
              <w:rPr>
                <w:rFonts w:hint="eastAsia" w:ascii="宋体" w:hAnsi="宋体" w:cs="宋体"/>
                <w:color w:val="auto"/>
                <w:szCs w:val="21"/>
                <w:highlight w:val="none"/>
              </w:rPr>
              <w:t>平台调用</w:t>
            </w:r>
            <w:r>
              <w:rPr>
                <w:rFonts w:hint="eastAsia" w:ascii="宋体" w:hAnsi="宋体" w:cs="宋体"/>
                <w:color w:val="auto"/>
                <w:szCs w:val="21"/>
                <w:highlight w:val="none"/>
                <w:lang w:val="en-US" w:eastAsia="zh-CN"/>
              </w:rPr>
              <w:t>使用</w:t>
            </w:r>
            <w:r>
              <w:rPr>
                <w:rFonts w:hint="eastAsia" w:ascii="宋体" w:hAnsi="宋体" w:cs="宋体"/>
                <w:color w:val="auto"/>
                <w:szCs w:val="21"/>
                <w:highlight w:val="none"/>
              </w:rPr>
              <w:t>。</w:t>
            </w:r>
          </w:p>
          <w:p w14:paraId="75DA4F2F">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（二）云存储软件服务需求</w:t>
            </w:r>
          </w:p>
          <w:p w14:paraId="10267EF1">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1、云存储服务</w:t>
            </w:r>
          </w:p>
          <w:p w14:paraId="25484494">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（1）支持视频存储管理子系统，负责视频的存储、检索、回放和下载；可支持不低于</w:t>
            </w:r>
            <w:r>
              <w:rPr>
                <w:rFonts w:hint="eastAsia" w:ascii="宋体" w:hAnsi="宋体" w:cs="宋体"/>
                <w:color w:val="auto"/>
                <w:szCs w:val="21"/>
                <w:highlight w:val="none"/>
                <w:lang w:val="en-US" w:eastAsia="zh-CN"/>
              </w:rPr>
              <w:t>600</w:t>
            </w:r>
            <w:r>
              <w:rPr>
                <w:rFonts w:hint="eastAsia" w:ascii="宋体" w:hAnsi="宋体" w:cs="宋体"/>
                <w:color w:val="auto"/>
                <w:szCs w:val="21"/>
                <w:highlight w:val="none"/>
              </w:rPr>
              <w:t>路存储规模，具备良好的伸缩性。</w:t>
            </w:r>
          </w:p>
          <w:p w14:paraId="00B36770">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（2）视频文件在云端的保存期限不低于30天。</w:t>
            </w:r>
          </w:p>
          <w:p w14:paraId="00DD97E1">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（3）最大能够同时支持不低于</w:t>
            </w:r>
            <w:r>
              <w:rPr>
                <w:rFonts w:hint="eastAsia" w:ascii="宋体" w:hAnsi="宋体" w:cs="宋体"/>
                <w:color w:val="auto"/>
                <w:szCs w:val="21"/>
                <w:highlight w:val="none"/>
                <w:lang w:val="en-US" w:eastAsia="zh-CN"/>
              </w:rPr>
              <w:t>600</w:t>
            </w:r>
            <w:r>
              <w:rPr>
                <w:rFonts w:hint="eastAsia" w:ascii="宋体" w:hAnsi="宋体" w:cs="宋体"/>
                <w:color w:val="auto"/>
                <w:szCs w:val="21"/>
                <w:highlight w:val="none"/>
              </w:rPr>
              <w:t>路设备视频文件的上传和回放。</w:t>
            </w:r>
          </w:p>
          <w:p w14:paraId="097E5475">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（4）文件传输支持采用AES256</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rPr>
              <w:t>算法加密传输</w:t>
            </w:r>
            <w:r>
              <w:rPr>
                <w:rFonts w:hint="eastAsia" w:ascii="宋体" w:hAnsi="宋体" w:cs="宋体"/>
                <w:color w:val="auto"/>
                <w:szCs w:val="21"/>
                <w:highlight w:val="none"/>
                <w:lang w:eastAsia="zh-CN"/>
              </w:rPr>
              <w:t>，保障数据传输和存储的安全</w:t>
            </w:r>
            <w:r>
              <w:rPr>
                <w:rFonts w:hint="eastAsia" w:ascii="宋体" w:hAnsi="宋体" w:cs="宋体"/>
                <w:color w:val="auto"/>
                <w:szCs w:val="21"/>
                <w:highlight w:val="none"/>
              </w:rPr>
              <w:t>。</w:t>
            </w:r>
          </w:p>
          <w:p w14:paraId="7D9FC8FE">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（5）文件上传云端的过程中，支持失败重传，在网络条件满足基本需求的情况下，保证文件能够上传到云端。</w:t>
            </w:r>
          </w:p>
          <w:p w14:paraId="4ECDF5A3">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2、云存储管理要求</w:t>
            </w:r>
          </w:p>
          <w:p w14:paraId="5417B0D0">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（1）能够提供高效灵活的空间管理，能根据负载均衡算法提供全高效并发处理机制，提高系统的整体性能，支持存储资源虚拟化和在线扩展。</w:t>
            </w:r>
          </w:p>
          <w:p w14:paraId="5A6D51C0">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（2）能够提供海量数据的快速检索，</w:t>
            </w:r>
            <w:r>
              <w:rPr>
                <w:rFonts w:hint="eastAsia" w:ascii="宋体" w:hAnsi="宋体" w:cs="宋体"/>
                <w:color w:val="auto"/>
                <w:szCs w:val="21"/>
                <w:highlight w:val="none"/>
                <w:lang w:val="en-US" w:eastAsia="zh-CN"/>
              </w:rPr>
              <w:t>提供布控、模糊找人、找车等功能，</w:t>
            </w:r>
            <w:r>
              <w:rPr>
                <w:rFonts w:hint="eastAsia" w:ascii="宋体" w:hAnsi="宋体" w:cs="宋体"/>
                <w:color w:val="auto"/>
                <w:szCs w:val="21"/>
                <w:highlight w:val="none"/>
              </w:rPr>
              <w:t>所有与用户业务相关的索引信息统一由视频云存储系统的视频云存储管理节点或者集群进行管理。</w:t>
            </w:r>
          </w:p>
          <w:p w14:paraId="78D73D18">
            <w:pPr>
              <w:keepNext w:val="0"/>
              <w:keepLines w:val="0"/>
              <w:suppressLineNumbers w:val="0"/>
              <w:shd w:val="clear" w:fill="FFFFFF" w:themeFill="background1"/>
              <w:spacing w:before="0" w:beforeAutospacing="0" w:after="0" w:afterAutospacing="0" w:line="360" w:lineRule="auto"/>
              <w:ind w:left="0" w:right="0"/>
              <w:jc w:val="left"/>
              <w:rPr>
                <w:rFonts w:hint="eastAsia"/>
                <w:color w:val="auto"/>
                <w:highlight w:val="none"/>
              </w:rPr>
            </w:pPr>
            <w:r>
              <w:rPr>
                <w:rFonts w:hint="eastAsia" w:ascii="宋体" w:hAnsi="宋体" w:cs="宋体"/>
                <w:color w:val="auto"/>
                <w:szCs w:val="21"/>
                <w:highlight w:val="none"/>
              </w:rPr>
              <w:t>（3）能够提供持续可靠的数据服务，充分保护数据安全和可靠性。云存储对外提供登录、认证接口，保证系统安全性。</w:t>
            </w:r>
          </w:p>
          <w:p w14:paraId="236050D8">
            <w:pPr>
              <w:keepNext w:val="0"/>
              <w:keepLines w:val="0"/>
              <w:suppressLineNumbers w:val="0"/>
              <w:shd w:val="clear" w:fill="FFFFFF" w:themeFill="background1"/>
              <w:spacing w:before="0" w:beforeAutospacing="0" w:after="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（4）能够提供高可扩展的应用支撑，</w:t>
            </w:r>
            <w:r>
              <w:rPr>
                <w:rFonts w:hint="eastAsia" w:ascii="宋体" w:hAnsi="宋体" w:cs="宋体"/>
                <w:color w:val="auto"/>
                <w:szCs w:val="21"/>
                <w:highlight w:val="none"/>
                <w:lang w:val="en-US" w:eastAsia="zh-CN"/>
              </w:rPr>
              <w:t>在采购人业务需求不断发展的趋势下，可</w:t>
            </w:r>
            <w:r>
              <w:rPr>
                <w:rFonts w:hint="eastAsia" w:ascii="宋体" w:hAnsi="宋体" w:cs="宋体"/>
                <w:color w:val="auto"/>
                <w:szCs w:val="21"/>
                <w:highlight w:val="none"/>
              </w:rPr>
              <w:t>不断地为用户提供高效、灵活、可靠的专业级存储服务。</w:t>
            </w:r>
          </w:p>
          <w:p w14:paraId="48FE4A9D">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（5）能够提供自动分层存储，并可实现快速访问。</w:t>
            </w:r>
          </w:p>
          <w:p w14:paraId="531ACE2D">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（6）能够提供License授权限制，支持管理License 授权控制，可限制云存储系统的授权时间、最大接入计划数量、存储节点数量、存储容量、资源池数量等；支持账户冻结、有效期、有效时间段及MAC 地址绑定等安全属性的设定；支持对用户（组）设定各设备节点的访问权限以及各业务功能的应用权限。</w:t>
            </w:r>
          </w:p>
          <w:p w14:paraId="57D0CCA8">
            <w:pPr>
              <w:pStyle w:val="2"/>
              <w:keepNext w:val="0"/>
              <w:keepLines w:val="0"/>
              <w:pageBreakBefore w:val="0"/>
              <w:widowControl w:val="0"/>
              <w:suppressLineNumbers w:val="0"/>
              <w:shd w:val="clear" w:fill="FFFFFF" w:themeFill="background1"/>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w:t>
            </w:r>
            <w:r>
              <w:rPr>
                <w:rFonts w:hint="eastAsia" w:ascii="宋体" w:hAnsi="宋体" w:cs="宋体"/>
                <w:color w:val="auto"/>
                <w:kern w:val="2"/>
                <w:sz w:val="21"/>
                <w:szCs w:val="21"/>
                <w:highlight w:val="none"/>
                <w:lang w:val="en-US" w:eastAsia="zh-CN" w:bidi="ar-SA"/>
              </w:rPr>
              <w:t>提供</w:t>
            </w:r>
            <w:r>
              <w:rPr>
                <w:rFonts w:hint="eastAsia" w:ascii="宋体" w:hAnsi="宋体" w:eastAsia="宋体" w:cs="宋体"/>
                <w:color w:val="auto"/>
                <w:kern w:val="2"/>
                <w:sz w:val="21"/>
                <w:szCs w:val="21"/>
                <w:highlight w:val="none"/>
                <w:lang w:val="en-US" w:eastAsia="zh-CN" w:bidi="ar-SA"/>
              </w:rPr>
              <w:t>包括告警管理、用户管理、设备管理、组织节点管理、权限管理等</w:t>
            </w:r>
            <w:r>
              <w:rPr>
                <w:rFonts w:hint="eastAsia" w:ascii="宋体" w:hAnsi="宋体" w:cs="宋体"/>
                <w:color w:val="auto"/>
                <w:kern w:val="2"/>
                <w:sz w:val="21"/>
                <w:szCs w:val="21"/>
                <w:highlight w:val="none"/>
                <w:lang w:val="en-US" w:eastAsia="zh-CN" w:bidi="ar-SA"/>
              </w:rPr>
              <w:t>功能。</w:t>
            </w:r>
          </w:p>
          <w:p w14:paraId="5742DFC0">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3、云存储运维服务</w:t>
            </w:r>
          </w:p>
          <w:p w14:paraId="53362A42">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（1）系统管理设置</w:t>
            </w:r>
          </w:p>
          <w:p w14:paraId="693A0982">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支持对服务、用户、操作日志和版本等信息进行管理；支持对采集计划、告警通知、黑名单、网络管理、校时服务器设置等操作管理。</w:t>
            </w:r>
          </w:p>
          <w:p w14:paraId="775ADFB3">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（2）监控信息采集</w:t>
            </w:r>
          </w:p>
          <w:p w14:paraId="53687DF1">
            <w:pPr>
              <w:keepNext w:val="0"/>
              <w:keepLines w:val="0"/>
              <w:suppressLineNumbers w:val="0"/>
              <w:shd w:val="clear" w:fill="FFFFFF" w:themeFill="background1"/>
              <w:spacing w:before="0" w:beforeAutospacing="0" w:after="0" w:afterAutospacing="0" w:line="360" w:lineRule="auto"/>
              <w:ind w:left="0" w:right="0"/>
              <w:jc w:val="left"/>
              <w:rPr>
                <w:rFonts w:hint="eastAsia"/>
                <w:color w:val="auto"/>
                <w:highlight w:val="none"/>
              </w:rPr>
            </w:pPr>
            <w:r>
              <w:rPr>
                <w:rFonts w:hint="eastAsia" w:ascii="宋体" w:hAnsi="宋体" w:cs="宋体"/>
                <w:color w:val="auto"/>
                <w:szCs w:val="21"/>
                <w:highlight w:val="none"/>
              </w:rPr>
              <w:t>支持对视频云存储硬件、软件和系统三大模块的信息采集。包括对云健康值、系统压力、云空间信息、硬件节点（CPU、内存使用率）、监控点位、硬盘等信息进行实行采集；支持录像巡检业务，可按日历、月历查询点位录像巡检信息。</w:t>
            </w:r>
          </w:p>
          <w:p w14:paraId="392C64D4">
            <w:pPr>
              <w:keepNext w:val="0"/>
              <w:keepLines w:val="0"/>
              <w:suppressLineNumbers w:val="0"/>
              <w:shd w:val="clear" w:fill="FFFFFF" w:themeFill="background1"/>
              <w:spacing w:before="0" w:beforeAutospacing="0" w:after="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（3）告警信息管理</w:t>
            </w:r>
          </w:p>
          <w:p w14:paraId="5973AD17">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支持对视频云存储软、硬件告警信息管理查询。支持对服务进程、使用空间、硬件节点、监控点位等告警信息采集统计，告警信息可通过邮件、短信和语音方式通知维护人员。</w:t>
            </w:r>
          </w:p>
          <w:p w14:paraId="135317D9">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（4）统计分析管理</w:t>
            </w:r>
          </w:p>
          <w:p w14:paraId="3543C626">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支持对视频云存储可用空间、云压力、节点设备、录像巡检等信息状态进行统计分析；支持对通用告警信息进行统计分析。统计分析信息支持柱状、饼状等多方式进行展现。</w:t>
            </w:r>
          </w:p>
          <w:p w14:paraId="46A76701">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4、云存储能力要求</w:t>
            </w:r>
          </w:p>
          <w:p w14:paraId="58D0C869">
            <w:pPr>
              <w:keepNext w:val="0"/>
              <w:keepLines w:val="0"/>
              <w:suppressLineNumbers w:val="0"/>
              <w:shd w:val="clear" w:fill="FFFFFF" w:themeFill="background1"/>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bCs/>
                <w:color w:val="auto"/>
                <w:szCs w:val="21"/>
                <w:highlight w:val="none"/>
              </w:rPr>
              <w:t>▲</w:t>
            </w:r>
            <w:r>
              <w:rPr>
                <w:rFonts w:hint="eastAsia" w:ascii="宋体" w:hAnsi="宋体" w:cs="宋体"/>
                <w:color w:val="auto"/>
                <w:szCs w:val="21"/>
                <w:highlight w:val="none"/>
              </w:rPr>
              <w:t>（1）支持平台轻服务模式，平台大量使用具备千万级别公有云平台的设备接入转发能力，在本地化部署的时候可以做到轻量部署、轻量运维。</w:t>
            </w:r>
          </w:p>
          <w:p w14:paraId="3D769E2F">
            <w:pPr>
              <w:keepNext w:val="0"/>
              <w:keepLines w:val="0"/>
              <w:widowControl/>
              <w:suppressLineNumbers w:val="0"/>
              <w:shd w:val="clear" w:fill="FFFFFF" w:themeFill="background1"/>
              <w:spacing w:before="0" w:beforeAutospacing="0" w:after="0" w:afterAutospacing="0" w:line="400" w:lineRule="exact"/>
              <w:ind w:left="0" w:right="0"/>
              <w:jc w:val="left"/>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宋体" w:hAnsi="宋体" w:cs="宋体"/>
                <w:bCs/>
                <w:color w:val="auto"/>
                <w:szCs w:val="21"/>
                <w:highlight w:val="none"/>
              </w:rPr>
              <w:t>▲</w:t>
            </w:r>
            <w:r>
              <w:rPr>
                <w:rFonts w:hint="eastAsia" w:ascii="宋体" w:hAnsi="宋体" w:cs="宋体"/>
                <w:color w:val="auto"/>
                <w:szCs w:val="21"/>
                <w:highlight w:val="none"/>
              </w:rPr>
              <w:t>（2）要求平台采用SSL/HTTPS/SHA265+挑战码等技术手段，能从架构层面考虑安全性需求，实现安全可靠。</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272AC19F">
            <w:pPr>
              <w:pStyle w:val="3"/>
              <w:keepNext w:val="0"/>
              <w:keepLines w:val="0"/>
              <w:suppressLineNumbers w:val="0"/>
              <w:shd w:val="clear" w:fill="FFFFFF" w:themeFill="background1"/>
              <w:tabs>
                <w:tab w:val="left" w:pos="312"/>
              </w:tabs>
              <w:spacing w:before="0" w:beforeAutospacing="0" w:afterAutospacing="0"/>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897</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7A81BF6">
            <w:pPr>
              <w:pStyle w:val="3"/>
              <w:keepNext w:val="0"/>
              <w:keepLines w:val="0"/>
              <w:suppressLineNumbers w:val="0"/>
              <w:shd w:val="clear" w:fill="FFFFFF" w:themeFill="background1"/>
              <w:tabs>
                <w:tab w:val="left" w:pos="312"/>
              </w:tabs>
              <w:spacing w:before="0" w:beforeAutospacing="0" w:afterAutospacing="0"/>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36</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1A7983DD">
            <w:pPr>
              <w:pStyle w:val="3"/>
              <w:keepNext w:val="0"/>
              <w:keepLines w:val="0"/>
              <w:suppressLineNumbers w:val="0"/>
              <w:shd w:val="clear" w:fill="FFFFFF" w:themeFill="background1"/>
              <w:tabs>
                <w:tab w:val="left" w:pos="312"/>
              </w:tabs>
              <w:spacing w:before="0" w:beforeAutospacing="0" w:afterAutospacing="0"/>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32292</w:t>
            </w:r>
          </w:p>
        </w:tc>
        <w:tc>
          <w:tcPr>
            <w:tcW w:w="353" w:type="pct"/>
            <w:tcBorders>
              <w:top w:val="single" w:color="auto" w:sz="4" w:space="0"/>
              <w:left w:val="single" w:color="auto" w:sz="4" w:space="0"/>
              <w:bottom w:val="single" w:color="auto" w:sz="4" w:space="0"/>
              <w:right w:val="single" w:color="auto" w:sz="4" w:space="0"/>
            </w:tcBorders>
            <w:noWrap w:val="0"/>
            <w:vAlign w:val="center"/>
          </w:tcPr>
          <w:p w14:paraId="6FB0175A">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shd w:val="clear" w:color="auto"/>
                <w:lang w:val="en-US" w:eastAsia="zh-CN"/>
              </w:rPr>
              <w:t>含设备费、安装费、维护费</w:t>
            </w:r>
          </w:p>
        </w:tc>
      </w:tr>
      <w:bookmarkEnd w:id="0"/>
      <w:tr w14:paraId="38BA416B">
        <w:tblPrEx>
          <w:tblCellMar>
            <w:top w:w="0" w:type="dxa"/>
            <w:left w:w="108" w:type="dxa"/>
            <w:bottom w:w="0" w:type="dxa"/>
            <w:right w:w="108" w:type="dxa"/>
          </w:tblCellMar>
        </w:tblPrEx>
        <w:trPr>
          <w:trHeight w:val="349" w:hRule="atLeast"/>
        </w:trPr>
        <w:tc>
          <w:tcPr>
            <w:tcW w:w="241" w:type="pct"/>
            <w:gridSpan w:val="2"/>
            <w:vMerge w:val="continue"/>
            <w:tcBorders>
              <w:left w:val="single" w:color="auto" w:sz="4" w:space="0"/>
              <w:bottom w:val="single" w:color="auto" w:sz="4" w:space="0"/>
              <w:right w:val="single" w:color="auto" w:sz="4" w:space="0"/>
            </w:tcBorders>
            <w:noWrap/>
            <w:vAlign w:val="center"/>
          </w:tcPr>
          <w:p w14:paraId="5B8B0E00">
            <w:pPr>
              <w:keepNext w:val="0"/>
              <w:keepLines w:val="0"/>
              <w:suppressLineNumbers w:val="0"/>
              <w:shd w:val="clear" w:fill="FFFFFF" w:themeFill="background1"/>
              <w:spacing w:before="0" w:beforeAutospacing="0" w:after="0" w:afterAutospacing="0" w:line="300" w:lineRule="exact"/>
              <w:ind w:left="0" w:right="0"/>
              <w:jc w:val="center"/>
              <w:textAlignment w:val="center"/>
              <w:rPr>
                <w:rFonts w:hint="default" w:ascii="宋体" w:hAnsi="宋体" w:cs="宋体"/>
                <w:b/>
                <w:bCs/>
                <w:color w:val="auto"/>
                <w:szCs w:val="21"/>
                <w:highlight w:val="none"/>
              </w:rPr>
            </w:pPr>
          </w:p>
        </w:tc>
        <w:tc>
          <w:tcPr>
            <w:tcW w:w="369" w:type="pct"/>
            <w:tcBorders>
              <w:top w:val="single" w:color="auto" w:sz="4" w:space="0"/>
              <w:left w:val="single" w:color="auto" w:sz="4" w:space="0"/>
              <w:bottom w:val="single" w:color="auto" w:sz="4" w:space="0"/>
              <w:right w:val="single" w:color="auto" w:sz="4" w:space="0"/>
            </w:tcBorders>
            <w:noWrap/>
            <w:vAlign w:val="center"/>
          </w:tcPr>
          <w:p w14:paraId="195A8D69">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eastAsia="zh-CN"/>
              </w:rPr>
            </w:pPr>
          </w:p>
        </w:tc>
        <w:tc>
          <w:tcPr>
            <w:tcW w:w="539" w:type="pct"/>
            <w:tcBorders>
              <w:top w:val="single" w:color="auto" w:sz="4" w:space="0"/>
              <w:left w:val="single" w:color="auto" w:sz="4" w:space="0"/>
              <w:bottom w:val="single" w:color="auto" w:sz="4" w:space="0"/>
              <w:right w:val="single" w:color="auto" w:sz="4" w:space="0"/>
            </w:tcBorders>
            <w:noWrap/>
            <w:vAlign w:val="center"/>
          </w:tcPr>
          <w:p w14:paraId="0DB051FE">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rPr>
            </w:pPr>
          </w:p>
        </w:tc>
        <w:tc>
          <w:tcPr>
            <w:tcW w:w="2090" w:type="pct"/>
            <w:tcBorders>
              <w:top w:val="single" w:color="auto" w:sz="4" w:space="0"/>
              <w:left w:val="single" w:color="auto" w:sz="4" w:space="0"/>
              <w:bottom w:val="single" w:color="auto" w:sz="4" w:space="0"/>
              <w:right w:val="single" w:color="auto" w:sz="4" w:space="0"/>
            </w:tcBorders>
            <w:noWrap w:val="0"/>
            <w:vAlign w:val="center"/>
          </w:tcPr>
          <w:p w14:paraId="5E126992">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rPr>
            </w:pPr>
          </w:p>
        </w:tc>
        <w:tc>
          <w:tcPr>
            <w:tcW w:w="839" w:type="pct"/>
            <w:gridSpan w:val="2"/>
            <w:tcBorders>
              <w:top w:val="single" w:color="auto" w:sz="4" w:space="0"/>
              <w:left w:val="single" w:color="auto" w:sz="4" w:space="0"/>
              <w:bottom w:val="single" w:color="auto" w:sz="4" w:space="0"/>
              <w:right w:val="single" w:color="auto" w:sz="4" w:space="0"/>
            </w:tcBorders>
            <w:noWrap w:val="0"/>
            <w:vAlign w:val="center"/>
          </w:tcPr>
          <w:p w14:paraId="0CCC6BFE">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合计</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233CC2AD">
            <w:pPr>
              <w:pStyle w:val="3"/>
              <w:keepNext w:val="0"/>
              <w:keepLines w:val="0"/>
              <w:suppressLineNumbers w:val="0"/>
              <w:shd w:val="clear" w:fill="FFFFFF" w:themeFill="background1"/>
              <w:tabs>
                <w:tab w:val="left" w:pos="312"/>
              </w:tabs>
              <w:spacing w:before="0" w:beforeAutospacing="0" w:afterAutospacing="0"/>
              <w:ind w:left="0" w:right="0"/>
              <w:rPr>
                <w:rFonts w:hint="default"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32292</w:t>
            </w:r>
          </w:p>
        </w:tc>
        <w:tc>
          <w:tcPr>
            <w:tcW w:w="353" w:type="pct"/>
            <w:tcBorders>
              <w:top w:val="single" w:color="auto" w:sz="4" w:space="0"/>
              <w:left w:val="single" w:color="auto" w:sz="4" w:space="0"/>
              <w:bottom w:val="single" w:color="auto" w:sz="4" w:space="0"/>
              <w:right w:val="single" w:color="auto" w:sz="4" w:space="0"/>
            </w:tcBorders>
            <w:noWrap w:val="0"/>
            <w:vAlign w:val="center"/>
          </w:tcPr>
          <w:p w14:paraId="59E6B8F3">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rPr>
            </w:pPr>
          </w:p>
        </w:tc>
      </w:tr>
      <w:tr w14:paraId="7B26ED5A">
        <w:tblPrEx>
          <w:tblCellMar>
            <w:top w:w="0" w:type="dxa"/>
            <w:left w:w="108" w:type="dxa"/>
            <w:bottom w:w="0" w:type="dxa"/>
            <w:right w:w="108" w:type="dxa"/>
          </w:tblCellMar>
        </w:tblPrEx>
        <w:trPr>
          <w:trHeight w:val="2553" w:hRule="atLeast"/>
        </w:trPr>
        <w:tc>
          <w:tcPr>
            <w:tcW w:w="225" w:type="pct"/>
            <w:tcBorders>
              <w:top w:val="single" w:color="auto" w:sz="4" w:space="0"/>
              <w:left w:val="single" w:color="auto" w:sz="4" w:space="0"/>
              <w:bottom w:val="single" w:color="auto" w:sz="4" w:space="0"/>
              <w:right w:val="single" w:color="auto" w:sz="4" w:space="0"/>
            </w:tcBorders>
            <w:noWrap/>
            <w:vAlign w:val="center"/>
          </w:tcPr>
          <w:p w14:paraId="0C8A9025">
            <w:pPr>
              <w:keepNext w:val="0"/>
              <w:keepLines w:val="0"/>
              <w:suppressLineNumbers w:val="0"/>
              <w:shd w:val="clear" w:fill="FFFFFF" w:themeFill="background1"/>
              <w:spacing w:before="0" w:beforeAutospacing="0" w:after="0" w:afterAutospacing="0" w:line="300" w:lineRule="exact"/>
              <w:ind w:left="0" w:right="0"/>
              <w:jc w:val="center"/>
              <w:textAlignment w:val="center"/>
              <w:rPr>
                <w:rFonts w:hint="default"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商务条款</w:t>
            </w:r>
          </w:p>
        </w:tc>
        <w:tc>
          <w:tcPr>
            <w:tcW w:w="4421" w:type="pct"/>
            <w:gridSpan w:val="7"/>
            <w:tcBorders>
              <w:top w:val="single" w:color="auto" w:sz="4" w:space="0"/>
              <w:left w:val="single" w:color="auto" w:sz="4" w:space="0"/>
              <w:bottom w:val="single" w:color="auto" w:sz="4" w:space="0"/>
              <w:right w:val="single" w:color="auto" w:sz="4" w:space="0"/>
            </w:tcBorders>
            <w:noWrap/>
            <w:vAlign w:val="center"/>
          </w:tcPr>
          <w:p w14:paraId="0FEF2028">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一、合同签订期限：</w:t>
            </w:r>
            <w:r>
              <w:rPr>
                <w:rFonts w:hint="eastAsia" w:ascii="仿宋_GB2312" w:hAnsi="仿宋_GB2312" w:eastAsia="仿宋_GB2312" w:cs="仿宋_GB2312"/>
                <w:color w:val="auto"/>
                <w:sz w:val="24"/>
                <w:szCs w:val="24"/>
                <w:highlight w:val="none"/>
                <w:lang w:val="en-US" w:eastAsia="zh-CN"/>
              </w:rPr>
              <w:t>自成交通知书发出之日起 25 个日历日内，</w:t>
            </w:r>
            <w:r>
              <w:rPr>
                <w:rFonts w:hint="eastAsia" w:ascii="仿宋_GB2312" w:hAnsi="仿宋_GB2312" w:eastAsia="仿宋_GB2312" w:cs="仿宋_GB2312"/>
                <w:color w:val="auto"/>
                <w:sz w:val="24"/>
                <w:szCs w:val="24"/>
                <w:highlight w:val="none"/>
              </w:rPr>
              <w:t>与甲方完成本合同的签订</w:t>
            </w:r>
            <w:r>
              <w:rPr>
                <w:rFonts w:hint="eastAsia" w:ascii="仿宋_GB2312" w:hAnsi="仿宋_GB2312" w:eastAsia="仿宋_GB2312" w:cs="仿宋_GB2312"/>
                <w:color w:val="auto"/>
                <w:sz w:val="24"/>
                <w:szCs w:val="24"/>
                <w:highlight w:val="none"/>
                <w:lang w:val="en-US" w:eastAsia="zh-CN"/>
              </w:rPr>
              <w:t>。</w:t>
            </w:r>
          </w:p>
          <w:p w14:paraId="76927669">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二、交付期限：</w:t>
            </w:r>
            <w:r>
              <w:rPr>
                <w:rFonts w:hint="eastAsia" w:ascii="仿宋_GB2312" w:hAnsi="仿宋_GB2312" w:eastAsia="仿宋_GB2312" w:cs="仿宋_GB2312"/>
                <w:color w:val="auto"/>
                <w:sz w:val="24"/>
                <w:szCs w:val="24"/>
                <w:highlight w:val="none"/>
                <w:lang w:val="en-US" w:eastAsia="zh-CN"/>
              </w:rPr>
              <w:t>自签订合同之日起25天内完成交付。</w:t>
            </w:r>
          </w:p>
          <w:p w14:paraId="7CC34317">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三、服务期限：36</w:t>
            </w:r>
            <w:r>
              <w:rPr>
                <w:rFonts w:hint="eastAsia" w:ascii="仿宋_GB2312" w:hAnsi="仿宋_GB2312" w:eastAsia="仿宋_GB2312" w:cs="仿宋_GB2312"/>
                <w:color w:val="auto"/>
                <w:sz w:val="24"/>
                <w:szCs w:val="24"/>
                <w:highlight w:val="none"/>
                <w:lang w:val="en-US" w:eastAsia="zh-CN"/>
              </w:rPr>
              <w:t>个月。</w:t>
            </w:r>
          </w:p>
          <w:p w14:paraId="7AE66E95">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四、交付地点：</w:t>
            </w:r>
            <w:r>
              <w:rPr>
                <w:rFonts w:hint="eastAsia" w:ascii="仿宋_GB2312" w:hAnsi="仿宋_GB2312" w:eastAsia="仿宋_GB2312" w:cs="仿宋_GB2312"/>
                <w:color w:val="auto"/>
                <w:sz w:val="24"/>
                <w:szCs w:val="24"/>
                <w:highlight w:val="none"/>
                <w:lang w:val="en-US" w:eastAsia="zh-CN"/>
              </w:rPr>
              <w:t>上林县乔贤镇第一初级中学指定地点。</w:t>
            </w:r>
          </w:p>
          <w:p w14:paraId="1A84EBDC">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五、售后服务要求：</w:t>
            </w:r>
            <w:bookmarkStart w:id="1" w:name="_GoBack"/>
            <w:bookmarkEnd w:id="1"/>
          </w:p>
          <w:p w14:paraId="2F0C5B54">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1.服务期内，成交供应商对项目出现的各类问题进行修复、完善和升级，保证网络、通信畅通。</w:t>
            </w:r>
          </w:p>
          <w:p w14:paraId="5B0937C1">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2.按照国家相关规定实行“三包”，服务期内上门服务维修和备品备件更换服务。</w:t>
            </w:r>
          </w:p>
          <w:p w14:paraId="20AB419C">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shd w:val="clear" w:color="auto" w:fill="auto"/>
                <w:lang w:val="en-US" w:eastAsia="zh-CN"/>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shd w:val="clear" w:color="auto" w:fill="auto"/>
                <w:lang w:val="en-US" w:eastAsia="zh-CN"/>
              </w:rPr>
              <w:t>.故障响应时间：</w:t>
            </w:r>
          </w:p>
          <w:p w14:paraId="5F9E53CC">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shd w:val="clear" w:color="auto" w:fill="auto"/>
                <w:lang w:val="en-US" w:eastAsia="zh-CN"/>
              </w:rPr>
            </w:pPr>
            <w:r>
              <w:rPr>
                <w:rFonts w:hint="eastAsia" w:ascii="仿宋_GB2312" w:hAnsi="仿宋_GB2312" w:eastAsia="仿宋_GB2312" w:cs="仿宋_GB2312"/>
                <w:color w:val="auto"/>
                <w:sz w:val="24"/>
                <w:szCs w:val="24"/>
                <w:highlight w:val="none"/>
                <w:shd w:val="clear" w:color="auto" w:fill="auto"/>
                <w:lang w:val="en-US" w:eastAsia="zh-CN"/>
              </w:rPr>
              <w:t>（1）提供7X24小时售后服务；故障申告响应时限为30分钟；线路维护人员、设备备件到达现场时间小于2小时；故障恢复时限小于8小时；网络中断时可根据采购人需要提供详细的故障处理及分析报告；线路故障处理产生的所有费用均由供应商承担。</w:t>
            </w:r>
          </w:p>
          <w:p w14:paraId="743BFE20">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（2）在服务期内由成交供应商派出专家对本项目的设备和系统进行定期的例行检查。</w:t>
            </w:r>
          </w:p>
          <w:p w14:paraId="2FD8BB3E">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 服务期内，供应方不能满足服务需求的（包括但不仅限于线路稳定性、故障响应处理时间等）或出现故障超过3次且不能解决问题的，学校可以单方面解除服务合同，相关损失由供应方自行承担。</w:t>
            </w:r>
          </w:p>
          <w:p w14:paraId="18EE1790">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六、报价要求及付款方式：</w:t>
            </w:r>
          </w:p>
          <w:p w14:paraId="0C6D1028">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报价要求：本项目要求供应商报出总价，总价不得超过采购文件确定的最高限价。如有超出按无效文件处理。报价是履行合同的最终价格；供应商应对本项目的所有内容范围的货物及服务进行总承包报价；采购人不再支付任何费用，包含货物及服务采购、专用工具、标准附件、运输、保管、安装、验收、培训等各种费用和售后服务、税金及其它所有成本费用的总和。货物在交货前发生不可预见的风险均由成交人负责。</w:t>
            </w:r>
          </w:p>
          <w:p w14:paraId="5143069B">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2.付款方</w:t>
            </w:r>
            <w:r>
              <w:rPr>
                <w:rFonts w:hint="eastAsia" w:ascii="仿宋_GB2312" w:hAnsi="仿宋_GB2312" w:eastAsia="仿宋_GB2312" w:cs="仿宋_GB2312"/>
                <w:color w:val="auto"/>
                <w:sz w:val="24"/>
                <w:szCs w:val="24"/>
                <w:highlight w:val="none"/>
                <w:lang w:val="en-US" w:eastAsia="zh-CN"/>
              </w:rPr>
              <w:t>式:本项目无预付款，双方在验收清单上签字盖章确认后，采购人按月付合同款。</w:t>
            </w:r>
          </w:p>
          <w:p w14:paraId="6C164A15">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七、验收要求：</w:t>
            </w:r>
          </w:p>
          <w:p w14:paraId="62847AFE">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验收依据：根据采购文件的相关要求、国家相关法律法规、标准和规范等。</w:t>
            </w:r>
          </w:p>
          <w:p w14:paraId="63D03318">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八、其他要求</w:t>
            </w:r>
          </w:p>
          <w:p w14:paraId="367646F8">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▲1、成交供应商使用的专线传输技术获得过省级及以上科学技术奖项（中标后须提供有效证书复印件，采购人签订合同前将查验，无法提供者采购人有权按虚假应标处理）；</w:t>
            </w:r>
          </w:p>
          <w:p w14:paraId="36C2983F">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为保障服务期内大规模网络割接、故障紧急抢修及突发流量调度等复杂场景下的业务连续性与响应时效，要求中标人在本地（南宁）现网实际运维的网元规模不少于15000个，并具备在本地实施大规模网络组网及运维保障的能力。（中标后2个工作日内提供本地网络现网网管系统的网元列表截图，并加盖投标人公章）；。</w:t>
            </w:r>
          </w:p>
          <w:p w14:paraId="14CD2692">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▲3、中标人或其上级机构需获得GB／T23793＆GB／T33456供应商综合能力服务认证证书（中标后提供有效证书复印件，无法提供则视为虚假应标，采购人有权进行废标处理并追究该投标人相关法律责任）。</w:t>
            </w:r>
          </w:p>
          <w:p w14:paraId="1BCF0AEF">
            <w:pPr>
              <w:pStyle w:val="3"/>
              <w:keepNext w:val="0"/>
              <w:keepLines w:val="0"/>
              <w:suppressLineNumbers w:val="0"/>
              <w:shd w:val="clear" w:fill="FFFFFF" w:themeFill="background1"/>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▲4、采购文件中标注“▲”号的条款为实质性条款或指标，要求必须满足或优于。若竞标人虚假竞标，采购人有权追究该竞标人相关法律责任。</w:t>
            </w:r>
          </w:p>
        </w:tc>
        <w:tc>
          <w:tcPr>
            <w:tcW w:w="353" w:type="pct"/>
            <w:tcBorders>
              <w:top w:val="single" w:color="auto" w:sz="4" w:space="0"/>
              <w:left w:val="single" w:color="auto" w:sz="4" w:space="0"/>
              <w:bottom w:val="single" w:color="auto" w:sz="4" w:space="0"/>
              <w:right w:val="single" w:color="auto" w:sz="4" w:space="0"/>
            </w:tcBorders>
            <w:noWrap/>
            <w:vAlign w:val="center"/>
          </w:tcPr>
          <w:p w14:paraId="320A3EEE">
            <w:pPr>
              <w:keepNext w:val="0"/>
              <w:keepLines w:val="0"/>
              <w:pageBreakBefore w:val="0"/>
              <w:suppressLineNumbers w:val="0"/>
              <w:shd w:val="clear" w:fill="FFFFFF" w:themeFill="background1"/>
              <w:kinsoku/>
              <w:wordWrap/>
              <w:overflowPunct/>
              <w:topLinePunct w:val="0"/>
              <w:autoSpaceDE/>
              <w:autoSpaceDN/>
              <w:bidi w:val="0"/>
              <w:adjustRightInd/>
              <w:snapToGrid/>
              <w:spacing w:before="0" w:beforeAutospacing="0" w:after="0" w:afterAutospacing="0" w:line="300" w:lineRule="exact"/>
              <w:ind w:left="0" w:right="0"/>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无</w:t>
            </w:r>
          </w:p>
        </w:tc>
      </w:tr>
    </w:tbl>
    <w:p w14:paraId="2718F9BB">
      <w:pPr>
        <w:shd w:val="clear" w:fill="FFFFFF" w:themeFill="background1"/>
        <w:rPr>
          <w:rFonts w:hint="eastAsia"/>
          <w:color w:val="auto"/>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AA1177"/>
    <w:rsid w:val="12FF664C"/>
    <w:rsid w:val="250A72B5"/>
    <w:rsid w:val="2E094674"/>
    <w:rsid w:val="34045846"/>
    <w:rsid w:val="3DAA1177"/>
    <w:rsid w:val="47D07803"/>
    <w:rsid w:val="6F7B43D0"/>
    <w:rsid w:val="7F680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next w:val="1"/>
    <w:unhideWhenUsed/>
    <w:qFormat/>
    <w:uiPriority w:val="99"/>
    <w:pPr>
      <w:tabs>
        <w:tab w:val="center" w:pos="4153"/>
        <w:tab w:val="right" w:pos="8306"/>
      </w:tabs>
      <w:snapToGrid w:val="0"/>
      <w:jc w:val="left"/>
    </w:pPr>
    <w:rPr>
      <w:sz w:val="18"/>
      <w:szCs w:val="18"/>
    </w:rPr>
  </w:style>
  <w:style w:type="paragraph" w:styleId="3">
    <w:name w:val="Body Text"/>
    <w:basedOn w:val="1"/>
    <w:unhideWhenUsed/>
    <w:qFormat/>
    <w:uiPriority w:val="0"/>
    <w:pPr>
      <w:spacing w:after="120"/>
    </w:pPr>
  </w:style>
  <w:style w:type="paragraph" w:customStyle="1" w:styleId="6">
    <w:name w:val="正文-公1"/>
    <w:basedOn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广西有限公司</Company>
  <Pages>7</Pages>
  <Words>0</Words>
  <Characters>0</Characters>
  <Lines>0</Lines>
  <Paragraphs>0</Paragraphs>
  <TotalTime>17</TotalTime>
  <ScaleCrop>false</ScaleCrop>
  <LinksUpToDate>false</LinksUpToDate>
  <CharactersWithSpaces>0</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2026-08-31T07:58:00Z</dcterms:created>
  <dc:creator>Administrator</dc:creator>
  <cp:lastModifiedBy>微微一信</cp:lastModifiedBy>
  <dcterms:modified xsi:type="dcterms:W3CDTF">2026-09-13T03:06:16Z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27F1B36D329C4B3885D07EDC5EB6A545_13</vt:lpwstr>
  </property>
</Properties>
</file>