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6361B">
      <w:pPr>
        <w:spacing w:line="360" w:lineRule="auto"/>
        <w:ind w:firstLine="200"/>
        <w:jc w:val="center"/>
        <w:rPr>
          <w:rFonts w:hint="eastAsia" w:ascii="宋体" w:hAnsi="宋体" w:eastAsia="宋体" w:cs="宋体"/>
          <w:b w:val="0"/>
          <w:bCs w:val="0"/>
          <w:color w:val="000000"/>
          <w:kern w:val="44"/>
          <w:sz w:val="44"/>
          <w:szCs w:val="44"/>
          <w:highlight w:val="none"/>
          <w:lang w:val="en-US" w:eastAsia="zh-CN" w:bidi="ar-SA"/>
        </w:rPr>
      </w:pPr>
    </w:p>
    <w:p w14:paraId="0CBB7ECC">
      <w:pPr>
        <w:pStyle w:val="6"/>
        <w:jc w:val="center"/>
        <w:rPr>
          <w:rFonts w:hint="eastAsia"/>
          <w:b/>
          <w:bCs/>
          <w:color w:val="auto"/>
          <w:lang w:eastAsia="zh-CN"/>
        </w:rPr>
      </w:pPr>
      <w:r>
        <w:rPr>
          <w:rFonts w:hint="eastAsia" w:ascii="宋体" w:hAnsi="宋体" w:eastAsia="宋体" w:cs="宋体"/>
          <w:b w:val="0"/>
          <w:bCs w:val="0"/>
          <w:color w:val="auto"/>
          <w:kern w:val="44"/>
          <w:sz w:val="44"/>
          <w:szCs w:val="44"/>
          <w:highlight w:val="none"/>
          <w:lang w:val="en-US" w:eastAsia="zh-CN" w:bidi="ar-SA"/>
        </w:rPr>
        <w:t>上林县乔贤镇第一初级中学AI监控网络接入服务竞价公告</w:t>
      </w:r>
    </w:p>
    <w:p w14:paraId="661F151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项目基本情况</w:t>
      </w:r>
    </w:p>
    <w:p w14:paraId="1ABB75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采购方式：政采云平台-在线询价</w:t>
      </w:r>
    </w:p>
    <w:p w14:paraId="39369194">
      <w:pPr>
        <w:keepNext w:val="0"/>
        <w:keepLines w:val="0"/>
        <w:pageBreakBefore w:val="0"/>
        <w:widowControl w:val="0"/>
        <w:kinsoku/>
        <w:wordWrap/>
        <w:overflowPunct/>
        <w:topLinePunct w:val="0"/>
        <w:autoSpaceDE/>
        <w:autoSpaceDN/>
        <w:bidi w:val="0"/>
        <w:adjustRightInd/>
        <w:snapToGrid/>
        <w:spacing w:line="560" w:lineRule="exact"/>
        <w:ind w:left="2558" w:leftChars="304" w:hanging="1920" w:hangingChars="600"/>
        <w:jc w:val="both"/>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项目名称：</w:t>
      </w:r>
      <w:r>
        <w:rPr>
          <w:rFonts w:hint="eastAsia" w:ascii="仿宋_GB2312" w:hAnsi="仿宋_GB2312" w:eastAsia="仿宋_GB2312" w:cs="仿宋_GB2312"/>
          <w:color w:val="auto"/>
          <w:sz w:val="32"/>
          <w:szCs w:val="32"/>
          <w:lang w:val="en-US" w:eastAsia="zh-CN"/>
        </w:rPr>
        <w:t>上林县乔贤镇第一初级中学AI监控网络接入服务</w:t>
      </w:r>
      <w:r>
        <w:rPr>
          <w:rFonts w:hint="eastAsia" w:ascii="仿宋_GB2312" w:hAnsi="仿宋_GB2312" w:eastAsia="仿宋_GB2312" w:cs="仿宋_GB2312"/>
          <w:color w:val="auto"/>
          <w:sz w:val="32"/>
          <w:szCs w:val="32"/>
          <w:lang w:val="zh-CN" w:eastAsia="zh-CN"/>
        </w:rPr>
        <w:t>采购项目</w:t>
      </w:r>
    </w:p>
    <w:p w14:paraId="28D507F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none"/>
          <w:lang w:val="en-US" w:eastAsia="zh-CN"/>
        </w:rPr>
        <w:t>3.采购</w:t>
      </w:r>
      <w:r>
        <w:rPr>
          <w:rFonts w:hint="eastAsia" w:ascii="仿宋_GB2312" w:hAnsi="仿宋_GB2312" w:eastAsia="仿宋_GB2312" w:cs="仿宋_GB2312"/>
          <w:color w:val="auto"/>
          <w:sz w:val="32"/>
          <w:szCs w:val="32"/>
          <w:highlight w:val="none"/>
          <w:lang w:eastAsia="zh-CN"/>
        </w:rPr>
        <w:t>控制价：</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32292</w:t>
      </w:r>
      <w:r>
        <w:rPr>
          <w:rFonts w:hint="eastAsia" w:ascii="仿宋_GB2312" w:hAnsi="仿宋_GB2312" w:eastAsia="仿宋_GB2312" w:cs="仿宋_GB2312"/>
          <w:color w:val="auto"/>
          <w:sz w:val="32"/>
          <w:szCs w:val="32"/>
          <w:highlight w:val="none"/>
          <w:u w:val="none"/>
        </w:rPr>
        <w:t>元（人民币</w:t>
      </w:r>
      <w:r>
        <w:rPr>
          <w:rFonts w:hint="eastAsia" w:ascii="仿宋_GB2312" w:hAnsi="仿宋_GB2312" w:eastAsia="仿宋_GB2312" w:cs="仿宋_GB2312"/>
          <w:color w:val="auto"/>
          <w:sz w:val="32"/>
          <w:szCs w:val="32"/>
          <w:highlight w:val="none"/>
          <w:u w:val="none"/>
          <w:lang w:eastAsia="zh-CN"/>
        </w:rPr>
        <w:t>叁万贰仟贰佰玖拾贰元整）</w:t>
      </w:r>
    </w:p>
    <w:p w14:paraId="39CD3C4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.供应商基本要求：</w:t>
      </w:r>
    </w:p>
    <w:p w14:paraId="4544A67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（1）在中华人民共和国境内依法注册的合法企业或其分支机构，提供有效的营业执照。</w:t>
      </w:r>
    </w:p>
    <w:p w14:paraId="701261A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（2）参加政府采购活动前三年内在经营活动中没有重大违法记录的书面声明（详见附件4）；</w:t>
      </w:r>
    </w:p>
    <w:p w14:paraId="1CC15C9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3）未被列入失信被执行人、重大税收违法案件当事人名单、政府采购严重违法失信行为记录名单证明材料（供应商可在“信用中国”网站（www.creditchina.gov.cn）、中国政府采购网（www.ccgp.gov.cn）查询相关供应商主体信用记录）；</w:t>
      </w:r>
    </w:p>
    <w:p w14:paraId="3E588D8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（4）本项目采购内容不得分包、转包。</w:t>
      </w:r>
    </w:p>
    <w:p w14:paraId="36403B0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（5）本项目不接受联合体。</w:t>
      </w:r>
    </w:p>
    <w:p w14:paraId="72A098D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eastAsia="zh-CN"/>
        </w:rPr>
        <w:t>二、采购内容及参数要求</w:t>
      </w:r>
    </w:p>
    <w:p w14:paraId="40EAC9FB">
      <w:pPr>
        <w:pStyle w:val="2"/>
        <w:rPr>
          <w:rFonts w:hint="eastAsia" w:ascii="仿宋_GB2312" w:hAnsi="仿宋_GB2312" w:eastAsia="仿宋_GB2312" w:cs="仿宋_GB2312"/>
          <w:b/>
          <w:bCs/>
          <w:color w:val="000000"/>
          <w:sz w:val="32"/>
          <w:szCs w:val="32"/>
          <w:highlight w:val="none"/>
          <w:lang w:eastAsia="zh-CN"/>
        </w:rPr>
      </w:pPr>
    </w:p>
    <w:p w14:paraId="2C3C23AA">
      <w:pPr>
        <w:rPr>
          <w:rFonts w:hint="eastAsia" w:ascii="仿宋_GB2312" w:hAnsi="仿宋_GB2312" w:eastAsia="仿宋_GB2312" w:cs="仿宋_GB2312"/>
          <w:b/>
          <w:bCs/>
          <w:color w:val="000000"/>
          <w:sz w:val="32"/>
          <w:szCs w:val="32"/>
          <w:highlight w:val="none"/>
          <w:lang w:eastAsia="zh-CN"/>
        </w:rPr>
      </w:pPr>
    </w:p>
    <w:p w14:paraId="2657815B">
      <w:pPr>
        <w:pStyle w:val="2"/>
        <w:rPr>
          <w:rFonts w:hint="eastAsia"/>
          <w:lang w:eastAsia="zh-CN"/>
        </w:rPr>
      </w:pPr>
    </w:p>
    <w:tbl>
      <w:tblPr>
        <w:tblStyle w:val="9"/>
        <w:tblW w:w="5000" w:type="pct"/>
        <w:jc w:val="center"/>
        <w:tblLayout w:type="fixed"/>
        <w:tblCellMar>
          <w:top w:w="0" w:type="dxa"/>
          <w:left w:w="108" w:type="dxa"/>
          <w:bottom w:w="0" w:type="dxa"/>
          <w:right w:w="108" w:type="dxa"/>
        </w:tblCellMar>
      </w:tblPr>
      <w:tblGrid>
        <w:gridCol w:w="396"/>
        <w:gridCol w:w="29"/>
        <w:gridCol w:w="650"/>
        <w:gridCol w:w="948"/>
        <w:gridCol w:w="3675"/>
        <w:gridCol w:w="732"/>
        <w:gridCol w:w="744"/>
        <w:gridCol w:w="870"/>
        <w:gridCol w:w="478"/>
      </w:tblGrid>
      <w:tr w14:paraId="5E90EF73">
        <w:trPr>
          <w:trHeight w:val="390" w:hRule="atLeast"/>
          <w:jc w:val="center"/>
        </w:trPr>
        <w:tc>
          <w:tcPr>
            <w:tcW w:w="249" w:type="pct"/>
            <w:gridSpan w:val="2"/>
            <w:vMerge w:val="restart"/>
            <w:tcBorders>
              <w:top w:val="single" w:color="auto" w:sz="4" w:space="0"/>
              <w:left w:val="single" w:color="auto" w:sz="4" w:space="0"/>
              <w:right w:val="single" w:color="auto" w:sz="4" w:space="0"/>
            </w:tcBorders>
            <w:noWrap w:val="0"/>
            <w:vAlign w:val="center"/>
          </w:tcPr>
          <w:p w14:paraId="25FF3116">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服</w:t>
            </w:r>
          </w:p>
          <w:p w14:paraId="049231A6">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务</w:t>
            </w:r>
          </w:p>
          <w:p w14:paraId="1DA43F6D">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内</w:t>
            </w:r>
          </w:p>
          <w:p w14:paraId="1DD8817E">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容</w:t>
            </w:r>
          </w:p>
          <w:p w14:paraId="07EC237E">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及</w:t>
            </w:r>
          </w:p>
          <w:p w14:paraId="6B2B8603">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技</w:t>
            </w:r>
          </w:p>
          <w:p w14:paraId="201CD968">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术</w:t>
            </w:r>
          </w:p>
          <w:p w14:paraId="3EE2D5E3">
            <w:pPr>
              <w:keepNext w:val="0"/>
              <w:keepLines w:val="0"/>
              <w:suppressLineNumbers w:val="0"/>
              <w:spacing w:before="0" w:beforeAutospacing="0" w:after="0" w:afterAutospacing="0" w:line="208" w:lineRule="auto"/>
              <w:ind w:left="0" w:right="0"/>
              <w:jc w:val="center"/>
              <w:rPr>
                <w:rFonts w:hint="default" w:ascii="宋体" w:hAnsi="宋体" w:cs="Times New Roman"/>
                <w:b/>
                <w:bCs/>
                <w:color w:val="000000"/>
                <w:szCs w:val="21"/>
              </w:rPr>
            </w:pPr>
            <w:r>
              <w:rPr>
                <w:rFonts w:hint="eastAsia" w:ascii="宋体" w:hAnsi="宋体" w:cs="Times New Roman"/>
                <w:b/>
                <w:bCs/>
                <w:color w:val="000000"/>
                <w:szCs w:val="21"/>
              </w:rPr>
              <w:t>参</w:t>
            </w:r>
          </w:p>
          <w:p w14:paraId="54AD385D">
            <w:pPr>
              <w:keepNext w:val="0"/>
              <w:keepLines w:val="0"/>
              <w:suppressLineNumbers w:val="0"/>
              <w:spacing w:before="0" w:beforeAutospacing="0" w:after="0" w:afterAutospacing="0" w:line="300" w:lineRule="exact"/>
              <w:ind w:left="0" w:right="0"/>
              <w:jc w:val="center"/>
              <w:textAlignment w:val="center"/>
              <w:rPr>
                <w:rFonts w:hint="default" w:ascii="宋体" w:hAnsi="宋体" w:cs="宋体"/>
                <w:b/>
                <w:bCs/>
                <w:color w:val="000000"/>
                <w:szCs w:val="21"/>
              </w:rPr>
            </w:pPr>
            <w:r>
              <w:rPr>
                <w:rFonts w:hint="eastAsia" w:ascii="宋体" w:hAnsi="宋体" w:cs="Times New Roman"/>
                <w:b/>
                <w:bCs/>
                <w:color w:val="000000"/>
                <w:szCs w:val="21"/>
              </w:rPr>
              <w:t>数</w:t>
            </w:r>
          </w:p>
        </w:tc>
        <w:tc>
          <w:tcPr>
            <w:tcW w:w="381" w:type="pct"/>
            <w:tcBorders>
              <w:top w:val="single" w:color="auto" w:sz="4" w:space="0"/>
              <w:left w:val="single" w:color="auto" w:sz="4" w:space="0"/>
              <w:bottom w:val="single" w:color="auto" w:sz="4" w:space="0"/>
              <w:right w:val="single" w:color="auto" w:sz="4" w:space="0"/>
            </w:tcBorders>
            <w:noWrap w:val="0"/>
            <w:vAlign w:val="center"/>
          </w:tcPr>
          <w:p w14:paraId="6618A0DD">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序号</w:t>
            </w:r>
          </w:p>
        </w:tc>
        <w:tc>
          <w:tcPr>
            <w:tcW w:w="556" w:type="pct"/>
            <w:tcBorders>
              <w:top w:val="single" w:color="auto" w:sz="4" w:space="0"/>
              <w:left w:val="single" w:color="auto" w:sz="4" w:space="0"/>
              <w:bottom w:val="single" w:color="auto" w:sz="4" w:space="0"/>
              <w:right w:val="single" w:color="auto" w:sz="4" w:space="0"/>
            </w:tcBorders>
            <w:noWrap w:val="0"/>
            <w:vAlign w:val="center"/>
          </w:tcPr>
          <w:p w14:paraId="23299486">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rPr>
            </w:pPr>
            <w:r>
              <w:rPr>
                <w:rFonts w:hint="eastAsia" w:ascii="黑体" w:hAnsi="黑体" w:eastAsia="黑体" w:cs="黑体"/>
                <w:sz w:val="24"/>
                <w:szCs w:val="24"/>
              </w:rPr>
              <w:t>服务名称</w:t>
            </w:r>
          </w:p>
        </w:tc>
        <w:tc>
          <w:tcPr>
            <w:tcW w:w="2156" w:type="pct"/>
            <w:tcBorders>
              <w:top w:val="single" w:color="auto" w:sz="4" w:space="0"/>
              <w:left w:val="single" w:color="auto" w:sz="4" w:space="0"/>
              <w:bottom w:val="single" w:color="auto" w:sz="4" w:space="0"/>
              <w:right w:val="single" w:color="auto" w:sz="4" w:space="0"/>
            </w:tcBorders>
            <w:noWrap w:val="0"/>
            <w:vAlign w:val="center"/>
          </w:tcPr>
          <w:p w14:paraId="0DE50692">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rPr>
            </w:pPr>
            <w:r>
              <w:rPr>
                <w:rFonts w:hint="eastAsia" w:ascii="黑体" w:hAnsi="黑体" w:eastAsia="黑体" w:cs="黑体"/>
                <w:sz w:val="24"/>
                <w:szCs w:val="24"/>
              </w:rPr>
              <w:t>服务要求</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64EE3621">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rPr>
            </w:pPr>
            <w:r>
              <w:rPr>
                <w:rFonts w:hint="eastAsia" w:ascii="黑体" w:hAnsi="黑体" w:eastAsia="黑体" w:cs="黑体"/>
                <w:sz w:val="24"/>
                <w:szCs w:val="24"/>
                <w:lang w:val="en-US" w:eastAsia="zh-CN"/>
              </w:rPr>
              <w:t>单价/月</w:t>
            </w:r>
          </w:p>
        </w:tc>
        <w:tc>
          <w:tcPr>
            <w:tcW w:w="436" w:type="pct"/>
            <w:tcBorders>
              <w:top w:val="single" w:color="auto" w:sz="4" w:space="0"/>
              <w:left w:val="single" w:color="auto" w:sz="4" w:space="0"/>
              <w:bottom w:val="single" w:color="auto" w:sz="4" w:space="0"/>
              <w:right w:val="single" w:color="auto" w:sz="4" w:space="0"/>
            </w:tcBorders>
            <w:noWrap w:val="0"/>
            <w:vAlign w:val="center"/>
          </w:tcPr>
          <w:p w14:paraId="4C5E08E5">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数量</w:t>
            </w:r>
          </w:p>
          <w:p w14:paraId="5388E35C">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（月）</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291FB036">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金额</w:t>
            </w:r>
          </w:p>
          <w:p w14:paraId="406AFE7D">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（元）</w:t>
            </w:r>
          </w:p>
        </w:tc>
        <w:tc>
          <w:tcPr>
            <w:tcW w:w="280" w:type="pct"/>
            <w:tcBorders>
              <w:top w:val="single" w:color="auto" w:sz="4" w:space="0"/>
              <w:left w:val="single" w:color="auto" w:sz="4" w:space="0"/>
              <w:bottom w:val="single" w:color="auto" w:sz="4" w:space="0"/>
              <w:right w:val="single" w:color="auto" w:sz="4" w:space="0"/>
            </w:tcBorders>
            <w:noWrap w:val="0"/>
            <w:vAlign w:val="center"/>
          </w:tcPr>
          <w:p w14:paraId="3A3A70FD">
            <w:pPr>
              <w:keepNext w:val="0"/>
              <w:keepLines w:val="0"/>
              <w:suppressLineNumbers w:val="0"/>
              <w:spacing w:before="0" w:beforeAutospacing="0" w:after="0" w:afterAutospacing="0" w:line="360" w:lineRule="exact"/>
              <w:ind w:left="0" w:right="0"/>
              <w:jc w:val="center"/>
              <w:rPr>
                <w:rFonts w:hint="eastAsia" w:ascii="黑体" w:hAnsi="黑体" w:eastAsia="黑体" w:cs="黑体"/>
                <w:sz w:val="24"/>
                <w:szCs w:val="24"/>
              </w:rPr>
            </w:pPr>
            <w:r>
              <w:rPr>
                <w:rFonts w:hint="eastAsia" w:ascii="黑体" w:hAnsi="黑体" w:eastAsia="黑体" w:cs="黑体"/>
                <w:sz w:val="24"/>
                <w:szCs w:val="24"/>
              </w:rPr>
              <w:t>备注</w:t>
            </w:r>
          </w:p>
        </w:tc>
      </w:tr>
      <w:tr w14:paraId="4A8656C6">
        <w:tblPrEx>
          <w:tblCellMar>
            <w:top w:w="0" w:type="dxa"/>
            <w:left w:w="108" w:type="dxa"/>
            <w:bottom w:w="0" w:type="dxa"/>
            <w:right w:w="108" w:type="dxa"/>
          </w:tblCellMar>
        </w:tblPrEx>
        <w:trPr>
          <w:trHeight w:val="3259" w:hRule="atLeast"/>
          <w:jc w:val="center"/>
        </w:trPr>
        <w:tc>
          <w:tcPr>
            <w:tcW w:w="249" w:type="pct"/>
            <w:gridSpan w:val="2"/>
            <w:vMerge w:val="continue"/>
            <w:tcBorders>
              <w:left w:val="single" w:color="auto" w:sz="4" w:space="0"/>
              <w:right w:val="single" w:color="auto" w:sz="4" w:space="0"/>
            </w:tcBorders>
            <w:noWrap/>
            <w:vAlign w:val="center"/>
          </w:tcPr>
          <w:p w14:paraId="48291B1C">
            <w:pPr>
              <w:keepNext w:val="0"/>
              <w:keepLines w:val="0"/>
              <w:suppressLineNumbers w:val="0"/>
              <w:spacing w:before="0" w:beforeAutospacing="0" w:after="0" w:afterAutospacing="0" w:line="300" w:lineRule="exact"/>
              <w:ind w:left="0" w:right="0"/>
              <w:jc w:val="center"/>
              <w:textAlignment w:val="center"/>
              <w:rPr>
                <w:rFonts w:hint="default" w:ascii="宋体" w:hAnsi="宋体" w:cs="宋体"/>
                <w:b/>
                <w:bCs/>
                <w:color w:val="000000"/>
                <w:szCs w:val="21"/>
              </w:rPr>
            </w:pPr>
            <w:bookmarkStart w:id="0" w:name="OLE_LINK5" w:colFirst="3" w:colLast="3"/>
          </w:p>
        </w:tc>
        <w:tc>
          <w:tcPr>
            <w:tcW w:w="381" w:type="pct"/>
            <w:tcBorders>
              <w:top w:val="single" w:color="auto" w:sz="4" w:space="0"/>
              <w:left w:val="single" w:color="auto" w:sz="4" w:space="0"/>
              <w:bottom w:val="single" w:color="auto" w:sz="4" w:space="0"/>
              <w:right w:val="single" w:color="auto" w:sz="4" w:space="0"/>
            </w:tcBorders>
            <w:noWrap/>
            <w:vAlign w:val="center"/>
          </w:tcPr>
          <w:p w14:paraId="291757E4">
            <w:pPr>
              <w:pStyle w:val="6"/>
              <w:keepNext w:val="0"/>
              <w:keepLines w:val="0"/>
              <w:suppressLineNumbers w:val="0"/>
              <w:tabs>
                <w:tab w:val="left" w:pos="312"/>
              </w:tabs>
              <w:spacing w:before="0" w:beforeAutospacing="0" w:afterAutospacing="0"/>
              <w:ind w:left="0" w:right="0"/>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w:t>
            </w:r>
          </w:p>
          <w:p w14:paraId="6A37E71D">
            <w:pPr>
              <w:pStyle w:val="6"/>
              <w:keepNext w:val="0"/>
              <w:keepLines w:val="0"/>
              <w:suppressLineNumbers w:val="0"/>
              <w:tabs>
                <w:tab w:val="left" w:pos="312"/>
              </w:tabs>
              <w:spacing w:before="0" w:beforeAutospacing="0" w:afterAutospacing="0"/>
              <w:ind w:left="0" w:right="0"/>
              <w:rPr>
                <w:rFonts w:hint="eastAsia" w:ascii="宋体" w:hAnsi="宋体" w:eastAsia="宋体" w:cs="宋体"/>
                <w:kern w:val="2"/>
                <w:sz w:val="21"/>
                <w:szCs w:val="22"/>
                <w:highlight w:val="none"/>
                <w:lang w:val="en-US" w:eastAsia="zh-CN" w:bidi="ar-SA"/>
              </w:rPr>
            </w:pPr>
          </w:p>
        </w:tc>
        <w:tc>
          <w:tcPr>
            <w:tcW w:w="556" w:type="pct"/>
            <w:tcBorders>
              <w:top w:val="single" w:color="auto" w:sz="4" w:space="0"/>
              <w:left w:val="single" w:color="auto" w:sz="4" w:space="0"/>
              <w:bottom w:val="single" w:color="auto" w:sz="4" w:space="0"/>
              <w:right w:val="single" w:color="auto" w:sz="4" w:space="0"/>
            </w:tcBorders>
            <w:noWrap/>
            <w:vAlign w:val="center"/>
          </w:tcPr>
          <w:p w14:paraId="6BA6DAE0">
            <w:pPr>
              <w:pStyle w:val="6"/>
              <w:keepNext w:val="0"/>
              <w:keepLines w:val="0"/>
              <w:suppressLineNumbers w:val="0"/>
              <w:tabs>
                <w:tab w:val="left" w:pos="312"/>
              </w:tabs>
              <w:spacing w:before="0" w:beforeAutospacing="0" w:afterAutospacing="0"/>
              <w:ind w:left="0" w:right="0"/>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视频监控及平台接入服务</w:t>
            </w:r>
          </w:p>
        </w:tc>
        <w:tc>
          <w:tcPr>
            <w:tcW w:w="2156" w:type="pct"/>
            <w:tcBorders>
              <w:top w:val="single" w:color="auto" w:sz="4" w:space="0"/>
              <w:left w:val="single" w:color="auto" w:sz="4" w:space="0"/>
              <w:bottom w:val="single" w:color="auto" w:sz="4" w:space="0"/>
              <w:right w:val="single" w:color="auto" w:sz="4" w:space="0"/>
            </w:tcBorders>
            <w:noWrap w:val="0"/>
            <w:vAlign w:val="center"/>
          </w:tcPr>
          <w:p w14:paraId="6211F265">
            <w:pPr>
              <w:keepNext w:val="0"/>
              <w:keepLines w:val="0"/>
              <w:numPr>
                <w:ilvl w:val="0"/>
                <w:numId w:val="0"/>
              </w:numPr>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项目包含前端摄像头安装接入服务、视频云平台接入调试服务、安装服务、网络接入服务等。</w:t>
            </w:r>
          </w:p>
          <w:p w14:paraId="57813F95">
            <w:pPr>
              <w:keepNext w:val="0"/>
              <w:keepLines w:val="0"/>
              <w:numPr>
                <w:ilvl w:val="0"/>
                <w:numId w:val="0"/>
              </w:numPr>
              <w:suppressLineNumbers w:val="0"/>
              <w:spacing w:before="0" w:beforeAutospacing="0" w:after="0" w:afterAutospacing="0" w:line="360" w:lineRule="auto"/>
              <w:ind w:left="0" w:right="0"/>
              <w:jc w:val="left"/>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一、前端视频监控服务</w:t>
            </w:r>
          </w:p>
          <w:p w14:paraId="5579629D">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1.提供</w:t>
            </w:r>
            <w:r>
              <w:rPr>
                <w:rFonts w:hint="default" w:ascii="宋体" w:hAnsi="宋体" w:eastAsia="宋体" w:cs="宋体"/>
                <w:kern w:val="2"/>
                <w:sz w:val="21"/>
                <w:szCs w:val="22"/>
                <w:highlight w:val="none"/>
                <w:lang w:val="en-US" w:eastAsia="zh-CN" w:bidi="ar-SA"/>
              </w:rPr>
              <w:t>_</w:t>
            </w:r>
            <w:r>
              <w:rPr>
                <w:rFonts w:hint="eastAsia" w:ascii="宋体" w:hAnsi="宋体" w:cs="宋体"/>
                <w:kern w:val="2"/>
                <w:sz w:val="21"/>
                <w:szCs w:val="22"/>
                <w:highlight w:val="none"/>
                <w:lang w:val="en-US" w:eastAsia="zh-CN" w:bidi="ar-SA"/>
              </w:rPr>
              <w:t>23</w:t>
            </w:r>
            <w:r>
              <w:rPr>
                <w:rFonts w:hint="eastAsia" w:ascii="宋体" w:hAnsi="宋体" w:eastAsia="宋体" w:cs="宋体"/>
                <w:kern w:val="2"/>
                <w:sz w:val="21"/>
                <w:szCs w:val="22"/>
                <w:highlight w:val="none"/>
                <w:lang w:val="en-US" w:eastAsia="zh-CN" w:bidi="ar-SA"/>
              </w:rPr>
              <w:t xml:space="preserve"> 个点位视频监控服务，并提供前端图像与监控平台间的数据传输服务，确保监控数据流畅稳定，无丢帧卡顿现象。</w:t>
            </w:r>
          </w:p>
          <w:p w14:paraId="1C15AEA6">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2.全高清400W分辨率，图像清晰、细腻 </w:t>
            </w:r>
          </w:p>
          <w:p w14:paraId="1CB814B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3. 支持POE供电 </w:t>
            </w:r>
          </w:p>
          <w:p w14:paraId="72A694E6">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4.ICR自动切换，实现昼夜监控 </w:t>
            </w:r>
          </w:p>
          <w:p w14:paraId="2AA1F0F6">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5.支持H.265视频编码 </w:t>
            </w:r>
          </w:p>
          <w:p w14:paraId="3C72D30D">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6.支持24小时云存储、本地存储 </w:t>
            </w:r>
          </w:p>
          <w:p w14:paraId="21C4A7DF">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7.支持动作和声音侦测报警 </w:t>
            </w:r>
          </w:p>
          <w:p w14:paraId="3CECB5C1">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8.支持人形侦测 </w:t>
            </w:r>
          </w:p>
          <w:p w14:paraId="7AA20661">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9.支持双向语音通话 </w:t>
            </w:r>
          </w:p>
          <w:p w14:paraId="52FC3FCD">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10.支持人脸抓拍 </w:t>
            </w:r>
          </w:p>
          <w:p w14:paraId="770DC9C7">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 xml:space="preserve">12.支持车牌识别和抓拍 </w:t>
            </w:r>
          </w:p>
          <w:p w14:paraId="54A40FC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13、支持深度算法</w:t>
            </w:r>
          </w:p>
          <w:p w14:paraId="26790723">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二、视频监控云平台系统要求</w:t>
            </w:r>
          </w:p>
          <w:p w14:paraId="6A77866C">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（一）视频监控云平台能力需求</w:t>
            </w:r>
          </w:p>
          <w:p w14:paraId="6A688C6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▲1、服务能力</w:t>
            </w:r>
          </w:p>
          <w:p w14:paraId="44FB8E1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（1）接入路数不限，支持不低于30天的云存储。</w:t>
            </w:r>
          </w:p>
          <w:p w14:paraId="1710C80B">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（2）支持RTMP、FLV、HLS协议，支持在浏览器和微信公众号无插件化直播视频。</w:t>
            </w:r>
          </w:p>
          <w:p w14:paraId="7D40F6FD">
            <w:pPr>
              <w:pStyle w:val="16"/>
              <w:keepNext w:val="0"/>
              <w:keepLines w:val="0"/>
              <w:suppressLineNumbers w:val="0"/>
              <w:spacing w:before="0" w:beforeAutospacing="0" w:after="0" w:afterAutospacing="0" w:line="360" w:lineRule="auto"/>
              <w:ind w:left="0" w:leftChars="0" w:right="0" w:firstLine="0" w:firstLineChars="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（3）视频监控服务应符合GB/T 28181 的相关规定；并应支持与公安部门、政法委等相关平台进行数据双向推送，进行视频、音频、数据等信息传输、交换和控制，且推送时的通信协议应符合GB/T 28181 的相关要求。</w:t>
            </w:r>
          </w:p>
          <w:p w14:paraId="7BD321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4）支持无限分级管理功能，并能自由无限创建子组织及子账号，实现分层级管理；设备具备内部分级管理，可实现设备停用、起用、内容删除、回看、录制、抓图权限设置。支持创建上林县中小学安全监控平台，依托上述分级与权限管理能力，为县域内各中小学统一部署监控平台、建立分级账号体系，实现县教育局-乡镇-学校的分层监管与权限隔离，保障校园安全监控的合规、可控、可追溯。</w:t>
            </w:r>
          </w:p>
          <w:p w14:paraId="01B88F10">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（5）要求视频云平台存储系统具备7×24 小时不间断的大码流视频录像，支持第三方在WEB、APP端集成，提供SDK等方式。支持快速检索、回放和管理的功能服务，优化视频的回放；支持对录像按照多种方式检索服务；支持标注、循环覆盖等方式进行管理服务。要求视频存储系统支持图片的高速写入、并发下载、图片压缩等服务；要求统一服务接口，要求提供统一的管理界面。</w:t>
            </w:r>
          </w:p>
          <w:p w14:paraId="3B1624D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（6）支持对实时视频或历史录像进行截图或录像，并作为线上巡检记录的附件留存，对截图或录像的视频，必须有专属的印记，实现对截图或录像的视频溯源。</w:t>
            </w:r>
          </w:p>
          <w:p w14:paraId="5F391950">
            <w:pPr>
              <w:pStyle w:val="2"/>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（7）支持多种设备制造商的设备自动发现和接入。边缘与云同步，使用Wireguard技术确保信息实时、安全同步。</w:t>
            </w:r>
          </w:p>
          <w:p w14:paraId="0808A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（8）平台采用分布式架构，支持线性扩展，满足大规模数据共享和数据挖掘需求。提供多种访问接口，方便业务系统访问。</w:t>
            </w:r>
          </w:p>
          <w:p w14:paraId="6D932254">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▲2、数据共享接口服务能力：竞标人提供的平台能够具备数据开发接口能力，能够提供基于RESTFul接口供采购人相关平台调用使用。</w:t>
            </w:r>
          </w:p>
          <w:p w14:paraId="2E05F5F0">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（二）云存储软件服务需求</w:t>
            </w:r>
          </w:p>
          <w:p w14:paraId="30A2A287">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1、云存储服务</w:t>
            </w:r>
          </w:p>
          <w:p w14:paraId="24D8955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（1）支持视频存储管理子系统，负责视频的存储、检索、回放和下载；可支持不低于600路存储规模，具备良好的伸缩性。</w:t>
            </w:r>
          </w:p>
          <w:p w14:paraId="145C46B7">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（2）视频文件在云端的保存期限不低于30天。</w:t>
            </w:r>
          </w:p>
          <w:p w14:paraId="21558825">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（3）最大能够同时支持不低于600路设备视频文件的上传和回放。</w:t>
            </w:r>
          </w:p>
          <w:p w14:paraId="32A37A31">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（4）文件传输支持采用AES256等算法加密传输，保障数据传输和存储的安全。</w:t>
            </w:r>
          </w:p>
          <w:p w14:paraId="31B1C029">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（5）文件上传云端的过程中，支持失败重传，在网络条件满足基本需求的情况下，保证文件能够上传到云端。</w:t>
            </w:r>
          </w:p>
          <w:p w14:paraId="3F8A3EE6">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2、云存储管理要求</w:t>
            </w:r>
          </w:p>
          <w:p w14:paraId="4D7FEF7C">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（1）能够提供高效灵活的空间管理，能根据负载均衡算法提供全高效并发处理机制，提高系统的整体性能，支持存储资源虚拟化和在线扩展。</w:t>
            </w:r>
          </w:p>
          <w:p w14:paraId="20280F8A">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（2）能够提供海量数据的快速检索，提供布控、模糊找人、找车等功能，所有与用户业务相关的索引信息统一由视频云存储系统的视频云存储管理节点或者集群进行管理。</w:t>
            </w:r>
          </w:p>
          <w:p w14:paraId="10E23FCA">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（3）能够提供持续可靠的数据服务，充分保护数据安全和可靠性。云存储对外提供登录、认证接口，保证系统安全性。</w:t>
            </w:r>
          </w:p>
          <w:p w14:paraId="453FE58E">
            <w:pPr>
              <w:keepNext w:val="0"/>
              <w:keepLines w:val="0"/>
              <w:suppressLineNumbers w:val="0"/>
              <w:spacing w:before="0" w:beforeAutospacing="0" w:after="0" w:afterAutospacing="0" w:line="360" w:lineRule="auto"/>
              <w:ind w:left="0" w:right="0"/>
              <w:jc w:val="left"/>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（4）能够提供高可扩展的应用支撑，在采购人业务需求不断发展的趋势下，可不断地为用户提供高效、灵活、可靠的专业级存储服务。</w:t>
            </w:r>
          </w:p>
          <w:p w14:paraId="0972EA5F">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（5）能够提供自动分层存储，并可实现快速访问。</w:t>
            </w:r>
          </w:p>
          <w:p w14:paraId="1B913ADE">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（6）能够提供License授权限制，支持管理License 授权控制，可限制云存储系统的授权时间、最大接入计划数量、存储节点数量、存储容量、资源池数量等；支持账户冻结、有效期、有效时间段及MAC 地址绑定等安全属性的设定；支持对用户（组）设定各设备节点的访问权限以及各业务功能的应用权限。</w:t>
            </w:r>
          </w:p>
          <w:p w14:paraId="4EA46D62">
            <w:pPr>
              <w:pStyle w:val="2"/>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（7）提供包括告警管理、用户管理、设备管理、组织节点管理、权限管理等功能。</w:t>
            </w:r>
          </w:p>
          <w:p w14:paraId="13B2401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3、云存储运维服务</w:t>
            </w:r>
          </w:p>
          <w:p w14:paraId="4C66CB1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（1）系统管理设置</w:t>
            </w:r>
          </w:p>
          <w:p w14:paraId="10FD8B78">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支持对服务、用户、操作日志和版本等信息进行管理；支持对采集计划、告警通知、黑名单、网络管理、校时服务器设置等操作管理。</w:t>
            </w:r>
          </w:p>
          <w:p w14:paraId="53FE3A0A">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（2）监控信息采集</w:t>
            </w:r>
          </w:p>
          <w:p w14:paraId="6F3FE966">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支持对视频云存储硬件、软件和系统三大模块的信息采集。包括对云健康值、系统压力、云空间信息、硬件节点（CPU、内存使用率）、监控点位、硬盘等信息进行实行采集；支持录像巡检业务，可按日历、月历查询点位录像巡检信息。</w:t>
            </w:r>
          </w:p>
          <w:p w14:paraId="61566ABF">
            <w:pPr>
              <w:keepNext w:val="0"/>
              <w:keepLines w:val="0"/>
              <w:suppressLineNumbers w:val="0"/>
              <w:spacing w:before="0" w:beforeAutospacing="0" w:after="0" w:afterAutospacing="0" w:line="360" w:lineRule="auto"/>
              <w:ind w:left="0" w:right="0"/>
              <w:jc w:val="left"/>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（3）告警信息管理</w:t>
            </w:r>
          </w:p>
          <w:p w14:paraId="6291F02A">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支持对视频云存储软、硬件告警信息管理查询。支持对服务进程、使用空间、硬件节点、监控点位等告警信息采集统计，告警信息可通过邮件、短信和语音方式通知维护人员。</w:t>
            </w:r>
          </w:p>
          <w:p w14:paraId="237BCB47">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（4）统计分析管理</w:t>
            </w:r>
          </w:p>
          <w:p w14:paraId="6551AAE4">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支持对视频云存储可用空间、云压力、节点设备、录像巡检等信息状态进行统计分析；支持对通用告警信息进行统计分析。统计分析信息支持柱状、饼状等多方式进行展现。</w:t>
            </w:r>
          </w:p>
          <w:p w14:paraId="6DBB8382">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4、云存储能力要求</w:t>
            </w:r>
          </w:p>
          <w:p w14:paraId="783B074F">
            <w:pPr>
              <w:keepNext w:val="0"/>
              <w:keepLines w:val="0"/>
              <w:suppressLineNumbers w:val="0"/>
              <w:spacing w:before="0" w:beforeAutospacing="0" w:after="0" w:afterAutospacing="0" w:line="360" w:lineRule="auto"/>
              <w:ind w:left="0" w:right="0"/>
              <w:jc w:val="left"/>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▲（1）支持平台轻服务模式，平台大量使用具备千万级别公有云平台的设备接入转发能力，在本地化部署的时候可以做到轻量部署、轻量运维。</w:t>
            </w:r>
          </w:p>
          <w:p w14:paraId="4B63383C">
            <w:pPr>
              <w:keepNext w:val="0"/>
              <w:keepLines w:val="0"/>
              <w:widowControl/>
              <w:suppressLineNumbers w:val="0"/>
              <w:spacing w:before="0" w:beforeAutospacing="0" w:after="0" w:afterAutospacing="0" w:line="400" w:lineRule="exact"/>
              <w:ind w:left="0" w:right="0"/>
              <w:jc w:val="left"/>
              <w:textAlignment w:val="center"/>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▲（2）要求平台采用SSL/HTTPS/SHA265+挑战码等技术手段，能从架构层面考虑安全性需求，实现安全可靠。</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80AED30">
            <w:pPr>
              <w:pStyle w:val="6"/>
              <w:keepNext w:val="0"/>
              <w:keepLines w:val="0"/>
              <w:suppressLineNumbers w:val="0"/>
              <w:tabs>
                <w:tab w:val="left" w:pos="312"/>
              </w:tabs>
              <w:spacing w:before="0" w:beforeAutospacing="0" w:afterAutospacing="0"/>
              <w:ind w:left="0" w:right="0"/>
              <w:jc w:val="center"/>
              <w:rPr>
                <w:rFonts w:hint="default" w:ascii="宋体" w:hAnsi="宋体" w:eastAsia="宋体" w:cs="宋体"/>
                <w:kern w:val="2"/>
                <w:sz w:val="21"/>
                <w:szCs w:val="22"/>
                <w:highlight w:val="none"/>
                <w:lang w:val="en-US" w:eastAsia="zh-CN" w:bidi="ar-SA"/>
              </w:rPr>
            </w:pPr>
            <w:r>
              <w:rPr>
                <w:rFonts w:hint="eastAsia" w:ascii="宋体" w:hAnsi="宋体" w:cs="宋体"/>
                <w:kern w:val="2"/>
                <w:sz w:val="21"/>
                <w:szCs w:val="22"/>
                <w:highlight w:val="none"/>
                <w:lang w:val="en-US" w:eastAsia="zh-CN" w:bidi="ar-SA"/>
              </w:rPr>
              <w:t>897</w:t>
            </w:r>
          </w:p>
        </w:tc>
        <w:tc>
          <w:tcPr>
            <w:tcW w:w="436" w:type="pct"/>
            <w:tcBorders>
              <w:top w:val="single" w:color="auto" w:sz="4" w:space="0"/>
              <w:left w:val="single" w:color="auto" w:sz="4" w:space="0"/>
              <w:bottom w:val="single" w:color="auto" w:sz="4" w:space="0"/>
              <w:right w:val="single" w:color="auto" w:sz="4" w:space="0"/>
            </w:tcBorders>
            <w:noWrap w:val="0"/>
            <w:vAlign w:val="center"/>
          </w:tcPr>
          <w:p w14:paraId="3AE7633C">
            <w:pPr>
              <w:pStyle w:val="6"/>
              <w:keepNext w:val="0"/>
              <w:keepLines w:val="0"/>
              <w:suppressLineNumbers w:val="0"/>
              <w:tabs>
                <w:tab w:val="left" w:pos="312"/>
              </w:tabs>
              <w:spacing w:before="0" w:beforeAutospacing="0" w:afterAutospacing="0"/>
              <w:ind w:left="0" w:right="0"/>
              <w:jc w:val="center"/>
              <w:rPr>
                <w:rFonts w:hint="default"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36</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226778E3">
            <w:pPr>
              <w:pStyle w:val="6"/>
              <w:keepNext w:val="0"/>
              <w:keepLines w:val="0"/>
              <w:suppressLineNumbers w:val="0"/>
              <w:tabs>
                <w:tab w:val="left" w:pos="312"/>
              </w:tabs>
              <w:spacing w:before="0" w:beforeAutospacing="0" w:afterAutospacing="0"/>
              <w:ind w:left="0" w:right="0"/>
              <w:jc w:val="center"/>
              <w:rPr>
                <w:rFonts w:hint="default" w:ascii="宋体" w:hAnsi="宋体" w:eastAsia="宋体" w:cs="宋体"/>
                <w:kern w:val="2"/>
                <w:sz w:val="21"/>
                <w:szCs w:val="22"/>
                <w:highlight w:val="none"/>
                <w:lang w:val="en-US" w:eastAsia="zh-CN" w:bidi="ar-SA"/>
              </w:rPr>
            </w:pPr>
            <w:r>
              <w:rPr>
                <w:rFonts w:hint="eastAsia" w:ascii="宋体" w:hAnsi="宋体" w:cs="宋体"/>
                <w:kern w:val="2"/>
                <w:sz w:val="21"/>
                <w:szCs w:val="22"/>
                <w:highlight w:val="none"/>
                <w:lang w:val="en-US" w:eastAsia="zh-CN" w:bidi="ar-SA"/>
              </w:rPr>
              <w:t>32292</w:t>
            </w:r>
          </w:p>
        </w:tc>
        <w:tc>
          <w:tcPr>
            <w:tcW w:w="280" w:type="pct"/>
            <w:tcBorders>
              <w:top w:val="single" w:color="auto" w:sz="4" w:space="0"/>
              <w:left w:val="single" w:color="auto" w:sz="4" w:space="0"/>
              <w:bottom w:val="single" w:color="auto" w:sz="4" w:space="0"/>
              <w:right w:val="single" w:color="auto" w:sz="4" w:space="0"/>
            </w:tcBorders>
            <w:noWrap w:val="0"/>
            <w:vAlign w:val="center"/>
          </w:tcPr>
          <w:p w14:paraId="68B2498F">
            <w:pPr>
              <w:pStyle w:val="6"/>
              <w:keepNext w:val="0"/>
              <w:keepLines w:val="0"/>
              <w:suppressLineNumbers w:val="0"/>
              <w:tabs>
                <w:tab w:val="left" w:pos="312"/>
              </w:tabs>
              <w:spacing w:before="0" w:beforeAutospacing="0" w:afterAutospacing="0"/>
              <w:ind w:left="0" w:right="0"/>
              <w:rPr>
                <w:rFonts w:hint="eastAsia" w:ascii="宋体" w:hAnsi="宋体" w:eastAsia="宋体" w:cs="宋体"/>
                <w:kern w:val="2"/>
                <w:sz w:val="21"/>
                <w:szCs w:val="22"/>
                <w:highlight w:val="none"/>
                <w:lang w:val="en-US" w:eastAsia="zh-CN" w:bidi="ar-SA"/>
              </w:rPr>
            </w:pPr>
            <w:r>
              <w:rPr>
                <w:rFonts w:hint="eastAsia" w:ascii="宋体" w:hAnsi="宋体" w:eastAsia="宋体" w:cs="宋体"/>
                <w:kern w:val="2"/>
                <w:sz w:val="21"/>
                <w:szCs w:val="22"/>
                <w:highlight w:val="none"/>
                <w:lang w:val="en-US" w:eastAsia="zh-CN" w:bidi="ar-SA"/>
              </w:rPr>
              <w:t>含设备费、安装费、维护费</w:t>
            </w:r>
          </w:p>
        </w:tc>
      </w:tr>
      <w:bookmarkEnd w:id="0"/>
      <w:tr w14:paraId="420D6472">
        <w:tblPrEx>
          <w:tblCellMar>
            <w:top w:w="0" w:type="dxa"/>
            <w:left w:w="108" w:type="dxa"/>
            <w:bottom w:w="0" w:type="dxa"/>
            <w:right w:w="108" w:type="dxa"/>
          </w:tblCellMar>
        </w:tblPrEx>
        <w:trPr>
          <w:trHeight w:val="349" w:hRule="atLeast"/>
          <w:jc w:val="center"/>
        </w:trPr>
        <w:tc>
          <w:tcPr>
            <w:tcW w:w="249" w:type="pct"/>
            <w:gridSpan w:val="2"/>
            <w:vMerge w:val="continue"/>
            <w:tcBorders>
              <w:left w:val="single" w:color="auto" w:sz="4" w:space="0"/>
              <w:bottom w:val="single" w:color="auto" w:sz="4" w:space="0"/>
              <w:right w:val="single" w:color="auto" w:sz="4" w:space="0"/>
            </w:tcBorders>
            <w:noWrap/>
            <w:vAlign w:val="center"/>
          </w:tcPr>
          <w:p w14:paraId="4E7CE404">
            <w:pPr>
              <w:keepNext w:val="0"/>
              <w:keepLines w:val="0"/>
              <w:suppressLineNumbers w:val="0"/>
              <w:spacing w:before="0" w:beforeAutospacing="0" w:after="0" w:afterAutospacing="0" w:line="300" w:lineRule="exact"/>
              <w:ind w:left="0" w:right="0"/>
              <w:jc w:val="center"/>
              <w:textAlignment w:val="center"/>
              <w:rPr>
                <w:rFonts w:hint="default" w:ascii="宋体" w:hAnsi="宋体" w:cs="宋体"/>
                <w:b/>
                <w:bCs/>
                <w:color w:val="000000"/>
                <w:szCs w:val="21"/>
              </w:rPr>
            </w:pPr>
          </w:p>
        </w:tc>
        <w:tc>
          <w:tcPr>
            <w:tcW w:w="381" w:type="pct"/>
            <w:tcBorders>
              <w:top w:val="single" w:color="auto" w:sz="4" w:space="0"/>
              <w:left w:val="single" w:color="auto" w:sz="4" w:space="0"/>
              <w:bottom w:val="single" w:color="auto" w:sz="4" w:space="0"/>
              <w:right w:val="single" w:color="auto" w:sz="4" w:space="0"/>
            </w:tcBorders>
            <w:noWrap/>
            <w:vAlign w:val="center"/>
          </w:tcPr>
          <w:p w14:paraId="14B730CF">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eastAsia="zh-CN"/>
              </w:rPr>
            </w:pPr>
          </w:p>
        </w:tc>
        <w:tc>
          <w:tcPr>
            <w:tcW w:w="556" w:type="pct"/>
            <w:tcBorders>
              <w:top w:val="single" w:color="auto" w:sz="4" w:space="0"/>
              <w:left w:val="single" w:color="auto" w:sz="4" w:space="0"/>
              <w:bottom w:val="single" w:color="auto" w:sz="4" w:space="0"/>
              <w:right w:val="single" w:color="auto" w:sz="4" w:space="0"/>
            </w:tcBorders>
            <w:noWrap/>
            <w:vAlign w:val="center"/>
          </w:tcPr>
          <w:p w14:paraId="26720381">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rPr>
            </w:pPr>
          </w:p>
        </w:tc>
        <w:tc>
          <w:tcPr>
            <w:tcW w:w="2156" w:type="pct"/>
            <w:tcBorders>
              <w:top w:val="single" w:color="auto" w:sz="4" w:space="0"/>
              <w:left w:val="single" w:color="auto" w:sz="4" w:space="0"/>
              <w:bottom w:val="single" w:color="auto" w:sz="4" w:space="0"/>
              <w:right w:val="single" w:color="auto" w:sz="4" w:space="0"/>
            </w:tcBorders>
            <w:noWrap w:val="0"/>
            <w:vAlign w:val="center"/>
          </w:tcPr>
          <w:p w14:paraId="0CC719F0">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rPr>
            </w:pPr>
          </w:p>
        </w:tc>
        <w:tc>
          <w:tcPr>
            <w:tcW w:w="865" w:type="pct"/>
            <w:gridSpan w:val="2"/>
            <w:tcBorders>
              <w:top w:val="single" w:color="auto" w:sz="4" w:space="0"/>
              <w:left w:val="single" w:color="auto" w:sz="4" w:space="0"/>
              <w:bottom w:val="single" w:color="auto" w:sz="4" w:space="0"/>
              <w:right w:val="single" w:color="auto" w:sz="4" w:space="0"/>
            </w:tcBorders>
            <w:noWrap w:val="0"/>
            <w:vAlign w:val="center"/>
          </w:tcPr>
          <w:p w14:paraId="3C5358D4">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合计</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639A6AE6">
            <w:pPr>
              <w:pStyle w:val="6"/>
              <w:keepNext w:val="0"/>
              <w:keepLines w:val="0"/>
              <w:suppressLineNumbers w:val="0"/>
              <w:tabs>
                <w:tab w:val="left" w:pos="312"/>
              </w:tabs>
              <w:spacing w:before="0" w:beforeAutospacing="0" w:afterAutospacing="0"/>
              <w:ind w:left="0" w:right="0"/>
              <w:rPr>
                <w:rFonts w:hint="default" w:ascii="仿宋_GB2312" w:hAnsi="仿宋_GB2312" w:eastAsia="仿宋_GB2312" w:cs="仿宋_GB2312"/>
                <w:color w:val="000000"/>
                <w:sz w:val="24"/>
                <w:szCs w:val="24"/>
                <w:lang w:val="en-US"/>
              </w:rPr>
            </w:pPr>
            <w:r>
              <w:rPr>
                <w:rFonts w:hint="eastAsia" w:ascii="宋体" w:hAnsi="宋体" w:cs="宋体"/>
                <w:kern w:val="2"/>
                <w:sz w:val="21"/>
                <w:szCs w:val="22"/>
                <w:highlight w:val="none"/>
                <w:lang w:val="en-US" w:eastAsia="zh-CN" w:bidi="ar-SA"/>
              </w:rPr>
              <w:t>32292</w:t>
            </w:r>
          </w:p>
        </w:tc>
        <w:tc>
          <w:tcPr>
            <w:tcW w:w="280" w:type="pct"/>
            <w:tcBorders>
              <w:top w:val="single" w:color="auto" w:sz="4" w:space="0"/>
              <w:left w:val="single" w:color="auto" w:sz="4" w:space="0"/>
              <w:bottom w:val="single" w:color="auto" w:sz="4" w:space="0"/>
              <w:right w:val="single" w:color="auto" w:sz="4" w:space="0"/>
            </w:tcBorders>
            <w:noWrap w:val="0"/>
            <w:vAlign w:val="center"/>
          </w:tcPr>
          <w:p w14:paraId="63CD8870">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rPr>
            </w:pPr>
          </w:p>
        </w:tc>
      </w:tr>
      <w:tr w14:paraId="77319AFF">
        <w:tblPrEx>
          <w:tblCellMar>
            <w:top w:w="0" w:type="dxa"/>
            <w:left w:w="108" w:type="dxa"/>
            <w:bottom w:w="0" w:type="dxa"/>
            <w:right w:w="108" w:type="dxa"/>
          </w:tblCellMar>
        </w:tblPrEx>
        <w:trPr>
          <w:trHeight w:val="2553" w:hRule="atLeast"/>
          <w:jc w:val="center"/>
        </w:trPr>
        <w:tc>
          <w:tcPr>
            <w:tcW w:w="232" w:type="pct"/>
            <w:tcBorders>
              <w:top w:val="single" w:color="auto" w:sz="4" w:space="0"/>
              <w:left w:val="single" w:color="auto" w:sz="4" w:space="0"/>
              <w:bottom w:val="single" w:color="auto" w:sz="4" w:space="0"/>
              <w:right w:val="single" w:color="auto" w:sz="4" w:space="0"/>
            </w:tcBorders>
            <w:noWrap/>
            <w:vAlign w:val="center"/>
          </w:tcPr>
          <w:p w14:paraId="7E26DE10">
            <w:pPr>
              <w:keepNext w:val="0"/>
              <w:keepLines w:val="0"/>
              <w:suppressLineNumbers w:val="0"/>
              <w:spacing w:before="0" w:beforeAutospacing="0" w:after="0" w:afterAutospacing="0" w:line="300" w:lineRule="exact"/>
              <w:ind w:left="0" w:right="0"/>
              <w:jc w:val="center"/>
              <w:textAlignment w:val="center"/>
              <w:rPr>
                <w:rFonts w:hint="default" w:ascii="宋体" w:hAnsi="宋体" w:cs="宋体"/>
                <w:b/>
                <w:bCs/>
                <w:color w:val="000000"/>
                <w:kern w:val="0"/>
                <w:szCs w:val="21"/>
                <w:lang w:bidi="ar"/>
              </w:rPr>
            </w:pPr>
            <w:r>
              <w:rPr>
                <w:rFonts w:hint="eastAsia" w:ascii="宋体" w:hAnsi="宋体" w:cs="宋体"/>
                <w:b/>
                <w:bCs/>
                <w:color w:val="000000"/>
                <w:kern w:val="0"/>
                <w:szCs w:val="21"/>
                <w:lang w:bidi="ar"/>
              </w:rPr>
              <w:t>商务条款</w:t>
            </w:r>
          </w:p>
        </w:tc>
        <w:tc>
          <w:tcPr>
            <w:tcW w:w="4487" w:type="pct"/>
            <w:gridSpan w:val="7"/>
            <w:tcBorders>
              <w:top w:val="single" w:color="auto" w:sz="4" w:space="0"/>
              <w:left w:val="single" w:color="auto" w:sz="4" w:space="0"/>
              <w:bottom w:val="single" w:color="auto" w:sz="4" w:space="0"/>
              <w:right w:val="single" w:color="auto" w:sz="4" w:space="0"/>
            </w:tcBorders>
            <w:noWrap/>
            <w:vAlign w:val="center"/>
          </w:tcPr>
          <w:p w14:paraId="0DE9CE1B">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lang w:val="en-US" w:eastAsia="zh-CN"/>
              </w:rPr>
              <w:t>一、合同签订期限：</w:t>
            </w:r>
            <w:r>
              <w:rPr>
                <w:rFonts w:hint="eastAsia" w:ascii="仿宋_GB2312" w:hAnsi="仿宋_GB2312" w:eastAsia="仿宋_GB2312" w:cs="仿宋_GB2312"/>
                <w:color w:val="000000"/>
                <w:sz w:val="24"/>
                <w:szCs w:val="24"/>
                <w:lang w:val="en-US" w:eastAsia="zh-CN"/>
              </w:rPr>
              <w:t>自成交通知书发出之日起 25 个日历日内，</w:t>
            </w:r>
            <w:r>
              <w:rPr>
                <w:rFonts w:hint="eastAsia" w:ascii="仿宋_GB2312" w:hAnsi="仿宋_GB2312" w:eastAsia="仿宋_GB2312" w:cs="仿宋_GB2312"/>
                <w:color w:val="000000"/>
                <w:sz w:val="24"/>
                <w:szCs w:val="24"/>
              </w:rPr>
              <w:t>与甲方完成本合同的签订</w:t>
            </w:r>
            <w:r>
              <w:rPr>
                <w:rFonts w:hint="eastAsia" w:ascii="仿宋_GB2312" w:hAnsi="仿宋_GB2312" w:eastAsia="仿宋_GB2312" w:cs="仿宋_GB2312"/>
                <w:color w:val="000000"/>
                <w:sz w:val="24"/>
                <w:szCs w:val="24"/>
                <w:lang w:val="en-US" w:eastAsia="zh-CN"/>
              </w:rPr>
              <w:t>。</w:t>
            </w:r>
          </w:p>
          <w:p w14:paraId="2784A7E2">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lang w:val="en-US" w:eastAsia="zh-CN"/>
              </w:rPr>
              <w:t>二、交付期限：</w:t>
            </w:r>
            <w:r>
              <w:rPr>
                <w:rFonts w:hint="eastAsia" w:ascii="仿宋_GB2312" w:hAnsi="仿宋_GB2312" w:eastAsia="仿宋_GB2312" w:cs="仿宋_GB2312"/>
                <w:color w:val="000000"/>
                <w:sz w:val="24"/>
                <w:szCs w:val="24"/>
                <w:lang w:val="en-US" w:eastAsia="zh-CN"/>
              </w:rPr>
              <w:t>自签订合同之日起25天内完成交付。</w:t>
            </w:r>
          </w:p>
          <w:p w14:paraId="30E15C96">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lang w:val="en-US" w:eastAsia="zh-CN"/>
              </w:rPr>
              <w:t>三、服务期限：36</w:t>
            </w:r>
            <w:r>
              <w:rPr>
                <w:rFonts w:hint="eastAsia" w:ascii="仿宋_GB2312" w:hAnsi="仿宋_GB2312" w:eastAsia="仿宋_GB2312" w:cs="仿宋_GB2312"/>
                <w:color w:val="000000"/>
                <w:sz w:val="24"/>
                <w:szCs w:val="24"/>
                <w:lang w:val="en-US" w:eastAsia="zh-CN"/>
              </w:rPr>
              <w:t>个月。</w:t>
            </w:r>
          </w:p>
          <w:p w14:paraId="29CF639F">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lang w:val="en-US" w:eastAsia="zh-CN"/>
              </w:rPr>
              <w:t>四、交付</w:t>
            </w:r>
            <w:r>
              <w:rPr>
                <w:rFonts w:hint="eastAsia" w:ascii="仿宋_GB2312" w:hAnsi="仿宋_GB2312" w:eastAsia="仿宋_GB2312" w:cs="仿宋_GB2312"/>
                <w:b/>
                <w:bCs/>
                <w:color w:val="auto"/>
                <w:sz w:val="24"/>
                <w:szCs w:val="24"/>
                <w:lang w:val="en-US" w:eastAsia="zh-CN"/>
              </w:rPr>
              <w:t>地点：</w:t>
            </w:r>
            <w:r>
              <w:rPr>
                <w:rFonts w:hint="eastAsia" w:ascii="仿宋_GB2312" w:hAnsi="仿宋_GB2312" w:eastAsia="仿宋_GB2312" w:cs="仿宋_GB2312"/>
                <w:color w:val="auto"/>
                <w:sz w:val="24"/>
                <w:szCs w:val="24"/>
                <w:lang w:val="en-US" w:eastAsia="zh-CN"/>
              </w:rPr>
              <w:t>上林县乔贤镇第一初级中学指定地点。</w:t>
            </w:r>
          </w:p>
          <w:p w14:paraId="227CD08B">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五、售后服务要求：</w:t>
            </w:r>
          </w:p>
          <w:p w14:paraId="11F4B213">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1.服务期内，成交供应商对项目出现的各类问题进行修复、完善和升级，保证网络、通信畅通。</w:t>
            </w:r>
          </w:p>
          <w:p w14:paraId="060C3E99">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2.按照国家相关规定实行“三包”，服务期内上门服务维修和备品备件更换服务。</w:t>
            </w:r>
          </w:p>
          <w:p w14:paraId="0669A63A">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lang w:val="en-US" w:eastAsia="zh-CN"/>
              </w:rPr>
              <w:t>3</w:t>
            </w:r>
            <w:r>
              <w:rPr>
                <w:rFonts w:hint="eastAsia" w:ascii="仿宋_GB2312" w:hAnsi="仿宋_GB2312" w:eastAsia="仿宋_GB2312" w:cs="仿宋_GB2312"/>
                <w:color w:val="000000"/>
                <w:sz w:val="24"/>
                <w:szCs w:val="24"/>
                <w:shd w:val="clear" w:color="auto" w:fill="auto"/>
                <w:lang w:val="en-US" w:eastAsia="zh-CN"/>
              </w:rPr>
              <w:t>.故障响应时间：</w:t>
            </w:r>
          </w:p>
          <w:p w14:paraId="7E05E95E">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shd w:val="clear" w:color="auto" w:fill="auto"/>
                <w:lang w:val="en-US" w:eastAsia="zh-CN"/>
              </w:rPr>
              <w:t>（1）提供7X24小时售后服务；故障申告响应时限为30分钟；线路维护人员、设备备件到达现场时间小于2小时；故障恢复时限小于8小时；网络中断时可根据采购人需要提供详细的故障处理及分析报告；线路故障处理产生的所有费用均由供应商承担。</w:t>
            </w:r>
          </w:p>
          <w:p w14:paraId="5B405938">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（2）在服务期内由成交供应商派出专家对本项目的设备和系统进行定期的例行检查。</w:t>
            </w:r>
          </w:p>
          <w:p w14:paraId="4288734A">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4. 服务期内，供应方不能满足服务需求的（包括但不仅限于线路稳定性、故障响应处理时间等）或出现故障超过3次且不能解决问题的，学校可以单方面解除服务合同，相关损失由供应方自行承担。</w:t>
            </w:r>
          </w:p>
          <w:p w14:paraId="56BDF73A">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六、报价要求及付款方式：</w:t>
            </w:r>
          </w:p>
          <w:p w14:paraId="1361ADFC">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lang w:val="en-US" w:eastAsia="zh-CN"/>
              </w:rPr>
              <w:t>1.报价要求：本项目要求供应商报出总价，总价不得超过采购文件确定的最高限价。如有超出按无效文件处理。报价是履行合同的最终价格；供应商应对本项目的所有内容范围的货物及服务进行总承包报价；采购人不再支付任何费用，包含货物及服务采购、专用工具、标准附件、运输、保管、安装、验收、培训等各种费用和售后服务、税金及其它所有</w:t>
            </w:r>
            <w:r>
              <w:rPr>
                <w:rFonts w:hint="eastAsia" w:ascii="仿宋_GB2312" w:hAnsi="仿宋_GB2312" w:eastAsia="仿宋_GB2312" w:cs="仿宋_GB2312"/>
                <w:color w:val="000000"/>
                <w:sz w:val="24"/>
                <w:szCs w:val="24"/>
                <w:highlight w:val="none"/>
                <w:lang w:val="en-US" w:eastAsia="zh-CN"/>
              </w:rPr>
              <w:t>成本费用的总和。货物在交货前发生不可预见的风险均由成交人负责。</w:t>
            </w:r>
          </w:p>
          <w:p w14:paraId="2F16F381">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2.付款方</w:t>
            </w:r>
            <w:r>
              <w:rPr>
                <w:rFonts w:hint="eastAsia" w:ascii="仿宋_GB2312" w:hAnsi="仿宋_GB2312" w:eastAsia="仿宋_GB2312" w:cs="仿宋_GB2312"/>
                <w:color w:val="000000"/>
                <w:sz w:val="24"/>
                <w:szCs w:val="24"/>
                <w:highlight w:val="none"/>
                <w:lang w:val="en-US" w:eastAsia="zh-CN"/>
              </w:rPr>
              <w:t>式:本项目无预付款，双方在验收清单上签字盖章确认后，采购人按月支付合同款。</w:t>
            </w:r>
          </w:p>
          <w:p w14:paraId="7E6E0DA7">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七、验收要求：</w:t>
            </w:r>
          </w:p>
          <w:p w14:paraId="52A58DA5">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根据采购文件的相关要求、国家相关法律法规、标准和规范等。</w:t>
            </w:r>
          </w:p>
          <w:p w14:paraId="16B7F6EE">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bCs/>
                <w:color w:val="auto"/>
                <w:sz w:val="24"/>
                <w:szCs w:val="24"/>
                <w:lang w:val="en-US" w:eastAsia="zh-CN"/>
              </w:rPr>
              <w:t>八、其他要求</w:t>
            </w:r>
          </w:p>
          <w:p w14:paraId="71A8E070">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lang w:val="en-US" w:eastAsia="zh-CN"/>
              </w:rPr>
              <w:t>▲1、成交供应商使用的专线传输技术获得过省级及以上科学技术奖项（中标后须提供有效证书复印件，采购人签订合同前将查验，无法提供者采购人有权按虚假应标</w:t>
            </w:r>
            <w:r>
              <w:rPr>
                <w:rFonts w:hint="eastAsia" w:ascii="仿宋_GB2312" w:hAnsi="仿宋_GB2312" w:eastAsia="仿宋_GB2312" w:cs="仿宋_GB2312"/>
                <w:color w:val="auto"/>
                <w:sz w:val="24"/>
                <w:szCs w:val="24"/>
                <w:highlight w:val="none"/>
                <w:lang w:val="en-US" w:eastAsia="zh-CN"/>
              </w:rPr>
              <w:t>处理）；</w:t>
            </w:r>
          </w:p>
          <w:p w14:paraId="58467BB1">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lang w:val="en-US" w:eastAsia="zh-CN"/>
              </w:rPr>
              <w:t>▲</w:t>
            </w:r>
            <w:r>
              <w:rPr>
                <w:rFonts w:hint="eastAsia" w:ascii="仿宋_GB2312" w:hAnsi="仿宋_GB2312" w:eastAsia="仿宋_GB2312" w:cs="仿宋_GB2312"/>
                <w:color w:val="auto"/>
                <w:sz w:val="24"/>
                <w:szCs w:val="24"/>
                <w:highlight w:val="none"/>
                <w:lang w:val="en-US" w:eastAsia="zh-CN"/>
              </w:rPr>
              <w:t>2、为保障服务期内大规模网络割接、故障紧急抢修及突发流量调度等复杂场景下的业务连续性与响应时效，要求中标人在本地（南宁）现网实际运维的网元规模不少于15000个，并具备在本地实施大规模网络组网及运维保障的能力。（中标后2个工作日内提供本地网络现网网管系统的网元列表截图，并加盖投标人公章）；。</w:t>
            </w:r>
          </w:p>
          <w:p w14:paraId="4DD9B9F6">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▲3、中标人或其上级机构需获得GB／T23793＆GB／T33456供应商综合能力服务认证证书（中标后提供有效证书复印件，无法提供则视为虚假应标，采购人有权进行废标处理并追究该投标人相关法律责任）。</w:t>
            </w:r>
          </w:p>
          <w:p w14:paraId="1789B808">
            <w:pPr>
              <w:pStyle w:val="6"/>
              <w:keepNext w:val="0"/>
              <w:keepLines w:val="0"/>
              <w:suppressLineNumbers w:val="0"/>
              <w:tabs>
                <w:tab w:val="left" w:pos="312"/>
              </w:tabs>
              <w:spacing w:before="0" w:beforeAutospacing="0" w:afterAutospacing="0"/>
              <w:ind w:left="0" w:right="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auto"/>
                <w:sz w:val="24"/>
                <w:szCs w:val="24"/>
                <w:lang w:val="en-US" w:eastAsia="zh-CN"/>
              </w:rPr>
              <w:t>▲4、采购文件中标注“▲”号的条款为实质性条款或指标，要求必须满足或优于。若竞标人虚假竞标，采购人有权追究该竞标人相关法律责任。</w:t>
            </w:r>
          </w:p>
        </w:tc>
        <w:tc>
          <w:tcPr>
            <w:tcW w:w="280" w:type="pct"/>
            <w:tcBorders>
              <w:top w:val="single" w:color="auto" w:sz="4" w:space="0"/>
              <w:left w:val="single" w:color="auto" w:sz="4" w:space="0"/>
              <w:bottom w:val="single" w:color="auto" w:sz="4" w:space="0"/>
              <w:right w:val="single" w:color="auto" w:sz="4" w:space="0"/>
            </w:tcBorders>
            <w:noWrap/>
            <w:vAlign w:val="center"/>
          </w:tcPr>
          <w:p w14:paraId="644EC4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00" w:lineRule="exact"/>
              <w:ind w:left="0" w:right="0"/>
              <w:textAlignment w:val="center"/>
              <w:rPr>
                <w:rFonts w:hint="eastAsia" w:ascii="宋体" w:hAnsi="宋体" w:eastAsia="宋体" w:cs="宋体"/>
                <w:sz w:val="24"/>
                <w:szCs w:val="24"/>
                <w:lang w:eastAsia="zh-CN"/>
              </w:rPr>
            </w:pPr>
            <w:r>
              <w:rPr>
                <w:rFonts w:hint="eastAsia" w:ascii="宋体" w:hAnsi="宋体" w:cs="宋体"/>
                <w:sz w:val="24"/>
                <w:szCs w:val="24"/>
                <w:lang w:eastAsia="zh-CN"/>
              </w:rPr>
              <w:t>无</w:t>
            </w:r>
          </w:p>
        </w:tc>
      </w:tr>
    </w:tbl>
    <w:p w14:paraId="633EB55B">
      <w:pPr>
        <w:spacing w:line="560" w:lineRule="exact"/>
        <w:jc w:val="left"/>
        <w:rPr>
          <w:rFonts w:ascii="黑体" w:hAnsi="黑体" w:eastAsia="黑体" w:cs="黑体"/>
          <w:sz w:val="32"/>
          <w:szCs w:val="32"/>
        </w:rPr>
      </w:pPr>
    </w:p>
    <w:p w14:paraId="26C2D3F1"/>
    <w:p w14:paraId="4EF7732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000000"/>
          <w:sz w:val="32"/>
          <w:szCs w:val="32"/>
          <w:highlight w:val="none"/>
          <w:lang w:eastAsia="zh-CN"/>
        </w:rPr>
      </w:pPr>
      <w:bookmarkStart w:id="1" w:name="_Toc216879563"/>
      <w:r>
        <w:rPr>
          <w:rFonts w:hint="eastAsia" w:ascii="仿宋_GB2312" w:hAnsi="仿宋_GB2312" w:eastAsia="仿宋_GB2312" w:cs="仿宋_GB2312"/>
          <w:b/>
          <w:bCs/>
          <w:color w:val="000000"/>
          <w:sz w:val="32"/>
          <w:szCs w:val="32"/>
          <w:highlight w:val="none"/>
          <w:lang w:eastAsia="zh-CN"/>
        </w:rPr>
        <w:t>三、投标人在报价时须提供响应文件，包含但不限于以下内容</w:t>
      </w:r>
      <w:bookmarkEnd w:id="1"/>
    </w:p>
    <w:p w14:paraId="744CEEC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（一）在中华人民共和国境内依法注册的合法企业或其分支机构，提供有效的营业执照。</w:t>
      </w:r>
    </w:p>
    <w:p w14:paraId="7BC8925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（二）参加政府采购活动前三年内在经营活动中没有重大违法记录的书面声明（详见附件</w:t>
      </w:r>
      <w:r>
        <w:rPr>
          <w:rFonts w:hint="eastAsia" w:ascii="仿宋_GB2312" w:hAnsi="仿宋_GB2312" w:eastAsia="仿宋_GB2312" w:cs="仿宋_GB2312"/>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eastAsia="zh-CN"/>
        </w:rPr>
        <w:t>）</w:t>
      </w:r>
    </w:p>
    <w:p w14:paraId="7DE63E9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三）未被列入失信被执行人、重大税收违法案件当事人名单、政府采购严重违法失信行为记录名单证明材料（供应商可在“信用中国”网站（www.creditchina.gov.cn）、中国政府采购网（www.ccgp.gov.cn）查询相关供应商主体信用记录）（附件</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eastAsia="zh-CN"/>
        </w:rPr>
        <w:t>）；</w:t>
      </w:r>
    </w:p>
    <w:p w14:paraId="01A75CC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（四）报价表（详见附件</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eastAsia="zh-CN"/>
        </w:rPr>
        <w:t>）；</w:t>
      </w:r>
    </w:p>
    <w:p w14:paraId="6127F36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（五）售后服务承诺书（内容可以是提供的切实可行的售后服务和优惠承诺，格式自拟，详见附件</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w:t>
      </w:r>
    </w:p>
    <w:p w14:paraId="3C8B65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（六）供应商认为需要提供的有关资料（附件</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w:t>
      </w:r>
    </w:p>
    <w:p w14:paraId="747DEA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highlight w:val="none"/>
          <w:lang w:eastAsia="zh-CN"/>
        </w:rPr>
      </w:pPr>
    </w:p>
    <w:p w14:paraId="693CB5A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bCs/>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eastAsia="zh-CN"/>
        </w:rPr>
        <w:t>注：以上材料每一页均需加盖投标人公章，未按要求在广西政府采购云平台上传响应文件的，视为无效竞价。本项目所有服务技术需求和商务需求必须全部满足或优于，否则竞标无效。成交供应商如因无法满足采购文件要求及其他原因放弃成交资格或拒绝履行成交项目的，采购人可以将相关情况上报政府采购监管部门及广西政府采购云平台处理，产生的后果由供应商承担。</w:t>
      </w:r>
    </w:p>
    <w:p w14:paraId="263E7006">
      <w:pPr>
        <w:widowControl/>
        <w:spacing w:line="420" w:lineRule="exact"/>
        <w:rPr>
          <w:rFonts w:ascii="宋体" w:hAnsi="宋体" w:cs="宋体"/>
          <w:bCs/>
          <w:color w:val="000000"/>
          <w:sz w:val="28"/>
          <w:szCs w:val="28"/>
        </w:rPr>
      </w:pPr>
    </w:p>
    <w:p w14:paraId="79AFFB62">
      <w:pPr>
        <w:pStyle w:val="2"/>
        <w:rPr>
          <w:rFonts w:ascii="宋体" w:hAnsi="宋体" w:cs="宋体"/>
          <w:bCs/>
          <w:color w:val="000000"/>
          <w:sz w:val="28"/>
          <w:szCs w:val="28"/>
        </w:rPr>
      </w:pPr>
    </w:p>
    <w:p w14:paraId="79201C95"/>
    <w:p w14:paraId="0551FAB9">
      <w:pPr>
        <w:pStyle w:val="2"/>
      </w:pPr>
    </w:p>
    <w:p w14:paraId="66076727"/>
    <w:p w14:paraId="3F2F41D9">
      <w:pPr>
        <w:pStyle w:val="2"/>
      </w:pPr>
    </w:p>
    <w:p w14:paraId="7D9837C8"/>
    <w:p w14:paraId="6BDD3302">
      <w:pPr>
        <w:pStyle w:val="2"/>
      </w:pPr>
    </w:p>
    <w:p w14:paraId="18F8D2E0"/>
    <w:p w14:paraId="1011C548">
      <w:pPr>
        <w:pStyle w:val="2"/>
      </w:pPr>
    </w:p>
    <w:p w14:paraId="07EEB4BB"/>
    <w:p w14:paraId="05AD7198">
      <w:pPr>
        <w:pStyle w:val="2"/>
      </w:pPr>
    </w:p>
    <w:p w14:paraId="4EB1775E"/>
    <w:p w14:paraId="49FFC7B0">
      <w:pPr>
        <w:pStyle w:val="2"/>
      </w:pPr>
    </w:p>
    <w:p w14:paraId="5E49DCFC"/>
    <w:p w14:paraId="54242DE1">
      <w:pPr>
        <w:pStyle w:val="2"/>
      </w:pPr>
    </w:p>
    <w:p w14:paraId="2EF7FCAC"/>
    <w:p w14:paraId="13C2852D">
      <w:pPr>
        <w:pStyle w:val="2"/>
      </w:pPr>
    </w:p>
    <w:p w14:paraId="7894AD8E"/>
    <w:p w14:paraId="10A68BFD">
      <w:pPr>
        <w:snapToGrid w:val="0"/>
        <w:spacing w:line="360" w:lineRule="auto"/>
        <w:jc w:val="left"/>
        <w:outlineLvl w:val="1"/>
        <w:rPr>
          <w:rFonts w:ascii="宋体" w:hAnsi="宋体" w:cs="宋体"/>
          <w:bCs/>
          <w:color w:val="000000"/>
          <w:sz w:val="28"/>
          <w:szCs w:val="28"/>
        </w:rPr>
      </w:pPr>
      <w:r>
        <w:rPr>
          <w:rFonts w:hint="eastAsia" w:ascii="宋体" w:hAnsi="宋体" w:cs="宋体"/>
          <w:bCs/>
          <w:color w:val="000000"/>
          <w:sz w:val="28"/>
          <w:szCs w:val="28"/>
        </w:rPr>
        <w:t>附件</w:t>
      </w:r>
      <w:r>
        <w:rPr>
          <w:rFonts w:hint="eastAsia" w:ascii="宋体" w:hAnsi="宋体" w:cs="宋体"/>
          <w:bCs/>
          <w:color w:val="000000"/>
          <w:sz w:val="28"/>
          <w:szCs w:val="28"/>
          <w:lang w:val="en-US" w:eastAsia="zh-CN"/>
        </w:rPr>
        <w:t>1</w:t>
      </w:r>
      <w:r>
        <w:rPr>
          <w:rFonts w:hint="eastAsia" w:ascii="宋体" w:hAnsi="宋体" w:cs="宋体"/>
          <w:bCs/>
          <w:color w:val="000000"/>
          <w:sz w:val="28"/>
          <w:szCs w:val="28"/>
        </w:rPr>
        <w:t>：书面声明</w:t>
      </w:r>
    </w:p>
    <w:p w14:paraId="013D38D9">
      <w:pPr>
        <w:snapToGrid w:val="0"/>
        <w:spacing w:line="360" w:lineRule="auto"/>
        <w:jc w:val="center"/>
        <w:rPr>
          <w:rFonts w:ascii="宋体" w:hAnsi="宋体" w:cs="宋体"/>
          <w:b/>
          <w:color w:val="000000"/>
          <w:kern w:val="0"/>
          <w:sz w:val="36"/>
          <w:szCs w:val="36"/>
        </w:rPr>
      </w:pPr>
      <w:r>
        <w:rPr>
          <w:rFonts w:hint="eastAsia" w:ascii="宋体" w:hAnsi="宋体" w:cs="宋体"/>
          <w:b/>
          <w:color w:val="000000"/>
          <w:kern w:val="0"/>
          <w:sz w:val="36"/>
          <w:szCs w:val="36"/>
        </w:rPr>
        <w:t>参加响应活动前3年内在经营活动中没有重大违法记录的书面声明</w:t>
      </w:r>
    </w:p>
    <w:p w14:paraId="5C1ED1E8">
      <w:pPr>
        <w:snapToGrid w:val="0"/>
        <w:spacing w:line="360" w:lineRule="auto"/>
        <w:ind w:firstLine="422" w:firstLineChars="200"/>
        <w:rPr>
          <w:rFonts w:ascii="宋体" w:hAnsi="宋体" w:cs="宋体"/>
          <w:b/>
          <w:color w:val="000000"/>
          <w:kern w:val="0"/>
          <w:szCs w:val="21"/>
        </w:rPr>
      </w:pPr>
    </w:p>
    <w:p w14:paraId="6C1C7EF1">
      <w:pPr>
        <w:snapToGrid w:val="0"/>
        <w:spacing w:line="360" w:lineRule="auto"/>
        <w:rPr>
          <w:rFonts w:hint="eastAsia" w:ascii="宋体" w:hAnsi="宋体" w:eastAsia="宋体" w:cs="宋体"/>
          <w:color w:val="auto"/>
          <w:kern w:val="0"/>
          <w:sz w:val="24"/>
          <w:szCs w:val="20"/>
          <w:lang w:eastAsia="zh-CN"/>
        </w:rPr>
      </w:pPr>
      <w:r>
        <w:rPr>
          <w:rFonts w:hint="eastAsia" w:ascii="宋体" w:hAnsi="宋体" w:cs="宋体"/>
          <w:color w:val="auto"/>
          <w:kern w:val="0"/>
          <w:sz w:val="24"/>
          <w:szCs w:val="20"/>
          <w:lang w:eastAsia="zh-CN"/>
        </w:rPr>
        <w:t>上林县乔贤镇第一初级中学：</w:t>
      </w:r>
    </w:p>
    <w:p w14:paraId="25149BA3">
      <w:pPr>
        <w:spacing w:line="500" w:lineRule="exact"/>
        <w:ind w:firstLine="480" w:firstLineChars="200"/>
        <w:rPr>
          <w:rFonts w:ascii="宋体" w:hAnsi="宋体" w:cs="宋体"/>
          <w:color w:val="000000"/>
          <w:kern w:val="0"/>
          <w:sz w:val="24"/>
          <w:szCs w:val="20"/>
        </w:rPr>
      </w:pPr>
      <w:r>
        <w:rPr>
          <w:rFonts w:hint="eastAsia" w:ascii="宋体" w:hAnsi="宋体" w:cs="宋体"/>
          <w:color w:val="000000"/>
          <w:kern w:val="0"/>
          <w:sz w:val="24"/>
          <w:szCs w:val="20"/>
        </w:rPr>
        <w:t>我单位在参加响应活动前3年内在经营活动中没有重大违法记录，包括：</w:t>
      </w:r>
    </w:p>
    <w:p w14:paraId="799F17D5">
      <w:pPr>
        <w:spacing w:line="500" w:lineRule="exact"/>
        <w:ind w:firstLine="480" w:firstLineChars="200"/>
        <w:rPr>
          <w:rFonts w:ascii="宋体" w:hAnsi="宋体" w:cs="宋体"/>
          <w:color w:val="000000"/>
          <w:kern w:val="0"/>
          <w:sz w:val="24"/>
          <w:szCs w:val="20"/>
        </w:rPr>
      </w:pPr>
      <w:r>
        <w:rPr>
          <w:rFonts w:hint="eastAsia" w:ascii="宋体" w:hAnsi="宋体" w:cs="宋体"/>
          <w:color w:val="000000"/>
          <w:kern w:val="0"/>
          <w:sz w:val="24"/>
          <w:szCs w:val="20"/>
        </w:rPr>
        <w:t>我单位或者其法定代表人（负责人或自然人）、董事、监事、高级管理人员未因经营活动中的违法行为受到刑事处罚或者责令停产停业、吊销许可证或者执照、较大数额罚款等行政处罚。</w:t>
      </w:r>
    </w:p>
    <w:p w14:paraId="1C2917C0">
      <w:pPr>
        <w:spacing w:line="500" w:lineRule="exact"/>
        <w:ind w:firstLine="480" w:firstLineChars="200"/>
        <w:rPr>
          <w:rFonts w:ascii="宋体" w:hAnsi="宋体" w:cs="宋体"/>
          <w:color w:val="000000"/>
          <w:kern w:val="0"/>
          <w:sz w:val="24"/>
          <w:szCs w:val="20"/>
        </w:rPr>
      </w:pPr>
      <w:r>
        <w:rPr>
          <w:rFonts w:hint="eastAsia" w:ascii="宋体" w:hAnsi="宋体" w:cs="宋体"/>
          <w:color w:val="000000"/>
          <w:kern w:val="0"/>
          <w:sz w:val="24"/>
          <w:szCs w:val="20"/>
        </w:rPr>
        <w:t>我单位在“信用中国”网站(www.creditchina.gov.cn)没有被列入失信被执行人、重大税收违法案件当事人、政府采购不良行为记录。</w:t>
      </w:r>
    </w:p>
    <w:p w14:paraId="2CD209F2">
      <w:pPr>
        <w:spacing w:line="500" w:lineRule="exact"/>
        <w:ind w:firstLine="480" w:firstLineChars="200"/>
        <w:rPr>
          <w:rFonts w:ascii="宋体" w:hAnsi="宋体" w:cs="宋体"/>
          <w:color w:val="000000"/>
          <w:kern w:val="0"/>
          <w:sz w:val="24"/>
          <w:szCs w:val="20"/>
        </w:rPr>
      </w:pPr>
      <w:r>
        <w:rPr>
          <w:rFonts w:hint="eastAsia" w:ascii="宋体" w:hAnsi="宋体" w:cs="宋体"/>
          <w:color w:val="000000"/>
          <w:kern w:val="0"/>
          <w:sz w:val="24"/>
          <w:szCs w:val="20"/>
        </w:rPr>
        <w:t>特此声明！</w:t>
      </w:r>
    </w:p>
    <w:p w14:paraId="06543061">
      <w:pPr>
        <w:spacing w:line="500" w:lineRule="exact"/>
        <w:rPr>
          <w:rFonts w:ascii="宋体" w:hAnsi="宋体" w:cs="宋体"/>
          <w:color w:val="000000"/>
          <w:kern w:val="0"/>
          <w:sz w:val="24"/>
          <w:szCs w:val="20"/>
        </w:rPr>
      </w:pPr>
    </w:p>
    <w:p w14:paraId="0D2F09A5">
      <w:pPr>
        <w:snapToGrid w:val="0"/>
        <w:spacing w:line="500" w:lineRule="exact"/>
        <w:ind w:firstLine="2160" w:firstLineChars="900"/>
        <w:rPr>
          <w:rFonts w:ascii="宋体" w:hAnsi="宋体" w:cs="宋体"/>
          <w:color w:val="000000"/>
          <w:kern w:val="0"/>
          <w:sz w:val="24"/>
          <w:szCs w:val="20"/>
        </w:rPr>
      </w:pPr>
      <w:r>
        <w:rPr>
          <w:rFonts w:hint="eastAsia" w:ascii="宋体" w:hAnsi="宋体" w:cs="宋体"/>
          <w:color w:val="000000"/>
          <w:kern w:val="0"/>
          <w:sz w:val="24"/>
          <w:szCs w:val="20"/>
        </w:rPr>
        <w:t>供应商名称（公章）：</w:t>
      </w:r>
      <w:r>
        <w:rPr>
          <w:rFonts w:hint="eastAsia" w:ascii="宋体" w:hAnsi="宋体" w:cs="宋体"/>
          <w:color w:val="000000"/>
          <w:kern w:val="0"/>
          <w:sz w:val="24"/>
          <w:szCs w:val="20"/>
          <w:u w:val="single"/>
        </w:rPr>
        <w:t xml:space="preserve">                              </w:t>
      </w:r>
      <w:r>
        <w:rPr>
          <w:rFonts w:hint="eastAsia" w:ascii="宋体" w:hAnsi="宋体" w:cs="宋体"/>
          <w:color w:val="000000"/>
          <w:kern w:val="0"/>
          <w:sz w:val="24"/>
          <w:szCs w:val="20"/>
        </w:rPr>
        <w:t>；</w:t>
      </w:r>
    </w:p>
    <w:p w14:paraId="157FFF4A">
      <w:pPr>
        <w:spacing w:line="500" w:lineRule="exact"/>
        <w:rPr>
          <w:rFonts w:ascii="宋体" w:hAnsi="宋体" w:cs="宋体"/>
          <w:color w:val="000000"/>
          <w:kern w:val="0"/>
          <w:sz w:val="24"/>
          <w:szCs w:val="20"/>
        </w:rPr>
      </w:pPr>
    </w:p>
    <w:p w14:paraId="39C73D06">
      <w:pPr>
        <w:spacing w:line="500" w:lineRule="exact"/>
        <w:ind w:firstLine="2400" w:firstLineChars="1000"/>
        <w:rPr>
          <w:rFonts w:hint="eastAsia" w:ascii="宋体" w:hAnsi="宋体" w:cs="宋体"/>
          <w:bCs/>
          <w:color w:val="000000"/>
          <w:sz w:val="28"/>
          <w:szCs w:val="28"/>
        </w:rPr>
      </w:pPr>
      <w:r>
        <w:rPr>
          <w:rFonts w:hint="eastAsia" w:ascii="宋体" w:hAnsi="宋体" w:cs="宋体"/>
          <w:color w:val="000000"/>
          <w:kern w:val="0"/>
          <w:sz w:val="24"/>
          <w:szCs w:val="20"/>
        </w:rPr>
        <w:t>日期：</w:t>
      </w:r>
      <w:r>
        <w:rPr>
          <w:rFonts w:hint="eastAsia" w:ascii="宋体" w:hAnsi="宋体" w:cs="宋体"/>
          <w:color w:val="000000"/>
          <w:kern w:val="0"/>
          <w:sz w:val="24"/>
          <w:szCs w:val="20"/>
          <w:u w:val="single"/>
        </w:rPr>
        <w:t xml:space="preserve">      </w:t>
      </w:r>
      <w:r>
        <w:rPr>
          <w:rFonts w:hint="eastAsia" w:ascii="宋体" w:hAnsi="宋体" w:cs="宋体"/>
          <w:color w:val="000000"/>
          <w:kern w:val="0"/>
          <w:sz w:val="24"/>
          <w:szCs w:val="20"/>
        </w:rPr>
        <w:t>年</w:t>
      </w:r>
      <w:r>
        <w:rPr>
          <w:rFonts w:hint="eastAsia" w:ascii="宋体" w:hAnsi="宋体" w:cs="宋体"/>
          <w:color w:val="000000"/>
          <w:kern w:val="0"/>
          <w:sz w:val="24"/>
          <w:szCs w:val="20"/>
          <w:u w:val="single"/>
        </w:rPr>
        <w:t xml:space="preserve">      </w:t>
      </w:r>
      <w:r>
        <w:rPr>
          <w:rFonts w:hint="eastAsia" w:ascii="宋体" w:hAnsi="宋体" w:cs="宋体"/>
          <w:color w:val="000000"/>
          <w:kern w:val="0"/>
          <w:sz w:val="24"/>
          <w:szCs w:val="20"/>
        </w:rPr>
        <w:t>月</w:t>
      </w:r>
      <w:r>
        <w:rPr>
          <w:rFonts w:hint="eastAsia" w:ascii="宋体" w:hAnsi="宋体" w:cs="宋体"/>
          <w:color w:val="000000"/>
          <w:kern w:val="0"/>
          <w:sz w:val="24"/>
          <w:szCs w:val="20"/>
          <w:u w:val="single"/>
        </w:rPr>
        <w:t xml:space="preserve">      </w:t>
      </w:r>
      <w:r>
        <w:rPr>
          <w:rFonts w:hint="eastAsia" w:ascii="宋体" w:hAnsi="宋体" w:cs="宋体"/>
          <w:color w:val="000000"/>
          <w:kern w:val="0"/>
          <w:sz w:val="24"/>
          <w:szCs w:val="20"/>
        </w:rPr>
        <w:t>日</w:t>
      </w:r>
    </w:p>
    <w:p w14:paraId="62DE9CF6">
      <w:pPr>
        <w:spacing w:line="520" w:lineRule="exact"/>
        <w:rPr>
          <w:rFonts w:hint="eastAsia" w:ascii="宋体" w:hAnsi="宋体" w:cs="宋体"/>
          <w:bCs/>
          <w:color w:val="000000"/>
          <w:sz w:val="28"/>
          <w:szCs w:val="28"/>
        </w:rPr>
      </w:pPr>
    </w:p>
    <w:p w14:paraId="0560A8F2">
      <w:pPr>
        <w:spacing w:line="520" w:lineRule="exact"/>
        <w:rPr>
          <w:rFonts w:hint="eastAsia" w:ascii="宋体" w:hAnsi="宋体" w:cs="宋体"/>
          <w:bCs/>
          <w:color w:val="000000"/>
          <w:sz w:val="28"/>
          <w:szCs w:val="28"/>
        </w:rPr>
      </w:pPr>
    </w:p>
    <w:p w14:paraId="67B8AE7E">
      <w:pPr>
        <w:spacing w:line="520" w:lineRule="exact"/>
        <w:rPr>
          <w:rFonts w:hint="eastAsia" w:ascii="宋体" w:hAnsi="宋体" w:cs="宋体"/>
          <w:bCs/>
          <w:color w:val="000000"/>
          <w:sz w:val="28"/>
          <w:szCs w:val="28"/>
        </w:rPr>
      </w:pPr>
    </w:p>
    <w:p w14:paraId="78B0104F">
      <w:pPr>
        <w:spacing w:line="520" w:lineRule="exact"/>
        <w:rPr>
          <w:rFonts w:hint="eastAsia" w:ascii="宋体" w:hAnsi="宋体" w:cs="宋体"/>
          <w:bCs/>
          <w:color w:val="000000"/>
          <w:sz w:val="28"/>
          <w:szCs w:val="28"/>
        </w:rPr>
      </w:pPr>
    </w:p>
    <w:p w14:paraId="7E83B39C">
      <w:pPr>
        <w:spacing w:line="520" w:lineRule="exact"/>
        <w:rPr>
          <w:rFonts w:hint="eastAsia" w:ascii="宋体" w:hAnsi="宋体" w:cs="宋体"/>
          <w:bCs/>
          <w:color w:val="000000"/>
          <w:sz w:val="28"/>
          <w:szCs w:val="28"/>
        </w:rPr>
      </w:pPr>
    </w:p>
    <w:p w14:paraId="1F09F704">
      <w:pPr>
        <w:spacing w:line="520" w:lineRule="exact"/>
        <w:rPr>
          <w:rFonts w:hint="eastAsia" w:ascii="宋体" w:hAnsi="宋体" w:cs="宋体"/>
          <w:bCs/>
          <w:color w:val="000000"/>
          <w:sz w:val="28"/>
          <w:szCs w:val="28"/>
        </w:rPr>
      </w:pPr>
    </w:p>
    <w:p w14:paraId="6B5950C8">
      <w:pPr>
        <w:spacing w:line="520" w:lineRule="exact"/>
        <w:rPr>
          <w:rFonts w:hint="eastAsia" w:ascii="宋体" w:hAnsi="宋体" w:cs="宋体"/>
          <w:bCs/>
          <w:color w:val="000000"/>
          <w:sz w:val="28"/>
          <w:szCs w:val="28"/>
        </w:rPr>
      </w:pPr>
    </w:p>
    <w:p w14:paraId="6293F0C0">
      <w:pPr>
        <w:spacing w:line="520" w:lineRule="exact"/>
        <w:rPr>
          <w:rFonts w:hint="eastAsia" w:ascii="宋体" w:hAnsi="宋体" w:cs="宋体"/>
          <w:bCs/>
          <w:color w:val="000000"/>
          <w:sz w:val="28"/>
          <w:szCs w:val="28"/>
        </w:rPr>
      </w:pPr>
    </w:p>
    <w:p w14:paraId="6CCEB44B">
      <w:pPr>
        <w:spacing w:line="520" w:lineRule="exact"/>
        <w:rPr>
          <w:rFonts w:hint="eastAsia" w:ascii="宋体" w:hAnsi="宋体" w:cs="宋体"/>
          <w:bCs/>
          <w:color w:val="000000"/>
          <w:sz w:val="28"/>
          <w:szCs w:val="28"/>
        </w:rPr>
      </w:pPr>
    </w:p>
    <w:p w14:paraId="101C1BBD">
      <w:pPr>
        <w:spacing w:line="520" w:lineRule="exact"/>
        <w:rPr>
          <w:rFonts w:hint="eastAsia" w:ascii="宋体" w:hAnsi="宋体" w:cs="宋体"/>
          <w:bCs/>
          <w:color w:val="000000"/>
          <w:sz w:val="28"/>
          <w:szCs w:val="28"/>
        </w:rPr>
      </w:pPr>
    </w:p>
    <w:p w14:paraId="011D42B8">
      <w:pPr>
        <w:spacing w:line="520" w:lineRule="exact"/>
        <w:rPr>
          <w:rFonts w:ascii="宋体" w:hAnsi="宋体" w:cs="宋体"/>
          <w:bCs/>
          <w:color w:val="000000"/>
          <w:sz w:val="28"/>
          <w:szCs w:val="28"/>
        </w:rPr>
      </w:pPr>
      <w:r>
        <w:rPr>
          <w:rFonts w:hint="eastAsia" w:ascii="宋体" w:hAnsi="宋体" w:cs="宋体"/>
          <w:bCs/>
          <w:color w:val="000000"/>
          <w:sz w:val="28"/>
          <w:szCs w:val="28"/>
        </w:rPr>
        <w:t>附件</w:t>
      </w:r>
      <w:r>
        <w:rPr>
          <w:rFonts w:hint="eastAsia" w:ascii="宋体" w:hAnsi="宋体" w:cs="宋体"/>
          <w:bCs/>
          <w:color w:val="000000"/>
          <w:sz w:val="28"/>
          <w:szCs w:val="28"/>
          <w:lang w:val="en-US" w:eastAsia="zh-CN"/>
        </w:rPr>
        <w:t>2</w:t>
      </w:r>
    </w:p>
    <w:p w14:paraId="40F434E8">
      <w:pPr>
        <w:spacing w:line="520" w:lineRule="exact"/>
        <w:rPr>
          <w:rFonts w:ascii="仿宋_GB2312" w:hAnsi="等线" w:eastAsia="仿宋_GB2312"/>
          <w:sz w:val="30"/>
          <w:szCs w:val="30"/>
        </w:rPr>
      </w:pPr>
      <w:r>
        <w:rPr>
          <w:rFonts w:hint="eastAsia" w:ascii="仿宋_GB2312" w:hAnsi="等线" w:eastAsia="仿宋_GB2312"/>
          <w:sz w:val="30"/>
          <w:szCs w:val="30"/>
        </w:rPr>
        <w:t>未被列入失信被执行人、重大税收违法案件当事人名单、政府采购严重违法失信行为记录名单证明材料（供应商可在“信用中国”网站（</w:t>
      </w:r>
      <w:r>
        <w:rPr>
          <w:rFonts w:ascii="仿宋_GB2312" w:hAnsi="等线" w:eastAsia="仿宋_GB2312"/>
          <w:sz w:val="30"/>
          <w:szCs w:val="30"/>
        </w:rPr>
        <w:t>www.creditchina.gov.cn）、中国政府采购网（www.ccgp.gov.cn）查询相关供应商主体信用记录）</w:t>
      </w:r>
    </w:p>
    <w:p w14:paraId="7E5855C8">
      <w:pPr>
        <w:spacing w:line="520" w:lineRule="exact"/>
        <w:rPr>
          <w:rFonts w:hint="eastAsia" w:ascii="仿宋_GB2312" w:hAnsi="等线" w:eastAsia="仿宋_GB2312"/>
          <w:b/>
          <w:bCs/>
          <w:sz w:val="30"/>
          <w:szCs w:val="30"/>
          <w:lang w:eastAsia="zh-CN"/>
        </w:rPr>
      </w:pPr>
      <w:r>
        <w:rPr>
          <w:rFonts w:hint="eastAsia" w:ascii="仿宋_GB2312" w:hAnsi="等线" w:eastAsia="仿宋_GB2312"/>
          <w:b/>
          <w:bCs/>
          <w:sz w:val="30"/>
          <w:szCs w:val="30"/>
        </w:rPr>
        <w:t>提供截图</w:t>
      </w:r>
      <w:r>
        <w:rPr>
          <w:rFonts w:hint="eastAsia" w:ascii="仿宋_GB2312" w:hAnsi="等线" w:eastAsia="仿宋_GB2312"/>
          <w:b/>
          <w:bCs/>
          <w:sz w:val="30"/>
          <w:szCs w:val="30"/>
          <w:lang w:eastAsia="zh-CN"/>
        </w:rPr>
        <w:t>（</w:t>
      </w:r>
      <w:r>
        <w:rPr>
          <w:rFonts w:hint="eastAsia" w:ascii="仿宋_GB2312" w:hAnsi="等线" w:eastAsia="仿宋_GB2312"/>
          <w:b/>
          <w:bCs/>
          <w:sz w:val="30"/>
          <w:szCs w:val="30"/>
          <w:lang w:val="en-US" w:eastAsia="zh-CN"/>
        </w:rPr>
        <w:t>加盖公章</w:t>
      </w:r>
      <w:r>
        <w:rPr>
          <w:rFonts w:hint="eastAsia" w:ascii="仿宋_GB2312" w:hAnsi="等线" w:eastAsia="仿宋_GB2312"/>
          <w:b/>
          <w:bCs/>
          <w:sz w:val="30"/>
          <w:szCs w:val="30"/>
          <w:lang w:eastAsia="zh-CN"/>
        </w:rPr>
        <w:t>）</w:t>
      </w:r>
    </w:p>
    <w:p w14:paraId="350B057F">
      <w:pPr>
        <w:spacing w:line="520" w:lineRule="exact"/>
        <w:rPr>
          <w:rFonts w:ascii="宋体" w:hAnsi="宋体" w:cs="宋体"/>
          <w:bCs/>
          <w:color w:val="000000"/>
          <w:sz w:val="28"/>
          <w:szCs w:val="28"/>
        </w:rPr>
      </w:pPr>
    </w:p>
    <w:p w14:paraId="47EF4C8C">
      <w:pPr>
        <w:spacing w:line="520" w:lineRule="exact"/>
        <w:outlineLvl w:val="1"/>
        <w:rPr>
          <w:rFonts w:hint="eastAsia" w:ascii="宋体" w:hAnsi="宋体" w:cs="宋体"/>
          <w:bCs/>
          <w:color w:val="000000"/>
          <w:sz w:val="28"/>
          <w:szCs w:val="28"/>
        </w:rPr>
      </w:pPr>
      <w:bookmarkStart w:id="2" w:name="_Toc216879021"/>
      <w:bookmarkStart w:id="3" w:name="_Toc216879568"/>
    </w:p>
    <w:p w14:paraId="667847DE">
      <w:pPr>
        <w:spacing w:line="520" w:lineRule="exact"/>
        <w:outlineLvl w:val="1"/>
        <w:rPr>
          <w:rFonts w:hint="eastAsia" w:ascii="宋体" w:hAnsi="宋体" w:cs="宋体"/>
          <w:bCs/>
          <w:color w:val="000000"/>
          <w:sz w:val="28"/>
          <w:szCs w:val="28"/>
        </w:rPr>
      </w:pPr>
    </w:p>
    <w:p w14:paraId="50D11A94">
      <w:pPr>
        <w:spacing w:line="520" w:lineRule="exact"/>
        <w:outlineLvl w:val="1"/>
        <w:rPr>
          <w:rFonts w:hint="eastAsia" w:ascii="宋体" w:hAnsi="宋体" w:cs="宋体"/>
          <w:bCs/>
          <w:color w:val="000000"/>
          <w:sz w:val="28"/>
          <w:szCs w:val="28"/>
        </w:rPr>
      </w:pPr>
    </w:p>
    <w:p w14:paraId="22B084C4">
      <w:pPr>
        <w:pStyle w:val="2"/>
        <w:rPr>
          <w:rFonts w:hint="eastAsia" w:ascii="宋体" w:hAnsi="宋体" w:cs="宋体"/>
          <w:bCs/>
          <w:color w:val="000000"/>
          <w:sz w:val="28"/>
          <w:szCs w:val="28"/>
        </w:rPr>
      </w:pPr>
    </w:p>
    <w:p w14:paraId="69152F57">
      <w:pPr>
        <w:rPr>
          <w:rFonts w:hint="eastAsia" w:ascii="宋体" w:hAnsi="宋体" w:cs="宋体"/>
          <w:bCs/>
          <w:color w:val="000000"/>
          <w:sz w:val="28"/>
          <w:szCs w:val="28"/>
        </w:rPr>
      </w:pPr>
    </w:p>
    <w:p w14:paraId="40650433">
      <w:pPr>
        <w:pStyle w:val="2"/>
        <w:rPr>
          <w:rFonts w:hint="eastAsia"/>
        </w:rPr>
      </w:pPr>
    </w:p>
    <w:p w14:paraId="4E4789F5">
      <w:pPr>
        <w:spacing w:line="520" w:lineRule="exact"/>
        <w:outlineLvl w:val="1"/>
        <w:rPr>
          <w:rFonts w:hint="eastAsia" w:ascii="宋体" w:hAnsi="宋体" w:cs="宋体"/>
          <w:bCs/>
          <w:color w:val="000000"/>
          <w:sz w:val="28"/>
          <w:szCs w:val="28"/>
        </w:rPr>
      </w:pPr>
    </w:p>
    <w:p w14:paraId="2071FC97">
      <w:pPr>
        <w:spacing w:line="520" w:lineRule="exact"/>
        <w:outlineLvl w:val="1"/>
        <w:rPr>
          <w:rFonts w:hint="eastAsia" w:ascii="宋体" w:hAnsi="宋体" w:cs="宋体"/>
          <w:bCs/>
          <w:color w:val="000000"/>
          <w:sz w:val="28"/>
          <w:szCs w:val="28"/>
        </w:rPr>
      </w:pPr>
    </w:p>
    <w:p w14:paraId="4D6649D8">
      <w:pPr>
        <w:spacing w:line="520" w:lineRule="exact"/>
        <w:outlineLvl w:val="1"/>
        <w:rPr>
          <w:rFonts w:hint="eastAsia" w:ascii="宋体" w:hAnsi="宋体" w:cs="宋体"/>
          <w:bCs/>
          <w:color w:val="000000"/>
          <w:sz w:val="28"/>
          <w:szCs w:val="28"/>
        </w:rPr>
      </w:pPr>
    </w:p>
    <w:p w14:paraId="1C1F296C">
      <w:pPr>
        <w:pStyle w:val="2"/>
        <w:rPr>
          <w:rFonts w:hint="eastAsia" w:ascii="宋体" w:hAnsi="宋体" w:cs="宋体"/>
          <w:bCs/>
          <w:color w:val="000000"/>
          <w:sz w:val="28"/>
          <w:szCs w:val="28"/>
        </w:rPr>
      </w:pPr>
    </w:p>
    <w:p w14:paraId="03C4EED5">
      <w:pPr>
        <w:rPr>
          <w:rFonts w:hint="eastAsia" w:ascii="宋体" w:hAnsi="宋体" w:cs="宋体"/>
          <w:bCs/>
          <w:color w:val="000000"/>
          <w:sz w:val="28"/>
          <w:szCs w:val="28"/>
        </w:rPr>
      </w:pPr>
    </w:p>
    <w:p w14:paraId="6E71D4DD">
      <w:pPr>
        <w:pStyle w:val="2"/>
        <w:rPr>
          <w:rFonts w:hint="eastAsia" w:ascii="宋体" w:hAnsi="宋体" w:cs="宋体"/>
          <w:bCs/>
          <w:color w:val="000000"/>
          <w:sz w:val="28"/>
          <w:szCs w:val="28"/>
        </w:rPr>
      </w:pPr>
    </w:p>
    <w:p w14:paraId="2C26FB4C">
      <w:pPr>
        <w:rPr>
          <w:rFonts w:hint="eastAsia" w:ascii="宋体" w:hAnsi="宋体" w:cs="宋体"/>
          <w:bCs/>
          <w:color w:val="000000"/>
          <w:sz w:val="28"/>
          <w:szCs w:val="28"/>
        </w:rPr>
      </w:pPr>
    </w:p>
    <w:p w14:paraId="572CCA3D">
      <w:pPr>
        <w:pStyle w:val="2"/>
        <w:rPr>
          <w:rFonts w:hint="eastAsia" w:ascii="宋体" w:hAnsi="宋体" w:cs="宋体"/>
          <w:bCs/>
          <w:color w:val="000000"/>
          <w:sz w:val="28"/>
          <w:szCs w:val="28"/>
        </w:rPr>
      </w:pPr>
    </w:p>
    <w:p w14:paraId="031528F9">
      <w:pPr>
        <w:rPr>
          <w:rFonts w:hint="eastAsia" w:ascii="宋体" w:hAnsi="宋体" w:cs="宋体"/>
          <w:bCs/>
          <w:color w:val="000000"/>
          <w:sz w:val="28"/>
          <w:szCs w:val="28"/>
        </w:rPr>
      </w:pPr>
    </w:p>
    <w:p w14:paraId="7280ED9F">
      <w:pPr>
        <w:pStyle w:val="2"/>
        <w:rPr>
          <w:rFonts w:hint="eastAsia" w:ascii="宋体" w:hAnsi="宋体" w:cs="宋体"/>
          <w:bCs/>
          <w:color w:val="000000"/>
          <w:sz w:val="28"/>
          <w:szCs w:val="28"/>
        </w:rPr>
      </w:pPr>
    </w:p>
    <w:p w14:paraId="51DE10DE">
      <w:pPr>
        <w:rPr>
          <w:rFonts w:hint="eastAsia" w:ascii="宋体" w:hAnsi="宋体" w:cs="宋体"/>
          <w:bCs/>
          <w:color w:val="000000"/>
          <w:sz w:val="28"/>
          <w:szCs w:val="28"/>
        </w:rPr>
      </w:pPr>
    </w:p>
    <w:p w14:paraId="6A1E816E">
      <w:pPr>
        <w:pStyle w:val="2"/>
        <w:rPr>
          <w:rFonts w:hint="eastAsia" w:ascii="宋体" w:hAnsi="宋体" w:cs="宋体"/>
          <w:bCs/>
          <w:color w:val="000000"/>
          <w:sz w:val="28"/>
          <w:szCs w:val="28"/>
        </w:rPr>
      </w:pPr>
    </w:p>
    <w:p w14:paraId="025F6C7B">
      <w:pPr>
        <w:rPr>
          <w:rFonts w:hint="eastAsia" w:ascii="宋体" w:hAnsi="宋体" w:cs="宋体"/>
          <w:bCs/>
          <w:color w:val="000000"/>
          <w:sz w:val="28"/>
          <w:szCs w:val="28"/>
        </w:rPr>
      </w:pPr>
    </w:p>
    <w:p w14:paraId="7CAAD8E8">
      <w:pPr>
        <w:pStyle w:val="2"/>
        <w:rPr>
          <w:rFonts w:hint="eastAsia" w:ascii="宋体" w:hAnsi="宋体" w:cs="宋体"/>
          <w:bCs/>
          <w:color w:val="000000"/>
          <w:sz w:val="28"/>
          <w:szCs w:val="28"/>
        </w:rPr>
      </w:pPr>
    </w:p>
    <w:p w14:paraId="2918A087">
      <w:pPr>
        <w:rPr>
          <w:rFonts w:hint="eastAsia"/>
        </w:rPr>
      </w:pPr>
    </w:p>
    <w:p w14:paraId="2F556835">
      <w:pPr>
        <w:spacing w:line="520" w:lineRule="exact"/>
        <w:outlineLvl w:val="1"/>
        <w:rPr>
          <w:rFonts w:ascii="宋体" w:hAnsi="宋体" w:cs="宋体"/>
          <w:bCs/>
          <w:color w:val="000000"/>
          <w:sz w:val="28"/>
          <w:szCs w:val="28"/>
        </w:rPr>
      </w:pPr>
      <w:r>
        <w:rPr>
          <w:rFonts w:hint="eastAsia" w:ascii="宋体" w:hAnsi="宋体" w:cs="宋体"/>
          <w:bCs/>
          <w:color w:val="000000"/>
          <w:sz w:val="28"/>
          <w:szCs w:val="28"/>
        </w:rPr>
        <w:t>附件</w:t>
      </w:r>
      <w:bookmarkEnd w:id="2"/>
      <w:bookmarkEnd w:id="3"/>
      <w:r>
        <w:rPr>
          <w:rFonts w:hint="eastAsia" w:ascii="宋体" w:hAnsi="宋体" w:cs="宋体"/>
          <w:bCs/>
          <w:color w:val="000000"/>
          <w:sz w:val="28"/>
          <w:szCs w:val="28"/>
          <w:lang w:val="en-US" w:eastAsia="zh-CN"/>
        </w:rPr>
        <w:t>3</w:t>
      </w:r>
      <w:r>
        <w:rPr>
          <w:rFonts w:hint="eastAsia" w:ascii="宋体" w:hAnsi="宋体" w:cs="宋体"/>
          <w:bCs/>
          <w:color w:val="000000"/>
          <w:sz w:val="28"/>
          <w:szCs w:val="28"/>
        </w:rPr>
        <w:t>：</w:t>
      </w:r>
      <w:r>
        <w:rPr>
          <w:rFonts w:ascii="宋体" w:hAnsi="宋体" w:cs="宋体"/>
          <w:bCs/>
          <w:color w:val="000000"/>
          <w:sz w:val="28"/>
          <w:szCs w:val="28"/>
        </w:rPr>
        <w:t xml:space="preserve"> </w:t>
      </w:r>
      <w:r>
        <w:rPr>
          <w:rFonts w:hint="eastAsia" w:ascii="宋体" w:hAnsi="宋体" w:cs="宋体"/>
          <w:bCs/>
          <w:color w:val="000000"/>
          <w:sz w:val="28"/>
          <w:szCs w:val="28"/>
        </w:rPr>
        <w:t>报价表</w:t>
      </w:r>
    </w:p>
    <w:p w14:paraId="279D15B5">
      <w:pPr>
        <w:spacing w:line="520" w:lineRule="exact"/>
        <w:jc w:val="center"/>
        <w:rPr>
          <w:rFonts w:ascii="宋体" w:hAnsi="宋体" w:cs="宋体"/>
          <w:b/>
          <w:bCs/>
          <w:color w:val="000000"/>
          <w:sz w:val="36"/>
          <w:szCs w:val="36"/>
        </w:rPr>
      </w:pPr>
      <w:bookmarkStart w:id="4" w:name="_Toc216879569"/>
      <w:bookmarkStart w:id="5" w:name="_Toc216879022"/>
      <w:r>
        <w:rPr>
          <w:rFonts w:hint="eastAsia" w:ascii="宋体" w:hAnsi="宋体" w:cs="宋体"/>
          <w:b/>
          <w:bCs/>
          <w:color w:val="000000"/>
          <w:sz w:val="36"/>
          <w:szCs w:val="36"/>
        </w:rPr>
        <w:t>报价表</w:t>
      </w:r>
      <w:bookmarkEnd w:id="4"/>
      <w:bookmarkEnd w:id="5"/>
    </w:p>
    <w:p w14:paraId="5FC5BCA3">
      <w:pPr>
        <w:spacing w:line="360" w:lineRule="auto"/>
        <w:jc w:val="left"/>
        <w:rPr>
          <w:rFonts w:ascii="宋体" w:hAnsi="宋体" w:cs="宋体"/>
          <w:color w:val="auto"/>
          <w:szCs w:val="21"/>
        </w:rPr>
      </w:pPr>
      <w:r>
        <w:rPr>
          <w:rFonts w:hint="eastAsia" w:ascii="宋体" w:hAnsi="宋体" w:cs="宋体"/>
          <w:color w:val="000000"/>
          <w:szCs w:val="21"/>
        </w:rPr>
        <w:t>采购项目名称：</w:t>
      </w:r>
      <w:r>
        <w:rPr>
          <w:rFonts w:hint="eastAsia" w:ascii="宋体" w:hAnsi="宋体" w:cs="宋体"/>
          <w:b/>
          <w:bCs/>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上林县乔贤镇第一初级中学AI监控网络接入服务</w:t>
      </w:r>
      <w:r>
        <w:rPr>
          <w:rFonts w:hint="eastAsia" w:ascii="仿宋_GB2312" w:hAnsi="仿宋_GB2312" w:eastAsia="仿宋_GB2312" w:cs="仿宋_GB2312"/>
          <w:color w:val="auto"/>
          <w:sz w:val="24"/>
          <w:szCs w:val="24"/>
          <w:u w:val="single"/>
          <w:lang w:val="zh-CN" w:eastAsia="zh-CN"/>
        </w:rPr>
        <w:t>采购项目</w:t>
      </w:r>
      <w:r>
        <w:rPr>
          <w:rFonts w:ascii="宋体" w:hAnsi="宋体" w:cs="宋体"/>
          <w:color w:val="auto"/>
          <w:sz w:val="24"/>
          <w:szCs w:val="24"/>
          <w:u w:val="single"/>
        </w:rPr>
        <w:t xml:space="preserve">  </w:t>
      </w:r>
      <w:r>
        <w:rPr>
          <w:rFonts w:hint="eastAsia" w:ascii="宋体" w:hAnsi="宋体" w:cs="宋体"/>
          <w:color w:val="auto"/>
          <w:szCs w:val="21"/>
        </w:rPr>
        <w:t xml:space="preserve"> </w:t>
      </w:r>
    </w:p>
    <w:p w14:paraId="21F7E840">
      <w:pPr>
        <w:snapToGrid w:val="0"/>
        <w:spacing w:before="50" w:after="50" w:line="360" w:lineRule="auto"/>
        <w:rPr>
          <w:rFonts w:ascii="宋体" w:hAnsi="宋体" w:cs="宋体"/>
          <w:color w:val="000000"/>
          <w:sz w:val="24"/>
          <w:szCs w:val="24"/>
          <w:u w:val="single"/>
        </w:rPr>
      </w:pPr>
      <w:r>
        <w:rPr>
          <w:rFonts w:hint="eastAsia" w:ascii="宋体" w:hAnsi="宋体" w:cs="宋体"/>
          <w:color w:val="000000"/>
          <w:szCs w:val="21"/>
        </w:rPr>
        <w:t>供应商名称：</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p>
    <w:tbl>
      <w:tblPr>
        <w:tblStyle w:val="9"/>
        <w:tblW w:w="51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649"/>
        <w:gridCol w:w="1109"/>
        <w:gridCol w:w="3372"/>
        <w:gridCol w:w="730"/>
        <w:gridCol w:w="522"/>
        <w:gridCol w:w="1275"/>
        <w:gridCol w:w="1087"/>
      </w:tblGrid>
      <w:tr w14:paraId="7716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371"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38427085">
            <w:pPr>
              <w:keepNext w:val="0"/>
              <w:keepLines w:val="0"/>
              <w:suppressLineNumbers w:val="0"/>
              <w:spacing w:before="0" w:beforeAutospacing="0" w:after="0" w:afterAutospacing="0"/>
              <w:ind w:left="0" w:right="0"/>
              <w:jc w:val="center"/>
              <w:rPr>
                <w:rFonts w:hint="default" w:ascii="宋体" w:hAnsi="宋体" w:cs="宋体"/>
                <w:color w:val="auto"/>
                <w:szCs w:val="21"/>
              </w:rPr>
            </w:pPr>
            <w:r>
              <w:rPr>
                <w:rFonts w:hint="eastAsia" w:ascii="宋体" w:hAnsi="宋体" w:cs="宋体"/>
                <w:color w:val="auto"/>
                <w:szCs w:val="21"/>
              </w:rPr>
              <w:t>序号</w:t>
            </w:r>
          </w:p>
        </w:tc>
        <w:tc>
          <w:tcPr>
            <w:tcW w:w="634"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002661FE">
            <w:pPr>
              <w:keepNext w:val="0"/>
              <w:keepLines w:val="0"/>
              <w:suppressLineNumbers w:val="0"/>
              <w:spacing w:before="0" w:beforeAutospacing="0" w:after="0" w:afterAutospacing="0" w:line="300" w:lineRule="exact"/>
              <w:ind w:left="0" w:right="0"/>
              <w:jc w:val="center"/>
              <w:rPr>
                <w:rFonts w:hint="default" w:ascii="宋体" w:hAnsi="宋体" w:cs="Times New Roman"/>
                <w:bCs/>
                <w:color w:val="auto"/>
                <w:szCs w:val="21"/>
              </w:rPr>
            </w:pPr>
            <w:r>
              <w:rPr>
                <w:rFonts w:hint="eastAsia" w:ascii="宋体" w:hAnsi="宋体" w:cs="宋体"/>
                <w:color w:val="auto"/>
                <w:szCs w:val="21"/>
              </w:rPr>
              <w:t>服务名称</w:t>
            </w:r>
          </w:p>
        </w:tc>
        <w:tc>
          <w:tcPr>
            <w:tcW w:w="1928"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6EC8EBCA">
            <w:pPr>
              <w:keepNext w:val="0"/>
              <w:keepLines w:val="0"/>
              <w:suppressLineNumbers w:val="0"/>
              <w:spacing w:before="0" w:beforeAutospacing="0" w:after="0" w:afterAutospacing="0"/>
              <w:ind w:left="0" w:right="0"/>
              <w:jc w:val="center"/>
              <w:rPr>
                <w:rFonts w:hint="default" w:ascii="宋体" w:hAnsi="宋体" w:cs="宋体"/>
                <w:color w:val="auto"/>
                <w:szCs w:val="21"/>
              </w:rPr>
            </w:pPr>
            <w:r>
              <w:rPr>
                <w:rFonts w:hint="eastAsia" w:ascii="宋体" w:hAnsi="宋体" w:cs="宋体"/>
                <w:color w:val="auto"/>
                <w:szCs w:val="21"/>
              </w:rPr>
              <w:t>规格</w:t>
            </w:r>
          </w:p>
        </w:tc>
        <w:tc>
          <w:tcPr>
            <w:tcW w:w="417"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01ACCDA6">
            <w:pPr>
              <w:keepNext w:val="0"/>
              <w:keepLines w:val="0"/>
              <w:suppressLineNumbers w:val="0"/>
              <w:spacing w:before="0" w:beforeAutospacing="0" w:after="0" w:afterAutospacing="0"/>
              <w:ind w:left="0" w:right="0"/>
              <w:jc w:val="center"/>
              <w:rPr>
                <w:rFonts w:hint="default" w:ascii="宋体" w:hAnsi="宋体" w:cs="宋体"/>
                <w:color w:val="auto"/>
                <w:szCs w:val="21"/>
              </w:rPr>
            </w:pPr>
            <w:r>
              <w:rPr>
                <w:rFonts w:hint="eastAsia" w:ascii="Times New Roman" w:hAnsi="Times New Roman" w:cs="Times New Roman"/>
                <w:color w:val="auto"/>
                <w:sz w:val="18"/>
                <w:szCs w:val="18"/>
                <w:vertAlign w:val="baseline"/>
                <w:lang w:val="en-US" w:eastAsia="zh-CN"/>
              </w:rPr>
              <w:t>单价/月</w:t>
            </w:r>
          </w:p>
        </w:tc>
        <w:tc>
          <w:tcPr>
            <w:tcW w:w="298"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7403794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数量</w:t>
            </w:r>
          </w:p>
          <w:p w14:paraId="2113D19E">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（月）</w:t>
            </w:r>
          </w:p>
        </w:tc>
        <w:tc>
          <w:tcPr>
            <w:tcW w:w="729"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671E075C">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金额</w:t>
            </w:r>
          </w:p>
          <w:p w14:paraId="2E7BBB0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18"/>
                <w:szCs w:val="18"/>
                <w:vertAlign w:val="baseline"/>
                <w:lang w:val="en-US" w:eastAsia="zh-CN"/>
              </w:rPr>
            </w:pPr>
            <w:r>
              <w:rPr>
                <w:rFonts w:hint="eastAsia" w:ascii="Times New Roman" w:hAnsi="Times New Roman" w:cs="Times New Roman"/>
                <w:color w:val="auto"/>
                <w:sz w:val="18"/>
                <w:szCs w:val="18"/>
                <w:vertAlign w:val="baseline"/>
                <w:lang w:val="en-US" w:eastAsia="zh-CN"/>
              </w:rPr>
              <w:t>（元）</w:t>
            </w:r>
          </w:p>
        </w:tc>
        <w:tc>
          <w:tcPr>
            <w:tcW w:w="621" w:type="pct"/>
            <w:tcBorders>
              <w:top w:val="single" w:color="auto" w:sz="4" w:space="0"/>
              <w:left w:val="single" w:color="auto" w:sz="4" w:space="0"/>
              <w:bottom w:val="nil"/>
              <w:right w:val="single" w:color="auto" w:sz="4" w:space="0"/>
            </w:tcBorders>
            <w:shd w:val="clear" w:color="auto" w:fill="FFFFFF" w:themeFill="background1"/>
            <w:noWrap w:val="0"/>
            <w:vAlign w:val="center"/>
          </w:tcPr>
          <w:p w14:paraId="0D69C61F">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zh-CN"/>
              </w:rPr>
            </w:pPr>
            <w:r>
              <w:rPr>
                <w:rFonts w:hint="eastAsia" w:ascii="Times New Roman" w:hAnsi="Times New Roman" w:cs="Times New Roman"/>
                <w:color w:val="auto"/>
                <w:sz w:val="18"/>
                <w:szCs w:val="18"/>
                <w:vertAlign w:val="baseline"/>
                <w:lang w:val="en-US" w:eastAsia="zh-CN"/>
              </w:rPr>
              <w:t>备注</w:t>
            </w:r>
          </w:p>
        </w:tc>
      </w:tr>
      <w:tr w14:paraId="26F6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75" w:hRule="atLeast"/>
          <w:jc w:val="center"/>
        </w:trPr>
        <w:tc>
          <w:tcPr>
            <w:tcW w:w="371" w:type="pct"/>
            <w:tcBorders>
              <w:top w:val="nil"/>
              <w:left w:val="nil"/>
              <w:bottom w:val="nil"/>
              <w:right w:val="single" w:color="auto" w:sz="4" w:space="0"/>
            </w:tcBorders>
            <w:shd w:val="clear" w:color="auto" w:fill="FFFFFF" w:themeFill="background1"/>
            <w:noWrap w:val="0"/>
            <w:vAlign w:val="center"/>
          </w:tcPr>
          <w:p w14:paraId="23357B12">
            <w:pPr>
              <w:keepNext w:val="0"/>
              <w:keepLines w:val="0"/>
              <w:suppressLineNumbers w:val="0"/>
              <w:spacing w:before="0" w:beforeAutospacing="0" w:after="0" w:afterAutospacing="0"/>
              <w:ind w:left="0" w:right="0"/>
              <w:jc w:val="center"/>
              <w:rPr>
                <w:rFonts w:hint="default" w:ascii="宋体" w:hAnsi="宋体" w:cs="宋体"/>
                <w:color w:val="auto"/>
                <w:szCs w:val="21"/>
              </w:rPr>
            </w:pPr>
            <w:r>
              <w:rPr>
                <w:rFonts w:hint="eastAsia" w:ascii="Times New Roman" w:hAnsi="Times New Roman" w:cs="Times New Roman"/>
                <w:color w:val="auto"/>
                <w:sz w:val="18"/>
                <w:szCs w:val="18"/>
                <w:vertAlign w:val="baseline"/>
                <w:lang w:val="en-US" w:eastAsia="zh-CN"/>
              </w:rPr>
              <w:t>1</w:t>
            </w:r>
          </w:p>
        </w:tc>
        <w:tc>
          <w:tcPr>
            <w:tcW w:w="634" w:type="pct"/>
            <w:tcBorders>
              <w:top w:val="nil"/>
              <w:left w:val="single" w:color="auto" w:sz="4" w:space="0"/>
              <w:bottom w:val="nil"/>
              <w:right w:val="single" w:color="auto" w:sz="4" w:space="0"/>
            </w:tcBorders>
            <w:shd w:val="clear" w:color="auto" w:fill="FFFFFF" w:themeFill="background1"/>
            <w:noWrap w:val="0"/>
            <w:vAlign w:val="center"/>
          </w:tcPr>
          <w:p w14:paraId="7185BA08">
            <w:pPr>
              <w:keepNext w:val="0"/>
              <w:keepLines w:val="0"/>
              <w:suppressLineNumbers w:val="0"/>
              <w:spacing w:before="0" w:beforeAutospacing="0" w:after="0" w:afterAutospacing="0"/>
              <w:ind w:left="0" w:right="0"/>
              <w:jc w:val="center"/>
              <w:rPr>
                <w:rFonts w:hint="default" w:ascii="宋体" w:hAnsi="宋体" w:cs="宋体"/>
                <w:color w:val="auto"/>
                <w:szCs w:val="21"/>
              </w:rPr>
            </w:pPr>
            <w:r>
              <w:rPr>
                <w:rFonts w:hint="eastAsia" w:ascii="仿宋_GB2312" w:hAnsi="仿宋_GB2312" w:eastAsia="仿宋_GB2312" w:cs="仿宋_GB2312"/>
                <w:color w:val="auto"/>
                <w:sz w:val="24"/>
                <w:szCs w:val="24"/>
                <w:lang w:val="en-US" w:eastAsia="zh-CN"/>
              </w:rPr>
              <w:t>AI监控网络接入服务</w:t>
            </w:r>
            <w:r>
              <w:rPr>
                <w:rFonts w:hint="eastAsia" w:ascii="仿宋_GB2312" w:hAnsi="仿宋_GB2312" w:eastAsia="仿宋_GB2312" w:cs="仿宋_GB2312"/>
                <w:color w:val="auto"/>
                <w:sz w:val="24"/>
                <w:szCs w:val="24"/>
                <w:lang w:val="zh-CN" w:eastAsia="zh-CN"/>
              </w:rPr>
              <w:t>采购项目</w:t>
            </w:r>
          </w:p>
        </w:tc>
        <w:tc>
          <w:tcPr>
            <w:tcW w:w="1928" w:type="pct"/>
            <w:tcBorders>
              <w:top w:val="nil"/>
              <w:left w:val="single" w:color="auto" w:sz="4" w:space="0"/>
              <w:bottom w:val="nil"/>
              <w:right w:val="single" w:color="auto" w:sz="4" w:space="0"/>
            </w:tcBorders>
            <w:shd w:val="clear" w:color="auto" w:fill="FFFFFF" w:themeFill="background1"/>
            <w:noWrap w:val="0"/>
            <w:vAlign w:val="center"/>
          </w:tcPr>
          <w:p w14:paraId="014A658F">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b/>
            </w:r>
            <w:r>
              <w:rPr>
                <w:rFonts w:hint="eastAsia" w:ascii="宋体" w:hAnsi="宋体" w:eastAsia="宋体" w:cs="宋体"/>
                <w:color w:val="auto"/>
                <w:kern w:val="2"/>
                <w:sz w:val="21"/>
                <w:szCs w:val="21"/>
                <w:lang w:val="en-US" w:eastAsia="zh-CN" w:bidi="ar-SA"/>
              </w:rPr>
              <w:t>项目包含前端摄像头安装接入服务、视频云平台接入调试服务、安装服务、网络接入服务等。</w:t>
            </w:r>
          </w:p>
          <w:p w14:paraId="0943EE8A">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一、前端视频监控服务</w:t>
            </w:r>
          </w:p>
          <w:p w14:paraId="3CE76A1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1.提供 </w:t>
            </w:r>
            <w:r>
              <w:rPr>
                <w:rFonts w:hint="eastAsia" w:ascii="宋体" w:hAnsi="宋体" w:cs="宋体"/>
                <w:color w:val="auto"/>
                <w:kern w:val="2"/>
                <w:sz w:val="21"/>
                <w:szCs w:val="21"/>
                <w:lang w:val="en-US" w:eastAsia="zh-CN" w:bidi="ar-SA"/>
              </w:rPr>
              <w:t>23</w:t>
            </w:r>
            <w:r>
              <w:rPr>
                <w:rFonts w:hint="eastAsia" w:ascii="宋体" w:hAnsi="宋体" w:eastAsia="宋体" w:cs="宋体"/>
                <w:color w:val="auto"/>
                <w:kern w:val="2"/>
                <w:sz w:val="21"/>
                <w:szCs w:val="21"/>
                <w:lang w:val="en-US" w:eastAsia="zh-CN" w:bidi="ar-SA"/>
              </w:rPr>
              <w:t>个点位视频监控服务，并提供前端图像与监控平台间的数据传输服务，确保监控数据流畅稳定，无丢帧卡顿现象。</w:t>
            </w:r>
          </w:p>
          <w:p w14:paraId="4D8E3A90">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2.全高清400W分辨率，图像清晰、细腻 </w:t>
            </w:r>
          </w:p>
          <w:p w14:paraId="6FA9AFB6">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3. 支持POE供电 </w:t>
            </w:r>
          </w:p>
          <w:p w14:paraId="4EE76B77">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4.ICR自动切换，实现昼夜监控 </w:t>
            </w:r>
          </w:p>
          <w:p w14:paraId="52D595AB">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5.支持H.265视频编码 </w:t>
            </w:r>
          </w:p>
          <w:p w14:paraId="4F7C8BD6">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6.支持24小时云存储、本地存储 </w:t>
            </w:r>
          </w:p>
          <w:p w14:paraId="1C05299A">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7.支持动作和声音侦测报警 </w:t>
            </w:r>
          </w:p>
          <w:p w14:paraId="7524AEBD">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8.支持人形侦测 </w:t>
            </w:r>
          </w:p>
          <w:p w14:paraId="7F3535EA">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9.支持双向语音通话 </w:t>
            </w:r>
          </w:p>
          <w:p w14:paraId="1302BEC6">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10.支持人脸抓拍 </w:t>
            </w:r>
          </w:p>
          <w:p w14:paraId="15B7575F">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12.支持车牌识别和抓拍 </w:t>
            </w:r>
          </w:p>
          <w:p w14:paraId="626E8D4D">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13、支持深度算法</w:t>
            </w:r>
          </w:p>
          <w:p w14:paraId="3A1893C4">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二、视频监控云平台系统要求</w:t>
            </w:r>
          </w:p>
          <w:p w14:paraId="70362D8D">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（一）视频监控云平台能力需求</w:t>
            </w:r>
          </w:p>
          <w:p w14:paraId="10072F43">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▲1、服务能力</w:t>
            </w:r>
          </w:p>
          <w:p w14:paraId="264E900B">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（1）接入路数不限，支持不低于30天的云存储。</w:t>
            </w:r>
          </w:p>
          <w:p w14:paraId="67572332">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（2）支持RTMP、FLV、HLS协议，支持在浏览器和微信公众号无插件化直播视频。</w:t>
            </w:r>
          </w:p>
          <w:p w14:paraId="341ADB41">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（3）视频监控服务应符合GB/T 28181 的相关规定；并应支持与公安部门、政法委等相关平台进行数据双向推送，进行视频、音频、数据等信息传输、交换和控制，且推送时的通信协议应符合GB/T 28181 的相关要求。</w:t>
            </w:r>
          </w:p>
          <w:p w14:paraId="450BC9DA">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支持无限分级管理功能，并能自由无限创建子组织及子账号，实现分层级管理；设备具备内部分级管理，可实现设备停用、起用、内容删除、回看、录制、抓图权限设置。支持创建上林县中小学安全监控平台，依托上述分级与权限管理能力，为县域内各中小学统一部署监控平台、建立分级账号体系，实现县教育局-乡镇-学校的分层监管与权限隔离，保障校园安全监控的合规、可控、可追溯。</w:t>
            </w:r>
          </w:p>
          <w:p w14:paraId="02A2A22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（5）要求视频云平台存储系统具备7×24 小时不间断的大码流视频录像，支持第三方在WEB、APP端集成，提供SDK等方式。支持快速检索、回放和管理的功能服务，优化视频的回放；支持对录像按照多种方式检索服务；支持标注、循环覆盖等方式进行管理服务。要求视频存储系统支持图片的高速写入、并发下载、图片压缩等服务；要求统一服务接口，要求提供统一的管理界面。</w:t>
            </w:r>
          </w:p>
          <w:p w14:paraId="2852720E">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（6）支持对实时视频或历史录像进行截图或录像，并作为线上巡检记录的附件留存，对截图或录像的视频，必须有专属的印记，实现对截图或录像的视频溯源。</w:t>
            </w:r>
          </w:p>
          <w:p w14:paraId="24CA35E0">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（7）支持多种设备制造商的设备自动发现和接入。边缘与云同步，使用Wireguard技术确保信息实时、安全同步。</w:t>
            </w:r>
          </w:p>
          <w:p w14:paraId="30615161">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（8）平台采用分布式架构，支持线性扩展，满足大规模数据共享和数据挖掘需求。提供多种访问接口，方便业务系统访问。</w:t>
            </w:r>
          </w:p>
          <w:p w14:paraId="7B11C1F7">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▲2、数据共享接口服务能力：竞标人提供的平台能够具备数据开发接口能力，能够提供基于RESTFul接口供采购人相关平台调用使用。</w:t>
            </w:r>
          </w:p>
          <w:p w14:paraId="38BD2C1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（二）云存储软件服务需求</w:t>
            </w:r>
          </w:p>
          <w:p w14:paraId="7FFA6907">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1、云存储服务</w:t>
            </w:r>
          </w:p>
          <w:p w14:paraId="5BA16BBE">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（1）支持视频存储管理子系统，负责视频的存储、检索、回放和下载；可支持不低于600路存储规模，具备良好的伸缩性。</w:t>
            </w:r>
          </w:p>
          <w:p w14:paraId="0C570CD4">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（2）视频文件在云端的保存期限不低于30天。</w:t>
            </w:r>
          </w:p>
          <w:p w14:paraId="0747F034">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（3）最大能够同时支持不低于600路设备视频文件的上传和回放。</w:t>
            </w:r>
          </w:p>
          <w:p w14:paraId="504B8E4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（4）文件传输支持采用AES256等算法加密传输，保障数据传输和存储的安全。</w:t>
            </w:r>
          </w:p>
          <w:p w14:paraId="0CF1EF1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（5）文件上传云端的过程中，支持失败重传，在网络条件满足基本需求的情况下，保证文件能够上传到云端。</w:t>
            </w:r>
          </w:p>
          <w:p w14:paraId="5AD3AF8E">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2、云存储管理要求</w:t>
            </w:r>
          </w:p>
          <w:p w14:paraId="772C2D8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（1）能够提供高效灵活的空间管理，能根据负载均衡算法提供全高效并发处理机制，提高系统的整体性能，支持存储资源虚拟化和在线扩展。</w:t>
            </w:r>
          </w:p>
          <w:p w14:paraId="5689032F">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（2）能够提供海量数据的快速检索，提供布控、模糊找人、找车等功能，所有与用户业务相关的索引信息统一由视频云存储系统的视频云存储管理节点或者集群进行管理。</w:t>
            </w:r>
          </w:p>
          <w:p w14:paraId="16296FE3">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（3）能够提供持续可靠的数据服务，充分保护数据安全和可靠性。云存储对外提供登录、认证接口，保证系统安全性。</w:t>
            </w:r>
          </w:p>
          <w:p w14:paraId="524F03A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（4）能够提供高可扩展的应用支撑，在采购人业务需求不断发展的趋势下，可不断地为用户提供高效、灵活、可靠的专业级存储服务。</w:t>
            </w:r>
          </w:p>
          <w:p w14:paraId="0AFB00A4">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（5）能够提供自动分层存储，并可实现快速访问。</w:t>
            </w:r>
          </w:p>
          <w:p w14:paraId="206E1ECA">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（6）能够提供License授权限制，支持管理License 授权控制，可限制云存储系统的授权时间、最大接入计划数量、存储节点数量、存储容量、资源池数量等；支持账户冻结、有效期、有效时间段及MAC 地址绑定等安全属性的设定；支持对用户（组）设定各设备节点的访问权限以及各业务功能的应用权限。</w:t>
            </w:r>
          </w:p>
          <w:p w14:paraId="0038647D">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（7）提供包括告警管理、用户管理、设备管理、组织节点管理、权限管理等功能。</w:t>
            </w:r>
          </w:p>
          <w:p w14:paraId="631C15B6">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3、云存储运维服务</w:t>
            </w:r>
          </w:p>
          <w:p w14:paraId="295E109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（1）系统管理设置</w:t>
            </w:r>
          </w:p>
          <w:p w14:paraId="59A395C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支持对服务、用户、操作日志和版本等信息进行管理；支持对采集计划、告警通知、黑名单、网络管理、校时服务器设置等操作管理。</w:t>
            </w:r>
          </w:p>
          <w:p w14:paraId="35C5F2B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（2）监控信息采集</w:t>
            </w:r>
          </w:p>
          <w:p w14:paraId="33C81A3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支持对视频云存储硬件、软件和系统三大模块的信息采集。包括对云健康值、系统压力、云空间信息、硬件节点（CPU、内存使用率）、监控点位、硬盘等信息进行实行采集；支持录像巡检业务，可按日历、月历查询点位录像巡检信息。</w:t>
            </w:r>
          </w:p>
          <w:p w14:paraId="4F378E38">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（3）告警信息管理</w:t>
            </w:r>
          </w:p>
          <w:p w14:paraId="44F799FC">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支持对视频云存储软、硬件告警信息管理查询。支持对服务进程、使用空间、硬件节点、监控点位等告警信息采集统计，告警信息可通过邮件、短信和语音方式通知维护人员。</w:t>
            </w:r>
          </w:p>
          <w:p w14:paraId="4AA6E446">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（4）统计分析管理</w:t>
            </w:r>
          </w:p>
          <w:p w14:paraId="28593F04">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支持对视频云存储可用空间、云压力、节点设备、录像巡检等信息状态进行统计分析；支持对通用告警信息进行统计分析。统计分析信息支持柱状、饼状等多方式进行展现。</w:t>
            </w:r>
          </w:p>
          <w:p w14:paraId="084A3F69">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4、云存储能力要求</w:t>
            </w:r>
          </w:p>
          <w:p w14:paraId="21A27FEE">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▲（1）支持平台轻服务模式，平台大量使用具备千万级别公有云平台的设备接入转发能力，在本地化部署的时候可以做到轻量部署、轻量运维。</w:t>
            </w:r>
          </w:p>
          <w:p w14:paraId="405D9420">
            <w:pPr>
              <w:pStyle w:val="6"/>
              <w:keepNext w:val="0"/>
              <w:keepLines w:val="0"/>
              <w:pageBreakBefore w:val="0"/>
              <w:widowControl w:val="0"/>
              <w:numPr>
                <w:ilvl w:val="0"/>
                <w:numId w:val="0"/>
              </w:numPr>
              <w:suppressLineNumbers w:val="0"/>
              <w:shd w:val="clear" w:color="auto" w:fill="FFFFFF" w:themeFill="background1"/>
              <w:tabs>
                <w:tab w:val="left" w:pos="312"/>
              </w:tabs>
              <w:kinsoku/>
              <w:wordWrap/>
              <w:overflowPunct/>
              <w:topLinePunct w:val="0"/>
              <w:autoSpaceDE/>
              <w:autoSpaceDN/>
              <w:bidi w:val="0"/>
              <w:adjustRightInd/>
              <w:snapToGrid/>
              <w:spacing w:before="0" w:beforeAutospacing="0" w:after="0" w:afterAutospacing="0" w:line="120" w:lineRule="auto"/>
              <w:ind w:left="0" w:right="0" w:rightChars="0"/>
              <w:jc w:val="both"/>
              <w:textAlignment w:val="auto"/>
              <w:rPr>
                <w:rFonts w:hint="default" w:ascii="仿宋_GB2312" w:hAnsi="仿宋_GB2312" w:eastAsia="仿宋_GB2312" w:cs="仿宋_GB2312"/>
                <w:color w:val="auto"/>
                <w:sz w:val="24"/>
                <w:szCs w:val="24"/>
                <w:lang w:val="en-US" w:eastAsia="zh-CN"/>
              </w:rPr>
            </w:pPr>
            <w:r>
              <w:rPr>
                <w:rFonts w:hint="eastAsia" w:ascii="宋体" w:hAnsi="宋体" w:eastAsia="宋体" w:cs="宋体"/>
                <w:color w:val="auto"/>
                <w:kern w:val="2"/>
                <w:sz w:val="21"/>
                <w:szCs w:val="21"/>
                <w:lang w:val="en-US" w:eastAsia="zh-CN" w:bidi="ar-SA"/>
              </w:rPr>
              <w:t>▲（2）要求平台采用SSL/HTTPS/SHA265+挑战码等技术手段，能从架构层面考虑安全性需求，实现安全可靠。</w:t>
            </w:r>
          </w:p>
        </w:tc>
        <w:tc>
          <w:tcPr>
            <w:tcW w:w="417" w:type="pct"/>
            <w:tcBorders>
              <w:top w:val="nil"/>
              <w:left w:val="single" w:color="auto" w:sz="4" w:space="0"/>
              <w:bottom w:val="nil"/>
              <w:right w:val="single" w:color="auto" w:sz="4" w:space="0"/>
            </w:tcBorders>
            <w:shd w:val="clear" w:color="auto" w:fill="FFFFFF" w:themeFill="background1"/>
            <w:noWrap w:val="0"/>
            <w:vAlign w:val="center"/>
          </w:tcPr>
          <w:p w14:paraId="2E69209B">
            <w:pPr>
              <w:pStyle w:val="6"/>
              <w:keepNext w:val="0"/>
              <w:keepLines w:val="0"/>
              <w:suppressLineNumbers w:val="0"/>
              <w:shd w:val="clear" w:color="auto" w:fill="FFFF00"/>
              <w:tabs>
                <w:tab w:val="left" w:pos="312"/>
              </w:tabs>
              <w:spacing w:before="0" w:beforeAutospacing="0" w:afterAutospacing="0"/>
              <w:ind w:left="0" w:right="0"/>
              <w:rPr>
                <w:rFonts w:hint="default" w:ascii="宋体" w:hAnsi="宋体" w:eastAsia="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897</w:t>
            </w:r>
            <w:bookmarkStart w:id="12" w:name="_GoBack"/>
            <w:bookmarkEnd w:id="12"/>
          </w:p>
        </w:tc>
        <w:tc>
          <w:tcPr>
            <w:tcW w:w="298" w:type="pct"/>
            <w:tcBorders>
              <w:top w:val="nil"/>
              <w:left w:val="single" w:color="auto" w:sz="4" w:space="0"/>
              <w:bottom w:val="nil"/>
              <w:right w:val="single" w:color="auto" w:sz="4" w:space="0"/>
            </w:tcBorders>
            <w:shd w:val="clear" w:color="auto" w:fill="FFFFFF" w:themeFill="background1"/>
            <w:noWrap w:val="0"/>
            <w:vAlign w:val="center"/>
          </w:tcPr>
          <w:p w14:paraId="35BF0AA5">
            <w:pPr>
              <w:keepNext w:val="0"/>
              <w:keepLines w:val="0"/>
              <w:suppressLineNumbers w:val="0"/>
              <w:spacing w:before="0" w:beforeAutospacing="0" w:after="0" w:afterAutospacing="0"/>
              <w:ind w:left="0" w:right="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36</w:t>
            </w:r>
          </w:p>
        </w:tc>
        <w:tc>
          <w:tcPr>
            <w:tcW w:w="729" w:type="pct"/>
            <w:tcBorders>
              <w:top w:val="nil"/>
              <w:left w:val="single" w:color="auto" w:sz="4" w:space="0"/>
              <w:bottom w:val="nil"/>
              <w:right w:val="single" w:color="auto" w:sz="4" w:space="0"/>
            </w:tcBorders>
            <w:shd w:val="clear" w:color="auto" w:fill="FFFFFF" w:themeFill="background1"/>
            <w:noWrap w:val="0"/>
            <w:vAlign w:val="center"/>
          </w:tcPr>
          <w:p w14:paraId="4AADD319">
            <w:pPr>
              <w:keepNext w:val="0"/>
              <w:keepLines w:val="0"/>
              <w:suppressLineNumbers w:val="0"/>
              <w:spacing w:before="0" w:beforeAutospacing="0" w:after="0" w:afterAutospacing="0"/>
              <w:ind w:left="0" w:right="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32292</w:t>
            </w:r>
          </w:p>
        </w:tc>
        <w:tc>
          <w:tcPr>
            <w:tcW w:w="621" w:type="pct"/>
            <w:tcBorders>
              <w:top w:val="nil"/>
              <w:left w:val="single" w:color="auto" w:sz="4" w:space="0"/>
              <w:bottom w:val="nil"/>
              <w:right w:val="nil"/>
            </w:tcBorders>
            <w:shd w:val="clear" w:color="auto" w:fill="FFFFFF" w:themeFill="background1"/>
            <w:noWrap w:val="0"/>
            <w:vAlign w:val="center"/>
          </w:tcPr>
          <w:p w14:paraId="6614488D">
            <w:pPr>
              <w:keepNext w:val="0"/>
              <w:keepLines w:val="0"/>
              <w:suppressLineNumbers w:val="0"/>
              <w:spacing w:before="0" w:beforeAutospacing="0" w:after="0" w:afterAutospacing="0"/>
              <w:ind w:left="0" w:right="0"/>
              <w:jc w:val="center"/>
              <w:rPr>
                <w:rFonts w:hint="eastAsia" w:ascii="宋体" w:hAnsi="宋体" w:eastAsia="宋体" w:cs="宋体"/>
                <w:color w:val="auto"/>
                <w:szCs w:val="21"/>
                <w:lang w:eastAsia="zh-CN"/>
              </w:rPr>
            </w:pPr>
          </w:p>
        </w:tc>
      </w:tr>
    </w:tbl>
    <w:p w14:paraId="7AB3E633">
      <w:pPr>
        <w:keepNext w:val="0"/>
        <w:keepLines w:val="0"/>
        <w:pageBreakBefore w:val="0"/>
        <w:widowControl w:val="0"/>
        <w:kinsoku/>
        <w:wordWrap/>
        <w:overflowPunct/>
        <w:topLinePunct w:val="0"/>
        <w:autoSpaceDE/>
        <w:autoSpaceDN/>
        <w:bidi w:val="0"/>
        <w:adjustRightInd/>
        <w:snapToGrid w:val="0"/>
        <w:spacing w:before="50" w:after="50" w:line="240" w:lineRule="exact"/>
        <w:ind w:right="-817" w:rightChars="-389"/>
        <w:jc w:val="left"/>
        <w:textAlignment w:val="auto"/>
        <w:rPr>
          <w:rFonts w:hint="eastAsia" w:ascii="宋体" w:hAnsi="宋体" w:cs="宋体"/>
          <w:sz w:val="21"/>
          <w:szCs w:val="21"/>
          <w:lang w:val="en-US" w:eastAsia="zh-CN"/>
        </w:rPr>
      </w:pPr>
    </w:p>
    <w:p w14:paraId="3A24CE5D">
      <w:pPr>
        <w:keepNext w:val="0"/>
        <w:keepLines w:val="0"/>
        <w:pageBreakBefore w:val="0"/>
        <w:widowControl w:val="0"/>
        <w:kinsoku/>
        <w:wordWrap/>
        <w:overflowPunct/>
        <w:topLinePunct w:val="0"/>
        <w:autoSpaceDE/>
        <w:autoSpaceDN/>
        <w:bidi w:val="0"/>
        <w:adjustRightInd/>
        <w:snapToGrid w:val="0"/>
        <w:spacing w:before="50" w:after="50" w:line="240" w:lineRule="exact"/>
        <w:ind w:right="-817" w:rightChars="-389"/>
        <w:jc w:val="left"/>
        <w:textAlignment w:val="auto"/>
        <w:rPr>
          <w:rFonts w:hint="eastAsia" w:ascii="宋体" w:hAnsi="宋体" w:cs="宋体"/>
          <w:sz w:val="21"/>
          <w:szCs w:val="21"/>
          <w:lang w:val="en-US" w:eastAsia="zh-CN"/>
        </w:rPr>
      </w:pPr>
    </w:p>
    <w:p w14:paraId="009B54EE">
      <w:pPr>
        <w:keepNext w:val="0"/>
        <w:keepLines w:val="0"/>
        <w:pageBreakBefore w:val="0"/>
        <w:widowControl w:val="0"/>
        <w:kinsoku/>
        <w:wordWrap/>
        <w:overflowPunct/>
        <w:topLinePunct w:val="0"/>
        <w:autoSpaceDE/>
        <w:autoSpaceDN/>
        <w:bidi w:val="0"/>
        <w:adjustRightInd/>
        <w:snapToGrid w:val="0"/>
        <w:spacing w:before="50" w:after="50" w:line="240" w:lineRule="exact"/>
        <w:ind w:right="-817" w:rightChars="-389"/>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备注：</w:t>
      </w:r>
      <w:r>
        <w:rPr>
          <w:rFonts w:hint="eastAsia" w:ascii="宋体" w:hAnsi="宋体" w:cs="宋体"/>
          <w:sz w:val="21"/>
          <w:szCs w:val="21"/>
        </w:rPr>
        <w:t>本项目要求供应商报出总价，总价不得超过采购文件确定的最高限价。如有超出按无效文件处理。报价是履行合同的最终价格；供应商应对本项目的所有内容范围的货物及服务进行总承包报价；采购人不再支付任何费用，包含货物及服务采购、专用工具、标准附件、运输、保管、安装、验收、培训等各种费用和售后服务、税金及其它所有成本费用的总和。</w:t>
      </w:r>
    </w:p>
    <w:p w14:paraId="4E63818A">
      <w:pPr>
        <w:snapToGrid w:val="0"/>
        <w:spacing w:before="50" w:after="50" w:line="360" w:lineRule="auto"/>
        <w:ind w:right="-817" w:rightChars="-389" w:firstLine="3360" w:firstLineChars="1400"/>
        <w:rPr>
          <w:rFonts w:hint="eastAsia" w:ascii="宋体" w:hAnsi="宋体" w:cs="宋体"/>
          <w:sz w:val="24"/>
          <w:szCs w:val="24"/>
        </w:rPr>
      </w:pPr>
    </w:p>
    <w:p w14:paraId="76AD79F2">
      <w:pPr>
        <w:snapToGrid w:val="0"/>
        <w:spacing w:before="50" w:after="50" w:line="360" w:lineRule="auto"/>
        <w:ind w:right="-817" w:rightChars="-389"/>
        <w:rPr>
          <w:rFonts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 xml:space="preserve"> 供应商（盖公章）：                                </w:t>
      </w:r>
    </w:p>
    <w:p w14:paraId="6B5B33B8">
      <w:pPr>
        <w:snapToGrid w:val="0"/>
        <w:spacing w:before="50" w:after="50" w:line="360" w:lineRule="auto"/>
        <w:ind w:right="-817" w:rightChars="-389" w:firstLine="3360" w:firstLineChars="1400"/>
        <w:rPr>
          <w:rFonts w:hint="eastAsia" w:ascii="宋体" w:hAnsi="宋体" w:cs="宋体"/>
          <w:bCs/>
          <w:color w:val="000000"/>
          <w:sz w:val="28"/>
          <w:szCs w:val="28"/>
        </w:rPr>
      </w:pPr>
      <w:r>
        <w:rPr>
          <w:rFonts w:hint="eastAsia" w:ascii="宋体" w:hAnsi="宋体" w:cs="宋体"/>
          <w:sz w:val="24"/>
          <w:szCs w:val="24"/>
        </w:rPr>
        <w:t xml:space="preserve"> 日期：    年   月   日</w:t>
      </w:r>
      <w:r>
        <w:rPr>
          <w:rFonts w:ascii="宋体" w:hAnsi="宋体" w:cs="宋体"/>
          <w:szCs w:val="21"/>
        </w:rPr>
        <w:t xml:space="preserve"> </w:t>
      </w:r>
      <w:bookmarkStart w:id="6" w:name="_Toc216879023"/>
      <w:bookmarkStart w:id="7" w:name="_Toc216879570"/>
    </w:p>
    <w:bookmarkEnd w:id="6"/>
    <w:bookmarkEnd w:id="7"/>
    <w:p w14:paraId="00857969">
      <w:pPr>
        <w:adjustRightInd w:val="0"/>
        <w:snapToGrid w:val="0"/>
        <w:spacing w:line="440" w:lineRule="exact"/>
        <w:outlineLvl w:val="1"/>
        <w:rPr>
          <w:rFonts w:hint="eastAsia" w:ascii="宋体" w:hAnsi="宋体"/>
          <w:sz w:val="28"/>
          <w:szCs w:val="28"/>
        </w:rPr>
      </w:pPr>
      <w:bookmarkStart w:id="8" w:name="_Toc216879574"/>
      <w:bookmarkStart w:id="9" w:name="_Toc216879027"/>
    </w:p>
    <w:p w14:paraId="035787FA">
      <w:pPr>
        <w:adjustRightInd w:val="0"/>
        <w:snapToGrid w:val="0"/>
        <w:spacing w:line="440" w:lineRule="exact"/>
        <w:outlineLvl w:val="1"/>
        <w:rPr>
          <w:rFonts w:hint="eastAsia" w:ascii="宋体" w:hAnsi="宋体"/>
          <w:sz w:val="28"/>
          <w:szCs w:val="28"/>
        </w:rPr>
      </w:pPr>
    </w:p>
    <w:p w14:paraId="3919572B">
      <w:pPr>
        <w:adjustRightInd w:val="0"/>
        <w:snapToGrid w:val="0"/>
        <w:spacing w:line="440" w:lineRule="exact"/>
        <w:outlineLvl w:val="1"/>
        <w:rPr>
          <w:rFonts w:hint="eastAsia" w:ascii="宋体" w:hAnsi="宋体"/>
          <w:sz w:val="28"/>
          <w:szCs w:val="28"/>
        </w:rPr>
      </w:pPr>
    </w:p>
    <w:p w14:paraId="2708A7A1">
      <w:pPr>
        <w:adjustRightInd w:val="0"/>
        <w:snapToGrid w:val="0"/>
        <w:spacing w:line="440" w:lineRule="exact"/>
        <w:outlineLvl w:val="1"/>
        <w:rPr>
          <w:rFonts w:hint="eastAsia" w:ascii="宋体" w:hAnsi="宋体"/>
          <w:sz w:val="28"/>
          <w:szCs w:val="28"/>
        </w:rPr>
      </w:pPr>
    </w:p>
    <w:p w14:paraId="15315AEC">
      <w:pPr>
        <w:adjustRightInd w:val="0"/>
        <w:snapToGrid w:val="0"/>
        <w:spacing w:line="440" w:lineRule="exact"/>
        <w:outlineLvl w:val="1"/>
        <w:rPr>
          <w:rFonts w:ascii="宋体" w:hAnsi="宋体" w:cs="宋体"/>
          <w:b/>
          <w:sz w:val="36"/>
          <w:szCs w:val="36"/>
        </w:rPr>
      </w:pPr>
      <w:r>
        <w:rPr>
          <w:rFonts w:hint="eastAsia" w:ascii="宋体" w:hAnsi="宋体"/>
          <w:sz w:val="28"/>
          <w:szCs w:val="28"/>
        </w:rPr>
        <w:t>附件</w:t>
      </w:r>
      <w:bookmarkEnd w:id="8"/>
      <w:bookmarkEnd w:id="9"/>
      <w:r>
        <w:rPr>
          <w:rFonts w:hint="eastAsia" w:ascii="宋体" w:hAnsi="宋体"/>
          <w:sz w:val="28"/>
          <w:szCs w:val="28"/>
          <w:lang w:val="en-US" w:eastAsia="zh-CN"/>
        </w:rPr>
        <w:t>4</w:t>
      </w:r>
      <w:r>
        <w:rPr>
          <w:rFonts w:hint="eastAsia" w:ascii="宋体" w:hAnsi="宋体"/>
          <w:sz w:val="28"/>
          <w:szCs w:val="28"/>
        </w:rPr>
        <w:t>：</w:t>
      </w:r>
      <w:r>
        <w:rPr>
          <w:rFonts w:hint="eastAsia" w:ascii="宋体" w:hAnsi="宋体" w:cs="宋体"/>
          <w:b/>
          <w:sz w:val="36"/>
          <w:szCs w:val="36"/>
        </w:rPr>
        <w:t xml:space="preserve"> </w:t>
      </w:r>
      <w:r>
        <w:rPr>
          <w:rFonts w:hint="eastAsia" w:ascii="宋体" w:hAnsi="宋体" w:cs="宋体"/>
          <w:sz w:val="24"/>
          <w:szCs w:val="24"/>
        </w:rPr>
        <w:t>售后服务承诺书</w:t>
      </w:r>
      <w:r>
        <w:rPr>
          <w:rFonts w:ascii="宋体" w:hAnsi="宋体" w:cs="宋体"/>
          <w:b/>
          <w:sz w:val="36"/>
          <w:szCs w:val="36"/>
        </w:rPr>
        <w:t xml:space="preserve">            </w:t>
      </w:r>
    </w:p>
    <w:p w14:paraId="314C892E">
      <w:pPr>
        <w:adjustRightInd w:val="0"/>
        <w:snapToGrid w:val="0"/>
        <w:spacing w:line="440" w:lineRule="exact"/>
        <w:jc w:val="center"/>
        <w:rPr>
          <w:rFonts w:hint="eastAsia" w:ascii="宋体" w:hAnsi="宋体" w:cs="宋体"/>
          <w:b/>
          <w:sz w:val="36"/>
          <w:szCs w:val="36"/>
        </w:rPr>
      </w:pPr>
      <w:bookmarkStart w:id="10" w:name="_Toc216879028"/>
      <w:bookmarkStart w:id="11" w:name="_Toc216879575"/>
    </w:p>
    <w:p w14:paraId="51E9D9FD">
      <w:pPr>
        <w:adjustRightInd w:val="0"/>
        <w:snapToGrid w:val="0"/>
        <w:spacing w:line="440" w:lineRule="exact"/>
        <w:jc w:val="center"/>
        <w:rPr>
          <w:rFonts w:ascii="宋体" w:hAnsi="宋体" w:cs="宋体"/>
          <w:b/>
          <w:sz w:val="36"/>
          <w:szCs w:val="36"/>
        </w:rPr>
      </w:pPr>
      <w:r>
        <w:rPr>
          <w:rFonts w:hint="eastAsia" w:ascii="宋体" w:hAnsi="宋体" w:cs="宋体"/>
          <w:b/>
          <w:sz w:val="36"/>
          <w:szCs w:val="36"/>
        </w:rPr>
        <w:t>售后服务承诺书</w:t>
      </w:r>
      <w:bookmarkEnd w:id="10"/>
      <w:bookmarkEnd w:id="11"/>
    </w:p>
    <w:p w14:paraId="47FB35DE">
      <w:pPr>
        <w:adjustRightInd w:val="0"/>
        <w:snapToGrid w:val="0"/>
        <w:spacing w:line="440" w:lineRule="exact"/>
        <w:jc w:val="center"/>
        <w:rPr>
          <w:rFonts w:ascii="宋体" w:hAnsi="宋体" w:cs="宋体"/>
          <w:b/>
          <w:sz w:val="36"/>
          <w:szCs w:val="36"/>
        </w:rPr>
      </w:pPr>
      <w:r>
        <w:rPr>
          <w:rFonts w:hint="eastAsia" w:ascii="宋体" w:hAnsi="宋体" w:cs="宋体"/>
          <w:b/>
          <w:sz w:val="36"/>
          <w:szCs w:val="36"/>
        </w:rPr>
        <w:t>（</w:t>
      </w:r>
      <w:r>
        <w:rPr>
          <w:rFonts w:hint="eastAsia" w:ascii="宋体" w:hAnsi="宋体" w:cs="宋体"/>
          <w:b/>
          <w:sz w:val="30"/>
          <w:szCs w:val="30"/>
        </w:rPr>
        <w:t>格式自拟</w:t>
      </w:r>
      <w:r>
        <w:rPr>
          <w:rFonts w:hint="eastAsia" w:ascii="宋体" w:hAnsi="宋体" w:cs="宋体"/>
          <w:b/>
          <w:sz w:val="36"/>
          <w:szCs w:val="36"/>
        </w:rPr>
        <w:t>）</w:t>
      </w:r>
    </w:p>
    <w:p w14:paraId="64C28DB4">
      <w:pPr>
        <w:jc w:val="center"/>
        <w:rPr>
          <w:rFonts w:ascii="宋体" w:hAnsi="宋体"/>
          <w:sz w:val="36"/>
          <w:szCs w:val="36"/>
        </w:rPr>
      </w:pPr>
    </w:p>
    <w:p w14:paraId="080F18C5">
      <w:pPr>
        <w:jc w:val="center"/>
        <w:rPr>
          <w:rFonts w:ascii="宋体" w:hAnsi="宋体"/>
          <w:sz w:val="36"/>
          <w:szCs w:val="36"/>
        </w:rPr>
      </w:pPr>
    </w:p>
    <w:p w14:paraId="4D3B25F2">
      <w:pPr>
        <w:jc w:val="center"/>
        <w:rPr>
          <w:rFonts w:ascii="宋体" w:hAnsi="宋体"/>
          <w:sz w:val="36"/>
          <w:szCs w:val="36"/>
        </w:rPr>
      </w:pPr>
    </w:p>
    <w:p w14:paraId="4F6267E9">
      <w:pPr>
        <w:jc w:val="center"/>
        <w:rPr>
          <w:rFonts w:ascii="宋体" w:hAnsi="宋体"/>
          <w:sz w:val="36"/>
          <w:szCs w:val="36"/>
        </w:rPr>
      </w:pPr>
    </w:p>
    <w:p w14:paraId="3DA5FE39">
      <w:pPr>
        <w:jc w:val="center"/>
        <w:rPr>
          <w:rFonts w:ascii="宋体" w:hAnsi="宋体"/>
          <w:sz w:val="36"/>
          <w:szCs w:val="36"/>
        </w:rPr>
      </w:pPr>
    </w:p>
    <w:p w14:paraId="65FF7C56">
      <w:pPr>
        <w:jc w:val="center"/>
        <w:rPr>
          <w:rFonts w:ascii="宋体" w:hAnsi="宋体"/>
          <w:sz w:val="36"/>
          <w:szCs w:val="36"/>
        </w:rPr>
      </w:pPr>
    </w:p>
    <w:p w14:paraId="3A0B0FFE">
      <w:pPr>
        <w:jc w:val="center"/>
        <w:rPr>
          <w:rFonts w:ascii="宋体" w:hAnsi="宋体"/>
          <w:sz w:val="36"/>
          <w:szCs w:val="36"/>
        </w:rPr>
      </w:pPr>
    </w:p>
    <w:p w14:paraId="51064A72">
      <w:pPr>
        <w:jc w:val="center"/>
        <w:rPr>
          <w:rFonts w:ascii="宋体" w:hAnsi="宋体"/>
          <w:sz w:val="36"/>
          <w:szCs w:val="36"/>
        </w:rPr>
      </w:pPr>
    </w:p>
    <w:p w14:paraId="4600EE62">
      <w:pPr>
        <w:jc w:val="center"/>
        <w:rPr>
          <w:rFonts w:ascii="宋体" w:hAnsi="宋体"/>
          <w:sz w:val="36"/>
          <w:szCs w:val="36"/>
        </w:rPr>
      </w:pPr>
    </w:p>
    <w:p w14:paraId="06747638">
      <w:pPr>
        <w:jc w:val="center"/>
        <w:rPr>
          <w:rFonts w:ascii="宋体" w:hAnsi="宋体"/>
          <w:sz w:val="36"/>
          <w:szCs w:val="36"/>
        </w:rPr>
      </w:pPr>
    </w:p>
    <w:p w14:paraId="21861506">
      <w:pPr>
        <w:jc w:val="center"/>
        <w:rPr>
          <w:rFonts w:ascii="宋体" w:hAnsi="宋体"/>
          <w:sz w:val="36"/>
          <w:szCs w:val="36"/>
        </w:rPr>
      </w:pPr>
    </w:p>
    <w:p w14:paraId="563454B9">
      <w:pPr>
        <w:jc w:val="both"/>
        <w:rPr>
          <w:rFonts w:ascii="宋体" w:hAnsi="宋体"/>
          <w:sz w:val="36"/>
          <w:szCs w:val="36"/>
        </w:rPr>
      </w:pPr>
    </w:p>
    <w:p w14:paraId="03C9BA3E">
      <w:pPr>
        <w:jc w:val="both"/>
        <w:rPr>
          <w:rFonts w:ascii="宋体" w:hAnsi="宋体"/>
          <w:sz w:val="36"/>
          <w:szCs w:val="36"/>
        </w:rPr>
      </w:pPr>
    </w:p>
    <w:p w14:paraId="11E72702">
      <w:pPr>
        <w:rPr>
          <w:rFonts w:ascii="宋体" w:hAnsi="宋体"/>
          <w:sz w:val="36"/>
          <w:szCs w:val="36"/>
        </w:rPr>
      </w:pPr>
      <w:r>
        <w:rPr>
          <w:rFonts w:hint="eastAsia" w:ascii="宋体" w:hAnsi="宋体"/>
          <w:sz w:val="28"/>
          <w:szCs w:val="28"/>
        </w:rPr>
        <w:t>附件</w:t>
      </w:r>
      <w:r>
        <w:rPr>
          <w:rFonts w:hint="eastAsia" w:ascii="宋体" w:hAnsi="宋体"/>
          <w:sz w:val="28"/>
          <w:szCs w:val="28"/>
          <w:lang w:val="en-US" w:eastAsia="zh-CN"/>
        </w:rPr>
        <w:t>5</w:t>
      </w:r>
      <w:r>
        <w:rPr>
          <w:rFonts w:hint="eastAsia" w:ascii="宋体" w:hAnsi="宋体"/>
          <w:sz w:val="28"/>
          <w:szCs w:val="28"/>
        </w:rPr>
        <w:t>：</w:t>
      </w:r>
    </w:p>
    <w:p w14:paraId="11F091C4">
      <w:pPr>
        <w:jc w:val="center"/>
        <w:outlineLvl w:val="1"/>
        <w:rPr>
          <w:rFonts w:ascii="宋体" w:hAnsi="宋体"/>
          <w:b/>
          <w:sz w:val="36"/>
          <w:szCs w:val="36"/>
        </w:rPr>
      </w:pPr>
      <w:r>
        <w:rPr>
          <w:rFonts w:hint="eastAsia" w:ascii="宋体" w:hAnsi="宋体"/>
          <w:b/>
          <w:sz w:val="36"/>
          <w:szCs w:val="36"/>
        </w:rPr>
        <w:t>供应商认为需要提供的有关资料</w:t>
      </w:r>
    </w:p>
    <w:p w14:paraId="228BDBA4">
      <w:pPr>
        <w:jc w:val="center"/>
        <w:rPr>
          <w:rFonts w:ascii="宋体" w:hAnsi="宋体"/>
          <w:sz w:val="36"/>
          <w:szCs w:val="36"/>
        </w:rPr>
      </w:pPr>
    </w:p>
    <w:p w14:paraId="4B6900E9">
      <w:pPr>
        <w:jc w:val="center"/>
        <w:rPr>
          <w:rFonts w:ascii="宋体" w:hAnsi="宋体"/>
          <w:sz w:val="36"/>
          <w:szCs w:val="36"/>
        </w:rPr>
      </w:pPr>
    </w:p>
    <w:p w14:paraId="54FD9EAE"/>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B0CB81-6780-4CD6-88C2-D753BB3811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05E577D-C0CC-49C4-BDEB-592998B416C6}"/>
  </w:font>
  <w:font w:name="等线">
    <w:panose1 w:val="02010600030101010101"/>
    <w:charset w:val="86"/>
    <w:family w:val="auto"/>
    <w:pitch w:val="default"/>
    <w:sig w:usb0="A00002BF" w:usb1="38CF7CFA" w:usb2="00000016" w:usb3="00000000" w:csb0="0004000F" w:csb1="00000000"/>
    <w:embedRegular r:id="rId3" w:fontKey="{5435E2D0-6870-4BC4-A41D-33A0FCDC0B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YzE3YjBhM2VmMDZhMWVmNDU1NzNmODk2NGM5ZmMifQ=="/>
  </w:docVars>
  <w:rsids>
    <w:rsidRoot w:val="003E0FD3"/>
    <w:rsid w:val="002F626C"/>
    <w:rsid w:val="003E0FD3"/>
    <w:rsid w:val="00C1173D"/>
    <w:rsid w:val="00CE45B4"/>
    <w:rsid w:val="013650C8"/>
    <w:rsid w:val="018A166D"/>
    <w:rsid w:val="01EF572E"/>
    <w:rsid w:val="01FC63CE"/>
    <w:rsid w:val="0241107B"/>
    <w:rsid w:val="03323B24"/>
    <w:rsid w:val="0382439E"/>
    <w:rsid w:val="03933D0E"/>
    <w:rsid w:val="03DF62C8"/>
    <w:rsid w:val="048474AC"/>
    <w:rsid w:val="04AC00EE"/>
    <w:rsid w:val="06A66D03"/>
    <w:rsid w:val="073E373D"/>
    <w:rsid w:val="08760B7F"/>
    <w:rsid w:val="08FE118F"/>
    <w:rsid w:val="094620D8"/>
    <w:rsid w:val="0A2F7010"/>
    <w:rsid w:val="0A654BD3"/>
    <w:rsid w:val="0A8530D4"/>
    <w:rsid w:val="0AEE023D"/>
    <w:rsid w:val="0B716564"/>
    <w:rsid w:val="0C3B7EEE"/>
    <w:rsid w:val="0C5660CF"/>
    <w:rsid w:val="0CE20074"/>
    <w:rsid w:val="0D147CF9"/>
    <w:rsid w:val="0DE802C1"/>
    <w:rsid w:val="0E90375C"/>
    <w:rsid w:val="0EC34841"/>
    <w:rsid w:val="0F1F3AF7"/>
    <w:rsid w:val="0F5314D0"/>
    <w:rsid w:val="10352EA6"/>
    <w:rsid w:val="11762B11"/>
    <w:rsid w:val="124B130F"/>
    <w:rsid w:val="132D224A"/>
    <w:rsid w:val="1334610A"/>
    <w:rsid w:val="143B1EBB"/>
    <w:rsid w:val="145743FD"/>
    <w:rsid w:val="151439D2"/>
    <w:rsid w:val="16530BCE"/>
    <w:rsid w:val="17591043"/>
    <w:rsid w:val="193D476F"/>
    <w:rsid w:val="1A7B477E"/>
    <w:rsid w:val="1B33642A"/>
    <w:rsid w:val="1BF754B3"/>
    <w:rsid w:val="1D537956"/>
    <w:rsid w:val="1E676920"/>
    <w:rsid w:val="1F2C6783"/>
    <w:rsid w:val="20D66AA1"/>
    <w:rsid w:val="216B497A"/>
    <w:rsid w:val="217958B6"/>
    <w:rsid w:val="226A3FC4"/>
    <w:rsid w:val="233370E2"/>
    <w:rsid w:val="23EC3D11"/>
    <w:rsid w:val="24466FD8"/>
    <w:rsid w:val="247D3ED6"/>
    <w:rsid w:val="24DE1906"/>
    <w:rsid w:val="263E440B"/>
    <w:rsid w:val="26FA3B12"/>
    <w:rsid w:val="28016E85"/>
    <w:rsid w:val="286E4D4F"/>
    <w:rsid w:val="294011B3"/>
    <w:rsid w:val="29746395"/>
    <w:rsid w:val="29DA7DC0"/>
    <w:rsid w:val="29FD45DD"/>
    <w:rsid w:val="2A7A65F2"/>
    <w:rsid w:val="2A7E20D6"/>
    <w:rsid w:val="2B4D6E9E"/>
    <w:rsid w:val="2D3826E3"/>
    <w:rsid w:val="2D5653AF"/>
    <w:rsid w:val="2DB80F46"/>
    <w:rsid w:val="2DFE0923"/>
    <w:rsid w:val="2FA64655"/>
    <w:rsid w:val="2FE5221B"/>
    <w:rsid w:val="31597B1D"/>
    <w:rsid w:val="318C7C88"/>
    <w:rsid w:val="324F12FE"/>
    <w:rsid w:val="32874DE2"/>
    <w:rsid w:val="32C36BEB"/>
    <w:rsid w:val="32E0433F"/>
    <w:rsid w:val="33120B81"/>
    <w:rsid w:val="331D7A9E"/>
    <w:rsid w:val="33310895"/>
    <w:rsid w:val="34E575E6"/>
    <w:rsid w:val="351B0B66"/>
    <w:rsid w:val="356A2E86"/>
    <w:rsid w:val="35BA0ED0"/>
    <w:rsid w:val="36B971F0"/>
    <w:rsid w:val="36BE4E60"/>
    <w:rsid w:val="370A0DB4"/>
    <w:rsid w:val="37CF18B8"/>
    <w:rsid w:val="3A0762C4"/>
    <w:rsid w:val="3A7601BF"/>
    <w:rsid w:val="3AC86541"/>
    <w:rsid w:val="3BD64FA1"/>
    <w:rsid w:val="3C9F4A19"/>
    <w:rsid w:val="3CA97838"/>
    <w:rsid w:val="3D0D4F25"/>
    <w:rsid w:val="3D4312FD"/>
    <w:rsid w:val="3DA65D43"/>
    <w:rsid w:val="3DB7359E"/>
    <w:rsid w:val="3E0B20FB"/>
    <w:rsid w:val="3EA763FA"/>
    <w:rsid w:val="3EB94B1E"/>
    <w:rsid w:val="3EDB5211"/>
    <w:rsid w:val="3EDC25BB"/>
    <w:rsid w:val="3F7F7B16"/>
    <w:rsid w:val="3FD0283B"/>
    <w:rsid w:val="3FFFA3F7"/>
    <w:rsid w:val="40790A6A"/>
    <w:rsid w:val="416F5B80"/>
    <w:rsid w:val="42273B24"/>
    <w:rsid w:val="42893C04"/>
    <w:rsid w:val="43AB4FD7"/>
    <w:rsid w:val="44197320"/>
    <w:rsid w:val="452B0FF7"/>
    <w:rsid w:val="45DC71A2"/>
    <w:rsid w:val="468A4C01"/>
    <w:rsid w:val="46EB5A91"/>
    <w:rsid w:val="473D6AA6"/>
    <w:rsid w:val="474943FE"/>
    <w:rsid w:val="47B520F5"/>
    <w:rsid w:val="48401E0D"/>
    <w:rsid w:val="4890139D"/>
    <w:rsid w:val="49B16F8D"/>
    <w:rsid w:val="4B0A5209"/>
    <w:rsid w:val="4B297B69"/>
    <w:rsid w:val="4B3B442A"/>
    <w:rsid w:val="4B581264"/>
    <w:rsid w:val="4C39828A"/>
    <w:rsid w:val="4F2328A4"/>
    <w:rsid w:val="4F8610E9"/>
    <w:rsid w:val="50980979"/>
    <w:rsid w:val="50AB7AEE"/>
    <w:rsid w:val="50D743C4"/>
    <w:rsid w:val="51B7313F"/>
    <w:rsid w:val="52C92DF5"/>
    <w:rsid w:val="531E60A7"/>
    <w:rsid w:val="534A7FE3"/>
    <w:rsid w:val="543C5B7E"/>
    <w:rsid w:val="54884821"/>
    <w:rsid w:val="551E109E"/>
    <w:rsid w:val="55B16F5E"/>
    <w:rsid w:val="56730BC2"/>
    <w:rsid w:val="567F1C39"/>
    <w:rsid w:val="57255484"/>
    <w:rsid w:val="58472D43"/>
    <w:rsid w:val="58843D8F"/>
    <w:rsid w:val="598A738C"/>
    <w:rsid w:val="59C01487"/>
    <w:rsid w:val="5A7536C0"/>
    <w:rsid w:val="5E062D59"/>
    <w:rsid w:val="5EEB1BE1"/>
    <w:rsid w:val="5FBA3DFB"/>
    <w:rsid w:val="60233110"/>
    <w:rsid w:val="60EB5C13"/>
    <w:rsid w:val="61EB125E"/>
    <w:rsid w:val="61ED6F0A"/>
    <w:rsid w:val="62C43C70"/>
    <w:rsid w:val="63AB5534"/>
    <w:rsid w:val="645E744B"/>
    <w:rsid w:val="649C1195"/>
    <w:rsid w:val="653F727C"/>
    <w:rsid w:val="65615EEF"/>
    <w:rsid w:val="65C4734F"/>
    <w:rsid w:val="670B46CC"/>
    <w:rsid w:val="6745400B"/>
    <w:rsid w:val="677A0A3F"/>
    <w:rsid w:val="67E5371B"/>
    <w:rsid w:val="68E103BC"/>
    <w:rsid w:val="69966272"/>
    <w:rsid w:val="6A3D3FA6"/>
    <w:rsid w:val="6BB67058"/>
    <w:rsid w:val="6BBC45A0"/>
    <w:rsid w:val="6CAA2745"/>
    <w:rsid w:val="6CD36BBF"/>
    <w:rsid w:val="6DFD6B35"/>
    <w:rsid w:val="6EB92F79"/>
    <w:rsid w:val="6ED338CF"/>
    <w:rsid w:val="720F6228"/>
    <w:rsid w:val="72DC25AE"/>
    <w:rsid w:val="75B90985"/>
    <w:rsid w:val="75CF560F"/>
    <w:rsid w:val="77920699"/>
    <w:rsid w:val="77ED1359"/>
    <w:rsid w:val="77EEBAFD"/>
    <w:rsid w:val="79AD3023"/>
    <w:rsid w:val="79B277A2"/>
    <w:rsid w:val="79D56C3E"/>
    <w:rsid w:val="79FA50A4"/>
    <w:rsid w:val="7A436F77"/>
    <w:rsid w:val="7A6B6E6A"/>
    <w:rsid w:val="7B4038F6"/>
    <w:rsid w:val="7B7D9D41"/>
    <w:rsid w:val="7C0941D9"/>
    <w:rsid w:val="7CFD1526"/>
    <w:rsid w:val="7D2232B3"/>
    <w:rsid w:val="7D6C452F"/>
    <w:rsid w:val="7DE905D8"/>
    <w:rsid w:val="7DFA6D86"/>
    <w:rsid w:val="7E7FB7BE"/>
    <w:rsid w:val="7FF4357C"/>
    <w:rsid w:val="DFDF4BA7"/>
    <w:rsid w:val="EEDD6440"/>
    <w:rsid w:val="F4FFD97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lang w:val="zh-CN"/>
    </w:rPr>
  </w:style>
  <w:style w:type="character" w:default="1" w:styleId="11">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next w:val="1"/>
    <w:unhideWhenUsed/>
    <w:qFormat/>
    <w:uiPriority w:val="99"/>
    <w:pPr>
      <w:tabs>
        <w:tab w:val="center" w:pos="4153"/>
        <w:tab w:val="right" w:pos="8306"/>
      </w:tabs>
      <w:snapToGrid w:val="0"/>
      <w:jc w:val="left"/>
    </w:pPr>
    <w:rPr>
      <w:sz w:val="18"/>
      <w:szCs w:val="18"/>
    </w:rPr>
  </w:style>
  <w:style w:type="paragraph" w:styleId="4">
    <w:name w:val="Normal Indent"/>
    <w:basedOn w:val="1"/>
    <w:qFormat/>
    <w:uiPriority w:val="0"/>
    <w:pPr>
      <w:ind w:firstLine="420"/>
    </w:pPr>
    <w:rPr>
      <w:szCs w:val="20"/>
    </w:rPr>
  </w:style>
  <w:style w:type="paragraph" w:styleId="5">
    <w:name w:val="annotation text"/>
    <w:basedOn w:val="1"/>
    <w:link w:val="13"/>
    <w:qFormat/>
    <w:uiPriority w:val="0"/>
    <w:pPr>
      <w:jc w:val="left"/>
    </w:pPr>
  </w:style>
  <w:style w:type="paragraph" w:styleId="6">
    <w:name w:val="Body Text"/>
    <w:basedOn w:val="1"/>
    <w:unhideWhenUsed/>
    <w:qFormat/>
    <w:uiPriority w:val="0"/>
    <w:pPr>
      <w:spacing w:after="120"/>
    </w:pPr>
  </w:style>
  <w:style w:type="paragraph" w:styleId="7">
    <w:name w:val="Balloon Text"/>
    <w:basedOn w:val="1"/>
    <w:link w:val="14"/>
    <w:qFormat/>
    <w:uiPriority w:val="0"/>
    <w:rPr>
      <w:sz w:val="18"/>
      <w:szCs w:val="18"/>
    </w:rPr>
  </w:style>
  <w:style w:type="paragraph" w:styleId="8">
    <w:name w:val="annotation subject"/>
    <w:basedOn w:val="5"/>
    <w:next w:val="5"/>
    <w:link w:val="15"/>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0"/>
    <w:rPr>
      <w:sz w:val="21"/>
      <w:szCs w:val="21"/>
    </w:rPr>
  </w:style>
  <w:style w:type="character" w:customStyle="1" w:styleId="13">
    <w:name w:val="批注文字 字符"/>
    <w:link w:val="5"/>
    <w:qFormat/>
    <w:uiPriority w:val="0"/>
    <w:rPr>
      <w:kern w:val="2"/>
      <w:sz w:val="21"/>
      <w:szCs w:val="22"/>
    </w:rPr>
  </w:style>
  <w:style w:type="character" w:customStyle="1" w:styleId="14">
    <w:name w:val="批注框文本 字符"/>
    <w:link w:val="7"/>
    <w:qFormat/>
    <w:uiPriority w:val="0"/>
    <w:rPr>
      <w:kern w:val="2"/>
      <w:sz w:val="18"/>
      <w:szCs w:val="18"/>
    </w:rPr>
  </w:style>
  <w:style w:type="character" w:customStyle="1" w:styleId="15">
    <w:name w:val="批注主题 字符"/>
    <w:link w:val="8"/>
    <w:qFormat/>
    <w:uiPriority w:val="0"/>
    <w:rPr>
      <w:b/>
      <w:bCs/>
      <w:kern w:val="2"/>
      <w:sz w:val="21"/>
      <w:szCs w:val="22"/>
    </w:rPr>
  </w:style>
  <w:style w:type="paragraph" w:customStyle="1" w:styleId="16">
    <w:name w:val="正文-公1"/>
    <w:basedOn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17</Pages>
  <Words>2951</Words>
  <Characters>3117</Characters>
  <Lines>1</Lines>
  <Paragraphs>1</Paragraphs>
  <TotalTime>22</TotalTime>
  <ScaleCrop>false</ScaleCrop>
  <LinksUpToDate>false</LinksUpToDate>
  <CharactersWithSpaces>3451</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2026-01-01T16:43:00Z</dcterms:created>
  <dc:creator>Administrator</dc:creator>
  <cp:lastModifiedBy>微微一信</cp:lastModifiedBy>
  <cp:lastPrinted>2026-03-21T00:28:00Z</cp:lastPrinted>
  <dcterms:modified xsi:type="dcterms:W3CDTF">2026-09-13T03:02:47Z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KSOTemplateDocerSaveRecord">
    <vt:lpwstr>eyJoZGlkIjoiZDI5ODRlMGM1NmQ4ZDJmYmY1YmY2MDgzZjdjYzA1ODQiLCJ1c2VySWQiOiIzMDIwNDA0ODMifQ==</vt:lpwstr>
  </property>
  <property fmtid="{D5CDD505-2E9C-101B-9397-08002B2CF9AE}" pid="4" name="ICV">
    <vt:lpwstr>59F297C033724E55A78C301CFD76160F_13</vt:lpwstr>
  </property>
</Properties>
</file>