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4AAD3">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default"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XX</w:t>
      </w:r>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镇纪委谈话场所设备采购项目采购</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 xml:space="preserve">  </w:t>
      </w:r>
    </w:p>
    <w:p w14:paraId="107D51C0">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内容及要求一览表</w:t>
      </w:r>
    </w:p>
    <w:tbl>
      <w:tblPr>
        <w:tblStyle w:val="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1"/>
        <w:gridCol w:w="1148"/>
        <w:gridCol w:w="614"/>
        <w:gridCol w:w="5993"/>
      </w:tblGrid>
      <w:tr w14:paraId="210F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0" w:type="auto"/>
            <w:vAlign w:val="center"/>
          </w:tcPr>
          <w:p w14:paraId="637C47DC">
            <w:pPr>
              <w:pStyle w:val="2"/>
              <w:rPr>
                <w:rFonts w:hint="eastAsia"/>
              </w:rPr>
            </w:pPr>
          </w:p>
        </w:tc>
        <w:tc>
          <w:tcPr>
            <w:tcW w:w="0" w:type="auto"/>
            <w:tcMar>
              <w:top w:w="0" w:type="dxa"/>
              <w:left w:w="108" w:type="dxa"/>
              <w:bottom w:w="0" w:type="dxa"/>
              <w:right w:w="108" w:type="dxa"/>
            </w:tcMar>
            <w:vAlign w:val="center"/>
          </w:tcPr>
          <w:p w14:paraId="7E3650FF">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标的名称</w:t>
            </w:r>
          </w:p>
        </w:tc>
        <w:tc>
          <w:tcPr>
            <w:tcW w:w="0" w:type="auto"/>
            <w:tcMar>
              <w:top w:w="0" w:type="dxa"/>
              <w:left w:w="108" w:type="dxa"/>
              <w:bottom w:w="0" w:type="dxa"/>
              <w:right w:w="108" w:type="dxa"/>
            </w:tcMar>
            <w:vAlign w:val="center"/>
          </w:tcPr>
          <w:p w14:paraId="1C6FA341">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0" w:type="auto"/>
            <w:tcMar>
              <w:top w:w="0" w:type="dxa"/>
              <w:left w:w="108" w:type="dxa"/>
              <w:bottom w:w="0" w:type="dxa"/>
              <w:right w:w="108" w:type="dxa"/>
            </w:tcMar>
            <w:vAlign w:val="center"/>
          </w:tcPr>
          <w:p w14:paraId="6313FDA2">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采购内容及要求</w:t>
            </w:r>
          </w:p>
        </w:tc>
      </w:tr>
      <w:tr w14:paraId="077E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0" w:hRule="atLeast"/>
        </w:trPr>
        <w:tc>
          <w:tcPr>
            <w:tcW w:w="0" w:type="auto"/>
            <w:tcMar>
              <w:top w:w="0" w:type="dxa"/>
              <w:left w:w="108" w:type="dxa"/>
              <w:bottom w:w="0" w:type="dxa"/>
              <w:right w:w="108" w:type="dxa"/>
            </w:tcMar>
            <w:vAlign w:val="center"/>
          </w:tcPr>
          <w:p w14:paraId="4E902720">
            <w:pPr>
              <w:spacing w:line="48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0" w:type="auto"/>
            <w:tcMar>
              <w:top w:w="0" w:type="dxa"/>
              <w:left w:w="108" w:type="dxa"/>
              <w:bottom w:w="0" w:type="dxa"/>
              <w:right w:w="108" w:type="dxa"/>
            </w:tcMar>
            <w:vAlign w:val="center"/>
          </w:tcPr>
          <w:p w14:paraId="3DD6F4E4">
            <w:pPr>
              <w:spacing w:line="480" w:lineRule="exact"/>
              <w:jc w:val="center"/>
              <w:rPr>
                <w:rFonts w:hint="eastAsia" w:ascii="宋体" w:hAnsi="宋体" w:eastAsia="宋体" w:cs="宋体"/>
                <w:sz w:val="24"/>
                <w:highlight w:val="none"/>
              </w:rPr>
            </w:pPr>
            <w:r>
              <w:rPr>
                <w:rFonts w:hint="eastAsia" w:ascii="宋体" w:hAnsi="宋体" w:eastAsia="宋体"/>
                <w:sz w:val="24"/>
                <w:highlight w:val="none"/>
              </w:rPr>
              <w:t>安防显示器配套</w:t>
            </w:r>
          </w:p>
        </w:tc>
        <w:tc>
          <w:tcPr>
            <w:tcW w:w="0" w:type="auto"/>
            <w:tcMar>
              <w:top w:w="0" w:type="dxa"/>
              <w:left w:w="108" w:type="dxa"/>
              <w:bottom w:w="0" w:type="dxa"/>
              <w:right w:w="108" w:type="dxa"/>
            </w:tcMar>
            <w:vAlign w:val="center"/>
          </w:tcPr>
          <w:p w14:paraId="68C53809">
            <w:pPr>
              <w:spacing w:line="480" w:lineRule="exact"/>
              <w:jc w:val="center"/>
              <w:rPr>
                <w:rFonts w:hint="eastAsia" w:ascii="宋体" w:hAnsi="宋体" w:eastAsia="宋体" w:cs="宋体"/>
                <w:sz w:val="24"/>
                <w:highlight w:val="none"/>
              </w:rPr>
            </w:pPr>
            <w:r>
              <w:rPr>
                <w:rFonts w:hint="eastAsia" w:ascii="宋体" w:hAnsi="宋体" w:eastAsia="宋体"/>
                <w:sz w:val="24"/>
                <w:highlight w:val="none"/>
              </w:rPr>
              <w:t>1</w:t>
            </w:r>
          </w:p>
        </w:tc>
        <w:tc>
          <w:tcPr>
            <w:tcW w:w="0" w:type="auto"/>
            <w:tcMar>
              <w:top w:w="0" w:type="dxa"/>
              <w:left w:w="108" w:type="dxa"/>
              <w:bottom w:w="0" w:type="dxa"/>
              <w:right w:w="108" w:type="dxa"/>
            </w:tcMar>
            <w:vAlign w:val="center"/>
          </w:tcPr>
          <w:p w14:paraId="429E4E68">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lang w:eastAsia="zh-CN"/>
              </w:rPr>
              <w:t>一、</w:t>
            </w:r>
            <w:r>
              <w:rPr>
                <w:rFonts w:hint="eastAsia" w:ascii="宋体" w:hAnsi="宋体" w:eastAsia="宋体" w:cs="宋体"/>
                <w:sz w:val="24"/>
                <w:highlight w:val="none"/>
              </w:rPr>
              <w:t>32英寸安防显示器</w:t>
            </w:r>
          </w:p>
          <w:p w14:paraId="4D79F5F2">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显示尺寸：31.5 inch</w:t>
            </w:r>
          </w:p>
          <w:p w14:paraId="5A7CBD0C">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屏幕可视区域：698.4 (H) mm × 392.85 (V) mm</w:t>
            </w:r>
          </w:p>
          <w:p w14:paraId="416FC39D">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背光源类型：E-LED</w:t>
            </w:r>
          </w:p>
          <w:p w14:paraId="1CE17CD0">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物理分辨率：1920 × 1080</w:t>
            </w:r>
          </w:p>
          <w:p w14:paraId="4EC8C71A">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亮度：350 cd/m²</w:t>
            </w:r>
          </w:p>
          <w:p w14:paraId="4E91C190">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可视角：178°(水平) / 178°(垂直)</w:t>
            </w:r>
          </w:p>
          <w:p w14:paraId="128E85D1">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色深度：8 bit, 16.7 M</w:t>
            </w:r>
          </w:p>
          <w:p w14:paraId="3ED3C479">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对比度：4000 : 1</w:t>
            </w:r>
          </w:p>
          <w:p w14:paraId="07454182">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响应时间：8 ms</w:t>
            </w:r>
          </w:p>
          <w:p w14:paraId="514A0672">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连续使用时间：7 × 24 H</w:t>
            </w:r>
          </w:p>
          <w:p w14:paraId="0CB9316E">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 xml:space="preserve">刷新率：60 Hz </w:t>
            </w:r>
          </w:p>
          <w:p w14:paraId="440AF12E">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音视频输入接口：BNC IN × 1, HDMI 1.4 × 1, DVI × 1, VGA × 1, AUDIO IN × 1</w:t>
            </w:r>
          </w:p>
          <w:p w14:paraId="70249500">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音视频输出接口：BNC OUT  × 1，Speaker (8Ω 2W) × 2</w:t>
            </w:r>
          </w:p>
          <w:p w14:paraId="012C7854">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数据传输接口：USB2.0 (支持程序升级及USB播放) × 1</w:t>
            </w:r>
          </w:p>
          <w:p w14:paraId="7DF71C5E">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 xml:space="preserve">控制接口：RS-232 IN × 1, RS-232 OUT × 1 </w:t>
            </w:r>
          </w:p>
          <w:p w14:paraId="51A16419">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电源：100~240 VAC，50/60 Hz</w:t>
            </w:r>
          </w:p>
          <w:p w14:paraId="74D79774">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待机功耗：≤ 0.5 W</w:t>
            </w:r>
          </w:p>
          <w:p w14:paraId="55927370">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 xml:space="preserve">功耗：≤ 55 W </w:t>
            </w:r>
          </w:p>
          <w:p w14:paraId="7AB1D431">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 xml:space="preserve">工作温度：0 °C ~ 40 °C </w:t>
            </w:r>
          </w:p>
          <w:p w14:paraId="4BB2EB9C">
            <w:pPr>
              <w:spacing w:line="480" w:lineRule="exact"/>
              <w:jc w:val="left"/>
              <w:rPr>
                <w:rFonts w:hint="eastAsia"/>
              </w:rPr>
            </w:pPr>
            <w:r>
              <w:rPr>
                <w:rFonts w:hint="eastAsia" w:ascii="宋体" w:hAnsi="宋体" w:eastAsia="宋体" w:cs="宋体"/>
                <w:sz w:val="24"/>
                <w:highlight w:val="none"/>
              </w:rPr>
              <w:t>外壳材料：塑料</w:t>
            </w:r>
          </w:p>
          <w:p w14:paraId="598DE11F">
            <w:pPr>
              <w:spacing w:line="480" w:lineRule="exact"/>
              <w:jc w:val="left"/>
              <w:rPr>
                <w:rFonts w:hint="eastAsia" w:ascii="宋体" w:hAnsi="宋体" w:eastAsia="宋体" w:cs="宋体"/>
                <w:sz w:val="24"/>
                <w:highlight w:val="none"/>
              </w:rPr>
            </w:pPr>
          </w:p>
          <w:p w14:paraId="35F2C583">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eastAsia="zh-CN"/>
              </w:rPr>
              <w:t>其他</w:t>
            </w:r>
            <w:r>
              <w:rPr>
                <w:rFonts w:hint="eastAsia" w:ascii="宋体" w:hAnsi="宋体" w:eastAsia="宋体" w:cs="宋体"/>
                <w:sz w:val="24"/>
                <w:highlight w:val="none"/>
              </w:rPr>
              <w:t>功能</w:t>
            </w:r>
            <w:r>
              <w:rPr>
                <w:rFonts w:hint="eastAsia" w:ascii="宋体" w:hAnsi="宋体" w:eastAsia="宋体" w:cs="宋体"/>
                <w:sz w:val="24"/>
                <w:highlight w:val="none"/>
                <w:lang w:eastAsia="zh-CN"/>
              </w:rPr>
              <w:t>需求</w:t>
            </w:r>
            <w:r>
              <w:rPr>
                <w:rFonts w:hint="eastAsia" w:ascii="宋体" w:hAnsi="宋体" w:eastAsia="宋体" w:cs="宋体"/>
                <w:sz w:val="24"/>
                <w:highlight w:val="none"/>
              </w:rPr>
              <w:t>】：</w:t>
            </w:r>
          </w:p>
          <w:p w14:paraId="541D4ABC">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支持8bit双路LVDS(1920×1080)高清显示</w:t>
            </w:r>
          </w:p>
          <w:p w14:paraId="3862247C">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支持通过串口连接中控设备，进行远程集中控制</w:t>
            </w:r>
          </w:p>
          <w:p w14:paraId="0F3CB17A">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实时监控设备温度，高温报警</w:t>
            </w:r>
          </w:p>
          <w:p w14:paraId="10975F3A">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支持内置喇叭及功放，支持3.5 mm音频输入</w:t>
            </w:r>
          </w:p>
          <w:p w14:paraId="37CE3BF0">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支持U盘点播，含文本、图片、音频、视频等多种格式多媒体播放</w:t>
            </w:r>
          </w:p>
          <w:p w14:paraId="290E4501">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支持7×24小时工作模式</w:t>
            </w:r>
          </w:p>
          <w:p w14:paraId="07A41FA0">
            <w:pPr>
              <w:spacing w:line="480" w:lineRule="exact"/>
              <w:jc w:val="left"/>
              <w:rPr>
                <w:rFonts w:hint="eastAsia" w:ascii="宋体" w:hAnsi="宋体" w:eastAsia="宋体" w:cs="宋体"/>
                <w:sz w:val="24"/>
                <w:highlight w:val="none"/>
              </w:rPr>
            </w:pPr>
          </w:p>
          <w:p w14:paraId="1FA5B90E">
            <w:pPr>
              <w:spacing w:line="480" w:lineRule="exact"/>
              <w:jc w:val="left"/>
              <w:rPr>
                <w:rFonts w:hint="default" w:ascii="宋体" w:hAnsi="宋体" w:eastAsia="宋体" w:cs="宋体"/>
                <w:sz w:val="24"/>
                <w:highlight w:val="none"/>
                <w:lang w:val="en-US" w:eastAsia="zh-CN"/>
              </w:rPr>
            </w:pPr>
            <w:r>
              <w:rPr>
                <w:rFonts w:hint="eastAsia" w:ascii="宋体" w:hAnsi="宋体" w:eastAsia="宋体" w:cs="宋体"/>
                <w:sz w:val="24"/>
                <w:highlight w:val="none"/>
              </w:rPr>
              <w:t>二、环境监测显示屏</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LCD显示屏）</w:t>
            </w:r>
          </w:p>
          <w:p w14:paraId="10C87502">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显示范围：温度：-19℃ ～99℃ ，湿度：0％ ～99％</w:t>
            </w:r>
          </w:p>
          <w:p w14:paraId="321D88FD">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检测范围：温度：–40°C ~ +125°C，湿度：0%~ 100%（传感器位于前面板，可单机使用）</w:t>
            </w:r>
          </w:p>
          <w:p w14:paraId="125B7FBB">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测量精度：温度＜±1℃ ，湿度＜ ±4%RH</w:t>
            </w:r>
          </w:p>
          <w:p w14:paraId="1D06563D">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显示时间精确到秒（年月日、时分秒）</w:t>
            </w:r>
          </w:p>
          <w:p w14:paraId="062B8416">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供电电压： 12VDC</w:t>
            </w:r>
          </w:p>
          <w:p w14:paraId="2D078153">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外部接口：485接口，RJ45自适应以太网口，报警1进1出（所有接口都以1米长甩线形式位于设备背面）</w:t>
            </w:r>
          </w:p>
          <w:p w14:paraId="7AAD968B">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外观尺寸：580mm(长) x 380mm(宽) x 36mm(高)</w:t>
            </w:r>
          </w:p>
          <w:p w14:paraId="53649C34">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重量：≤4.35KG</w:t>
            </w:r>
          </w:p>
          <w:p w14:paraId="7493612E">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温湿度协议：leicai</w:t>
            </w:r>
          </w:p>
          <w:p w14:paraId="1B36E884">
            <w:pPr>
              <w:spacing w:line="480" w:lineRule="exact"/>
              <w:jc w:val="left"/>
              <w:rPr>
                <w:rFonts w:hint="eastAsia" w:ascii="宋体" w:hAnsi="宋体" w:eastAsia="宋体" w:cs="宋体"/>
                <w:sz w:val="24"/>
                <w:highlight w:val="none"/>
              </w:rPr>
            </w:pPr>
          </w:p>
          <w:p w14:paraId="1E568A55">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其他</w:t>
            </w:r>
            <w:r>
              <w:rPr>
                <w:rFonts w:hint="eastAsia" w:ascii="宋体" w:hAnsi="宋体" w:eastAsia="宋体" w:cs="宋体"/>
                <w:sz w:val="24"/>
                <w:highlight w:val="none"/>
              </w:rPr>
              <w:t>功能</w:t>
            </w:r>
            <w:r>
              <w:rPr>
                <w:rFonts w:hint="eastAsia" w:ascii="宋体" w:hAnsi="宋体" w:eastAsia="宋体" w:cs="宋体"/>
                <w:sz w:val="24"/>
                <w:highlight w:val="none"/>
                <w:lang w:eastAsia="zh-CN"/>
              </w:rPr>
              <w:t>需求</w:t>
            </w:r>
            <w:r>
              <w:rPr>
                <w:rFonts w:hint="eastAsia" w:ascii="宋体" w:hAnsi="宋体" w:eastAsia="宋体" w:cs="宋体"/>
                <w:sz w:val="24"/>
                <w:highlight w:val="none"/>
              </w:rPr>
              <w:t>】：</w:t>
            </w:r>
          </w:p>
          <w:p w14:paraId="29EF1341">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支持温度、湿度信息检测；</w:t>
            </w:r>
          </w:p>
          <w:p w14:paraId="68A49F72">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支持1路相机接入，分辨率最高支持400W</w:t>
            </w:r>
          </w:p>
          <w:p w14:paraId="72437ED7">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支持对接入的相机画面进行环境信息叠加处理，并被NVR或者平台添加（添加方式与IPC类似）；</w:t>
            </w:r>
          </w:p>
          <w:p w14:paraId="6C7EE1DB">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支持POE供电（交换机/NVR/审讯主机的POE口可以对其供电）；</w:t>
            </w:r>
          </w:p>
          <w:p w14:paraId="266BE165">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默认显示时间精确到秒，可通过配置修改成精确到分</w:t>
            </w:r>
          </w:p>
          <w:p w14:paraId="0716363F">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支持RS485协议上传环境数据、校时；</w:t>
            </w:r>
          </w:p>
          <w:p w14:paraId="37C27C15">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支持网络ISAPI协议上传环境数据、校时；</w:t>
            </w:r>
          </w:p>
          <w:p w14:paraId="76E730A6">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采用防反光磨砂面板设计；</w:t>
            </w:r>
          </w:p>
          <w:p w14:paraId="528115CA">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采用高精度的环境检测传感器，性能稳定可靠；</w:t>
            </w:r>
          </w:p>
          <w:p w14:paraId="55F7EEA5">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采用静态显示，防白光处理，防止图像闪烁，适合同步录像应用；</w:t>
            </w:r>
          </w:p>
          <w:p w14:paraId="1899342B">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可以将采集到的环境数据和时间数据通过RS-485接口或者网络传送到计算机；</w:t>
            </w:r>
          </w:p>
        </w:tc>
      </w:tr>
      <w:tr w14:paraId="778C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0" w:type="auto"/>
            <w:tcMar>
              <w:top w:w="0" w:type="dxa"/>
              <w:left w:w="108" w:type="dxa"/>
              <w:bottom w:w="0" w:type="dxa"/>
              <w:right w:w="108" w:type="dxa"/>
            </w:tcMar>
            <w:vAlign w:val="center"/>
          </w:tcPr>
          <w:p w14:paraId="049E272F">
            <w:pPr>
              <w:spacing w:line="48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0" w:type="auto"/>
            <w:tcMar>
              <w:top w:w="0" w:type="dxa"/>
              <w:left w:w="108" w:type="dxa"/>
              <w:bottom w:w="0" w:type="dxa"/>
              <w:right w:w="108" w:type="dxa"/>
            </w:tcMar>
            <w:vAlign w:val="center"/>
          </w:tcPr>
          <w:p w14:paraId="717CB4D6">
            <w:pPr>
              <w:spacing w:line="480" w:lineRule="exact"/>
              <w:jc w:val="center"/>
              <w:rPr>
                <w:rFonts w:hint="eastAsia" w:ascii="宋体" w:hAnsi="宋体" w:eastAsia="宋体" w:cs="宋体"/>
                <w:sz w:val="24"/>
                <w:highlight w:val="none"/>
              </w:rPr>
            </w:pPr>
            <w:r>
              <w:rPr>
                <w:rFonts w:hint="eastAsia" w:ascii="宋体" w:hAnsi="宋体" w:eastAsia="宋体"/>
                <w:sz w:val="24"/>
                <w:highlight w:val="none"/>
              </w:rPr>
              <w:t>UPS电源配套</w:t>
            </w:r>
          </w:p>
        </w:tc>
        <w:tc>
          <w:tcPr>
            <w:tcW w:w="0" w:type="auto"/>
            <w:tcMar>
              <w:top w:w="0" w:type="dxa"/>
              <w:left w:w="108" w:type="dxa"/>
              <w:bottom w:w="0" w:type="dxa"/>
              <w:right w:w="108" w:type="dxa"/>
            </w:tcMar>
            <w:vAlign w:val="center"/>
          </w:tcPr>
          <w:p w14:paraId="2F0453A4">
            <w:pPr>
              <w:spacing w:line="480" w:lineRule="exact"/>
              <w:jc w:val="center"/>
              <w:rPr>
                <w:rFonts w:hint="eastAsia" w:ascii="宋体" w:hAnsi="宋体" w:eastAsia="宋体" w:cs="宋体"/>
                <w:sz w:val="24"/>
                <w:highlight w:val="none"/>
              </w:rPr>
            </w:pPr>
            <w:r>
              <w:rPr>
                <w:rFonts w:hint="eastAsia" w:ascii="宋体" w:hAnsi="宋体" w:eastAsia="宋体"/>
                <w:sz w:val="24"/>
                <w:highlight w:val="none"/>
              </w:rPr>
              <w:t>1</w:t>
            </w:r>
          </w:p>
        </w:tc>
        <w:tc>
          <w:tcPr>
            <w:tcW w:w="0" w:type="auto"/>
            <w:tcMar>
              <w:top w:w="0" w:type="dxa"/>
              <w:left w:w="108" w:type="dxa"/>
              <w:bottom w:w="0" w:type="dxa"/>
              <w:right w:w="108" w:type="dxa"/>
            </w:tcMar>
            <w:vAlign w:val="center"/>
          </w:tcPr>
          <w:p w14:paraId="754209B6">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1.名称:1KVA单进单出</w:t>
            </w:r>
            <w:r>
              <w:rPr>
                <w:rFonts w:hint="eastAsia" w:ascii="宋体" w:hAnsi="宋体" w:eastAsia="宋体"/>
                <w:sz w:val="24"/>
                <w:highlight w:val="none"/>
              </w:rPr>
              <w:t>UPS</w:t>
            </w:r>
            <w:r>
              <w:rPr>
                <w:rFonts w:hint="eastAsia" w:ascii="宋体" w:hAnsi="宋体" w:eastAsia="宋体"/>
                <w:sz w:val="24"/>
                <w:highlight w:val="none"/>
                <w:lang w:eastAsia="zh-CN"/>
              </w:rPr>
              <w:t>不间断</w:t>
            </w:r>
            <w:r>
              <w:rPr>
                <w:rFonts w:hint="eastAsia" w:ascii="宋体" w:hAnsi="宋体" w:eastAsia="宋体"/>
                <w:sz w:val="24"/>
                <w:highlight w:val="none"/>
              </w:rPr>
              <w:t>电源</w:t>
            </w:r>
            <w:r>
              <w:rPr>
                <w:rFonts w:hint="eastAsia" w:ascii="宋体" w:hAnsi="宋体" w:eastAsia="宋体" w:cs="宋体"/>
                <w:sz w:val="24"/>
                <w:highlight w:val="none"/>
              </w:rPr>
              <w:t>。2.方式:智能型高频在线式。3.容量1KVA/800W。4.转换时间:0毫秒。</w:t>
            </w:r>
          </w:p>
          <w:p w14:paraId="46BC81C4">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5.输入电压范围:120~276Vac可以满载输出。6.</w:t>
            </w:r>
          </w:p>
          <w:p w14:paraId="7C054890">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 xml:space="preserve">UPS 备 用电源 整机效率:≥92%。7.输出电压范围: 220/230/240Vac±1%。8.输出电压波形:正弦波。 </w:t>
            </w:r>
          </w:p>
          <w:p w14:paraId="1BFB43D6">
            <w:pPr>
              <w:numPr>
                <w:ilvl w:val="0"/>
                <w:numId w:val="1"/>
              </w:num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可满足200瓦功率设备在线2个小时。</w:t>
            </w:r>
          </w:p>
          <w:p w14:paraId="3063F987">
            <w:pPr>
              <w:numPr>
                <w:ilvl w:val="0"/>
                <w:numId w:val="1"/>
              </w:num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配电池 12V65AH*3只 及 电池柜</w:t>
            </w:r>
          </w:p>
        </w:tc>
      </w:tr>
      <w:tr w14:paraId="6EA5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0" w:type="auto"/>
            <w:tcMar>
              <w:top w:w="0" w:type="dxa"/>
              <w:left w:w="108" w:type="dxa"/>
              <w:bottom w:w="0" w:type="dxa"/>
              <w:right w:w="108" w:type="dxa"/>
            </w:tcMar>
            <w:vAlign w:val="center"/>
          </w:tcPr>
          <w:p w14:paraId="07E47496">
            <w:pPr>
              <w:spacing w:line="48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0" w:type="auto"/>
            <w:tcMar>
              <w:top w:w="0" w:type="dxa"/>
              <w:left w:w="108" w:type="dxa"/>
              <w:bottom w:w="0" w:type="dxa"/>
              <w:right w:w="108" w:type="dxa"/>
            </w:tcMar>
            <w:vAlign w:val="center"/>
          </w:tcPr>
          <w:p w14:paraId="773A4900">
            <w:pPr>
              <w:spacing w:line="480" w:lineRule="exact"/>
              <w:jc w:val="center"/>
              <w:rPr>
                <w:rFonts w:hint="eastAsia" w:ascii="宋体" w:hAnsi="宋体" w:eastAsia="宋体" w:cs="宋体"/>
                <w:sz w:val="24"/>
                <w:highlight w:val="none"/>
              </w:rPr>
            </w:pPr>
            <w:r>
              <w:rPr>
                <w:rFonts w:hint="eastAsia" w:ascii="宋体" w:hAnsi="宋体" w:eastAsia="宋体"/>
                <w:sz w:val="24"/>
                <w:highlight w:val="none"/>
              </w:rPr>
              <w:t>谈话室桌椅</w:t>
            </w:r>
          </w:p>
        </w:tc>
        <w:tc>
          <w:tcPr>
            <w:tcW w:w="0" w:type="auto"/>
            <w:tcMar>
              <w:top w:w="0" w:type="dxa"/>
              <w:left w:w="108" w:type="dxa"/>
              <w:bottom w:w="0" w:type="dxa"/>
              <w:right w:w="108" w:type="dxa"/>
            </w:tcMar>
            <w:vAlign w:val="center"/>
          </w:tcPr>
          <w:p w14:paraId="1508CA37">
            <w:pPr>
              <w:spacing w:line="480" w:lineRule="exact"/>
              <w:jc w:val="center"/>
              <w:rPr>
                <w:rFonts w:hint="eastAsia" w:ascii="宋体" w:hAnsi="宋体" w:eastAsia="宋体" w:cs="宋体"/>
                <w:sz w:val="24"/>
                <w:highlight w:val="none"/>
              </w:rPr>
            </w:pPr>
            <w:r>
              <w:rPr>
                <w:rFonts w:hint="eastAsia" w:ascii="宋体" w:hAnsi="宋体" w:eastAsia="宋体"/>
                <w:sz w:val="24"/>
                <w:highlight w:val="none"/>
              </w:rPr>
              <w:t>1</w:t>
            </w:r>
          </w:p>
        </w:tc>
        <w:tc>
          <w:tcPr>
            <w:tcW w:w="0" w:type="auto"/>
            <w:tcMar>
              <w:top w:w="0" w:type="dxa"/>
              <w:left w:w="108" w:type="dxa"/>
              <w:bottom w:w="0" w:type="dxa"/>
              <w:right w:w="108" w:type="dxa"/>
            </w:tcMar>
            <w:vAlign w:val="center"/>
          </w:tcPr>
          <w:p w14:paraId="39D4E9C8">
            <w:pPr>
              <w:spacing w:line="48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rPr>
              <w:t>包含</w:t>
            </w:r>
            <w:r>
              <w:rPr>
                <w:rFonts w:hint="eastAsia" w:ascii="宋体" w:hAnsi="宋体" w:eastAsia="宋体" w:cs="宋体"/>
                <w:sz w:val="24"/>
                <w:highlight w:val="none"/>
                <w:lang w:eastAsia="zh-CN"/>
              </w:rPr>
              <w:t>一张桌子，两张靠背椅，一张无靠背圆椅</w:t>
            </w:r>
          </w:p>
          <w:p w14:paraId="0204E679">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桌子尺寸：18710*1160*830mm，靠背椅尺寸：610*450*500mm，无靠背圆椅尺寸：380*380mm。</w:t>
            </w:r>
          </w:p>
          <w:p w14:paraId="63CC5552">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1、基材：采用符合E1级标准的环保型密度板；</w:t>
            </w:r>
          </w:p>
          <w:p w14:paraId="2B07FBEE">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2、面料：采用西皮，厚度≥1.5mm，经防虫、防腐、</w:t>
            </w:r>
          </w:p>
          <w:p w14:paraId="45E9BD00">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工序处理，耐磨性强、透气性好富有弹性；</w:t>
            </w:r>
          </w:p>
          <w:p w14:paraId="1B70D437">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3、海棉：采用一体成型高密度泡棉，密度≥35kg/m³，高回弹性，耐用度高；</w:t>
            </w:r>
          </w:p>
          <w:p w14:paraId="284AB960">
            <w:pPr>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4、五金件：五金配件结合紧密，牢固。</w:t>
            </w:r>
          </w:p>
        </w:tc>
      </w:tr>
      <w:tr w14:paraId="089E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5" w:hRule="atLeast"/>
        </w:trPr>
        <w:tc>
          <w:tcPr>
            <w:tcW w:w="0" w:type="auto"/>
            <w:tcMar>
              <w:top w:w="0" w:type="dxa"/>
              <w:left w:w="108" w:type="dxa"/>
              <w:bottom w:w="0" w:type="dxa"/>
              <w:right w:w="108" w:type="dxa"/>
            </w:tcMar>
            <w:vAlign w:val="center"/>
          </w:tcPr>
          <w:p w14:paraId="3CB7B624">
            <w:pPr>
              <w:widowControl/>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商务条款</w:t>
            </w:r>
          </w:p>
        </w:tc>
        <w:tc>
          <w:tcPr>
            <w:tcW w:w="0" w:type="auto"/>
            <w:gridSpan w:val="3"/>
            <w:tcMar>
              <w:top w:w="0" w:type="dxa"/>
              <w:left w:w="108" w:type="dxa"/>
              <w:bottom w:w="0" w:type="dxa"/>
              <w:right w:w="108" w:type="dxa"/>
            </w:tcMar>
          </w:tcPr>
          <w:p w14:paraId="14EEA287">
            <w:pPr>
              <w:widowControl/>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sz w:val="24"/>
                <w:highlight w:val="none"/>
              </w:rPr>
              <w:t>▲</w:t>
            </w:r>
            <w:r>
              <w:rPr>
                <w:rFonts w:hint="eastAsia" w:ascii="宋体" w:hAnsi="宋体" w:eastAsia="宋体" w:cs="宋体"/>
                <w:color w:val="000000" w:themeColor="text1"/>
                <w:kern w:val="0"/>
                <w:sz w:val="24"/>
                <w:highlight w:val="none"/>
                <w14:textFill>
                  <w14:solidFill>
                    <w14:schemeClr w14:val="tx1"/>
                  </w14:solidFill>
                </w14:textFill>
              </w:rPr>
              <w:t>一、合同签订期：自成交通知书发出之日起15个日历日内。</w:t>
            </w:r>
          </w:p>
          <w:p w14:paraId="33CEE8AF">
            <w:pPr>
              <w:widowControl/>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sz w:val="24"/>
                <w:highlight w:val="none"/>
              </w:rPr>
              <w:t>▲</w:t>
            </w:r>
            <w:r>
              <w:rPr>
                <w:rFonts w:hint="eastAsia" w:ascii="宋体" w:hAnsi="宋体" w:eastAsia="宋体" w:cs="宋体"/>
                <w:color w:val="000000" w:themeColor="text1"/>
                <w:kern w:val="0"/>
                <w:sz w:val="24"/>
                <w:highlight w:val="none"/>
                <w14:textFill>
                  <w14:solidFill>
                    <w14:schemeClr w14:val="tx1"/>
                  </w14:solidFill>
                </w14:textFill>
              </w:rPr>
              <w:t>二、提交成果时间：自合同签订之日起</w:t>
            </w:r>
            <w:r>
              <w:rPr>
                <w:rFonts w:hint="eastAsia" w:ascii="宋体" w:hAnsi="宋体" w:eastAsia="宋体" w:cs="宋体"/>
                <w:color w:val="000000" w:themeColor="text1"/>
                <w:kern w:val="0"/>
                <w:sz w:val="24"/>
                <w:highlight w:val="none"/>
                <w:lang w:val="en-US" w:eastAsia="zh-CN"/>
                <w14:textFill>
                  <w14:solidFill>
                    <w14:schemeClr w14:val="tx1"/>
                  </w14:solidFill>
                </w14:textFill>
              </w:rPr>
              <w:t>15</w:t>
            </w:r>
            <w:r>
              <w:rPr>
                <w:rFonts w:hint="eastAsia" w:ascii="宋体" w:hAnsi="宋体" w:eastAsia="宋体" w:cs="宋体"/>
                <w:color w:val="000000" w:themeColor="text1"/>
                <w:kern w:val="0"/>
                <w:sz w:val="24"/>
                <w:highlight w:val="none"/>
                <w14:textFill>
                  <w14:solidFill>
                    <w14:schemeClr w14:val="tx1"/>
                  </w14:solidFill>
                </w14:textFill>
              </w:rPr>
              <w:t xml:space="preserve">个日历日内。   </w:t>
            </w:r>
          </w:p>
          <w:p w14:paraId="197EC43C">
            <w:pPr>
              <w:widowControl/>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三、提交成果地点：采购人指定地点。</w:t>
            </w:r>
          </w:p>
          <w:p w14:paraId="73AC2E11">
            <w:pPr>
              <w:widowControl/>
              <w:spacing w:line="480" w:lineRule="exact"/>
              <w:jc w:val="lef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sz w:val="24"/>
                <w:highlight w:val="none"/>
              </w:rPr>
              <w:t>▲</w:t>
            </w:r>
            <w:r>
              <w:rPr>
                <w:rFonts w:hint="eastAsia" w:ascii="宋体" w:hAnsi="宋体" w:eastAsia="宋体" w:cs="宋体"/>
                <w:color w:val="000000" w:themeColor="text1"/>
                <w:kern w:val="0"/>
                <w:sz w:val="24"/>
                <w:highlight w:val="none"/>
                <w14:textFill>
                  <w14:solidFill>
                    <w14:schemeClr w14:val="tx1"/>
                  </w14:solidFill>
                </w14:textFill>
              </w:rPr>
              <w:t>四、售后要求：</w:t>
            </w:r>
          </w:p>
          <w:p w14:paraId="782E6470">
            <w:pPr>
              <w:widowControl/>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硬件</w:t>
            </w:r>
            <w:r>
              <w:rPr>
                <w:rFonts w:hint="eastAsia" w:ascii="宋体" w:hAnsi="宋体" w:eastAsia="宋体" w:cs="宋体"/>
                <w:color w:val="000000" w:themeColor="text1"/>
                <w:kern w:val="0"/>
                <w:sz w:val="24"/>
                <w:highlight w:val="none"/>
                <w14:textFill>
                  <w14:solidFill>
                    <w14:schemeClr w14:val="tx1"/>
                  </w14:solidFill>
                </w14:textFill>
              </w:rPr>
              <w:t>质量保证期：</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年。</w:t>
            </w:r>
          </w:p>
          <w:p w14:paraId="42047140">
            <w:pPr>
              <w:widowControl/>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2、处理问题响应时间：售后电话响应时间要求7*24小时，</w:t>
            </w:r>
            <w:r>
              <w:rPr>
                <w:rFonts w:hint="eastAsia" w:ascii="宋体" w:hAnsi="宋体" w:eastAsia="宋体" w:cs="宋体"/>
                <w:color w:val="000000" w:themeColor="text1"/>
                <w:kern w:val="0"/>
                <w:sz w:val="24"/>
                <w:highlight w:val="none"/>
                <w:lang w:val="en-US" w:eastAsia="zh-CN"/>
                <w14:textFill>
                  <w14:solidFill>
                    <w14:schemeClr w14:val="tx1"/>
                  </w14:solidFill>
                </w14:textFill>
              </w:rPr>
              <w:t>一般故障</w:t>
            </w:r>
            <w:r>
              <w:rPr>
                <w:rFonts w:hint="eastAsia" w:ascii="宋体" w:hAnsi="宋体" w:eastAsia="宋体" w:cs="宋体"/>
                <w:color w:val="000000" w:themeColor="text1"/>
                <w:kern w:val="0"/>
                <w:sz w:val="24"/>
                <w:highlight w:val="none"/>
                <w14:textFill>
                  <w14:solidFill>
                    <w14:schemeClr w14:val="tx1"/>
                  </w14:solidFill>
                </w14:textFill>
              </w:rPr>
              <w:t>现场响应时间要求不超过2小时，问题解决时间要求不超过</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个工作日。</w:t>
            </w:r>
          </w:p>
          <w:p w14:paraId="633A49D1">
            <w:pPr>
              <w:widowControl/>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3、配套设备要求：测试所需要使用的工具及软件由成交供应商自备，不能要求采购人另行采购或提供。</w:t>
            </w:r>
          </w:p>
          <w:p w14:paraId="1B416874">
            <w:pPr>
              <w:widowControl/>
              <w:tabs>
                <w:tab w:val="left" w:pos="2145"/>
              </w:tabs>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五、其他要求：</w:t>
            </w:r>
          </w:p>
          <w:p w14:paraId="5E372EEB">
            <w:pPr>
              <w:widowControl/>
              <w:tabs>
                <w:tab w:val="left" w:pos="2145"/>
              </w:tabs>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1、报价必须含以下部分，包括：</w:t>
            </w:r>
          </w:p>
          <w:p w14:paraId="677B5A50">
            <w:pPr>
              <w:widowControl/>
              <w:tabs>
                <w:tab w:val="left" w:pos="2145"/>
              </w:tabs>
              <w:spacing w:line="480" w:lineRule="exact"/>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（1）信息系统通讯保障；</w:t>
            </w:r>
          </w:p>
          <w:p w14:paraId="4F1ABE26">
            <w:pPr>
              <w:widowControl/>
              <w:tabs>
                <w:tab w:val="left" w:pos="2145"/>
              </w:tabs>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（2）必要的保险费用和各项税金；</w:t>
            </w:r>
          </w:p>
          <w:p w14:paraId="08FEA7B7">
            <w:pPr>
              <w:widowControl/>
              <w:tabs>
                <w:tab w:val="left" w:pos="2145"/>
              </w:tabs>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（3）其他：运输、装卸、迁移、培训、技术支持、售后、更新升级等费用。</w:t>
            </w:r>
          </w:p>
          <w:p w14:paraId="2755D6B5">
            <w:pPr>
              <w:widowControl/>
              <w:tabs>
                <w:tab w:val="left" w:pos="2145"/>
              </w:tabs>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2、付款方式：本项目无预付款，成交供应商所提交的成果经采购人书面验收合格后，一次性支付合同款。</w:t>
            </w:r>
          </w:p>
          <w:p w14:paraId="38051750">
            <w:pPr>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sz w:val="24"/>
                <w:highlight w:val="none"/>
              </w:rPr>
              <w:t>▲</w:t>
            </w:r>
            <w:r>
              <w:rPr>
                <w:rFonts w:ascii="宋体" w:hAnsi="宋体" w:eastAsia="宋体" w:cs="宋体"/>
                <w:color w:val="000000" w:themeColor="text1"/>
                <w:kern w:val="0"/>
                <w:sz w:val="24"/>
                <w:highlight w:val="none"/>
                <w14:textFill>
                  <w14:solidFill>
                    <w14:schemeClr w14:val="tx1"/>
                  </w14:solidFill>
                </w14:textFill>
              </w:rPr>
              <w:t>3</w:t>
            </w:r>
            <w:r>
              <w:rPr>
                <w:rFonts w:hint="eastAsia" w:ascii="宋体" w:hAnsi="宋体" w:eastAsia="宋体" w:cs="宋体"/>
                <w:color w:val="000000" w:themeColor="text1"/>
                <w:kern w:val="0"/>
                <w:sz w:val="24"/>
                <w:highlight w:val="none"/>
                <w14:textFill>
                  <w14:solidFill>
                    <w14:schemeClr w14:val="tx1"/>
                  </w14:solidFill>
                </w14:textFill>
              </w:rPr>
              <w:t>、供应商或其上级机构通过投标人获得在国家认证认可监督管理委员会官方网站可查询的创新管理体系认证证书（成交供应商须在成交结果公示起7个日历内向采购人提供上述有效认证证书复印件，否则视为虚假应标，采购人有权进行废标处理</w:t>
            </w:r>
            <w:r>
              <w:rPr>
                <w:rFonts w:hint="eastAsia" w:ascii="宋体" w:hAnsi="宋体" w:eastAsia="宋体" w:cs="宋体"/>
                <w:color w:val="000000" w:themeColor="text1"/>
                <w:kern w:val="0"/>
                <w:sz w:val="24"/>
                <w:highlight w:val="none"/>
                <w:lang w:eastAsia="zh-CN"/>
                <w14:textFill>
                  <w14:solidFill>
                    <w14:schemeClr w14:val="tx1"/>
                  </w14:solidFill>
                </w14:textFill>
              </w:rPr>
              <w:t>并</w:t>
            </w:r>
            <w:r>
              <w:rPr>
                <w:rFonts w:hint="eastAsia" w:ascii="宋体" w:hAnsi="宋体" w:eastAsia="宋体" w:cs="宋体"/>
                <w:color w:val="000000" w:themeColor="text1"/>
                <w:kern w:val="0"/>
                <w:sz w:val="24"/>
                <w:highlight w:val="none"/>
                <w14:textFill>
                  <w14:solidFill>
                    <w14:schemeClr w14:val="tx1"/>
                  </w14:solidFill>
                </w14:textFill>
              </w:rPr>
              <w:t>追究该投标人相关法律责任)。</w:t>
            </w:r>
          </w:p>
          <w:p w14:paraId="4115DBA9">
            <w:pPr>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sz w:val="24"/>
                <w:highlight w:val="none"/>
              </w:rPr>
              <w:t>▲</w:t>
            </w:r>
            <w:r>
              <w:rPr>
                <w:rFonts w:ascii="宋体" w:hAnsi="宋体" w:eastAsia="宋体" w:cs="宋体"/>
                <w:color w:val="000000" w:themeColor="text1"/>
                <w:kern w:val="0"/>
                <w:sz w:val="24"/>
                <w:highlight w:val="none"/>
                <w14:textFill>
                  <w14:solidFill>
                    <w14:schemeClr w14:val="tx1"/>
                  </w14:solidFill>
                </w14:textFill>
              </w:rPr>
              <w:t>4</w:t>
            </w:r>
            <w:r>
              <w:rPr>
                <w:rFonts w:hint="eastAsia" w:ascii="宋体" w:hAnsi="宋体" w:eastAsia="宋体" w:cs="宋体"/>
                <w:color w:val="000000" w:themeColor="text1"/>
                <w:kern w:val="0"/>
                <w:sz w:val="24"/>
                <w:highlight w:val="none"/>
                <w14:textFill>
                  <w14:solidFill>
                    <w14:schemeClr w14:val="tx1"/>
                  </w14:solidFill>
                </w14:textFill>
              </w:rPr>
              <w:t>、供应商或其上级机构拟投入本项目负责人同时具备计算机应用（高级）工程师、信息系统项目管理师（高级）、通信工程专业正高级工程师</w:t>
            </w:r>
            <w:r>
              <w:rPr>
                <w:rFonts w:hint="eastAsia" w:ascii="宋体" w:hAnsi="宋体" w:eastAsia="宋体" w:cs="宋体"/>
                <w:color w:val="000000" w:themeColor="text1"/>
                <w:kern w:val="0"/>
                <w:sz w:val="24"/>
                <w:highlight w:val="none"/>
                <w:lang w:eastAsia="zh-CN"/>
                <w14:textFill>
                  <w14:solidFill>
                    <w14:schemeClr w14:val="tx1"/>
                  </w14:solidFill>
                </w14:textFill>
              </w:rPr>
              <w:t>资格</w:t>
            </w:r>
            <w:r>
              <w:rPr>
                <w:rFonts w:hint="eastAsia" w:ascii="宋体" w:hAnsi="宋体" w:eastAsia="宋体" w:cs="宋体"/>
                <w:color w:val="000000" w:themeColor="text1"/>
                <w:kern w:val="0"/>
                <w:sz w:val="24"/>
                <w:highlight w:val="none"/>
                <w14:textFill>
                  <w14:solidFill>
                    <w14:schemeClr w14:val="tx1"/>
                  </w14:solidFill>
                </w14:textFill>
              </w:rPr>
              <w:t>（成交供应商须在成交结果公示起7个日历内向采购人提供上述证书复印件及投标截止时间前提</w:t>
            </w:r>
            <w:r>
              <w:rPr>
                <w:rFonts w:hint="eastAsia" w:ascii="宋体" w:hAnsi="宋体" w:eastAsia="宋体" w:cs="宋体"/>
                <w:color w:val="000000" w:themeColor="text1"/>
                <w:kern w:val="0"/>
                <w:sz w:val="24"/>
                <w:highlight w:val="none"/>
                <w:lang w:eastAsia="zh-CN"/>
                <w14:textFill>
                  <w14:solidFill>
                    <w14:schemeClr w14:val="tx1"/>
                  </w14:solidFill>
                </w14:textFill>
              </w:rPr>
              <w:t>交</w:t>
            </w:r>
            <w:r>
              <w:rPr>
                <w:rFonts w:hint="eastAsia" w:ascii="宋体" w:hAnsi="宋体" w:eastAsia="宋体" w:cs="宋体"/>
                <w:color w:val="000000" w:themeColor="text1"/>
                <w:kern w:val="0"/>
                <w:sz w:val="24"/>
                <w:highlight w:val="none"/>
                <w14:textFill>
                  <w14:solidFill>
                    <w14:schemeClr w14:val="tx1"/>
                  </w14:solidFill>
                </w14:textFill>
              </w:rPr>
              <w:t>该人员半年内社保证明或聘用合同或者劳动合同，否则视为虚假应标，采购人有权进行废标处理</w:t>
            </w:r>
            <w:r>
              <w:rPr>
                <w:rFonts w:hint="eastAsia" w:ascii="宋体" w:hAnsi="宋体" w:eastAsia="宋体" w:cs="宋体"/>
                <w:color w:val="000000" w:themeColor="text1"/>
                <w:kern w:val="0"/>
                <w:sz w:val="24"/>
                <w:highlight w:val="none"/>
                <w:lang w:eastAsia="zh-CN"/>
                <w14:textFill>
                  <w14:solidFill>
                    <w14:schemeClr w14:val="tx1"/>
                  </w14:solidFill>
                </w14:textFill>
              </w:rPr>
              <w:t>并</w:t>
            </w:r>
            <w:r>
              <w:rPr>
                <w:rFonts w:hint="eastAsia" w:ascii="宋体" w:hAnsi="宋体" w:eastAsia="宋体" w:cs="宋体"/>
                <w:color w:val="000000" w:themeColor="text1"/>
                <w:kern w:val="0"/>
                <w:sz w:val="24"/>
                <w:highlight w:val="none"/>
                <w14:textFill>
                  <w14:solidFill>
                    <w14:schemeClr w14:val="tx1"/>
                  </w14:solidFill>
                </w14:textFill>
              </w:rPr>
              <w:t>追究该投标人相关法律责任）。</w:t>
            </w:r>
          </w:p>
          <w:p w14:paraId="73FD8A1E">
            <w:pPr>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sz w:val="24"/>
                <w:highlight w:val="none"/>
              </w:rPr>
              <w:t>▲</w:t>
            </w:r>
            <w:r>
              <w:rPr>
                <w:rFonts w:hint="eastAsia" w:ascii="宋体" w:hAnsi="宋体" w:eastAsia="宋体" w:cs="宋体"/>
                <w:color w:val="000000" w:themeColor="text1"/>
                <w:kern w:val="0"/>
                <w:sz w:val="24"/>
                <w:highlight w:val="none"/>
                <w14:textFill>
                  <w14:solidFill>
                    <w14:schemeClr w14:val="tx1"/>
                  </w14:solidFill>
                </w14:textFill>
              </w:rPr>
              <w:t>5、由于成交供应商原因，未能按本项目合同规定的内容、时间及相关要求向采购人交付成果的，采购人有权解除合同，并追究成交供应商违约责任。</w:t>
            </w:r>
          </w:p>
        </w:tc>
      </w:tr>
    </w:tbl>
    <w:p w14:paraId="620562E6">
      <w:pPr>
        <w:rPr>
          <w:rFonts w:hint="eastAsia" w:ascii="宋体" w:hAnsi="宋体" w:eastAsia="宋体" w:cs="Times New Roman"/>
          <w:color w:val="000000" w:themeColor="text1"/>
          <w:sz w:val="24"/>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773C4"/>
    <w:multiLevelType w:val="singleLevel"/>
    <w:tmpl w:val="A42773C4"/>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NjBhMTVkNDMzOGZiODdlMDk5Y2E0NjRjZWQ1OTMifQ=="/>
  </w:docVars>
  <w:rsids>
    <w:rsidRoot w:val="00FB2AD6"/>
    <w:rsid w:val="000137FA"/>
    <w:rsid w:val="000D4A2F"/>
    <w:rsid w:val="000F4694"/>
    <w:rsid w:val="00121B93"/>
    <w:rsid w:val="001433B9"/>
    <w:rsid w:val="00164EEC"/>
    <w:rsid w:val="00173E2F"/>
    <w:rsid w:val="0017602A"/>
    <w:rsid w:val="00181581"/>
    <w:rsid w:val="00285EE9"/>
    <w:rsid w:val="002879F6"/>
    <w:rsid w:val="002B22AA"/>
    <w:rsid w:val="002B2B11"/>
    <w:rsid w:val="002C7BFA"/>
    <w:rsid w:val="002D42A7"/>
    <w:rsid w:val="002E3232"/>
    <w:rsid w:val="00371D82"/>
    <w:rsid w:val="00390E54"/>
    <w:rsid w:val="003A622D"/>
    <w:rsid w:val="003A7285"/>
    <w:rsid w:val="003D44C9"/>
    <w:rsid w:val="00417A7D"/>
    <w:rsid w:val="00425BA0"/>
    <w:rsid w:val="00436357"/>
    <w:rsid w:val="00464135"/>
    <w:rsid w:val="004665A9"/>
    <w:rsid w:val="004A0C9E"/>
    <w:rsid w:val="004C45A1"/>
    <w:rsid w:val="004E64B8"/>
    <w:rsid w:val="00565CEA"/>
    <w:rsid w:val="005B35F3"/>
    <w:rsid w:val="005B6C4C"/>
    <w:rsid w:val="00645AD8"/>
    <w:rsid w:val="00721B4C"/>
    <w:rsid w:val="0072683E"/>
    <w:rsid w:val="00731EF8"/>
    <w:rsid w:val="007D3ECE"/>
    <w:rsid w:val="00805A57"/>
    <w:rsid w:val="0082765B"/>
    <w:rsid w:val="008604A3"/>
    <w:rsid w:val="00871C13"/>
    <w:rsid w:val="008A491B"/>
    <w:rsid w:val="009B139E"/>
    <w:rsid w:val="009D6F72"/>
    <w:rsid w:val="00A06190"/>
    <w:rsid w:val="00A1322B"/>
    <w:rsid w:val="00AE6F0B"/>
    <w:rsid w:val="00B00856"/>
    <w:rsid w:val="00B01633"/>
    <w:rsid w:val="00B33AA1"/>
    <w:rsid w:val="00B71D81"/>
    <w:rsid w:val="00BA7CA7"/>
    <w:rsid w:val="00BB6501"/>
    <w:rsid w:val="00BD123D"/>
    <w:rsid w:val="00C40F9C"/>
    <w:rsid w:val="00CD4E60"/>
    <w:rsid w:val="00E90C73"/>
    <w:rsid w:val="00EA61F5"/>
    <w:rsid w:val="00EE527E"/>
    <w:rsid w:val="00F5018A"/>
    <w:rsid w:val="00F83233"/>
    <w:rsid w:val="00FB2AD6"/>
    <w:rsid w:val="00FD64CB"/>
    <w:rsid w:val="016D6AC7"/>
    <w:rsid w:val="018C21A5"/>
    <w:rsid w:val="01D9167B"/>
    <w:rsid w:val="01EE4DF8"/>
    <w:rsid w:val="036F101F"/>
    <w:rsid w:val="04C1569D"/>
    <w:rsid w:val="04D035F5"/>
    <w:rsid w:val="051E5D6A"/>
    <w:rsid w:val="056A6FAB"/>
    <w:rsid w:val="057118C4"/>
    <w:rsid w:val="05FB48EC"/>
    <w:rsid w:val="06B23E98"/>
    <w:rsid w:val="06C42EE5"/>
    <w:rsid w:val="080F2686"/>
    <w:rsid w:val="08521472"/>
    <w:rsid w:val="089B03BE"/>
    <w:rsid w:val="093D20B4"/>
    <w:rsid w:val="096F5AD2"/>
    <w:rsid w:val="09D80C8B"/>
    <w:rsid w:val="0AEB73DB"/>
    <w:rsid w:val="0AED4AF0"/>
    <w:rsid w:val="0B3A252C"/>
    <w:rsid w:val="0B544D5D"/>
    <w:rsid w:val="0B6F5B42"/>
    <w:rsid w:val="0BBF2615"/>
    <w:rsid w:val="0BE00CC2"/>
    <w:rsid w:val="0BFB6C8E"/>
    <w:rsid w:val="0CD738A5"/>
    <w:rsid w:val="11E94FAC"/>
    <w:rsid w:val="12307395"/>
    <w:rsid w:val="12A122B8"/>
    <w:rsid w:val="13260EE5"/>
    <w:rsid w:val="14E629C1"/>
    <w:rsid w:val="153C76A2"/>
    <w:rsid w:val="15F35395"/>
    <w:rsid w:val="173D4AED"/>
    <w:rsid w:val="17944956"/>
    <w:rsid w:val="19AC5F87"/>
    <w:rsid w:val="1A482538"/>
    <w:rsid w:val="1A5605E9"/>
    <w:rsid w:val="1BA3785E"/>
    <w:rsid w:val="1C5D5C5E"/>
    <w:rsid w:val="1CE1063D"/>
    <w:rsid w:val="1D992CC6"/>
    <w:rsid w:val="1DA60131"/>
    <w:rsid w:val="1F233AF9"/>
    <w:rsid w:val="1FE745B8"/>
    <w:rsid w:val="20DB7F94"/>
    <w:rsid w:val="21201E1D"/>
    <w:rsid w:val="220936C9"/>
    <w:rsid w:val="22DD5989"/>
    <w:rsid w:val="22FB1D2D"/>
    <w:rsid w:val="23226E01"/>
    <w:rsid w:val="23985DF6"/>
    <w:rsid w:val="23D700A4"/>
    <w:rsid w:val="24686958"/>
    <w:rsid w:val="2519649B"/>
    <w:rsid w:val="25823A0A"/>
    <w:rsid w:val="270845F2"/>
    <w:rsid w:val="274D4B9D"/>
    <w:rsid w:val="277F0CF8"/>
    <w:rsid w:val="283D06F2"/>
    <w:rsid w:val="29147044"/>
    <w:rsid w:val="294A4402"/>
    <w:rsid w:val="2A8B3997"/>
    <w:rsid w:val="2CED789C"/>
    <w:rsid w:val="2DE14258"/>
    <w:rsid w:val="2EA27173"/>
    <w:rsid w:val="2EF354D5"/>
    <w:rsid w:val="2F9B3B07"/>
    <w:rsid w:val="2FDA17DC"/>
    <w:rsid w:val="2FE46BAD"/>
    <w:rsid w:val="315D67A3"/>
    <w:rsid w:val="31B940D6"/>
    <w:rsid w:val="324A5C19"/>
    <w:rsid w:val="327C2A4D"/>
    <w:rsid w:val="329143C2"/>
    <w:rsid w:val="334B460B"/>
    <w:rsid w:val="33A47E3E"/>
    <w:rsid w:val="344C4197"/>
    <w:rsid w:val="34864CF7"/>
    <w:rsid w:val="349D3815"/>
    <w:rsid w:val="349F5CF4"/>
    <w:rsid w:val="34B707AE"/>
    <w:rsid w:val="35657E57"/>
    <w:rsid w:val="36693541"/>
    <w:rsid w:val="367125DA"/>
    <w:rsid w:val="37405B09"/>
    <w:rsid w:val="37537F32"/>
    <w:rsid w:val="38783665"/>
    <w:rsid w:val="39846181"/>
    <w:rsid w:val="3AC97207"/>
    <w:rsid w:val="3B023801"/>
    <w:rsid w:val="3B6E70E8"/>
    <w:rsid w:val="3BA50630"/>
    <w:rsid w:val="3BEF2274"/>
    <w:rsid w:val="3BFC1976"/>
    <w:rsid w:val="3C574020"/>
    <w:rsid w:val="3C59090B"/>
    <w:rsid w:val="3CA76BDD"/>
    <w:rsid w:val="3E5233D2"/>
    <w:rsid w:val="3EB626C5"/>
    <w:rsid w:val="3FF16F43"/>
    <w:rsid w:val="405E344D"/>
    <w:rsid w:val="40784565"/>
    <w:rsid w:val="40DC2D46"/>
    <w:rsid w:val="43CF33A7"/>
    <w:rsid w:val="441D7A19"/>
    <w:rsid w:val="4428087F"/>
    <w:rsid w:val="44606C49"/>
    <w:rsid w:val="44DC0C61"/>
    <w:rsid w:val="45812A47"/>
    <w:rsid w:val="45BC0849"/>
    <w:rsid w:val="45EE77A4"/>
    <w:rsid w:val="476237AF"/>
    <w:rsid w:val="485D476D"/>
    <w:rsid w:val="486571A9"/>
    <w:rsid w:val="487A531F"/>
    <w:rsid w:val="489D725F"/>
    <w:rsid w:val="48C174BF"/>
    <w:rsid w:val="48E91E42"/>
    <w:rsid w:val="492A083F"/>
    <w:rsid w:val="4A201EF6"/>
    <w:rsid w:val="4A6F3CFC"/>
    <w:rsid w:val="4BB87F0C"/>
    <w:rsid w:val="4BFA0524"/>
    <w:rsid w:val="4C9423F6"/>
    <w:rsid w:val="4CB608EF"/>
    <w:rsid w:val="4D113D78"/>
    <w:rsid w:val="4E187189"/>
    <w:rsid w:val="4E4923FB"/>
    <w:rsid w:val="4E9C3B15"/>
    <w:rsid w:val="4F0C0C9A"/>
    <w:rsid w:val="4F464E9D"/>
    <w:rsid w:val="4F8E4C3A"/>
    <w:rsid w:val="4F9A2358"/>
    <w:rsid w:val="500B2D00"/>
    <w:rsid w:val="518F09DF"/>
    <w:rsid w:val="520D7203"/>
    <w:rsid w:val="52423C83"/>
    <w:rsid w:val="52D75447"/>
    <w:rsid w:val="53A47430"/>
    <w:rsid w:val="56D04374"/>
    <w:rsid w:val="56D57BC4"/>
    <w:rsid w:val="573A6105"/>
    <w:rsid w:val="5A4C4641"/>
    <w:rsid w:val="5ACA3004"/>
    <w:rsid w:val="5B4478E7"/>
    <w:rsid w:val="5B5A2343"/>
    <w:rsid w:val="5B7C3555"/>
    <w:rsid w:val="5DAB2C5B"/>
    <w:rsid w:val="5DD973FF"/>
    <w:rsid w:val="5F557AF4"/>
    <w:rsid w:val="5F61293D"/>
    <w:rsid w:val="5FD307E9"/>
    <w:rsid w:val="61565DA5"/>
    <w:rsid w:val="61826B9A"/>
    <w:rsid w:val="626B100C"/>
    <w:rsid w:val="63387E58"/>
    <w:rsid w:val="652C7270"/>
    <w:rsid w:val="653B572C"/>
    <w:rsid w:val="65510D5D"/>
    <w:rsid w:val="65C21C5B"/>
    <w:rsid w:val="660E3D7B"/>
    <w:rsid w:val="6632293D"/>
    <w:rsid w:val="66A03D4A"/>
    <w:rsid w:val="66DE0D17"/>
    <w:rsid w:val="676E3E49"/>
    <w:rsid w:val="68354966"/>
    <w:rsid w:val="68A11FFC"/>
    <w:rsid w:val="69047BC8"/>
    <w:rsid w:val="6B6D04D1"/>
    <w:rsid w:val="6BCF0C2E"/>
    <w:rsid w:val="6D8B1DFF"/>
    <w:rsid w:val="6E5950D8"/>
    <w:rsid w:val="6E6715F2"/>
    <w:rsid w:val="6F9A0674"/>
    <w:rsid w:val="712D5AE4"/>
    <w:rsid w:val="72A2709C"/>
    <w:rsid w:val="73034AC9"/>
    <w:rsid w:val="738549F4"/>
    <w:rsid w:val="738E13CF"/>
    <w:rsid w:val="745F3497"/>
    <w:rsid w:val="77271F8C"/>
    <w:rsid w:val="7757387E"/>
    <w:rsid w:val="77C47AB5"/>
    <w:rsid w:val="787B63C5"/>
    <w:rsid w:val="78D13B60"/>
    <w:rsid w:val="78FF6F37"/>
    <w:rsid w:val="79065900"/>
    <w:rsid w:val="79684549"/>
    <w:rsid w:val="7A1646E8"/>
    <w:rsid w:val="7A24483B"/>
    <w:rsid w:val="7C0A2A6E"/>
    <w:rsid w:val="7D87580C"/>
    <w:rsid w:val="7EA649AF"/>
    <w:rsid w:val="7F8B02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spacing w:line="340" w:lineRule="exact"/>
      <w:outlineLvl w:val="0"/>
    </w:pPr>
    <w:rPr>
      <w:rFonts w:ascii="Times New Roman" w:hAnsi="Times New Roman" w:eastAsia="宋体" w:cs="Times New Roman"/>
      <w:b/>
      <w:bC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Document Map"/>
    <w:basedOn w:val="1"/>
    <w:link w:val="16"/>
    <w:semiHidden/>
    <w:unhideWhenUsed/>
    <w:qFormat/>
    <w:uiPriority w:val="99"/>
    <w:rPr>
      <w:rFonts w:ascii="宋体" w:eastAsia="宋体"/>
      <w:sz w:val="18"/>
      <w:szCs w:val="18"/>
    </w:rPr>
  </w:style>
  <w:style w:type="paragraph" w:styleId="5">
    <w:name w:val="Plain Text"/>
    <w:basedOn w:val="1"/>
    <w:link w:val="14"/>
    <w:qFormat/>
    <w:uiPriority w:val="0"/>
    <w:rPr>
      <w:rFonts w:ascii="宋体" w:hAnsi="Courier New"/>
      <w:szCs w:val="22"/>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paragraph" w:styleId="12">
    <w:name w:val="List Paragraph"/>
    <w:basedOn w:val="1"/>
    <w:unhideWhenUsed/>
    <w:qFormat/>
    <w:uiPriority w:val="99"/>
    <w:pPr>
      <w:ind w:firstLine="420" w:firstLineChars="200"/>
    </w:pPr>
  </w:style>
  <w:style w:type="character" w:customStyle="1" w:styleId="13">
    <w:name w:val="标题 1 字符"/>
    <w:basedOn w:val="9"/>
    <w:link w:val="3"/>
    <w:qFormat/>
    <w:uiPriority w:val="0"/>
    <w:rPr>
      <w:rFonts w:ascii="Times New Roman" w:hAnsi="Times New Roman" w:eastAsia="宋体" w:cs="Times New Roman"/>
      <w:b/>
      <w:bCs/>
      <w:szCs w:val="24"/>
    </w:rPr>
  </w:style>
  <w:style w:type="character" w:customStyle="1" w:styleId="14">
    <w:name w:val="纯文本 字符"/>
    <w:link w:val="5"/>
    <w:qFormat/>
    <w:uiPriority w:val="0"/>
    <w:rPr>
      <w:rFonts w:ascii="宋体" w:hAnsi="Courier New"/>
    </w:rPr>
  </w:style>
  <w:style w:type="character" w:customStyle="1" w:styleId="15">
    <w:name w:val="纯文本 Char1"/>
    <w:basedOn w:val="9"/>
    <w:semiHidden/>
    <w:qFormat/>
    <w:uiPriority w:val="99"/>
    <w:rPr>
      <w:rFonts w:ascii="宋体" w:hAnsi="Courier New" w:eastAsia="宋体" w:cs="Courier New"/>
      <w:szCs w:val="21"/>
    </w:rPr>
  </w:style>
  <w:style w:type="character" w:customStyle="1" w:styleId="16">
    <w:name w:val="文档结构图 字符"/>
    <w:basedOn w:val="9"/>
    <w:link w:val="4"/>
    <w:semiHidden/>
    <w:qFormat/>
    <w:uiPriority w:val="99"/>
    <w:rPr>
      <w:rFonts w:ascii="宋体" w:eastAsia="宋体"/>
      <w:sz w:val="18"/>
      <w:szCs w:val="18"/>
    </w:rPr>
  </w:style>
  <w:style w:type="character" w:customStyle="1" w:styleId="17">
    <w:name w:val="lb"/>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gxga</Company>
  <Pages>5</Pages>
  <Words>1763</Words>
  <Characters>2064</Characters>
  <Lines>196</Lines>
  <Paragraphs>150</Paragraphs>
  <TotalTime>4</TotalTime>
  <ScaleCrop>false</ScaleCrop>
  <LinksUpToDate>false</LinksUpToDate>
  <CharactersWithSpaces>2163</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2021-03-11T08:43:00Z</dcterms:created>
  <dc:creator>qitian@gx.cmcc</dc:creator>
  <cp:lastModifiedBy>ma</cp:lastModifiedBy>
  <cp:lastPrinted>2026-06-03T11:24:00Z</cp:lastPrinted>
  <dcterms:modified xsi:type="dcterms:W3CDTF">2026-07-22T01:56:12Z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5B54DC2561EA075ABCB25F6ABDFA2CA3_43</vt:lpwstr>
  </property>
  <property fmtid="{D5CDD505-2E9C-101B-9397-08002B2CF9AE}" pid="4" name="KSOTemplateDocerSaveRecord">
    <vt:lpwstr>eyJoZGlkIjoiNzBlZDZlYWE4ODVmMzI1NGRiZjIxYzRkYTc1MGMyYjUiLCJ1c2VySWQiOiIxNzIwMTI0MjQxIn0=</vt:lpwstr>
  </property>
</Properties>
</file>