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32"/>
          <w:szCs w:val="36"/>
        </w:rPr>
      </w:pPr>
    </w:p>
    <w:p>
      <w:pPr>
        <w:jc w:val="center"/>
        <w:rPr>
          <w:rFonts w:ascii="宋体" w:hAnsi="宋体" w:eastAsia="宋体"/>
          <w:b/>
          <w:bCs/>
          <w:sz w:val="32"/>
          <w:szCs w:val="36"/>
        </w:rPr>
      </w:pPr>
      <w:r>
        <w:rPr>
          <w:rFonts w:hint="eastAsia" w:ascii="宋体" w:hAnsi="宋体" w:eastAsia="宋体"/>
          <w:b/>
          <w:bCs/>
          <w:sz w:val="32"/>
          <w:szCs w:val="36"/>
        </w:rPr>
        <w:t>采购需求书</w:t>
      </w:r>
    </w:p>
    <w:p>
      <w:pPr>
        <w:rPr>
          <w:rFonts w:ascii="宋体" w:hAnsi="宋体" w:eastAsia="宋体"/>
          <w:b/>
          <w:bCs/>
          <w:sz w:val="28"/>
          <w:szCs w:val="32"/>
        </w:rPr>
      </w:pPr>
      <w:r>
        <w:rPr>
          <w:rFonts w:hint="eastAsia" w:ascii="宋体" w:hAnsi="宋体" w:eastAsia="宋体"/>
          <w:b/>
          <w:bCs/>
          <w:sz w:val="28"/>
          <w:szCs w:val="32"/>
        </w:rPr>
        <w:t>一、采购内容：</w:t>
      </w:r>
    </w:p>
    <w:tbl>
      <w:tblPr>
        <w:tblStyle w:val="7"/>
        <w:tblW w:w="8931" w:type="dxa"/>
        <w:tblInd w:w="-15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199"/>
        <w:gridCol w:w="1420"/>
        <w:gridCol w:w="1632"/>
        <w:gridCol w:w="39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685" w:type="dxa"/>
            <w:tcBorders>
              <w:top w:val="single" w:color="auto" w:sz="12" w:space="0"/>
              <w:left w:val="single" w:color="auto" w:sz="12" w:space="0"/>
              <w:bottom w:val="single" w:color="auto" w:sz="4" w:space="0"/>
              <w:right w:val="single" w:color="auto" w:sz="4" w:space="0"/>
            </w:tcBorders>
            <w:vAlign w:val="center"/>
          </w:tcPr>
          <w:p>
            <w:pPr>
              <w:snapToGrid w:val="0"/>
              <w:spacing w:line="340" w:lineRule="exact"/>
              <w:jc w:val="center"/>
              <w:rPr>
                <w:rFonts w:ascii="宋体" w:hAnsi="宋体" w:eastAsia="宋体" w:cs="宋体"/>
                <w:b/>
                <w:bCs/>
                <w:kern w:val="0"/>
                <w:sz w:val="24"/>
                <w:szCs w:val="28"/>
              </w:rPr>
            </w:pPr>
            <w:r>
              <w:rPr>
                <w:rFonts w:hint="eastAsia" w:ascii="宋体" w:hAnsi="宋体" w:eastAsia="宋体" w:cs="宋体"/>
                <w:b/>
                <w:bCs/>
                <w:kern w:val="0"/>
                <w:sz w:val="24"/>
                <w:szCs w:val="28"/>
              </w:rPr>
              <w:t>序号</w:t>
            </w:r>
          </w:p>
        </w:tc>
        <w:tc>
          <w:tcPr>
            <w:tcW w:w="1199" w:type="dxa"/>
            <w:tcBorders>
              <w:top w:val="single" w:color="auto" w:sz="12" w:space="0"/>
              <w:left w:val="single" w:color="auto" w:sz="4" w:space="0"/>
              <w:bottom w:val="single" w:color="auto" w:sz="4" w:space="0"/>
              <w:right w:val="single" w:color="auto" w:sz="4" w:space="0"/>
            </w:tcBorders>
            <w:vAlign w:val="center"/>
          </w:tcPr>
          <w:p>
            <w:pPr>
              <w:snapToGrid w:val="0"/>
              <w:spacing w:line="340" w:lineRule="exact"/>
              <w:jc w:val="center"/>
              <w:rPr>
                <w:rFonts w:ascii="宋体" w:hAnsi="宋体" w:eastAsia="宋体" w:cs="宋体"/>
                <w:b/>
                <w:bCs/>
                <w:kern w:val="0"/>
                <w:sz w:val="24"/>
                <w:szCs w:val="28"/>
              </w:rPr>
            </w:pPr>
            <w:r>
              <w:rPr>
                <w:rFonts w:hint="eastAsia" w:ascii="宋体" w:hAnsi="宋体" w:eastAsia="宋体" w:cs="宋体"/>
                <w:b/>
                <w:bCs/>
                <w:kern w:val="0"/>
                <w:sz w:val="24"/>
                <w:szCs w:val="28"/>
              </w:rPr>
              <w:t>名称</w:t>
            </w:r>
          </w:p>
        </w:tc>
        <w:tc>
          <w:tcPr>
            <w:tcW w:w="1420" w:type="dxa"/>
            <w:tcBorders>
              <w:top w:val="single" w:color="auto" w:sz="12" w:space="0"/>
              <w:left w:val="single" w:color="auto" w:sz="4" w:space="0"/>
              <w:bottom w:val="single" w:color="auto" w:sz="4" w:space="0"/>
              <w:right w:val="single" w:color="auto" w:sz="4" w:space="0"/>
            </w:tcBorders>
            <w:vAlign w:val="center"/>
          </w:tcPr>
          <w:p>
            <w:pPr>
              <w:snapToGrid w:val="0"/>
              <w:spacing w:line="340" w:lineRule="exact"/>
              <w:jc w:val="center"/>
              <w:rPr>
                <w:rFonts w:ascii="宋体" w:hAnsi="宋体" w:eastAsia="宋体" w:cs="宋体"/>
                <w:b/>
                <w:bCs/>
                <w:kern w:val="0"/>
                <w:sz w:val="24"/>
                <w:szCs w:val="28"/>
              </w:rPr>
            </w:pPr>
            <w:r>
              <w:rPr>
                <w:rFonts w:hint="eastAsia" w:ascii="宋体" w:hAnsi="宋体" w:eastAsia="宋体" w:cs="宋体"/>
                <w:b/>
                <w:bCs/>
                <w:kern w:val="0"/>
                <w:sz w:val="24"/>
                <w:szCs w:val="28"/>
              </w:rPr>
              <w:t>数量</w:t>
            </w:r>
          </w:p>
        </w:tc>
        <w:tc>
          <w:tcPr>
            <w:tcW w:w="1632" w:type="dxa"/>
            <w:tcBorders>
              <w:top w:val="single" w:color="auto" w:sz="12" w:space="0"/>
              <w:left w:val="single" w:color="auto" w:sz="4" w:space="0"/>
              <w:bottom w:val="single" w:color="auto" w:sz="4" w:space="0"/>
              <w:right w:val="single" w:color="auto" w:sz="4" w:space="0"/>
            </w:tcBorders>
            <w:vAlign w:val="center"/>
          </w:tcPr>
          <w:p>
            <w:pPr>
              <w:snapToGrid w:val="0"/>
              <w:spacing w:line="340" w:lineRule="exact"/>
              <w:jc w:val="center"/>
              <w:rPr>
                <w:rFonts w:ascii="宋体" w:hAnsi="宋体" w:eastAsia="宋体" w:cs="宋体"/>
                <w:b/>
                <w:bCs/>
                <w:kern w:val="0"/>
                <w:sz w:val="24"/>
                <w:szCs w:val="28"/>
              </w:rPr>
            </w:pPr>
            <w:r>
              <w:rPr>
                <w:rFonts w:hint="eastAsia" w:ascii="宋体" w:hAnsi="宋体" w:eastAsia="宋体" w:cs="宋体"/>
                <w:b/>
                <w:bCs/>
                <w:kern w:val="0"/>
                <w:sz w:val="24"/>
                <w:szCs w:val="28"/>
              </w:rPr>
              <w:t>意向品牌</w:t>
            </w:r>
          </w:p>
        </w:tc>
        <w:tc>
          <w:tcPr>
            <w:tcW w:w="3995" w:type="dxa"/>
            <w:tcBorders>
              <w:top w:val="single" w:color="auto" w:sz="12" w:space="0"/>
              <w:left w:val="single" w:color="auto" w:sz="4" w:space="0"/>
              <w:bottom w:val="single" w:color="auto" w:sz="4" w:space="0"/>
              <w:right w:val="single" w:color="auto" w:sz="12" w:space="0"/>
            </w:tcBorders>
            <w:vAlign w:val="center"/>
          </w:tcPr>
          <w:p>
            <w:pPr>
              <w:snapToGrid w:val="0"/>
              <w:spacing w:line="340" w:lineRule="exact"/>
              <w:jc w:val="center"/>
              <w:rPr>
                <w:rFonts w:ascii="宋体" w:hAnsi="宋体" w:eastAsia="宋体" w:cs="宋体"/>
                <w:b/>
                <w:bCs/>
                <w:kern w:val="0"/>
                <w:sz w:val="24"/>
                <w:szCs w:val="28"/>
              </w:rPr>
            </w:pPr>
            <w:r>
              <w:rPr>
                <w:rFonts w:hint="eastAsia" w:ascii="宋体" w:hAnsi="宋体" w:eastAsia="宋体" w:cs="宋体"/>
                <w:b/>
                <w:bCs/>
                <w:kern w:val="0"/>
                <w:sz w:val="24"/>
                <w:szCs w:val="28"/>
              </w:rPr>
              <w:t>注意事项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685" w:type="dxa"/>
            <w:tcBorders>
              <w:top w:val="single" w:color="auto" w:sz="4" w:space="0"/>
              <w:left w:val="single" w:color="auto" w:sz="12" w:space="0"/>
              <w:bottom w:val="single" w:color="auto" w:sz="4" w:space="0"/>
              <w:right w:val="single" w:color="auto" w:sz="4" w:space="0"/>
            </w:tcBorders>
            <w:vAlign w:val="center"/>
          </w:tcPr>
          <w:p>
            <w:pPr>
              <w:jc w:val="left"/>
              <w:rPr>
                <w:rFonts w:ascii="Times New Roman" w:hAnsi="Times New Roman" w:eastAsia="宋体" w:cs="Times New Roman"/>
                <w:kern w:val="0"/>
                <w:sz w:val="20"/>
                <w:szCs w:val="20"/>
              </w:rPr>
            </w:pPr>
            <w:r>
              <w:rPr>
                <w:rFonts w:ascii="Times New Roman" w:hAnsi="Times New Roman" w:eastAsia="宋体" w:cs="Times New Roman"/>
                <w:kern w:val="2"/>
                <w:sz w:val="21"/>
                <w:szCs w:val="22"/>
              </w:rPr>
              <w:t>1</w:t>
            </w:r>
          </w:p>
        </w:tc>
        <w:tc>
          <w:tcPr>
            <w:tcW w:w="1199"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kern w:val="0"/>
                <w:sz w:val="24"/>
                <w:szCs w:val="28"/>
              </w:rPr>
            </w:pPr>
            <w:bookmarkStart w:id="0" w:name="OLE_LINK4"/>
            <w:r>
              <w:rPr>
                <w:rFonts w:hint="eastAsia" w:ascii="Times New Roman" w:hAnsi="Times New Roman" w:eastAsia="宋体" w:cs="Times New Roman"/>
                <w:kern w:val="0"/>
                <w:sz w:val="20"/>
                <w:szCs w:val="20"/>
              </w:rPr>
              <w:t>智能密集架</w:t>
            </w:r>
            <w:bookmarkEnd w:id="0"/>
          </w:p>
        </w:tc>
        <w:tc>
          <w:tcPr>
            <w:tcW w:w="14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kern w:val="0"/>
                <w:sz w:val="20"/>
                <w:szCs w:val="20"/>
              </w:rPr>
            </w:pPr>
            <w:r>
              <w:rPr>
                <w:rFonts w:ascii="Times New Roman" w:hAnsi="Times New Roman" w:eastAsia="宋体" w:cs="Times New Roman"/>
                <w:kern w:val="2"/>
                <w:sz w:val="21"/>
                <w:szCs w:val="22"/>
              </w:rPr>
              <w:t>1</w:t>
            </w:r>
          </w:p>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套</w:t>
            </w:r>
          </w:p>
        </w:tc>
        <w:tc>
          <w:tcPr>
            <w:tcW w:w="1632" w:type="dxa"/>
            <w:tcBorders>
              <w:top w:val="single" w:color="auto" w:sz="4" w:space="0"/>
              <w:left w:val="single" w:color="auto" w:sz="4" w:space="0"/>
              <w:right w:val="single" w:color="auto" w:sz="4" w:space="0"/>
            </w:tcBorders>
            <w:vAlign w:val="center"/>
          </w:tcPr>
          <w:p>
            <w:pPr>
              <w:ind w:firstLine="400" w:firstLineChars="200"/>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金虎牌</w:t>
            </w:r>
          </w:p>
          <w:p>
            <w:pPr>
              <w:ind w:firstLine="402" w:firstLineChars="200"/>
              <w:jc w:val="left"/>
              <w:rPr>
                <w:rFonts w:ascii="Times New Roman" w:hAnsi="Times New Roman" w:eastAsia="宋体" w:cs="Times New Roman"/>
                <w:kern w:val="0"/>
                <w:sz w:val="20"/>
                <w:szCs w:val="20"/>
              </w:rPr>
            </w:pPr>
            <w:r>
              <w:rPr>
                <w:rFonts w:hint="eastAsia" w:ascii="宋体" w:hAnsi="宋体" w:eastAsia="宋体" w:cs="宋体"/>
                <w:b/>
                <w:bCs/>
                <w:color w:val="000000" w:themeColor="text1"/>
                <w:kern w:val="0"/>
                <w:sz w:val="20"/>
                <w:szCs w:val="20"/>
                <w14:textFill>
                  <w14:solidFill>
                    <w14:schemeClr w14:val="tx1"/>
                  </w14:solidFill>
                </w14:textFill>
              </w:rPr>
              <w:t>型号JH-ZLMMJ-01</w:t>
            </w:r>
          </w:p>
        </w:tc>
        <w:tc>
          <w:tcPr>
            <w:tcW w:w="3995" w:type="dxa"/>
            <w:tcBorders>
              <w:top w:val="single" w:color="auto" w:sz="4" w:space="0"/>
              <w:left w:val="single" w:color="auto" w:sz="4" w:space="0"/>
              <w:right w:val="single" w:color="auto" w:sz="12" w:space="0"/>
            </w:tcBorders>
            <w:vAlign w:val="center"/>
          </w:tcPr>
          <w:p>
            <w:pPr>
              <w:snapToGrid w:val="0"/>
              <w:spacing w:line="340" w:lineRule="exact"/>
              <w:rPr>
                <w:rFonts w:ascii="宋体" w:hAnsi="宋体" w:eastAsia="宋体" w:cs="宋体"/>
                <w:kern w:val="0"/>
                <w:sz w:val="24"/>
                <w:szCs w:val="28"/>
              </w:rPr>
            </w:pPr>
            <w:r>
              <w:rPr>
                <w:rFonts w:hint="eastAsia" w:ascii="宋体" w:hAnsi="宋体" w:eastAsia="宋体" w:cs="宋体"/>
                <w:kern w:val="0"/>
                <w:sz w:val="24"/>
                <w:szCs w:val="28"/>
              </w:rPr>
              <w:t>请潜在供应商在确保可以供货的前提下参与竞价，如出现盲目竞价而无法供货的情况，因此给采购人造成的损失由该成交人全权负责，并承担因此造成的一切损失。</w:t>
            </w:r>
          </w:p>
        </w:tc>
      </w:tr>
    </w:tbl>
    <w:p>
      <w:pPr>
        <w:jc w:val="left"/>
        <w:rPr>
          <w:rFonts w:ascii="宋体" w:hAnsi="宋体" w:eastAsia="宋体" w:cs="宋体"/>
          <w:b/>
          <w:bCs/>
          <w:color w:val="000000" w:themeColor="text1"/>
          <w:sz w:val="24"/>
          <w:szCs w:val="28"/>
          <w14:textFill>
            <w14:solidFill>
              <w14:schemeClr w14:val="tx1"/>
            </w14:solidFill>
          </w14:textFill>
        </w:rPr>
      </w:pPr>
      <w:r>
        <w:rPr>
          <w:rFonts w:hint="eastAsia"/>
          <w:b/>
          <w:bCs/>
          <w:sz w:val="24"/>
          <w:szCs w:val="24"/>
          <w:lang w:val="en-US" w:eastAsia="zh-CN"/>
        </w:rPr>
        <w:t>二.</w:t>
      </w:r>
      <w:r>
        <w:rPr>
          <w:rFonts w:hint="eastAsia"/>
          <w:b/>
          <w:bCs/>
          <w:sz w:val="24"/>
          <w:szCs w:val="24"/>
        </w:rPr>
        <w:t>技术要求：</w:t>
      </w:r>
      <w:r>
        <w:rPr>
          <w:rFonts w:hint="eastAsia"/>
          <w:b/>
          <w:bCs/>
          <w:sz w:val="24"/>
          <w:szCs w:val="24"/>
          <w:lang w:val="en-US" w:eastAsia="zh-CN"/>
        </w:rPr>
        <w:t>1</w:t>
      </w:r>
      <w:r>
        <w:rPr>
          <w:rFonts w:hint="eastAsia" w:ascii="宋体" w:hAnsi="宋体" w:eastAsia="宋体" w:cs="宋体"/>
          <w:b/>
          <w:bCs/>
          <w:color w:val="000000" w:themeColor="text1"/>
          <w:sz w:val="20"/>
          <w:szCs w:val="21"/>
          <w14:textFill>
            <w14:solidFill>
              <w14:schemeClr w14:val="tx1"/>
            </w14:solidFill>
          </w14:textFill>
        </w:rPr>
        <w:t>、</w:t>
      </w:r>
      <w:r>
        <w:rPr>
          <w:rFonts w:hint="eastAsia"/>
          <w:b/>
          <w:bCs/>
          <w:sz w:val="24"/>
          <w:szCs w:val="24"/>
        </w:rPr>
        <w:t>本项目标注“▲”的内容必须满足，须提供国家认可并具有资质的第三方机构出具的检测报告复印件佐证，未提供做竞标无效处理。</w:t>
      </w:r>
      <w:bookmarkStart w:id="1" w:name="OLE_LINK1"/>
      <w:r>
        <w:rPr>
          <w:rFonts w:hint="eastAsia" w:ascii="宋体" w:hAnsi="宋体" w:eastAsia="宋体" w:cs="宋体"/>
          <w:b/>
          <w:bCs/>
          <w:color w:val="000000" w:themeColor="text1"/>
          <w:sz w:val="24"/>
          <w:szCs w:val="28"/>
          <w:lang w:val="en-US" w:eastAsia="zh-CN"/>
          <w14:textFill>
            <w14:solidFill>
              <w14:schemeClr w14:val="tx1"/>
            </w14:solidFill>
          </w14:textFill>
        </w:rPr>
        <w:t>2</w:t>
      </w:r>
      <w:bookmarkStart w:id="2" w:name="OLE_LINK5"/>
      <w:r>
        <w:rPr>
          <w:rFonts w:hint="eastAsia" w:ascii="宋体" w:hAnsi="宋体" w:eastAsia="宋体" w:cs="宋体"/>
          <w:b/>
          <w:bCs/>
          <w:color w:val="000000" w:themeColor="text1"/>
          <w:sz w:val="24"/>
          <w:szCs w:val="28"/>
          <w14:textFill>
            <w14:solidFill>
              <w14:schemeClr w14:val="tx1"/>
            </w14:solidFill>
          </w14:textFill>
        </w:rPr>
        <w:t>、</w:t>
      </w:r>
      <w:bookmarkEnd w:id="1"/>
      <w:bookmarkEnd w:id="2"/>
      <w:r>
        <w:rPr>
          <w:rFonts w:hint="eastAsia" w:ascii="宋体" w:hAnsi="宋体" w:eastAsia="宋体" w:cs="宋体"/>
          <w:b/>
          <w:bCs/>
          <w:color w:val="000000" w:themeColor="text1"/>
          <w:sz w:val="24"/>
          <w:szCs w:val="28"/>
          <w14:textFill>
            <w14:solidFill>
              <w14:schemeClr w14:val="tx1"/>
            </w14:solidFill>
          </w14:textFill>
        </w:rPr>
        <w:t>潜在供应商参与竞价时，供货时提供意向品牌生产厂家针对本项目的</w:t>
      </w:r>
      <w:bookmarkStart w:id="3" w:name="OLE_LINK7"/>
      <w:r>
        <w:rPr>
          <w:rFonts w:hint="eastAsia" w:ascii="宋体" w:hAnsi="宋体" w:eastAsia="宋体" w:cs="宋体"/>
          <w:b/>
          <w:bCs/>
          <w:color w:val="000000" w:themeColor="text1"/>
          <w:sz w:val="24"/>
          <w:szCs w:val="28"/>
          <w14:textFill>
            <w14:solidFill>
              <w14:schemeClr w14:val="tx1"/>
            </w14:solidFill>
          </w14:textFill>
        </w:rPr>
        <w:t>授权</w:t>
      </w:r>
      <w:bookmarkEnd w:id="3"/>
      <w:r>
        <w:rPr>
          <w:rFonts w:hint="eastAsia" w:ascii="宋体" w:hAnsi="宋体" w:eastAsia="宋体" w:cs="宋体"/>
          <w:b/>
          <w:bCs/>
          <w:color w:val="000000" w:themeColor="text1"/>
          <w:sz w:val="24"/>
          <w:szCs w:val="28"/>
          <w14:textFill>
            <w14:solidFill>
              <w14:schemeClr w14:val="tx1"/>
            </w14:solidFill>
          </w14:textFill>
        </w:rPr>
        <w:t>委托书及售后服务承诺书；否则按照虚假应标处理，将上报监督管理部门处理；（原件备查）</w:t>
      </w:r>
    </w:p>
    <w:p>
      <w:pPr>
        <w:numPr>
          <w:ilvl w:val="0"/>
          <w:numId w:val="0"/>
        </w:numPr>
      </w:pPr>
      <w:r>
        <w:rPr>
          <w:rFonts w:hint="eastAsia" w:ascii="宋体" w:hAnsi="宋体" w:eastAsia="宋体" w:cs="宋体"/>
          <w:b/>
          <w:bCs/>
          <w:color w:val="000000" w:themeColor="text1"/>
          <w:sz w:val="24"/>
          <w:szCs w:val="28"/>
          <w:lang w:val="en-US" w:eastAsia="zh-CN"/>
          <w14:textFill>
            <w14:solidFill>
              <w14:schemeClr w14:val="tx1"/>
            </w14:solidFill>
          </w14:textFill>
        </w:rPr>
        <w:t>3</w:t>
      </w:r>
      <w:r>
        <w:rPr>
          <w:rFonts w:hint="eastAsia" w:ascii="宋体" w:hAnsi="宋体" w:eastAsia="宋体" w:cs="宋体"/>
          <w:b/>
          <w:bCs/>
          <w:color w:val="000000" w:themeColor="text1"/>
          <w:sz w:val="24"/>
          <w:szCs w:val="28"/>
          <w14:textFill>
            <w14:solidFill>
              <w14:schemeClr w14:val="tx1"/>
            </w14:solidFill>
          </w14:textFill>
        </w:rPr>
        <w:t>、潜在供应商参与竞价时，须提供意向品牌生产厂家授权</w:t>
      </w:r>
      <w:r>
        <w:rPr>
          <w:rFonts w:hint="eastAsia" w:ascii="宋体" w:hAnsi="宋体" w:eastAsia="宋体" w:cs="宋体"/>
          <w:b/>
          <w:bCs/>
          <w:color w:val="000000" w:themeColor="text1"/>
          <w:sz w:val="24"/>
          <w:szCs w:val="28"/>
          <w:lang w:eastAsia="zh-CN"/>
          <w14:textFill>
            <w14:solidFill>
              <w14:schemeClr w14:val="tx1"/>
            </w14:solidFill>
          </w14:textFill>
        </w:rPr>
        <w:t>证明材料复印件并加盖供应商公章</w:t>
      </w:r>
      <w:bookmarkStart w:id="7" w:name="_GoBack"/>
      <w:bookmarkEnd w:id="7"/>
      <w:r>
        <w:rPr>
          <w:rFonts w:hint="eastAsia" w:ascii="宋体" w:hAnsi="宋体" w:eastAsia="宋体" w:cs="宋体"/>
          <w:b/>
          <w:bCs/>
          <w:color w:val="000000" w:themeColor="text1"/>
          <w:sz w:val="24"/>
          <w:szCs w:val="28"/>
          <w14:textFill>
            <w14:solidFill>
              <w14:schemeClr w14:val="tx1"/>
            </w14:solidFill>
          </w14:textFill>
        </w:rPr>
        <w:t>；未提供做无效标处理。（原件备查）</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6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序号</w:t>
            </w: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参数名称</w:t>
            </w:r>
          </w:p>
        </w:tc>
        <w:tc>
          <w:tcPr>
            <w:tcW w:w="6429"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主要技术</w:t>
            </w:r>
            <w:bookmarkStart w:id="4" w:name="OLE_LINK3"/>
            <w:r>
              <w:rPr>
                <w:rFonts w:hint="eastAsia" w:ascii="宋体" w:hAnsi="宋体" w:eastAsia="宋体" w:cs="宋体"/>
                <w:b/>
                <w:bCs/>
                <w:color w:val="000000" w:themeColor="text1"/>
                <w:kern w:val="0"/>
                <w:sz w:val="20"/>
                <w:szCs w:val="21"/>
                <w14:textFill>
                  <w14:solidFill>
                    <w14:schemeClr w14:val="tx1"/>
                  </w14:solidFill>
                </w14:textFill>
              </w:rPr>
              <w:t>参数</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1</w:t>
            </w: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color w:val="000000" w:themeColor="text1"/>
                <w:kern w:val="0"/>
                <w:sz w:val="20"/>
                <w:szCs w:val="21"/>
                <w:lang w:eastAsia="zh-CN"/>
                <w14:textFill>
                  <w14:solidFill>
                    <w14:schemeClr w14:val="tx1"/>
                  </w14:solidFill>
                </w14:textFill>
              </w:rPr>
            </w:pPr>
            <w:r>
              <w:rPr>
                <w:rFonts w:hint="eastAsia" w:ascii="Times New Roman" w:hAnsi="Times New Roman" w:eastAsia="宋体" w:cs="Times New Roman"/>
                <w:kern w:val="0"/>
                <w:sz w:val="20"/>
                <w:szCs w:val="20"/>
              </w:rPr>
              <w:t>智能密集架</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lang w:val="en-US" w:eastAsia="zh-CN"/>
                <w14:textFill>
                  <w14:solidFill>
                    <w14:schemeClr w14:val="tx1"/>
                  </w14:solidFill>
                </w14:textFill>
              </w:rPr>
              <w:t>1</w:t>
            </w:r>
            <w:r>
              <w:rPr>
                <w:rFonts w:hint="eastAsia" w:ascii="宋体" w:hAnsi="宋体" w:eastAsia="宋体" w:cs="宋体"/>
                <w:b/>
                <w:bCs/>
                <w:color w:val="000000" w:themeColor="text1"/>
                <w:kern w:val="0"/>
                <w:sz w:val="20"/>
                <w:szCs w:val="21"/>
                <w:lang w:eastAsia="zh-CN"/>
                <w14:textFill>
                  <w14:solidFill>
                    <w14:schemeClr w14:val="tx1"/>
                  </w14:solidFill>
                </w14:textFill>
              </w:rPr>
              <w:t>）架体</w:t>
            </w:r>
          </w:p>
        </w:tc>
        <w:tc>
          <w:tcPr>
            <w:tcW w:w="6429"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1.1架体结构</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bookmarkStart w:id="5" w:name="OLE_LINK6"/>
            <w:r>
              <w:rPr>
                <w:rFonts w:hint="eastAsia" w:ascii="Times New Roman" w:hAnsi="Times New Roman" w:eastAsia="宋体" w:cs="Times New Roman"/>
                <w:kern w:val="0"/>
                <w:sz w:val="21"/>
                <w:szCs w:val="21"/>
              </w:rPr>
              <w:t>▲</w:t>
            </w:r>
            <w:bookmarkEnd w:id="5"/>
            <w:r>
              <w:rPr>
                <w:rFonts w:hint="eastAsia" w:ascii="Times New Roman" w:hAnsi="Times New Roman" w:eastAsia="宋体" w:cs="Times New Roman"/>
                <w:kern w:val="0"/>
                <w:sz w:val="21"/>
                <w:szCs w:val="21"/>
              </w:rPr>
              <w:t>（1）密集架架体主要由、底盘、传动机构和架体（包括立柱、挂板、搁板、顶板、门板及侧护板等）等部分组成。架顶设有防尘装置，具有良好的防尘功能；列与列之间装有抗老化橡塑磁性密封条，形成两列间的全封闭，门面列和中间移动列分别装有锁具和制动装置，每组密集架闭合后可用总锁锁住，形成一个封闭的整体，各列移开后可单独制动，确保人员安全，底部设有防鼠、防倾倒装置，因而整个架体具有良好的防尘、防鼠、防潮、防火、防盗和保密功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轨道：由轨道垫板和导轨组成，轨道垫板采用≥3.0mm冷轧钢板，轨道垫板采用数控折弯一体成型工艺，开放矩形结构，折边尺寸一致，表面光洁，成型标准化；导轨采用20x20实心方钢，方钢表面光滑，直线度高，轨道表面镀锌处理工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底盘：采用≥3.0mm优质冷轧钢板一体成型工艺，底梁由上段、中段和下段三个部分组成，中段向外凸出形成M型加强筋结构（M型加强筋：筋宽≥40mm，筋高≥18mm，M筋正面的内弧筋≥R10mm）。底盘采用M型加强底梁，具有防鼠功能，无需安装防鼠板，简化了底盘装配过程，并且提高了底盘的承载能力，刚性好，不易变形。底盘采用分段焊接后整体组装式，连接牢固、运输、安装方便，底梁下设有防倾倒装置，底盘两端封头横梁与纵梁牢固焊接，在直角处上、下两平面均焊上三角形加强板，有效保证底盘架体不扭曲、错位、变形，密集架在轨移动轻便、平滑、平整。</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传动机构：主要由精铸滚轮、传动轴、连接管、调心轴承、精密滚子摩托车链条，机械式自脱超越离合摇手体、精制链轮等零（部）件组成。为保证驱动任何一列均可轻便、平稳整体移动，采用中轴带动双轴传动方式，开启移动平稳、灵活、运转自如、无阻滞、不打滑、摇力轻，不得有失灵现象。</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①传动轴：采用Φ20，45#实心圆钢，加工精度为3.2，经热处理调质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②链轮：采用链轮为45#钢，经锻压精密加工成型，回火去除应力，加工车、滚齿、去毛齿、齿部经高频淬火。</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▲③轴承：采用P204 E级调心轴承，永久密封及润滑。主轴和轴承的直径≥φ20mm,45#钢；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▲④链条：采用FR420 Φ8.5，节距12.7摩托车滚子链条。</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立柱：采用≥1.5mm优质冷轧钢板，截面尺寸为50x39mm±1mm。立柱正面压制梯形槽，槽宽35mmx深2mm，允许尺寸公差±0.5mm,槽内压制一次成型中式云纹筋，背面采用R3mm圆弧角过渡，一次挤压成D形封闭口，截面尺寸为8x7mm，允许尺寸公差±1mm，立柱两侧均匀冲裁挂钩孔，孔距为54mm，允许尺寸公差±1mm</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使搁板层数和间距可按需调整，挂钩孔向内拉伸成腰形凹槽，外形尺寸为38x12mm，槽深2mm,允许尺寸公差±0.5mm，侧面距边8mm处均压制两条加强圆筋，筋宽5mm，深1.5mm,允许尺寸公差±0.5mm。加强型立柱构造新颖、立体感强、外形优美，承重能力强，刚性足。</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6）搁板：采用≥1.0mm优质冷轧钢板,搁板防惯性滑落设计，九折弯一体成形工艺，两侧形成15mm宽内封闭式矩形口，允许尺寸公差±1mm。搁板正面压制两组圆筋，每组压筋数3条，主筋尺寸5*2.5mm，辅筋尺寸3.6*1.8mm，两侧各压制两根加强筋，筋尺寸3*1.5mm，允许尺寸公差±1mm。搁板内侧厚度23mm，外侧面厚度27mm，允许尺寸公差±1mm。防惯性封口搁板外观新颖、刚性足，增加了搁板承重能力，可有效防止架体运行过程中由于惯性而导致档案外移而掉落，保护档案的安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▲（7）挂板: 采用≥1.0mm优质冷轧钢板，数控一体冲压成型，中间有两个台阶加强孔，孔上下位置共设四根圆筋，挂板上下端直角折弯，并冲有四个凸槽，使搁板嵌置于弯边凸肩上，组装后平整、牢固。承重性好，外观新颖，可防止搁板前后窜动，通用性互换性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▲（8）顶板：采用≥1.0mm冷轧钢板，数控一体成型工艺。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▲（9）门框及门板：采用≥1.0mm冷轧钢板，采用数控折弯一体成型工艺，四面翻边结构，折弯成型厚度23mm±1mm，背面两边带封边，可有效的将门轴和锁栓隐藏，锁孔用锁盖封住，门面平整，背面整体感强。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（10）门面锁具：采用豪华型密集架专用锁具。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color w:val="000000" w:themeColor="text1"/>
                <w:kern w:val="0"/>
                <w:sz w:val="20"/>
                <w:szCs w:val="21"/>
                <w14:textFill>
                  <w14:solidFill>
                    <w14:schemeClr w14:val="tx1"/>
                  </w14:solidFill>
                </w14:textFill>
              </w:rPr>
            </w:pPr>
            <w:r>
              <w:rPr>
                <w:rFonts w:hint="eastAsia" w:ascii="Times New Roman" w:hAnsi="Times New Roman" w:eastAsia="宋体" w:cs="Times New Roman"/>
                <w:kern w:val="0"/>
                <w:sz w:val="20"/>
                <w:szCs w:val="20"/>
              </w:rPr>
              <w:t>▲（11）侧板：采用≥1.0mm优质冷轧钢板，中间嵌入一体化交互面板， 面板采用防火高分子材料的有机玻璃材料，背面为黑色。集成触摸屏、灯光标牌、情景灯光、列号等人机交互显示功能于一体。规格：长≥1380*宽≥260mm，厚度≥3mm，内嵌于侧板上，保持与侧板表面持平。</w:t>
            </w:r>
            <w:r>
              <w:rPr>
                <w:rFonts w:hint="eastAsia" w:ascii="Times New Roman" w:hAnsi="Times New Roman" w:eastAsia="宋体" w:cs="Times New Roman"/>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53" w:hRule="atLeast"/>
        </w:trPr>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宋体" w:hAnsi="宋体" w:eastAsia="宋体" w:cs="宋体"/>
                <w:b/>
                <w:bCs/>
                <w:color w:val="000000" w:themeColor="text1"/>
                <w:kern w:val="0"/>
                <w:sz w:val="20"/>
                <w:szCs w:val="21"/>
                <w14:textFill>
                  <w14:solidFill>
                    <w14:schemeClr w14:val="tx1"/>
                  </w14:solidFill>
                </w14:textFill>
              </w:rPr>
            </w:pPr>
          </w:p>
        </w:tc>
        <w:tc>
          <w:tcPr>
            <w:tcW w:w="6429" w:type="dxa"/>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12）挂钩挡棒：采用≥1.0mm优质冷轧钢板一体成型而成，四折弯，挂钩挡棒成型14x14mm，允许尺寸公差±1mm，挡棒三面各压一条筋，圆筋直径2mm，允许尺寸公差±0.5mm，挂钩挡棒采用凹槽式挂钩与挂板上孔位机械配合，紧密相连不易松动脱落，也不易导致挂板产生不可逆转的变形，安装便捷，挂钩挡棒外形美观，强度高。</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（13）防尘板：采用≥1.0mm冷轧钢板具有良好的防尘、防鼠、防光、防潮、防火功能。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（14）防倾倒装置：采用≥4.0mm冷轧钢板冲压成型，该装置确保密集架在密集架运动过程中或静止状态下都能起到良好的防密集架倾倒的作用，从而确保人员、设备及财产安全。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（15）磁性密封条：每列接触面均有缓冲及密封装置，使架体具有良好的防震。防尘、防鼠、防光、防潮、防火功能。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bookmarkStart w:id="6" w:name="OLE_LINK2"/>
            <w:r>
              <w:rPr>
                <w:rFonts w:hint="eastAsia" w:ascii="Times New Roman" w:hAnsi="Times New Roman" w:eastAsia="宋体" w:cs="Times New Roman"/>
                <w:kern w:val="0"/>
                <w:sz w:val="20"/>
                <w:szCs w:val="20"/>
              </w:rPr>
              <w:t>（16）</w:t>
            </w:r>
            <w:bookmarkEnd w:id="6"/>
            <w:r>
              <w:rPr>
                <w:rFonts w:hint="eastAsia" w:ascii="Times New Roman" w:hAnsi="Times New Roman" w:eastAsia="宋体" w:cs="Times New Roman"/>
                <w:kern w:val="0"/>
                <w:sz w:val="20"/>
                <w:szCs w:val="20"/>
              </w:rPr>
              <w:t>总承传动系统和摇手机构</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①总承传动系统：双向超越离合器结构原理，手柄自由挂档脱落装置，采用多次变速设计。链轮为机械精加工而成，经锻压加工成型，回火除应力，链条采用摩托车链条，节距12.7，滚珠轴承采用省力型。每列带有制动装置，边列带有总锁结构。</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②摇手机构：摇手采用钢、锌合金或其它材料。手柄可折叠，美观大方，轻便灵活，高端耐用，可避免通道障碍，摇动任何一列，其它列的手柄保持静止不动，自动挂档设计，可单列或多列一起移动。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both"/>
              <w:textAlignment w:val="auto"/>
              <w:outlineLvl w:val="9"/>
              <w:rPr>
                <w:sz w:val="20"/>
                <w:szCs w:val="21"/>
              </w:rPr>
            </w:pPr>
            <w:r>
              <w:rPr>
                <w:rFonts w:hint="eastAsia" w:ascii="Times New Roman" w:hAnsi="Times New Roman" w:eastAsia="宋体" w:cs="Times New Roman"/>
                <w:kern w:val="0"/>
                <w:sz w:val="20"/>
                <w:szCs w:val="20"/>
              </w:rPr>
              <w:t>（1</w:t>
            </w:r>
            <w:r>
              <w:rPr>
                <w:rFonts w:hint="eastAsia" w:ascii="Times New Roman" w:hAnsi="Times New Roman" w:eastAsia="宋体" w:cs="Times New Roman"/>
                <w:kern w:val="0"/>
                <w:sz w:val="20"/>
                <w:szCs w:val="20"/>
                <w:lang w:val="en-US" w:eastAsia="zh-CN"/>
              </w:rPr>
              <w:t>7</w:t>
            </w:r>
            <w:r>
              <w:rPr>
                <w:rFonts w:hint="eastAsia" w:ascii="Times New Roman" w:hAnsi="Times New Roman" w:eastAsia="宋体" w:cs="Times New Roman"/>
                <w:kern w:val="0"/>
                <w:sz w:val="20"/>
                <w:szCs w:val="20"/>
              </w:rPr>
              <w:t>）</w:t>
            </w:r>
            <w:r>
              <w:rPr>
                <w:rFonts w:hint="eastAsia"/>
                <w:sz w:val="20"/>
                <w:szCs w:val="21"/>
              </w:rPr>
              <w:t>手动架</w:t>
            </w:r>
            <w:r>
              <w:rPr>
                <w:rFonts w:hint="eastAsia"/>
                <w:sz w:val="20"/>
                <w:szCs w:val="21"/>
                <w:lang w:eastAsia="zh-CN"/>
              </w:rPr>
              <w:t>，</w:t>
            </w:r>
            <w:r>
              <w:rPr>
                <w:rFonts w:hint="eastAsia"/>
                <w:sz w:val="20"/>
                <w:szCs w:val="20"/>
                <w:lang w:val="en-US" w:eastAsia="zh-CN"/>
              </w:rPr>
              <w:t>9</w:t>
            </w:r>
            <w:r>
              <w:rPr>
                <w:rFonts w:hint="eastAsia"/>
                <w:sz w:val="20"/>
                <w:szCs w:val="20"/>
              </w:rPr>
              <w:t>00*</w:t>
            </w:r>
            <w:r>
              <w:rPr>
                <w:rFonts w:hint="eastAsia"/>
                <w:sz w:val="20"/>
                <w:szCs w:val="20"/>
                <w:lang w:val="en-US" w:eastAsia="zh-CN"/>
              </w:rPr>
              <w:t>60</w:t>
            </w:r>
            <w:r>
              <w:rPr>
                <w:rFonts w:hint="eastAsia"/>
                <w:sz w:val="20"/>
                <w:szCs w:val="20"/>
              </w:rPr>
              <w:t>0*2400</w:t>
            </w:r>
            <w:r>
              <w:rPr>
                <w:rFonts w:hint="eastAsia"/>
                <w:sz w:val="20"/>
                <w:szCs w:val="20"/>
                <w:lang w:eastAsia="zh-CN"/>
              </w:rPr>
              <w:t>，</w:t>
            </w:r>
            <w:r>
              <w:rPr>
                <w:rFonts w:hint="eastAsia" w:ascii="宋体" w:hAnsi="宋体" w:eastAsia="宋体" w:cs="宋体"/>
                <w:b w:val="0"/>
                <w:bCs w:val="0"/>
                <w:color w:val="000000" w:themeColor="text1"/>
                <w:sz w:val="20"/>
                <w:szCs w:val="21"/>
                <w14:textFill>
                  <w14:solidFill>
                    <w14:schemeClr w14:val="tx1"/>
                  </w14:solidFill>
                </w14:textFill>
              </w:rPr>
              <w:t>JH-MMJ-02</w:t>
            </w:r>
            <w:r>
              <w:rPr>
                <w:rFonts w:hint="eastAsia" w:ascii="宋体" w:hAnsi="宋体" w:eastAsia="宋体" w:cs="宋体"/>
                <w:b w:val="0"/>
                <w:bCs w:val="0"/>
                <w:color w:val="000000" w:themeColor="text1"/>
                <w:sz w:val="20"/>
                <w:szCs w:val="21"/>
                <w:lang w:eastAsia="zh-CN"/>
                <w14:textFill>
                  <w14:solidFill>
                    <w14:schemeClr w14:val="tx1"/>
                  </w14:solidFill>
                </w14:textFill>
              </w:rPr>
              <w:t>，</w:t>
            </w:r>
            <w:r>
              <w:rPr>
                <w:rFonts w:hint="eastAsia" w:eastAsia="宋体"/>
                <w:sz w:val="20"/>
                <w:szCs w:val="21"/>
                <w:lang w:val="en-US" w:eastAsia="zh-CN"/>
              </w:rPr>
              <w:t>88.1</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both"/>
              <w:textAlignment w:val="auto"/>
              <w:outlineLvl w:val="9"/>
              <w:rPr>
                <w:sz w:val="20"/>
                <w:szCs w:val="21"/>
              </w:rPr>
            </w:pPr>
            <w:r>
              <w:rPr>
                <w:rFonts w:hint="eastAsia"/>
                <w:sz w:val="20"/>
                <w:szCs w:val="21"/>
              </w:rPr>
              <w:t>立方米</w:t>
            </w:r>
            <w:r>
              <w:rPr>
                <w:rFonts w:hint="eastAsia"/>
                <w:sz w:val="20"/>
                <w:szCs w:val="21"/>
                <w:lang w:eastAsia="zh-CN"/>
              </w:rPr>
              <w:t>，</w:t>
            </w:r>
            <w:r>
              <w:rPr>
                <w:rFonts w:hint="eastAsia"/>
                <w:sz w:val="20"/>
                <w:szCs w:val="21"/>
              </w:rPr>
              <w:t>固定密集架</w:t>
            </w:r>
            <w:r>
              <w:rPr>
                <w:rFonts w:hint="eastAsia"/>
                <w:sz w:val="20"/>
                <w:szCs w:val="21"/>
                <w:lang w:eastAsia="zh-CN"/>
              </w:rPr>
              <w:t>，</w:t>
            </w:r>
            <w:r>
              <w:rPr>
                <w:rFonts w:hint="eastAsia"/>
                <w:sz w:val="20"/>
                <w:szCs w:val="20"/>
              </w:rPr>
              <w:t>8100*550*2400</w:t>
            </w:r>
            <w:r>
              <w:rPr>
                <w:rFonts w:hint="eastAsia"/>
                <w:sz w:val="20"/>
                <w:szCs w:val="20"/>
                <w:lang w:eastAsia="zh-CN"/>
              </w:rPr>
              <w:t>，</w:t>
            </w:r>
            <w:r>
              <w:rPr>
                <w:rFonts w:hint="eastAsia" w:ascii="宋体" w:hAnsi="宋体" w:eastAsia="宋体" w:cs="宋体"/>
                <w:b w:val="0"/>
                <w:bCs w:val="0"/>
                <w:color w:val="000000" w:themeColor="text1"/>
                <w:sz w:val="20"/>
                <w:szCs w:val="21"/>
                <w14:textFill>
                  <w14:solidFill>
                    <w14:schemeClr w14:val="tx1"/>
                  </w14:solidFill>
                </w14:textFill>
              </w:rPr>
              <w:t>JH-GDMMJ-03</w:t>
            </w:r>
            <w:r>
              <w:rPr>
                <w:rFonts w:hint="eastAsia" w:ascii="宋体" w:hAnsi="宋体" w:eastAsia="宋体" w:cs="宋体"/>
                <w:b w:val="0"/>
                <w:bCs w:val="0"/>
                <w:color w:val="000000" w:themeColor="text1"/>
                <w:sz w:val="20"/>
                <w:szCs w:val="21"/>
                <w:lang w:eastAsia="zh-CN"/>
                <w14:textFill>
                  <w14:solidFill>
                    <w14:schemeClr w14:val="tx1"/>
                  </w14:solidFill>
                </w14:textFill>
              </w:rPr>
              <w:t>，</w:t>
            </w:r>
            <w:r>
              <w:rPr>
                <w:rFonts w:hint="eastAsia"/>
                <w:sz w:val="20"/>
                <w:szCs w:val="21"/>
              </w:rPr>
              <w:t>10.7立方米</w:t>
            </w:r>
            <w:r>
              <w:rPr>
                <w:rFonts w:hint="eastAsia"/>
                <w:sz w:val="20"/>
                <w:szCs w:val="21"/>
                <w:lang w:eastAsia="zh-CN"/>
              </w:rPr>
              <w:t>。</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4" w:hRule="atLeast"/>
        </w:trPr>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2</w:t>
            </w: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hint="eastAsia" w:ascii="宋体" w:hAnsi="宋体" w:eastAsia="宋体" w:cs="宋体"/>
                <w:b/>
                <w:bCs/>
                <w:color w:val="000000" w:themeColor="text1"/>
                <w:kern w:val="0"/>
                <w:sz w:val="20"/>
                <w:szCs w:val="21"/>
                <w:lang w:eastAsia="zh-CN"/>
                <w14:textFill>
                  <w14:solidFill>
                    <w14:schemeClr w14:val="tx1"/>
                  </w14:solidFill>
                </w14:textFill>
              </w:rPr>
            </w:pPr>
            <w:r>
              <w:rPr>
                <w:rFonts w:hint="eastAsia" w:ascii="Times New Roman" w:hAnsi="Times New Roman" w:eastAsia="宋体" w:cs="Times New Roman"/>
                <w:kern w:val="0"/>
                <w:sz w:val="20"/>
                <w:szCs w:val="20"/>
              </w:rPr>
              <w:t>智能密集架</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lang w:val="en-US" w:eastAsia="zh-CN"/>
                <w14:textFill>
                  <w14:solidFill>
                    <w14:schemeClr w14:val="tx1"/>
                  </w14:solidFill>
                </w14:textFill>
              </w:rPr>
              <w:t>2</w:t>
            </w:r>
            <w:r>
              <w:rPr>
                <w:rFonts w:hint="eastAsia" w:ascii="宋体" w:hAnsi="宋体" w:eastAsia="宋体" w:cs="宋体"/>
                <w:b/>
                <w:bCs/>
                <w:color w:val="000000" w:themeColor="text1"/>
                <w:kern w:val="0"/>
                <w:sz w:val="20"/>
                <w:szCs w:val="21"/>
                <w:lang w:eastAsia="zh-CN"/>
                <w14:textFill>
                  <w14:solidFill>
                    <w14:schemeClr w14:val="tx1"/>
                  </w14:solidFill>
                </w14:textFill>
              </w:rPr>
              <w:t>）电动系统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hint="eastAsia" w:ascii="宋体" w:hAnsi="宋体" w:eastAsia="宋体" w:cs="宋体"/>
                <w:b/>
                <w:bCs/>
                <w:color w:val="000000" w:themeColor="text1"/>
                <w:kern w:val="0"/>
                <w:sz w:val="20"/>
                <w:szCs w:val="21"/>
                <w:lang w:eastAsia="zh-CN"/>
                <w14:textFill>
                  <w14:solidFill>
                    <w14:schemeClr w14:val="tx1"/>
                  </w14:solidFill>
                </w14:textFill>
              </w:rPr>
            </w:pPr>
            <w:r>
              <w:rPr>
                <w:rFonts w:hint="eastAsia" w:ascii="宋体" w:hAnsi="宋体" w:eastAsia="宋体" w:cs="宋体"/>
                <w:b/>
                <w:bCs/>
                <w:color w:val="000000" w:themeColor="text1"/>
                <w:kern w:val="0"/>
                <w:sz w:val="20"/>
                <w:szCs w:val="21"/>
                <w:lang w:val="en-US" w:eastAsia="zh-CN"/>
                <w14:textFill>
                  <w14:solidFill>
                    <w14:schemeClr w14:val="tx1"/>
                  </w14:solidFill>
                </w14:textFill>
              </w:rPr>
              <w:t xml:space="preserve">  </w:t>
            </w:r>
          </w:p>
        </w:tc>
        <w:tc>
          <w:tcPr>
            <w:tcW w:w="6429" w:type="dxa"/>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主控系统</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：系统采用开源的Android或Linux系统，确保安全和可升级性。</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CPU：4核1.8GHz以上。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触摸屏：显示屏幕≥21英寸，竖屏。</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分辨率：≥1920*1080。</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前面板：3.0mm厚一体化防爆玻璃全部覆盖保护，表面硬度：6H。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前面板集成模块：指纹识别、人脸识别、矩阵麦克风、声纹识别、条码/二维码识别、摄像头、立体声喇叭、USB3.0接口，要求防爆玻璃不影响模块的使用。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人机交互</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、通过密集架上的触控屏控制密集架移动列架体的左移、右移、停止。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支持语音、手指滑动、触摸按钮、红外遥控器等多种方式对架体的操作。</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D图形显示功能：当移动列开启或关闭时，可通过固定列触摸显示屏以3D图形方式显示密集架运行状态。（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文字输入：固定列触摸显示屏支持通过手写/拼音/语音三种方式输入查询的关键字。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触控功能：在固定列触摸显示屏上多指（双指以上）合拢滑动可返回主界面，在文件浏览界面双指合拢/分开滑动可缩小/放大文件界面；在移动列触摸显示屏左右滑动可控制移动列左右移动（可同时开启2个以上移动列），向上滑动通风，向下滑动停止；移动列移动过程中，可通过移动列LED数码显示管显示移动方向,可通过点击触摸屏停止移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1"/>
                <w:szCs w:val="21"/>
              </w:rPr>
              <w:t>▲</w:t>
            </w:r>
            <w:r>
              <w:rPr>
                <w:rFonts w:hint="eastAsia" w:ascii="Times New Roman" w:hAnsi="Times New Roman" w:eastAsia="宋体" w:cs="Times New Roman"/>
                <w:kern w:val="0"/>
                <w:sz w:val="20"/>
                <w:szCs w:val="20"/>
              </w:rPr>
              <w:t>3</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信息显示功能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、可通过固定列/移动列触摸显示屏显示温湿度信息，在库/借出档案数量、档案编号和名称；</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可通过平台软件向固定列/移动列下发公告信息，并在固定列/移动列显示屏显示，可通过平台软件取消下发的公告信息；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可通过固定列/移动列触摸显示屏显示电子标牌信息。可通过语音控制显示/不显示电子标牌；</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可通过LED彩色数码管以不同颜色显示列号，且显示颜色可设。</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驱动电机</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驱动电机应采用24V直流不超过150W无刷直流电机驱动。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屏幕厚度</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移动列屏幕采用钣金外壳，且与屏幕前面板凸起厚度不超过2mm、与侧板面板凸起厚度不超过1.5mm。</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b/>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▲6</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移动列控制器从上电开始至显示主界面的时间应＜1S。（提供国家安全防范报警系统产品质量检验检测中心、公安部安全防范报警系统产品质量监督检验测试中心带CMA、CNAS检验报告）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在通道宽度80cm情况下,单个活动列架体从完全闭合状态到完全开启的时间应≤8s。（提供国家安全防范报警系统产品质量检验检测中心、公安部安全防范报警系统产品质量监督检验测试中心带CMA、CNAS检验报告）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可通过红外遥控器控制移动列开启/关闭。</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架体运行应采用快速启动、高速运行、轻柔合拢的曲线运行方式(架体运行速度不是固定的，启动时，能在2秒内自动均匀加速到最高速度，在架体将合拢时，能在2秒内自动均匀减速到最低速度运行)。</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可通过平台软件显示移动列状态信息，包括：运行位置、架内是否有人、锁定状态，可显示不同区域的移动列状态信息。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7</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锁定操作功能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当通道内有人时，架体应自动锁定，并通过LED数码管以图标形式给出提示，手摇和电动控制不能移动架体；</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当通道无人时，架体应自动解锁。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▲8</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通风功能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可通过固定列触摸显示屏进行通风操作；当环境温湿度超过设定阈值时，应自动通风，且所有架体均应开启；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当密集架处于通风状态时进行语音控制，应给出不可操作语音提示。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9</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通道宽度设定</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应可通过固定列触摸显示屏手动设定通道宽度。</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电控配件盒</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架体控制部分应合理布局线路和考虑用电安全，架体控制板和开关电源应安装在标准化设计的配件盒中，固定列配件盒和移动列配件盒应采用统一尺寸。</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11</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语音提示功能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操作过程应有语音提示，语音模块应集成到固定列控制器上，不能散乱放置。应可设置语音音量，并可切换男女声。</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12</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照明灯控制</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架内LED照明灯应采用智能控制模式，架内有人照明灯点亮，架内无人照明灯自动熄灭。也可在移动列屏幕上手动打开本列照明灯。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13</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公告发布</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具有相关权限的管理员应可通过客户端软件或国定列触摸显示屏选择特定的密集架发布/取消发布公告，并通过外接LED显示屏显示公告信息。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14</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一键检测功能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应可通过固定列触摸显示屏对系统状态进行一键检测，检测内容包括：传感器状态、照明灯状态和网络状态。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15</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九宫格解锁功能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可通过固定列显示屏以九宫格密码图形方式解锁架体。</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16</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用户自定义图片和视频功能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可通过平台管理软件上传用户自定义图片和视频到固定列系统；固定列触摸屏可设置图片和视频播放的时机、时段和次数。</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▲17</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日志存储和查询功能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可通过固定列触摸显示屏按年、月、日、小时查询报警日志和操作日志，其中报警日志可显示抓拍图片，抓拍图片分辨率应为1920 x 1080;本机日志存储空间应＞1GB,可存储不少于10万条日志记录。</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18</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人脸识解锁功能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人脸识别解锁登录可设置两种方式：</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固定列内置多功能（人脸识别、扫码、录像）摄像头监视区域内出现人脸时，，当检查到该人员没有佩戴口罩，不予登录；只有在人员佩戴口罩的情况下，可将该人脸图像和已注册的人脸图像进行识别比对，比对通过后可自动解锁样机并进入操作界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当固定列内置多功能（人脸识别、扫码、录像）摄像头监视区域内出现人脸时，可将该人脸图像和已注册的人脸图像进行识别比对，比对通过后可自动解锁样机并登录进入操作界面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▲19</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声纹识别安全登录功能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可通过固定列控制器录入声纹，并将录入声纹和已注册的声纹进行识别确认，确认通过后可自动解锁样机并登录进入操作界面。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20</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声纹控制</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在无环境噪声干扰的情况下，可通过声纹识别特定口令，控制密集架开启/关闭/通风/合架/解锁，未经过声纹识别授权人员不能控制密集架。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21</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语音休眠</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可通过语音控制密集架进入休眠状态，且活动列进入锁定状态，不可操作。</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22</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本质安全的防挤压保护</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由于没有任何传感器可确保终身使用范围内的故障率为0，在大量及长时间使用时，几乎一定会有故障。应提供类似电梯门等类似场合下的永不失效的防挤压保护功能。不论空载及满载，运动方向任意位置受力10KG以下要求能可靠停止运行。</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23</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二合一红外监测</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架内防挤红外应与进入通道的人员计数红外对射合二为一，保证功能统一、易于组装维护、监测功能稳定。</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▲24</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人员计数及架体锁定功能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可通过红外传感器对进出通道的人员进行计数，并可通过显示屏显示通道内人员数量。</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当通道内有人进入时，架体应自动锁定，并通过LED数码管以图标形式给出提示，手摇和电动控制不能移动架体；当通道人员出去时，架体应自动解锁。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25</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紧急锁定功能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可以通过移动列触摸显示屏的锁定按钮锁定架体，锁定后显示屏应显示架体锁定。</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26</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电机运行功能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可通过固定列触摸屏设置电机连续运行时间上限，当电机连续运行时间超过设定的时限后,应自动停止运行。</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27</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限位保护功能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当通过手动摇杆方式将移动列移至设定的最大宽度时，应不能继续移动。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w:t>
            </w: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28</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开架联动视频功能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当通过平台软件打开架体时，可显示与移动列绑定的摄像机采集的实时视频并自动保存，保存视频时长30s;当通过平台软件查看操作日志时可显示该视频</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29</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安全插头</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列与列之间220V供电插头，应选用安全插头，不应选用绿端子，保证安全用电。插头应具备锁止装置，防止意外拔出。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30</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日志记录</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可通过固定列触摸显示屏按照年月日查询报警日志和操作日志，其中报警日志应有现场抓拍照片。</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31</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安全防范</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、智能密集架控制系统应符合GB/T28181-2016公共安全视频监控联网系统信息传输、交换、控制技术要求。</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智能密集架控制系统应具备物品管理数据传输国密算法安全加密。</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32</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电机故障保护检验</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当移动列电机发生过载等故障时，移动列控制器可自动切断电机供电并通过触摸显示屏给出报警提示，架体停止移动；电机故障解除后该移动列可正常工作.</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33</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电机电源信号线</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连接电机的电源信号线应使用集成线缆，美观且集成度高。</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电机电源信号线的转移电阻应符合GA/T 1297-2016电气性能的转移阻抗参数要求,1Mhz信号情况下，转移电阻应≤10mΩ/m，不应产生互干扰，保证信号安全。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▲34</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抗电强度</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安全防范报警设备的电源插头或电源引入端与外壳棵露金属部件之间，应能承受G816796-2009中表1规定的45Hz-65Hz交流电压的抗电强度试脸，历时1min应无击穿和飞弧现象。</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w:t>
            </w:r>
            <w:r>
              <w:rPr>
                <w:rFonts w:ascii="Times New Roman" w:hAnsi="Times New Roman" w:eastAsia="宋体" w:cs="Times New Roman"/>
                <w:kern w:val="0"/>
                <w:sz w:val="20"/>
                <w:szCs w:val="20"/>
              </w:rPr>
              <w:t>35</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绝缘电阻</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安全防范报警设备的电源插头或电源引入端与外壳裸露金属部件之间的绝缘电阻，经相对湿热度为91%～95%、温度为40℃、48h的受潮预处理后，加强绝缘的设备不小于5MΩ，基本绝缘的设备不小于2MΩ，Ⅲ类设备不小于1MΩ工作电压超过500V的设备，上述绝缘电阻的阻值数应乘以一个系数，该系数等于工作电压除以500V。</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（提供国家安全防范报警系统产品质量检验检测中心、公安部安全防范报警系统产品质量监督检验测试中心带CMA、CNAS检验报告）</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▲36档案定位功能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查找到的档案位置信息能在电脑端以图形化等直观方式显示。定位要求直观及显示到最小单元。能以语音提示档案放置位置及档案编号。</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37</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架体同步及分区监控</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密集架运行状况能动态显示在管理软件上。静止时，即使人员在现场手摇操作也能在管理软件上同步显示当前架体位置状态。对多个团体的架体状态监控可采用可灵活选择的分区监控方式进行管理。</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rPr>
              <w:t>▲38</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档案管理功能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支持无线局域网下的查询及权限操作。多用户权限管理功能：不同用户登录具备不同权限,支持用户的分区权限以及按档案类型的权限管理。档案自动备份及还原功能。单位档案的借出、归还及统计功能。档案编辑、查询、录入、转移、删除等功能。远程架体控制及温湿度统计分析功能。具备档案数据的EXCEL、XML导入及导出功能。电子文档查阅及管理功能。具备打印机、扫描仪、高拍仪、条码及RFID等设备的支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39</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档案查询功能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rPr>
              <w:t>可在固定列、移动列触摸屏或平台管理软件上按档案名称及编号查询和显示档案所在的区、列、节、层的位置信息，点击触摸屏上的“打开”按钮后，该档案所在的移动列应自动打开，并在触摸屏上以3D图形和闪烁图标方式显示档案的所在位置，有人员进入架体时，照明灯亮，语音自动提示档案的位置和编号。可通过通配符方式进行查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当平板电脑或手机和密集架连接后，可通过平板电脑或手机的APP软件查询和显示档案所在位置信息并控制移动列移动可通过管理平台软件查询和显示档案所在的位置信息并控制移动列开启或关闭。</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3、固定列触摸屏应可通过语音识别查询和显示档案所在的区、列、节、层的位置信息，点击触摸屏上的“打开”按钮后，该档案所在的移动列应自动打开。</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40</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跨区搜索功能</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在同一局域网内的多个固定列控制器可分成不同的区域，并可通过其中一个固定列控制器搜索不同区域的档案信息。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41</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架体存放目录查看</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任意列均可在操作液晶屏上查看该列存放档案数量分别信息，且可在操作液晶屏上图形化方式点击查看该列某位置存放的档案目录及状态（在库、借出、注销等）。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4" w:hRule="atLeast"/>
        </w:trPr>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3</w:t>
            </w: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Times New Roman" w:hAnsi="Times New Roman" w:eastAsia="宋体" w:cs="Times New Roman"/>
                <w:kern w:val="0"/>
                <w:sz w:val="20"/>
                <w:szCs w:val="20"/>
              </w:rPr>
              <w:t>智能密集架</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lang w:val="en-US" w:eastAsia="zh-CN"/>
                <w14:textFill>
                  <w14:solidFill>
                    <w14:schemeClr w14:val="tx1"/>
                  </w14:solidFill>
                </w14:textFill>
              </w:rPr>
              <w:t>3</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14:textFill>
                  <w14:solidFill>
                    <w14:schemeClr w14:val="tx1"/>
                  </w14:solidFill>
                </w14:textFill>
              </w:rPr>
              <w:t>环境及安防</w:t>
            </w:r>
          </w:p>
        </w:tc>
        <w:tc>
          <w:tcPr>
            <w:tcW w:w="6429" w:type="dxa"/>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1、平台支持B/S C/S架构，支持WEB远程浏览，支持客户端远程浏览，支持远程设置系统各项参数，修改后立刻生效，无需重启系统。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平台支持档案库房十防监控系统、档案库房环境监测系统、恒湿恒温系统、门禁监控系统、安防监控系统、能耗管理系统、密集架管理系统、档案库房RFID管理系统、3D库房系统系统等于一体，各系统采用模块化理念，任意选择，任意组合。</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3、平台可区分多级报警级别， 根据用户需要设定报警级别， 报警事件发生时系统自动按事件级别排队报警、处理，并对应各级别发送报警信息;系统提供电脑弹窗、多媒体语音、电话、手机短信、E-mail、微信等多种报警方式供用户选择，在发生报警事件时，保证警情的及时告知。</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环境及安防监控主机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1、ARM架构，采用工业级嵌入式微控制处理器，稳定；</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2、AC 220V供电电源，内置72W/30min后备锂电池电源可选；</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3、可配置全网通4G短信语音报警模块，同步支持短信、电话语音和4G无线流量；</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4、同步支持微信云平台、网页云平台、IOS端和安卓端手机APP报警推送和数据实时查询，支持查看现场视频，微信和APP均有对应的软件著作权；</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5、支持警笛、电话、短信、微信、邮件和手机APP多种报警方式；</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6、标准19寸 1U全铝主机尺寸，前置OLED液晶，支持实时状态显示；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智能AI短信报警模块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报警主机可TXT转语音电话报警的设备，监控主机只要发送简单的指令，设备可自动将相关的报警信息转为中文多媒体语音信号拔打电话告警。</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声光报警驱动器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输入电压：12V，报警音量：110分贝，报警方式：声光报警。</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智能采集箱</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箱体整体采用0.9冷轧板，静电喷涂工艺。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电源模块:输入电压110-220输出电压：12V 200W 工作温湿度：-30+70℃具有短路、过载、过压保护功能，可兼容智能环境及安防监控系统主机模块及智能POE数据交换模块，内置光电报警模块当系统正常时为蓝光氛围灯，当系统报警时红色灯光闪烁。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视频监控模块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摄像机直接接入环境监控主机环境监控平台系统中</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温度湿度监测软件模块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（1）实时监控温湿度数据，工作态正常与否进行实时监测和显示；当温湿度超限时背景色变红，正常状态背景色为绿色显示。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空调控制系统软件模块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实时监控普通空调的运行状态，可对监测温度湿度设定上下限阀值实现自动控制，一旦发生超限报警，在相应的位置发生报警的参数会变红色显示，同时产生报警事件进行记录存储并有相应的处理提示，并第一时间发出多媒体语音、电话语音拨号、手机短信、E-Mail、声光等对外报警。</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区域控制器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内置windows7操作系统；18.5寸电容触控宽屏,分辨率1024*768,cpu:intel酷睿双核处理器，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智慧环境感知仪</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直流供电（默认） 10~30V DC功耗 0.5W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通信接口485通讯（modbus）协议</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响应时间 ≤90S预热时间 ≤2min</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PM2.5精度：±3%FS（@100μg/m3、25℃、50%RH）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测量范围PM2.5 0~500ug/m3  PM10 0~500ug/m3</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甲醛气体：0~2ppm  TVOC:0~5mg/m3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烟雾：0~2000ppmCO2：400~5000ppm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温度：-20℃~+85℃ 湿度：0%RH~95%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智慧环境感知仪模块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1）实时检测CO2、PM2.5、PM10、温湿度、TVOC 、烟雾及甲醛实时状态，工作态正常与否进行实时监测和显示；对粉尘浓度现场粉尘浓度值进行实时监测和显示。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水浸探测器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漏水检测器进行泄漏检测和跟踪，RS-485接口可进行远程组网管理</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水浸传感模块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实时监测采集的现场信号进行数据实时分析处理及数据存储，系统自动记录漏水的报警信息，并可对报警日志信息查询、输出Excel文件。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红外探测器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供电电源 10~30V DC 功耗 0.3W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传感器类型：微波传感器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报警延时 0-65535S可调 （报警持续时间）</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延时报警 软件设置 （发生报警的延时）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工作频率 24.00~24.25Ghz</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红外报警模块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实时监测采集的现场信号进行数据实时分析处理及数据存储，输出处理所有的报警信息，记录报警事件。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消防辅助报警系统模块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实时监测采集的现场信号进行数据实时分析处理及数据存储，系统自动记录烟雾报警的的报警信息，并可对报警日志信息查询、输出Excel文件；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温度湿度监测软件模块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（1）实时监控温湿度数据，工作态正常与否进行实时监测和显示；当温湿度超限时背景色变红，正常状态背景色为绿色显示。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除湿加湿一体机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除湿量L/D 100-120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加湿量kg/h 6-8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输入功率W 200/1300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适用面积（层高2.8m-3.0m) ㎡  120</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循环风量m³/h 800-1200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适用温度(℃) 5-38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压缩机 日立旋转式压缩机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净重kg 125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制冷剂名称/注入量 R22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电压/频率 220V/50HZ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移动方式 万向轮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水箱容积L 25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过滤网 初效过滤网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空气净化 有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消毒功能 有</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温度控制 微电脑自动控制，7寸显示屏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计算机联网监控端口 485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加/排水方式 人工/自动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彩色触摸屏控制系统智能编程可控系统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配有湿度控制系统，湿度可调范围在00-99%</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除湿加湿一体机模块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彩色触摸屏控制系统智能编程可控系统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配有湿度控制系统，湿度可调范围在00-99%</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电动加水排水棒</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功率：20W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扬程：1.2m</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流量：1400L/h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电压频率：220-240V/50Hz</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智能档案图书消毒柜</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电源 220V~50HZ</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功率 30W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容量 300L</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托蓝层数 3层</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臭氧发生量 600mg/h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消毒时间 60分钟（可自行调节）</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控制方式 微电脑控制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2</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控制主机1台</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 xml:space="preserve"> CPU型号Intel 酷睿i510代,内存容量8GB内存类型DDR4 2133MHz </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硬盘容量256G固态硬盘.</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显示视器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4K显示器，LED显示器，广视角显示器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屏幕尺寸：21.5英寸</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3</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温度湿度传感器2台 直流电源：10-30V DC最大功耗0.4W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准精度：湿度±2%RH(60%RH,25℃)</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温度：±0.4℃（25℃）</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工作温湿度：-20℃~+60℃，0%RH~95%RH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探头工作温度：-40~+80℃</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探头工作湿度：0~100%RH</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烟雾传感器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联网型光电烟雾探测器，联网输出/LED指示报警,采用微处理器控制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自动复位/断电复位工作电压：DC12V,静态电流：≤2mA</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智能空调控制器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 控制器可控制1台带遥控器的普通空调，通过学习并存储空调遥控器的指令代码来实现控制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4</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网络摄像机2架</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1/3 CMOS 200万像素ICR日夜型筒型定焦网络摄像机</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5</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 xml:space="preserve">监控存储硬盘1块 </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硬盘尺寸3.5英寸</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硬盘容量4000GB</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盘片数量4片</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单碟容量1000GB</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6</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POE交换机1台</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网络标准：IEEE 802. 3. IEEE 802. 3u. IEEE 802. 3x. IEEE 802. 3af. EEE 802. 3at</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端口</w:t>
            </w:r>
            <w:r>
              <w:rPr>
                <w:rFonts w:ascii="Times New Roman" w:hAnsi="Times New Roman" w:eastAsia="宋体" w:cs="Times New Roman"/>
                <w:kern w:val="0"/>
                <w:sz w:val="20"/>
                <w:szCs w:val="20"/>
              </w:rPr>
              <w:t>5</w:t>
            </w:r>
            <w:r>
              <w:rPr>
                <w:rFonts w:hint="eastAsia" w:ascii="Times New Roman" w:hAnsi="Times New Roman" w:eastAsia="宋体" w:cs="Times New Roman"/>
                <w:kern w:val="0"/>
                <w:sz w:val="20"/>
                <w:szCs w:val="20"/>
              </w:rPr>
              <w:t>个</w:t>
            </w:r>
            <w:r>
              <w:rPr>
                <w:rFonts w:ascii="Times New Roman" w:hAnsi="Times New Roman" w:eastAsia="宋体" w:cs="Times New Roman"/>
                <w:kern w:val="0"/>
                <w:sz w:val="20"/>
                <w:szCs w:val="20"/>
              </w:rPr>
              <w:t>10/ı00Mbps RJ45</w:t>
            </w:r>
            <w:r>
              <w:rPr>
                <w:rFonts w:hint="eastAsia" w:ascii="Times New Roman" w:hAnsi="Times New Roman" w:eastAsia="宋体" w:cs="Times New Roman"/>
                <w:kern w:val="0"/>
                <w:sz w:val="20"/>
                <w:szCs w:val="20"/>
              </w:rPr>
              <w:t>端口，其中</w:t>
            </w:r>
            <w:r>
              <w:rPr>
                <w:rFonts w:ascii="Times New Roman" w:hAnsi="Times New Roman" w:eastAsia="宋体" w:cs="Times New Roman"/>
                <w:kern w:val="0"/>
                <w:sz w:val="20"/>
                <w:szCs w:val="20"/>
              </w:rPr>
              <w:t>1-4</w:t>
            </w:r>
            <w:r>
              <w:rPr>
                <w:rFonts w:hint="eastAsia" w:ascii="Times New Roman" w:hAnsi="Times New Roman" w:eastAsia="宋体" w:cs="Times New Roman"/>
                <w:kern w:val="0"/>
                <w:sz w:val="20"/>
                <w:szCs w:val="20"/>
              </w:rPr>
              <w:t>端口支持</w:t>
            </w:r>
            <w:r>
              <w:rPr>
                <w:rFonts w:ascii="Times New Roman" w:hAnsi="Times New Roman" w:eastAsia="宋体" w:cs="Times New Roman"/>
                <w:kern w:val="0"/>
                <w:sz w:val="20"/>
                <w:szCs w:val="20"/>
              </w:rPr>
              <w:t>PoE</w:t>
            </w:r>
            <w:r>
              <w:rPr>
                <w:rFonts w:hint="eastAsia" w:ascii="Times New Roman" w:hAnsi="Times New Roman" w:eastAsia="宋体" w:cs="Times New Roman"/>
                <w:kern w:val="0"/>
                <w:sz w:val="20"/>
                <w:szCs w:val="20"/>
              </w:rPr>
              <w:t>功能</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7</w:t>
            </w:r>
            <w:r>
              <w:rPr>
                <w:rFonts w:hint="eastAsia" w:ascii="宋体" w:hAnsi="宋体" w:eastAsia="宋体" w:cs="宋体"/>
                <w:b/>
                <w:bCs/>
                <w:color w:val="000000" w:themeColor="text1"/>
                <w:sz w:val="24"/>
                <w:szCs w:val="28"/>
                <w14:textFill>
                  <w14:solidFill>
                    <w14:schemeClr w14:val="tx1"/>
                  </w14:solidFill>
                </w14:textFill>
              </w:rPr>
              <w:t>、</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指纹门禁机1台</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2.0寸高清彩屏，用户数 5000人指纹容量 1500记录容量 8万条</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门禁控制模块</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实现对人员出入情况的管理。通过TCP/IP与门禁系统联接，可实时将门开关情况录入门禁系统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网络门禁控制板</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双门双向控制,2万张卡管理权限,10万条脱机存储记录。</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磁力锁</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承受拉力：280Kg (600lbs)</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工作电流：DC12V/500mA</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适用门型：木门、玻璃门、金属门、防火门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专业无残磁设计，产品坚固耐用。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NVR存储</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视频分辨率1024×768视频制式HDMI/VGA录像方式手动录像、定时录像、移动侦测录像、报警录像、动测或报警录像、动测和报警录像、视频输入4路语音对讲1个RCA接口（电平：2.0Vp-p，阻抗：1kΩ）</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4" w:hRule="atLeast"/>
        </w:trPr>
        <w:tc>
          <w:tcPr>
            <w:tcW w:w="817"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jc w:val="center"/>
              <w:textAlignment w:val="auto"/>
              <w:outlineLvl w:val="9"/>
              <w:rPr>
                <w:rFonts w:ascii="宋体" w:hAnsi="宋体" w:eastAsia="宋体" w:cs="宋体"/>
                <w:b/>
                <w:bCs/>
                <w:color w:val="000000" w:themeColor="text1"/>
                <w:kern w:val="0"/>
                <w:sz w:val="20"/>
                <w:szCs w:val="21"/>
                <w14:textFill>
                  <w14:solidFill>
                    <w14:schemeClr w14:val="tx1"/>
                  </w14:solidFill>
                </w14:textFill>
              </w:rPr>
            </w:pPr>
            <w:r>
              <w:rPr>
                <w:rFonts w:hint="eastAsia" w:ascii="宋体" w:hAnsi="宋体" w:eastAsia="宋体" w:cs="宋体"/>
                <w:b/>
                <w:bCs/>
                <w:color w:val="000000" w:themeColor="text1"/>
                <w:kern w:val="0"/>
                <w:sz w:val="20"/>
                <w:szCs w:val="21"/>
                <w14:textFill>
                  <w14:solidFill>
                    <w14:schemeClr w14:val="tx1"/>
                  </w14:solidFill>
                </w14:textFill>
              </w:rPr>
              <w:t>4</w:t>
            </w:r>
          </w:p>
        </w:tc>
        <w:tc>
          <w:tcPr>
            <w:tcW w:w="1276" w:type="dxa"/>
            <w:vAlign w:val="center"/>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hint="eastAsia" w:ascii="宋体" w:hAnsi="宋体" w:eastAsia="宋体" w:cs="宋体"/>
                <w:b/>
                <w:bCs/>
                <w:color w:val="000000" w:themeColor="text1"/>
                <w:kern w:val="0"/>
                <w:sz w:val="20"/>
                <w:szCs w:val="21"/>
                <w14:textFill>
                  <w14:solidFill>
                    <w14:schemeClr w14:val="tx1"/>
                  </w14:solidFill>
                </w14:textFill>
              </w:rPr>
            </w:pPr>
            <w:r>
              <w:rPr>
                <w:rFonts w:hint="eastAsia" w:ascii="Times New Roman" w:hAnsi="Times New Roman" w:eastAsia="宋体" w:cs="Times New Roman"/>
                <w:kern w:val="0"/>
                <w:sz w:val="20"/>
                <w:szCs w:val="20"/>
              </w:rPr>
              <w:t>智能密集架</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lang w:val="en-US" w:eastAsia="zh-CN"/>
                <w14:textFill>
                  <w14:solidFill>
                    <w14:schemeClr w14:val="tx1"/>
                  </w14:solidFill>
                </w14:textFill>
              </w:rPr>
              <w:t>4</w:t>
            </w:r>
            <w:r>
              <w:rPr>
                <w:rFonts w:hint="eastAsia" w:ascii="宋体" w:hAnsi="宋体" w:eastAsia="宋体" w:cs="宋体"/>
                <w:b/>
                <w:bCs/>
                <w:color w:val="000000" w:themeColor="text1"/>
                <w:kern w:val="0"/>
                <w:sz w:val="20"/>
                <w:szCs w:val="21"/>
                <w:lang w:eastAsia="zh-CN"/>
                <w14:textFill>
                  <w14:solidFill>
                    <w14:schemeClr w14:val="tx1"/>
                  </w14:solidFill>
                </w14:textFill>
              </w:rPr>
              <w:t>）</w:t>
            </w:r>
            <w:r>
              <w:rPr>
                <w:rFonts w:hint="eastAsia" w:ascii="宋体" w:hAnsi="宋体" w:eastAsia="宋体" w:cs="宋体"/>
                <w:b/>
                <w:bCs/>
                <w:color w:val="000000" w:themeColor="text1"/>
                <w:kern w:val="0"/>
                <w:sz w:val="20"/>
                <w:szCs w:val="21"/>
                <w14:textFill>
                  <w14:solidFill>
                    <w14:schemeClr w14:val="tx1"/>
                  </w14:solidFill>
                </w14:textFill>
              </w:rPr>
              <w:t>气体灭火</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宋体" w:hAnsi="宋体" w:eastAsia="宋体" w:cs="宋体"/>
                <w:b/>
                <w:bCs/>
                <w:color w:val="000000" w:themeColor="text1"/>
                <w:kern w:val="0"/>
                <w:sz w:val="20"/>
                <w:szCs w:val="21"/>
                <w14:textFill>
                  <w14:solidFill>
                    <w14:schemeClr w14:val="tx1"/>
                  </w14:solidFill>
                </w14:textFill>
              </w:rPr>
            </w:pPr>
          </w:p>
        </w:tc>
        <w:tc>
          <w:tcPr>
            <w:tcW w:w="6429" w:type="dxa"/>
          </w:tcPr>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        气体灭火控制系1套    制系统</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包含，点型感烟探测器，点型感温探测器，声光报警，放气指示灯，紧急启停按钮，手自转换开关灯。</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工作电压：AC220V±15%,50Hz</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2.交流输入功率：≤120W</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3.直流备电：DC24V ，全封闭免维护蓄电池</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4.容量：探测器回路数目：1个回路，324个地址点</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5.外形尺寸：410×500×132mm；壳体材料：A3钢</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6.接线方式：无极性二线制</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     90L柜七氟</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式丙烷气体灭火装置2台</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1.外型尺寸（mm）：500×440×1680</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2.公称工作压力：4.2MPa；</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3.公称容积（L）：90；</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4.贮存压力：2.5MPa；</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5.最大充装密度：1.12kg/L；</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6.灭火剂喷放时间≤10s</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7.含有七氟丙烷灭火剂168kg</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         0.07泄压装置 1台     装置</w:t>
            </w:r>
            <w:r>
              <w:rPr>
                <w:rFonts w:hint="eastAsia" w:ascii="Times New Roman" w:hAnsi="Times New Roman" w:eastAsia="宋体" w:cs="Times New Roman"/>
                <w:kern w:val="0"/>
                <w:sz w:val="20"/>
                <w:szCs w:val="20"/>
              </w:rPr>
              <w:tab/>
            </w:r>
            <w:r>
              <w:rPr>
                <w:rFonts w:hint="eastAsia" w:ascii="Times New Roman" w:hAnsi="Times New Roman" w:eastAsia="宋体" w:cs="Times New Roman"/>
                <w:kern w:val="0"/>
                <w:sz w:val="20"/>
                <w:szCs w:val="20"/>
              </w:rPr>
              <w:t>1.开口尺寸：300*300mm</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2.泄压面积：0～0.07㎡</w:t>
            </w:r>
          </w:p>
          <w:p>
            <w:pPr>
              <w:keepNext w:val="0"/>
              <w:keepLines w:val="0"/>
              <w:pageBreakBefore w:val="0"/>
              <w:widowControl w:val="0"/>
              <w:kinsoku w:val="0"/>
              <w:wordWrap/>
              <w:overflowPunct w:val="0"/>
              <w:topLinePunct w:val="0"/>
              <w:autoSpaceDE w:val="0"/>
              <w:autoSpaceDN w:val="0"/>
              <w:bidi w:val="0"/>
              <w:adjustRightInd/>
              <w:snapToGrid/>
              <w:spacing w:line="240" w:lineRule="auto"/>
              <w:ind w:left="0" w:leftChars="0" w:right="0" w:rightChars="0" w:firstLine="0" w:firstLineChars="0"/>
              <w:textAlignment w:val="auto"/>
              <w:outlineLvl w:val="9"/>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3.开启压力：1050Pa±50Pa</w:t>
            </w:r>
          </w:p>
        </w:tc>
      </w:tr>
    </w:tbl>
    <w:p>
      <w:pPr>
        <w:rPr>
          <w:sz w:val="28"/>
          <w:szCs w:val="28"/>
        </w:rPr>
      </w:pPr>
    </w:p>
    <w:p>
      <w:pPr>
        <w:rPr>
          <w:sz w:val="28"/>
          <w:szCs w:val="28"/>
        </w:rPr>
      </w:pPr>
      <w:r>
        <w:rPr>
          <w:rFonts w:hint="eastAsia"/>
          <w:sz w:val="28"/>
          <w:szCs w:val="28"/>
        </w:rPr>
        <w:t>▲三、商务要求：</w:t>
      </w:r>
    </w:p>
    <w:p>
      <w:pPr>
        <w:rPr>
          <w:sz w:val="28"/>
          <w:szCs w:val="28"/>
        </w:rPr>
      </w:pPr>
      <w:r>
        <w:rPr>
          <w:rFonts w:hint="eastAsia"/>
          <w:sz w:val="28"/>
          <w:szCs w:val="28"/>
        </w:rPr>
        <w:t>1.交货期：合同签订后45个工作日内完成供货并交付使用完毕。</w:t>
      </w:r>
    </w:p>
    <w:p>
      <w:pPr>
        <w:rPr>
          <w:sz w:val="28"/>
          <w:szCs w:val="28"/>
        </w:rPr>
      </w:pPr>
      <w:r>
        <w:rPr>
          <w:rFonts w:hint="eastAsia"/>
          <w:sz w:val="28"/>
          <w:szCs w:val="28"/>
        </w:rPr>
        <w:t>2.质保期：自验收合格之日起1年；质保期内按国家行业标准提供“三包服务”，质保期内免费更换存在质量问题的零配件。</w:t>
      </w:r>
    </w:p>
    <w:p>
      <w:pPr>
        <w:rPr>
          <w:sz w:val="28"/>
          <w:szCs w:val="28"/>
        </w:rPr>
      </w:pPr>
      <w:r>
        <w:rPr>
          <w:rFonts w:hint="eastAsia"/>
          <w:sz w:val="28"/>
          <w:szCs w:val="28"/>
        </w:rPr>
        <w:t>3.付款方式：本项目无预付款，货到验收合格后一次性付清全款。付款前，中标供应商应当先提供全额发票，否则不予以付款。</w:t>
      </w:r>
    </w:p>
    <w:p>
      <w:pPr>
        <w:rPr>
          <w:sz w:val="28"/>
          <w:szCs w:val="28"/>
        </w:rPr>
      </w:pPr>
      <w:r>
        <w:rPr>
          <w:rFonts w:hint="eastAsia"/>
          <w:sz w:val="28"/>
          <w:szCs w:val="28"/>
        </w:rPr>
        <w:t>4.售后服务要求：</w:t>
      </w:r>
    </w:p>
    <w:p>
      <w:pPr>
        <w:rPr>
          <w:sz w:val="28"/>
          <w:szCs w:val="28"/>
        </w:rPr>
      </w:pPr>
      <w:r>
        <w:rPr>
          <w:rFonts w:hint="eastAsia"/>
          <w:sz w:val="28"/>
          <w:szCs w:val="28"/>
        </w:rPr>
        <w:t>中标供应商成交后应在南宁市有人员驻点提供售后服务，提供7×24小时服务支持，无论质保期内或质保期外均应提供免费上门服务，在接到采购人报修电话后2小时内做出有效响应，4小时内抵达维修现场，24小时内维修完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4E"/>
    <w:rsid w:val="001817D3"/>
    <w:rsid w:val="001E7204"/>
    <w:rsid w:val="001E7992"/>
    <w:rsid w:val="0029384E"/>
    <w:rsid w:val="002A69E9"/>
    <w:rsid w:val="00397BFD"/>
    <w:rsid w:val="004A00D0"/>
    <w:rsid w:val="005414BB"/>
    <w:rsid w:val="00677B1B"/>
    <w:rsid w:val="007048CF"/>
    <w:rsid w:val="007B79C0"/>
    <w:rsid w:val="00800947"/>
    <w:rsid w:val="00837016"/>
    <w:rsid w:val="008D7BBD"/>
    <w:rsid w:val="00A025C9"/>
    <w:rsid w:val="00B54C1D"/>
    <w:rsid w:val="00C6413F"/>
    <w:rsid w:val="00D96DA7"/>
    <w:rsid w:val="00E14C51"/>
    <w:rsid w:val="00E26261"/>
    <w:rsid w:val="00E92EA4"/>
    <w:rsid w:val="00F50F8C"/>
    <w:rsid w:val="1D5975C0"/>
    <w:rsid w:val="25C306E4"/>
    <w:rsid w:val="32140119"/>
    <w:rsid w:val="641E2D23"/>
    <w:rsid w:val="64CE7FD7"/>
    <w:rsid w:val="7AEA4997"/>
    <w:rsid w:val="7B4366AA"/>
    <w:rsid w:val="7D993E8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next w:val="3"/>
    <w:link w:val="8"/>
    <w:qFormat/>
    <w:uiPriority w:val="0"/>
    <w:pPr>
      <w:spacing w:after="120"/>
      <w:ind w:left="420" w:leftChars="200"/>
    </w:pPr>
  </w:style>
  <w:style w:type="paragraph" w:styleId="3">
    <w:name w:val="envelope return"/>
    <w:basedOn w:val="1"/>
    <w:unhideWhenUsed/>
    <w:qFormat/>
    <w:uiPriority w:val="99"/>
    <w:pPr>
      <w:snapToGrid w:val="0"/>
    </w:pPr>
    <w:rPr>
      <w:rFonts w:asciiTheme="majorHAnsi" w:hAnsiTheme="majorHAnsi" w:eastAsiaTheme="majorEastAsia" w:cstheme="majorBidi"/>
    </w:rPr>
  </w:style>
  <w:style w:type="paragraph" w:styleId="4">
    <w:name w:val="Balloon Text"/>
    <w:basedOn w:val="1"/>
    <w:link w:val="9"/>
    <w:unhideWhenUsed/>
    <w:qFormat/>
    <w:uiPriority w:val="99"/>
    <w:rPr>
      <w:sz w:val="18"/>
      <w:szCs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正文文本缩进 Char"/>
    <w:basedOn w:val="5"/>
    <w:link w:val="2"/>
    <w:qFormat/>
    <w:uiPriority w:val="0"/>
  </w:style>
  <w:style w:type="character" w:customStyle="1" w:styleId="9">
    <w:name w:val="批注框文本 Char"/>
    <w:basedOn w:val="5"/>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1767</Words>
  <Characters>10078</Characters>
  <Lines>83</Lines>
  <Paragraphs>23</Paragraphs>
  <ScaleCrop>false</ScaleCrop>
  <LinksUpToDate>false</LinksUpToDate>
  <CharactersWithSpaces>11822</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2026-06-10T01:31:00Z</dcterms:created>
  <dc:creator>Administrator</dc:creator>
  <cp:lastModifiedBy>Administrator</cp:lastModifiedBy>
  <cp:lastPrinted>2026-06-10T02:39:00Z</cp:lastPrinted>
  <dcterms:modified xsi:type="dcterms:W3CDTF">2026-07-01T12:40:55Z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