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0AB" w:rsidRDefault="005D13B1">
      <w:pPr>
        <w:jc w:val="center"/>
        <w:rPr>
          <w:b/>
          <w:bCs/>
          <w:sz w:val="44"/>
          <w:szCs w:val="44"/>
        </w:rPr>
      </w:pPr>
      <w:r>
        <w:rPr>
          <w:rFonts w:hint="eastAsia"/>
          <w:b/>
          <w:bCs/>
          <w:sz w:val="44"/>
          <w:szCs w:val="44"/>
        </w:rPr>
        <w:t>货物需求一览表</w:t>
      </w:r>
    </w:p>
    <w:p w:rsidR="007570AB" w:rsidRDefault="005D13B1">
      <w:r>
        <w:rPr>
          <w:rFonts w:hint="eastAsia"/>
        </w:rPr>
        <w:t>项目名称：八桂缝纫工匠实训基地及八桂非遗多功能研习室空调采购</w:t>
      </w:r>
    </w:p>
    <w:tbl>
      <w:tblPr>
        <w:tblStyle w:val="ad"/>
        <w:tblW w:w="10881" w:type="dxa"/>
        <w:tblLayout w:type="fixed"/>
        <w:tblLook w:val="04A0" w:firstRow="1" w:lastRow="0" w:firstColumn="1" w:lastColumn="0" w:noHBand="0" w:noVBand="1"/>
      </w:tblPr>
      <w:tblGrid>
        <w:gridCol w:w="421"/>
        <w:gridCol w:w="708"/>
        <w:gridCol w:w="6209"/>
        <w:gridCol w:w="425"/>
        <w:gridCol w:w="425"/>
        <w:gridCol w:w="851"/>
        <w:gridCol w:w="992"/>
        <w:gridCol w:w="850"/>
      </w:tblGrid>
      <w:tr w:rsidR="006A7654" w:rsidTr="006A7654">
        <w:trPr>
          <w:trHeight w:val="698"/>
        </w:trPr>
        <w:tc>
          <w:tcPr>
            <w:tcW w:w="421" w:type="dxa"/>
            <w:vAlign w:val="center"/>
          </w:tcPr>
          <w:p w:rsidR="006A7654" w:rsidRDefault="006A7654">
            <w:bookmarkStart w:id="0" w:name="_GoBack" w:colFirst="7" w:colLast="7"/>
            <w:r>
              <w:rPr>
                <w:rFonts w:hint="eastAsia"/>
              </w:rPr>
              <w:t>序号</w:t>
            </w:r>
          </w:p>
        </w:tc>
        <w:tc>
          <w:tcPr>
            <w:tcW w:w="708" w:type="dxa"/>
            <w:vAlign w:val="center"/>
          </w:tcPr>
          <w:p w:rsidR="006A7654" w:rsidRDefault="006A7654">
            <w:r>
              <w:rPr>
                <w:rFonts w:hint="eastAsia"/>
              </w:rPr>
              <w:t>货物名称</w:t>
            </w:r>
          </w:p>
        </w:tc>
        <w:tc>
          <w:tcPr>
            <w:tcW w:w="6209" w:type="dxa"/>
            <w:vAlign w:val="center"/>
          </w:tcPr>
          <w:p w:rsidR="006A7654" w:rsidRDefault="006A7654">
            <w:r>
              <w:rPr>
                <w:rFonts w:hint="eastAsia"/>
              </w:rPr>
              <w:t>技术参数要求</w:t>
            </w:r>
          </w:p>
        </w:tc>
        <w:tc>
          <w:tcPr>
            <w:tcW w:w="425" w:type="dxa"/>
            <w:vAlign w:val="center"/>
          </w:tcPr>
          <w:p w:rsidR="006A7654" w:rsidRDefault="006A7654">
            <w:r>
              <w:rPr>
                <w:rFonts w:hint="eastAsia"/>
              </w:rPr>
              <w:t>数量</w:t>
            </w:r>
          </w:p>
        </w:tc>
        <w:tc>
          <w:tcPr>
            <w:tcW w:w="425" w:type="dxa"/>
            <w:vAlign w:val="center"/>
          </w:tcPr>
          <w:p w:rsidR="006A7654" w:rsidRDefault="006A7654">
            <w:r>
              <w:rPr>
                <w:rFonts w:hint="eastAsia"/>
              </w:rPr>
              <w:t>单位</w:t>
            </w:r>
          </w:p>
        </w:tc>
        <w:tc>
          <w:tcPr>
            <w:tcW w:w="851" w:type="dxa"/>
            <w:vAlign w:val="center"/>
          </w:tcPr>
          <w:p w:rsidR="006A7654" w:rsidRDefault="006A7654">
            <w:r>
              <w:rPr>
                <w:rFonts w:hint="eastAsia"/>
              </w:rPr>
              <w:t>单价（元）</w:t>
            </w:r>
          </w:p>
        </w:tc>
        <w:tc>
          <w:tcPr>
            <w:tcW w:w="992" w:type="dxa"/>
            <w:vAlign w:val="center"/>
          </w:tcPr>
          <w:p w:rsidR="006A7654" w:rsidRDefault="006A7654">
            <w:r>
              <w:rPr>
                <w:rFonts w:hint="eastAsia"/>
              </w:rPr>
              <w:t>合计价格（元）</w:t>
            </w:r>
          </w:p>
        </w:tc>
        <w:tc>
          <w:tcPr>
            <w:tcW w:w="850" w:type="dxa"/>
            <w:vAlign w:val="center"/>
          </w:tcPr>
          <w:p w:rsidR="006A7654" w:rsidRDefault="006A7654" w:rsidP="006A7654">
            <w:pPr>
              <w:jc w:val="center"/>
              <w:rPr>
                <w:rFonts w:hint="eastAsia"/>
              </w:rPr>
            </w:pPr>
            <w:r>
              <w:rPr>
                <w:rFonts w:hint="eastAsia"/>
              </w:rPr>
              <w:t>品牌</w:t>
            </w:r>
          </w:p>
        </w:tc>
      </w:tr>
      <w:bookmarkEnd w:id="0"/>
      <w:tr w:rsidR="006A7654" w:rsidTr="006A7654">
        <w:trPr>
          <w:trHeight w:val="698"/>
        </w:trPr>
        <w:tc>
          <w:tcPr>
            <w:tcW w:w="421" w:type="dxa"/>
            <w:vMerge w:val="restart"/>
            <w:vAlign w:val="center"/>
          </w:tcPr>
          <w:p w:rsidR="006A7654" w:rsidRDefault="006A7654">
            <w:r>
              <w:rPr>
                <w:rFonts w:hint="eastAsia"/>
              </w:rPr>
              <w:t>1</w:t>
            </w:r>
          </w:p>
          <w:p w:rsidR="006A7654" w:rsidRDefault="006A7654"/>
        </w:tc>
        <w:tc>
          <w:tcPr>
            <w:tcW w:w="708" w:type="dxa"/>
            <w:vAlign w:val="center"/>
          </w:tcPr>
          <w:p w:rsidR="006A7654" w:rsidRDefault="006A7654">
            <w:r>
              <w:rPr>
                <w:rFonts w:hint="eastAsia"/>
              </w:rPr>
              <w:t>空调系统</w:t>
            </w:r>
          </w:p>
        </w:tc>
        <w:tc>
          <w:tcPr>
            <w:tcW w:w="6209" w:type="dxa"/>
            <w:vAlign w:val="center"/>
          </w:tcPr>
          <w:p w:rsidR="006A7654" w:rsidRDefault="006A7654">
            <w:r>
              <w:rPr>
                <w:rFonts w:hint="eastAsia"/>
              </w:rPr>
              <w:t>（1）循环风量≥2100立方米/h；</w:t>
            </w:r>
          </w:p>
          <w:p w:rsidR="006A7654" w:rsidRDefault="006A7654">
            <w:r>
              <w:rPr>
                <w:rFonts w:hint="eastAsia"/>
              </w:rPr>
              <w:t>（2）制冷量≥12200W；</w:t>
            </w:r>
          </w:p>
          <w:p w:rsidR="006A7654" w:rsidRDefault="006A7654">
            <w:r>
              <w:rPr>
                <w:rFonts w:hint="eastAsia"/>
              </w:rPr>
              <w:t>（3）制热量≥13600W；</w:t>
            </w:r>
          </w:p>
          <w:p w:rsidR="006A7654" w:rsidRDefault="006A7654">
            <w:r>
              <w:rPr>
                <w:rFonts w:hint="eastAsia"/>
              </w:rPr>
              <w:t>（4）最大制冷功率≥5100W；</w:t>
            </w:r>
          </w:p>
          <w:p w:rsidR="006A7654" w:rsidRDefault="006A7654">
            <w:r>
              <w:rPr>
                <w:rFonts w:hint="eastAsia"/>
              </w:rPr>
              <w:t>（5）最大制热功率≥4300W；</w:t>
            </w:r>
          </w:p>
          <w:p w:rsidR="006A7654" w:rsidRDefault="006A7654">
            <w:r>
              <w:rPr>
                <w:rFonts w:hint="eastAsia"/>
              </w:rPr>
              <w:t>（6）室内机尺寸≥长830mm×高287mm×宽830mm；</w:t>
            </w:r>
          </w:p>
          <w:p w:rsidR="006A7654" w:rsidRDefault="006A7654">
            <w:r>
              <w:rPr>
                <w:rFonts w:hint="eastAsia"/>
              </w:rPr>
              <w:t>（7）室外机尺寸≥高1333mm×长958mm×宽420mm；</w:t>
            </w:r>
          </w:p>
          <w:p w:rsidR="006A7654" w:rsidRDefault="006A7654">
            <w:r>
              <w:rPr>
                <w:rFonts w:hint="eastAsia"/>
              </w:rPr>
              <w:t>（8）内机噪音≥28dB（A）；</w:t>
            </w:r>
          </w:p>
          <w:p w:rsidR="006A7654" w:rsidRDefault="006A7654">
            <w:r>
              <w:rPr>
                <w:rFonts w:hint="eastAsia"/>
              </w:rPr>
              <w:t>（9）变频1级能效；</w:t>
            </w:r>
          </w:p>
          <w:p w:rsidR="006A7654" w:rsidRDefault="006A7654">
            <w:r>
              <w:rPr>
                <w:rFonts w:hint="eastAsia"/>
              </w:rPr>
              <w:t>（10）电压/频率;380v/50Hz</w:t>
            </w:r>
          </w:p>
          <w:p w:rsidR="006A7654" w:rsidRDefault="006A7654">
            <w:r>
              <w:rPr>
                <w:rFonts w:hint="eastAsia"/>
              </w:rPr>
              <w:t>（10）配备加长铜管5匹铜管（直径16mm/直径10mm）≥15米/台；</w:t>
            </w:r>
          </w:p>
          <w:p w:rsidR="006A7654" w:rsidRDefault="006A7654">
            <w:r>
              <w:rPr>
                <w:rFonts w:hint="eastAsia"/>
              </w:rPr>
              <w:t>（11）配备PVC水管DN25≥40米，DN32≥25米；</w:t>
            </w:r>
          </w:p>
          <w:p w:rsidR="006A7654" w:rsidRDefault="006A7654">
            <w:r>
              <w:rPr>
                <w:rFonts w:hint="eastAsia"/>
              </w:rPr>
              <w:t>（12）配备空调支架20公分落地架≥2付；</w:t>
            </w:r>
          </w:p>
          <w:p w:rsidR="006A7654" w:rsidRDefault="006A7654">
            <w:r>
              <w:rPr>
                <w:rFonts w:hint="eastAsia"/>
              </w:rPr>
              <w:t>（13）现场安装调试：工程师负责安装、空调打孔、调试、培训；</w:t>
            </w:r>
          </w:p>
          <w:p w:rsidR="006A7654" w:rsidRDefault="006A7654">
            <w:r>
              <w:rPr>
                <w:rFonts w:hint="eastAsia"/>
              </w:rPr>
              <w:t>（14）包含所有材料工具设备的材料、供电线路及配件、人工、五金件，包装、运输和调试费用。</w:t>
            </w:r>
          </w:p>
          <w:p w:rsidR="006A7654" w:rsidRDefault="006A7654"/>
        </w:tc>
        <w:tc>
          <w:tcPr>
            <w:tcW w:w="425" w:type="dxa"/>
            <w:vAlign w:val="center"/>
          </w:tcPr>
          <w:p w:rsidR="006A7654" w:rsidRDefault="006A7654">
            <w:r>
              <w:rPr>
                <w:rFonts w:hint="eastAsia"/>
              </w:rPr>
              <w:t>2</w:t>
            </w:r>
          </w:p>
        </w:tc>
        <w:tc>
          <w:tcPr>
            <w:tcW w:w="425" w:type="dxa"/>
            <w:vAlign w:val="center"/>
          </w:tcPr>
          <w:p w:rsidR="006A7654" w:rsidRDefault="006A7654">
            <w:r>
              <w:rPr>
                <w:rFonts w:hint="eastAsia"/>
              </w:rPr>
              <w:t>台</w:t>
            </w:r>
          </w:p>
        </w:tc>
        <w:tc>
          <w:tcPr>
            <w:tcW w:w="851" w:type="dxa"/>
            <w:vAlign w:val="center"/>
          </w:tcPr>
          <w:p w:rsidR="006A7654" w:rsidRDefault="006A7654">
            <w:r>
              <w:rPr>
                <w:rFonts w:hint="eastAsia"/>
              </w:rPr>
              <w:t>15000</w:t>
            </w:r>
          </w:p>
        </w:tc>
        <w:tc>
          <w:tcPr>
            <w:tcW w:w="992" w:type="dxa"/>
            <w:vAlign w:val="center"/>
          </w:tcPr>
          <w:p w:rsidR="006A7654" w:rsidRDefault="006A7654">
            <w:r>
              <w:rPr>
                <w:rFonts w:hint="eastAsia"/>
              </w:rPr>
              <w:t>30000</w:t>
            </w:r>
          </w:p>
        </w:tc>
        <w:tc>
          <w:tcPr>
            <w:tcW w:w="850" w:type="dxa"/>
            <w:vAlign w:val="center"/>
          </w:tcPr>
          <w:p w:rsidR="006A7654" w:rsidRDefault="006A7654" w:rsidP="006A7654">
            <w:pPr>
              <w:jc w:val="center"/>
              <w:rPr>
                <w:rFonts w:hint="eastAsia"/>
              </w:rPr>
            </w:pPr>
            <w:r>
              <w:rPr>
                <w:rFonts w:hint="eastAsia"/>
              </w:rPr>
              <w:t>格力</w:t>
            </w:r>
          </w:p>
        </w:tc>
      </w:tr>
      <w:tr w:rsidR="006A7654" w:rsidTr="006A7654">
        <w:trPr>
          <w:trHeight w:val="698"/>
        </w:trPr>
        <w:tc>
          <w:tcPr>
            <w:tcW w:w="421" w:type="dxa"/>
            <w:vMerge/>
            <w:vAlign w:val="center"/>
          </w:tcPr>
          <w:p w:rsidR="006A7654" w:rsidRDefault="006A7654"/>
        </w:tc>
        <w:tc>
          <w:tcPr>
            <w:tcW w:w="708" w:type="dxa"/>
            <w:vAlign w:val="center"/>
          </w:tcPr>
          <w:p w:rsidR="006A7654" w:rsidRDefault="006A7654">
            <w:r>
              <w:rPr>
                <w:rFonts w:hint="eastAsia"/>
              </w:rPr>
              <w:t>空调系统</w:t>
            </w:r>
          </w:p>
        </w:tc>
        <w:tc>
          <w:tcPr>
            <w:tcW w:w="6209" w:type="dxa"/>
            <w:shd w:val="clear" w:color="auto" w:fill="auto"/>
            <w:vAlign w:val="center"/>
          </w:tcPr>
          <w:p w:rsidR="006A7654" w:rsidRDefault="006A7654">
            <w:r>
              <w:rPr>
                <w:rFonts w:hint="eastAsia"/>
              </w:rPr>
              <w:t>（1）循环风量≥1350立方米/h；</w:t>
            </w:r>
          </w:p>
          <w:p w:rsidR="006A7654" w:rsidRDefault="006A7654">
            <w:r>
              <w:rPr>
                <w:rFonts w:hint="eastAsia"/>
              </w:rPr>
              <w:t>（2）制冷量≥7500W；</w:t>
            </w:r>
          </w:p>
          <w:p w:rsidR="006A7654" w:rsidRDefault="006A7654">
            <w:r>
              <w:rPr>
                <w:rFonts w:hint="eastAsia"/>
              </w:rPr>
              <w:t>（3）制热量≥9500W；</w:t>
            </w:r>
          </w:p>
          <w:p w:rsidR="006A7654" w:rsidRDefault="006A7654">
            <w:r>
              <w:rPr>
                <w:rFonts w:hint="eastAsia"/>
              </w:rPr>
              <w:t>（4）制冷功率≥2600W；</w:t>
            </w:r>
          </w:p>
          <w:p w:rsidR="006A7654" w:rsidRDefault="006A7654">
            <w:r>
              <w:rPr>
                <w:rFonts w:hint="eastAsia"/>
              </w:rPr>
              <w:t>（5）制热功率≥3000W；</w:t>
            </w:r>
          </w:p>
          <w:p w:rsidR="006A7654" w:rsidRDefault="006A7654">
            <w:r>
              <w:rPr>
                <w:rFonts w:hint="eastAsia"/>
              </w:rPr>
              <w:t>（6）室内机尺寸≥长830mm×高204mm×宽830mm；</w:t>
            </w:r>
          </w:p>
          <w:p w:rsidR="006A7654" w:rsidRDefault="006A7654">
            <w:r>
              <w:rPr>
                <w:rFonts w:hint="eastAsia"/>
              </w:rPr>
              <w:t>（7）室外机尺寸≥高940mm×长673mm×宽342mm；</w:t>
            </w:r>
          </w:p>
          <w:p w:rsidR="006A7654" w:rsidRDefault="006A7654">
            <w:r>
              <w:rPr>
                <w:rFonts w:hint="eastAsia"/>
              </w:rPr>
              <w:t>（8）内机噪音：24-45dB（A）；</w:t>
            </w:r>
          </w:p>
          <w:p w:rsidR="006A7654" w:rsidRDefault="006A7654">
            <w:r>
              <w:rPr>
                <w:rFonts w:hint="eastAsia"/>
              </w:rPr>
              <w:t>（9）变频1级能效；</w:t>
            </w:r>
          </w:p>
          <w:p w:rsidR="006A7654" w:rsidRDefault="006A7654">
            <w:r>
              <w:rPr>
                <w:rFonts w:hint="eastAsia"/>
              </w:rPr>
              <w:t>（10）配备加长铜管3匹铜管（直径16mm/直径10mm）≥20米/台；</w:t>
            </w:r>
          </w:p>
          <w:p w:rsidR="006A7654" w:rsidRDefault="006A7654">
            <w:r>
              <w:rPr>
                <w:rFonts w:hint="eastAsia"/>
              </w:rPr>
              <w:t>（11）配备PVC水管DN25≥40米，DN32≥40米；</w:t>
            </w:r>
          </w:p>
          <w:p w:rsidR="006A7654" w:rsidRDefault="006A7654">
            <w:r>
              <w:rPr>
                <w:rFonts w:hint="eastAsia"/>
              </w:rPr>
              <w:t>（12）配备空调支架20公分落地架≥2付；</w:t>
            </w:r>
          </w:p>
          <w:p w:rsidR="006A7654" w:rsidRDefault="006A7654">
            <w:r>
              <w:rPr>
                <w:rFonts w:hint="eastAsia"/>
              </w:rPr>
              <w:t>（13）现场安装调试：工程师负责安装、空调打孔、调试、培训；</w:t>
            </w:r>
          </w:p>
          <w:p w:rsidR="006A7654" w:rsidRDefault="006A7654">
            <w:r>
              <w:rPr>
                <w:rFonts w:hint="eastAsia"/>
              </w:rPr>
              <w:t>（14）包含所有材料工具设备的材料、供电线路及配件、人工、五金件，包装、运输和调试费用。</w:t>
            </w:r>
          </w:p>
          <w:p w:rsidR="006A7654" w:rsidRDefault="006A7654"/>
        </w:tc>
        <w:tc>
          <w:tcPr>
            <w:tcW w:w="425" w:type="dxa"/>
            <w:vAlign w:val="center"/>
          </w:tcPr>
          <w:p w:rsidR="006A7654" w:rsidRDefault="006A7654">
            <w:r>
              <w:rPr>
                <w:rFonts w:hint="eastAsia"/>
              </w:rPr>
              <w:t>2</w:t>
            </w:r>
          </w:p>
        </w:tc>
        <w:tc>
          <w:tcPr>
            <w:tcW w:w="425" w:type="dxa"/>
            <w:vAlign w:val="center"/>
          </w:tcPr>
          <w:p w:rsidR="006A7654" w:rsidRDefault="006A7654">
            <w:r>
              <w:rPr>
                <w:rFonts w:hint="eastAsia"/>
              </w:rPr>
              <w:t>台</w:t>
            </w:r>
          </w:p>
        </w:tc>
        <w:tc>
          <w:tcPr>
            <w:tcW w:w="851" w:type="dxa"/>
            <w:vAlign w:val="center"/>
          </w:tcPr>
          <w:p w:rsidR="006A7654" w:rsidRDefault="006A7654">
            <w:r>
              <w:rPr>
                <w:rFonts w:hint="eastAsia"/>
              </w:rPr>
              <w:t>7500</w:t>
            </w:r>
          </w:p>
        </w:tc>
        <w:tc>
          <w:tcPr>
            <w:tcW w:w="992" w:type="dxa"/>
            <w:vAlign w:val="center"/>
          </w:tcPr>
          <w:p w:rsidR="006A7654" w:rsidRDefault="006A7654">
            <w:r>
              <w:rPr>
                <w:rFonts w:hint="eastAsia"/>
              </w:rPr>
              <w:t>15000</w:t>
            </w:r>
          </w:p>
        </w:tc>
        <w:tc>
          <w:tcPr>
            <w:tcW w:w="850" w:type="dxa"/>
            <w:vAlign w:val="center"/>
          </w:tcPr>
          <w:p w:rsidR="006A7654" w:rsidRDefault="006A7654" w:rsidP="006A7654">
            <w:pPr>
              <w:jc w:val="center"/>
              <w:rPr>
                <w:rFonts w:hint="eastAsia"/>
              </w:rPr>
            </w:pPr>
            <w:r>
              <w:rPr>
                <w:rFonts w:hint="eastAsia"/>
              </w:rPr>
              <w:t>格力</w:t>
            </w:r>
          </w:p>
        </w:tc>
      </w:tr>
      <w:tr w:rsidR="006A7654" w:rsidTr="006A7654">
        <w:trPr>
          <w:trHeight w:val="354"/>
        </w:trPr>
        <w:tc>
          <w:tcPr>
            <w:tcW w:w="9039" w:type="dxa"/>
            <w:gridSpan w:val="6"/>
            <w:vAlign w:val="center"/>
          </w:tcPr>
          <w:p w:rsidR="006A7654" w:rsidRDefault="006A7654">
            <w:r>
              <w:rPr>
                <w:rFonts w:hint="eastAsia"/>
              </w:rPr>
              <w:t>合计</w:t>
            </w:r>
          </w:p>
        </w:tc>
        <w:tc>
          <w:tcPr>
            <w:tcW w:w="992" w:type="dxa"/>
            <w:vAlign w:val="center"/>
          </w:tcPr>
          <w:p w:rsidR="006A7654" w:rsidRDefault="006A7654">
            <w:pPr>
              <w:jc w:val="center"/>
            </w:pPr>
            <w:r>
              <w:rPr>
                <w:rFonts w:hint="eastAsia"/>
              </w:rPr>
              <w:t>45000</w:t>
            </w:r>
          </w:p>
        </w:tc>
        <w:tc>
          <w:tcPr>
            <w:tcW w:w="850" w:type="dxa"/>
          </w:tcPr>
          <w:p w:rsidR="006A7654" w:rsidRDefault="006A7654">
            <w:pPr>
              <w:jc w:val="center"/>
              <w:rPr>
                <w:rFonts w:hint="eastAsia"/>
              </w:rPr>
            </w:pPr>
          </w:p>
        </w:tc>
      </w:tr>
      <w:tr w:rsidR="006A7654" w:rsidTr="006A7654">
        <w:trPr>
          <w:trHeight w:val="330"/>
        </w:trPr>
        <w:tc>
          <w:tcPr>
            <w:tcW w:w="10031" w:type="dxa"/>
            <w:gridSpan w:val="7"/>
            <w:vAlign w:val="center"/>
          </w:tcPr>
          <w:p w:rsidR="006A7654" w:rsidRDefault="006A7654">
            <w:r>
              <w:rPr>
                <w:rFonts w:hint="eastAsia"/>
              </w:rPr>
              <w:t>商务条款</w:t>
            </w:r>
          </w:p>
        </w:tc>
        <w:tc>
          <w:tcPr>
            <w:tcW w:w="850" w:type="dxa"/>
          </w:tcPr>
          <w:p w:rsidR="006A7654" w:rsidRDefault="006A7654">
            <w:pPr>
              <w:rPr>
                <w:rFonts w:hint="eastAsia"/>
              </w:rPr>
            </w:pPr>
          </w:p>
        </w:tc>
      </w:tr>
      <w:tr w:rsidR="006A7654" w:rsidTr="006A7654">
        <w:trPr>
          <w:trHeight w:val="330"/>
        </w:trPr>
        <w:tc>
          <w:tcPr>
            <w:tcW w:w="1129" w:type="dxa"/>
            <w:gridSpan w:val="2"/>
            <w:vAlign w:val="center"/>
          </w:tcPr>
          <w:p w:rsidR="006A7654" w:rsidRDefault="006A7654">
            <w:r>
              <w:rPr>
                <w:rFonts w:hint="eastAsia"/>
              </w:rPr>
              <w:t>合同签订期</w:t>
            </w:r>
          </w:p>
        </w:tc>
        <w:tc>
          <w:tcPr>
            <w:tcW w:w="8902" w:type="dxa"/>
            <w:gridSpan w:val="5"/>
            <w:vAlign w:val="center"/>
          </w:tcPr>
          <w:p w:rsidR="006A7654" w:rsidRDefault="006A7654">
            <w:r>
              <w:rPr>
                <w:rFonts w:hint="eastAsia"/>
              </w:rPr>
              <w:t>自成交通知书发出之日起</w:t>
            </w:r>
            <w:r>
              <w:t>25</w:t>
            </w:r>
            <w:r>
              <w:rPr>
                <w:rFonts w:hint="eastAsia"/>
              </w:rPr>
              <w:t>日内。</w:t>
            </w:r>
          </w:p>
        </w:tc>
        <w:tc>
          <w:tcPr>
            <w:tcW w:w="850" w:type="dxa"/>
          </w:tcPr>
          <w:p w:rsidR="006A7654" w:rsidRDefault="006A7654">
            <w:pPr>
              <w:rPr>
                <w:rFonts w:hint="eastAsia"/>
              </w:rPr>
            </w:pPr>
          </w:p>
        </w:tc>
      </w:tr>
      <w:tr w:rsidR="006A7654" w:rsidTr="006A7654">
        <w:trPr>
          <w:trHeight w:val="330"/>
        </w:trPr>
        <w:tc>
          <w:tcPr>
            <w:tcW w:w="1129" w:type="dxa"/>
            <w:gridSpan w:val="2"/>
            <w:vAlign w:val="center"/>
          </w:tcPr>
          <w:p w:rsidR="006A7654" w:rsidRDefault="006A7654">
            <w:r>
              <w:rPr>
                <w:rFonts w:hint="eastAsia"/>
              </w:rPr>
              <w:t>交付时间及地点</w:t>
            </w:r>
          </w:p>
        </w:tc>
        <w:tc>
          <w:tcPr>
            <w:tcW w:w="8902" w:type="dxa"/>
            <w:gridSpan w:val="5"/>
            <w:vAlign w:val="center"/>
          </w:tcPr>
          <w:p w:rsidR="006A7654" w:rsidRDefault="006A7654">
            <w:r>
              <w:rPr>
                <w:rFonts w:hint="eastAsia"/>
              </w:rPr>
              <w:t>1、交付时间：自签订合同之日起10日（日历日）内安装验收完成。</w:t>
            </w:r>
          </w:p>
          <w:p w:rsidR="006A7654" w:rsidRDefault="006A7654">
            <w:r>
              <w:rPr>
                <w:rFonts w:hint="eastAsia"/>
              </w:rPr>
              <w:t>2、交付地点：广西南宁技师学院</w:t>
            </w:r>
            <w:r>
              <w:rPr>
                <w:rFonts w:hint="eastAsia"/>
                <w:lang w:val="zh-CN"/>
              </w:rPr>
              <w:t>指定地点</w:t>
            </w:r>
            <w:r>
              <w:rPr>
                <w:rFonts w:hint="eastAsia"/>
              </w:rPr>
              <w:t>。</w:t>
            </w:r>
          </w:p>
        </w:tc>
        <w:tc>
          <w:tcPr>
            <w:tcW w:w="850" w:type="dxa"/>
          </w:tcPr>
          <w:p w:rsidR="006A7654" w:rsidRDefault="006A7654">
            <w:pPr>
              <w:rPr>
                <w:rFonts w:hint="eastAsia"/>
              </w:rPr>
            </w:pPr>
          </w:p>
        </w:tc>
      </w:tr>
      <w:tr w:rsidR="006A7654" w:rsidTr="006A7654">
        <w:trPr>
          <w:trHeight w:val="330"/>
        </w:trPr>
        <w:tc>
          <w:tcPr>
            <w:tcW w:w="1129" w:type="dxa"/>
            <w:gridSpan w:val="2"/>
            <w:vAlign w:val="center"/>
          </w:tcPr>
          <w:p w:rsidR="006A7654" w:rsidRDefault="006A7654">
            <w:r>
              <w:rPr>
                <w:rFonts w:hint="eastAsia"/>
              </w:rPr>
              <w:lastRenderedPageBreak/>
              <w:t>售后服务要求</w:t>
            </w:r>
          </w:p>
        </w:tc>
        <w:tc>
          <w:tcPr>
            <w:tcW w:w="8902" w:type="dxa"/>
            <w:gridSpan w:val="5"/>
            <w:vAlign w:val="center"/>
          </w:tcPr>
          <w:p w:rsidR="006A7654" w:rsidRDefault="006A7654">
            <w:r>
              <w:rPr>
                <w:rFonts w:hint="eastAsia"/>
              </w:rPr>
              <w:t>1、送货上门，安装调试合格，按国家有关规定实行“三包”，定期回访及维护。</w:t>
            </w:r>
          </w:p>
          <w:p w:rsidR="006A7654" w:rsidRDefault="006A7654">
            <w:r>
              <w:rPr>
                <w:rFonts w:hint="eastAsia"/>
              </w:rPr>
              <w:t>2、质保期：自验收合格之日起1年。</w:t>
            </w:r>
          </w:p>
          <w:p w:rsidR="006A7654" w:rsidRDefault="006A7654">
            <w:r>
              <w:rPr>
                <w:rFonts w:hint="eastAsia"/>
              </w:rPr>
              <w:t>质保为整机（整台、整套）及软件，质保期内保证设备的合法性使用，国家强制检测由供应商负责，质保期内的质量责任由成交供应商承担；由于设备质量造成的安全事故由成交供应商承担；质保期内货物故障后成交供应商承诺免费更换新件。</w:t>
            </w:r>
          </w:p>
          <w:p w:rsidR="006A7654" w:rsidRDefault="006A7654">
            <w:r>
              <w:rPr>
                <w:rFonts w:hint="eastAsia"/>
              </w:rPr>
              <w:t>3、服务响应时间：7×24小时提供服务。电话报修要求2小时内响应，12个小时内排除故障。</w:t>
            </w:r>
          </w:p>
          <w:p w:rsidR="006A7654" w:rsidRDefault="006A7654">
            <w:r>
              <w:rPr>
                <w:rFonts w:hint="eastAsia"/>
              </w:rPr>
              <w:t>4、备品备件要求：维修设备时更换问题部件，并负责备件的运输，具体包括：</w:t>
            </w:r>
          </w:p>
          <w:p w:rsidR="006A7654" w:rsidRDefault="006A7654">
            <w:r>
              <w:rPr>
                <w:rFonts w:hint="eastAsia"/>
              </w:rPr>
              <w:t>（1）提供保修所需的备件供应要及时、充足。</w:t>
            </w:r>
          </w:p>
          <w:p w:rsidR="006A7654" w:rsidRDefault="006A7654">
            <w:r>
              <w:rPr>
                <w:rFonts w:hint="eastAsia"/>
              </w:rPr>
              <w:t>（2）备件必须是原厂提供的未拆封原装备件。</w:t>
            </w:r>
          </w:p>
          <w:p w:rsidR="006A7654" w:rsidRDefault="006A7654">
            <w:r>
              <w:rPr>
                <w:rFonts w:hint="eastAsia"/>
              </w:rPr>
              <w:t>5、设备安装调试及技术培训：供应商协助进行安装前的准备工作。到货后，供应商安排工程师免费安装。设备安装后，供应商安装工程师为采购人提供为期5天现场培训，培训内容包括：基本原理、结构、操作、软件使用、数据处理、维护保养及简单故障排除，保证采购人的使用人员能正确操作设备，熟练使用设备的各种功能。</w:t>
            </w:r>
          </w:p>
          <w:p w:rsidR="006A7654" w:rsidRDefault="006A7654">
            <w:r>
              <w:rPr>
                <w:rFonts w:hint="eastAsia"/>
              </w:rPr>
              <w:t>6、在正常安装、使用过程中，凡是因产品质量问题所造成采购人损失的，成交供应商负责赔偿采购人的一切经济损失。</w:t>
            </w:r>
          </w:p>
          <w:p w:rsidR="006A7654" w:rsidRDefault="006A7654">
            <w:r>
              <w:rPr>
                <w:rFonts w:hint="eastAsia"/>
              </w:rPr>
              <w:t>7、本政府采购项目现执行的有关政策、法律及法规，如有与国家最新发布的政策、法律及法规相抵触时，供应商必须无条件按照最新规定执行，且造成的损失均由供应商自行承担。</w:t>
            </w:r>
          </w:p>
          <w:p w:rsidR="006A7654" w:rsidRDefault="006A7654">
            <w:r>
              <w:rPr>
                <w:rFonts w:hint="eastAsia"/>
              </w:rPr>
              <w:t>8、其余按厂家承诺进行。</w:t>
            </w:r>
          </w:p>
        </w:tc>
        <w:tc>
          <w:tcPr>
            <w:tcW w:w="850" w:type="dxa"/>
          </w:tcPr>
          <w:p w:rsidR="006A7654" w:rsidRDefault="006A7654">
            <w:pPr>
              <w:rPr>
                <w:rFonts w:hint="eastAsia"/>
              </w:rPr>
            </w:pPr>
          </w:p>
        </w:tc>
      </w:tr>
      <w:tr w:rsidR="006A7654" w:rsidTr="006A7654">
        <w:trPr>
          <w:trHeight w:val="330"/>
        </w:trPr>
        <w:tc>
          <w:tcPr>
            <w:tcW w:w="1129" w:type="dxa"/>
            <w:gridSpan w:val="2"/>
            <w:vAlign w:val="center"/>
          </w:tcPr>
          <w:p w:rsidR="006A7654" w:rsidRDefault="006A7654">
            <w:r>
              <w:rPr>
                <w:rFonts w:hint="eastAsia"/>
              </w:rPr>
              <w:t>付款方式</w:t>
            </w:r>
          </w:p>
        </w:tc>
        <w:tc>
          <w:tcPr>
            <w:tcW w:w="8902" w:type="dxa"/>
            <w:gridSpan w:val="5"/>
            <w:vAlign w:val="center"/>
          </w:tcPr>
          <w:p w:rsidR="006A7654" w:rsidRDefault="006A7654">
            <w:r>
              <w:rPr>
                <w:rFonts w:hint="eastAsia"/>
              </w:rPr>
              <w:t>本项目无预付款，货物经采购人书面验收合格后，供应商将发票交采购人向市财政局提交用款申请批复后支付合同款。鉴于本合同款项系使用财政资金支付，采购人在验收合格后向财政部门申请付款，既视为采购人已履行支付义务，具体付款时间以财政部门批复并支付为准。</w:t>
            </w:r>
          </w:p>
        </w:tc>
        <w:tc>
          <w:tcPr>
            <w:tcW w:w="850" w:type="dxa"/>
          </w:tcPr>
          <w:p w:rsidR="006A7654" w:rsidRDefault="006A7654">
            <w:pPr>
              <w:rPr>
                <w:rFonts w:hint="eastAsia"/>
              </w:rPr>
            </w:pPr>
          </w:p>
        </w:tc>
      </w:tr>
      <w:tr w:rsidR="006A7654" w:rsidTr="006A7654">
        <w:trPr>
          <w:trHeight w:val="330"/>
        </w:trPr>
        <w:tc>
          <w:tcPr>
            <w:tcW w:w="1129" w:type="dxa"/>
            <w:gridSpan w:val="2"/>
            <w:vAlign w:val="center"/>
          </w:tcPr>
          <w:p w:rsidR="006A7654" w:rsidRDefault="006A7654">
            <w:r>
              <w:rPr>
                <w:rFonts w:hint="eastAsia"/>
              </w:rPr>
              <w:t>报价要求</w:t>
            </w:r>
          </w:p>
        </w:tc>
        <w:tc>
          <w:tcPr>
            <w:tcW w:w="8902" w:type="dxa"/>
            <w:gridSpan w:val="5"/>
            <w:vAlign w:val="center"/>
          </w:tcPr>
          <w:p w:rsidR="006A7654" w:rsidRDefault="006A7654">
            <w:r>
              <w:rPr>
                <w:rFonts w:hint="eastAsia"/>
              </w:rPr>
              <w:t>1、报价必须含以下部分，包括：</w:t>
            </w:r>
          </w:p>
          <w:p w:rsidR="006A7654" w:rsidRDefault="006A7654">
            <w:r>
              <w:rPr>
                <w:rFonts w:hint="eastAsia"/>
              </w:rPr>
              <w:t>（1）货物的价格；</w:t>
            </w:r>
          </w:p>
          <w:p w:rsidR="006A7654" w:rsidRDefault="006A7654">
            <w:r>
              <w:rPr>
                <w:rFonts w:hint="eastAsia"/>
              </w:rPr>
              <w:t>（2）必要的保险费用和各项税金；</w:t>
            </w:r>
          </w:p>
          <w:p w:rsidR="006A7654" w:rsidRDefault="006A7654">
            <w:r>
              <w:rPr>
                <w:rFonts w:hint="eastAsia"/>
              </w:rPr>
              <w:t xml:space="preserve">（3）其他（如运输、装卸、安装、调试、培训、技术支持、售后货物、更新升级等费用）： 包括货款、随配附件、备品备件、专用工具、包装、运输、装卸、保险、运抵指定交货地点、送货上门服务、现场安装调试、保修等各种费用和售后服务、培训、税金及其他所有成本费用的总和。   </w:t>
            </w:r>
          </w:p>
        </w:tc>
        <w:tc>
          <w:tcPr>
            <w:tcW w:w="850" w:type="dxa"/>
          </w:tcPr>
          <w:p w:rsidR="006A7654" w:rsidRDefault="006A7654">
            <w:pPr>
              <w:rPr>
                <w:rFonts w:hint="eastAsia"/>
              </w:rPr>
            </w:pPr>
          </w:p>
        </w:tc>
      </w:tr>
      <w:tr w:rsidR="006A7654" w:rsidTr="006A7654">
        <w:trPr>
          <w:trHeight w:val="330"/>
        </w:trPr>
        <w:tc>
          <w:tcPr>
            <w:tcW w:w="1129" w:type="dxa"/>
            <w:gridSpan w:val="2"/>
            <w:vAlign w:val="center"/>
          </w:tcPr>
          <w:p w:rsidR="006A7654" w:rsidRDefault="006A7654">
            <w:r>
              <w:rPr>
                <w:rFonts w:hint="eastAsia"/>
              </w:rPr>
              <w:t>验收要求</w:t>
            </w:r>
          </w:p>
        </w:tc>
        <w:tc>
          <w:tcPr>
            <w:tcW w:w="8902" w:type="dxa"/>
            <w:gridSpan w:val="5"/>
            <w:vAlign w:val="center"/>
          </w:tcPr>
          <w:p w:rsidR="006A7654" w:rsidRDefault="006A7654">
            <w:r>
              <w:rPr>
                <w:rFonts w:hint="eastAsia"/>
              </w:rPr>
              <w:t>1、成交供应商向采购人提供的货物必须是全新的原装产品。</w:t>
            </w:r>
          </w:p>
          <w:p w:rsidR="006A7654" w:rsidRDefault="006A7654">
            <w:r>
              <w:rPr>
                <w:rFonts w:hint="eastAsia"/>
              </w:rPr>
              <w:t>2、验收过程中所产生的一切费用均由成交供应商承担，报价时应考虑相关费用。</w:t>
            </w:r>
          </w:p>
          <w:p w:rsidR="006A7654" w:rsidRDefault="006A7654">
            <w:r>
              <w:rPr>
                <w:rFonts w:hint="eastAsia"/>
              </w:rPr>
              <w:t>3、成交供应商在货物验收时由采购人对照采购文件的功能目标及技术指标全面核对检验，对所有要求出具的证明文件的原件进行核查，如不符合采购文件的技术需求及要求以及提供虚假承诺的，按相关规定做退货处理及违约处理，成交供应商承担所有责任和费用，采购人保留进一步追究责任的权利。</w:t>
            </w:r>
          </w:p>
          <w:p w:rsidR="006A7654" w:rsidRDefault="006A7654">
            <w:r>
              <w:rPr>
                <w:rFonts w:hint="eastAsia"/>
              </w:rPr>
              <w:t>4、本采购文件的相关要求。</w:t>
            </w:r>
          </w:p>
          <w:p w:rsidR="006A7654" w:rsidRDefault="006A7654">
            <w:r>
              <w:rPr>
                <w:rFonts w:hint="eastAsia"/>
              </w:rPr>
              <w:t>5、国家相关法律、法规、标准和规范等。</w:t>
            </w:r>
          </w:p>
        </w:tc>
        <w:tc>
          <w:tcPr>
            <w:tcW w:w="850" w:type="dxa"/>
          </w:tcPr>
          <w:p w:rsidR="006A7654" w:rsidRDefault="006A7654">
            <w:pPr>
              <w:rPr>
                <w:rFonts w:hint="eastAsia"/>
              </w:rPr>
            </w:pPr>
          </w:p>
        </w:tc>
      </w:tr>
    </w:tbl>
    <w:p w:rsidR="007570AB" w:rsidRDefault="007570AB">
      <w:pPr>
        <w:ind w:firstLineChars="200" w:firstLine="420"/>
      </w:pPr>
    </w:p>
    <w:p w:rsidR="007570AB" w:rsidRDefault="007570AB">
      <w:pPr>
        <w:ind w:firstLineChars="200" w:firstLine="420"/>
      </w:pPr>
    </w:p>
    <w:p w:rsidR="007570AB" w:rsidRDefault="007570AB">
      <w:pPr>
        <w:ind w:firstLineChars="200" w:firstLine="420"/>
      </w:pPr>
    </w:p>
    <w:sectPr w:rsidR="007570AB">
      <w:pgSz w:w="11906" w:h="16838"/>
      <w:pgMar w:top="1383" w:right="856" w:bottom="1383" w:left="85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66E" w:rsidRDefault="00EA366E" w:rsidP="006A7654">
      <w:r>
        <w:separator/>
      </w:r>
    </w:p>
  </w:endnote>
  <w:endnote w:type="continuationSeparator" w:id="0">
    <w:p w:rsidR="00EA366E" w:rsidRDefault="00EA366E" w:rsidP="006A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embedRegular r:id="rId1" w:fontKey="{6F934414-03B7-429F-A263-8E24FB848048}"/>
  </w:font>
  <w:font w:name="Calibri Light">
    <w:panose1 w:val="020F0302020204030204"/>
    <w:charset w:val="00"/>
    <w:family w:val="swiss"/>
    <w:pitch w:val="variable"/>
    <w:sig w:usb0="E4002EFF" w:usb1="C000247B" w:usb2="00000009" w:usb3="00000000" w:csb0="000001FF" w:csb1="00000000"/>
    <w:embedRegular r:id="rId2" w:fontKey="{3CAEC042-E94B-4CB0-8F59-2246ABAE5A7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66E" w:rsidRDefault="00EA366E" w:rsidP="006A7654">
      <w:r>
        <w:separator/>
      </w:r>
    </w:p>
  </w:footnote>
  <w:footnote w:type="continuationSeparator" w:id="0">
    <w:p w:rsidR="00EA366E" w:rsidRDefault="00EA366E" w:rsidP="006A76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kOTYyYzE2Y2IyMDg4MWE4Nzg5MmVjYzhjNTljZGQifQ=="/>
  </w:docVars>
  <w:rsids>
    <w:rsidRoot w:val="00172A27"/>
    <w:rsid w:val="B73D37A3"/>
    <w:rsid w:val="BBF73E33"/>
    <w:rsid w:val="FB6FFF8A"/>
    <w:rsid w:val="FDBEDC01"/>
    <w:rsid w:val="00000AD7"/>
    <w:rsid w:val="000030DB"/>
    <w:rsid w:val="00014931"/>
    <w:rsid w:val="00021F11"/>
    <w:rsid w:val="000272CA"/>
    <w:rsid w:val="00027E89"/>
    <w:rsid w:val="00030E38"/>
    <w:rsid w:val="00034170"/>
    <w:rsid w:val="0005097B"/>
    <w:rsid w:val="000666B4"/>
    <w:rsid w:val="00072352"/>
    <w:rsid w:val="000725CC"/>
    <w:rsid w:val="00090667"/>
    <w:rsid w:val="000A47D9"/>
    <w:rsid w:val="000B719F"/>
    <w:rsid w:val="000B7943"/>
    <w:rsid w:val="000D2B3B"/>
    <w:rsid w:val="001007E6"/>
    <w:rsid w:val="00112F3C"/>
    <w:rsid w:val="00114456"/>
    <w:rsid w:val="001222DC"/>
    <w:rsid w:val="00131CF8"/>
    <w:rsid w:val="001328AC"/>
    <w:rsid w:val="0013511C"/>
    <w:rsid w:val="001516C9"/>
    <w:rsid w:val="0017023A"/>
    <w:rsid w:val="00172A27"/>
    <w:rsid w:val="001A6D3C"/>
    <w:rsid w:val="001B25C3"/>
    <w:rsid w:val="001D19CF"/>
    <w:rsid w:val="001F5E03"/>
    <w:rsid w:val="002074A0"/>
    <w:rsid w:val="00211C80"/>
    <w:rsid w:val="0022259A"/>
    <w:rsid w:val="00224C97"/>
    <w:rsid w:val="00232B93"/>
    <w:rsid w:val="002553A9"/>
    <w:rsid w:val="002601CC"/>
    <w:rsid w:val="002606B8"/>
    <w:rsid w:val="00262C5C"/>
    <w:rsid w:val="0026469F"/>
    <w:rsid w:val="00286332"/>
    <w:rsid w:val="002926F5"/>
    <w:rsid w:val="0029578B"/>
    <w:rsid w:val="002A2705"/>
    <w:rsid w:val="002A398A"/>
    <w:rsid w:val="002B2D64"/>
    <w:rsid w:val="002C0050"/>
    <w:rsid w:val="002C4A08"/>
    <w:rsid w:val="002C4A50"/>
    <w:rsid w:val="002D394E"/>
    <w:rsid w:val="002E0013"/>
    <w:rsid w:val="002F569C"/>
    <w:rsid w:val="002F5B69"/>
    <w:rsid w:val="00306F7C"/>
    <w:rsid w:val="003110F6"/>
    <w:rsid w:val="00316DD5"/>
    <w:rsid w:val="00321310"/>
    <w:rsid w:val="00322FD5"/>
    <w:rsid w:val="00327B0F"/>
    <w:rsid w:val="00327E7D"/>
    <w:rsid w:val="00340954"/>
    <w:rsid w:val="00346885"/>
    <w:rsid w:val="003562A0"/>
    <w:rsid w:val="003571F2"/>
    <w:rsid w:val="00361538"/>
    <w:rsid w:val="00391AC9"/>
    <w:rsid w:val="00392D27"/>
    <w:rsid w:val="003A2C18"/>
    <w:rsid w:val="003B1C5F"/>
    <w:rsid w:val="003B62B6"/>
    <w:rsid w:val="003C08C9"/>
    <w:rsid w:val="003C7A54"/>
    <w:rsid w:val="003F20C1"/>
    <w:rsid w:val="00412461"/>
    <w:rsid w:val="00417FA0"/>
    <w:rsid w:val="00423668"/>
    <w:rsid w:val="00437983"/>
    <w:rsid w:val="0044246F"/>
    <w:rsid w:val="004468B8"/>
    <w:rsid w:val="00446C18"/>
    <w:rsid w:val="0045466E"/>
    <w:rsid w:val="004807FC"/>
    <w:rsid w:val="00487260"/>
    <w:rsid w:val="00491195"/>
    <w:rsid w:val="004A2E95"/>
    <w:rsid w:val="004C34E6"/>
    <w:rsid w:val="004D2B9B"/>
    <w:rsid w:val="004F7E1E"/>
    <w:rsid w:val="0050462D"/>
    <w:rsid w:val="00514C63"/>
    <w:rsid w:val="00516D1F"/>
    <w:rsid w:val="00526708"/>
    <w:rsid w:val="0053744F"/>
    <w:rsid w:val="00537897"/>
    <w:rsid w:val="005441D7"/>
    <w:rsid w:val="00547FB7"/>
    <w:rsid w:val="005737A0"/>
    <w:rsid w:val="00583E93"/>
    <w:rsid w:val="005932B6"/>
    <w:rsid w:val="005B40BB"/>
    <w:rsid w:val="005B69C4"/>
    <w:rsid w:val="005C5828"/>
    <w:rsid w:val="005D13B1"/>
    <w:rsid w:val="005D5059"/>
    <w:rsid w:val="005E7F74"/>
    <w:rsid w:val="005F57E8"/>
    <w:rsid w:val="006102CF"/>
    <w:rsid w:val="006215F5"/>
    <w:rsid w:val="006222FB"/>
    <w:rsid w:val="0064391E"/>
    <w:rsid w:val="006634AC"/>
    <w:rsid w:val="006A7654"/>
    <w:rsid w:val="006A7B1F"/>
    <w:rsid w:val="006E6887"/>
    <w:rsid w:val="006F25E9"/>
    <w:rsid w:val="007047C0"/>
    <w:rsid w:val="007251AB"/>
    <w:rsid w:val="00732E78"/>
    <w:rsid w:val="007374A5"/>
    <w:rsid w:val="00744A71"/>
    <w:rsid w:val="00745D3A"/>
    <w:rsid w:val="007570AB"/>
    <w:rsid w:val="00773E21"/>
    <w:rsid w:val="007862AB"/>
    <w:rsid w:val="007918ED"/>
    <w:rsid w:val="00791D66"/>
    <w:rsid w:val="007B0EF4"/>
    <w:rsid w:val="007C5E14"/>
    <w:rsid w:val="007D2B8D"/>
    <w:rsid w:val="007D625C"/>
    <w:rsid w:val="007E3994"/>
    <w:rsid w:val="00816F2D"/>
    <w:rsid w:val="0081723C"/>
    <w:rsid w:val="00824492"/>
    <w:rsid w:val="00832786"/>
    <w:rsid w:val="00832FED"/>
    <w:rsid w:val="00847814"/>
    <w:rsid w:val="008511F2"/>
    <w:rsid w:val="00853EAC"/>
    <w:rsid w:val="00861446"/>
    <w:rsid w:val="008641CB"/>
    <w:rsid w:val="00867A37"/>
    <w:rsid w:val="00867C08"/>
    <w:rsid w:val="00895C45"/>
    <w:rsid w:val="008967C4"/>
    <w:rsid w:val="008A438B"/>
    <w:rsid w:val="008B662A"/>
    <w:rsid w:val="008C20E7"/>
    <w:rsid w:val="008C4B85"/>
    <w:rsid w:val="008D36D8"/>
    <w:rsid w:val="008E2594"/>
    <w:rsid w:val="008E34FA"/>
    <w:rsid w:val="008F4737"/>
    <w:rsid w:val="008F4FEF"/>
    <w:rsid w:val="00945B43"/>
    <w:rsid w:val="009520C1"/>
    <w:rsid w:val="0097676A"/>
    <w:rsid w:val="0098142C"/>
    <w:rsid w:val="00983B45"/>
    <w:rsid w:val="00987BF1"/>
    <w:rsid w:val="00996863"/>
    <w:rsid w:val="009B2A0A"/>
    <w:rsid w:val="009D2688"/>
    <w:rsid w:val="009D518F"/>
    <w:rsid w:val="009E5415"/>
    <w:rsid w:val="009E6024"/>
    <w:rsid w:val="009E6B6A"/>
    <w:rsid w:val="00A007ED"/>
    <w:rsid w:val="00A06F3A"/>
    <w:rsid w:val="00A57896"/>
    <w:rsid w:val="00A70D94"/>
    <w:rsid w:val="00A85C8E"/>
    <w:rsid w:val="00AA2C8D"/>
    <w:rsid w:val="00AB6EA5"/>
    <w:rsid w:val="00AC3844"/>
    <w:rsid w:val="00AC653B"/>
    <w:rsid w:val="00AC7C31"/>
    <w:rsid w:val="00AD0CCB"/>
    <w:rsid w:val="00B063E5"/>
    <w:rsid w:val="00B613C1"/>
    <w:rsid w:val="00B77F93"/>
    <w:rsid w:val="00BB7EBF"/>
    <w:rsid w:val="00BC79D5"/>
    <w:rsid w:val="00BE2BB7"/>
    <w:rsid w:val="00BE547E"/>
    <w:rsid w:val="00BE598B"/>
    <w:rsid w:val="00C015BC"/>
    <w:rsid w:val="00C07BBD"/>
    <w:rsid w:val="00C12892"/>
    <w:rsid w:val="00C71BF5"/>
    <w:rsid w:val="00C76B52"/>
    <w:rsid w:val="00C84B0C"/>
    <w:rsid w:val="00C866B2"/>
    <w:rsid w:val="00C9447D"/>
    <w:rsid w:val="00CA658C"/>
    <w:rsid w:val="00CE2F92"/>
    <w:rsid w:val="00D1731B"/>
    <w:rsid w:val="00D32646"/>
    <w:rsid w:val="00D41972"/>
    <w:rsid w:val="00D54A31"/>
    <w:rsid w:val="00D62D1B"/>
    <w:rsid w:val="00D849DB"/>
    <w:rsid w:val="00D86BD4"/>
    <w:rsid w:val="00DA0407"/>
    <w:rsid w:val="00DD735E"/>
    <w:rsid w:val="00DE2B50"/>
    <w:rsid w:val="00DE657E"/>
    <w:rsid w:val="00DF56E8"/>
    <w:rsid w:val="00E5563A"/>
    <w:rsid w:val="00E60F2D"/>
    <w:rsid w:val="00E63027"/>
    <w:rsid w:val="00E71D6E"/>
    <w:rsid w:val="00E74DE8"/>
    <w:rsid w:val="00E767A0"/>
    <w:rsid w:val="00E81E20"/>
    <w:rsid w:val="00E87F54"/>
    <w:rsid w:val="00E94061"/>
    <w:rsid w:val="00EA366E"/>
    <w:rsid w:val="00EA5B85"/>
    <w:rsid w:val="00EC5202"/>
    <w:rsid w:val="00ED2A07"/>
    <w:rsid w:val="00F06467"/>
    <w:rsid w:val="00F06853"/>
    <w:rsid w:val="00F275FA"/>
    <w:rsid w:val="00F5306F"/>
    <w:rsid w:val="00F541F6"/>
    <w:rsid w:val="00F637D4"/>
    <w:rsid w:val="00F760E8"/>
    <w:rsid w:val="00F87D58"/>
    <w:rsid w:val="00FA22B9"/>
    <w:rsid w:val="00FB35EE"/>
    <w:rsid w:val="00FB5273"/>
    <w:rsid w:val="00FD5FA5"/>
    <w:rsid w:val="00FF59C8"/>
    <w:rsid w:val="0280514D"/>
    <w:rsid w:val="043264F0"/>
    <w:rsid w:val="061B743D"/>
    <w:rsid w:val="095E0F08"/>
    <w:rsid w:val="09CD77D5"/>
    <w:rsid w:val="09F9298F"/>
    <w:rsid w:val="0BC33EB3"/>
    <w:rsid w:val="0DAD4E1B"/>
    <w:rsid w:val="0DFA0F36"/>
    <w:rsid w:val="0E0B1616"/>
    <w:rsid w:val="0FEF11DA"/>
    <w:rsid w:val="106942C8"/>
    <w:rsid w:val="10C37970"/>
    <w:rsid w:val="11814125"/>
    <w:rsid w:val="11877731"/>
    <w:rsid w:val="11C91F54"/>
    <w:rsid w:val="14785D3D"/>
    <w:rsid w:val="14E8498B"/>
    <w:rsid w:val="14EA425F"/>
    <w:rsid w:val="16B735D9"/>
    <w:rsid w:val="189C42BE"/>
    <w:rsid w:val="18A5156F"/>
    <w:rsid w:val="1B371369"/>
    <w:rsid w:val="1DA260EA"/>
    <w:rsid w:val="1DBE3736"/>
    <w:rsid w:val="1EAB5F5C"/>
    <w:rsid w:val="210E2A6B"/>
    <w:rsid w:val="21F425D5"/>
    <w:rsid w:val="220E0467"/>
    <w:rsid w:val="229B303C"/>
    <w:rsid w:val="2591399B"/>
    <w:rsid w:val="2746568D"/>
    <w:rsid w:val="27B74537"/>
    <w:rsid w:val="28E27C74"/>
    <w:rsid w:val="2BB65EE6"/>
    <w:rsid w:val="2F6A44C2"/>
    <w:rsid w:val="30215EEB"/>
    <w:rsid w:val="30461688"/>
    <w:rsid w:val="314B6F3E"/>
    <w:rsid w:val="31CF2D03"/>
    <w:rsid w:val="3247012F"/>
    <w:rsid w:val="32DC6207"/>
    <w:rsid w:val="342C40ED"/>
    <w:rsid w:val="35EF74CF"/>
    <w:rsid w:val="363E3FB3"/>
    <w:rsid w:val="37492540"/>
    <w:rsid w:val="377023F0"/>
    <w:rsid w:val="3839283F"/>
    <w:rsid w:val="38431030"/>
    <w:rsid w:val="3A807166"/>
    <w:rsid w:val="3BAD0D3C"/>
    <w:rsid w:val="3BE5163D"/>
    <w:rsid w:val="3D833771"/>
    <w:rsid w:val="3F2D09BE"/>
    <w:rsid w:val="3F5B0729"/>
    <w:rsid w:val="3F856F1C"/>
    <w:rsid w:val="3FEB16FB"/>
    <w:rsid w:val="3FF878C8"/>
    <w:rsid w:val="417C2414"/>
    <w:rsid w:val="447E6B7C"/>
    <w:rsid w:val="44925BF6"/>
    <w:rsid w:val="449B1E09"/>
    <w:rsid w:val="44ED07E8"/>
    <w:rsid w:val="469C1DF3"/>
    <w:rsid w:val="4CC7713D"/>
    <w:rsid w:val="4FDB081A"/>
    <w:rsid w:val="50A37FE9"/>
    <w:rsid w:val="515F2707"/>
    <w:rsid w:val="54110EE1"/>
    <w:rsid w:val="5D5E4DB7"/>
    <w:rsid w:val="60B7748C"/>
    <w:rsid w:val="6440015C"/>
    <w:rsid w:val="6551032A"/>
    <w:rsid w:val="664A237C"/>
    <w:rsid w:val="686E6FA5"/>
    <w:rsid w:val="6A822DCF"/>
    <w:rsid w:val="6CA102C8"/>
    <w:rsid w:val="6E151C29"/>
    <w:rsid w:val="6E1B63AC"/>
    <w:rsid w:val="6F772BAA"/>
    <w:rsid w:val="6F8A6DAC"/>
    <w:rsid w:val="71687B36"/>
    <w:rsid w:val="71B8613A"/>
    <w:rsid w:val="77EE2C1A"/>
    <w:rsid w:val="79FE61B3"/>
    <w:rsid w:val="7A6C06BC"/>
    <w:rsid w:val="7BD5078E"/>
    <w:rsid w:val="7D9F0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C1D5A50-86FA-4B70-81F8-22E29D7A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annotation text" w:uiPriority="99" w:qFormat="1"/>
    <w:lsdException w:name="header" w:qFormat="1"/>
    <w:lsdException w:name="footer" w:qFormat="1"/>
    <w:lsdException w:name="caption" w:semiHidden="1" w:unhideWhenUsed="1" w:qFormat="1"/>
    <w:lsdException w:name="annotation reference" w:uiPriority="99" w:unhideWhenUsed="1" w:qFormat="1"/>
    <w:lsdException w:name="toa heading" w:qFormat="1"/>
    <w:lsdException w:name="Title" w:qFormat="1"/>
    <w:lsdException w:name="Default Paragraph Font" w:semiHidden="1" w:uiPriority="1" w:unhideWhenUsed="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宋体" w:hAnsi="宋体" w:cs="宋体"/>
      <w:kern w:val="2"/>
      <w:sz w:val="21"/>
      <w:szCs w:val="21"/>
    </w:rPr>
  </w:style>
  <w:style w:type="paragraph" w:styleId="1">
    <w:name w:val="heading 1"/>
    <w:basedOn w:val="a"/>
    <w:next w:val="a"/>
    <w:link w:val="1Char"/>
    <w:qFormat/>
    <w:pPr>
      <w:keepNext/>
      <w:keepLines/>
      <w:spacing w:before="340" w:after="330" w:line="576" w:lineRule="auto"/>
      <w:jc w:val="center"/>
      <w:outlineLvl w:val="0"/>
    </w:pPr>
    <w:rPr>
      <w:rFonts w:ascii="Times New Roman" w:eastAsia="仿宋" w:hAnsi="Times New Roman" w:cs="Times New Roman"/>
      <w:b/>
      <w:kern w:val="44"/>
      <w:sz w:val="36"/>
    </w:rPr>
  </w:style>
  <w:style w:type="paragraph" w:styleId="2">
    <w:name w:val="heading 2"/>
    <w:basedOn w:val="a"/>
    <w:next w:val="a"/>
    <w:link w:val="2Char"/>
    <w:semiHidden/>
    <w:unhideWhenUsed/>
    <w:qFormat/>
    <w:pPr>
      <w:keepNext/>
      <w:keepLines/>
      <w:spacing w:before="260" w:after="260" w:line="413" w:lineRule="auto"/>
      <w:jc w:val="center"/>
      <w:outlineLvl w:val="1"/>
    </w:pPr>
    <w:rPr>
      <w:rFonts w:ascii="Arial" w:hAnsi="Arial" w:cs="Times New Roman"/>
      <w:b/>
      <w:sz w:val="30"/>
    </w:rPr>
  </w:style>
  <w:style w:type="paragraph" w:styleId="3">
    <w:name w:val="heading 3"/>
    <w:basedOn w:val="a"/>
    <w:next w:val="a"/>
    <w:semiHidden/>
    <w:unhideWhenUsed/>
    <w:qFormat/>
    <w:pPr>
      <w:keepNext/>
      <w:keepLines/>
      <w:spacing w:before="260" w:after="260" w:line="413" w:lineRule="auto"/>
      <w:jc w:val="center"/>
      <w:outlineLvl w:val="2"/>
    </w:pPr>
    <w:rPr>
      <w:rFonts w:ascii="Times New Roman" w:eastAsia="仿宋" w:hAnsi="Times New Roman" w:cs="Times New Roman"/>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oa heading"/>
    <w:basedOn w:val="a"/>
    <w:next w:val="a"/>
    <w:qFormat/>
    <w:pPr>
      <w:spacing w:before="120"/>
      <w:ind w:firstLineChars="200" w:firstLine="480"/>
    </w:pPr>
    <w:rPr>
      <w:rFonts w:ascii="Arial" w:hAnsi="Arial"/>
    </w:rPr>
  </w:style>
  <w:style w:type="paragraph" w:styleId="a4">
    <w:name w:val="annotation text"/>
    <w:basedOn w:val="a"/>
    <w:link w:val="Char"/>
    <w:uiPriority w:val="99"/>
    <w:qFormat/>
    <w:pPr>
      <w:jc w:val="left"/>
    </w:pPr>
  </w:style>
  <w:style w:type="paragraph" w:styleId="a5">
    <w:name w:val="Body Text"/>
    <w:basedOn w:val="a"/>
    <w:next w:val="a"/>
    <w:qFormat/>
    <w:rPr>
      <w:rFonts w:ascii="仿宋_GB2312" w:eastAsia="仿宋_GB2312"/>
      <w:sz w:val="32"/>
    </w:rPr>
  </w:style>
  <w:style w:type="paragraph" w:styleId="a6">
    <w:name w:val="Body Text Indent"/>
    <w:basedOn w:val="a"/>
    <w:uiPriority w:val="99"/>
    <w:unhideWhenUsed/>
    <w:qFormat/>
    <w:pPr>
      <w:spacing w:after="120"/>
      <w:ind w:leftChars="200" w:left="420"/>
    </w:pPr>
  </w:style>
  <w:style w:type="paragraph" w:styleId="a7">
    <w:name w:val="Balloon Text"/>
    <w:basedOn w:val="a"/>
    <w:link w:val="Char0"/>
    <w:qFormat/>
    <w:rPr>
      <w:sz w:val="18"/>
      <w:szCs w:val="18"/>
    </w:rPr>
  </w:style>
  <w:style w:type="paragraph" w:styleId="a8">
    <w:name w:val="footer"/>
    <w:basedOn w:val="a"/>
    <w:link w:val="Char1"/>
    <w:qFormat/>
    <w:pPr>
      <w:tabs>
        <w:tab w:val="center" w:pos="4153"/>
        <w:tab w:val="right" w:pos="8306"/>
      </w:tabs>
      <w:snapToGrid w:val="0"/>
      <w:jc w:val="left"/>
    </w:pPr>
    <w:rPr>
      <w:sz w:val="18"/>
      <w:szCs w:val="18"/>
    </w:rPr>
  </w:style>
  <w:style w:type="paragraph" w:styleId="a9">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Pr>
      <w:rFonts w:ascii="Calibri" w:hAnsi="Calibri" w:cs="Times New Roman"/>
    </w:rPr>
  </w:style>
  <w:style w:type="paragraph" w:styleId="20">
    <w:name w:val="toc 2"/>
    <w:basedOn w:val="a"/>
    <w:next w:val="a"/>
    <w:uiPriority w:val="39"/>
    <w:qFormat/>
    <w:pPr>
      <w:ind w:leftChars="200" w:left="420"/>
    </w:pPr>
    <w:rPr>
      <w:rFonts w:ascii="Calibri" w:hAnsi="Calibri" w:cs="Times New Roman"/>
    </w:rPr>
  </w:style>
  <w:style w:type="paragraph" w:styleId="aa">
    <w:name w:val="Normal (Web)"/>
    <w:basedOn w:val="a"/>
    <w:qFormat/>
    <w:rPr>
      <w:rFonts w:ascii="Times New Roman" w:hAnsi="Times New Roman" w:cs="Times New Roman"/>
      <w:sz w:val="24"/>
      <w:szCs w:val="24"/>
    </w:rPr>
  </w:style>
  <w:style w:type="paragraph" w:styleId="ab">
    <w:name w:val="annotation subject"/>
    <w:basedOn w:val="a4"/>
    <w:next w:val="a4"/>
    <w:link w:val="Char3"/>
    <w:qFormat/>
    <w:rPr>
      <w:b/>
      <w:bCs/>
    </w:rPr>
  </w:style>
  <w:style w:type="paragraph" w:styleId="ac">
    <w:name w:val="Body Text First Indent"/>
    <w:basedOn w:val="a5"/>
    <w:qFormat/>
    <w:pPr>
      <w:ind w:left="138" w:firstLineChars="100" w:firstLine="420"/>
    </w:pPr>
    <w:rPr>
      <w:rFonts w:ascii="宋体"/>
      <w:sz w:val="28"/>
    </w:rPr>
  </w:style>
  <w:style w:type="paragraph" w:styleId="21">
    <w:name w:val="Body Text First Indent 2"/>
    <w:basedOn w:val="a6"/>
    <w:next w:val="a"/>
    <w:qFormat/>
    <w:pPr>
      <w:ind w:firstLineChars="200" w:firstLine="420"/>
    </w:pPr>
  </w:style>
  <w:style w:type="table" w:styleId="ad">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uiPriority w:val="99"/>
    <w:unhideWhenUsed/>
    <w:qFormat/>
    <w:rPr>
      <w:sz w:val="21"/>
      <w:szCs w:val="21"/>
    </w:rPr>
  </w:style>
  <w:style w:type="character" w:customStyle="1" w:styleId="1Char">
    <w:name w:val="标题 1 Char"/>
    <w:link w:val="1"/>
    <w:qFormat/>
    <w:rPr>
      <w:rFonts w:ascii="Times New Roman" w:eastAsia="仿宋" w:hAnsi="Times New Roman" w:cs="Times New Roman"/>
      <w:b/>
      <w:kern w:val="44"/>
      <w:sz w:val="36"/>
    </w:rPr>
  </w:style>
  <w:style w:type="character" w:customStyle="1" w:styleId="2Char">
    <w:name w:val="标题 2 Char"/>
    <w:link w:val="2"/>
    <w:qFormat/>
    <w:rPr>
      <w:rFonts w:ascii="Arial" w:eastAsia="宋体" w:hAnsi="Arial" w:cs="Times New Roman"/>
      <w:b/>
      <w:sz w:val="30"/>
    </w:rPr>
  </w:style>
  <w:style w:type="paragraph" w:customStyle="1" w:styleId="Default">
    <w:name w:val="Default"/>
    <w:qFormat/>
    <w:pPr>
      <w:widowControl w:val="0"/>
      <w:autoSpaceDE w:val="0"/>
      <w:autoSpaceDN w:val="0"/>
      <w:adjustRightInd w:val="0"/>
      <w:spacing w:line="260" w:lineRule="atLeast"/>
    </w:pPr>
    <w:rPr>
      <w:rFonts w:ascii="仿宋_GB2312" w:eastAsia="仿宋_GB2312" w:hAnsi="Calibri" w:cs="仿宋_GB2312"/>
      <w:color w:val="000000"/>
      <w:sz w:val="24"/>
      <w:szCs w:val="24"/>
    </w:rPr>
  </w:style>
  <w:style w:type="paragraph" w:styleId="af">
    <w:name w:val="List Paragraph"/>
    <w:basedOn w:val="a"/>
    <w:uiPriority w:val="34"/>
    <w:qFormat/>
    <w:pPr>
      <w:ind w:firstLineChars="200" w:firstLine="420"/>
    </w:pPr>
    <w:rPr>
      <w:rFonts w:ascii="Calibri" w:hAnsi="Calibri"/>
      <w:szCs w:val="22"/>
    </w:rPr>
  </w:style>
  <w:style w:type="paragraph" w:customStyle="1" w:styleId="11">
    <w:name w:val="无间隔1"/>
    <w:uiPriority w:val="1"/>
    <w:qFormat/>
    <w:rPr>
      <w:rFonts w:ascii="Calibri" w:hAnsi="Calibri"/>
      <w:sz w:val="22"/>
      <w:szCs w:val="22"/>
      <w:lang w:eastAsia="en-US" w:bidi="en-US"/>
    </w:rPr>
  </w:style>
  <w:style w:type="character" w:customStyle="1" w:styleId="Char2">
    <w:name w:val="页眉 Char"/>
    <w:basedOn w:val="a0"/>
    <w:link w:val="a9"/>
    <w:qFormat/>
    <w:rPr>
      <w:kern w:val="2"/>
      <w:sz w:val="18"/>
      <w:szCs w:val="18"/>
    </w:rPr>
  </w:style>
  <w:style w:type="character" w:customStyle="1" w:styleId="Char1">
    <w:name w:val="页脚 Char"/>
    <w:basedOn w:val="a0"/>
    <w:link w:val="a8"/>
    <w:qFormat/>
    <w:rPr>
      <w:kern w:val="2"/>
      <w:sz w:val="18"/>
      <w:szCs w:val="18"/>
    </w:rPr>
  </w:style>
  <w:style w:type="character" w:customStyle="1" w:styleId="Char">
    <w:name w:val="批注文字 Char"/>
    <w:basedOn w:val="a0"/>
    <w:link w:val="a4"/>
    <w:uiPriority w:val="99"/>
    <w:qFormat/>
    <w:rPr>
      <w:kern w:val="2"/>
      <w:sz w:val="21"/>
      <w:szCs w:val="24"/>
    </w:rPr>
  </w:style>
  <w:style w:type="character" w:customStyle="1" w:styleId="Char3">
    <w:name w:val="批注主题 Char"/>
    <w:basedOn w:val="Char"/>
    <w:link w:val="ab"/>
    <w:qFormat/>
    <w:rPr>
      <w:b/>
      <w:bCs/>
      <w:kern w:val="2"/>
      <w:sz w:val="21"/>
      <w:szCs w:val="24"/>
    </w:rPr>
  </w:style>
  <w:style w:type="character" w:customStyle="1" w:styleId="Char0">
    <w:name w:val="批注框文本 Char"/>
    <w:basedOn w:val="a0"/>
    <w:link w:val="a7"/>
    <w:qFormat/>
    <w:rPr>
      <w:kern w:val="2"/>
      <w:sz w:val="18"/>
      <w:szCs w:val="18"/>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F28E2-B9F0-4002-8F41-A97A43A15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310</Words>
  <Characters>1769</Characters>
  <Application>Microsoft Office Word</Application>
  <DocSecurity>0</DocSecurity>
  <Lines>14</Lines>
  <Paragraphs>4</Paragraphs>
  <ScaleCrop>false</ScaleCrop>
  <Company>Organization</Company>
  <LinksUpToDate>false</LinksUpToDate>
  <CharactersWithSpaces>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 C</dc:creator>
  <cp:lastModifiedBy>卓回明</cp:lastModifiedBy>
  <cp:revision>29</cp:revision>
  <cp:lastPrinted>2024-06-18T16:50:00Z</cp:lastPrinted>
  <dcterms:created xsi:type="dcterms:W3CDTF">2026-05-07T14:18:00Z</dcterms:created>
  <dcterms:modified xsi:type="dcterms:W3CDTF">2026-07-13T12:29:00Z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3566B2D54DCE432AAE78001DE4D03DA0_13</vt:lpwstr>
  </property>
  <property fmtid="{D5CDD505-2E9C-101B-9397-08002B2CF9AE}" pid="4" name="KSOTemplateDocerSaveRecord">
    <vt:lpwstr>eyJoZGlkIjoiZGNmNGQ5ZTJhMjMwYmM1ZmY1OWM0MmFmMzhmYTQzN2YiLCJ1c2VySWQiOiIzNzY2MzU5MTMifQ==</vt:lpwstr>
  </property>
</Properties>
</file>