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37B9C6">
      <w:pPr>
        <w:jc w:val="center"/>
        <w:rPr>
          <w:rFonts w:hint="default" w:ascii="方正小标宋简体" w:hAnsi="方正小标宋简体" w:eastAsia="方正小标宋简体" w:cs="方正小标宋简体"/>
          <w:bCs/>
          <w:sz w:val="36"/>
          <w:szCs w:val="36"/>
          <w:lang w:val="en-US" w:eastAsia="zh-CN" w:bidi="ar"/>
        </w:rPr>
      </w:pPr>
      <w:r>
        <w:rPr>
          <w:rFonts w:hint="eastAsia" w:ascii="方正小标宋简体" w:hAnsi="方正小标宋简体" w:eastAsia="方正小标宋简体" w:cs="方正小标宋简体"/>
          <w:bCs/>
          <w:sz w:val="36"/>
          <w:szCs w:val="36"/>
          <w:lang w:val="en-US" w:eastAsia="zh-CN" w:bidi="ar"/>
        </w:rPr>
        <w:t>建政校区教学楼课桌椅采购项目</w:t>
      </w:r>
      <w:bookmarkStart w:id="41" w:name="_GoBack"/>
      <w:bookmarkEnd w:id="41"/>
    </w:p>
    <w:p w14:paraId="2D8BF182">
      <w:pPr>
        <w:rPr>
          <w:rFonts w:ascii="仿宋" w:hAnsi="仿宋" w:eastAsia="仿宋" w:cs="仿宋"/>
        </w:rPr>
      </w:pPr>
      <w:r>
        <w:rPr>
          <w:rFonts w:hint="eastAsia" w:ascii="仿宋" w:hAnsi="仿宋" w:eastAsia="仿宋" w:cs="仿宋"/>
        </w:rPr>
        <w:t>一、报价要求:</w:t>
      </w:r>
    </w:p>
    <w:p w14:paraId="222EA177">
      <w:pPr>
        <w:rPr>
          <w:rFonts w:ascii="仿宋" w:hAnsi="仿宋" w:eastAsia="仿宋" w:cs="仿宋"/>
        </w:rPr>
      </w:pPr>
      <w:r>
        <w:rPr>
          <w:rFonts w:hint="eastAsia" w:ascii="仿宋" w:hAnsi="仿宋" w:eastAsia="仿宋" w:cs="仿宋"/>
        </w:rPr>
        <w:t>1、竞标人在竞价时参考响应文件格式上传报价清单附件，清单中必须明确写明品牌、型号、技术参数、数量、单位、单价及金额，各分项报价不得高于分项单价控制价，否则视为无效报价。</w:t>
      </w:r>
    </w:p>
    <w:p w14:paraId="324FF0D9">
      <w:pPr>
        <w:rPr>
          <w:rFonts w:ascii="仿宋" w:hAnsi="仿宋" w:eastAsia="仿宋" w:cs="仿宋"/>
        </w:rPr>
      </w:pPr>
      <w:r>
        <w:rPr>
          <w:rFonts w:hint="eastAsia" w:ascii="仿宋" w:hAnsi="仿宋" w:eastAsia="仿宋" w:cs="仿宋"/>
        </w:rPr>
        <w:t>2、竞标人必须认真审核竞价文件所有要求，若发现竞标人存在未实质性响应采购文件行为，将视为无效竞价处理;如明知不满足采购文件对于品牌、型号、单位资质等要求而进行恶意竞争的，或因竞标人虚假竞标导致竞标无效造成的工期延误及损失，将根据《政采云平台电子卖场权益维护及纠纷处理规则》的规定报有关部门处理，并在政采云平台列为失信供应商记录备案。</w:t>
      </w:r>
    </w:p>
    <w:p w14:paraId="61E57E83">
      <w:pPr>
        <w:rPr>
          <w:rFonts w:ascii="仿宋" w:hAnsi="仿宋" w:eastAsia="仿宋" w:cs="仿宋"/>
        </w:rPr>
      </w:pPr>
      <w:r>
        <w:rPr>
          <w:rFonts w:hint="eastAsia" w:ascii="仿宋" w:hAnsi="仿宋" w:eastAsia="仿宋" w:cs="仿宋"/>
        </w:rPr>
        <w:t>二、采购服务技术要求及商务要求：</w:t>
      </w:r>
    </w:p>
    <w:p w14:paraId="126272A4">
      <w:pPr>
        <w:jc w:val="center"/>
        <w:rPr>
          <w:rFonts w:ascii="仿宋_GB2312" w:hAnsi="宋体" w:eastAsia="仿宋_GB2312"/>
          <w:b/>
          <w:sz w:val="30"/>
          <w:szCs w:val="30"/>
        </w:rPr>
      </w:pPr>
      <w:bookmarkStart w:id="0" w:name="需求"/>
      <w:r>
        <w:rPr>
          <w:rFonts w:hint="eastAsia" w:ascii="仿宋_GB2312" w:hAnsi="宋体" w:eastAsia="仿宋_GB2312"/>
          <w:b/>
          <w:sz w:val="30"/>
          <w:szCs w:val="30"/>
          <w:lang w:val="en-US" w:eastAsia="zh-CN"/>
        </w:rPr>
        <w:t>课桌椅</w:t>
      </w:r>
      <w:r>
        <w:rPr>
          <w:rFonts w:hint="eastAsia" w:ascii="仿宋_GB2312" w:hAnsi="宋体" w:eastAsia="仿宋_GB2312"/>
          <w:b/>
          <w:sz w:val="30"/>
          <w:szCs w:val="30"/>
        </w:rPr>
        <w:t>采购采购项目需求</w:t>
      </w:r>
      <w:bookmarkEnd w:id="0"/>
      <w:r>
        <w:rPr>
          <w:rFonts w:hint="eastAsia" w:ascii="仿宋_GB2312" w:hAnsi="宋体" w:eastAsia="仿宋_GB2312"/>
          <w:b/>
          <w:sz w:val="30"/>
          <w:szCs w:val="30"/>
        </w:rPr>
        <w:t>一览表</w:t>
      </w:r>
    </w:p>
    <w:tbl>
      <w:tblPr>
        <w:tblStyle w:val="12"/>
        <w:tblW w:w="1127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78"/>
        <w:gridCol w:w="800"/>
        <w:gridCol w:w="471"/>
        <w:gridCol w:w="269"/>
        <w:gridCol w:w="368"/>
        <w:gridCol w:w="292"/>
        <w:gridCol w:w="600"/>
        <w:gridCol w:w="6800"/>
        <w:gridCol w:w="528"/>
        <w:gridCol w:w="670"/>
      </w:tblGrid>
      <w:tr w14:paraId="5390FF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99" w:hRule="atLeast"/>
          <w:jc w:val="center"/>
        </w:trPr>
        <w:tc>
          <w:tcPr>
            <w:tcW w:w="478" w:type="dxa"/>
            <w:vAlign w:val="center"/>
          </w:tcPr>
          <w:p w14:paraId="4DE66886">
            <w:pPr>
              <w:spacing w:line="400" w:lineRule="exact"/>
              <w:jc w:val="center"/>
              <w:rPr>
                <w:rFonts w:ascii="仿宋_GB2312" w:eastAsia="仿宋_GB2312"/>
              </w:rPr>
            </w:pPr>
            <w:r>
              <w:rPr>
                <w:rFonts w:hint="eastAsia" w:ascii="仿宋_GB2312" w:eastAsia="仿宋_GB2312"/>
              </w:rPr>
              <w:t>序号</w:t>
            </w:r>
          </w:p>
        </w:tc>
        <w:tc>
          <w:tcPr>
            <w:tcW w:w="800" w:type="dxa"/>
            <w:vAlign w:val="center"/>
          </w:tcPr>
          <w:p w14:paraId="6B1A4EB2">
            <w:pPr>
              <w:spacing w:line="400" w:lineRule="exact"/>
              <w:jc w:val="center"/>
              <w:rPr>
                <w:rFonts w:ascii="仿宋_GB2312" w:eastAsia="仿宋_GB2312"/>
              </w:rPr>
            </w:pPr>
            <w:r>
              <w:rPr>
                <w:rFonts w:hint="eastAsia" w:ascii="仿宋_GB2312" w:eastAsia="仿宋_GB2312"/>
              </w:rPr>
              <w:t>货物名称</w:t>
            </w:r>
          </w:p>
        </w:tc>
        <w:tc>
          <w:tcPr>
            <w:tcW w:w="740" w:type="dxa"/>
            <w:gridSpan w:val="2"/>
            <w:vAlign w:val="center"/>
          </w:tcPr>
          <w:p w14:paraId="311C3E60">
            <w:pPr>
              <w:spacing w:line="400" w:lineRule="exact"/>
              <w:rPr>
                <w:rFonts w:ascii="仿宋_GB2312" w:eastAsia="仿宋_GB2312"/>
              </w:rPr>
            </w:pPr>
            <w:r>
              <w:rPr>
                <w:rFonts w:hint="eastAsia" w:ascii="仿宋_GB2312" w:eastAsia="仿宋_GB2312"/>
              </w:rPr>
              <w:t>参考品牌</w:t>
            </w:r>
          </w:p>
        </w:tc>
        <w:tc>
          <w:tcPr>
            <w:tcW w:w="660" w:type="dxa"/>
            <w:gridSpan w:val="2"/>
            <w:vAlign w:val="center"/>
          </w:tcPr>
          <w:p w14:paraId="37871F6A">
            <w:pPr>
              <w:spacing w:line="400" w:lineRule="exact"/>
              <w:jc w:val="center"/>
              <w:rPr>
                <w:rFonts w:ascii="仿宋_GB2312" w:eastAsia="仿宋_GB2312"/>
              </w:rPr>
            </w:pPr>
            <w:r>
              <w:rPr>
                <w:rFonts w:hint="eastAsia" w:ascii="仿宋_GB2312" w:eastAsia="仿宋_GB2312"/>
              </w:rPr>
              <w:t>数量</w:t>
            </w:r>
          </w:p>
        </w:tc>
        <w:tc>
          <w:tcPr>
            <w:tcW w:w="600" w:type="dxa"/>
            <w:vAlign w:val="center"/>
          </w:tcPr>
          <w:p w14:paraId="3A25AC06">
            <w:pPr>
              <w:spacing w:line="400" w:lineRule="exact"/>
              <w:jc w:val="center"/>
              <w:rPr>
                <w:rFonts w:ascii="仿宋_GB2312" w:eastAsia="仿宋_GB2312"/>
              </w:rPr>
            </w:pPr>
            <w:r>
              <w:rPr>
                <w:rFonts w:hint="eastAsia" w:ascii="仿宋_GB2312" w:eastAsia="仿宋_GB2312"/>
              </w:rPr>
              <w:t>单位</w:t>
            </w:r>
          </w:p>
        </w:tc>
        <w:tc>
          <w:tcPr>
            <w:tcW w:w="6800" w:type="dxa"/>
            <w:vAlign w:val="center"/>
          </w:tcPr>
          <w:p w14:paraId="3BDD747E">
            <w:pPr>
              <w:spacing w:line="400" w:lineRule="exact"/>
              <w:jc w:val="center"/>
              <w:rPr>
                <w:rFonts w:ascii="仿宋_GB2312" w:eastAsia="仿宋_GB2312"/>
              </w:rPr>
            </w:pPr>
            <w:r>
              <w:rPr>
                <w:rFonts w:hint="eastAsia" w:ascii="宋体" w:hAnsi="宋体"/>
                <w:b/>
                <w:bCs/>
                <w:szCs w:val="24"/>
              </w:rPr>
              <w:t>▲</w:t>
            </w:r>
            <w:r>
              <w:rPr>
                <w:rFonts w:hint="eastAsia" w:ascii="仿宋_GB2312" w:eastAsia="仿宋_GB2312"/>
              </w:rPr>
              <w:t>参数要求</w:t>
            </w:r>
          </w:p>
        </w:tc>
        <w:tc>
          <w:tcPr>
            <w:tcW w:w="1198" w:type="dxa"/>
            <w:gridSpan w:val="2"/>
            <w:vAlign w:val="center"/>
          </w:tcPr>
          <w:p w14:paraId="62B31413">
            <w:pPr>
              <w:spacing w:line="400" w:lineRule="exact"/>
              <w:jc w:val="center"/>
              <w:rPr>
                <w:rFonts w:ascii="仿宋_GB2312" w:eastAsia="仿宋_GB2312"/>
              </w:rPr>
            </w:pPr>
            <w:r>
              <w:rPr>
                <w:rFonts w:hint="eastAsia" w:ascii="仿宋_GB2312" w:eastAsia="仿宋_GB2312"/>
              </w:rPr>
              <w:t>预算控制价（元）</w:t>
            </w:r>
          </w:p>
        </w:tc>
      </w:tr>
      <w:tr w14:paraId="044182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99" w:hRule="atLeast"/>
          <w:jc w:val="center"/>
        </w:trPr>
        <w:tc>
          <w:tcPr>
            <w:tcW w:w="478" w:type="dxa"/>
            <w:vAlign w:val="center"/>
          </w:tcPr>
          <w:p w14:paraId="014765FC">
            <w:pPr>
              <w:spacing w:line="400" w:lineRule="exact"/>
              <w:jc w:val="center"/>
              <w:rPr>
                <w:rFonts w:ascii="仿宋_GB2312" w:eastAsia="仿宋_GB2312"/>
              </w:rPr>
            </w:pPr>
            <w:r>
              <w:rPr>
                <w:rFonts w:hint="eastAsia" w:ascii="仿宋_GB2312" w:eastAsia="仿宋_GB2312"/>
              </w:rPr>
              <w:t>1</w:t>
            </w:r>
          </w:p>
        </w:tc>
        <w:tc>
          <w:tcPr>
            <w:tcW w:w="800" w:type="dxa"/>
            <w:vAlign w:val="center"/>
          </w:tcPr>
          <w:p w14:paraId="3DA5200D">
            <w:pPr>
              <w:spacing w:line="400" w:lineRule="exact"/>
              <w:jc w:val="center"/>
              <w:rPr>
                <w:rFonts w:hint="default"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单柱升降课桌椅</w:t>
            </w:r>
          </w:p>
        </w:tc>
        <w:tc>
          <w:tcPr>
            <w:tcW w:w="740" w:type="dxa"/>
            <w:gridSpan w:val="2"/>
            <w:vAlign w:val="center"/>
          </w:tcPr>
          <w:p w14:paraId="3C46BE9C">
            <w:pPr>
              <w:spacing w:line="400" w:lineRule="exact"/>
              <w:jc w:val="center"/>
              <w:rPr>
                <w:rFonts w:hint="default" w:asciiTheme="minorEastAsia" w:hAnsiTheme="minorEastAsia" w:eastAsiaTheme="minorEastAsia" w:cstheme="minorEastAsia"/>
                <w:lang w:val="en-US" w:eastAsia="zh-CN"/>
              </w:rPr>
            </w:pPr>
            <w:r>
              <w:rPr>
                <w:rFonts w:hint="eastAsia" w:asciiTheme="minorEastAsia" w:hAnsiTheme="minorEastAsia" w:eastAsiaTheme="minorEastAsia" w:cstheme="minorEastAsia"/>
              </w:rPr>
              <w:t>GXMEIKE/邕桂</w:t>
            </w:r>
            <w:r>
              <w:rPr>
                <w:rFonts w:hint="eastAsia" w:asciiTheme="minorEastAsia" w:hAnsiTheme="minorEastAsia" w:eastAsiaTheme="minorEastAsia" w:cstheme="minorEastAsia"/>
                <w:lang w:val="en-US" w:eastAsia="zh-CN"/>
              </w:rPr>
              <w:t>/</w:t>
            </w:r>
            <w:r>
              <w:rPr>
                <w:rFonts w:hint="eastAsia" w:asciiTheme="minorEastAsia" w:hAnsiTheme="minorEastAsia" w:eastAsiaTheme="minorEastAsia" w:cstheme="minorEastAsia"/>
              </w:rPr>
              <w:t>昆仑家叶</w:t>
            </w:r>
          </w:p>
        </w:tc>
        <w:tc>
          <w:tcPr>
            <w:tcW w:w="660" w:type="dxa"/>
            <w:gridSpan w:val="2"/>
            <w:vAlign w:val="center"/>
          </w:tcPr>
          <w:p w14:paraId="03CAF820">
            <w:pPr>
              <w:spacing w:line="400" w:lineRule="exact"/>
              <w:jc w:val="center"/>
              <w:rPr>
                <w:rFonts w:hint="default"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1100</w:t>
            </w:r>
          </w:p>
        </w:tc>
        <w:tc>
          <w:tcPr>
            <w:tcW w:w="600" w:type="dxa"/>
            <w:vAlign w:val="center"/>
          </w:tcPr>
          <w:p w14:paraId="4ED8781E">
            <w:pPr>
              <w:spacing w:line="400" w:lineRule="exact"/>
              <w:jc w:val="center"/>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val="en-US" w:eastAsia="zh-CN"/>
              </w:rPr>
              <w:t>套</w:t>
            </w:r>
          </w:p>
        </w:tc>
        <w:tc>
          <w:tcPr>
            <w:tcW w:w="6800" w:type="dxa"/>
            <w:tcBorders>
              <w:bottom w:val="single" w:color="auto" w:sz="4" w:space="0"/>
            </w:tcBorders>
            <w:vAlign w:val="center"/>
          </w:tcPr>
          <w:p w14:paraId="4C122EB3">
            <w:pPr>
              <w:rPr>
                <w:rFonts w:ascii="宋体" w:hAnsi="宋体" w:cs="宋体"/>
                <w:b/>
                <w:szCs w:val="21"/>
              </w:rPr>
            </w:pPr>
            <w:r>
              <w:rPr>
                <w:rFonts w:hint="eastAsia" w:ascii="宋体" w:hAnsi="宋体" w:cs="宋体"/>
                <w:b/>
                <w:szCs w:val="21"/>
              </w:rPr>
              <w:t>单柱升降课桌椅，每套课桌椅含一张学生课桌和一张学生课椅。</w:t>
            </w:r>
          </w:p>
          <w:p w14:paraId="7CCAAE39">
            <w:pPr>
              <w:spacing w:line="360" w:lineRule="auto"/>
              <w:ind w:firstLine="426" w:firstLineChars="202"/>
              <w:rPr>
                <w:rFonts w:ascii="宋体" w:hAnsi="宋体" w:cs="宋体"/>
                <w:b/>
                <w:szCs w:val="21"/>
              </w:rPr>
            </w:pPr>
            <w:r>
              <w:rPr>
                <w:rFonts w:hint="eastAsia" w:ascii="宋体" w:hAnsi="宋体" w:cs="宋体"/>
                <w:b/>
                <w:szCs w:val="21"/>
              </w:rPr>
              <w:t>一、学生课桌：</w:t>
            </w:r>
          </w:p>
          <w:p w14:paraId="0A6A37EC">
            <w:pPr>
              <w:spacing w:line="360" w:lineRule="auto"/>
              <w:ind w:firstLine="424" w:firstLineChars="202"/>
              <w:rPr>
                <w:rFonts w:ascii="宋体" w:hAnsi="宋体" w:cs="宋体"/>
                <w:szCs w:val="21"/>
              </w:rPr>
            </w:pPr>
            <w:r>
              <w:rPr>
                <w:rFonts w:hint="eastAsia" w:ascii="宋体" w:hAnsi="宋体" w:cs="宋体"/>
                <w:szCs w:val="21"/>
              </w:rPr>
              <w:t>1. 课桌符合GB/T3325-2024《金属家具通用技术条件》，产品检测(验)指标内容包含但不限于：形状和位置公差（包含翘曲度、平整度、位差度、分缝等）、金属件外观性能（包含管材、电镀件、焊接件、冲压件、铸造件、喷塑涂层、合金件等其它金属件）、塑料件（应无裂纹，无明显变形；应无明显缩孔、气泡、杂质、伤痕外表用塑料件表面应光洁，应无划痕、污染、明显色差等）、金属喷涂层（硬度、冲击强度、耐盐浴、附着力）、金属件电镀层抗盐雾、耐冷热循环（无裂痕、开裂、起皱、鼓泡现象）、耐干热≥3级、耐湿热≥3级、耐污染≥3级、耐划痕≤2级、表面耐磨≥3级、耐光色牢度≥4级、抗冲击≥3级、重金属含量、课桌力学性能（桌面垂直静荷载、桌面垂直耐久性、桌面垂直冲击、桌腿跌落、桌面水平静荷载、甲醛释放量≤</w:t>
            </w:r>
            <w:r>
              <w:rPr>
                <w:rFonts w:hint="eastAsia" w:ascii="宋体" w:cs="宋体"/>
                <w:szCs w:val="21"/>
              </w:rPr>
              <w:t>0.0</w:t>
            </w:r>
            <w:r>
              <w:rPr>
                <w:rFonts w:hint="eastAsia" w:ascii="宋体" w:hAnsi="宋体" w:cs="宋体"/>
                <w:szCs w:val="21"/>
              </w:rPr>
              <w:t>8mg/m³、苯≤</w:t>
            </w:r>
            <w:r>
              <w:rPr>
                <w:rFonts w:hint="eastAsia" w:ascii="宋体" w:cs="宋体"/>
                <w:szCs w:val="21"/>
              </w:rPr>
              <w:t>0.0</w:t>
            </w:r>
            <w:r>
              <w:rPr>
                <w:rFonts w:hint="eastAsia" w:ascii="宋体" w:hAnsi="宋体" w:cs="宋体"/>
                <w:szCs w:val="21"/>
              </w:rPr>
              <w:t>6mg/m³、甲苯≤0.15mg/m³、二甲苯≤</w:t>
            </w:r>
            <w:r>
              <w:rPr>
                <w:rFonts w:hint="eastAsia" w:ascii="宋体" w:cs="宋体"/>
                <w:szCs w:val="21"/>
              </w:rPr>
              <w:t>0.</w:t>
            </w:r>
            <w:r>
              <w:rPr>
                <w:rFonts w:hint="eastAsia" w:ascii="宋体" w:hAnsi="宋体" w:cs="宋体"/>
                <w:szCs w:val="21"/>
              </w:rPr>
              <w:t>2mg/m³、总挥发性有机化合物（TVOC）≤</w:t>
            </w:r>
            <w:r>
              <w:rPr>
                <w:rFonts w:hint="eastAsia" w:ascii="宋体" w:cs="宋体"/>
                <w:szCs w:val="21"/>
              </w:rPr>
              <w:t>0.</w:t>
            </w:r>
            <w:r>
              <w:rPr>
                <w:rFonts w:hint="eastAsia" w:ascii="宋体" w:hAnsi="宋体" w:cs="宋体"/>
                <w:szCs w:val="21"/>
              </w:rPr>
              <w:t>5mg/m³、家具涂层可迁移元素（铅≤90mg/kg、镉≤75mg/kg、铬≤60mg/kg、汞≤60mg/kg、锑≤60mg/kg、钡≤1000mg/kg、硒≤500mg/kg、砷≤25mg/kg）等</w:t>
            </w:r>
            <w:r>
              <w:rPr>
                <w:rFonts w:hint="eastAsia" w:ascii="宋体" w:hAnsi="宋体" w:cs="宋体"/>
                <w:b/>
                <w:szCs w:val="21"/>
              </w:rPr>
              <w:t>（检测报告请在投标文件中提供，验收时原件备查）</w:t>
            </w:r>
            <w:r>
              <w:rPr>
                <w:rFonts w:hint="eastAsia" w:ascii="宋体" w:hAnsi="宋体" w:cs="宋体"/>
                <w:szCs w:val="21"/>
              </w:rPr>
              <w:t>。</w:t>
            </w:r>
          </w:p>
          <w:p w14:paraId="3578671D">
            <w:pPr>
              <w:spacing w:line="360" w:lineRule="auto"/>
              <w:ind w:firstLine="424" w:firstLineChars="202"/>
              <w:rPr>
                <w:rFonts w:ascii="宋体" w:hAnsi="宋体" w:cs="宋体"/>
                <w:szCs w:val="21"/>
              </w:rPr>
            </w:pPr>
            <w:r>
              <w:rPr>
                <w:rFonts w:hint="eastAsia" w:ascii="宋体" w:hAnsi="宋体" w:cs="宋体"/>
                <w:szCs w:val="21"/>
              </w:rPr>
              <w:t>▲</w:t>
            </w:r>
            <w:r>
              <w:rPr>
                <w:rFonts w:ascii="宋体" w:hAnsi="宋体" w:cs="宋体"/>
                <w:szCs w:val="21"/>
              </w:rPr>
              <w:t>2.</w:t>
            </w:r>
            <w:r>
              <w:rPr>
                <w:rFonts w:hint="eastAsia" w:ascii="宋体" w:hAnsi="宋体" w:cs="宋体"/>
                <w:color w:val="000000"/>
                <w:kern w:val="0"/>
                <w:szCs w:val="21"/>
                <w:lang w:bidi="ar"/>
              </w:rPr>
              <w:t>课桌</w:t>
            </w:r>
            <w:r>
              <w:rPr>
                <w:rFonts w:hint="eastAsia" w:ascii="宋体" w:hAnsi="宋体" w:cs="宋体"/>
                <w:szCs w:val="21"/>
              </w:rPr>
              <w:t>尺寸：长度≥600mm，宽度≥418mm；桌子升降高度：采用单柱升降课桌；根据中小学使用需求可任意升降(±5mm误差）；桌高可调节区间尺寸为</w:t>
            </w:r>
            <w:r>
              <w:rPr>
                <w:rFonts w:hint="eastAsia" w:ascii="宋体" w:hAnsi="宋体" w:cs="宋体"/>
                <w:b/>
                <w:szCs w:val="21"/>
              </w:rPr>
              <w:t>640-760mm</w:t>
            </w:r>
            <w:r>
              <w:rPr>
                <w:rFonts w:hint="eastAsia" w:ascii="宋体" w:hAnsi="宋体" w:cs="宋体"/>
                <w:szCs w:val="21"/>
              </w:rPr>
              <w:t>。</w:t>
            </w:r>
          </w:p>
          <w:p w14:paraId="0005970F">
            <w:pPr>
              <w:spacing w:line="360" w:lineRule="auto"/>
              <w:ind w:firstLine="424" w:firstLineChars="202"/>
              <w:rPr>
                <w:rFonts w:ascii="宋体" w:hAnsi="宋体" w:cs="宋体"/>
                <w:szCs w:val="21"/>
              </w:rPr>
            </w:pPr>
            <w:r>
              <w:rPr>
                <w:rFonts w:hint="eastAsia" w:ascii="宋体" w:hAnsi="宋体" w:cs="宋体"/>
                <w:szCs w:val="21"/>
              </w:rPr>
              <w:t>▲</w:t>
            </w:r>
            <w:r>
              <w:rPr>
                <w:rFonts w:ascii="宋体" w:hAnsi="宋体" w:cs="宋体"/>
                <w:szCs w:val="21"/>
              </w:rPr>
              <w:t>3.</w:t>
            </w:r>
            <w:r>
              <w:rPr>
                <w:rFonts w:hint="eastAsia" w:ascii="宋体" w:hAnsi="宋体" w:cs="宋体"/>
                <w:szCs w:val="21"/>
              </w:rPr>
              <w:t>桌斗尺寸：深300mm，长450mm，高150mm（净空）；（以上尺寸允许±3mm)，材料采用冷轧钢板。材料厚度≥0.6mm。</w:t>
            </w:r>
          </w:p>
          <w:p w14:paraId="793DEB50">
            <w:pPr>
              <w:spacing w:line="360" w:lineRule="auto"/>
              <w:ind w:firstLine="424" w:firstLineChars="202"/>
              <w:rPr>
                <w:rFonts w:ascii="宋体" w:hAnsi="宋体" w:cs="宋体"/>
                <w:szCs w:val="21"/>
              </w:rPr>
            </w:pPr>
            <w:r>
              <w:rPr>
                <w:rFonts w:hint="eastAsia" w:ascii="宋体" w:hAnsi="宋体" w:cs="宋体"/>
                <w:szCs w:val="21"/>
              </w:rPr>
              <w:t>▲</w:t>
            </w:r>
            <w:r>
              <w:rPr>
                <w:rFonts w:ascii="宋体" w:hAnsi="宋体" w:cs="宋体"/>
                <w:szCs w:val="21"/>
              </w:rPr>
              <w:t>4.</w:t>
            </w:r>
            <w:r>
              <w:rPr>
                <w:rFonts w:hint="eastAsia" w:ascii="宋体" w:hAnsi="宋体" w:cs="宋体"/>
                <w:szCs w:val="21"/>
              </w:rPr>
              <w:t>钢材要求：桌脚外管用≥</w:t>
            </w:r>
            <w:r>
              <w:rPr>
                <w:rFonts w:hint="eastAsia" w:ascii="宋体" w:hAnsi="宋体" w:cs="宋体"/>
                <w:b/>
                <w:szCs w:val="21"/>
              </w:rPr>
              <w:t>30*60*1.2mm</w:t>
            </w:r>
            <w:r>
              <w:rPr>
                <w:rFonts w:hint="eastAsia" w:ascii="宋体" w:hAnsi="宋体" w:cs="宋体"/>
                <w:szCs w:val="21"/>
              </w:rPr>
              <w:t xml:space="preserve"> 厚椭圆焊接钢管，升降内管采用≥</w:t>
            </w:r>
            <w:r>
              <w:rPr>
                <w:rFonts w:hint="eastAsia" w:ascii="宋体" w:hAnsi="宋体" w:cs="宋体"/>
                <w:b/>
                <w:szCs w:val="21"/>
              </w:rPr>
              <w:t>20*50*1.2mm</w:t>
            </w:r>
            <w:r>
              <w:rPr>
                <w:rFonts w:hint="eastAsia" w:ascii="宋体" w:hAnsi="宋体" w:cs="宋体"/>
                <w:szCs w:val="21"/>
              </w:rPr>
              <w:t>厚椭圆焊接钢管；桌脚处用16圆管弯成铁框书栏，尺寸</w:t>
            </w:r>
            <w:r>
              <w:rPr>
                <w:rFonts w:hint="eastAsia" w:ascii="宋体" w:hAnsi="宋体" w:cs="宋体"/>
                <w:b/>
                <w:szCs w:val="21"/>
              </w:rPr>
              <w:t>495*180*150mm</w:t>
            </w:r>
            <w:r>
              <w:rPr>
                <w:rFonts w:hint="eastAsia" w:ascii="宋体" w:hAnsi="宋体" w:cs="宋体"/>
                <w:szCs w:val="21"/>
              </w:rPr>
              <w:t>。甲醛释放量≤</w:t>
            </w:r>
            <w:r>
              <w:rPr>
                <w:rFonts w:hint="eastAsia" w:ascii="宋体" w:cs="宋体"/>
                <w:szCs w:val="21"/>
              </w:rPr>
              <w:t>0.0</w:t>
            </w:r>
            <w:r>
              <w:rPr>
                <w:rFonts w:hint="eastAsia" w:ascii="宋体" w:hAnsi="宋体" w:cs="宋体"/>
                <w:szCs w:val="21"/>
              </w:rPr>
              <w:t>8mg/m³，五金部分经开料、焊接、打磨、酸洗、磷化、干粉静电喷涂后高温烤制而成。</w:t>
            </w:r>
          </w:p>
          <w:p w14:paraId="0AB0703D">
            <w:pPr>
              <w:spacing w:line="360" w:lineRule="auto"/>
              <w:ind w:firstLine="424" w:firstLineChars="202"/>
              <w:rPr>
                <w:rFonts w:ascii="宋体" w:cs="宋体"/>
                <w:szCs w:val="21"/>
              </w:rPr>
            </w:pPr>
            <w:r>
              <w:rPr>
                <w:rFonts w:hint="eastAsia" w:ascii="宋体" w:hAnsi="宋体" w:cs="宋体"/>
                <w:szCs w:val="21"/>
              </w:rPr>
              <w:t>▲</w:t>
            </w:r>
            <w:r>
              <w:rPr>
                <w:rFonts w:ascii="宋体" w:hAnsi="宋体" w:cs="宋体"/>
                <w:szCs w:val="21"/>
              </w:rPr>
              <w:t>5</w:t>
            </w:r>
            <w:r>
              <w:rPr>
                <w:rFonts w:hint="eastAsia" w:ascii="宋体" w:hAnsi="宋体" w:cs="宋体"/>
                <w:szCs w:val="21"/>
              </w:rPr>
              <w:t>.</w:t>
            </w:r>
            <w:bookmarkStart w:id="1" w:name="OLE_LINK41"/>
            <w:bookmarkStart w:id="2" w:name="OLE_LINK42"/>
            <w:r>
              <w:rPr>
                <w:rFonts w:hint="eastAsia"/>
              </w:rPr>
              <w:t>桌面板板材</w:t>
            </w:r>
            <w:bookmarkEnd w:id="1"/>
            <w:bookmarkEnd w:id="2"/>
            <w:r>
              <w:rPr>
                <w:rFonts w:hint="eastAsia"/>
              </w:rPr>
              <w:t>厚度≥</w:t>
            </w:r>
            <w:r>
              <w:t>15mm</w:t>
            </w:r>
            <w:r>
              <w:rPr>
                <w:rFonts w:hint="eastAsia"/>
              </w:rPr>
              <w:t>，边缘厚度≥</w:t>
            </w:r>
            <w:r>
              <w:t>18mm</w:t>
            </w:r>
            <w:r>
              <w:rPr>
                <w:rFonts w:hint="eastAsia"/>
              </w:rPr>
              <w:t>，规格长度≥</w:t>
            </w:r>
            <w:r>
              <w:t>600mm</w:t>
            </w:r>
            <w:r>
              <w:rPr>
                <w:rFonts w:hint="eastAsia"/>
              </w:rPr>
              <w:t>，宽度≥</w:t>
            </w:r>
            <w:r>
              <w:t>418mm</w:t>
            </w:r>
            <w:r>
              <w:rPr>
                <w:rFonts w:hint="eastAsia"/>
              </w:rPr>
              <w:t>，桌面有水杯槽，采用模压板。原材料为单一树种橡胶木。桌面符合</w:t>
            </w:r>
            <w:r>
              <w:t>GB18580-2017</w:t>
            </w:r>
            <w:r>
              <w:rPr>
                <w:rFonts w:hint="eastAsia"/>
              </w:rPr>
              <w:t>《室内装饰装修材料人造板及其制品中甲醛释放限量》、</w:t>
            </w:r>
            <w:r>
              <w:t>GB/T15105-2024</w:t>
            </w:r>
            <w:r>
              <w:rPr>
                <w:rFonts w:hint="eastAsia"/>
              </w:rPr>
              <w:t>《模压刨花制品》，产品检测</w:t>
            </w:r>
            <w:r>
              <w:t>(</w:t>
            </w:r>
            <w:r>
              <w:rPr>
                <w:rFonts w:hint="eastAsia"/>
              </w:rPr>
              <w:t>验</w:t>
            </w:r>
            <w:r>
              <w:t>)</w:t>
            </w:r>
            <w:r>
              <w:rPr>
                <w:rFonts w:hint="eastAsia"/>
              </w:rPr>
              <w:t>指标内容包含但不限于：密度</w:t>
            </w:r>
            <w:r>
              <w:t>0.6-0.85g/cm</w:t>
            </w:r>
            <w:r>
              <w:rPr>
                <w:rFonts w:hint="eastAsia"/>
              </w:rPr>
              <w:t>³，含水率</w:t>
            </w:r>
            <w:r>
              <w:t>5-11%</w:t>
            </w:r>
            <w:r>
              <w:rPr>
                <w:rFonts w:hint="eastAsia"/>
              </w:rPr>
              <w:t>，静曲强度≥</w:t>
            </w:r>
            <w:r>
              <w:t>30MPa</w:t>
            </w:r>
            <w:r>
              <w:rPr>
                <w:rFonts w:hint="eastAsia"/>
              </w:rPr>
              <w:t>，内结合强度≥</w:t>
            </w:r>
            <w:r>
              <w:t>0.8MPa</w:t>
            </w:r>
            <w:r>
              <w:rPr>
                <w:rFonts w:hint="eastAsia"/>
              </w:rPr>
              <w:t>，吸水膨胀率≤</w:t>
            </w:r>
            <w:r>
              <w:t>3%</w:t>
            </w:r>
            <w:r>
              <w:rPr>
                <w:rFonts w:hint="eastAsia"/>
              </w:rPr>
              <w:t>，板面握螺钉力≥</w:t>
            </w:r>
            <w:r>
              <w:t>1000N</w:t>
            </w:r>
            <w:r>
              <w:rPr>
                <w:rFonts w:hint="eastAsia"/>
              </w:rPr>
              <w:t>，浸渍剥离任何一边装饰层与基材的剥离长度不得超过</w:t>
            </w:r>
            <w:r>
              <w:t>25mm</w:t>
            </w:r>
            <w:r>
              <w:rPr>
                <w:rFonts w:hint="eastAsia"/>
              </w:rPr>
              <w:t>，表面耐香烟灼烧性能允许有黄斑和光泽轻微变化，表面耐磨性能≤</w:t>
            </w:r>
            <w:r>
              <w:t>80mg/100r</w:t>
            </w:r>
            <w:r>
              <w:rPr>
                <w:rFonts w:hint="eastAsia"/>
              </w:rPr>
              <w:t>，表面耐开裂性能≤</w:t>
            </w:r>
            <w:r>
              <w:t>1</w:t>
            </w:r>
            <w:r>
              <w:rPr>
                <w:rFonts w:hint="eastAsia"/>
              </w:rPr>
              <w:t>级，表面耐干热性能无开裂、无鼓泡、允许光泽轻微变化，表面耐水蒸气性能不允许有突起、变色和开裂，表面耐污染腐蚀性能无污染、无腐蚀</w:t>
            </w:r>
            <w:r>
              <w:rPr>
                <w:rFonts w:hint="eastAsia"/>
                <w:b/>
              </w:rPr>
              <w:t>，甲醛释放量≤</w:t>
            </w:r>
            <w:bookmarkStart w:id="3" w:name="OLE_LINK43"/>
            <w:bookmarkStart w:id="4" w:name="OLE_LINK44"/>
            <w:r>
              <w:rPr>
                <w:b/>
              </w:rPr>
              <w:t>0.124mg/m</w:t>
            </w:r>
            <w:r>
              <w:rPr>
                <w:rFonts w:hint="eastAsia"/>
                <w:b/>
              </w:rPr>
              <w:t>³</w:t>
            </w:r>
            <w:bookmarkEnd w:id="3"/>
            <w:bookmarkEnd w:id="4"/>
            <w:r>
              <w:rPr>
                <w:rFonts w:hint="eastAsia"/>
              </w:rPr>
              <w:t>等参数必须为合格（</w:t>
            </w:r>
            <w:r>
              <w:rPr>
                <w:rFonts w:hint="eastAsia" w:ascii="宋体" w:hAnsi="宋体" w:cs="宋体"/>
                <w:b/>
                <w:szCs w:val="21"/>
              </w:rPr>
              <w:t>检测报告请在投标文件中提供，验收时原件备查</w:t>
            </w:r>
            <w:r>
              <w:rPr>
                <w:rFonts w:hint="eastAsia"/>
              </w:rPr>
              <w:t>）。产品环保、耐用，板面具有高强度耐磨擦、耐酸碱、防水和耐污性好等特点。桌面颜色整体木纹色，美观大方</w:t>
            </w:r>
            <w:r>
              <w:rPr>
                <w:rFonts w:hint="eastAsia" w:ascii="宋体" w:hAnsi="宋体" w:cs="宋体"/>
                <w:szCs w:val="21"/>
              </w:rPr>
              <w:t>。</w:t>
            </w:r>
            <w:r>
              <w:rPr>
                <w:rFonts w:hint="eastAsia"/>
                <w:kern w:val="0"/>
                <w:szCs w:val="21"/>
              </w:rPr>
              <w:t>参考图：</w:t>
            </w:r>
          </w:p>
          <w:p w14:paraId="0FD34AE5">
            <w:pPr>
              <w:ind w:firstLine="424" w:firstLineChars="202"/>
              <w:rPr>
                <w:rFonts w:ascii="宋体" w:cs="宋体"/>
                <w:szCs w:val="21"/>
              </w:rPr>
            </w:pPr>
            <w:r>
              <w:rPr>
                <w:rFonts w:hint="eastAsia" w:ascii="宋体" w:cs="宋体"/>
                <w:szCs w:val="21"/>
              </w:rPr>
              <w:drawing>
                <wp:inline distT="0" distB="0" distL="114300" distR="114300">
                  <wp:extent cx="1160145" cy="1626870"/>
                  <wp:effectExtent l="0" t="0" r="3810" b="13335"/>
                  <wp:docPr id="2" name="图片 1" descr="1c527785658d0779cc1d304a355cef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1c527785658d0779cc1d304a355cefd"/>
                          <pic:cNvPicPr>
                            <a:picLocks noChangeAspect="1"/>
                          </pic:cNvPicPr>
                        </pic:nvPicPr>
                        <pic:blipFill>
                          <a:blip r:embed="rId5"/>
                          <a:srcRect l="8191" t="9000" r="7547" b="2242"/>
                          <a:stretch>
                            <a:fillRect/>
                          </a:stretch>
                        </pic:blipFill>
                        <pic:spPr>
                          <a:xfrm rot="5400000">
                            <a:off x="0" y="0"/>
                            <a:ext cx="1160145" cy="1626870"/>
                          </a:xfrm>
                          <a:prstGeom prst="rect">
                            <a:avLst/>
                          </a:prstGeom>
                          <a:noFill/>
                          <a:ln>
                            <a:noFill/>
                          </a:ln>
                        </pic:spPr>
                      </pic:pic>
                    </a:graphicData>
                  </a:graphic>
                </wp:inline>
              </w:drawing>
            </w:r>
          </w:p>
          <w:p w14:paraId="68BD65CB">
            <w:pPr>
              <w:spacing w:line="360" w:lineRule="auto"/>
              <w:ind w:firstLine="420" w:firstLineChars="200"/>
              <w:rPr>
                <w:rFonts w:ascii="宋体" w:hAnsi="宋体" w:cs="宋体"/>
                <w:szCs w:val="21"/>
              </w:rPr>
            </w:pPr>
            <w:r>
              <w:rPr>
                <w:rFonts w:hint="eastAsia" w:ascii="宋体" w:hAnsi="宋体" w:cs="宋体"/>
                <w:szCs w:val="21"/>
              </w:rPr>
              <w:t>▲</w:t>
            </w:r>
            <w:r>
              <w:rPr>
                <w:rFonts w:ascii="宋体" w:hAnsi="宋体" w:cs="宋体"/>
                <w:szCs w:val="21"/>
              </w:rPr>
              <w:t>6.</w:t>
            </w:r>
            <w:r>
              <w:rPr>
                <w:rFonts w:hint="eastAsia" w:ascii="宋体" w:hAnsi="宋体" w:cs="宋体"/>
                <w:szCs w:val="21"/>
              </w:rPr>
              <w:t>课桌脚套采用优质</w:t>
            </w:r>
            <w:r>
              <w:rPr>
                <w:rFonts w:ascii="宋体" w:hAnsi="宋体" w:cs="宋体"/>
                <w:szCs w:val="21"/>
              </w:rPr>
              <w:t>PVC</w:t>
            </w:r>
            <w:r>
              <w:rPr>
                <w:rFonts w:hint="eastAsia" w:ascii="宋体" w:hAnsi="宋体" w:cs="宋体"/>
                <w:szCs w:val="21"/>
              </w:rPr>
              <w:t>软塑料制作，每个脚套有倒钩技术功能，以防脱落。</w:t>
            </w:r>
          </w:p>
          <w:p w14:paraId="66AA4F5F">
            <w:pPr>
              <w:spacing w:line="360" w:lineRule="auto"/>
              <w:ind w:firstLine="424" w:firstLineChars="202"/>
              <w:rPr>
                <w:rFonts w:ascii="宋体" w:hAnsi="宋体" w:cs="宋体"/>
                <w:szCs w:val="21"/>
              </w:rPr>
            </w:pPr>
            <w:r>
              <w:rPr>
                <w:rFonts w:hint="eastAsia" w:ascii="宋体" w:hAnsi="宋体" w:cs="宋体"/>
                <w:szCs w:val="21"/>
              </w:rPr>
              <w:t>▲</w:t>
            </w:r>
            <w:r>
              <w:rPr>
                <w:rFonts w:ascii="宋体" w:hAnsi="宋体" w:cs="宋体"/>
                <w:szCs w:val="21"/>
              </w:rPr>
              <w:t>7.</w:t>
            </w:r>
            <w:r>
              <w:rPr>
                <w:rFonts w:hint="eastAsia"/>
              </w:rPr>
              <w:t>塑粉采用优质环保塑粉，符合</w:t>
            </w:r>
            <w:r>
              <w:t>HG/T 2006-2022</w:t>
            </w:r>
            <w:r>
              <w:rPr>
                <w:rFonts w:hint="eastAsia"/>
              </w:rPr>
              <w:t>《热固性和热塑性粉末涂料》、</w:t>
            </w:r>
            <w:r>
              <w:t>GB 18581-2020</w:t>
            </w:r>
            <w:r>
              <w:rPr>
                <w:rFonts w:hint="eastAsia"/>
              </w:rPr>
              <w:t>《木器涂料中有害物质限量》，产品检测</w:t>
            </w:r>
            <w:r>
              <w:t>(</w:t>
            </w:r>
            <w:r>
              <w:rPr>
                <w:rFonts w:hint="eastAsia"/>
              </w:rPr>
              <w:t>验</w:t>
            </w:r>
            <w:r>
              <w:t>)</w:t>
            </w:r>
            <w:r>
              <w:rPr>
                <w:rFonts w:hint="eastAsia"/>
              </w:rPr>
              <w:t>指标内容包含但不限于：耐湿性</w:t>
            </w:r>
            <w:r>
              <w:t>500h</w:t>
            </w:r>
            <w:r>
              <w:rPr>
                <w:rFonts w:hint="eastAsia"/>
              </w:rPr>
              <w:t>无异常、总铅</w:t>
            </w:r>
            <w:r>
              <w:t>(Pb)</w:t>
            </w:r>
            <w:r>
              <w:rPr>
                <w:rFonts w:hint="eastAsia"/>
              </w:rPr>
              <w:t>含量≤</w:t>
            </w:r>
            <w:r>
              <w:t>90mg/kg</w:t>
            </w:r>
            <w:r>
              <w:rPr>
                <w:rFonts w:hint="eastAsia"/>
              </w:rPr>
              <w:t>、可溶性重金属含量（</w:t>
            </w:r>
            <w:r>
              <w:rPr>
                <w:rFonts w:hint="eastAsia"/>
                <w:b/>
              </w:rPr>
              <w:t>镉≤</w:t>
            </w:r>
            <w:r>
              <w:rPr>
                <w:b/>
              </w:rPr>
              <w:t>75mg/kg</w:t>
            </w:r>
            <w:r>
              <w:rPr>
                <w:rFonts w:hint="eastAsia"/>
                <w:b/>
              </w:rPr>
              <w:t>、铬≤</w:t>
            </w:r>
            <w:r>
              <w:rPr>
                <w:b/>
              </w:rPr>
              <w:t>60mg/kg</w:t>
            </w:r>
            <w:r>
              <w:rPr>
                <w:rFonts w:hint="eastAsia"/>
                <w:b/>
              </w:rPr>
              <w:t>、汞≤</w:t>
            </w:r>
            <w:r>
              <w:rPr>
                <w:b/>
              </w:rPr>
              <w:t>60mg/kg</w:t>
            </w:r>
            <w:r>
              <w:rPr>
                <w:rFonts w:hint="eastAsia"/>
              </w:rPr>
              <w:t>）</w:t>
            </w:r>
            <w:r>
              <w:rPr>
                <w:rFonts w:hint="eastAsia"/>
                <w:b/>
              </w:rPr>
              <w:t>未检出</w:t>
            </w:r>
            <w:r>
              <w:rPr>
                <w:rFonts w:hint="eastAsia"/>
              </w:rPr>
              <w:t>、外观（色泽均匀，无异物，呈松散粉末状）、筛余物（</w:t>
            </w:r>
            <w:r>
              <w:t>125</w:t>
            </w:r>
            <w:r>
              <w:rPr>
                <w:rFonts w:hint="eastAsia"/>
              </w:rPr>
              <w:t>μ</w:t>
            </w:r>
            <w:r>
              <w:t>m</w:t>
            </w:r>
            <w:r>
              <w:rPr>
                <w:rFonts w:hint="eastAsia"/>
              </w:rPr>
              <w:t>）全部通过</w:t>
            </w:r>
            <w:r>
              <w:t xml:space="preserve"> </w:t>
            </w:r>
            <w:r>
              <w:rPr>
                <w:rFonts w:hint="eastAsia"/>
              </w:rPr>
              <w:t>、胶化时间、密度、涂膜外观</w:t>
            </w:r>
            <w:r>
              <w:t xml:space="preserve"> </w:t>
            </w:r>
            <w:r>
              <w:rPr>
                <w:rFonts w:hint="eastAsia"/>
              </w:rPr>
              <w:t>、附着力≤</w:t>
            </w:r>
            <w:r>
              <w:t>1</w:t>
            </w:r>
            <w:r>
              <w:rPr>
                <w:rFonts w:hint="eastAsia"/>
              </w:rPr>
              <w:t>级、铅笔硬度≥</w:t>
            </w:r>
            <w:r>
              <w:t>H</w:t>
            </w:r>
            <w:r>
              <w:rPr>
                <w:rFonts w:hint="eastAsia"/>
              </w:rPr>
              <w:t>、耐冲击性</w:t>
            </w:r>
            <w:r>
              <w:t>50cm</w:t>
            </w:r>
            <w:r>
              <w:rPr>
                <w:rFonts w:hint="eastAsia"/>
              </w:rPr>
              <w:t>未观察到裂纹皱纹及剥落现象、杯突试验≥</w:t>
            </w:r>
            <w:r>
              <w:t>4mm</w:t>
            </w:r>
            <w:r>
              <w:rPr>
                <w:rFonts w:hint="eastAsia"/>
              </w:rPr>
              <w:t>、弯曲试验≤</w:t>
            </w:r>
            <w:r>
              <w:t>4mm</w:t>
            </w:r>
            <w:r>
              <w:rPr>
                <w:rFonts w:hint="eastAsia"/>
              </w:rPr>
              <w:t>涂层无开裂或从底材上剥落、光泽、耐磨性≤</w:t>
            </w:r>
            <w:r>
              <w:t>50mg</w:t>
            </w:r>
            <w:r>
              <w:rPr>
                <w:rFonts w:hint="eastAsia"/>
              </w:rPr>
              <w:t>、耐酸性（</w:t>
            </w:r>
            <w:r>
              <w:t>3%HCl</w:t>
            </w:r>
            <w:r>
              <w:rPr>
                <w:rFonts w:hint="eastAsia"/>
              </w:rPr>
              <w:t>）</w:t>
            </w:r>
            <w:r>
              <w:t>240h</w:t>
            </w:r>
            <w:r>
              <w:rPr>
                <w:rFonts w:hint="eastAsia"/>
              </w:rPr>
              <w:t>无异常、耐碱性</w:t>
            </w:r>
            <w:r>
              <w:t>168h</w:t>
            </w:r>
            <w:r>
              <w:rPr>
                <w:rFonts w:hint="eastAsia"/>
              </w:rPr>
              <w:t>无异常、耐沸水性</w:t>
            </w:r>
            <w:r>
              <w:t>2h</w:t>
            </w:r>
            <w:r>
              <w:rPr>
                <w:rFonts w:hint="eastAsia"/>
              </w:rPr>
              <w:t>无异常、耐盐雾性</w:t>
            </w:r>
            <w:r>
              <w:t>500h</w:t>
            </w:r>
            <w:r>
              <w:rPr>
                <w:rFonts w:hint="eastAsia"/>
              </w:rPr>
              <w:t>划痕处单向腐蚀蔓延宽度≤</w:t>
            </w:r>
            <w:r>
              <w:t>2.0mm</w:t>
            </w:r>
            <w:r>
              <w:rPr>
                <w:rFonts w:hint="eastAsia"/>
              </w:rPr>
              <w:t>未划痕区无起泡生锈开裂剥落等异常现象（</w:t>
            </w:r>
            <w:r>
              <w:rPr>
                <w:rFonts w:hint="eastAsia" w:ascii="宋体" w:hAnsi="宋体" w:cs="宋体"/>
                <w:b/>
                <w:szCs w:val="21"/>
              </w:rPr>
              <w:t>检测报告请在投标文件中提供，验收时原件备查</w:t>
            </w:r>
            <w:r>
              <w:rPr>
                <w:rFonts w:hint="eastAsia"/>
              </w:rPr>
              <w:t>）。涂层表面色泽均匀一致，不允许有流挂、起粒、皱皮、露底、剥落、伤痕等缺陷，颜色：灰白色，表面涂层：喷涂后涂层表面应色泽均匀一致，工件的各部位不应有起粒、皱皮、露底、剥落、伤痕或漏喷等现象。</w:t>
            </w:r>
          </w:p>
          <w:p w14:paraId="0986538C">
            <w:pPr>
              <w:spacing w:line="360" w:lineRule="auto"/>
              <w:ind w:firstLine="424" w:firstLineChars="202"/>
              <w:rPr>
                <w:rFonts w:ascii="宋体" w:hAnsi="宋体" w:cs="宋体"/>
                <w:szCs w:val="21"/>
              </w:rPr>
            </w:pPr>
            <w:bookmarkStart w:id="5" w:name="OLE_LINK19"/>
            <w:bookmarkStart w:id="6" w:name="OLE_LINK21"/>
            <w:r>
              <w:rPr>
                <w:rFonts w:hint="eastAsia" w:ascii="宋体" w:hAnsi="宋体" w:cs="宋体"/>
                <w:szCs w:val="21"/>
              </w:rPr>
              <w:t>▲</w:t>
            </w:r>
            <w:bookmarkEnd w:id="5"/>
            <w:bookmarkEnd w:id="6"/>
            <w:r>
              <w:rPr>
                <w:rFonts w:ascii="宋体" w:hAnsi="宋体" w:cs="宋体"/>
                <w:szCs w:val="21"/>
              </w:rPr>
              <w:t>8.</w:t>
            </w:r>
            <w:r>
              <w:rPr>
                <w:rFonts w:hint="eastAsia" w:ascii="宋体" w:hAnsi="宋体" w:cs="宋体"/>
                <w:szCs w:val="21"/>
              </w:rPr>
              <w:t>铁件部分均要经过</w:t>
            </w:r>
            <w:r>
              <w:rPr>
                <w:rFonts w:hint="eastAsia" w:ascii="宋体" w:hAnsi="宋体" w:cs="宋体"/>
                <w:szCs w:val="21"/>
                <w:lang w:val="zh-CN"/>
              </w:rPr>
              <w:t>除锈</w:t>
            </w:r>
            <w:r>
              <w:rPr>
                <w:rFonts w:ascii="宋体" w:hAnsi="宋体" w:cs="宋体"/>
                <w:szCs w:val="21"/>
                <w:lang w:val="zh-CN"/>
              </w:rPr>
              <w:t>—</w:t>
            </w:r>
            <w:r>
              <w:rPr>
                <w:rFonts w:hint="eastAsia" w:ascii="宋体" w:hAnsi="宋体" w:cs="宋体"/>
                <w:szCs w:val="21"/>
                <w:lang w:val="zh-CN"/>
              </w:rPr>
              <w:t>预脱脂</w:t>
            </w:r>
            <w:r>
              <w:rPr>
                <w:rFonts w:ascii="宋体" w:hAnsi="宋体" w:cs="宋体"/>
                <w:szCs w:val="21"/>
                <w:lang w:val="zh-CN"/>
              </w:rPr>
              <w:t>—</w:t>
            </w:r>
            <w:r>
              <w:rPr>
                <w:rFonts w:hint="eastAsia" w:ascii="宋体" w:hAnsi="宋体" w:cs="宋体"/>
                <w:szCs w:val="21"/>
                <w:lang w:val="zh-CN"/>
              </w:rPr>
              <w:t>除油</w:t>
            </w:r>
            <w:r>
              <w:rPr>
                <w:rFonts w:ascii="宋体" w:hAnsi="宋体" w:cs="宋体"/>
                <w:szCs w:val="21"/>
                <w:lang w:val="zh-CN"/>
              </w:rPr>
              <w:t>—</w:t>
            </w:r>
            <w:r>
              <w:rPr>
                <w:rFonts w:hint="eastAsia" w:ascii="宋体" w:hAnsi="宋体" w:cs="宋体"/>
                <w:szCs w:val="21"/>
                <w:lang w:val="zh-CN"/>
              </w:rPr>
              <w:t>水洗</w:t>
            </w:r>
            <w:r>
              <w:rPr>
                <w:rFonts w:ascii="宋体" w:hAnsi="宋体" w:cs="宋体"/>
                <w:szCs w:val="21"/>
                <w:lang w:val="zh-CN"/>
              </w:rPr>
              <w:t>—</w:t>
            </w:r>
            <w:r>
              <w:rPr>
                <w:rFonts w:hint="eastAsia" w:ascii="宋体" w:hAnsi="宋体" w:cs="宋体"/>
                <w:szCs w:val="21"/>
                <w:lang w:val="zh-CN"/>
              </w:rPr>
              <w:t>清洗</w:t>
            </w:r>
            <w:r>
              <w:rPr>
                <w:rFonts w:ascii="宋体" w:hAnsi="宋体" w:cs="宋体"/>
                <w:szCs w:val="21"/>
                <w:lang w:val="zh-CN"/>
              </w:rPr>
              <w:t>—</w:t>
            </w:r>
            <w:r>
              <w:rPr>
                <w:rFonts w:hint="eastAsia" w:ascii="宋体" w:hAnsi="宋体" w:cs="宋体"/>
                <w:szCs w:val="21"/>
                <w:lang w:val="zh-CN"/>
              </w:rPr>
              <w:t>中和</w:t>
            </w:r>
            <w:r>
              <w:rPr>
                <w:rFonts w:ascii="宋体" w:hAnsi="宋体" w:cs="宋体"/>
                <w:szCs w:val="21"/>
                <w:lang w:val="zh-CN"/>
              </w:rPr>
              <w:t>—</w:t>
            </w:r>
            <w:r>
              <w:rPr>
                <w:rFonts w:hint="eastAsia" w:ascii="宋体" w:hAnsi="宋体" w:cs="宋体"/>
                <w:szCs w:val="21"/>
                <w:lang w:val="zh-CN"/>
              </w:rPr>
              <w:t>陶化</w:t>
            </w:r>
            <w:r>
              <w:rPr>
                <w:rFonts w:ascii="宋体" w:hAnsi="宋体" w:cs="宋体"/>
                <w:szCs w:val="21"/>
                <w:lang w:val="zh-CN"/>
              </w:rPr>
              <w:t>—</w:t>
            </w:r>
            <w:r>
              <w:rPr>
                <w:rFonts w:hint="eastAsia" w:ascii="宋体" w:hAnsi="宋体" w:cs="宋体"/>
                <w:szCs w:val="21"/>
                <w:lang w:val="zh-CN"/>
              </w:rPr>
              <w:t>水洗</w:t>
            </w:r>
            <w:r>
              <w:rPr>
                <w:rFonts w:ascii="宋体" w:hAnsi="宋体" w:cs="宋体"/>
                <w:szCs w:val="21"/>
                <w:lang w:val="zh-CN"/>
              </w:rPr>
              <w:t>—</w:t>
            </w:r>
            <w:r>
              <w:rPr>
                <w:rFonts w:hint="eastAsia" w:ascii="宋体" w:hAnsi="宋体" w:cs="宋体"/>
                <w:szCs w:val="21"/>
                <w:lang w:val="zh-CN"/>
              </w:rPr>
              <w:t>烘干处理再进行喷塑，然后经过</w:t>
            </w:r>
            <w:r>
              <w:rPr>
                <w:rFonts w:ascii="宋体" w:hAnsi="宋体" w:cs="宋体"/>
                <w:szCs w:val="21"/>
                <w:lang w:val="zh-CN"/>
              </w:rPr>
              <w:t>180</w:t>
            </w:r>
            <w:r>
              <w:rPr>
                <w:rFonts w:hint="eastAsia" w:ascii="宋体" w:hAnsi="宋体" w:cs="宋体"/>
                <w:szCs w:val="21"/>
                <w:lang w:val="zh-CN"/>
              </w:rPr>
              <w:t>℃以上高温烘烤</w:t>
            </w:r>
            <w:r>
              <w:rPr>
                <w:rFonts w:hint="eastAsia" w:ascii="宋体" w:hAnsi="宋体" w:cs="宋体"/>
                <w:szCs w:val="21"/>
              </w:rPr>
              <w:t>。</w:t>
            </w:r>
          </w:p>
          <w:p w14:paraId="4DAAD4C1">
            <w:pPr>
              <w:spacing w:line="360" w:lineRule="auto"/>
              <w:ind w:firstLine="424" w:firstLineChars="202"/>
              <w:rPr>
                <w:rFonts w:ascii="宋体" w:hAnsi="宋体" w:cs="宋体"/>
                <w:szCs w:val="21"/>
              </w:rPr>
            </w:pPr>
            <w:r>
              <w:rPr>
                <w:rFonts w:ascii="宋体" w:hAnsi="宋体" w:cs="宋体"/>
                <w:szCs w:val="21"/>
              </w:rPr>
              <w:t>9.</w:t>
            </w:r>
            <w:r>
              <w:rPr>
                <w:rFonts w:hint="eastAsia" w:ascii="宋体" w:hAnsi="宋体" w:cs="宋体"/>
                <w:szCs w:val="21"/>
              </w:rPr>
              <w:t>铁件的焊接采用二氧化碳护焊进行焊接。</w:t>
            </w:r>
          </w:p>
          <w:p w14:paraId="1D887365">
            <w:pPr>
              <w:spacing w:line="360" w:lineRule="auto"/>
              <w:ind w:firstLine="424" w:firstLineChars="202"/>
              <w:rPr>
                <w:rFonts w:ascii="宋体" w:hAnsi="宋体" w:cs="宋体"/>
                <w:szCs w:val="21"/>
              </w:rPr>
            </w:pPr>
            <w:r>
              <w:rPr>
                <w:rFonts w:hint="eastAsia" w:ascii="宋体" w:hAnsi="宋体" w:cs="宋体"/>
                <w:szCs w:val="21"/>
              </w:rPr>
              <w:t>▲</w:t>
            </w:r>
            <w:r>
              <w:rPr>
                <w:rFonts w:ascii="宋体" w:hAnsi="宋体" w:cs="宋体"/>
                <w:szCs w:val="21"/>
              </w:rPr>
              <w:t>10.</w:t>
            </w:r>
            <w:r>
              <w:rPr>
                <w:rFonts w:hint="eastAsia"/>
              </w:rPr>
              <w:t>桌子左右两边要求配有挂钩，挂钩采用焊接的方式与桌架连接，挂钩采用≥</w:t>
            </w:r>
            <w:r>
              <w:t>1.2mm</w:t>
            </w:r>
            <w:r>
              <w:rPr>
                <w:rFonts w:hint="eastAsia"/>
              </w:rPr>
              <w:t>冷轧钢板一次冲压成型，规格≥高</w:t>
            </w:r>
            <w:r>
              <w:t>100</w:t>
            </w:r>
            <w:r>
              <w:rPr>
                <w:rFonts w:hint="eastAsia"/>
              </w:rPr>
              <w:t>×宽</w:t>
            </w:r>
            <w:r>
              <w:t>25</w:t>
            </w:r>
            <w:r>
              <w:rPr>
                <w:rFonts w:hint="eastAsia"/>
              </w:rPr>
              <w:t>×深</w:t>
            </w:r>
            <w:r>
              <w:t>20mm</w:t>
            </w:r>
            <w:r>
              <w:rPr>
                <w:rFonts w:hint="eastAsia"/>
              </w:rPr>
              <w:t>，可用来挂学生书包，挂钩边缘经打磨处理，以防划伤手、书包。</w:t>
            </w:r>
          </w:p>
          <w:p w14:paraId="26F7F784">
            <w:pPr>
              <w:spacing w:line="360" w:lineRule="auto"/>
              <w:ind w:firstLine="424" w:firstLineChars="202"/>
              <w:rPr>
                <w:rFonts w:ascii="宋体" w:hAnsi="宋体" w:cs="宋体"/>
                <w:szCs w:val="21"/>
              </w:rPr>
            </w:pPr>
            <w:r>
              <w:rPr>
                <w:rFonts w:ascii="宋体" w:hAnsi="宋体" w:cs="宋体"/>
                <w:szCs w:val="21"/>
              </w:rPr>
              <w:t>11.</w:t>
            </w:r>
            <w:r>
              <w:rPr>
                <w:rFonts w:hint="eastAsia" w:ascii="宋体" w:hAnsi="宋体" w:cs="宋体"/>
                <w:szCs w:val="21"/>
              </w:rPr>
              <w:t>冲压件应无脱层、裂缝。桌斗利用钢板由机器冲压一次成型，端口作折边压贴，以防尖利边角对人体的伤害。桌斗前端处冲压不少于两条下凹的加强筋以增强桌斗刚性。课桌两侧立板边缘打磨平滑后再喷漆，以防尖毛边刮伤人体。</w:t>
            </w:r>
          </w:p>
          <w:p w14:paraId="64389142">
            <w:pPr>
              <w:spacing w:line="360" w:lineRule="auto"/>
              <w:ind w:firstLine="424" w:firstLineChars="202"/>
              <w:rPr>
                <w:rFonts w:ascii="宋体" w:hAnsi="宋体" w:cs="宋体"/>
                <w:szCs w:val="21"/>
              </w:rPr>
            </w:pPr>
            <w:r>
              <w:rPr>
                <w:rFonts w:ascii="宋体" w:hAnsi="宋体" w:cs="宋体"/>
                <w:szCs w:val="21"/>
              </w:rPr>
              <w:t>12.</w:t>
            </w:r>
            <w:r>
              <w:rPr>
                <w:rFonts w:hint="eastAsia" w:ascii="宋体" w:hAnsi="宋体" w:cs="宋体"/>
                <w:szCs w:val="21"/>
              </w:rPr>
              <w:t>课桌面板与钢架的连接采用自攻钉连接。</w:t>
            </w:r>
          </w:p>
          <w:p w14:paraId="196B874A">
            <w:pPr>
              <w:spacing w:line="360" w:lineRule="auto"/>
              <w:ind w:firstLine="424" w:firstLineChars="202"/>
              <w:rPr>
                <w:rFonts w:ascii="宋体" w:hAnsi="宋体" w:cs="宋体"/>
                <w:szCs w:val="21"/>
              </w:rPr>
            </w:pPr>
            <w:r>
              <w:rPr>
                <w:rFonts w:ascii="宋体" w:hAnsi="宋体" w:cs="宋体"/>
                <w:szCs w:val="21"/>
              </w:rPr>
              <w:t>13.</w:t>
            </w:r>
            <w:r>
              <w:rPr>
                <w:rFonts w:hint="eastAsia" w:ascii="宋体" w:hAnsi="宋体" w:cs="宋体"/>
                <w:szCs w:val="21"/>
              </w:rPr>
              <w:t>桌斗与桌架颜色为高光灰白色，脚套颜色为蓝色，可根据客户要求定制。</w:t>
            </w:r>
          </w:p>
          <w:p w14:paraId="6C0CCAB2">
            <w:pPr>
              <w:spacing w:line="360" w:lineRule="auto"/>
              <w:ind w:firstLine="424" w:firstLineChars="202"/>
              <w:rPr>
                <w:rFonts w:ascii="宋体" w:hAnsi="宋体" w:cs="宋体"/>
                <w:szCs w:val="21"/>
              </w:rPr>
            </w:pPr>
            <w:r>
              <w:rPr>
                <w:rFonts w:hint="eastAsia" w:ascii="宋体" w:hAnsi="宋体" w:cs="宋体"/>
                <w:szCs w:val="21"/>
              </w:rPr>
              <w:t>▲</w:t>
            </w:r>
            <w:r>
              <w:rPr>
                <w:rFonts w:ascii="宋体" w:hAnsi="宋体" w:cs="宋体"/>
                <w:szCs w:val="21"/>
              </w:rPr>
              <w:t>14.</w:t>
            </w:r>
            <w:r>
              <w:rPr>
                <w:rFonts w:hint="eastAsia" w:ascii="宋体" w:hAnsi="宋体" w:cs="宋体"/>
                <w:szCs w:val="21"/>
              </w:rPr>
              <w:t>喷涂质量要求：喷涂质量要求：</w:t>
            </w:r>
            <w:r>
              <w:rPr>
                <w:rFonts w:hint="eastAsia"/>
                <w:kern w:val="0"/>
                <w:szCs w:val="21"/>
              </w:rPr>
              <w:t>喷涂塑粉为环保塑粉，不能有毒害气味气挥发、以免房间环境有污染，造成对人体伤害。</w:t>
            </w:r>
          </w:p>
          <w:p w14:paraId="41C14732">
            <w:pPr>
              <w:pStyle w:val="10"/>
              <w:tabs>
                <w:tab w:val="right" w:leader="dot" w:pos="8296"/>
                <w:tab w:val="right" w:leader="dot" w:pos="8398"/>
              </w:tabs>
              <w:spacing w:before="0" w:after="0" w:line="360" w:lineRule="auto"/>
              <w:rPr>
                <w:rFonts w:ascii="宋体" w:hAnsi="宋体" w:cs="宋体"/>
                <w:b w:val="0"/>
                <w:sz w:val="21"/>
                <w:szCs w:val="21"/>
                <w:u w:val="none"/>
              </w:rPr>
            </w:pPr>
            <w:r>
              <w:rPr>
                <w:rFonts w:ascii="宋体" w:hAnsi="宋体"/>
                <w:sz w:val="21"/>
                <w:szCs w:val="21"/>
                <w:u w:val="none"/>
              </w:rPr>
              <w:t xml:space="preserve">   </w:t>
            </w:r>
            <w:r>
              <w:rPr>
                <w:rFonts w:hint="eastAsia" w:ascii="宋体" w:hAnsi="宋体" w:cs="宋体"/>
                <w:b w:val="0"/>
                <w:sz w:val="21"/>
                <w:szCs w:val="21"/>
                <w:u w:val="none"/>
              </w:rPr>
              <w:t>▲</w:t>
            </w:r>
            <w:r>
              <w:rPr>
                <w:rFonts w:ascii="宋体" w:hAnsi="宋体" w:cs="宋体"/>
                <w:b w:val="0"/>
                <w:sz w:val="21"/>
                <w:szCs w:val="21"/>
                <w:u w:val="none"/>
              </w:rPr>
              <w:t>15.</w:t>
            </w:r>
            <w:r>
              <w:rPr>
                <w:rFonts w:hint="eastAsia" w:ascii="宋体" w:hAnsi="宋体" w:cs="宋体"/>
                <w:b w:val="0"/>
                <w:sz w:val="21"/>
                <w:szCs w:val="21"/>
                <w:u w:val="none"/>
              </w:rPr>
              <w:t>课桌高度调节螺栓安装于两根立柱的内侧。升降管连接处，在管外侧用激光刻蚀课桌高度对应的型号，在标准型号的基础上，上下至少分别可调节两个型号的高度。课桌触地两根横担长度不小于课桌面板的深度。</w:t>
            </w:r>
          </w:p>
          <w:p w14:paraId="00927E8C">
            <w:pPr>
              <w:pStyle w:val="10"/>
              <w:tabs>
                <w:tab w:val="right" w:leader="dot" w:pos="8296"/>
                <w:tab w:val="right" w:leader="dot" w:pos="8398"/>
              </w:tabs>
              <w:spacing w:before="0" w:after="0" w:line="360" w:lineRule="auto"/>
              <w:ind w:firstLine="420" w:firstLineChars="200"/>
              <w:rPr>
                <w:rFonts w:ascii="宋体" w:hAnsi="宋体" w:cs="宋体"/>
                <w:sz w:val="21"/>
                <w:szCs w:val="21"/>
              </w:rPr>
            </w:pPr>
            <w:r>
              <w:rPr>
                <w:rFonts w:ascii="宋体" w:hAnsi="宋体" w:cs="宋体"/>
                <w:b w:val="0"/>
                <w:sz w:val="21"/>
                <w:szCs w:val="21"/>
                <w:u w:val="none"/>
              </w:rPr>
              <w:t>16.</w:t>
            </w:r>
            <w:r>
              <w:rPr>
                <w:rFonts w:hint="eastAsia" w:ascii="宋体" w:hAnsi="宋体" w:cs="宋体"/>
                <w:b w:val="0"/>
                <w:sz w:val="21"/>
                <w:szCs w:val="21"/>
                <w:u w:val="none"/>
              </w:rPr>
              <w:t>课桌参考图：</w:t>
            </w:r>
          </w:p>
          <w:p w14:paraId="3A3CA58C">
            <w:pPr>
              <w:pStyle w:val="10"/>
              <w:tabs>
                <w:tab w:val="right" w:leader="dot" w:pos="8296"/>
                <w:tab w:val="right" w:leader="dot" w:pos="8398"/>
              </w:tabs>
              <w:ind w:firstLine="442" w:firstLineChars="200"/>
              <w:rPr>
                <w:rFonts w:ascii="宋体" w:hAnsi="宋体" w:eastAsia="仿宋" w:cs="宋体"/>
                <w:szCs w:val="21"/>
              </w:rPr>
            </w:pPr>
            <w:r>
              <w:rPr>
                <w:rFonts w:hint="eastAsia" w:ascii="宋体" w:hAnsi="宋体" w:eastAsia="仿宋" w:cs="宋体"/>
                <w:szCs w:val="21"/>
              </w:rPr>
              <w:drawing>
                <wp:inline distT="0" distB="0" distL="114300" distR="114300">
                  <wp:extent cx="1421130" cy="1630045"/>
                  <wp:effectExtent l="0" t="0" r="11430" b="635"/>
                  <wp:docPr id="1" name="图片 2" descr="1fe61be3d0ee9b5a54fb49a07f6ae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1fe61be3d0ee9b5a54fb49a07f6ae51"/>
                          <pic:cNvPicPr>
                            <a:picLocks noChangeAspect="1"/>
                          </pic:cNvPicPr>
                        </pic:nvPicPr>
                        <pic:blipFill>
                          <a:blip r:embed="rId6"/>
                          <a:srcRect l="14499" t="6261" r="11211" b="9227"/>
                          <a:stretch>
                            <a:fillRect/>
                          </a:stretch>
                        </pic:blipFill>
                        <pic:spPr>
                          <a:xfrm>
                            <a:off x="0" y="0"/>
                            <a:ext cx="1421130" cy="1630045"/>
                          </a:xfrm>
                          <a:prstGeom prst="rect">
                            <a:avLst/>
                          </a:prstGeom>
                          <a:noFill/>
                          <a:ln>
                            <a:noFill/>
                          </a:ln>
                        </pic:spPr>
                      </pic:pic>
                    </a:graphicData>
                  </a:graphic>
                </wp:inline>
              </w:drawing>
            </w:r>
          </w:p>
          <w:p w14:paraId="4BD4C760">
            <w:pPr>
              <w:spacing w:line="360" w:lineRule="auto"/>
              <w:ind w:firstLine="426" w:firstLineChars="202"/>
              <w:rPr>
                <w:rFonts w:ascii="宋体" w:hAnsi="宋体" w:cs="宋体"/>
                <w:b/>
                <w:szCs w:val="21"/>
              </w:rPr>
            </w:pPr>
            <w:r>
              <w:rPr>
                <w:rFonts w:hint="eastAsia" w:ascii="宋体" w:hAnsi="宋体" w:cs="宋体"/>
                <w:b/>
                <w:szCs w:val="21"/>
              </w:rPr>
              <w:t>二、学生课椅：</w:t>
            </w:r>
          </w:p>
          <w:p w14:paraId="7FDD2D6C">
            <w:pPr>
              <w:widowControl/>
              <w:spacing w:line="360" w:lineRule="auto"/>
              <w:jc w:val="left"/>
              <w:rPr>
                <w:rFonts w:ascii="宋体" w:hAnsi="宋体" w:cs="宋体"/>
                <w:szCs w:val="21"/>
              </w:rPr>
            </w:pPr>
            <w:r>
              <w:rPr>
                <w:rFonts w:ascii="宋体" w:hAnsi="宋体" w:cs="宋体"/>
                <w:szCs w:val="21"/>
              </w:rPr>
              <w:t>1.</w:t>
            </w:r>
            <w:r>
              <w:rPr>
                <w:rFonts w:hint="eastAsia"/>
              </w:rPr>
              <w:t xml:space="preserve"> 课椅符合</w:t>
            </w:r>
            <w:r>
              <w:t>GB/T3325-2024</w:t>
            </w:r>
            <w:r>
              <w:rPr>
                <w:rFonts w:hint="eastAsia"/>
              </w:rPr>
              <w:t>《金属家具通用技术条件》、</w:t>
            </w:r>
            <w:r>
              <w:t>GB/T 35607-2024</w:t>
            </w:r>
            <w:r>
              <w:rPr>
                <w:rFonts w:hint="eastAsia"/>
              </w:rPr>
              <w:t>《绿色产品评价家具》，产品检测</w:t>
            </w:r>
            <w:r>
              <w:t>(</w:t>
            </w:r>
            <w:r>
              <w:rPr>
                <w:rFonts w:hint="eastAsia"/>
              </w:rPr>
              <w:t>验</w:t>
            </w:r>
            <w:r>
              <w:t>)</w:t>
            </w:r>
            <w:r>
              <w:rPr>
                <w:rFonts w:hint="eastAsia"/>
              </w:rPr>
              <w:t>指标内容包含但不限于：耐液性</w:t>
            </w:r>
            <w:r>
              <w:t>(10%</w:t>
            </w:r>
            <w:r>
              <w:rPr>
                <w:rFonts w:hint="eastAsia"/>
              </w:rPr>
              <w:t>碳酸钠溶液，</w:t>
            </w:r>
            <w:r>
              <w:t>24h</w:t>
            </w:r>
            <w:r>
              <w:rPr>
                <w:rFonts w:hint="eastAsia"/>
              </w:rPr>
              <w:t>；</w:t>
            </w:r>
            <w:r>
              <w:t>10%</w:t>
            </w:r>
            <w:r>
              <w:rPr>
                <w:rFonts w:hint="eastAsia"/>
              </w:rPr>
              <w:t>乙酸溶液，</w:t>
            </w:r>
            <w:r>
              <w:t>24h)</w:t>
            </w:r>
            <w:r>
              <w:rPr>
                <w:rFonts w:hint="eastAsia"/>
              </w:rPr>
              <w:t>≥</w:t>
            </w:r>
            <w:r>
              <w:t>3</w:t>
            </w:r>
            <w:r>
              <w:rPr>
                <w:rFonts w:hint="eastAsia"/>
              </w:rPr>
              <w:t>级、耐湿热</w:t>
            </w:r>
            <w:r>
              <w:t>(20min</w:t>
            </w:r>
            <w:r>
              <w:rPr>
                <w:rFonts w:hint="eastAsia"/>
              </w:rPr>
              <w:t>，</w:t>
            </w:r>
            <w:r>
              <w:t xml:space="preserve"> 70</w:t>
            </w:r>
            <w:r>
              <w:rPr>
                <w:rFonts w:hint="eastAsia"/>
              </w:rPr>
              <w:t>℃</w:t>
            </w:r>
            <w:r>
              <w:t>)</w:t>
            </w:r>
            <w:r>
              <w:rPr>
                <w:rFonts w:hint="eastAsia"/>
              </w:rPr>
              <w:t>≥</w:t>
            </w:r>
            <w:r>
              <w:t>3</w:t>
            </w:r>
            <w:r>
              <w:rPr>
                <w:rFonts w:hint="eastAsia"/>
              </w:rPr>
              <w:t>级、耐干热</w:t>
            </w:r>
            <w:r>
              <w:t>(20min</w:t>
            </w:r>
            <w:r>
              <w:rPr>
                <w:rFonts w:hint="eastAsia"/>
              </w:rPr>
              <w:t>，</w:t>
            </w:r>
            <w:r>
              <w:t xml:space="preserve"> 70</w:t>
            </w:r>
            <w:r>
              <w:rPr>
                <w:rFonts w:hint="eastAsia"/>
              </w:rPr>
              <w:t>℃</w:t>
            </w:r>
            <w:r>
              <w:t>)</w:t>
            </w:r>
            <w:r>
              <w:rPr>
                <w:rFonts w:hint="eastAsia"/>
              </w:rPr>
              <w:t>≥</w:t>
            </w:r>
            <w:r>
              <w:t>3</w:t>
            </w:r>
            <w:r>
              <w:rPr>
                <w:rFonts w:hint="eastAsia"/>
              </w:rPr>
              <w:t>级、附着力</w:t>
            </w:r>
            <w:r>
              <w:t>(</w:t>
            </w:r>
            <w:r>
              <w:rPr>
                <w:rFonts w:hint="eastAsia"/>
              </w:rPr>
              <w:t>涂层交叉切割法</w:t>
            </w:r>
            <w:r>
              <w:t>)</w:t>
            </w:r>
            <w:r>
              <w:rPr>
                <w:rFonts w:hint="eastAsia"/>
              </w:rPr>
              <w:t>≥</w:t>
            </w:r>
            <w:r>
              <w:t>3</w:t>
            </w:r>
            <w:r>
              <w:rPr>
                <w:rFonts w:hint="eastAsia"/>
              </w:rPr>
              <w:t>级、耐冷热温差</w:t>
            </w:r>
            <w:r>
              <w:t>(3</w:t>
            </w:r>
            <w:r>
              <w:rPr>
                <w:rFonts w:hint="eastAsia"/>
              </w:rPr>
              <w:t>周期</w:t>
            </w:r>
            <w:r>
              <w:t>)</w:t>
            </w:r>
            <w:r>
              <w:rPr>
                <w:rFonts w:hint="eastAsia"/>
              </w:rPr>
              <w:t>无鼓泡裂缝和明显失光、耐磨性</w:t>
            </w:r>
            <w:r>
              <w:t>(1000r)</w:t>
            </w:r>
            <w:r>
              <w:rPr>
                <w:rFonts w:hint="eastAsia"/>
              </w:rPr>
              <w:t>≥</w:t>
            </w:r>
            <w:r>
              <w:t>3</w:t>
            </w:r>
            <w:r>
              <w:rPr>
                <w:rFonts w:hint="eastAsia"/>
              </w:rPr>
              <w:t>级、抗冲击</w:t>
            </w:r>
            <w:r>
              <w:t>(</w:t>
            </w:r>
            <w:r>
              <w:rPr>
                <w:rFonts w:hint="eastAsia"/>
              </w:rPr>
              <w:t>冲击高度</w:t>
            </w:r>
            <w:r>
              <w:t>50mm)</w:t>
            </w:r>
            <w:r>
              <w:rPr>
                <w:rFonts w:hint="eastAsia"/>
              </w:rPr>
              <w:t>≥</w:t>
            </w:r>
            <w:r>
              <w:t>3</w:t>
            </w:r>
            <w:r>
              <w:rPr>
                <w:rFonts w:hint="eastAsia"/>
              </w:rPr>
              <w:t>级、金属件喷涂层、金属件电镀层抗盐雾、课椅的力学性能（椅子向前倾翻、椅子侧向倾翻、椅子向后倾翻、凳子任意方向倾翻、座面椅背联合静荷载、座面椅背联合耐久性、椅腿向前静荷载、座面侧向静荷载等）</w:t>
            </w:r>
            <w:r>
              <w:rPr>
                <w:rFonts w:hint="eastAsia" w:ascii="宋体" w:hAnsi="宋体" w:cs="宋体"/>
                <w:szCs w:val="21"/>
              </w:rPr>
              <w:t>、甲醛释放量≤</w:t>
            </w:r>
            <w:r>
              <w:rPr>
                <w:rFonts w:hint="eastAsia" w:ascii="宋体" w:cs="宋体"/>
                <w:szCs w:val="21"/>
              </w:rPr>
              <w:t>0.0</w:t>
            </w:r>
            <w:r>
              <w:rPr>
                <w:rFonts w:hint="eastAsia" w:ascii="宋体" w:hAnsi="宋体" w:cs="宋体"/>
                <w:szCs w:val="21"/>
              </w:rPr>
              <w:t>8mg/m³、苯≤</w:t>
            </w:r>
            <w:r>
              <w:rPr>
                <w:rFonts w:hint="eastAsia" w:ascii="宋体" w:cs="宋体"/>
                <w:szCs w:val="21"/>
              </w:rPr>
              <w:t>0.0</w:t>
            </w:r>
            <w:r>
              <w:rPr>
                <w:rFonts w:hint="eastAsia" w:ascii="宋体" w:hAnsi="宋体" w:cs="宋体"/>
                <w:szCs w:val="21"/>
              </w:rPr>
              <w:t>6mg/m³、甲苯≤0.15mg/m³、二甲苯≤</w:t>
            </w:r>
            <w:r>
              <w:rPr>
                <w:rFonts w:hint="eastAsia" w:ascii="宋体" w:cs="宋体"/>
                <w:szCs w:val="21"/>
              </w:rPr>
              <w:t>0.</w:t>
            </w:r>
            <w:r>
              <w:rPr>
                <w:rFonts w:hint="eastAsia" w:ascii="宋体" w:hAnsi="宋体" w:cs="宋体"/>
                <w:szCs w:val="21"/>
              </w:rPr>
              <w:t>2mg/m³、总挥发性有机化合物（TVOC）≤</w:t>
            </w:r>
            <w:r>
              <w:rPr>
                <w:rFonts w:hint="eastAsia" w:ascii="宋体" w:cs="宋体"/>
                <w:szCs w:val="21"/>
              </w:rPr>
              <w:t>0.</w:t>
            </w:r>
            <w:r>
              <w:rPr>
                <w:rFonts w:hint="eastAsia" w:ascii="宋体" w:hAnsi="宋体" w:cs="宋体"/>
                <w:szCs w:val="21"/>
              </w:rPr>
              <w:t>5mg/m³</w:t>
            </w:r>
            <w:r>
              <w:rPr>
                <w:rFonts w:hint="eastAsia"/>
              </w:rPr>
              <w:t>、邻苯二甲酸酯≤</w:t>
            </w:r>
            <w:r>
              <w:t>0.1mg/m</w:t>
            </w:r>
            <w:r>
              <w:rPr>
                <w:rFonts w:hint="eastAsia"/>
              </w:rPr>
              <w:t>³、多环芳烃、家具涂层可迁移元素</w:t>
            </w:r>
            <w:r>
              <w:rPr>
                <w:rFonts w:hint="eastAsia" w:ascii="宋体" w:hAnsi="宋体" w:cs="宋体"/>
                <w:szCs w:val="21"/>
              </w:rPr>
              <w:t>（铅≤90mg/kg、镉≤75mg/kg、铬≤60mg/kg、汞≤60mg/kg、锑≤60mg/kg、钡≤1000mg/kg、硒≤500mg/kg、砷≤25mg/kg）</w:t>
            </w:r>
            <w:r>
              <w:rPr>
                <w:rFonts w:hint="eastAsia"/>
              </w:rPr>
              <w:t>等（</w:t>
            </w:r>
            <w:r>
              <w:rPr>
                <w:rFonts w:hint="eastAsia" w:ascii="宋体" w:hAnsi="宋体" w:cs="宋体"/>
                <w:b/>
                <w:szCs w:val="21"/>
              </w:rPr>
              <w:t>检测报告请在投标文件中提供，验收时原件备查</w:t>
            </w:r>
            <w:r>
              <w:rPr>
                <w:rFonts w:hint="eastAsia"/>
              </w:rPr>
              <w:t>）。</w:t>
            </w:r>
          </w:p>
          <w:p w14:paraId="66A5AA3B">
            <w:pPr>
              <w:spacing w:line="360" w:lineRule="auto"/>
              <w:ind w:firstLine="424" w:firstLineChars="202"/>
              <w:rPr>
                <w:rFonts w:ascii="宋体" w:hAnsi="宋体" w:cs="宋体"/>
                <w:szCs w:val="21"/>
              </w:rPr>
            </w:pPr>
            <w:r>
              <w:rPr>
                <w:rFonts w:hint="eastAsia" w:ascii="宋体" w:hAnsi="宋体" w:cs="宋体"/>
                <w:szCs w:val="21"/>
              </w:rPr>
              <w:t>▲</w:t>
            </w:r>
            <w:r>
              <w:rPr>
                <w:rFonts w:ascii="宋体" w:hAnsi="宋体" w:cs="宋体"/>
                <w:szCs w:val="21"/>
              </w:rPr>
              <w:t>2.</w:t>
            </w:r>
            <w:r>
              <w:rPr>
                <w:rFonts w:hint="eastAsia"/>
              </w:rPr>
              <w:t>课椅坐板面尺寸：坐板≥长</w:t>
            </w:r>
            <w:r>
              <w:t>370</w:t>
            </w:r>
            <w:r>
              <w:rPr>
                <w:rFonts w:hint="eastAsia"/>
              </w:rPr>
              <w:t>×深</w:t>
            </w:r>
            <w:r>
              <w:t>360mm</w:t>
            </w:r>
            <w:r>
              <w:rPr>
                <w:rFonts w:hint="eastAsia"/>
              </w:rPr>
              <w:t>，厚度</w:t>
            </w:r>
            <w:r>
              <w:t>15mm</w:t>
            </w:r>
            <w:r>
              <w:rPr>
                <w:rFonts w:hint="eastAsia"/>
              </w:rPr>
              <w:t>，采用模压板。原材料为单一树种橡胶木。椅面板符合</w:t>
            </w:r>
            <w:r>
              <w:t>GB18580-2017</w:t>
            </w:r>
            <w:r>
              <w:rPr>
                <w:rFonts w:hint="eastAsia"/>
              </w:rPr>
              <w:t>《室内装饰装修材料人造板及其制品中甲醛释放限量》、</w:t>
            </w:r>
            <w:r>
              <w:t>GB/T15105-2024</w:t>
            </w:r>
            <w:r>
              <w:rPr>
                <w:rFonts w:hint="eastAsia"/>
              </w:rPr>
              <w:t>《模压刨花制品》，产品检测</w:t>
            </w:r>
            <w:r>
              <w:t>(</w:t>
            </w:r>
            <w:r>
              <w:rPr>
                <w:rFonts w:hint="eastAsia"/>
              </w:rPr>
              <w:t>验</w:t>
            </w:r>
            <w:r>
              <w:t>)</w:t>
            </w:r>
            <w:r>
              <w:rPr>
                <w:rFonts w:hint="eastAsia"/>
              </w:rPr>
              <w:t>指标内容包含但不限于：密度</w:t>
            </w:r>
            <w:r>
              <w:t>0.6-0.85g/cm</w:t>
            </w:r>
            <w:r>
              <w:rPr>
                <w:rFonts w:hint="eastAsia"/>
              </w:rPr>
              <w:t>³，含水率</w:t>
            </w:r>
            <w:r>
              <w:t>5-11%</w:t>
            </w:r>
            <w:r>
              <w:rPr>
                <w:rFonts w:hint="eastAsia"/>
              </w:rPr>
              <w:t>，静曲强度≥</w:t>
            </w:r>
            <w:r>
              <w:t>30MPa</w:t>
            </w:r>
            <w:r>
              <w:rPr>
                <w:rFonts w:hint="eastAsia"/>
              </w:rPr>
              <w:t>，内结合强度≥</w:t>
            </w:r>
            <w:r>
              <w:t>0.8MPa</w:t>
            </w:r>
            <w:r>
              <w:rPr>
                <w:rFonts w:hint="eastAsia"/>
              </w:rPr>
              <w:t>，吸水膨胀率≤</w:t>
            </w:r>
            <w:r>
              <w:t>3%</w:t>
            </w:r>
            <w:r>
              <w:rPr>
                <w:rFonts w:hint="eastAsia"/>
              </w:rPr>
              <w:t>，板面握螺钉力≥</w:t>
            </w:r>
            <w:r>
              <w:t>1000N</w:t>
            </w:r>
            <w:r>
              <w:rPr>
                <w:rFonts w:hint="eastAsia"/>
              </w:rPr>
              <w:t>，浸渍剥离任何一边装饰层与基材的剥离长度不得超过</w:t>
            </w:r>
            <w:r>
              <w:t>25mm</w:t>
            </w:r>
            <w:r>
              <w:rPr>
                <w:rFonts w:hint="eastAsia"/>
              </w:rPr>
              <w:t>，表面耐香烟灼烧性能允许有黄斑和光泽轻微变化，表面耐磨性能≤</w:t>
            </w:r>
            <w:r>
              <w:t>80mg/100r</w:t>
            </w:r>
            <w:r>
              <w:rPr>
                <w:rFonts w:hint="eastAsia"/>
              </w:rPr>
              <w:t>，表面耐开裂性能≤</w:t>
            </w:r>
            <w:r>
              <w:t>1</w:t>
            </w:r>
            <w:r>
              <w:rPr>
                <w:rFonts w:hint="eastAsia"/>
              </w:rPr>
              <w:t>级，表面耐干热性能无开裂、无鼓泡、允许光泽轻微变化，表面耐水蒸气性能不允许有突起、变色和开裂，表面耐污染腐蚀性能无污染、无腐蚀，</w:t>
            </w:r>
            <w:r>
              <w:rPr>
                <w:rFonts w:hint="eastAsia"/>
                <w:b/>
              </w:rPr>
              <w:t>甲醛释放量≤</w:t>
            </w:r>
            <w:bookmarkStart w:id="7" w:name="OLE_LINK48"/>
            <w:r>
              <w:rPr>
                <w:b/>
              </w:rPr>
              <w:t>0.124mg/m</w:t>
            </w:r>
            <w:r>
              <w:rPr>
                <w:rFonts w:hint="eastAsia"/>
                <w:b/>
              </w:rPr>
              <w:t>³</w:t>
            </w:r>
            <w:bookmarkEnd w:id="7"/>
            <w:r>
              <w:rPr>
                <w:rFonts w:hint="eastAsia"/>
              </w:rPr>
              <w:t>等参数必须为合格（</w:t>
            </w:r>
            <w:r>
              <w:rPr>
                <w:rFonts w:hint="eastAsia" w:ascii="宋体" w:hAnsi="宋体" w:cs="宋体"/>
                <w:b/>
                <w:szCs w:val="21"/>
              </w:rPr>
              <w:t>检测报告请在投标文件中提供，验收时原件备查</w:t>
            </w:r>
            <w:r>
              <w:rPr>
                <w:rFonts w:hint="eastAsia"/>
              </w:rPr>
              <w:t>）。产品环保、耐用，板面具有高强度耐磨擦、耐酸碱、防水和耐污性好等特点。颜色整体采用木纹色，美观大方。</w:t>
            </w:r>
            <w:r>
              <w:rPr>
                <w:rFonts w:hint="eastAsia" w:ascii="宋体" w:hAnsi="宋体" w:cs="宋体"/>
                <w:szCs w:val="21"/>
              </w:rPr>
              <w:t>参考图：</w:t>
            </w:r>
          </w:p>
          <w:p w14:paraId="282811BB">
            <w:pPr>
              <w:ind w:firstLine="424" w:firstLineChars="202"/>
              <w:rPr>
                <w:rFonts w:ascii="宋体" w:cs="宋体"/>
                <w:szCs w:val="21"/>
              </w:rPr>
            </w:pPr>
            <w:r>
              <w:rPr>
                <w:rFonts w:hint="eastAsia" w:ascii="宋体" w:cs="宋体"/>
                <w:szCs w:val="21"/>
              </w:rPr>
              <w:drawing>
                <wp:inline distT="0" distB="0" distL="114300" distR="114300">
                  <wp:extent cx="1629410" cy="1591310"/>
                  <wp:effectExtent l="0" t="0" r="1270" b="8890"/>
                  <wp:docPr id="3" name="图片 3" descr="04a6952028f1049a5a7257f4f13d5e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04a6952028f1049a5a7257f4f13d5ef"/>
                          <pic:cNvPicPr>
                            <a:picLocks noChangeAspect="1"/>
                          </pic:cNvPicPr>
                        </pic:nvPicPr>
                        <pic:blipFill>
                          <a:blip r:embed="rId7"/>
                          <a:srcRect t="19807" b="6281"/>
                          <a:stretch>
                            <a:fillRect/>
                          </a:stretch>
                        </pic:blipFill>
                        <pic:spPr>
                          <a:xfrm>
                            <a:off x="0" y="0"/>
                            <a:ext cx="1629410" cy="1591310"/>
                          </a:xfrm>
                          <a:prstGeom prst="rect">
                            <a:avLst/>
                          </a:prstGeom>
                          <a:noFill/>
                          <a:ln>
                            <a:noFill/>
                          </a:ln>
                        </pic:spPr>
                      </pic:pic>
                    </a:graphicData>
                  </a:graphic>
                </wp:inline>
              </w:drawing>
            </w:r>
          </w:p>
          <w:p w14:paraId="3823ED17">
            <w:pPr>
              <w:spacing w:line="360" w:lineRule="auto"/>
              <w:ind w:firstLine="424" w:firstLineChars="202"/>
              <w:rPr>
                <w:rFonts w:ascii="宋体" w:hAnsi="宋体" w:cs="宋体"/>
                <w:szCs w:val="21"/>
              </w:rPr>
            </w:pPr>
            <w:r>
              <w:rPr>
                <w:rFonts w:hint="eastAsia" w:ascii="宋体" w:hAnsi="宋体" w:cs="宋体"/>
                <w:szCs w:val="21"/>
              </w:rPr>
              <w:t>▲</w:t>
            </w:r>
            <w:r>
              <w:rPr>
                <w:rFonts w:ascii="宋体" w:hAnsi="宋体" w:cs="宋体"/>
                <w:szCs w:val="21"/>
              </w:rPr>
              <w:t>3.</w:t>
            </w:r>
            <w:r>
              <w:rPr>
                <w:rFonts w:hint="eastAsia" w:ascii="宋体" w:hAnsi="宋体" w:cs="宋体"/>
                <w:szCs w:val="21"/>
              </w:rPr>
              <w:t>座面高度：根据中小学使用需求可升降</w:t>
            </w:r>
            <w:r>
              <w:rPr>
                <w:rFonts w:ascii="宋体" w:hAnsi="宋体" w:cs="宋体"/>
                <w:szCs w:val="21"/>
              </w:rPr>
              <w:t>(</w:t>
            </w:r>
            <w:r>
              <w:rPr>
                <w:rFonts w:hint="eastAsia" w:ascii="宋体" w:hAnsi="宋体" w:cs="宋体"/>
                <w:szCs w:val="21"/>
              </w:rPr>
              <w:t>±</w:t>
            </w:r>
            <w:r>
              <w:rPr>
                <w:rFonts w:ascii="宋体" w:hAnsi="宋体" w:cs="宋体"/>
                <w:szCs w:val="21"/>
              </w:rPr>
              <w:t>5mm</w:t>
            </w:r>
            <w:r>
              <w:rPr>
                <w:rFonts w:hint="eastAsia" w:ascii="宋体" w:hAnsi="宋体" w:cs="宋体"/>
                <w:szCs w:val="21"/>
              </w:rPr>
              <w:t>误差）；椅高可调节</w:t>
            </w:r>
            <w:r>
              <w:rPr>
                <w:rFonts w:ascii="宋体" w:hAnsi="宋体" w:cs="宋体"/>
                <w:szCs w:val="21"/>
              </w:rPr>
              <w:t>360-420mm</w:t>
            </w:r>
            <w:r>
              <w:rPr>
                <w:rFonts w:hint="eastAsia" w:ascii="宋体" w:hAnsi="宋体" w:cs="宋体"/>
                <w:szCs w:val="21"/>
              </w:rPr>
              <w:t>。</w:t>
            </w:r>
          </w:p>
          <w:p w14:paraId="488FEC13">
            <w:pPr>
              <w:spacing w:line="360" w:lineRule="auto"/>
              <w:ind w:firstLine="424" w:firstLineChars="202"/>
              <w:rPr>
                <w:rFonts w:ascii="宋体" w:hAnsi="宋体" w:cs="宋体"/>
                <w:szCs w:val="21"/>
              </w:rPr>
            </w:pPr>
            <w:r>
              <w:rPr>
                <w:rFonts w:hint="eastAsia" w:ascii="宋体" w:hAnsi="宋体" w:cs="宋体"/>
                <w:szCs w:val="21"/>
              </w:rPr>
              <w:t>▲</w:t>
            </w:r>
            <w:r>
              <w:rPr>
                <w:rFonts w:ascii="宋体" w:hAnsi="宋体" w:cs="宋体"/>
                <w:szCs w:val="21"/>
              </w:rPr>
              <w:t>4.</w:t>
            </w:r>
            <w:r>
              <w:rPr>
                <w:rFonts w:hint="eastAsia" w:ascii="宋体" w:hAnsi="宋体" w:cs="宋体"/>
                <w:szCs w:val="21"/>
              </w:rPr>
              <w:t>钢材要求：椅脚外管用≥30*60*1.2mm 厚椭圆焊接钢管，升降内管采用≥20*50*1.2mm 厚椭圆焊接钢管，甲醛释放量≤</w:t>
            </w:r>
            <w:r>
              <w:rPr>
                <w:rFonts w:hint="eastAsia" w:ascii="宋体" w:cs="宋体"/>
                <w:szCs w:val="21"/>
              </w:rPr>
              <w:t>0.0</w:t>
            </w:r>
            <w:r>
              <w:rPr>
                <w:rFonts w:hint="eastAsia" w:ascii="宋体" w:hAnsi="宋体" w:cs="宋体"/>
                <w:szCs w:val="21"/>
              </w:rPr>
              <w:t>8mg/m³，五金部分经开料、焊接、打磨、酸洗、磷化、干粉静电喷涂后高温烤制而成。</w:t>
            </w:r>
          </w:p>
          <w:p w14:paraId="2BB45987">
            <w:pPr>
              <w:spacing w:line="360" w:lineRule="auto"/>
              <w:ind w:firstLine="424" w:firstLineChars="202"/>
              <w:rPr>
                <w:rFonts w:ascii="宋体" w:hAnsi="宋体" w:cs="宋体"/>
                <w:szCs w:val="21"/>
              </w:rPr>
            </w:pPr>
            <w:r>
              <w:rPr>
                <w:rFonts w:hint="eastAsia" w:ascii="宋体" w:hAnsi="宋体" w:cs="宋体"/>
                <w:szCs w:val="21"/>
              </w:rPr>
              <w:t>▲</w:t>
            </w:r>
            <w:r>
              <w:rPr>
                <w:rFonts w:ascii="宋体" w:hAnsi="宋体" w:cs="宋体"/>
                <w:szCs w:val="21"/>
              </w:rPr>
              <w:t>5.</w:t>
            </w:r>
            <w:r>
              <w:rPr>
                <w:rFonts w:hint="eastAsia"/>
              </w:rPr>
              <w:t xml:space="preserve"> 课椅靠背板≥长</w:t>
            </w:r>
            <w:r>
              <w:t>350</w:t>
            </w:r>
            <w:r>
              <w:rPr>
                <w:rFonts w:hint="eastAsia"/>
              </w:rPr>
              <w:t>×高</w:t>
            </w:r>
            <w:r>
              <w:t>170mm,</w:t>
            </w:r>
            <w:r>
              <w:rPr>
                <w:rFonts w:hint="eastAsia"/>
              </w:rPr>
              <w:t>厚度</w:t>
            </w:r>
            <w:r>
              <w:t>14mm</w:t>
            </w:r>
            <w:r>
              <w:rPr>
                <w:rFonts w:hint="eastAsia"/>
              </w:rPr>
              <w:t>，采用模压板。原材料为单一树种橡胶木。椅面板符合</w:t>
            </w:r>
            <w:r>
              <w:t>GB18580-2017</w:t>
            </w:r>
            <w:r>
              <w:rPr>
                <w:rFonts w:hint="eastAsia"/>
              </w:rPr>
              <w:t>《室内装饰装修材料人造板及其制品中甲醛释放限量》、</w:t>
            </w:r>
            <w:r>
              <w:t>GB/T15105-2024</w:t>
            </w:r>
            <w:r>
              <w:rPr>
                <w:rFonts w:hint="eastAsia"/>
              </w:rPr>
              <w:t>《模压刨花制品》，产品检测</w:t>
            </w:r>
            <w:r>
              <w:t>(</w:t>
            </w:r>
            <w:r>
              <w:rPr>
                <w:rFonts w:hint="eastAsia"/>
              </w:rPr>
              <w:t>验</w:t>
            </w:r>
            <w:r>
              <w:t>)</w:t>
            </w:r>
            <w:r>
              <w:rPr>
                <w:rFonts w:hint="eastAsia"/>
              </w:rPr>
              <w:t>指标内容包含但不限于：密度</w:t>
            </w:r>
            <w:r>
              <w:t>0.6-0.85g/cm</w:t>
            </w:r>
            <w:r>
              <w:rPr>
                <w:rFonts w:hint="eastAsia"/>
              </w:rPr>
              <w:t>³，含水率</w:t>
            </w:r>
            <w:r>
              <w:t>5-11%</w:t>
            </w:r>
            <w:r>
              <w:rPr>
                <w:rFonts w:hint="eastAsia"/>
              </w:rPr>
              <w:t>，静曲强度≥</w:t>
            </w:r>
            <w:r>
              <w:t>30MPa</w:t>
            </w:r>
            <w:r>
              <w:rPr>
                <w:rFonts w:hint="eastAsia"/>
              </w:rPr>
              <w:t>，内结合强度≥</w:t>
            </w:r>
            <w:r>
              <w:t>0.8MPa</w:t>
            </w:r>
            <w:r>
              <w:rPr>
                <w:rFonts w:hint="eastAsia"/>
              </w:rPr>
              <w:t>，吸水膨胀率≤</w:t>
            </w:r>
            <w:r>
              <w:t>3%</w:t>
            </w:r>
            <w:r>
              <w:rPr>
                <w:rFonts w:hint="eastAsia"/>
              </w:rPr>
              <w:t>，板面握螺钉力≥</w:t>
            </w:r>
            <w:r>
              <w:t>1000N</w:t>
            </w:r>
            <w:r>
              <w:rPr>
                <w:rFonts w:hint="eastAsia"/>
              </w:rPr>
              <w:t>，浸渍剥离任何一边装饰层与基材的剥离长度不得超过</w:t>
            </w:r>
            <w:r>
              <w:t>25mm</w:t>
            </w:r>
            <w:r>
              <w:rPr>
                <w:rFonts w:hint="eastAsia"/>
              </w:rPr>
              <w:t>，表面耐香烟灼烧性能允许有黄斑和光泽轻微变化，表面耐磨性能≤</w:t>
            </w:r>
            <w:r>
              <w:t>80mg/100r</w:t>
            </w:r>
            <w:r>
              <w:rPr>
                <w:rFonts w:hint="eastAsia"/>
              </w:rPr>
              <w:t>，表面耐开裂性能≤</w:t>
            </w:r>
            <w:r>
              <w:t>1</w:t>
            </w:r>
            <w:r>
              <w:rPr>
                <w:rFonts w:hint="eastAsia"/>
              </w:rPr>
              <w:t>级，表面耐干热性能无开裂、无鼓泡、允许光泽轻微变化，表面耐水蒸气性能不允许有突起、变色和开裂，表面耐污染腐蚀性能无污染、无腐蚀，</w:t>
            </w:r>
            <w:r>
              <w:rPr>
                <w:rFonts w:hint="eastAsia"/>
                <w:b/>
              </w:rPr>
              <w:t>甲醛释放量≤</w:t>
            </w:r>
            <w:r>
              <w:rPr>
                <w:b/>
              </w:rPr>
              <w:t>0.124mg/m</w:t>
            </w:r>
            <w:r>
              <w:rPr>
                <w:rFonts w:hint="eastAsia"/>
                <w:b/>
              </w:rPr>
              <w:t>³等</w:t>
            </w:r>
            <w:r>
              <w:rPr>
                <w:rFonts w:hint="eastAsia"/>
              </w:rPr>
              <w:t>参数必须为合格（</w:t>
            </w:r>
            <w:r>
              <w:rPr>
                <w:rFonts w:hint="eastAsia" w:ascii="宋体" w:hAnsi="宋体" w:cs="宋体"/>
                <w:b/>
                <w:szCs w:val="21"/>
              </w:rPr>
              <w:t>检测报告请在投标文件中提供，验收时原件备查</w:t>
            </w:r>
            <w:r>
              <w:rPr>
                <w:rFonts w:hint="eastAsia"/>
              </w:rPr>
              <w:t>）。产品环保、耐用，板面具有高强度耐磨擦、耐酸碱、防水和耐污性好等特点。颜色整体采用木纹色，美观大方。</w:t>
            </w:r>
            <w:r>
              <w:rPr>
                <w:rFonts w:hint="eastAsia" w:ascii="宋体" w:hAnsi="宋体" w:cs="宋体"/>
                <w:szCs w:val="21"/>
              </w:rPr>
              <w:t>参考图：</w:t>
            </w:r>
          </w:p>
          <w:p w14:paraId="3B8A0648">
            <w:pPr>
              <w:ind w:firstLine="424" w:firstLineChars="202"/>
              <w:rPr>
                <w:rFonts w:ascii="宋体" w:cs="宋体"/>
                <w:szCs w:val="21"/>
              </w:rPr>
            </w:pPr>
            <w:r>
              <w:rPr>
                <w:rFonts w:hint="eastAsia" w:ascii="宋体" w:cs="宋体"/>
                <w:szCs w:val="21"/>
              </w:rPr>
              <w:drawing>
                <wp:inline distT="0" distB="0" distL="114300" distR="114300">
                  <wp:extent cx="1675130" cy="868680"/>
                  <wp:effectExtent l="0" t="0" r="1270" b="0"/>
                  <wp:docPr id="4" name="图片 4" descr="63f261558159c56f1d932592062be6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63f261558159c56f1d932592062be6d"/>
                          <pic:cNvPicPr>
                            <a:picLocks noChangeAspect="1"/>
                          </pic:cNvPicPr>
                        </pic:nvPicPr>
                        <pic:blipFill>
                          <a:blip r:embed="rId8"/>
                          <a:srcRect t="34807" b="25798"/>
                          <a:stretch>
                            <a:fillRect/>
                          </a:stretch>
                        </pic:blipFill>
                        <pic:spPr>
                          <a:xfrm>
                            <a:off x="0" y="0"/>
                            <a:ext cx="1675130" cy="868680"/>
                          </a:xfrm>
                          <a:prstGeom prst="rect">
                            <a:avLst/>
                          </a:prstGeom>
                          <a:noFill/>
                          <a:ln>
                            <a:noFill/>
                          </a:ln>
                        </pic:spPr>
                      </pic:pic>
                    </a:graphicData>
                  </a:graphic>
                </wp:inline>
              </w:drawing>
            </w:r>
          </w:p>
          <w:p w14:paraId="41CAD8A6">
            <w:pPr>
              <w:spacing w:line="360" w:lineRule="auto"/>
              <w:ind w:firstLine="424" w:firstLineChars="202"/>
              <w:rPr>
                <w:szCs w:val="21"/>
              </w:rPr>
            </w:pPr>
            <w:r>
              <w:rPr>
                <w:rFonts w:hint="eastAsia" w:ascii="宋体" w:cs="宋体"/>
                <w:szCs w:val="21"/>
              </w:rPr>
              <w:t>▲</w:t>
            </w:r>
            <w:r>
              <w:rPr>
                <w:rFonts w:ascii="宋体" w:hAnsi="宋体" w:cs="宋体"/>
                <w:szCs w:val="21"/>
              </w:rPr>
              <w:t>6</w:t>
            </w:r>
            <w:r>
              <w:rPr>
                <w:rFonts w:ascii="宋体" w:cs="宋体"/>
                <w:szCs w:val="21"/>
              </w:rPr>
              <w:t>.</w:t>
            </w:r>
            <w:r>
              <w:rPr>
                <w:rFonts w:hint="eastAsia" w:ascii="宋体" w:hAnsi="宋体" w:cs="宋体"/>
                <w:szCs w:val="21"/>
              </w:rPr>
              <w:t>课椅脚套采用优质</w:t>
            </w:r>
            <w:r>
              <w:rPr>
                <w:rFonts w:ascii="宋体" w:hAnsi="宋体" w:cs="宋体"/>
                <w:szCs w:val="21"/>
              </w:rPr>
              <w:t>PVC</w:t>
            </w:r>
            <w:r>
              <w:rPr>
                <w:rFonts w:hint="eastAsia" w:ascii="宋体" w:hAnsi="宋体" w:cs="宋体"/>
                <w:szCs w:val="21"/>
              </w:rPr>
              <w:t>软塑料制作，每个脚套有倒钩技术功能，以防脱落。</w:t>
            </w:r>
          </w:p>
          <w:p w14:paraId="4161F448">
            <w:pPr>
              <w:spacing w:line="360" w:lineRule="auto"/>
              <w:ind w:firstLine="424" w:firstLineChars="202"/>
              <w:rPr>
                <w:rFonts w:ascii="宋体" w:cs="宋体"/>
                <w:szCs w:val="21"/>
              </w:rPr>
            </w:pPr>
            <w:r>
              <w:rPr>
                <w:rFonts w:hint="eastAsia" w:ascii="宋体" w:cs="宋体"/>
                <w:szCs w:val="21"/>
              </w:rPr>
              <w:t>▲</w:t>
            </w:r>
            <w:r>
              <w:rPr>
                <w:rFonts w:ascii="宋体" w:hAnsi="宋体" w:cs="宋体"/>
                <w:szCs w:val="21"/>
              </w:rPr>
              <w:t>7</w:t>
            </w:r>
            <w:r>
              <w:rPr>
                <w:rFonts w:ascii="宋体" w:cs="宋体"/>
                <w:szCs w:val="21"/>
              </w:rPr>
              <w:t>.</w:t>
            </w:r>
            <w:r>
              <w:rPr>
                <w:rFonts w:hint="eastAsia" w:ascii="宋体" w:hAnsi="宋体" w:cs="宋体"/>
                <w:szCs w:val="21"/>
              </w:rPr>
              <w:t>塑粉采用优质环保塑粉，符合HG/T 2006-2022《热固性和热塑性粉末涂料》、GB 18581-2020《木器涂料中有害物质限量》，产品检测(验)指标内容包含但不限于：耐湿性500h无异常、总铅(Pb)含量≤90mg/kg、可溶性重金属含量</w:t>
            </w:r>
            <w:r>
              <w:rPr>
                <w:rFonts w:hint="eastAsia" w:ascii="宋体" w:hAnsi="宋体" w:cs="宋体"/>
                <w:b/>
                <w:szCs w:val="21"/>
              </w:rPr>
              <w:t>（镉≤75mg/kg、铬≤60mg/kg、汞≤60mg/kg）未检出</w:t>
            </w:r>
            <w:r>
              <w:rPr>
                <w:rFonts w:hint="eastAsia" w:ascii="宋体" w:hAnsi="宋体" w:cs="宋体"/>
                <w:szCs w:val="21"/>
              </w:rPr>
              <w:t>、外观（色泽均匀，无异物，呈松散粉末状）、筛余物（125μm）全部通过 、胶化时间、密度、涂膜外观 、附着力≤1级、铅笔硬度≥H、耐冲击性50cm未观察到裂纹皱纹及剥落现象、杯突试验≥4mm、弯曲试验≤4mm涂层无开裂或从底材上剥落、光泽、耐磨性≤50mg、耐酸性（3%HCl）240h无异常、耐碱性168h无异常、耐沸水性2h无异常、耐盐雾性500h划痕处单向腐蚀蔓延宽度≤2.0mm未划痕区无起泡生锈开裂剥落等异常现象（</w:t>
            </w:r>
            <w:r>
              <w:rPr>
                <w:rFonts w:hint="eastAsia" w:ascii="宋体" w:hAnsi="宋体" w:cs="宋体"/>
                <w:b/>
                <w:szCs w:val="21"/>
              </w:rPr>
              <w:t>检测报告请在投标文件中提供，验收时原件备查</w:t>
            </w:r>
            <w:r>
              <w:rPr>
                <w:rFonts w:hint="eastAsia" w:ascii="宋体" w:hAnsi="宋体" w:cs="宋体"/>
                <w:szCs w:val="21"/>
              </w:rPr>
              <w:t>）。涂层表面色泽均匀一致，不允许有流挂、起粒、皱皮、露底、剥落、伤痕等缺陷，颜色：灰白色，表面涂层：喷涂后涂层表面应色泽均匀一致，工件的各部位不应有起粒、皱皮、露底、剥落、伤痕或漏喷等现象。</w:t>
            </w:r>
          </w:p>
          <w:p w14:paraId="2E00E1EA">
            <w:pPr>
              <w:spacing w:line="360" w:lineRule="auto"/>
              <w:ind w:firstLine="424" w:firstLineChars="202"/>
              <w:rPr>
                <w:rFonts w:ascii="宋体" w:cs="宋体"/>
                <w:szCs w:val="21"/>
              </w:rPr>
            </w:pPr>
            <w:r>
              <w:rPr>
                <w:rFonts w:hint="eastAsia" w:ascii="宋体" w:cs="宋体"/>
                <w:szCs w:val="21"/>
              </w:rPr>
              <w:t>▲</w:t>
            </w:r>
            <w:r>
              <w:rPr>
                <w:rFonts w:ascii="宋体" w:hAnsi="宋体" w:cs="宋体"/>
                <w:szCs w:val="21"/>
              </w:rPr>
              <w:t>8</w:t>
            </w:r>
            <w:r>
              <w:rPr>
                <w:rFonts w:ascii="宋体" w:cs="宋体"/>
                <w:szCs w:val="21"/>
              </w:rPr>
              <w:t>.</w:t>
            </w:r>
            <w:r>
              <w:rPr>
                <w:rFonts w:hint="eastAsia" w:ascii="宋体" w:hAnsi="宋体" w:cs="宋体"/>
                <w:szCs w:val="21"/>
              </w:rPr>
              <w:t>铁件部分均要经过</w:t>
            </w:r>
            <w:r>
              <w:rPr>
                <w:rFonts w:hint="eastAsia" w:ascii="宋体" w:hAnsi="宋体" w:cs="宋体"/>
                <w:szCs w:val="21"/>
                <w:lang w:val="zh-CN"/>
              </w:rPr>
              <w:t>除锈</w:t>
            </w:r>
            <w:r>
              <w:rPr>
                <w:rFonts w:ascii="宋体" w:hAnsi="宋体" w:cs="宋体"/>
                <w:szCs w:val="21"/>
                <w:lang w:val="zh-CN"/>
              </w:rPr>
              <w:t>—</w:t>
            </w:r>
            <w:r>
              <w:rPr>
                <w:rFonts w:hint="eastAsia" w:ascii="宋体" w:hAnsi="宋体" w:cs="宋体"/>
                <w:szCs w:val="21"/>
                <w:lang w:val="zh-CN"/>
              </w:rPr>
              <w:t>预脱脂</w:t>
            </w:r>
            <w:r>
              <w:rPr>
                <w:rFonts w:ascii="宋体" w:hAnsi="宋体" w:cs="宋体"/>
                <w:szCs w:val="21"/>
                <w:lang w:val="zh-CN"/>
              </w:rPr>
              <w:t>—</w:t>
            </w:r>
            <w:r>
              <w:rPr>
                <w:rFonts w:hint="eastAsia" w:ascii="宋体" w:hAnsi="宋体" w:cs="宋体"/>
                <w:szCs w:val="21"/>
                <w:lang w:val="zh-CN"/>
              </w:rPr>
              <w:t>除油</w:t>
            </w:r>
            <w:r>
              <w:rPr>
                <w:rFonts w:ascii="宋体" w:hAnsi="宋体" w:cs="宋体"/>
                <w:szCs w:val="21"/>
                <w:lang w:val="zh-CN"/>
              </w:rPr>
              <w:t>—</w:t>
            </w:r>
            <w:r>
              <w:rPr>
                <w:rFonts w:hint="eastAsia" w:ascii="宋体" w:hAnsi="宋体" w:cs="宋体"/>
                <w:szCs w:val="21"/>
                <w:lang w:val="zh-CN"/>
              </w:rPr>
              <w:t>水洗</w:t>
            </w:r>
            <w:r>
              <w:rPr>
                <w:rFonts w:ascii="宋体" w:hAnsi="宋体" w:cs="宋体"/>
                <w:szCs w:val="21"/>
                <w:lang w:val="zh-CN"/>
              </w:rPr>
              <w:t>—</w:t>
            </w:r>
            <w:r>
              <w:rPr>
                <w:rFonts w:hint="eastAsia" w:ascii="宋体" w:hAnsi="宋体" w:cs="宋体"/>
                <w:szCs w:val="21"/>
                <w:lang w:val="zh-CN"/>
              </w:rPr>
              <w:t>清洗</w:t>
            </w:r>
            <w:r>
              <w:rPr>
                <w:rFonts w:ascii="宋体" w:hAnsi="宋体" w:cs="宋体"/>
                <w:szCs w:val="21"/>
                <w:lang w:val="zh-CN"/>
              </w:rPr>
              <w:t>—</w:t>
            </w:r>
            <w:r>
              <w:rPr>
                <w:rFonts w:hint="eastAsia" w:ascii="宋体" w:hAnsi="宋体" w:cs="宋体"/>
                <w:szCs w:val="21"/>
                <w:lang w:val="zh-CN"/>
              </w:rPr>
              <w:t>中和</w:t>
            </w:r>
            <w:r>
              <w:rPr>
                <w:rFonts w:ascii="宋体" w:hAnsi="宋体" w:cs="宋体"/>
                <w:szCs w:val="21"/>
                <w:lang w:val="zh-CN"/>
              </w:rPr>
              <w:t>—</w:t>
            </w:r>
            <w:r>
              <w:rPr>
                <w:rFonts w:hint="eastAsia" w:ascii="宋体" w:hAnsi="宋体" w:cs="宋体"/>
                <w:szCs w:val="21"/>
                <w:lang w:val="zh-CN"/>
              </w:rPr>
              <w:t>陶化</w:t>
            </w:r>
            <w:r>
              <w:rPr>
                <w:rFonts w:ascii="宋体" w:hAnsi="宋体" w:cs="宋体"/>
                <w:szCs w:val="21"/>
                <w:lang w:val="zh-CN"/>
              </w:rPr>
              <w:t>—</w:t>
            </w:r>
            <w:r>
              <w:rPr>
                <w:rFonts w:hint="eastAsia" w:ascii="宋体" w:hAnsi="宋体" w:cs="宋体"/>
                <w:szCs w:val="21"/>
                <w:lang w:val="zh-CN"/>
              </w:rPr>
              <w:t>水洗</w:t>
            </w:r>
            <w:r>
              <w:rPr>
                <w:rFonts w:ascii="宋体" w:hAnsi="宋体" w:cs="宋体"/>
                <w:szCs w:val="21"/>
                <w:lang w:val="zh-CN"/>
              </w:rPr>
              <w:t>—</w:t>
            </w:r>
            <w:r>
              <w:rPr>
                <w:rFonts w:hint="eastAsia" w:ascii="宋体" w:hAnsi="宋体" w:cs="宋体"/>
                <w:szCs w:val="21"/>
                <w:lang w:val="zh-CN"/>
              </w:rPr>
              <w:t>烘干处理再进行喷塑，然后经过</w:t>
            </w:r>
            <w:r>
              <w:rPr>
                <w:rFonts w:ascii="宋体" w:hAnsi="宋体" w:cs="宋体"/>
                <w:szCs w:val="21"/>
                <w:lang w:val="zh-CN"/>
              </w:rPr>
              <w:t>180</w:t>
            </w:r>
            <w:r>
              <w:rPr>
                <w:rFonts w:hint="eastAsia" w:ascii="宋体" w:hAnsi="宋体" w:cs="宋体"/>
                <w:szCs w:val="21"/>
                <w:lang w:val="zh-CN"/>
              </w:rPr>
              <w:t>℃以上高温烘烤</w:t>
            </w:r>
            <w:r>
              <w:rPr>
                <w:rFonts w:hint="eastAsia" w:ascii="宋体" w:hAnsi="宋体" w:cs="宋体"/>
                <w:szCs w:val="21"/>
              </w:rPr>
              <w:t>。</w:t>
            </w:r>
          </w:p>
          <w:p w14:paraId="4B3C5C49">
            <w:pPr>
              <w:spacing w:line="360" w:lineRule="auto"/>
              <w:ind w:firstLine="420" w:firstLineChars="200"/>
              <w:rPr>
                <w:rFonts w:ascii="宋体" w:cs="宋体"/>
                <w:szCs w:val="21"/>
              </w:rPr>
            </w:pPr>
            <w:r>
              <w:rPr>
                <w:rFonts w:ascii="宋体" w:hAnsi="宋体" w:cs="宋体"/>
                <w:szCs w:val="21"/>
              </w:rPr>
              <w:t>10.</w:t>
            </w:r>
            <w:r>
              <w:rPr>
                <w:rFonts w:hint="eastAsia" w:ascii="宋体" w:hAnsi="宋体" w:cs="宋体"/>
                <w:szCs w:val="21"/>
              </w:rPr>
              <w:t>铁件的焊接均采用二氧化碳护焊进行焊接。</w:t>
            </w:r>
          </w:p>
          <w:p w14:paraId="65B2562C">
            <w:pPr>
              <w:spacing w:line="360" w:lineRule="auto"/>
              <w:ind w:firstLine="420" w:firstLineChars="200"/>
              <w:rPr>
                <w:rFonts w:ascii="宋体" w:cs="宋体"/>
                <w:szCs w:val="21"/>
              </w:rPr>
            </w:pPr>
            <w:r>
              <w:rPr>
                <w:rFonts w:ascii="宋体" w:hAnsi="宋体" w:cs="宋体"/>
                <w:szCs w:val="21"/>
              </w:rPr>
              <w:t>11.</w:t>
            </w:r>
            <w:r>
              <w:rPr>
                <w:rFonts w:hint="eastAsia" w:ascii="宋体" w:hAnsi="宋体" w:cs="宋体"/>
                <w:szCs w:val="21"/>
              </w:rPr>
              <w:t>椅架颜色为高光灰白色，脚套颜色为黑色；颜色可根据使用需求定制。</w:t>
            </w:r>
          </w:p>
          <w:p w14:paraId="27B385F9">
            <w:pPr>
              <w:spacing w:line="360" w:lineRule="auto"/>
              <w:ind w:firstLine="420" w:firstLineChars="200"/>
              <w:rPr>
                <w:rFonts w:ascii="宋体" w:cs="宋体"/>
                <w:szCs w:val="21"/>
              </w:rPr>
            </w:pPr>
            <w:r>
              <w:rPr>
                <w:rFonts w:hint="eastAsia" w:ascii="宋体" w:cs="宋体"/>
                <w:szCs w:val="21"/>
              </w:rPr>
              <w:t>▲</w:t>
            </w:r>
            <w:r>
              <w:rPr>
                <w:rFonts w:ascii="宋体" w:hAnsi="宋体" w:cs="宋体"/>
                <w:szCs w:val="21"/>
              </w:rPr>
              <w:t>12.</w:t>
            </w:r>
            <w:r>
              <w:rPr>
                <w:rFonts w:hint="eastAsia" w:ascii="宋体" w:hAnsi="宋体" w:cs="宋体"/>
                <w:szCs w:val="21"/>
              </w:rPr>
              <w:t>课椅面板、靠背板与钢架的连接采用抽芯钉连接，面板、靠背板与钢架连接的抽芯钉均不少于四根。</w:t>
            </w:r>
          </w:p>
          <w:p w14:paraId="3E8A3195">
            <w:pPr>
              <w:spacing w:line="360" w:lineRule="auto"/>
              <w:ind w:firstLine="424" w:firstLineChars="202"/>
              <w:rPr>
                <w:szCs w:val="21"/>
              </w:rPr>
            </w:pPr>
            <w:r>
              <w:rPr>
                <w:rFonts w:hint="eastAsia" w:ascii="宋体" w:cs="宋体"/>
                <w:szCs w:val="21"/>
              </w:rPr>
              <w:t>▲</w:t>
            </w:r>
            <w:r>
              <w:rPr>
                <w:rFonts w:ascii="宋体" w:hAnsi="宋体" w:cs="宋体"/>
                <w:szCs w:val="21"/>
              </w:rPr>
              <w:t>13.</w:t>
            </w:r>
            <w:r>
              <w:rPr>
                <w:rFonts w:hint="eastAsia" w:ascii="宋体" w:hAnsi="宋体" w:cs="宋体"/>
                <w:szCs w:val="21"/>
              </w:rPr>
              <w:t>喷涂质量要求：</w:t>
            </w:r>
            <w:r>
              <w:rPr>
                <w:rFonts w:hint="eastAsia"/>
                <w:kern w:val="0"/>
                <w:szCs w:val="21"/>
              </w:rPr>
              <w:t>喷涂塑粉为环保塑粉，不能有毒害气味气挥发、以免房间环境有污染，造成对人体伤害。</w:t>
            </w:r>
          </w:p>
          <w:p w14:paraId="0C9D122E">
            <w:pPr>
              <w:pStyle w:val="10"/>
              <w:tabs>
                <w:tab w:val="right" w:leader="dot" w:pos="8296"/>
                <w:tab w:val="right" w:leader="dot" w:pos="8398"/>
              </w:tabs>
              <w:spacing w:before="0" w:after="0" w:line="360" w:lineRule="auto"/>
              <w:ind w:firstLine="480"/>
              <w:rPr>
                <w:rFonts w:ascii="宋体" w:cs="宋体"/>
                <w:b w:val="0"/>
                <w:sz w:val="21"/>
                <w:szCs w:val="21"/>
                <w:u w:val="none"/>
              </w:rPr>
            </w:pPr>
            <w:r>
              <w:rPr>
                <w:rFonts w:hint="eastAsia" w:ascii="宋体" w:cs="宋体"/>
                <w:b w:val="0"/>
                <w:sz w:val="21"/>
                <w:szCs w:val="21"/>
                <w:u w:val="none"/>
              </w:rPr>
              <w:t>▲</w:t>
            </w:r>
            <w:r>
              <w:rPr>
                <w:rFonts w:ascii="宋体" w:hAnsi="宋体" w:cs="宋体"/>
                <w:b w:val="0"/>
                <w:sz w:val="21"/>
                <w:szCs w:val="21"/>
                <w:u w:val="none"/>
              </w:rPr>
              <w:t>14.</w:t>
            </w:r>
            <w:r>
              <w:rPr>
                <w:rFonts w:hint="eastAsia" w:ascii="宋体" w:hAnsi="宋体" w:cs="宋体"/>
                <w:b w:val="0"/>
                <w:sz w:val="21"/>
                <w:szCs w:val="21"/>
                <w:u w:val="none"/>
              </w:rPr>
              <w:t>课椅高度调节螺栓安装于两根立柱的内侧。升降管连接处，在管外侧用激光刻蚀课桌高度对应的型号，在标准型号的基础上，上下至少分别可调节两个型号的高度。课桌触地两根横担长度不小于课桌面板的深度。</w:t>
            </w:r>
          </w:p>
          <w:p w14:paraId="0F07B42A">
            <w:pPr>
              <w:pStyle w:val="10"/>
              <w:tabs>
                <w:tab w:val="right" w:leader="dot" w:pos="8296"/>
                <w:tab w:val="right" w:leader="dot" w:pos="8398"/>
              </w:tabs>
              <w:spacing w:before="0" w:after="0" w:line="360" w:lineRule="auto"/>
              <w:ind w:firstLine="480"/>
              <w:rPr>
                <w:rFonts w:ascii="宋体" w:cs="宋体"/>
                <w:b w:val="0"/>
                <w:sz w:val="21"/>
                <w:szCs w:val="21"/>
                <w:u w:val="none"/>
              </w:rPr>
            </w:pPr>
            <w:r>
              <w:rPr>
                <w:rFonts w:ascii="宋体" w:hAnsi="宋体" w:cs="宋体"/>
                <w:b w:val="0"/>
                <w:sz w:val="21"/>
                <w:szCs w:val="21"/>
                <w:u w:val="none"/>
              </w:rPr>
              <w:t>15.</w:t>
            </w:r>
            <w:r>
              <w:rPr>
                <w:rFonts w:hint="eastAsia" w:ascii="宋体" w:hAnsi="宋体" w:cs="宋体"/>
                <w:b w:val="0"/>
                <w:sz w:val="21"/>
                <w:szCs w:val="21"/>
                <w:u w:val="none"/>
              </w:rPr>
              <w:t>课椅参考图：</w:t>
            </w:r>
          </w:p>
          <w:p w14:paraId="39F2D162">
            <w:pPr>
              <w:rPr>
                <w:szCs w:val="21"/>
              </w:rPr>
            </w:pPr>
            <w:r>
              <w:rPr>
                <w:rFonts w:hint="eastAsia"/>
                <w:szCs w:val="21"/>
              </w:rPr>
              <w:drawing>
                <wp:inline distT="0" distB="0" distL="114300" distR="114300">
                  <wp:extent cx="1421765" cy="1386840"/>
                  <wp:effectExtent l="0" t="0" r="10795" b="0"/>
                  <wp:docPr id="5" name="图片 5" descr="83e3ccf8b1c4deffe80a80d8a6125c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83e3ccf8b1c4deffe80a80d8a6125c6"/>
                          <pic:cNvPicPr>
                            <a:picLocks noChangeAspect="1"/>
                          </pic:cNvPicPr>
                        </pic:nvPicPr>
                        <pic:blipFill>
                          <a:blip r:embed="rId9"/>
                          <a:stretch>
                            <a:fillRect/>
                          </a:stretch>
                        </pic:blipFill>
                        <pic:spPr>
                          <a:xfrm>
                            <a:off x="0" y="0"/>
                            <a:ext cx="1421765" cy="1386840"/>
                          </a:xfrm>
                          <a:prstGeom prst="rect">
                            <a:avLst/>
                          </a:prstGeom>
                          <a:noFill/>
                          <a:ln>
                            <a:noFill/>
                          </a:ln>
                        </pic:spPr>
                      </pic:pic>
                    </a:graphicData>
                  </a:graphic>
                </wp:inline>
              </w:drawing>
            </w:r>
          </w:p>
          <w:p w14:paraId="65610696">
            <w:pPr>
              <w:spacing w:line="360" w:lineRule="auto"/>
              <w:ind w:firstLine="426" w:firstLineChars="202"/>
              <w:rPr>
                <w:rFonts w:ascii="宋体" w:cs="宋体"/>
                <w:b/>
                <w:szCs w:val="21"/>
              </w:rPr>
            </w:pPr>
            <w:r>
              <w:rPr>
                <w:rFonts w:hint="eastAsia" w:ascii="宋体" w:hAnsi="宋体" w:cs="宋体"/>
                <w:b/>
                <w:szCs w:val="21"/>
              </w:rPr>
              <w:t>三、对课桌和课椅的工艺要求：</w:t>
            </w:r>
          </w:p>
          <w:p w14:paraId="2CEC21F6">
            <w:pPr>
              <w:spacing w:line="360" w:lineRule="auto"/>
              <w:ind w:firstLine="210" w:firstLineChars="100"/>
              <w:rPr>
                <w:rFonts w:ascii="宋体" w:cs="宋体"/>
                <w:color w:val="000000"/>
                <w:szCs w:val="21"/>
              </w:rPr>
            </w:pPr>
            <w:r>
              <w:rPr>
                <w:rFonts w:hint="eastAsia" w:ascii="宋体" w:cs="宋体"/>
                <w:color w:val="000000"/>
                <w:szCs w:val="21"/>
              </w:rPr>
              <w:t>▲</w:t>
            </w:r>
            <w:r>
              <w:rPr>
                <w:rFonts w:ascii="宋体" w:hAnsi="宋体" w:cs="宋体"/>
                <w:color w:val="000000"/>
                <w:szCs w:val="21"/>
              </w:rPr>
              <w:t>1</w:t>
            </w:r>
            <w:r>
              <w:rPr>
                <w:rFonts w:hint="eastAsia" w:ascii="宋体" w:hAnsi="宋体" w:cs="宋体"/>
                <w:color w:val="000000"/>
                <w:szCs w:val="21"/>
              </w:rPr>
              <w:t>.金属件及金属件零部件均采用抗菌性能的静电粉末涂料喷粉处理，静电粉末涂料外观色泽均匀；无异物。</w:t>
            </w:r>
          </w:p>
          <w:p w14:paraId="58D910FF">
            <w:pPr>
              <w:spacing w:line="360" w:lineRule="auto"/>
              <w:ind w:firstLine="210" w:firstLineChars="100"/>
              <w:rPr>
                <w:rFonts w:ascii="宋体" w:cs="宋体"/>
                <w:color w:val="000000"/>
                <w:szCs w:val="21"/>
              </w:rPr>
            </w:pPr>
            <w:r>
              <w:rPr>
                <w:rFonts w:ascii="宋体" w:hAnsi="宋体" w:cs="宋体"/>
                <w:color w:val="000000"/>
                <w:szCs w:val="21"/>
              </w:rPr>
              <w:t>2</w:t>
            </w:r>
            <w:r>
              <w:rPr>
                <w:rFonts w:hint="eastAsia" w:ascii="宋体" w:hAnsi="宋体" w:cs="宋体"/>
                <w:color w:val="000000"/>
                <w:szCs w:val="21"/>
              </w:rPr>
              <w:t>.金属零部件的连接方式采取焊接连接，不允许采用铆钉连接（铆接）和螺钉连接；焊接件焊接时采用二氧化碳保护焊接。焊接件焊接处应无脱焊、虚焊、焊穿、错位；焊接处应无夹渣、气孔、焊瘤、焊丝头、咬边、飞溅；焊疤表面波纹应均匀、高低之差应不大于</w:t>
            </w:r>
            <w:r>
              <w:rPr>
                <w:rFonts w:ascii="宋体" w:hAnsi="宋体" w:cs="宋体"/>
                <w:color w:val="000000"/>
                <w:szCs w:val="21"/>
              </w:rPr>
              <w:t>1mm</w:t>
            </w:r>
            <w:r>
              <w:rPr>
                <w:rFonts w:hint="eastAsia" w:ascii="宋体" w:hAnsi="宋体" w:cs="宋体"/>
                <w:color w:val="000000"/>
                <w:szCs w:val="21"/>
              </w:rPr>
              <w:t>。</w:t>
            </w:r>
          </w:p>
          <w:p w14:paraId="4FA16750">
            <w:pPr>
              <w:spacing w:line="360" w:lineRule="auto"/>
              <w:ind w:firstLine="210" w:firstLineChars="100"/>
              <w:rPr>
                <w:rFonts w:ascii="宋体" w:cs="宋体"/>
                <w:color w:val="000000"/>
                <w:szCs w:val="21"/>
              </w:rPr>
            </w:pPr>
            <w:r>
              <w:rPr>
                <w:rFonts w:ascii="宋体" w:hAnsi="宋体" w:cs="宋体"/>
                <w:color w:val="000000"/>
                <w:szCs w:val="21"/>
              </w:rPr>
              <w:t>3</w:t>
            </w:r>
            <w:r>
              <w:rPr>
                <w:rFonts w:hint="eastAsia" w:ascii="宋体" w:hAnsi="宋体" w:cs="宋体"/>
                <w:color w:val="000000"/>
                <w:szCs w:val="21"/>
              </w:rPr>
              <w:t>.冲压件应无脱层、裂缝；桌斗利用钢板由机器冲压一次成型。</w:t>
            </w:r>
          </w:p>
          <w:p w14:paraId="3F6A8108">
            <w:pPr>
              <w:spacing w:line="360" w:lineRule="auto"/>
              <w:ind w:firstLine="210" w:firstLineChars="100"/>
              <w:rPr>
                <w:rFonts w:ascii="宋体" w:cs="宋体"/>
                <w:color w:val="000000"/>
                <w:szCs w:val="21"/>
              </w:rPr>
            </w:pPr>
            <w:r>
              <w:rPr>
                <w:rFonts w:ascii="宋体" w:hAnsi="宋体" w:cs="宋体"/>
                <w:color w:val="000000"/>
                <w:szCs w:val="21"/>
              </w:rPr>
              <w:t>4</w:t>
            </w:r>
            <w:r>
              <w:rPr>
                <w:rFonts w:hint="eastAsia" w:ascii="宋体" w:hAnsi="宋体" w:cs="宋体"/>
                <w:color w:val="000000"/>
                <w:szCs w:val="21"/>
              </w:rPr>
              <w:t>.表面应无漏喷、锈蚀；应光滑均匀，色泽一致，应无流挂、疙瘩、皱皮、飞漆等缺陷。</w:t>
            </w:r>
          </w:p>
          <w:p w14:paraId="00468273">
            <w:pPr>
              <w:spacing w:line="360" w:lineRule="auto"/>
              <w:ind w:firstLine="210" w:firstLineChars="100"/>
              <w:rPr>
                <w:rFonts w:ascii="宋体" w:cs="宋体"/>
                <w:color w:val="000000"/>
                <w:szCs w:val="21"/>
              </w:rPr>
            </w:pPr>
            <w:r>
              <w:rPr>
                <w:rFonts w:ascii="宋体" w:hAnsi="宋体" w:cs="宋体"/>
                <w:color w:val="000000"/>
                <w:szCs w:val="21"/>
              </w:rPr>
              <w:t>5</w:t>
            </w:r>
            <w:r>
              <w:rPr>
                <w:rFonts w:hint="eastAsia" w:ascii="宋体" w:hAnsi="宋体" w:cs="宋体"/>
                <w:color w:val="000000"/>
                <w:szCs w:val="21"/>
              </w:rPr>
              <w:t>.课桌面板与钢架的连接采用自攻钉固定，面板与钢架连接的自攻钉不少于八颗。</w:t>
            </w:r>
          </w:p>
          <w:p w14:paraId="4C585749">
            <w:pPr>
              <w:spacing w:line="360" w:lineRule="auto"/>
              <w:ind w:firstLine="210" w:firstLineChars="100"/>
              <w:rPr>
                <w:rFonts w:ascii="宋体" w:cs="宋体"/>
                <w:color w:val="000000"/>
                <w:szCs w:val="21"/>
              </w:rPr>
            </w:pPr>
            <w:r>
              <w:rPr>
                <w:rFonts w:ascii="宋体" w:hAnsi="宋体" w:cs="宋体"/>
                <w:color w:val="000000"/>
                <w:szCs w:val="21"/>
              </w:rPr>
              <w:t>6</w:t>
            </w:r>
            <w:r>
              <w:rPr>
                <w:rFonts w:hint="eastAsia" w:ascii="宋体" w:hAnsi="宋体" w:cs="宋体"/>
                <w:color w:val="000000"/>
                <w:szCs w:val="21"/>
              </w:rPr>
              <w:t>.课椅面板、靠背板与钢架的连接采用抽芯钉连接，面板、靠背板与钢架连接的抽芯钉均不少于四根。</w:t>
            </w:r>
          </w:p>
          <w:p w14:paraId="5DEE519B">
            <w:pPr>
              <w:spacing w:line="360" w:lineRule="auto"/>
              <w:ind w:firstLine="210" w:firstLineChars="100"/>
              <w:rPr>
                <w:rFonts w:ascii="宋体" w:cs="宋体"/>
                <w:color w:val="000000"/>
                <w:szCs w:val="21"/>
              </w:rPr>
            </w:pPr>
            <w:r>
              <w:rPr>
                <w:rFonts w:ascii="宋体" w:hAnsi="宋体" w:cs="宋体"/>
                <w:color w:val="000000"/>
                <w:szCs w:val="21"/>
              </w:rPr>
              <w:t>7</w:t>
            </w:r>
            <w:r>
              <w:rPr>
                <w:rFonts w:hint="eastAsia" w:ascii="宋体" w:hAnsi="宋体" w:cs="宋体"/>
                <w:color w:val="000000"/>
                <w:szCs w:val="21"/>
              </w:rPr>
              <w:t>.抽芯铆钉钉体直径</w:t>
            </w:r>
            <w:r>
              <w:rPr>
                <w:rFonts w:ascii="宋体" w:hAnsi="宋体" w:cs="宋体"/>
                <w:color w:val="000000"/>
                <w:szCs w:val="21"/>
              </w:rPr>
              <w:t>d</w:t>
            </w:r>
            <w:r>
              <w:rPr>
                <w:rFonts w:hint="eastAsia" w:ascii="宋体" w:hAnsi="宋体" w:cs="宋体"/>
                <w:color w:val="000000"/>
                <w:szCs w:val="21"/>
              </w:rPr>
              <w:t>不小于</w:t>
            </w:r>
            <w:r>
              <w:rPr>
                <w:rFonts w:ascii="宋体" w:hAnsi="宋体" w:cs="宋体"/>
                <w:color w:val="000000"/>
                <w:szCs w:val="21"/>
              </w:rPr>
              <w:t>5mm</w:t>
            </w:r>
            <w:r>
              <w:rPr>
                <w:rFonts w:hint="eastAsia" w:ascii="宋体" w:hAnsi="宋体" w:cs="宋体"/>
                <w:color w:val="000000"/>
                <w:szCs w:val="21"/>
              </w:rPr>
              <w:t>，钉体材料为铝合金、钉芯材料为钢（表面镀锌），铆钉表面应无毛刺和有害缺陷，并有完整的头、杆形状。</w:t>
            </w:r>
          </w:p>
          <w:p w14:paraId="523630D8">
            <w:pPr>
              <w:spacing w:line="360" w:lineRule="auto"/>
              <w:ind w:firstLine="210" w:firstLineChars="100"/>
              <w:rPr>
                <w:rFonts w:ascii="宋体" w:cs="宋体"/>
                <w:color w:val="000000"/>
                <w:szCs w:val="21"/>
              </w:rPr>
            </w:pPr>
            <w:r>
              <w:rPr>
                <w:rFonts w:ascii="宋体" w:hAnsi="宋体" w:cs="宋体"/>
                <w:color w:val="000000"/>
                <w:szCs w:val="21"/>
              </w:rPr>
              <w:t>8</w:t>
            </w:r>
            <w:r>
              <w:rPr>
                <w:rFonts w:hint="eastAsia" w:ascii="宋体" w:hAnsi="宋体" w:cs="宋体"/>
                <w:color w:val="000000"/>
                <w:szCs w:val="21"/>
              </w:rPr>
              <w:t>.木制件表面装饰层应手感光滑，无划痕、压痕、雾光、白楞、白斑、鼓泡、流挂、刷毛、积粉和杂渣、皱皮、发粘、漏漆现象。薄木材料贴面不允许有明显透胶、脱胶、凹陷、压痕、鼓泡、胶迹。</w:t>
            </w:r>
          </w:p>
          <w:p w14:paraId="2247220E">
            <w:pPr>
              <w:spacing w:line="360" w:lineRule="auto"/>
              <w:ind w:firstLine="210" w:firstLineChars="100"/>
              <w:rPr>
                <w:rFonts w:ascii="宋体" w:cs="宋体"/>
                <w:color w:val="000000"/>
                <w:szCs w:val="21"/>
              </w:rPr>
            </w:pPr>
            <w:r>
              <w:rPr>
                <w:rFonts w:ascii="宋体" w:hAnsi="宋体" w:cs="宋体"/>
                <w:color w:val="000000"/>
                <w:szCs w:val="21"/>
              </w:rPr>
              <w:t>9</w:t>
            </w:r>
            <w:r>
              <w:rPr>
                <w:rFonts w:hint="eastAsia" w:ascii="宋体" w:hAnsi="宋体" w:cs="宋体"/>
                <w:color w:val="000000"/>
                <w:szCs w:val="21"/>
              </w:rPr>
              <w:t>.桌脚和椅脚的脚套为采用优质</w:t>
            </w:r>
            <w:r>
              <w:rPr>
                <w:rFonts w:ascii="宋体" w:hAnsi="宋体" w:cs="宋体"/>
                <w:color w:val="000000"/>
                <w:szCs w:val="21"/>
              </w:rPr>
              <w:t>PVC</w:t>
            </w:r>
            <w:r>
              <w:rPr>
                <w:rFonts w:hint="eastAsia" w:ascii="宋体" w:hAnsi="宋体" w:cs="宋体"/>
                <w:color w:val="000000"/>
                <w:szCs w:val="21"/>
              </w:rPr>
              <w:t>软塑料制作，以防脱落。</w:t>
            </w:r>
          </w:p>
          <w:p w14:paraId="00810258">
            <w:pPr>
              <w:spacing w:line="360" w:lineRule="auto"/>
              <w:ind w:firstLine="210" w:firstLineChars="100"/>
              <w:rPr>
                <w:rFonts w:ascii="宋体" w:cs="宋体"/>
                <w:color w:val="000000"/>
                <w:szCs w:val="21"/>
              </w:rPr>
            </w:pPr>
            <w:r>
              <w:rPr>
                <w:rFonts w:ascii="宋体" w:hAnsi="宋体" w:cs="宋体"/>
                <w:color w:val="000000"/>
                <w:szCs w:val="21"/>
              </w:rPr>
              <w:t>10</w:t>
            </w:r>
            <w:r>
              <w:rPr>
                <w:rFonts w:hint="eastAsia" w:ascii="宋体" w:hAnsi="宋体" w:cs="宋体"/>
                <w:color w:val="000000"/>
                <w:szCs w:val="21"/>
              </w:rPr>
              <w:t>.每批产品（含课桌、课椅）不允许有明显色差。</w:t>
            </w:r>
          </w:p>
          <w:p w14:paraId="1A0EB224">
            <w:pPr>
              <w:spacing w:line="360" w:lineRule="auto"/>
              <w:ind w:firstLine="210" w:firstLineChars="100"/>
              <w:rPr>
                <w:rFonts w:asciiTheme="minorEastAsia" w:hAnsiTheme="minorEastAsia" w:eastAsiaTheme="minorEastAsia" w:cstheme="minorEastAsia"/>
              </w:rPr>
            </w:pPr>
            <w:r>
              <w:rPr>
                <w:rFonts w:ascii="宋体" w:hAnsi="宋体" w:cs="宋体"/>
                <w:color w:val="000000"/>
                <w:szCs w:val="21"/>
              </w:rPr>
              <w:t>11</w:t>
            </w:r>
            <w:r>
              <w:rPr>
                <w:rFonts w:hint="eastAsia" w:ascii="宋体" w:hAnsi="宋体" w:cs="宋体"/>
                <w:color w:val="000000"/>
                <w:szCs w:val="21"/>
              </w:rPr>
              <w:t>.产品上的五金配件应做酸洗磷化防锈处理。</w:t>
            </w:r>
          </w:p>
        </w:tc>
        <w:tc>
          <w:tcPr>
            <w:tcW w:w="1198" w:type="dxa"/>
            <w:gridSpan w:val="2"/>
            <w:tcBorders>
              <w:bottom w:val="single" w:color="auto" w:sz="4" w:space="0"/>
            </w:tcBorders>
            <w:vAlign w:val="center"/>
          </w:tcPr>
          <w:p w14:paraId="1DDDF242">
            <w:pPr>
              <w:spacing w:line="400" w:lineRule="exact"/>
              <w:jc w:val="center"/>
              <w:rPr>
                <w:rFonts w:ascii="仿宋_GB2312" w:hAnsi="仿宋_GB2312" w:eastAsia="仿宋_GB2312" w:cs="仿宋_GB2312"/>
              </w:rPr>
            </w:pPr>
            <w:r>
              <w:rPr>
                <w:rFonts w:hint="eastAsia" w:ascii="仿宋_GB2312" w:eastAsia="仿宋_GB2312"/>
                <w:lang w:val="en-US" w:eastAsia="zh-CN"/>
              </w:rPr>
              <w:t>269500</w:t>
            </w:r>
            <w:r>
              <w:rPr>
                <w:rFonts w:hint="eastAsia" w:ascii="仿宋_GB2312" w:eastAsia="仿宋_GB2312"/>
              </w:rPr>
              <w:t>.00</w:t>
            </w:r>
            <w:bookmarkStart w:id="8" w:name="_MON_1834294005"/>
            <w:bookmarkEnd w:id="8"/>
          </w:p>
        </w:tc>
      </w:tr>
      <w:tr w14:paraId="28DA46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99" w:hRule="atLeast"/>
          <w:jc w:val="center"/>
        </w:trPr>
        <w:tc>
          <w:tcPr>
            <w:tcW w:w="478" w:type="dxa"/>
            <w:vAlign w:val="center"/>
          </w:tcPr>
          <w:p w14:paraId="6FC24942">
            <w:pPr>
              <w:spacing w:line="400" w:lineRule="exact"/>
              <w:jc w:val="left"/>
              <w:rPr>
                <w:rFonts w:ascii="宋体" w:hAnsi="宋体" w:cs="宋体"/>
                <w:color w:val="000000"/>
                <w:kern w:val="0"/>
                <w:sz w:val="24"/>
                <w:szCs w:val="24"/>
                <w:lang w:bidi="ar"/>
              </w:rPr>
            </w:pPr>
          </w:p>
        </w:tc>
        <w:tc>
          <w:tcPr>
            <w:tcW w:w="10798" w:type="dxa"/>
            <w:gridSpan w:val="9"/>
            <w:vAlign w:val="center"/>
          </w:tcPr>
          <w:p w14:paraId="3424A69F">
            <w:pPr>
              <w:spacing w:line="400" w:lineRule="exact"/>
              <w:jc w:val="left"/>
              <w:rPr>
                <w:rFonts w:ascii="仿宋_GB2312" w:hAnsi="仿宋_GB2312" w:eastAsia="仿宋_GB2312" w:cs="仿宋_GB2312"/>
              </w:rPr>
            </w:pPr>
            <w:r>
              <w:rPr>
                <w:rFonts w:hint="eastAsia" w:ascii="宋体" w:hAnsi="宋体" w:cs="宋体"/>
                <w:color w:val="000000"/>
                <w:kern w:val="0"/>
                <w:sz w:val="24"/>
                <w:szCs w:val="24"/>
                <w:lang w:bidi="ar"/>
              </w:rPr>
              <w:t>金额合计人民币：</w:t>
            </w:r>
          </w:p>
        </w:tc>
      </w:tr>
      <w:tr w14:paraId="0A09C41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gridAfter w:val="1"/>
          <w:wAfter w:w="670" w:type="dxa"/>
          <w:trHeight w:val="225" w:hRule="atLeast"/>
          <w:jc w:val="center"/>
        </w:trPr>
        <w:tc>
          <w:tcPr>
            <w:tcW w:w="478" w:type="dxa"/>
            <w:tcBorders>
              <w:top w:val="single" w:color="000000" w:sz="4" w:space="0"/>
              <w:left w:val="single" w:color="000000" w:sz="4" w:space="0"/>
              <w:bottom w:val="single" w:color="000000" w:sz="4" w:space="0"/>
              <w:right w:val="single" w:color="000000" w:sz="4" w:space="0"/>
            </w:tcBorders>
            <w:vAlign w:val="center"/>
          </w:tcPr>
          <w:p w14:paraId="05F67821">
            <w:pPr>
              <w:widowControl/>
              <w:snapToGrid w:val="0"/>
              <w:spacing w:line="360" w:lineRule="auto"/>
              <w:ind w:left="105" w:leftChars="50"/>
              <w:textAlignment w:val="center"/>
              <w:rPr>
                <w:rFonts w:ascii="仿宋" w:hAnsi="仿宋" w:eastAsia="仿宋" w:cs="仿宋"/>
                <w:color w:val="000000"/>
                <w:sz w:val="24"/>
              </w:rPr>
            </w:pPr>
          </w:p>
        </w:tc>
        <w:tc>
          <w:tcPr>
            <w:tcW w:w="10128" w:type="dxa"/>
            <w:gridSpan w:val="8"/>
            <w:tcBorders>
              <w:top w:val="single" w:color="000000" w:sz="4" w:space="0"/>
              <w:left w:val="single" w:color="000000" w:sz="4" w:space="0"/>
              <w:bottom w:val="single" w:color="000000" w:sz="4" w:space="0"/>
              <w:right w:val="single" w:color="000000" w:sz="4" w:space="0"/>
            </w:tcBorders>
            <w:vAlign w:val="center"/>
          </w:tcPr>
          <w:p w14:paraId="721CBD81">
            <w:pPr>
              <w:widowControl/>
              <w:snapToGrid w:val="0"/>
              <w:spacing w:line="360" w:lineRule="auto"/>
              <w:ind w:left="105" w:leftChars="50"/>
              <w:textAlignment w:val="center"/>
              <w:rPr>
                <w:rFonts w:ascii="仿宋" w:hAnsi="仿宋" w:eastAsia="仿宋" w:cs="仿宋"/>
                <w:color w:val="000000"/>
                <w:kern w:val="0"/>
                <w:sz w:val="24"/>
              </w:rPr>
            </w:pPr>
            <w:r>
              <w:rPr>
                <w:rFonts w:hint="eastAsia" w:ascii="仿宋" w:hAnsi="仿宋" w:eastAsia="仿宋" w:cs="仿宋"/>
                <w:color w:val="000000"/>
                <w:sz w:val="24"/>
              </w:rPr>
              <w:t>▲</w:t>
            </w:r>
            <w:r>
              <w:rPr>
                <w:rFonts w:hint="eastAsia" w:ascii="仿宋" w:hAnsi="仿宋" w:eastAsia="仿宋" w:cs="仿宋"/>
                <w:b/>
                <w:color w:val="000000"/>
                <w:sz w:val="24"/>
              </w:rPr>
              <w:t>二、商务要求</w:t>
            </w:r>
          </w:p>
        </w:tc>
      </w:tr>
      <w:tr w14:paraId="2A5F7BF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gridAfter w:val="1"/>
          <w:wAfter w:w="670" w:type="dxa"/>
          <w:trHeight w:val="231" w:hRule="atLeast"/>
          <w:jc w:val="center"/>
        </w:trPr>
        <w:tc>
          <w:tcPr>
            <w:tcW w:w="1749" w:type="dxa"/>
            <w:gridSpan w:val="3"/>
            <w:tcBorders>
              <w:top w:val="single" w:color="000000" w:sz="4" w:space="0"/>
              <w:left w:val="single" w:color="000000" w:sz="4" w:space="0"/>
              <w:bottom w:val="single" w:color="000000" w:sz="4" w:space="0"/>
              <w:right w:val="single" w:color="000000" w:sz="4" w:space="0"/>
            </w:tcBorders>
            <w:vAlign w:val="center"/>
          </w:tcPr>
          <w:p w14:paraId="44DC0E45">
            <w:pPr>
              <w:widowControl/>
              <w:snapToGrid w:val="0"/>
              <w:spacing w:line="360" w:lineRule="auto"/>
              <w:ind w:left="105" w:leftChars="50"/>
              <w:jc w:val="center"/>
              <w:textAlignment w:val="center"/>
              <w:rPr>
                <w:rFonts w:ascii="仿宋" w:hAnsi="仿宋" w:eastAsia="仿宋" w:cs="仿宋"/>
                <w:b/>
                <w:color w:val="000000"/>
                <w:sz w:val="24"/>
              </w:rPr>
            </w:pPr>
            <w:r>
              <w:rPr>
                <w:rFonts w:hint="eastAsia" w:ascii="仿宋" w:hAnsi="仿宋" w:eastAsia="仿宋" w:cs="仿宋"/>
                <w:b/>
                <w:color w:val="000000"/>
                <w:sz w:val="24"/>
              </w:rPr>
              <w:t>合同签订期</w:t>
            </w:r>
          </w:p>
        </w:tc>
        <w:tc>
          <w:tcPr>
            <w:tcW w:w="637"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3125B98">
            <w:pPr>
              <w:spacing w:line="360" w:lineRule="auto"/>
              <w:ind w:left="216" w:leftChars="103"/>
              <w:jc w:val="left"/>
              <w:rPr>
                <w:rFonts w:asciiTheme="minorEastAsia" w:hAnsiTheme="minorEastAsia" w:eastAsiaTheme="minorEastAsia" w:cstheme="minorEastAsia"/>
                <w:kern w:val="0"/>
              </w:rPr>
            </w:pPr>
          </w:p>
        </w:tc>
        <w:tc>
          <w:tcPr>
            <w:tcW w:w="8220" w:type="dxa"/>
            <w:gridSpan w:val="4"/>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F7B0FE7">
            <w:pPr>
              <w:spacing w:line="360" w:lineRule="auto"/>
              <w:ind w:left="216" w:leftChars="103"/>
              <w:jc w:val="left"/>
              <w:rPr>
                <w:rFonts w:asciiTheme="minorEastAsia" w:hAnsiTheme="minorEastAsia" w:eastAsiaTheme="minorEastAsia" w:cstheme="minorEastAsia"/>
                <w:kern w:val="0"/>
                <w:highlight w:val="none"/>
              </w:rPr>
            </w:pPr>
            <w:r>
              <w:rPr>
                <w:rFonts w:hint="eastAsia" w:asciiTheme="minorEastAsia" w:hAnsiTheme="minorEastAsia" w:eastAsiaTheme="minorEastAsia" w:cstheme="minorEastAsia"/>
                <w:kern w:val="0"/>
                <w:highlight w:val="none"/>
              </w:rPr>
              <w:t>自成交通知书发出之日起</w:t>
            </w:r>
            <w:r>
              <w:rPr>
                <w:rFonts w:hint="eastAsia" w:asciiTheme="minorEastAsia" w:hAnsiTheme="minorEastAsia" w:eastAsiaTheme="minorEastAsia" w:cstheme="minorEastAsia"/>
                <w:kern w:val="0"/>
                <w:highlight w:val="none"/>
                <w:lang w:val="en-US" w:eastAsia="zh-CN"/>
              </w:rPr>
              <w:t>3</w:t>
            </w:r>
            <w:r>
              <w:rPr>
                <w:rFonts w:hint="eastAsia" w:asciiTheme="minorEastAsia" w:hAnsiTheme="minorEastAsia" w:eastAsiaTheme="minorEastAsia" w:cstheme="minorEastAsia"/>
                <w:kern w:val="0"/>
                <w:highlight w:val="none"/>
              </w:rPr>
              <w:t>日内。</w:t>
            </w:r>
          </w:p>
        </w:tc>
      </w:tr>
      <w:tr w14:paraId="4C6BD1F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gridAfter w:val="1"/>
          <w:wAfter w:w="670" w:type="dxa"/>
          <w:trHeight w:val="231" w:hRule="atLeast"/>
          <w:jc w:val="center"/>
        </w:trPr>
        <w:tc>
          <w:tcPr>
            <w:tcW w:w="1749" w:type="dxa"/>
            <w:gridSpan w:val="3"/>
            <w:tcBorders>
              <w:top w:val="single" w:color="000000" w:sz="4" w:space="0"/>
              <w:left w:val="single" w:color="000000" w:sz="4" w:space="0"/>
              <w:bottom w:val="single" w:color="000000" w:sz="4" w:space="0"/>
              <w:right w:val="single" w:color="000000" w:sz="4" w:space="0"/>
            </w:tcBorders>
            <w:vAlign w:val="center"/>
          </w:tcPr>
          <w:p w14:paraId="0336CD2A">
            <w:pPr>
              <w:widowControl/>
              <w:snapToGrid w:val="0"/>
              <w:spacing w:line="360" w:lineRule="auto"/>
              <w:ind w:left="105" w:leftChars="50"/>
              <w:jc w:val="center"/>
              <w:textAlignment w:val="center"/>
              <w:rPr>
                <w:rFonts w:ascii="仿宋" w:hAnsi="仿宋" w:eastAsia="仿宋" w:cs="仿宋"/>
                <w:b/>
                <w:color w:val="000000"/>
                <w:sz w:val="24"/>
              </w:rPr>
            </w:pPr>
            <w:r>
              <w:rPr>
                <w:rFonts w:hint="eastAsia" w:ascii="仿宋" w:hAnsi="仿宋" w:eastAsia="仿宋" w:cs="仿宋"/>
                <w:b/>
                <w:color w:val="000000"/>
                <w:sz w:val="24"/>
              </w:rPr>
              <w:t>交货期</w:t>
            </w:r>
          </w:p>
        </w:tc>
        <w:tc>
          <w:tcPr>
            <w:tcW w:w="637"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0250952">
            <w:pPr>
              <w:spacing w:line="360" w:lineRule="auto"/>
              <w:ind w:left="216" w:leftChars="103"/>
              <w:jc w:val="left"/>
              <w:rPr>
                <w:rFonts w:asciiTheme="minorEastAsia" w:hAnsiTheme="minorEastAsia" w:eastAsiaTheme="minorEastAsia" w:cstheme="minorEastAsia"/>
                <w:kern w:val="0"/>
              </w:rPr>
            </w:pPr>
          </w:p>
        </w:tc>
        <w:tc>
          <w:tcPr>
            <w:tcW w:w="8220" w:type="dxa"/>
            <w:gridSpan w:val="4"/>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267CA15">
            <w:pPr>
              <w:spacing w:line="360" w:lineRule="auto"/>
              <w:ind w:left="216" w:leftChars="103"/>
              <w:jc w:val="left"/>
              <w:rPr>
                <w:rFonts w:asciiTheme="minorEastAsia" w:hAnsiTheme="minorEastAsia" w:eastAsiaTheme="minorEastAsia" w:cstheme="minorEastAsia"/>
                <w:kern w:val="0"/>
                <w:highlight w:val="none"/>
              </w:rPr>
            </w:pPr>
            <w:r>
              <w:rPr>
                <w:rFonts w:hint="eastAsia" w:asciiTheme="minorEastAsia" w:hAnsiTheme="minorEastAsia" w:eastAsiaTheme="minorEastAsia" w:cstheme="minorEastAsia"/>
                <w:kern w:val="0"/>
                <w:highlight w:val="none"/>
              </w:rPr>
              <w:t>自签订合同之日起</w:t>
            </w:r>
            <w:r>
              <w:rPr>
                <w:rFonts w:hint="eastAsia" w:asciiTheme="minorEastAsia" w:hAnsiTheme="minorEastAsia" w:eastAsiaTheme="minorEastAsia" w:cstheme="minorEastAsia"/>
                <w:kern w:val="0"/>
                <w:highlight w:val="none"/>
                <w:lang w:val="en-US" w:eastAsia="zh-CN"/>
              </w:rPr>
              <w:t>7</w:t>
            </w:r>
            <w:r>
              <w:rPr>
                <w:rFonts w:hint="eastAsia" w:asciiTheme="minorEastAsia" w:hAnsiTheme="minorEastAsia" w:eastAsiaTheme="minorEastAsia" w:cstheme="minorEastAsia"/>
                <w:kern w:val="0"/>
                <w:highlight w:val="none"/>
              </w:rPr>
              <w:t>日内。</w:t>
            </w:r>
          </w:p>
        </w:tc>
      </w:tr>
      <w:tr w14:paraId="4B2DA37A">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gridAfter w:val="1"/>
          <w:wAfter w:w="670" w:type="dxa"/>
          <w:trHeight w:val="231" w:hRule="atLeast"/>
          <w:jc w:val="center"/>
        </w:trPr>
        <w:tc>
          <w:tcPr>
            <w:tcW w:w="1749" w:type="dxa"/>
            <w:gridSpan w:val="3"/>
            <w:tcBorders>
              <w:top w:val="single" w:color="000000" w:sz="4" w:space="0"/>
              <w:left w:val="single" w:color="000000" w:sz="4" w:space="0"/>
              <w:bottom w:val="single" w:color="000000" w:sz="4" w:space="0"/>
              <w:right w:val="single" w:color="000000" w:sz="4" w:space="0"/>
            </w:tcBorders>
            <w:vAlign w:val="center"/>
          </w:tcPr>
          <w:p w14:paraId="7C2EF382">
            <w:pPr>
              <w:widowControl/>
              <w:snapToGrid w:val="0"/>
              <w:spacing w:line="360" w:lineRule="auto"/>
              <w:ind w:left="105" w:leftChars="50"/>
              <w:jc w:val="center"/>
              <w:textAlignment w:val="center"/>
              <w:rPr>
                <w:rFonts w:ascii="仿宋" w:hAnsi="仿宋" w:eastAsia="仿宋" w:cs="仿宋"/>
                <w:b/>
                <w:color w:val="000000"/>
                <w:sz w:val="24"/>
              </w:rPr>
            </w:pPr>
            <w:r>
              <w:rPr>
                <w:rFonts w:hint="eastAsia" w:ascii="仿宋" w:hAnsi="仿宋" w:eastAsia="仿宋" w:cs="仿宋"/>
                <w:b/>
                <w:color w:val="000000"/>
                <w:sz w:val="24"/>
              </w:rPr>
              <w:t>交货地点</w:t>
            </w:r>
          </w:p>
        </w:tc>
        <w:tc>
          <w:tcPr>
            <w:tcW w:w="637"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7A46C6E">
            <w:pPr>
              <w:spacing w:line="360" w:lineRule="auto"/>
              <w:ind w:left="216" w:leftChars="103"/>
              <w:jc w:val="left"/>
              <w:rPr>
                <w:rFonts w:asciiTheme="minorEastAsia" w:hAnsiTheme="minorEastAsia" w:eastAsiaTheme="minorEastAsia" w:cstheme="minorEastAsia"/>
                <w:kern w:val="0"/>
              </w:rPr>
            </w:pPr>
          </w:p>
        </w:tc>
        <w:tc>
          <w:tcPr>
            <w:tcW w:w="8220" w:type="dxa"/>
            <w:gridSpan w:val="4"/>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2F90D40">
            <w:pPr>
              <w:spacing w:line="360" w:lineRule="auto"/>
              <w:ind w:left="216" w:leftChars="103"/>
              <w:jc w:val="left"/>
              <w:rPr>
                <w:rFonts w:hint="default" w:asciiTheme="minorEastAsia" w:hAnsiTheme="minorEastAsia" w:eastAsiaTheme="minorEastAsia" w:cstheme="minorEastAsia"/>
                <w:kern w:val="0"/>
                <w:highlight w:val="yellow"/>
                <w:u w:val="single"/>
                <w:lang w:val="en-US" w:eastAsia="zh-CN"/>
              </w:rPr>
            </w:pPr>
            <w:r>
              <w:rPr>
                <w:rFonts w:hint="eastAsia" w:asciiTheme="minorEastAsia" w:hAnsiTheme="minorEastAsia" w:eastAsiaTheme="minorEastAsia" w:cstheme="minorEastAsia"/>
                <w:kern w:val="0"/>
                <w:highlight w:val="none"/>
                <w:u w:val="single"/>
                <w:lang w:val="en-US" w:eastAsia="zh-CN"/>
              </w:rPr>
              <w:t>南宁市第十四中学建政校区</w:t>
            </w:r>
          </w:p>
        </w:tc>
      </w:tr>
      <w:tr w14:paraId="0A1030F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gridAfter w:val="1"/>
          <w:wAfter w:w="670" w:type="dxa"/>
          <w:trHeight w:val="1129" w:hRule="atLeast"/>
          <w:jc w:val="center"/>
        </w:trPr>
        <w:tc>
          <w:tcPr>
            <w:tcW w:w="1749" w:type="dxa"/>
            <w:gridSpan w:val="3"/>
            <w:tcBorders>
              <w:top w:val="single" w:color="000000" w:sz="4" w:space="0"/>
              <w:left w:val="single" w:color="000000" w:sz="4" w:space="0"/>
              <w:bottom w:val="single" w:color="000000" w:sz="4" w:space="0"/>
              <w:right w:val="single" w:color="000000" w:sz="4" w:space="0"/>
            </w:tcBorders>
            <w:vAlign w:val="center"/>
          </w:tcPr>
          <w:p w14:paraId="777B39D8">
            <w:pPr>
              <w:widowControl/>
              <w:snapToGrid w:val="0"/>
              <w:spacing w:line="360" w:lineRule="auto"/>
              <w:ind w:left="105" w:leftChars="50"/>
              <w:jc w:val="center"/>
              <w:textAlignment w:val="center"/>
              <w:rPr>
                <w:rFonts w:ascii="仿宋" w:hAnsi="仿宋" w:eastAsia="仿宋" w:cs="仿宋"/>
                <w:b/>
                <w:color w:val="000000"/>
                <w:sz w:val="24"/>
              </w:rPr>
            </w:pPr>
            <w:r>
              <w:rPr>
                <w:rFonts w:hint="eastAsia" w:ascii="仿宋" w:hAnsi="仿宋" w:eastAsia="仿宋" w:cs="仿宋"/>
                <w:b/>
                <w:color w:val="000000"/>
                <w:sz w:val="24"/>
              </w:rPr>
              <w:t>付款方式</w:t>
            </w:r>
          </w:p>
        </w:tc>
        <w:tc>
          <w:tcPr>
            <w:tcW w:w="637"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6480461">
            <w:pPr>
              <w:spacing w:line="360" w:lineRule="auto"/>
              <w:ind w:left="216" w:leftChars="103"/>
              <w:jc w:val="left"/>
              <w:rPr>
                <w:rFonts w:asciiTheme="minorEastAsia" w:hAnsiTheme="minorEastAsia" w:eastAsiaTheme="minorEastAsia" w:cstheme="minorEastAsia"/>
                <w:kern w:val="0"/>
              </w:rPr>
            </w:pPr>
          </w:p>
        </w:tc>
        <w:tc>
          <w:tcPr>
            <w:tcW w:w="8220" w:type="dxa"/>
            <w:gridSpan w:val="4"/>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912ACD4">
            <w:pPr>
              <w:spacing w:line="360" w:lineRule="auto"/>
              <w:ind w:left="216" w:leftChars="103"/>
              <w:jc w:val="left"/>
              <w:rPr>
                <w:rFonts w:asciiTheme="minorEastAsia" w:hAnsiTheme="minorEastAsia" w:eastAsiaTheme="minorEastAsia" w:cstheme="minorEastAsia"/>
                <w:kern w:val="0"/>
                <w:highlight w:val="none"/>
              </w:rPr>
            </w:pPr>
            <w:r>
              <w:rPr>
                <w:rFonts w:hint="eastAsia" w:asciiTheme="minorEastAsia" w:hAnsiTheme="minorEastAsia" w:eastAsiaTheme="minorEastAsia" w:cstheme="minorEastAsia"/>
                <w:kern w:val="0"/>
                <w:highlight w:val="none"/>
              </w:rPr>
              <w:t>本项目采购人在发出交货通知之日起10个工作日内支付30%预付款，中标人交货安装完毕，项目验收合格后，采购人在15日内支付至100%的合同价款给中标人；采购人支付款项前中标人须开具等额合法有效税务发票给采购人，否则采购人有权顺延支付款项。</w:t>
            </w:r>
          </w:p>
        </w:tc>
      </w:tr>
      <w:tr w14:paraId="31A892BC">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gridAfter w:val="1"/>
          <w:wAfter w:w="670" w:type="dxa"/>
          <w:trHeight w:val="1129" w:hRule="atLeast"/>
          <w:jc w:val="center"/>
        </w:trPr>
        <w:tc>
          <w:tcPr>
            <w:tcW w:w="1749" w:type="dxa"/>
            <w:gridSpan w:val="3"/>
            <w:tcBorders>
              <w:top w:val="single" w:color="000000" w:sz="4" w:space="0"/>
              <w:left w:val="single" w:color="000000" w:sz="4" w:space="0"/>
              <w:bottom w:val="single" w:color="000000" w:sz="4" w:space="0"/>
              <w:right w:val="single" w:color="000000" w:sz="4" w:space="0"/>
            </w:tcBorders>
            <w:vAlign w:val="center"/>
          </w:tcPr>
          <w:p w14:paraId="4AB352B5">
            <w:pPr>
              <w:widowControl/>
              <w:snapToGrid w:val="0"/>
              <w:spacing w:line="360" w:lineRule="auto"/>
              <w:ind w:left="105" w:leftChars="50"/>
              <w:jc w:val="center"/>
              <w:textAlignment w:val="center"/>
              <w:rPr>
                <w:rFonts w:ascii="仿宋" w:hAnsi="仿宋" w:eastAsia="仿宋" w:cs="仿宋"/>
                <w:b/>
                <w:color w:val="000000"/>
                <w:sz w:val="24"/>
              </w:rPr>
            </w:pPr>
            <w:r>
              <w:rPr>
                <w:rFonts w:hint="eastAsia" w:ascii="仿宋" w:hAnsi="仿宋" w:eastAsia="仿宋" w:cs="仿宋"/>
                <w:b/>
                <w:color w:val="000000"/>
                <w:sz w:val="24"/>
              </w:rPr>
              <w:t>竞标报价</w:t>
            </w:r>
          </w:p>
        </w:tc>
        <w:tc>
          <w:tcPr>
            <w:tcW w:w="637"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447EED9">
            <w:pPr>
              <w:adjustRightInd w:val="0"/>
              <w:snapToGrid w:val="0"/>
              <w:spacing w:line="400" w:lineRule="exact"/>
              <w:ind w:left="216" w:leftChars="103"/>
              <w:rPr>
                <w:rFonts w:asciiTheme="minorEastAsia" w:hAnsiTheme="minorEastAsia" w:eastAsiaTheme="minorEastAsia" w:cstheme="minorEastAsia"/>
                <w:kern w:val="0"/>
              </w:rPr>
            </w:pPr>
          </w:p>
        </w:tc>
        <w:tc>
          <w:tcPr>
            <w:tcW w:w="8220" w:type="dxa"/>
            <w:gridSpan w:val="4"/>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2A75AD2">
            <w:pPr>
              <w:pStyle w:val="7"/>
              <w:snapToGrid w:val="0"/>
              <w:spacing w:line="400" w:lineRule="exact"/>
              <w:ind w:left="216" w:leftChars="103"/>
              <w:outlineLvl w:val="0"/>
              <w:rPr>
                <w:rFonts w:hAnsi="宋体" w:cs="宋体"/>
              </w:rPr>
            </w:pPr>
            <w:r>
              <w:rPr>
                <w:rFonts w:hint="eastAsia" w:hAnsi="宋体" w:cs="宋体"/>
              </w:rPr>
              <w:t>竞标报价为采购人指定地点的现场交货价，包括：</w:t>
            </w:r>
          </w:p>
          <w:p w14:paraId="6321E637">
            <w:pPr>
              <w:pStyle w:val="7"/>
              <w:snapToGrid w:val="0"/>
              <w:spacing w:line="400" w:lineRule="exact"/>
              <w:ind w:left="216" w:leftChars="103"/>
              <w:outlineLvl w:val="0"/>
              <w:rPr>
                <w:rFonts w:hAnsi="宋体" w:cs="宋体"/>
              </w:rPr>
            </w:pPr>
            <w:r>
              <w:rPr>
                <w:rFonts w:hint="eastAsia" w:hAnsi="宋体" w:cs="宋体"/>
              </w:rPr>
              <w:t>（1）货物的价格：包括货款、零配件、安装调试费、验收费；</w:t>
            </w:r>
          </w:p>
          <w:p w14:paraId="045F3ED9">
            <w:pPr>
              <w:pStyle w:val="7"/>
              <w:snapToGrid w:val="0"/>
              <w:spacing w:line="400" w:lineRule="exact"/>
              <w:ind w:left="216" w:leftChars="103"/>
              <w:outlineLvl w:val="0"/>
              <w:rPr>
                <w:rFonts w:hAnsi="宋体" w:cs="宋体"/>
              </w:rPr>
            </w:pPr>
            <w:r>
              <w:rPr>
                <w:rFonts w:hint="eastAsia" w:hAnsi="宋体" w:cs="宋体"/>
              </w:rPr>
              <w:t>（2）货物的标准附件、备品备件、专用工具的价格；</w:t>
            </w:r>
          </w:p>
          <w:p w14:paraId="7EB6E034">
            <w:pPr>
              <w:pStyle w:val="7"/>
              <w:snapToGrid w:val="0"/>
              <w:spacing w:line="400" w:lineRule="exact"/>
              <w:ind w:left="216" w:leftChars="103"/>
              <w:outlineLvl w:val="0"/>
              <w:rPr>
                <w:rFonts w:hAnsi="宋体" w:cs="宋体"/>
              </w:rPr>
            </w:pPr>
            <w:r>
              <w:rPr>
                <w:rFonts w:hint="eastAsia" w:hAnsi="宋体" w:cs="宋体"/>
              </w:rPr>
              <w:t>（3）运输、装卸、调试、培训、技术支持、售后服务费；</w:t>
            </w:r>
          </w:p>
          <w:p w14:paraId="2E05F8C3">
            <w:pPr>
              <w:pStyle w:val="7"/>
              <w:snapToGrid w:val="0"/>
              <w:spacing w:line="400" w:lineRule="exact"/>
              <w:ind w:left="216" w:leftChars="103"/>
              <w:outlineLvl w:val="0"/>
              <w:rPr>
                <w:rFonts w:hAnsi="宋体" w:cs="宋体"/>
              </w:rPr>
            </w:pPr>
            <w:r>
              <w:rPr>
                <w:rFonts w:hint="eastAsia" w:hAnsi="宋体" w:cs="宋体"/>
              </w:rPr>
              <w:t>（4）按采购人要求进行摆放的费用。</w:t>
            </w:r>
          </w:p>
          <w:p w14:paraId="41E42FEC">
            <w:pPr>
              <w:adjustRightInd w:val="0"/>
              <w:snapToGrid w:val="0"/>
              <w:spacing w:line="400" w:lineRule="exact"/>
              <w:ind w:left="216" w:leftChars="103"/>
              <w:rPr>
                <w:rFonts w:ascii="宋体" w:hAnsi="宋体" w:cs="宋体"/>
              </w:rPr>
            </w:pPr>
            <w:r>
              <w:rPr>
                <w:rFonts w:hint="eastAsia" w:ascii="宋体" w:hAnsi="宋体" w:cs="宋体"/>
              </w:rPr>
              <w:t>注：1.竞标人的细项报价不可超过每项的分项控制价及总价控制价，否则竞标无效。</w:t>
            </w:r>
          </w:p>
          <w:p w14:paraId="0E177DE0">
            <w:pPr>
              <w:adjustRightInd w:val="0"/>
              <w:snapToGrid w:val="0"/>
              <w:spacing w:line="400" w:lineRule="exact"/>
              <w:ind w:left="216" w:leftChars="103"/>
              <w:rPr>
                <w:rFonts w:asciiTheme="minorEastAsia" w:hAnsiTheme="minorEastAsia" w:eastAsiaTheme="minorEastAsia" w:cstheme="minorEastAsia"/>
                <w:kern w:val="0"/>
              </w:rPr>
            </w:pPr>
            <w:r>
              <w:rPr>
                <w:rFonts w:hint="eastAsia" w:ascii="宋体" w:hAnsi="宋体" w:cs="宋体"/>
              </w:rPr>
              <w:t>2.货物数量根据现场情况测量商定，成交人根据现场实际情况提供的货物的总价在报价总价范围内，采购人据实结算，成交人提供的货物的总价不得超出合同总价，超出部分由成交人自行承担。竞标人应自行考虑完成项目所需的辅材、零配件等数量，竞标报价中应包含全部所需费用，成交后采购人不再另行支付额外费用。</w:t>
            </w:r>
          </w:p>
        </w:tc>
      </w:tr>
      <w:tr w14:paraId="4882CAA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gridAfter w:val="1"/>
          <w:wAfter w:w="670" w:type="dxa"/>
          <w:trHeight w:val="419" w:hRule="atLeast"/>
          <w:jc w:val="center"/>
        </w:trPr>
        <w:tc>
          <w:tcPr>
            <w:tcW w:w="1749" w:type="dxa"/>
            <w:gridSpan w:val="3"/>
            <w:tcBorders>
              <w:top w:val="single" w:color="000000" w:sz="4" w:space="0"/>
              <w:left w:val="single" w:color="000000" w:sz="4" w:space="0"/>
              <w:bottom w:val="single" w:color="000000" w:sz="4" w:space="0"/>
              <w:right w:val="single" w:color="000000" w:sz="4" w:space="0"/>
            </w:tcBorders>
            <w:vAlign w:val="center"/>
          </w:tcPr>
          <w:p w14:paraId="3C3B3DA7">
            <w:pPr>
              <w:widowControl/>
              <w:snapToGrid w:val="0"/>
              <w:spacing w:line="360" w:lineRule="auto"/>
              <w:ind w:left="105" w:leftChars="50"/>
              <w:jc w:val="center"/>
              <w:textAlignment w:val="center"/>
              <w:rPr>
                <w:rFonts w:ascii="仿宋" w:hAnsi="仿宋" w:eastAsia="仿宋" w:cs="仿宋"/>
                <w:b/>
                <w:color w:val="000000"/>
                <w:sz w:val="24"/>
              </w:rPr>
            </w:pPr>
            <w:r>
              <w:rPr>
                <w:rFonts w:hint="eastAsia" w:ascii="仿宋" w:hAnsi="仿宋" w:eastAsia="仿宋" w:cs="仿宋"/>
                <w:b/>
                <w:color w:val="000000"/>
                <w:sz w:val="24"/>
              </w:rPr>
              <w:t>售后服务要求</w:t>
            </w:r>
          </w:p>
        </w:tc>
        <w:tc>
          <w:tcPr>
            <w:tcW w:w="637"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948FDA5">
            <w:pPr>
              <w:spacing w:line="360" w:lineRule="auto"/>
              <w:ind w:firstLine="210" w:firstLineChars="100"/>
              <w:rPr>
                <w:rFonts w:asciiTheme="minorEastAsia" w:hAnsiTheme="minorEastAsia" w:eastAsiaTheme="minorEastAsia" w:cstheme="minorEastAsia"/>
                <w:kern w:val="0"/>
              </w:rPr>
            </w:pPr>
          </w:p>
        </w:tc>
        <w:tc>
          <w:tcPr>
            <w:tcW w:w="8220" w:type="dxa"/>
            <w:gridSpan w:val="4"/>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07835B2">
            <w:pPr>
              <w:pStyle w:val="11"/>
              <w:tabs>
                <w:tab w:val="right" w:leader="dot" w:pos="9185"/>
              </w:tabs>
              <w:spacing w:line="400" w:lineRule="exact"/>
              <w:ind w:left="0" w:firstLine="210" w:firstLineChars="100"/>
              <w:rPr>
                <w:rFonts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1、质保时间不低于2年。</w:t>
            </w:r>
          </w:p>
          <w:p w14:paraId="6CE36312">
            <w:pPr>
              <w:pStyle w:val="11"/>
              <w:tabs>
                <w:tab w:val="right" w:leader="dot" w:pos="9185"/>
              </w:tabs>
              <w:spacing w:line="400" w:lineRule="exact"/>
              <w:ind w:left="0" w:firstLine="210" w:firstLineChars="100"/>
              <w:rPr>
                <w:rFonts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2、如在使用过程中发生质量或故障问题，10分钟内响应，接通知后</w:t>
            </w:r>
            <w:r>
              <w:rPr>
                <w:rFonts w:hint="eastAsia" w:asciiTheme="minorEastAsia" w:hAnsiTheme="minorEastAsia" w:eastAsiaTheme="minorEastAsia" w:cstheme="minorEastAsia"/>
                <w:kern w:val="0"/>
                <w:sz w:val="21"/>
                <w:szCs w:val="21"/>
                <w:lang w:val="en-US" w:eastAsia="zh-CN"/>
              </w:rPr>
              <w:t>2</w:t>
            </w:r>
            <w:r>
              <w:rPr>
                <w:rFonts w:hint="eastAsia" w:asciiTheme="minorEastAsia" w:hAnsiTheme="minorEastAsia" w:eastAsiaTheme="minorEastAsia" w:cstheme="minorEastAsia"/>
                <w:kern w:val="0"/>
                <w:sz w:val="21"/>
                <w:szCs w:val="21"/>
              </w:rPr>
              <w:t>小时内到达现场处理，一般故障不超过</w:t>
            </w:r>
            <w:r>
              <w:rPr>
                <w:rFonts w:hint="eastAsia" w:asciiTheme="minorEastAsia" w:hAnsiTheme="minorEastAsia" w:eastAsiaTheme="minorEastAsia" w:cstheme="minorEastAsia"/>
                <w:kern w:val="0"/>
                <w:sz w:val="21"/>
                <w:szCs w:val="21"/>
                <w:lang w:val="en-US" w:eastAsia="zh-CN"/>
              </w:rPr>
              <w:t>4</w:t>
            </w:r>
            <w:r>
              <w:rPr>
                <w:rFonts w:hint="eastAsia" w:asciiTheme="minorEastAsia" w:hAnsiTheme="minorEastAsia" w:eastAsiaTheme="minorEastAsia" w:cstheme="minorEastAsia"/>
                <w:kern w:val="0"/>
                <w:sz w:val="21"/>
                <w:szCs w:val="21"/>
              </w:rPr>
              <w:t>小时修复，重大故障处理时限不超过24小时；</w:t>
            </w:r>
          </w:p>
          <w:p w14:paraId="217F3609">
            <w:pPr>
              <w:spacing w:line="360" w:lineRule="auto"/>
              <w:ind w:firstLine="210" w:firstLineChars="100"/>
            </w:pPr>
            <w:r>
              <w:rPr>
                <w:rFonts w:hint="eastAsia" w:asciiTheme="minorEastAsia" w:hAnsiTheme="minorEastAsia" w:eastAsiaTheme="minorEastAsia" w:cstheme="minorEastAsia"/>
                <w:kern w:val="0"/>
              </w:rPr>
              <w:t>3、提供7×24小时热线电话服务,并提供多个故障申告途径及绿色通道，做到全方位响应，并指定专人负责上门受理调试及日常维护等工作；</w:t>
            </w:r>
          </w:p>
        </w:tc>
      </w:tr>
      <w:tr w14:paraId="14D9A0E6">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gridAfter w:val="1"/>
          <w:wAfter w:w="670" w:type="dxa"/>
          <w:trHeight w:val="1864" w:hRule="atLeast"/>
          <w:jc w:val="center"/>
        </w:trPr>
        <w:tc>
          <w:tcPr>
            <w:tcW w:w="1749" w:type="dxa"/>
            <w:gridSpan w:val="3"/>
            <w:tcBorders>
              <w:top w:val="single" w:color="000000" w:sz="4" w:space="0"/>
              <w:left w:val="single" w:color="000000" w:sz="4" w:space="0"/>
              <w:bottom w:val="single" w:color="000000" w:sz="4" w:space="0"/>
              <w:right w:val="single" w:color="000000" w:sz="4" w:space="0"/>
            </w:tcBorders>
            <w:vAlign w:val="center"/>
          </w:tcPr>
          <w:p w14:paraId="34466E0C">
            <w:pPr>
              <w:widowControl/>
              <w:snapToGrid w:val="0"/>
              <w:spacing w:line="360" w:lineRule="auto"/>
              <w:ind w:left="105" w:leftChars="50"/>
              <w:jc w:val="center"/>
              <w:textAlignment w:val="center"/>
              <w:rPr>
                <w:rFonts w:ascii="仿宋" w:hAnsi="仿宋" w:eastAsia="仿宋" w:cs="仿宋"/>
                <w:b/>
                <w:color w:val="000000"/>
                <w:sz w:val="24"/>
              </w:rPr>
            </w:pPr>
            <w:r>
              <w:rPr>
                <w:rFonts w:hint="eastAsia" w:ascii="仿宋" w:hAnsi="仿宋" w:eastAsia="仿宋" w:cs="仿宋"/>
                <w:b/>
                <w:color w:val="000000"/>
                <w:sz w:val="24"/>
              </w:rPr>
              <w:t>供应商资格要求</w:t>
            </w:r>
          </w:p>
        </w:tc>
        <w:tc>
          <w:tcPr>
            <w:tcW w:w="637"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2367036">
            <w:pPr>
              <w:widowControl/>
              <w:spacing w:line="360" w:lineRule="auto"/>
              <w:ind w:firstLine="420" w:firstLineChars="200"/>
              <w:jc w:val="left"/>
              <w:rPr>
                <w:rFonts w:asciiTheme="minorEastAsia" w:hAnsiTheme="minorEastAsia" w:cstheme="minorEastAsia"/>
                <w:kern w:val="0"/>
                <w:lang w:eastAsia="zh"/>
              </w:rPr>
            </w:pPr>
          </w:p>
        </w:tc>
        <w:tc>
          <w:tcPr>
            <w:tcW w:w="8220" w:type="dxa"/>
            <w:gridSpan w:val="4"/>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842A73F">
            <w:pPr>
              <w:widowControl/>
              <w:numPr>
                <w:ilvl w:val="0"/>
                <w:numId w:val="1"/>
              </w:numPr>
              <w:spacing w:line="360" w:lineRule="auto"/>
              <w:ind w:firstLine="210" w:firstLineChars="100"/>
              <w:jc w:val="left"/>
              <w:rPr>
                <w:rFonts w:asciiTheme="minorEastAsia" w:hAnsiTheme="minorEastAsia" w:eastAsiaTheme="minorEastAsia" w:cstheme="minorEastAsia"/>
                <w:kern w:val="0"/>
              </w:rPr>
            </w:pPr>
            <w:r>
              <w:rPr>
                <w:rFonts w:hint="eastAsia" w:asciiTheme="minorEastAsia" w:hAnsiTheme="minorEastAsia" w:eastAsiaTheme="minorEastAsia" w:cstheme="minorEastAsia"/>
                <w:kern w:val="0"/>
              </w:rPr>
              <w:t>报价人应是中华人民共和国境内【不含香港、澳门、台湾地区】法律上和财务上独立的法人或依法登记注册的组织，且营业执照或其他依法成立组织证明文件在有效期内。</w:t>
            </w:r>
          </w:p>
          <w:p w14:paraId="1CB40BA3">
            <w:pPr>
              <w:widowControl/>
              <w:numPr>
                <w:ilvl w:val="0"/>
                <w:numId w:val="1"/>
              </w:numPr>
              <w:spacing w:line="360" w:lineRule="auto"/>
              <w:ind w:firstLine="210" w:firstLineChars="100"/>
              <w:jc w:val="left"/>
              <w:rPr>
                <w:rFonts w:asciiTheme="minorEastAsia" w:hAnsiTheme="minorEastAsia" w:eastAsiaTheme="minorEastAsia" w:cstheme="minorEastAsia"/>
                <w:kern w:val="0"/>
              </w:rPr>
            </w:pPr>
            <w:r>
              <w:rPr>
                <w:rFonts w:hint="eastAsia" w:asciiTheme="minorEastAsia" w:hAnsiTheme="minorEastAsia" w:eastAsiaTheme="minorEastAsia" w:cstheme="minorEastAsia"/>
                <w:kern w:val="0"/>
              </w:rPr>
              <w:t>报价人必须是所投标货物的制造商或代理商，本项目不接受联合体投标。</w:t>
            </w:r>
          </w:p>
          <w:p w14:paraId="1B60711A">
            <w:pPr>
              <w:widowControl/>
              <w:numPr>
                <w:ilvl w:val="0"/>
                <w:numId w:val="1"/>
              </w:numPr>
              <w:spacing w:line="360" w:lineRule="auto"/>
              <w:ind w:firstLine="210" w:firstLineChars="100"/>
              <w:jc w:val="left"/>
              <w:rPr>
                <w:rFonts w:asciiTheme="minorEastAsia" w:hAnsiTheme="minorEastAsia" w:eastAsiaTheme="minorEastAsia" w:cstheme="minorEastAsia"/>
                <w:color w:val="auto"/>
                <w:kern w:val="0"/>
              </w:rPr>
            </w:pPr>
            <w:r>
              <w:rPr>
                <w:rFonts w:hint="eastAsia" w:asciiTheme="minorEastAsia" w:hAnsiTheme="minorEastAsia" w:eastAsiaTheme="minorEastAsia" w:cstheme="minorEastAsia"/>
                <w:kern w:val="0"/>
              </w:rPr>
              <w:t>报价人或制</w:t>
            </w:r>
            <w:r>
              <w:rPr>
                <w:rFonts w:hint="eastAsia" w:asciiTheme="minorEastAsia" w:hAnsiTheme="minorEastAsia" w:eastAsiaTheme="minorEastAsia" w:cstheme="minorEastAsia"/>
                <w:color w:val="auto"/>
                <w:kern w:val="0"/>
              </w:rPr>
              <w:t>造商须通过</w:t>
            </w:r>
            <w:r>
              <w:rPr>
                <w:rFonts w:hint="eastAsia" w:ascii="宋体" w:hAnsi="宋体" w:cs="宋体"/>
                <w:color w:val="auto"/>
              </w:rPr>
              <w:t>ISO9001质量管理体系认证、ISO14001环境管理体系认证、ISO45001职业健康安全管理体系认证</w:t>
            </w:r>
            <w:r>
              <w:rPr>
                <w:rFonts w:hint="eastAsia" w:asciiTheme="minorEastAsia" w:hAnsiTheme="minorEastAsia" w:eastAsiaTheme="minorEastAsia" w:cstheme="minorEastAsia"/>
                <w:color w:val="auto"/>
                <w:kern w:val="0"/>
              </w:rPr>
              <w:t>竞价时须提供相应证书复印件。</w:t>
            </w:r>
          </w:p>
          <w:p w14:paraId="3D65BD04">
            <w:pPr>
              <w:spacing w:line="360" w:lineRule="auto"/>
              <w:ind w:firstLine="420" w:firstLineChars="200"/>
              <w:rPr>
                <w:rFonts w:ascii="宋体" w:hAnsi="宋体" w:cs="宋体"/>
                <w:color w:val="auto"/>
              </w:rPr>
            </w:pPr>
            <w:r>
              <w:rPr>
                <w:rFonts w:hint="eastAsia" w:ascii="宋体" w:hAnsi="宋体" w:cs="宋体"/>
                <w:color w:val="auto"/>
              </w:rPr>
              <w:t>4、落实政府采购政策需满足的资格要求：</w:t>
            </w:r>
          </w:p>
          <w:p w14:paraId="1C86E45E">
            <w:pPr>
              <w:spacing w:line="360" w:lineRule="auto"/>
              <w:ind w:firstLine="420" w:firstLineChars="200"/>
              <w:rPr>
                <w:rFonts w:ascii="宋体" w:hAnsi="宋体" w:cs="宋体"/>
                <w:color w:val="auto"/>
              </w:rPr>
            </w:pPr>
            <w:r>
              <w:rPr>
                <w:rFonts w:hint="eastAsia" w:ascii="宋体" w:hAnsi="宋体" w:cs="宋体"/>
                <w:color w:val="auto"/>
              </w:rPr>
              <w:t>☑专门面向中小企业采购的项目（供应商应为中小微企业、监狱企业、残疾人福利性单位)</w:t>
            </w:r>
          </w:p>
          <w:p w14:paraId="73375DD6">
            <w:pPr>
              <w:spacing w:line="360" w:lineRule="auto"/>
              <w:ind w:firstLine="420" w:firstLineChars="200"/>
              <w:rPr>
                <w:rFonts w:ascii="宋体" w:hAnsi="宋体" w:cs="宋体"/>
                <w:color w:val="auto"/>
              </w:rPr>
            </w:pPr>
            <w:r>
              <w:rPr>
                <w:rFonts w:hint="eastAsia" w:ascii="宋体" w:hAnsi="宋体" w:cs="宋体"/>
                <w:color w:val="auto"/>
              </w:rPr>
              <w:t>□非专门面向中小企业采购的项目</w:t>
            </w:r>
          </w:p>
          <w:p w14:paraId="538EFD18">
            <w:pPr>
              <w:rPr>
                <w:rFonts w:asciiTheme="minorEastAsia" w:hAnsiTheme="minorEastAsia" w:eastAsiaTheme="minorEastAsia" w:cstheme="minorEastAsia"/>
                <w:kern w:val="0"/>
              </w:rPr>
            </w:pPr>
            <w:r>
              <w:rPr>
                <w:rFonts w:hint="eastAsia"/>
              </w:rPr>
              <w:t xml:space="preserve"> </w:t>
            </w:r>
            <w:r>
              <w:rPr>
                <w:rFonts w:hint="eastAsia" w:asciiTheme="minorEastAsia" w:hAnsiTheme="minorEastAsia" w:eastAsiaTheme="minorEastAsia" w:cstheme="minorEastAsia"/>
                <w:kern w:val="0"/>
              </w:rPr>
              <w:t>5、报价人不得存在下列情形之一</w:t>
            </w:r>
          </w:p>
          <w:p w14:paraId="626B5FCE">
            <w:pPr>
              <w:widowControl/>
              <w:spacing w:line="360" w:lineRule="auto"/>
              <w:ind w:firstLine="420" w:firstLineChars="200"/>
              <w:jc w:val="left"/>
              <w:rPr>
                <w:rFonts w:asciiTheme="minorEastAsia" w:hAnsiTheme="minorEastAsia" w:eastAsiaTheme="minorEastAsia" w:cstheme="minorEastAsia"/>
                <w:kern w:val="0"/>
              </w:rPr>
            </w:pPr>
            <w:r>
              <w:rPr>
                <w:rFonts w:hint="eastAsia" w:asciiTheme="minorEastAsia" w:hAnsiTheme="minorEastAsia" w:eastAsiaTheme="minorEastAsia" w:cstheme="minorEastAsia"/>
                <w:kern w:val="0"/>
              </w:rPr>
              <w:t>5.1.报价人被责令停业停产或破产状态的；</w:t>
            </w:r>
          </w:p>
          <w:p w14:paraId="3A7BC609">
            <w:pPr>
              <w:widowControl/>
              <w:spacing w:line="360" w:lineRule="auto"/>
              <w:ind w:firstLine="420" w:firstLineChars="200"/>
              <w:jc w:val="left"/>
              <w:rPr>
                <w:rFonts w:asciiTheme="minorEastAsia" w:hAnsiTheme="minorEastAsia" w:eastAsiaTheme="minorEastAsia" w:cstheme="minorEastAsia"/>
                <w:kern w:val="0"/>
              </w:rPr>
            </w:pPr>
            <w:r>
              <w:rPr>
                <w:rFonts w:hint="eastAsia" w:asciiTheme="minorEastAsia" w:hAnsiTheme="minorEastAsia" w:eastAsiaTheme="minorEastAsia" w:cstheme="minorEastAsia"/>
                <w:kern w:val="0"/>
              </w:rPr>
              <w:t>5.2.报价人财产被重组、接管、查封、扣押或冻结的；</w:t>
            </w:r>
          </w:p>
          <w:p w14:paraId="6C213103">
            <w:pPr>
              <w:widowControl/>
              <w:spacing w:line="360" w:lineRule="auto"/>
              <w:ind w:firstLine="420" w:firstLineChars="200"/>
              <w:jc w:val="left"/>
              <w:rPr>
                <w:rFonts w:asciiTheme="minorEastAsia" w:hAnsiTheme="minorEastAsia" w:eastAsiaTheme="minorEastAsia" w:cstheme="minorEastAsia"/>
                <w:kern w:val="0"/>
              </w:rPr>
            </w:pPr>
            <w:r>
              <w:rPr>
                <w:rFonts w:hint="eastAsia" w:asciiTheme="minorEastAsia" w:hAnsiTheme="minorEastAsia" w:eastAsiaTheme="minorEastAsia" w:cstheme="minorEastAsia"/>
                <w:kern w:val="0"/>
              </w:rPr>
              <w:t>5.3.报价人或其投标产品/服务被列入招标人供应商管理灰名单或黑名单，且在禁入期内被暂停或取消投标资格的；</w:t>
            </w:r>
          </w:p>
          <w:p w14:paraId="6A3A4130">
            <w:pPr>
              <w:widowControl/>
              <w:spacing w:line="360" w:lineRule="auto"/>
              <w:ind w:firstLine="420" w:firstLineChars="200"/>
              <w:jc w:val="left"/>
              <w:rPr>
                <w:rFonts w:asciiTheme="minorEastAsia" w:hAnsiTheme="minorEastAsia" w:eastAsiaTheme="minorEastAsia" w:cstheme="minorEastAsia"/>
                <w:kern w:val="0"/>
              </w:rPr>
            </w:pPr>
            <w:r>
              <w:rPr>
                <w:rFonts w:hint="eastAsia" w:asciiTheme="minorEastAsia" w:hAnsiTheme="minorEastAsia" w:eastAsiaTheme="minorEastAsia" w:cstheme="minorEastAsia"/>
                <w:kern w:val="0"/>
              </w:rPr>
              <w:t>5.4.报价人近三年内在经营活动中有重大违法记录，被“信用中国”（www.creditchina.gov.cn）列入失信被执行人、税收违法黑名单、企业经营异常名录名单；</w:t>
            </w:r>
          </w:p>
          <w:p w14:paraId="152E5B66">
            <w:pPr>
              <w:widowControl/>
              <w:spacing w:line="360" w:lineRule="auto"/>
              <w:ind w:firstLine="420" w:firstLineChars="200"/>
              <w:jc w:val="left"/>
              <w:rPr>
                <w:rFonts w:asciiTheme="minorEastAsia" w:hAnsiTheme="minorEastAsia" w:eastAsiaTheme="minorEastAsia" w:cstheme="minorEastAsia"/>
                <w:kern w:val="0"/>
              </w:rPr>
            </w:pPr>
            <w:r>
              <w:rPr>
                <w:rFonts w:hint="eastAsia" w:asciiTheme="minorEastAsia" w:hAnsiTheme="minorEastAsia" w:cstheme="minorEastAsia"/>
                <w:kern w:val="0"/>
              </w:rPr>
              <w:t>5</w:t>
            </w:r>
            <w:r>
              <w:rPr>
                <w:rFonts w:hint="eastAsia" w:asciiTheme="minorEastAsia" w:hAnsiTheme="minorEastAsia" w:eastAsiaTheme="minorEastAsia" w:cstheme="minorEastAsia"/>
                <w:kern w:val="0"/>
              </w:rPr>
              <w:t>.5.投标人近三年内被相关行业主管部门或行政主管部门或司法机关认定有骗取中标、严重违约、重大质量或者安全问题的；</w:t>
            </w:r>
          </w:p>
        </w:tc>
      </w:tr>
      <w:tr w14:paraId="2079CD8A">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gridAfter w:val="1"/>
          <w:wAfter w:w="670" w:type="dxa"/>
          <w:trHeight w:val="832" w:hRule="atLeast"/>
          <w:jc w:val="center"/>
        </w:trPr>
        <w:tc>
          <w:tcPr>
            <w:tcW w:w="1749" w:type="dxa"/>
            <w:gridSpan w:val="3"/>
            <w:tcBorders>
              <w:top w:val="single" w:color="000000" w:sz="4" w:space="0"/>
              <w:left w:val="single" w:color="000000" w:sz="4" w:space="0"/>
              <w:bottom w:val="single" w:color="000000" w:sz="4" w:space="0"/>
              <w:right w:val="single" w:color="000000" w:sz="4" w:space="0"/>
            </w:tcBorders>
            <w:vAlign w:val="center"/>
          </w:tcPr>
          <w:p w14:paraId="00610B5F">
            <w:pPr>
              <w:widowControl/>
              <w:snapToGrid w:val="0"/>
              <w:spacing w:line="360" w:lineRule="auto"/>
              <w:ind w:left="105" w:leftChars="50"/>
              <w:jc w:val="center"/>
              <w:textAlignment w:val="center"/>
              <w:rPr>
                <w:rFonts w:ascii="仿宋" w:hAnsi="仿宋" w:eastAsia="仿宋" w:cs="仿宋"/>
                <w:b/>
                <w:color w:val="000000"/>
                <w:sz w:val="24"/>
              </w:rPr>
            </w:pPr>
            <w:r>
              <w:rPr>
                <w:rFonts w:hint="eastAsia" w:ascii="仿宋" w:hAnsi="仿宋" w:eastAsia="仿宋" w:cs="仿宋"/>
                <w:b/>
                <w:color w:val="000000"/>
                <w:sz w:val="24"/>
              </w:rPr>
              <w:t>小样要求</w:t>
            </w:r>
          </w:p>
        </w:tc>
        <w:tc>
          <w:tcPr>
            <w:tcW w:w="637"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DFAD462">
            <w:pPr>
              <w:widowControl/>
              <w:spacing w:line="360" w:lineRule="auto"/>
              <w:ind w:firstLine="218" w:firstLineChars="104"/>
              <w:jc w:val="left"/>
              <w:rPr>
                <w:rFonts w:asciiTheme="minorEastAsia" w:hAnsiTheme="minorEastAsia" w:eastAsiaTheme="minorEastAsia" w:cstheme="minorEastAsia"/>
                <w:kern w:val="0"/>
              </w:rPr>
            </w:pPr>
          </w:p>
        </w:tc>
        <w:tc>
          <w:tcPr>
            <w:tcW w:w="8220" w:type="dxa"/>
            <w:gridSpan w:val="4"/>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DFD25FE">
            <w:pPr>
              <w:widowControl/>
              <w:spacing w:line="360" w:lineRule="auto"/>
              <w:ind w:firstLine="218" w:firstLineChars="104"/>
              <w:jc w:val="left"/>
              <w:rPr>
                <w:rFonts w:asciiTheme="minorEastAsia" w:hAnsiTheme="minorEastAsia" w:eastAsiaTheme="minorEastAsia" w:cstheme="minorEastAsia"/>
                <w:kern w:val="0"/>
              </w:rPr>
            </w:pPr>
            <w:r>
              <w:rPr>
                <w:rFonts w:hint="eastAsia" w:asciiTheme="minorEastAsia" w:hAnsiTheme="minorEastAsia" w:eastAsiaTheme="minorEastAsia" w:cstheme="minorEastAsia"/>
                <w:kern w:val="0"/>
              </w:rPr>
              <w:t>报价人</w:t>
            </w:r>
            <w:r>
              <w:rPr>
                <w:rFonts w:hint="eastAsia" w:asciiTheme="minorEastAsia" w:hAnsiTheme="minorEastAsia" w:eastAsiaTheme="minorEastAsia" w:cstheme="minorEastAsia"/>
                <w:kern w:val="0"/>
                <w:lang w:val="en-US" w:eastAsia="zh-CN"/>
              </w:rPr>
              <w:t>须</w:t>
            </w:r>
            <w:r>
              <w:rPr>
                <w:rFonts w:hint="eastAsia" w:asciiTheme="minorEastAsia" w:hAnsiTheme="minorEastAsia" w:eastAsiaTheme="minorEastAsia" w:cstheme="minorEastAsia"/>
                <w:kern w:val="0"/>
              </w:rPr>
              <w:t>提供样品：</w:t>
            </w:r>
          </w:p>
          <w:p w14:paraId="7874E6CE">
            <w:pPr>
              <w:widowControl/>
              <w:numPr>
                <w:ilvl w:val="0"/>
                <w:numId w:val="2"/>
              </w:numPr>
              <w:spacing w:line="360" w:lineRule="auto"/>
              <w:ind w:firstLine="218" w:firstLineChars="104"/>
              <w:jc w:val="left"/>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lang w:val="en-US" w:eastAsia="zh-CN"/>
              </w:rPr>
              <w:t>单</w:t>
            </w:r>
            <w:r>
              <w:rPr>
                <w:rFonts w:hint="eastAsia" w:asciiTheme="minorEastAsia" w:hAnsiTheme="minorEastAsia" w:eastAsiaTheme="minorEastAsia" w:cstheme="minorEastAsia"/>
                <w:highlight w:val="none"/>
                <w:lang w:val="en-US" w:eastAsia="zh-CN"/>
              </w:rPr>
              <w:t>柱升降课桌椅</w:t>
            </w:r>
            <w:r>
              <w:rPr>
                <w:rFonts w:hint="eastAsia" w:asciiTheme="minorEastAsia" w:hAnsiTheme="minorEastAsia" w:eastAsiaTheme="minorEastAsia" w:cstheme="minorEastAsia"/>
                <w:highlight w:val="none"/>
              </w:rPr>
              <w:t>实物大样一</w:t>
            </w:r>
            <w:r>
              <w:rPr>
                <w:rFonts w:hint="eastAsia" w:asciiTheme="minorEastAsia" w:hAnsiTheme="minorEastAsia" w:eastAsiaTheme="minorEastAsia" w:cstheme="minorEastAsia"/>
                <w:highlight w:val="none"/>
                <w:lang w:val="en-US" w:eastAsia="zh-CN"/>
              </w:rPr>
              <w:t>套</w:t>
            </w:r>
            <w:r>
              <w:rPr>
                <w:rFonts w:hint="eastAsia" w:asciiTheme="minorEastAsia" w:hAnsiTheme="minorEastAsia" w:eastAsiaTheme="minorEastAsia" w:cstheme="minorEastAsia"/>
                <w:highlight w:val="none"/>
              </w:rPr>
              <w:t>，尺寸按参数要求。</w:t>
            </w:r>
          </w:p>
          <w:p w14:paraId="1B0E3A59">
            <w:pPr>
              <w:widowControl/>
              <w:numPr>
                <w:ilvl w:val="0"/>
                <w:numId w:val="0"/>
              </w:numPr>
              <w:spacing w:line="360" w:lineRule="auto"/>
              <w:jc w:val="left"/>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注明：</w:t>
            </w:r>
          </w:p>
          <w:p w14:paraId="2C605DF2">
            <w:pPr>
              <w:widowControl/>
              <w:numPr>
                <w:ilvl w:val="0"/>
                <w:numId w:val="0"/>
              </w:numPr>
              <w:spacing w:line="360" w:lineRule="auto"/>
              <w:jc w:val="left"/>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（1）所提供样品必须符合招标文件技术参数要求，不提供</w:t>
            </w:r>
            <w:r>
              <w:rPr>
                <w:rFonts w:hint="eastAsia" w:asciiTheme="minorEastAsia" w:hAnsiTheme="minorEastAsia" w:eastAsiaTheme="minorEastAsia" w:cstheme="minorEastAsia"/>
                <w:highlight w:val="none"/>
                <w:lang w:val="en-US" w:eastAsia="zh-CN"/>
              </w:rPr>
              <w:t>样品</w:t>
            </w:r>
            <w:r>
              <w:rPr>
                <w:rFonts w:hint="eastAsia" w:asciiTheme="minorEastAsia" w:hAnsiTheme="minorEastAsia" w:eastAsiaTheme="minorEastAsia" w:cstheme="minorEastAsia"/>
                <w:highlight w:val="none"/>
              </w:rPr>
              <w:t>，以及提供不符合文件要求的视为投标无效。</w:t>
            </w:r>
          </w:p>
          <w:p w14:paraId="60433CDD">
            <w:pPr>
              <w:widowControl/>
              <w:numPr>
                <w:ilvl w:val="0"/>
                <w:numId w:val="0"/>
              </w:numPr>
              <w:spacing w:line="360" w:lineRule="auto"/>
              <w:jc w:val="left"/>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（2）投标人请在截止报价前一天提供货物投标</w:t>
            </w:r>
            <w:r>
              <w:rPr>
                <w:rFonts w:hint="eastAsia" w:asciiTheme="minorEastAsia" w:hAnsiTheme="minorEastAsia" w:eastAsiaTheme="minorEastAsia" w:cstheme="minorEastAsia"/>
                <w:highlight w:val="none"/>
                <w:lang w:val="en-US" w:eastAsia="zh-CN"/>
              </w:rPr>
              <w:t>样品</w:t>
            </w:r>
            <w:r>
              <w:rPr>
                <w:rFonts w:hint="eastAsia" w:asciiTheme="minorEastAsia" w:hAnsiTheme="minorEastAsia" w:eastAsiaTheme="minorEastAsia" w:cstheme="minorEastAsia"/>
                <w:highlight w:val="none"/>
              </w:rPr>
              <w:t>，并将该投标样品送至</w:t>
            </w:r>
            <w:r>
              <w:rPr>
                <w:rFonts w:hint="eastAsia" w:asciiTheme="minorEastAsia" w:hAnsiTheme="minorEastAsia" w:eastAsiaTheme="minorEastAsia" w:cstheme="minorEastAsia"/>
                <w:highlight w:val="none"/>
                <w:lang w:val="en-US" w:eastAsia="zh-CN"/>
              </w:rPr>
              <w:t>南宁第十四中学</w:t>
            </w:r>
            <w:r>
              <w:rPr>
                <w:rFonts w:hint="eastAsia" w:asciiTheme="minorEastAsia" w:hAnsiTheme="minorEastAsia" w:eastAsiaTheme="minorEastAsia" w:cstheme="minorEastAsia"/>
                <w:highlight w:val="none"/>
                <w:u w:val="single"/>
                <w:lang w:val="en-US" w:eastAsia="zh-CN"/>
              </w:rPr>
              <w:t>建政校区重建专班</w:t>
            </w:r>
            <w:r>
              <w:rPr>
                <w:rFonts w:hint="eastAsia" w:asciiTheme="minorEastAsia" w:hAnsiTheme="minorEastAsia" w:eastAsiaTheme="minorEastAsia" w:cstheme="minorEastAsia"/>
                <w:highlight w:val="none"/>
              </w:rPr>
              <w:t>。</w:t>
            </w:r>
          </w:p>
          <w:p w14:paraId="17DED79A">
            <w:pPr>
              <w:widowControl/>
              <w:numPr>
                <w:ilvl w:val="0"/>
                <w:numId w:val="0"/>
              </w:numPr>
              <w:spacing w:line="360" w:lineRule="auto"/>
              <w:jc w:val="left"/>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（3）小样递交： ①所有样品统一封装密封到箱子后，提交到</w:t>
            </w:r>
            <w:r>
              <w:rPr>
                <w:rFonts w:hint="eastAsia" w:asciiTheme="minorEastAsia" w:hAnsiTheme="minorEastAsia" w:eastAsiaTheme="minorEastAsia" w:cstheme="minorEastAsia"/>
                <w:highlight w:val="none"/>
                <w:lang w:val="en-US" w:eastAsia="zh-CN"/>
              </w:rPr>
              <w:t>南宁第十四中学</w:t>
            </w:r>
            <w:r>
              <w:rPr>
                <w:rFonts w:hint="eastAsia" w:asciiTheme="minorEastAsia" w:hAnsiTheme="minorEastAsia" w:eastAsiaTheme="minorEastAsia" w:cstheme="minorEastAsia"/>
                <w:highlight w:val="none"/>
                <w:u w:val="single"/>
                <w:lang w:val="en-US" w:eastAsia="zh-CN"/>
              </w:rPr>
              <w:t>建政校区重建专班，周老师收</w:t>
            </w:r>
            <w:r>
              <w:rPr>
                <w:rFonts w:hint="eastAsia" w:asciiTheme="minorEastAsia" w:hAnsiTheme="minorEastAsia" w:eastAsiaTheme="minorEastAsia" w:cstheme="minorEastAsia"/>
                <w:highlight w:val="none"/>
              </w:rPr>
              <w:t>；②箱子正面贴上投标人名称、项目名称和项目编号等信息的标签；</w:t>
            </w:r>
          </w:p>
          <w:p w14:paraId="297AAC77">
            <w:pPr>
              <w:widowControl/>
              <w:numPr>
                <w:ilvl w:val="0"/>
                <w:numId w:val="0"/>
              </w:numPr>
              <w:spacing w:line="360" w:lineRule="auto"/>
              <w:jc w:val="left"/>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③</w:t>
            </w:r>
            <w:r>
              <w:rPr>
                <w:rFonts w:hint="eastAsia" w:asciiTheme="minorEastAsia" w:hAnsiTheme="minorEastAsia" w:eastAsiaTheme="minorEastAsia" w:cstheme="minorEastAsia"/>
                <w:highlight w:val="none"/>
                <w:lang w:val="en-US" w:eastAsia="zh-CN"/>
              </w:rPr>
              <w:t xml:space="preserve"> 南宁第十四中学</w:t>
            </w:r>
            <w:r>
              <w:rPr>
                <w:rFonts w:hint="eastAsia" w:asciiTheme="minorEastAsia" w:hAnsiTheme="minorEastAsia" w:eastAsiaTheme="minorEastAsia" w:cstheme="minorEastAsia"/>
                <w:highlight w:val="none"/>
                <w:u w:val="single"/>
                <w:lang w:val="en-US" w:eastAsia="zh-CN"/>
              </w:rPr>
              <w:t>建政校区重建专班周老师</w:t>
            </w:r>
            <w:r>
              <w:rPr>
                <w:rFonts w:hint="eastAsia" w:asciiTheme="minorEastAsia" w:hAnsiTheme="minorEastAsia" w:eastAsiaTheme="minorEastAsia" w:cstheme="minorEastAsia"/>
                <w:highlight w:val="none"/>
              </w:rPr>
              <w:t>只负责接收样品，评定小样时由</w:t>
            </w:r>
            <w:r>
              <w:rPr>
                <w:rFonts w:hint="eastAsia" w:asciiTheme="minorEastAsia" w:hAnsiTheme="minorEastAsia" w:eastAsiaTheme="minorEastAsia" w:cstheme="minorEastAsia"/>
                <w:highlight w:val="none"/>
                <w:lang w:val="en-US" w:eastAsia="zh-CN"/>
              </w:rPr>
              <w:t>建政校区采购工作领导小组成员</w:t>
            </w:r>
            <w:r>
              <w:rPr>
                <w:rFonts w:hint="eastAsia" w:asciiTheme="minorEastAsia" w:hAnsiTheme="minorEastAsia" w:eastAsiaTheme="minorEastAsia" w:cstheme="minorEastAsia"/>
                <w:highlight w:val="none"/>
              </w:rPr>
              <w:t>打开，待评定小样完毕后再放回原来的箱子里。</w:t>
            </w:r>
          </w:p>
          <w:p w14:paraId="6CAA8C3D">
            <w:pPr>
              <w:widowControl/>
              <w:numPr>
                <w:ilvl w:val="0"/>
                <w:numId w:val="0"/>
              </w:numPr>
              <w:spacing w:line="360" w:lineRule="auto"/>
              <w:jc w:val="left"/>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（4）供应商须在响应文件里提供样品接收确认单签字版扫描件（确认单由</w:t>
            </w:r>
            <w:r>
              <w:rPr>
                <w:rFonts w:hint="eastAsia" w:asciiTheme="minorEastAsia" w:hAnsiTheme="minorEastAsia" w:eastAsiaTheme="minorEastAsia" w:cstheme="minorEastAsia"/>
                <w:highlight w:val="none"/>
                <w:lang w:val="en-US" w:eastAsia="zh-CN"/>
              </w:rPr>
              <w:t>南宁第十四中学建政校区重建专班</w:t>
            </w:r>
            <w:r>
              <w:rPr>
                <w:rFonts w:hint="eastAsia" w:asciiTheme="minorEastAsia" w:hAnsiTheme="minorEastAsia" w:eastAsiaTheme="minorEastAsia" w:cstheme="minorEastAsia"/>
                <w:highlight w:val="none"/>
              </w:rPr>
              <w:t>人员签字确认即可），否则投标无效。</w:t>
            </w:r>
          </w:p>
          <w:p w14:paraId="307D0A54">
            <w:pPr>
              <w:widowControl/>
              <w:numPr>
                <w:ilvl w:val="0"/>
                <w:numId w:val="0"/>
              </w:numPr>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highlight w:val="none"/>
              </w:rPr>
              <w:t>（5）中标人样品不退，作为验收依据之一。其余未中标的样品在接到</w:t>
            </w:r>
            <w:r>
              <w:rPr>
                <w:rFonts w:hint="eastAsia" w:asciiTheme="minorEastAsia" w:hAnsiTheme="minorEastAsia" w:eastAsiaTheme="minorEastAsia" w:cstheme="minorEastAsia"/>
                <w:highlight w:val="none"/>
                <w:lang w:val="en-US" w:eastAsia="zh-CN"/>
              </w:rPr>
              <w:t>南宁第十四中学</w:t>
            </w:r>
            <w:r>
              <w:rPr>
                <w:rFonts w:hint="eastAsia" w:asciiTheme="minorEastAsia" w:hAnsiTheme="minorEastAsia" w:eastAsiaTheme="minorEastAsia" w:cstheme="minorEastAsia"/>
                <w:highlight w:val="none"/>
                <w:u w:val="single"/>
                <w:lang w:val="en-US" w:eastAsia="zh-CN"/>
              </w:rPr>
              <w:t>建政校区重建专班</w:t>
            </w:r>
            <w:r>
              <w:rPr>
                <w:rFonts w:hint="eastAsia" w:asciiTheme="minorEastAsia" w:hAnsiTheme="minorEastAsia" w:eastAsiaTheme="minorEastAsia" w:cstheme="minorEastAsia"/>
                <w:highlight w:val="none"/>
              </w:rPr>
              <w:t>通知后两个工作日内予以退回，不及时领取样品所造成的损失，投标人自行承担。</w:t>
            </w:r>
          </w:p>
        </w:tc>
      </w:tr>
      <w:tr w14:paraId="0735C6E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gridAfter w:val="1"/>
          <w:wAfter w:w="670" w:type="dxa"/>
          <w:trHeight w:val="2352" w:hRule="atLeast"/>
          <w:jc w:val="center"/>
        </w:trPr>
        <w:tc>
          <w:tcPr>
            <w:tcW w:w="1749" w:type="dxa"/>
            <w:gridSpan w:val="3"/>
            <w:tcBorders>
              <w:top w:val="single" w:color="000000" w:sz="4" w:space="0"/>
              <w:left w:val="single" w:color="000000" w:sz="4" w:space="0"/>
              <w:bottom w:val="single" w:color="000000" w:sz="4" w:space="0"/>
              <w:right w:val="single" w:color="000000" w:sz="4" w:space="0"/>
            </w:tcBorders>
            <w:vAlign w:val="center"/>
          </w:tcPr>
          <w:p w14:paraId="3C0B2EF8">
            <w:pPr>
              <w:widowControl/>
              <w:snapToGrid w:val="0"/>
              <w:spacing w:line="360" w:lineRule="auto"/>
              <w:ind w:left="105" w:leftChars="50"/>
              <w:jc w:val="center"/>
              <w:textAlignment w:val="center"/>
              <w:rPr>
                <w:rFonts w:ascii="仿宋" w:hAnsi="仿宋" w:eastAsia="仿宋" w:cs="仿宋"/>
                <w:b/>
                <w:color w:val="000000"/>
                <w:sz w:val="24"/>
              </w:rPr>
            </w:pPr>
            <w:r>
              <w:rPr>
                <w:rFonts w:hint="eastAsia" w:ascii="仿宋" w:hAnsi="仿宋" w:eastAsia="仿宋" w:cs="仿宋"/>
                <w:b/>
                <w:color w:val="000000"/>
                <w:sz w:val="24"/>
              </w:rPr>
              <w:t>验收要求</w:t>
            </w:r>
          </w:p>
        </w:tc>
        <w:tc>
          <w:tcPr>
            <w:tcW w:w="637"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34BA79B">
            <w:pPr>
              <w:adjustRightInd w:val="0"/>
              <w:snapToGrid w:val="0"/>
              <w:spacing w:line="400" w:lineRule="exact"/>
              <w:ind w:left="216" w:leftChars="103"/>
              <w:rPr>
                <w:rFonts w:ascii="宋体" w:hAnsi="宋体" w:cs="宋体"/>
              </w:rPr>
            </w:pPr>
          </w:p>
        </w:tc>
        <w:tc>
          <w:tcPr>
            <w:tcW w:w="8220" w:type="dxa"/>
            <w:gridSpan w:val="4"/>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150CD8F">
            <w:pPr>
              <w:adjustRightInd w:val="0"/>
              <w:snapToGrid w:val="0"/>
              <w:spacing w:line="400" w:lineRule="exact"/>
              <w:ind w:left="216" w:leftChars="103"/>
              <w:rPr>
                <w:rFonts w:ascii="宋体" w:hAnsi="宋体" w:cs="宋体"/>
              </w:rPr>
            </w:pPr>
            <w:r>
              <w:rPr>
                <w:rFonts w:hint="eastAsia" w:ascii="宋体" w:hAnsi="宋体" w:cs="宋体"/>
              </w:rPr>
              <w:t>1、所供产品的材规格、数量、材质等均符合采购需求及采购合同约定的要求。</w:t>
            </w:r>
          </w:p>
          <w:p w14:paraId="646A9872">
            <w:pPr>
              <w:adjustRightInd w:val="0"/>
              <w:snapToGrid w:val="0"/>
              <w:spacing w:line="400" w:lineRule="exact"/>
              <w:ind w:left="216" w:leftChars="103"/>
              <w:rPr>
                <w:rFonts w:ascii="宋体" w:hAnsi="宋体" w:cs="宋体"/>
              </w:rPr>
            </w:pPr>
            <w:r>
              <w:rPr>
                <w:rFonts w:hint="eastAsia" w:ascii="宋体" w:hAnsi="宋体" w:cs="宋体"/>
              </w:rPr>
              <w:t>2、所供产品的外观完好，无严重碰撞、表皮脱落、五金件生锈等明显瑕疵。</w:t>
            </w:r>
          </w:p>
          <w:p w14:paraId="783BF2E6">
            <w:pPr>
              <w:adjustRightInd w:val="0"/>
              <w:snapToGrid w:val="0"/>
              <w:spacing w:line="400" w:lineRule="exact"/>
              <w:ind w:left="216" w:leftChars="103"/>
              <w:rPr>
                <w:rFonts w:ascii="宋体" w:hAnsi="宋体" w:cs="宋体"/>
              </w:rPr>
            </w:pPr>
            <w:r>
              <w:rPr>
                <w:rFonts w:hint="eastAsia" w:ascii="宋体" w:hAnsi="宋体" w:cs="宋体"/>
              </w:rPr>
              <w:t>3、所供产品结构牢固，无安全隐患。</w:t>
            </w:r>
          </w:p>
          <w:p w14:paraId="0F686BFA">
            <w:pPr>
              <w:adjustRightInd w:val="0"/>
              <w:snapToGrid w:val="0"/>
              <w:spacing w:line="400" w:lineRule="exact"/>
              <w:ind w:left="216" w:leftChars="103"/>
              <w:rPr>
                <w:rFonts w:ascii="宋体" w:hAnsi="宋体" w:cs="宋体"/>
              </w:rPr>
            </w:pPr>
            <w:r>
              <w:rPr>
                <w:rFonts w:hint="eastAsia" w:ascii="宋体" w:hAnsi="宋体" w:cs="宋体"/>
              </w:rPr>
              <w:t xml:space="preserve">4、货物安装调试完毕后，采购方根据情况采用随机抽取的方式从每种产品随机抽选1-2套货物采取破坏性验收方式或聘请第三方进行验收检测。如有抽检要求的，检测结果符合采购需求及采购合同约定的要求，检测单位均由采购方指定，所有费用由供应商承担。 </w:t>
            </w:r>
            <w:bookmarkStart w:id="9" w:name="验收标准"/>
            <w:bookmarkEnd w:id="9"/>
          </w:p>
          <w:p w14:paraId="608DD2B6">
            <w:pPr>
              <w:adjustRightInd w:val="0"/>
              <w:snapToGrid w:val="0"/>
              <w:spacing w:line="400" w:lineRule="exact"/>
              <w:ind w:left="216" w:leftChars="103"/>
              <w:rPr>
                <w:rFonts w:asciiTheme="minorEastAsia" w:hAnsiTheme="minorEastAsia" w:eastAsiaTheme="minorEastAsia" w:cstheme="minorEastAsia"/>
                <w:kern w:val="0"/>
              </w:rPr>
            </w:pPr>
            <w:r>
              <w:rPr>
                <w:rFonts w:hint="eastAsia" w:ascii="宋体" w:hAnsi="宋体" w:cs="宋体"/>
              </w:rPr>
              <w:t>5、所有产品均已运输至指定地点，并安装调试完毕。</w:t>
            </w:r>
          </w:p>
        </w:tc>
      </w:tr>
      <w:tr w14:paraId="48A8229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gridAfter w:val="1"/>
          <w:wAfter w:w="670" w:type="dxa"/>
          <w:trHeight w:val="728" w:hRule="atLeast"/>
          <w:jc w:val="center"/>
        </w:trPr>
        <w:tc>
          <w:tcPr>
            <w:tcW w:w="1749" w:type="dxa"/>
            <w:gridSpan w:val="3"/>
            <w:tcBorders>
              <w:top w:val="single" w:color="000000" w:sz="4" w:space="0"/>
              <w:left w:val="single" w:color="000000" w:sz="4" w:space="0"/>
              <w:bottom w:val="single" w:color="000000" w:sz="4" w:space="0"/>
              <w:right w:val="single" w:color="000000" w:sz="4" w:space="0"/>
            </w:tcBorders>
            <w:vAlign w:val="center"/>
          </w:tcPr>
          <w:p w14:paraId="5E8E06DB">
            <w:pPr>
              <w:widowControl/>
              <w:snapToGrid w:val="0"/>
              <w:spacing w:line="360" w:lineRule="auto"/>
              <w:ind w:left="105" w:leftChars="50"/>
              <w:jc w:val="center"/>
              <w:textAlignment w:val="center"/>
              <w:rPr>
                <w:rFonts w:ascii="仿宋" w:hAnsi="仿宋" w:eastAsia="仿宋" w:cs="仿宋"/>
                <w:b/>
                <w:color w:val="000000"/>
                <w:sz w:val="24"/>
              </w:rPr>
            </w:pPr>
            <w:r>
              <w:rPr>
                <w:rFonts w:hint="eastAsia" w:ascii="仿宋" w:hAnsi="仿宋" w:eastAsia="仿宋" w:cs="仿宋"/>
                <w:b/>
                <w:color w:val="000000"/>
                <w:sz w:val="24"/>
              </w:rPr>
              <w:t>其他要求</w:t>
            </w:r>
          </w:p>
        </w:tc>
        <w:tc>
          <w:tcPr>
            <w:tcW w:w="637"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FC93D94">
            <w:pPr>
              <w:widowControl/>
              <w:spacing w:line="360" w:lineRule="auto"/>
              <w:ind w:firstLine="210" w:firstLineChars="100"/>
              <w:jc w:val="left"/>
              <w:rPr>
                <w:rFonts w:asciiTheme="minorEastAsia" w:hAnsiTheme="minorEastAsia" w:eastAsiaTheme="minorEastAsia" w:cstheme="minorEastAsia"/>
                <w:kern w:val="0"/>
              </w:rPr>
            </w:pPr>
          </w:p>
        </w:tc>
        <w:tc>
          <w:tcPr>
            <w:tcW w:w="8220" w:type="dxa"/>
            <w:gridSpan w:val="4"/>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EB2D316">
            <w:pPr>
              <w:widowControl/>
              <w:numPr>
                <w:ilvl w:val="0"/>
                <w:numId w:val="3"/>
              </w:numPr>
              <w:spacing w:line="360" w:lineRule="auto"/>
              <w:ind w:firstLine="210" w:firstLineChars="100"/>
              <w:jc w:val="left"/>
              <w:rPr>
                <w:rFonts w:asciiTheme="minorEastAsia" w:hAnsiTheme="minorEastAsia" w:eastAsiaTheme="minorEastAsia" w:cstheme="minorEastAsia"/>
                <w:kern w:val="0"/>
              </w:rPr>
            </w:pPr>
            <w:r>
              <w:rPr>
                <w:rFonts w:hint="eastAsia" w:asciiTheme="minorEastAsia" w:hAnsiTheme="minorEastAsia" w:eastAsiaTheme="minorEastAsia" w:cstheme="minorEastAsia"/>
                <w:kern w:val="0"/>
              </w:rPr>
              <w:t>报价人应在投标报价时提供符合参数要求的检测报告复印件，检测报告受检单位应为报价单位或制造商，检验报告出具单位应为具有CMA或CNAS标识的第三方检测机构）或省级以上（含省级）国家质检部门（单位）；原件备查。</w:t>
            </w:r>
          </w:p>
          <w:p w14:paraId="1842961C">
            <w:pPr>
              <w:widowControl/>
              <w:spacing w:line="360" w:lineRule="auto"/>
              <w:ind w:firstLine="210" w:firstLineChars="100"/>
              <w:jc w:val="left"/>
              <w:rPr>
                <w:rStyle w:val="16"/>
                <w:rFonts w:ascii="宋体" w:hAnsi="宋体" w:cs="宋体"/>
              </w:rPr>
            </w:pPr>
            <w:r>
              <w:rPr>
                <w:rFonts w:hint="eastAsia" w:asciiTheme="minorEastAsia" w:hAnsiTheme="minorEastAsia" w:eastAsiaTheme="minorEastAsia" w:cstheme="minorEastAsia"/>
                <w:kern w:val="0"/>
              </w:rPr>
              <w:t>2、中标供应商签订合同时须要提供参数要求的检测报告原件核查，如有提供虚假材料骗取中标造成严重违约行为的采购有权</w:t>
            </w:r>
            <w:r>
              <w:rPr>
                <w:rFonts w:hint="eastAsia" w:ascii="宋体" w:hAnsi="宋体" w:cs="宋体"/>
              </w:rPr>
              <w:t>追加供应商责任并向监管部门投诉。</w:t>
            </w:r>
          </w:p>
          <w:p w14:paraId="6A4D69D0">
            <w:pPr>
              <w:widowControl/>
              <w:spacing w:line="360" w:lineRule="auto"/>
              <w:ind w:firstLine="210" w:firstLineChars="100"/>
              <w:jc w:val="left"/>
              <w:rPr>
                <w:rFonts w:hint="eastAsia" w:asciiTheme="minorEastAsia" w:hAnsiTheme="minorEastAsia" w:eastAsiaTheme="minorEastAsia" w:cstheme="minorEastAsia"/>
                <w:kern w:val="0"/>
              </w:rPr>
            </w:pPr>
            <w:r>
              <w:rPr>
                <w:rFonts w:hint="eastAsia" w:asciiTheme="minorEastAsia" w:hAnsiTheme="minorEastAsia" w:eastAsiaTheme="minorEastAsia" w:cstheme="minorEastAsia"/>
                <w:kern w:val="0"/>
              </w:rPr>
              <w:t>3、供应商必须满足全部商务要求及技术要求，否则报价无效。一旦发现虚假响应，即使成交也将被取消成交资格，且采购人有权追加供应商违约责任。</w:t>
            </w:r>
          </w:p>
          <w:p w14:paraId="7136402D">
            <w:pPr>
              <w:widowControl/>
              <w:spacing w:line="360" w:lineRule="auto"/>
              <w:ind w:firstLine="210" w:firstLineChars="100"/>
              <w:jc w:val="left"/>
              <w:rPr>
                <w:rFonts w:hint="eastAsia" w:asciiTheme="minorEastAsia" w:hAnsiTheme="minorEastAsia" w:eastAsiaTheme="minorEastAsia" w:cstheme="minorEastAsia"/>
                <w:kern w:val="0"/>
              </w:rPr>
            </w:pPr>
            <w:r>
              <w:rPr>
                <w:rFonts w:hint="eastAsia" w:asciiTheme="minorEastAsia" w:hAnsiTheme="minorEastAsia" w:eastAsiaTheme="minorEastAsia" w:cstheme="minorEastAsia"/>
                <w:kern w:val="0"/>
              </w:rPr>
              <w:t>4、报价时必须提供</w:t>
            </w:r>
            <w:r>
              <w:rPr>
                <w:rFonts w:hint="eastAsia" w:asciiTheme="minorEastAsia" w:hAnsiTheme="minorEastAsia" w:eastAsiaTheme="minorEastAsia" w:cstheme="minorEastAsia"/>
                <w:kern w:val="0"/>
                <w:lang w:val="en-US" w:eastAsia="zh-CN"/>
              </w:rPr>
              <w:t>针对此项目</w:t>
            </w:r>
            <w:r>
              <w:rPr>
                <w:rFonts w:hint="eastAsia" w:asciiTheme="minorEastAsia" w:hAnsiTheme="minorEastAsia" w:eastAsiaTheme="minorEastAsia" w:cstheme="minorEastAsia"/>
                <w:kern w:val="0"/>
              </w:rPr>
              <w:t>所投产品</w:t>
            </w:r>
            <w:r>
              <w:rPr>
                <w:rFonts w:hint="eastAsia" w:asciiTheme="minorEastAsia" w:hAnsiTheme="minorEastAsia" w:eastAsiaTheme="minorEastAsia" w:cstheme="minorEastAsia"/>
                <w:kern w:val="0"/>
                <w:lang w:val="en-US" w:eastAsia="zh-CN"/>
              </w:rPr>
              <w:t>的参考</w:t>
            </w:r>
            <w:r>
              <w:rPr>
                <w:rFonts w:hint="eastAsia" w:asciiTheme="minorEastAsia" w:hAnsiTheme="minorEastAsia" w:eastAsiaTheme="minorEastAsia" w:cstheme="minorEastAsia"/>
                <w:kern w:val="0"/>
              </w:rPr>
              <w:t>品牌生产厂家授权书和商标注册证，不提供则报价无效。</w:t>
            </w:r>
          </w:p>
          <w:p w14:paraId="37344F46">
            <w:pPr>
              <w:widowControl/>
              <w:spacing w:line="360" w:lineRule="auto"/>
              <w:ind w:firstLine="210" w:firstLineChars="100"/>
              <w:jc w:val="left"/>
              <w:rPr>
                <w:rFonts w:asciiTheme="minorEastAsia" w:hAnsiTheme="minorEastAsia" w:eastAsiaTheme="minorEastAsia" w:cstheme="minorEastAsia"/>
                <w:kern w:val="0"/>
              </w:rPr>
            </w:pPr>
            <w:r>
              <w:rPr>
                <w:rFonts w:hint="eastAsia" w:asciiTheme="minorEastAsia" w:hAnsiTheme="minorEastAsia" w:eastAsiaTheme="minorEastAsia" w:cstheme="minorEastAsia"/>
                <w:kern w:val="0"/>
              </w:rPr>
              <w:t>4、本项目不接受进口产品（即通过中国海关报关验放进入中国境内且产自关境外的产品）参与响应，如有进口产品参与竞标的，其响应文件作无效处理。</w:t>
            </w:r>
          </w:p>
          <w:p w14:paraId="279369FF">
            <w:pPr>
              <w:widowControl/>
              <w:spacing w:line="360" w:lineRule="auto"/>
              <w:ind w:firstLine="210" w:firstLineChars="100"/>
              <w:jc w:val="left"/>
              <w:rPr>
                <w:rFonts w:asciiTheme="minorEastAsia" w:hAnsiTheme="minorEastAsia" w:eastAsiaTheme="minorEastAsia" w:cstheme="minorEastAsia"/>
                <w:kern w:val="0"/>
              </w:rPr>
            </w:pPr>
            <w:r>
              <w:rPr>
                <w:rFonts w:hint="eastAsia" w:asciiTheme="minorEastAsia" w:hAnsiTheme="minorEastAsia" w:eastAsiaTheme="minorEastAsia" w:cstheme="minorEastAsia"/>
                <w:kern w:val="0"/>
              </w:rPr>
              <w:t>5、本项目带▲号、“须”或“必须”的内容均为实质性要求，必须全部满足，否则，视为实质不响应文件要求，其竞标无效。对不能满足参数要求虚假响应，或者无法正常交货影响采购人使用的，采购人可作为废标处理，并按规定对投标人予以投诉处理。</w:t>
            </w:r>
          </w:p>
        </w:tc>
      </w:tr>
    </w:tbl>
    <w:p w14:paraId="16730524">
      <w:pPr>
        <w:pStyle w:val="5"/>
        <w:rPr>
          <w:rFonts w:ascii="仿宋_GB2312" w:hAnsi="宋体" w:eastAsia="仿宋_GB2312"/>
          <w:b/>
          <w:sz w:val="30"/>
          <w:szCs w:val="30"/>
        </w:rPr>
      </w:pPr>
    </w:p>
    <w:p w14:paraId="19D7FE8F"/>
    <w:p w14:paraId="56E029ED"/>
    <w:p w14:paraId="26CD3E61"/>
    <w:p w14:paraId="4C97C251">
      <w:pPr>
        <w:sectPr>
          <w:footerReference r:id="rId3" w:type="default"/>
          <w:pgSz w:w="11906" w:h="16838"/>
          <w:pgMar w:top="567" w:right="567" w:bottom="567" w:left="567" w:header="851" w:footer="992" w:gutter="0"/>
          <w:cols w:space="425" w:num="1"/>
          <w:docGrid w:type="lines" w:linePitch="312" w:charSpace="0"/>
        </w:sectPr>
      </w:pPr>
      <w:r>
        <w:br w:type="page"/>
      </w:r>
    </w:p>
    <w:p w14:paraId="5487F783">
      <w:pPr>
        <w:pStyle w:val="15"/>
        <w:spacing w:line="360" w:lineRule="auto"/>
        <w:ind w:left="105" w:leftChars="50"/>
        <w:rPr>
          <w:rFonts w:hAnsi="宋体" w:eastAsia="宋体" w:cs="仿宋"/>
          <w:sz w:val="21"/>
          <w:szCs w:val="21"/>
        </w:rPr>
      </w:pPr>
    </w:p>
    <w:p w14:paraId="61912B80">
      <w:pPr>
        <w:pStyle w:val="4"/>
      </w:pPr>
    </w:p>
    <w:p w14:paraId="390ABE21">
      <w:pPr>
        <w:spacing w:line="360" w:lineRule="auto"/>
        <w:jc w:val="center"/>
        <w:rPr>
          <w:rFonts w:ascii="宋体" w:hAnsi="宋体" w:cs="Courier New"/>
          <w:color w:val="000000"/>
          <w:sz w:val="72"/>
          <w:szCs w:val="72"/>
        </w:rPr>
      </w:pPr>
      <w:r>
        <w:rPr>
          <w:rFonts w:hint="eastAsia" w:ascii="宋体" w:hAnsi="宋体" w:cs="Courier New"/>
          <w:color w:val="000000"/>
          <w:sz w:val="72"/>
          <w:szCs w:val="72"/>
        </w:rPr>
        <w:t>响应文件</w:t>
      </w:r>
    </w:p>
    <w:p w14:paraId="673AF90D">
      <w:pPr>
        <w:spacing w:line="360" w:lineRule="auto"/>
        <w:jc w:val="center"/>
        <w:rPr>
          <w:rFonts w:ascii="宋体" w:hAnsi="宋体" w:cs="Courier New"/>
          <w:color w:val="000000"/>
          <w:sz w:val="36"/>
          <w:szCs w:val="36"/>
        </w:rPr>
      </w:pPr>
    </w:p>
    <w:p w14:paraId="7D63345E">
      <w:pPr>
        <w:spacing w:line="360" w:lineRule="auto"/>
        <w:jc w:val="center"/>
        <w:rPr>
          <w:rFonts w:ascii="宋体" w:hAnsi="宋体" w:cs="Courier New"/>
          <w:color w:val="000000"/>
          <w:sz w:val="36"/>
          <w:szCs w:val="36"/>
        </w:rPr>
      </w:pPr>
    </w:p>
    <w:p w14:paraId="5A0E16BB">
      <w:pPr>
        <w:spacing w:line="360" w:lineRule="auto"/>
        <w:ind w:firstLine="640" w:firstLineChars="200"/>
        <w:rPr>
          <w:rFonts w:ascii="宋体" w:hAnsi="宋体" w:cs="Courier New"/>
          <w:color w:val="000000"/>
          <w:sz w:val="32"/>
          <w:szCs w:val="32"/>
        </w:rPr>
      </w:pPr>
      <w:r>
        <w:rPr>
          <w:rFonts w:hint="eastAsia" w:ascii="宋体" w:hAnsi="宋体" w:cs="Courier New"/>
          <w:color w:val="000000"/>
          <w:sz w:val="32"/>
          <w:szCs w:val="32"/>
        </w:rPr>
        <w:t>项目名称：</w:t>
      </w:r>
    </w:p>
    <w:p w14:paraId="3A9EF757">
      <w:pPr>
        <w:spacing w:line="360" w:lineRule="auto"/>
        <w:ind w:firstLine="640" w:firstLineChars="200"/>
        <w:rPr>
          <w:rFonts w:ascii="宋体" w:hAnsi="宋体" w:cs="Courier New"/>
          <w:color w:val="000000"/>
          <w:sz w:val="32"/>
          <w:szCs w:val="32"/>
        </w:rPr>
      </w:pPr>
    </w:p>
    <w:p w14:paraId="68B1FFD9">
      <w:pPr>
        <w:spacing w:line="360" w:lineRule="auto"/>
        <w:ind w:firstLine="640" w:firstLineChars="200"/>
        <w:rPr>
          <w:rFonts w:ascii="宋体" w:hAnsi="宋体" w:cs="Courier New"/>
          <w:color w:val="000000"/>
          <w:sz w:val="32"/>
          <w:szCs w:val="32"/>
          <w:u w:val="single"/>
        </w:rPr>
      </w:pPr>
      <w:r>
        <w:rPr>
          <w:rFonts w:hint="eastAsia" w:ascii="宋体" w:hAnsi="宋体" w:cs="Courier New"/>
          <w:color w:val="000000"/>
          <w:sz w:val="32"/>
          <w:szCs w:val="32"/>
        </w:rPr>
        <w:t>项目编号：</w:t>
      </w:r>
    </w:p>
    <w:p w14:paraId="3E84A23A">
      <w:pPr>
        <w:spacing w:line="360" w:lineRule="auto"/>
        <w:ind w:firstLine="2560" w:firstLineChars="800"/>
        <w:rPr>
          <w:rFonts w:ascii="宋体" w:hAnsi="宋体" w:cs="Courier New"/>
          <w:color w:val="000000"/>
          <w:sz w:val="32"/>
          <w:szCs w:val="32"/>
          <w:u w:val="single"/>
        </w:rPr>
      </w:pPr>
    </w:p>
    <w:p w14:paraId="0720BDE3">
      <w:pPr>
        <w:spacing w:line="360" w:lineRule="auto"/>
        <w:ind w:firstLine="640" w:firstLineChars="200"/>
        <w:rPr>
          <w:rFonts w:ascii="宋体" w:hAnsi="宋体" w:cs="Courier New"/>
          <w:color w:val="000000"/>
          <w:sz w:val="32"/>
          <w:szCs w:val="32"/>
          <w:u w:val="single"/>
        </w:rPr>
      </w:pPr>
      <w:r>
        <w:rPr>
          <w:rFonts w:hint="eastAsia" w:ascii="宋体" w:hAnsi="宋体" w:cs="Courier New"/>
          <w:color w:val="000000"/>
          <w:sz w:val="32"/>
          <w:szCs w:val="32"/>
        </w:rPr>
        <w:t>供应商：</w:t>
      </w:r>
    </w:p>
    <w:p w14:paraId="5BF13B8E">
      <w:pPr>
        <w:spacing w:line="360" w:lineRule="auto"/>
        <w:ind w:firstLine="640" w:firstLineChars="200"/>
        <w:rPr>
          <w:rFonts w:ascii="宋体" w:hAnsi="宋体" w:cs="Courier New"/>
          <w:color w:val="000000"/>
          <w:sz w:val="32"/>
          <w:szCs w:val="32"/>
        </w:rPr>
      </w:pPr>
      <w:r>
        <w:rPr>
          <w:rFonts w:hint="eastAsia" w:ascii="宋体" w:hAnsi="宋体" w:cs="Courier New"/>
          <w:color w:val="000000"/>
          <w:sz w:val="32"/>
          <w:szCs w:val="32"/>
        </w:rPr>
        <w:t>法定代表人或其委托代理人：</w:t>
      </w:r>
    </w:p>
    <w:p w14:paraId="0990178D">
      <w:pPr>
        <w:spacing w:line="360" w:lineRule="auto"/>
        <w:ind w:firstLine="480" w:firstLineChars="150"/>
        <w:rPr>
          <w:rFonts w:ascii="宋体" w:hAnsi="宋体" w:cs="Courier New"/>
          <w:color w:val="000000"/>
          <w:sz w:val="32"/>
          <w:szCs w:val="32"/>
        </w:rPr>
      </w:pPr>
    </w:p>
    <w:p w14:paraId="325FE60D">
      <w:pPr>
        <w:spacing w:line="360" w:lineRule="auto"/>
        <w:ind w:firstLine="640" w:firstLineChars="200"/>
        <w:rPr>
          <w:rFonts w:ascii="宋体" w:hAnsi="宋体" w:cs="Courier New"/>
          <w:color w:val="000000"/>
          <w:sz w:val="32"/>
          <w:szCs w:val="32"/>
        </w:rPr>
      </w:pPr>
      <w:r>
        <w:rPr>
          <w:rFonts w:hint="eastAsia" w:ascii="宋体" w:hAnsi="宋体" w:cs="Courier New"/>
          <w:color w:val="000000"/>
          <w:sz w:val="32"/>
          <w:szCs w:val="32"/>
        </w:rPr>
        <w:t>日期：</w:t>
      </w:r>
      <w:r>
        <w:rPr>
          <w:rFonts w:hint="eastAsia" w:ascii="宋体" w:hAnsi="宋体" w:cs="Courier New"/>
          <w:color w:val="000000"/>
          <w:sz w:val="32"/>
          <w:szCs w:val="32"/>
          <w:u w:val="single"/>
        </w:rPr>
        <w:t xml:space="preserve">         </w:t>
      </w:r>
      <w:r>
        <w:rPr>
          <w:rFonts w:hint="eastAsia" w:ascii="宋体" w:hAnsi="宋体" w:cs="Courier New"/>
          <w:color w:val="000000"/>
          <w:sz w:val="32"/>
          <w:szCs w:val="32"/>
        </w:rPr>
        <w:t>年</w:t>
      </w:r>
      <w:r>
        <w:rPr>
          <w:rFonts w:hint="eastAsia" w:ascii="宋体" w:hAnsi="宋体" w:cs="Courier New"/>
          <w:color w:val="000000"/>
          <w:sz w:val="32"/>
          <w:szCs w:val="32"/>
          <w:u w:val="single"/>
        </w:rPr>
        <w:t xml:space="preserve">     </w:t>
      </w:r>
      <w:r>
        <w:rPr>
          <w:rFonts w:hint="eastAsia" w:ascii="宋体" w:hAnsi="宋体" w:cs="Courier New"/>
          <w:color w:val="000000"/>
          <w:sz w:val="32"/>
          <w:szCs w:val="32"/>
        </w:rPr>
        <w:t>月</w:t>
      </w:r>
      <w:r>
        <w:rPr>
          <w:rFonts w:hint="eastAsia" w:ascii="宋体" w:hAnsi="宋体" w:cs="Courier New"/>
          <w:color w:val="000000"/>
          <w:sz w:val="32"/>
          <w:szCs w:val="32"/>
          <w:u w:val="single"/>
        </w:rPr>
        <w:t xml:space="preserve">     </w:t>
      </w:r>
      <w:r>
        <w:rPr>
          <w:rFonts w:hint="eastAsia" w:ascii="宋体" w:hAnsi="宋体" w:cs="Courier New"/>
          <w:color w:val="000000"/>
          <w:sz w:val="32"/>
          <w:szCs w:val="32"/>
        </w:rPr>
        <w:t>日</w:t>
      </w:r>
    </w:p>
    <w:p w14:paraId="50A1D9E6">
      <w:pPr>
        <w:tabs>
          <w:tab w:val="left" w:pos="8640"/>
        </w:tabs>
        <w:spacing w:line="360" w:lineRule="auto"/>
        <w:rPr>
          <w:rFonts w:ascii="宋体" w:hAnsi="宋体" w:cs="Courier New"/>
        </w:rPr>
      </w:pPr>
    </w:p>
    <w:p w14:paraId="58B10A0C">
      <w:pPr>
        <w:tabs>
          <w:tab w:val="left" w:pos="8640"/>
        </w:tabs>
        <w:spacing w:line="360" w:lineRule="auto"/>
        <w:rPr>
          <w:rFonts w:ascii="宋体" w:hAnsi="宋体" w:cs="Courier New"/>
        </w:rPr>
      </w:pPr>
    </w:p>
    <w:p w14:paraId="34947577">
      <w:pPr>
        <w:ind w:firstLine="630"/>
        <w:rPr>
          <w:rFonts w:cs="宋体"/>
          <w:sz w:val="32"/>
          <w:szCs w:val="32"/>
        </w:rPr>
      </w:pPr>
    </w:p>
    <w:p w14:paraId="712B703E">
      <w:pPr>
        <w:tabs>
          <w:tab w:val="left" w:pos="8640"/>
        </w:tabs>
        <w:spacing w:line="360" w:lineRule="auto"/>
        <w:rPr>
          <w:rFonts w:ascii="宋体" w:hAnsi="宋体" w:cs="Courier New"/>
        </w:rPr>
      </w:pPr>
    </w:p>
    <w:p w14:paraId="03491726">
      <w:pPr>
        <w:tabs>
          <w:tab w:val="left" w:pos="7560"/>
          <w:tab w:val="left" w:pos="7920"/>
        </w:tabs>
        <w:spacing w:line="360" w:lineRule="auto"/>
        <w:jc w:val="center"/>
        <w:rPr>
          <w:rFonts w:ascii="宋体" w:hAnsi="宋体" w:cs="Courier New"/>
          <w:color w:val="000000"/>
          <w:sz w:val="36"/>
          <w:szCs w:val="36"/>
        </w:rPr>
      </w:pPr>
    </w:p>
    <w:p w14:paraId="0EB1408A">
      <w:pPr>
        <w:tabs>
          <w:tab w:val="left" w:pos="7560"/>
          <w:tab w:val="left" w:pos="7920"/>
        </w:tabs>
        <w:spacing w:line="360" w:lineRule="auto"/>
        <w:jc w:val="center"/>
        <w:rPr>
          <w:rFonts w:ascii="宋体" w:hAnsi="宋体" w:cs="Courier New"/>
          <w:color w:val="000000"/>
          <w:sz w:val="36"/>
          <w:szCs w:val="36"/>
        </w:rPr>
      </w:pPr>
      <w:r>
        <w:rPr>
          <w:rFonts w:hint="eastAsia" w:ascii="宋体" w:hAnsi="宋体" w:cs="Courier New"/>
          <w:color w:val="000000"/>
          <w:sz w:val="36"/>
          <w:szCs w:val="36"/>
        </w:rPr>
        <w:br w:type="page"/>
      </w:r>
    </w:p>
    <w:p w14:paraId="3FFC9BAA">
      <w:pPr>
        <w:tabs>
          <w:tab w:val="left" w:pos="7560"/>
          <w:tab w:val="left" w:pos="7920"/>
        </w:tabs>
        <w:spacing w:line="360" w:lineRule="auto"/>
        <w:jc w:val="center"/>
        <w:rPr>
          <w:rFonts w:ascii="宋体" w:hAnsi="宋体" w:cs="Courier New"/>
          <w:color w:val="000000"/>
          <w:sz w:val="36"/>
          <w:szCs w:val="36"/>
        </w:rPr>
      </w:pPr>
      <w:r>
        <w:rPr>
          <w:rFonts w:hint="eastAsia" w:ascii="宋体" w:hAnsi="宋体" w:cs="Courier New"/>
          <w:color w:val="000000"/>
          <w:sz w:val="36"/>
          <w:szCs w:val="36"/>
        </w:rPr>
        <w:t>目    录</w:t>
      </w:r>
    </w:p>
    <w:p w14:paraId="36512C52">
      <w:pPr>
        <w:tabs>
          <w:tab w:val="left" w:pos="8640"/>
        </w:tabs>
        <w:spacing w:line="360" w:lineRule="auto"/>
        <w:rPr>
          <w:rFonts w:ascii="宋体" w:hAnsi="宋体" w:cs="Courier New"/>
        </w:rPr>
      </w:pPr>
    </w:p>
    <w:p w14:paraId="16C79C09">
      <w:pPr>
        <w:spacing w:line="360" w:lineRule="auto"/>
        <w:ind w:firstLine="210" w:firstLineChars="100"/>
        <w:rPr>
          <w:rFonts w:ascii="宋体" w:hAnsi="宋体" w:cs="Courier New"/>
        </w:rPr>
      </w:pPr>
      <w:r>
        <w:rPr>
          <w:rFonts w:hint="eastAsia" w:ascii="宋体" w:hAnsi="宋体" w:cs="Courier New"/>
        </w:rPr>
        <w:t>（一）供应商资格证明文件</w:t>
      </w:r>
      <w:r>
        <w:rPr>
          <w:rFonts w:hint="eastAsia" w:ascii="宋体" w:hAnsi="宋体" w:cs="Courier New"/>
          <w:b/>
        </w:rPr>
        <w:t>……………………………………………………………</w:t>
      </w:r>
      <w:r>
        <w:rPr>
          <w:rFonts w:hint="eastAsia" w:ascii="宋体" w:hAnsi="宋体" w:cs="Courier New"/>
        </w:rPr>
        <w:t>第   页</w:t>
      </w:r>
    </w:p>
    <w:p w14:paraId="3D37B6AF">
      <w:pPr>
        <w:tabs>
          <w:tab w:val="left" w:pos="7380"/>
        </w:tabs>
        <w:spacing w:line="360" w:lineRule="auto"/>
        <w:ind w:right="-153" w:rightChars="-73" w:firstLine="315" w:firstLineChars="150"/>
        <w:rPr>
          <w:rFonts w:ascii="宋体" w:hAnsi="宋体" w:cs="Courier New"/>
        </w:rPr>
      </w:pPr>
      <w:r>
        <w:rPr>
          <w:rFonts w:hint="eastAsia" w:ascii="宋体" w:hAnsi="宋体" w:cs="Courier New"/>
        </w:rPr>
        <w:t>(二) 商务技术类文件</w:t>
      </w:r>
      <w:r>
        <w:rPr>
          <w:rFonts w:hint="eastAsia" w:ascii="宋体" w:hAnsi="宋体" w:cs="Courier New"/>
          <w:b/>
        </w:rPr>
        <w:t>…………………………………………………………………</w:t>
      </w:r>
      <w:r>
        <w:rPr>
          <w:rFonts w:hint="eastAsia" w:ascii="宋体" w:hAnsi="宋体" w:cs="Courier New"/>
        </w:rPr>
        <w:t>第   页</w:t>
      </w:r>
    </w:p>
    <w:p w14:paraId="61EDC6C9">
      <w:pPr>
        <w:tabs>
          <w:tab w:val="left" w:pos="7380"/>
        </w:tabs>
        <w:spacing w:line="360" w:lineRule="auto"/>
        <w:ind w:right="-153" w:rightChars="-73" w:firstLine="315" w:firstLineChars="150"/>
        <w:rPr>
          <w:rFonts w:ascii="宋体" w:hAnsi="宋体" w:cs="Courier New"/>
        </w:rPr>
      </w:pPr>
      <w:r>
        <w:rPr>
          <w:rFonts w:hint="eastAsia" w:ascii="宋体" w:hAnsi="宋体" w:cs="Courier New"/>
        </w:rPr>
        <w:t>(三) 供应商认为需要提供的有关资料</w:t>
      </w:r>
      <w:r>
        <w:rPr>
          <w:rFonts w:hint="eastAsia" w:ascii="宋体" w:hAnsi="宋体" w:cs="Courier New"/>
          <w:b/>
        </w:rPr>
        <w:t>………………………………………………</w:t>
      </w:r>
      <w:r>
        <w:rPr>
          <w:rFonts w:hint="eastAsia" w:ascii="宋体" w:hAnsi="宋体" w:cs="Courier New"/>
        </w:rPr>
        <w:t>第   页</w:t>
      </w:r>
      <w:bookmarkStart w:id="10" w:name="_Toc397585462"/>
      <w:bookmarkStart w:id="11" w:name="_Toc417029007"/>
    </w:p>
    <w:p w14:paraId="4ADF35A9">
      <w:pPr>
        <w:spacing w:line="360" w:lineRule="auto"/>
        <w:ind w:firstLine="210" w:firstLineChars="100"/>
        <w:rPr>
          <w:rFonts w:ascii="宋体" w:hAnsi="宋体"/>
          <w:szCs w:val="24"/>
        </w:rPr>
      </w:pPr>
      <w:r>
        <w:rPr>
          <w:rFonts w:hint="eastAsia" w:ascii="宋体" w:hAnsi="宋体"/>
          <w:szCs w:val="24"/>
        </w:rPr>
        <w:t>（四）报价表</w:t>
      </w:r>
      <w:r>
        <w:rPr>
          <w:rFonts w:hint="eastAsia" w:ascii="宋体" w:hAnsi="宋体" w:cs="Courier New"/>
          <w:b/>
        </w:rPr>
        <w:t>……………………………………………………………………………</w:t>
      </w:r>
      <w:r>
        <w:rPr>
          <w:rFonts w:hint="eastAsia" w:ascii="宋体" w:hAnsi="宋体" w:cs="Courier New"/>
        </w:rPr>
        <w:t>第   页</w:t>
      </w:r>
    </w:p>
    <w:p w14:paraId="74408833">
      <w:pPr>
        <w:pStyle w:val="15"/>
        <w:ind w:firstLine="210" w:firstLineChars="100"/>
        <w:rPr>
          <w:color w:val="auto"/>
        </w:rPr>
      </w:pPr>
      <w:r>
        <w:rPr>
          <w:rFonts w:hint="eastAsia" w:hAnsi="宋体"/>
          <w:color w:val="auto"/>
          <w:sz w:val="21"/>
          <w:szCs w:val="21"/>
        </w:rPr>
        <w:t>（五）中小企业声明函</w:t>
      </w:r>
      <w:r>
        <w:rPr>
          <w:rFonts w:hint="eastAsia" w:hAnsi="宋体" w:cs="Courier New"/>
          <w:b/>
          <w:color w:val="auto"/>
          <w:sz w:val="21"/>
          <w:szCs w:val="21"/>
        </w:rPr>
        <w:t>………………………… …  … … ………</w:t>
      </w:r>
      <w:r>
        <w:rPr>
          <w:rFonts w:hint="eastAsia" w:hAnsi="宋体" w:eastAsia="宋体" w:cs="Courier New"/>
          <w:b/>
          <w:color w:val="auto"/>
          <w:sz w:val="21"/>
          <w:szCs w:val="21"/>
        </w:rPr>
        <w:t>...</w:t>
      </w:r>
      <w:r>
        <w:rPr>
          <w:rFonts w:hint="eastAsia" w:hAnsi="宋体" w:cs="Courier New"/>
          <w:b/>
          <w:color w:val="auto"/>
          <w:sz w:val="21"/>
          <w:szCs w:val="21"/>
        </w:rPr>
        <w:t>……… ……</w:t>
      </w:r>
      <w:r>
        <w:rPr>
          <w:rFonts w:hint="eastAsia" w:hAnsi="宋体" w:cs="Courier New"/>
          <w:color w:val="auto"/>
          <w:sz w:val="21"/>
          <w:szCs w:val="21"/>
        </w:rPr>
        <w:t>第   页</w:t>
      </w:r>
    </w:p>
    <w:p w14:paraId="39FC3234">
      <w:pPr>
        <w:spacing w:line="360" w:lineRule="auto"/>
        <w:ind w:firstLine="420" w:firstLineChars="200"/>
        <w:rPr>
          <w:rFonts w:ascii="仿宋_GB2312" w:hAnsi="宋体" w:eastAsia="仿宋_GB2312" w:cs="宋体"/>
          <w:kern w:val="0"/>
          <w:sz w:val="29"/>
          <w:szCs w:val="29"/>
        </w:rPr>
      </w:pPr>
      <w:r>
        <w:rPr>
          <w:rFonts w:ascii="宋体" w:hAnsi="宋体"/>
          <w:szCs w:val="24"/>
        </w:rPr>
        <w:br w:type="page"/>
      </w:r>
      <w:bookmarkEnd w:id="10"/>
      <w:bookmarkEnd w:id="11"/>
      <w:r>
        <w:rPr>
          <w:rFonts w:hint="eastAsia" w:ascii="宋体" w:hAnsi="宋体"/>
          <w:b/>
          <w:bCs/>
          <w:szCs w:val="24"/>
        </w:rPr>
        <w:t>标有“★”号的材料均为必须提供的材料，并加盖公章,如未提供,按报价无效处理。</w:t>
      </w:r>
    </w:p>
    <w:p w14:paraId="48BF5715">
      <w:pPr>
        <w:spacing w:line="360" w:lineRule="auto"/>
        <w:rPr>
          <w:rFonts w:ascii="宋体" w:hAnsi="宋体"/>
          <w:b/>
          <w:szCs w:val="24"/>
        </w:rPr>
      </w:pPr>
    </w:p>
    <w:p w14:paraId="5DEE30BC">
      <w:pPr>
        <w:spacing w:line="360" w:lineRule="auto"/>
        <w:rPr>
          <w:rFonts w:ascii="宋体" w:hAnsi="宋体"/>
          <w:szCs w:val="24"/>
        </w:rPr>
      </w:pPr>
      <w:r>
        <w:rPr>
          <w:rFonts w:ascii="宋体" w:hAnsi="宋体"/>
          <w:b/>
          <w:szCs w:val="24"/>
        </w:rPr>
        <w:t xml:space="preserve"> </w:t>
      </w:r>
      <w:r>
        <w:rPr>
          <w:rFonts w:hint="eastAsia" w:ascii="宋体" w:hAnsi="宋体"/>
          <w:b/>
          <w:szCs w:val="24"/>
        </w:rPr>
        <w:t>（一）供应商资格证明文件</w:t>
      </w:r>
    </w:p>
    <w:p w14:paraId="032CF45B">
      <w:pPr>
        <w:spacing w:line="360" w:lineRule="auto"/>
        <w:ind w:firstLine="420" w:firstLineChars="200"/>
        <w:rPr>
          <w:rFonts w:ascii="宋体" w:hAnsi="宋体"/>
          <w:szCs w:val="24"/>
        </w:rPr>
      </w:pPr>
      <w:r>
        <w:rPr>
          <w:rFonts w:hint="eastAsia" w:ascii="宋体" w:hAnsi="宋体"/>
        </w:rPr>
        <w:t>★</w:t>
      </w:r>
      <w:r>
        <w:rPr>
          <w:rFonts w:hint="eastAsia" w:ascii="宋体" w:hAnsi="宋体"/>
          <w:szCs w:val="24"/>
        </w:rPr>
        <w:t>1、有效的营业执照副本（均为复印件并加盖单位公章）</w:t>
      </w:r>
      <w:r>
        <w:rPr>
          <w:rFonts w:hint="eastAsia" w:ascii="宋体" w:hAnsi="宋体"/>
        </w:rPr>
        <w:t>；</w:t>
      </w:r>
    </w:p>
    <w:p w14:paraId="10A4D3B2">
      <w:pPr>
        <w:spacing w:line="360" w:lineRule="auto"/>
        <w:ind w:firstLine="420" w:firstLineChars="200"/>
        <w:rPr>
          <w:rFonts w:ascii="宋体" w:hAnsi="宋体"/>
          <w:szCs w:val="24"/>
        </w:rPr>
      </w:pPr>
      <w:r>
        <w:rPr>
          <w:rFonts w:hint="eastAsia" w:ascii="宋体" w:hAnsi="宋体"/>
        </w:rPr>
        <w:t>★</w:t>
      </w:r>
      <w:r>
        <w:rPr>
          <w:rFonts w:hint="eastAsia" w:ascii="宋体" w:hAnsi="宋体"/>
          <w:szCs w:val="24"/>
        </w:rPr>
        <w:t>2、法定代表人身份证复印件（加盖单位公章）；</w:t>
      </w:r>
    </w:p>
    <w:p w14:paraId="278BDA6D">
      <w:pPr>
        <w:spacing w:line="360" w:lineRule="auto"/>
        <w:ind w:firstLine="420" w:firstLineChars="200"/>
        <w:rPr>
          <w:rFonts w:ascii="宋体" w:hAnsi="宋体"/>
          <w:szCs w:val="24"/>
        </w:rPr>
      </w:pPr>
      <w:r>
        <w:rPr>
          <w:rFonts w:hint="eastAsia" w:ascii="宋体" w:hAnsi="宋体"/>
        </w:rPr>
        <w:t>★</w:t>
      </w:r>
      <w:r>
        <w:rPr>
          <w:rFonts w:hint="eastAsia" w:ascii="宋体" w:hAnsi="宋体"/>
          <w:szCs w:val="24"/>
        </w:rPr>
        <w:t>3、法定代表人授权委托书原件和委托代理人身份证复印件；</w:t>
      </w:r>
    </w:p>
    <w:p w14:paraId="5F0AA9A0">
      <w:pPr>
        <w:spacing w:line="360" w:lineRule="auto"/>
        <w:jc w:val="center"/>
        <w:rPr>
          <w:rFonts w:ascii="宋体" w:hAnsi="宋体"/>
          <w:b/>
          <w:sz w:val="32"/>
          <w:szCs w:val="32"/>
        </w:rPr>
      </w:pPr>
    </w:p>
    <w:p w14:paraId="4601EBFE">
      <w:pPr>
        <w:spacing w:line="360" w:lineRule="auto"/>
        <w:jc w:val="center"/>
        <w:rPr>
          <w:rFonts w:ascii="宋体" w:hAnsi="宋体"/>
          <w:szCs w:val="24"/>
        </w:rPr>
      </w:pPr>
      <w:r>
        <w:rPr>
          <w:rFonts w:hint="eastAsia" w:ascii="宋体" w:hAnsi="宋体"/>
          <w:b/>
          <w:sz w:val="32"/>
          <w:szCs w:val="32"/>
        </w:rPr>
        <w:t>法定代表人授权委托书（格式）</w:t>
      </w:r>
    </w:p>
    <w:p w14:paraId="728DE512">
      <w:pPr>
        <w:spacing w:line="360" w:lineRule="auto"/>
        <w:rPr>
          <w:rFonts w:ascii="宋体" w:hAnsi="宋体"/>
        </w:rPr>
      </w:pPr>
      <w:r>
        <w:rPr>
          <w:rFonts w:hint="eastAsia" w:ascii="宋体" w:hAnsi="宋体"/>
          <w:u w:val="single"/>
        </w:rPr>
        <w:t>XXXXX学校</w:t>
      </w:r>
      <w:r>
        <w:rPr>
          <w:rFonts w:hint="eastAsia" w:ascii="宋体" w:hAnsi="宋体"/>
        </w:rPr>
        <w:t>：</w:t>
      </w:r>
    </w:p>
    <w:p w14:paraId="65A5AA26">
      <w:pPr>
        <w:spacing w:line="360" w:lineRule="auto"/>
        <w:ind w:firstLine="420" w:firstLineChars="200"/>
        <w:rPr>
          <w:rFonts w:ascii="宋体" w:hAnsi="宋体"/>
        </w:rPr>
      </w:pPr>
      <w:r>
        <w:rPr>
          <w:rFonts w:hint="eastAsia" w:ascii="宋体" w:hAnsi="宋体"/>
        </w:rPr>
        <w:t>兹授权</w:t>
      </w:r>
      <w:r>
        <w:rPr>
          <w:rFonts w:hint="eastAsia" w:ascii="宋体" w:hAnsi="宋体"/>
          <w:u w:val="single"/>
        </w:rPr>
        <w:t xml:space="preserve">        </w:t>
      </w:r>
      <w:r>
        <w:rPr>
          <w:rFonts w:hint="eastAsia" w:ascii="宋体" w:hAnsi="宋体"/>
        </w:rPr>
        <w:t>同志为我公司参加贵单位组织的</w:t>
      </w:r>
      <w:r>
        <w:rPr>
          <w:rFonts w:hint="eastAsia" w:ascii="宋体" w:hAnsi="宋体"/>
          <w:u w:val="single"/>
        </w:rPr>
        <w:t xml:space="preserve"> （项目名称、项目编号）自治区政府电子卖场在线询价 </w:t>
      </w:r>
      <w:r>
        <w:rPr>
          <w:rFonts w:hint="eastAsia" w:ascii="宋体" w:hAnsi="宋体"/>
        </w:rPr>
        <w:t>采购活动的委托代理人，全权代表我公司处理在该项目活动中的一切事宜。代理期限从</w:t>
      </w:r>
      <w:r>
        <w:rPr>
          <w:rFonts w:hint="eastAsia" w:ascii="宋体" w:hAnsi="宋体"/>
          <w:u w:val="single"/>
        </w:rPr>
        <w:t xml:space="preserve">      </w:t>
      </w:r>
      <w:r>
        <w:rPr>
          <w:rFonts w:hint="eastAsia" w:ascii="宋体" w:hAnsi="宋体"/>
        </w:rPr>
        <w:t>年</w:t>
      </w:r>
      <w:r>
        <w:rPr>
          <w:rFonts w:hint="eastAsia" w:ascii="宋体" w:hAnsi="宋体"/>
          <w:u w:val="single"/>
        </w:rPr>
        <w:t xml:space="preserve">    </w:t>
      </w:r>
      <w:r>
        <w:rPr>
          <w:rFonts w:hint="eastAsia" w:ascii="宋体" w:hAnsi="宋体"/>
        </w:rPr>
        <w:t xml:space="preserve">月 </w:t>
      </w:r>
      <w:r>
        <w:rPr>
          <w:rFonts w:hint="eastAsia" w:ascii="宋体" w:hAnsi="宋体"/>
          <w:u w:val="single"/>
        </w:rPr>
        <w:t xml:space="preserve">   </w:t>
      </w:r>
      <w:r>
        <w:rPr>
          <w:rFonts w:hint="eastAsia" w:ascii="宋体" w:hAnsi="宋体"/>
        </w:rPr>
        <w:t>日起至</w:t>
      </w:r>
      <w:r>
        <w:rPr>
          <w:rFonts w:hint="eastAsia" w:ascii="宋体" w:hAnsi="宋体"/>
          <w:u w:val="single"/>
        </w:rPr>
        <w:t xml:space="preserve">      </w:t>
      </w:r>
      <w:r>
        <w:rPr>
          <w:rFonts w:hint="eastAsia" w:ascii="宋体" w:hAnsi="宋体"/>
        </w:rPr>
        <w:t>年</w:t>
      </w:r>
      <w:r>
        <w:rPr>
          <w:rFonts w:hint="eastAsia" w:ascii="宋体" w:hAnsi="宋体"/>
          <w:u w:val="single"/>
        </w:rPr>
        <w:t xml:space="preserve">    </w:t>
      </w:r>
      <w:r>
        <w:rPr>
          <w:rFonts w:hint="eastAsia" w:ascii="宋体" w:hAnsi="宋体"/>
        </w:rPr>
        <w:t>月</w:t>
      </w:r>
      <w:r>
        <w:rPr>
          <w:rFonts w:hint="eastAsia" w:ascii="宋体" w:hAnsi="宋体"/>
          <w:u w:val="single"/>
        </w:rPr>
        <w:t xml:space="preserve">    </w:t>
      </w:r>
      <w:r>
        <w:rPr>
          <w:rFonts w:hint="eastAsia" w:ascii="宋体" w:hAnsi="宋体"/>
        </w:rPr>
        <w:t xml:space="preserve">日止。 </w:t>
      </w:r>
    </w:p>
    <w:p w14:paraId="5F0B277A">
      <w:pPr>
        <w:spacing w:line="360" w:lineRule="auto"/>
        <w:rPr>
          <w:rFonts w:ascii="宋体" w:hAnsi="宋体"/>
        </w:rPr>
      </w:pPr>
    </w:p>
    <w:p w14:paraId="53ECD81F">
      <w:pPr>
        <w:spacing w:line="360" w:lineRule="auto"/>
        <w:ind w:firstLine="4410" w:firstLineChars="2100"/>
        <w:rPr>
          <w:rFonts w:ascii="宋体" w:hAnsi="宋体"/>
        </w:rPr>
      </w:pPr>
      <w:r>
        <w:rPr>
          <w:rFonts w:hint="eastAsia" w:ascii="宋体" w:hAnsi="宋体"/>
        </w:rPr>
        <w:t>授权单位（盖章）：</w:t>
      </w:r>
      <w:r>
        <w:rPr>
          <w:rFonts w:hint="eastAsia" w:ascii="宋体" w:hAnsi="宋体"/>
          <w:u w:val="single"/>
        </w:rPr>
        <w:t xml:space="preserve">                   </w:t>
      </w:r>
    </w:p>
    <w:p w14:paraId="4373E866">
      <w:pPr>
        <w:spacing w:line="360" w:lineRule="auto"/>
        <w:ind w:firstLine="4410" w:firstLineChars="2100"/>
        <w:rPr>
          <w:rFonts w:ascii="宋体" w:hAnsi="宋体"/>
        </w:rPr>
      </w:pPr>
      <w:r>
        <w:rPr>
          <w:rFonts w:hint="eastAsia" w:ascii="宋体" w:hAnsi="宋体"/>
        </w:rPr>
        <w:t>法定代表人（签字或盖章）：</w:t>
      </w:r>
      <w:r>
        <w:rPr>
          <w:rFonts w:hint="eastAsia" w:ascii="宋体" w:hAnsi="宋体"/>
          <w:u w:val="single"/>
        </w:rPr>
        <w:t xml:space="preserve">           </w:t>
      </w:r>
    </w:p>
    <w:p w14:paraId="129138F5">
      <w:pPr>
        <w:spacing w:line="360" w:lineRule="auto"/>
        <w:ind w:firstLine="4410" w:firstLineChars="2100"/>
        <w:rPr>
          <w:rFonts w:ascii="宋体" w:hAnsi="宋体"/>
        </w:rPr>
      </w:pPr>
      <w:r>
        <w:rPr>
          <w:rFonts w:hint="eastAsia" w:ascii="宋体" w:hAnsi="宋体"/>
        </w:rPr>
        <w:t>签发日期：</w:t>
      </w:r>
      <w:r>
        <w:rPr>
          <w:rFonts w:hint="eastAsia" w:ascii="宋体" w:hAnsi="宋体"/>
          <w:u w:val="single"/>
        </w:rPr>
        <w:t xml:space="preserve">        </w:t>
      </w:r>
      <w:r>
        <w:rPr>
          <w:rFonts w:hint="eastAsia" w:ascii="宋体" w:hAnsi="宋体"/>
        </w:rPr>
        <w:t>年</w:t>
      </w:r>
      <w:r>
        <w:rPr>
          <w:rFonts w:hint="eastAsia" w:ascii="宋体" w:hAnsi="宋体"/>
          <w:u w:val="single"/>
        </w:rPr>
        <w:t xml:space="preserve">      </w:t>
      </w:r>
      <w:r>
        <w:rPr>
          <w:rFonts w:hint="eastAsia" w:ascii="宋体" w:hAnsi="宋体"/>
        </w:rPr>
        <w:t>月</w:t>
      </w:r>
      <w:r>
        <w:rPr>
          <w:rFonts w:hint="eastAsia" w:ascii="宋体" w:hAnsi="宋体"/>
          <w:u w:val="single"/>
        </w:rPr>
        <w:t xml:space="preserve">      </w:t>
      </w:r>
      <w:r>
        <w:rPr>
          <w:rFonts w:hint="eastAsia" w:ascii="宋体" w:hAnsi="宋体"/>
        </w:rPr>
        <w:t>日</w:t>
      </w:r>
    </w:p>
    <w:p w14:paraId="59EB4FB8">
      <w:pPr>
        <w:adjustRightInd w:val="0"/>
        <w:snapToGrid w:val="0"/>
        <w:spacing w:line="360" w:lineRule="auto"/>
        <w:ind w:firstLine="420" w:firstLineChars="200"/>
        <w:rPr>
          <w:rFonts w:ascii="宋体" w:hAnsi="宋体"/>
        </w:rPr>
      </w:pPr>
      <w:r>
        <w:rPr>
          <w:rFonts w:hint="eastAsia" w:ascii="宋体" w:hAnsi="宋体"/>
        </w:rPr>
        <w:t>附：被授权人身份证（正反两面复印件）</w:t>
      </w:r>
    </w:p>
    <w:p w14:paraId="7AF08399">
      <w:pPr>
        <w:autoSpaceDE w:val="0"/>
        <w:autoSpaceDN w:val="0"/>
        <w:snapToGrid w:val="0"/>
        <w:spacing w:line="360" w:lineRule="auto"/>
        <w:ind w:firstLine="415" w:firstLineChars="198"/>
        <w:textAlignment w:val="bottom"/>
        <w:rPr>
          <w:rFonts w:ascii="宋体" w:hAnsi="宋体"/>
        </w:rPr>
      </w:pPr>
    </w:p>
    <w:p w14:paraId="67442779">
      <w:pPr>
        <w:autoSpaceDE w:val="0"/>
        <w:autoSpaceDN w:val="0"/>
        <w:snapToGrid w:val="0"/>
        <w:spacing w:line="360" w:lineRule="auto"/>
        <w:ind w:firstLine="415" w:firstLineChars="198"/>
        <w:textAlignment w:val="bottom"/>
        <w:rPr>
          <w:rFonts w:ascii="宋体" w:hAnsi="宋体"/>
        </w:rPr>
      </w:pPr>
    </w:p>
    <w:p w14:paraId="51264AC3">
      <w:pPr>
        <w:shd w:val="clear" w:color="auto" w:fill="FFFFFF"/>
        <w:spacing w:after="240" w:line="420" w:lineRule="atLeast"/>
        <w:ind w:firstLine="315" w:firstLineChars="150"/>
        <w:rPr>
          <w:rFonts w:hint="eastAsia" w:ascii="宋体" w:hAnsi="宋体" w:cs="宋体"/>
          <w:color w:val="auto"/>
          <w:kern w:val="0"/>
          <w:sz w:val="24"/>
          <w:szCs w:val="24"/>
        </w:rPr>
      </w:pPr>
      <w:r>
        <w:rPr>
          <w:rFonts w:hint="eastAsia" w:ascii="宋体" w:hAnsi="宋体"/>
          <w:color w:val="auto"/>
        </w:rPr>
        <w:t>★</w:t>
      </w:r>
      <w:r>
        <w:rPr>
          <w:rFonts w:hint="eastAsia" w:ascii="宋体" w:hAnsi="宋体"/>
          <w:color w:val="auto"/>
          <w:szCs w:val="24"/>
        </w:rPr>
        <w:t>4、</w:t>
      </w:r>
      <w:r>
        <w:rPr>
          <w:rFonts w:hint="eastAsia" w:ascii="宋体" w:hAnsi="宋体"/>
          <w:color w:val="auto"/>
          <w:sz w:val="24"/>
          <w:szCs w:val="24"/>
        </w:rPr>
        <w:t>信用声明函</w:t>
      </w:r>
    </w:p>
    <w:p w14:paraId="21823AA2">
      <w:pPr>
        <w:pStyle w:val="7"/>
        <w:jc w:val="center"/>
        <w:rPr>
          <w:rFonts w:hint="eastAsia" w:hAnsi="宋体"/>
          <w:b/>
          <w:sz w:val="30"/>
          <w:szCs w:val="30"/>
        </w:rPr>
      </w:pPr>
    </w:p>
    <w:p w14:paraId="3CD6C503">
      <w:pPr>
        <w:pStyle w:val="7"/>
        <w:jc w:val="center"/>
        <w:rPr>
          <w:rFonts w:hint="eastAsia" w:hAnsi="宋体"/>
          <w:b/>
          <w:sz w:val="30"/>
          <w:szCs w:val="30"/>
        </w:rPr>
      </w:pPr>
    </w:p>
    <w:p w14:paraId="2567319D">
      <w:pPr>
        <w:pStyle w:val="7"/>
        <w:jc w:val="center"/>
        <w:rPr>
          <w:rFonts w:hint="eastAsia" w:hAnsi="宋体"/>
          <w:b/>
          <w:sz w:val="30"/>
          <w:szCs w:val="30"/>
        </w:rPr>
      </w:pPr>
    </w:p>
    <w:p w14:paraId="1DBF7AFF">
      <w:pPr>
        <w:pStyle w:val="7"/>
        <w:jc w:val="center"/>
        <w:rPr>
          <w:rFonts w:hint="eastAsia" w:hAnsi="宋体"/>
          <w:b/>
          <w:sz w:val="30"/>
          <w:szCs w:val="30"/>
        </w:rPr>
      </w:pPr>
    </w:p>
    <w:p w14:paraId="285044AD">
      <w:pPr>
        <w:pStyle w:val="7"/>
        <w:jc w:val="center"/>
        <w:rPr>
          <w:rFonts w:hint="eastAsia" w:hAnsi="宋体"/>
          <w:b/>
          <w:sz w:val="30"/>
          <w:szCs w:val="30"/>
        </w:rPr>
      </w:pPr>
    </w:p>
    <w:p w14:paraId="0F96A6F7">
      <w:pPr>
        <w:pStyle w:val="7"/>
        <w:jc w:val="center"/>
        <w:rPr>
          <w:rFonts w:hint="eastAsia" w:hAnsi="宋体"/>
          <w:b/>
          <w:sz w:val="30"/>
          <w:szCs w:val="30"/>
        </w:rPr>
      </w:pPr>
    </w:p>
    <w:p w14:paraId="6EEF072A">
      <w:pPr>
        <w:pStyle w:val="7"/>
        <w:jc w:val="center"/>
        <w:rPr>
          <w:rFonts w:hint="eastAsia" w:hAnsi="宋体"/>
          <w:b/>
          <w:sz w:val="30"/>
          <w:szCs w:val="30"/>
        </w:rPr>
      </w:pPr>
    </w:p>
    <w:p w14:paraId="117A80E6">
      <w:pPr>
        <w:pStyle w:val="7"/>
        <w:jc w:val="center"/>
        <w:rPr>
          <w:rFonts w:hint="eastAsia" w:hAnsi="宋体"/>
          <w:b/>
          <w:sz w:val="30"/>
          <w:szCs w:val="30"/>
        </w:rPr>
      </w:pPr>
    </w:p>
    <w:p w14:paraId="77E953C9">
      <w:pPr>
        <w:pStyle w:val="7"/>
        <w:jc w:val="center"/>
        <w:rPr>
          <w:rFonts w:hint="eastAsia" w:hAnsi="宋体"/>
          <w:b/>
          <w:sz w:val="30"/>
          <w:szCs w:val="30"/>
        </w:rPr>
      </w:pPr>
    </w:p>
    <w:p w14:paraId="314DD6C4">
      <w:pPr>
        <w:pStyle w:val="7"/>
        <w:jc w:val="center"/>
        <w:rPr>
          <w:rFonts w:hAnsi="宋体"/>
          <w:b/>
          <w:sz w:val="30"/>
          <w:szCs w:val="30"/>
        </w:rPr>
      </w:pPr>
      <w:r>
        <w:rPr>
          <w:rFonts w:hint="eastAsia" w:hAnsi="宋体"/>
          <w:b/>
          <w:sz w:val="30"/>
          <w:szCs w:val="30"/>
        </w:rPr>
        <w:t>信用声明函（格式）</w:t>
      </w:r>
    </w:p>
    <w:p w14:paraId="524C92D3">
      <w:pPr>
        <w:spacing w:line="360" w:lineRule="auto"/>
        <w:rPr>
          <w:rFonts w:ascii="宋体" w:hAnsi="宋体"/>
          <w:sz w:val="24"/>
        </w:rPr>
      </w:pPr>
      <w:r>
        <w:rPr>
          <w:rFonts w:hint="eastAsia" w:ascii="宋体" w:hAnsi="宋体"/>
          <w:u w:val="single"/>
          <w:lang w:val="en-US" w:eastAsia="zh-CN"/>
        </w:rPr>
        <w:t>南宁市第十四中学</w:t>
      </w:r>
      <w:r>
        <w:rPr>
          <w:rFonts w:hint="eastAsia" w:ascii="宋体" w:hAnsi="宋体"/>
        </w:rPr>
        <w:t>：</w:t>
      </w:r>
    </w:p>
    <w:p w14:paraId="3F26C377">
      <w:pPr>
        <w:tabs>
          <w:tab w:val="left" w:pos="7200"/>
        </w:tabs>
        <w:spacing w:line="360" w:lineRule="auto"/>
        <w:ind w:firstLine="480" w:firstLineChars="200"/>
        <w:rPr>
          <w:rFonts w:hint="eastAsia" w:ascii="宋体" w:hAnsi="宋体"/>
          <w:sz w:val="24"/>
        </w:rPr>
      </w:pPr>
      <w:r>
        <w:rPr>
          <w:rFonts w:hint="eastAsia" w:ascii="宋体" w:hAnsi="宋体"/>
          <w:sz w:val="24"/>
        </w:rPr>
        <w:t>我方愿意参加贵方组织的</w:t>
      </w:r>
      <w:r>
        <w:rPr>
          <w:rFonts w:ascii="宋体" w:hAnsi="宋体"/>
          <w:sz w:val="24"/>
        </w:rPr>
        <w:t>_</w:t>
      </w:r>
      <w:r>
        <w:rPr>
          <w:rFonts w:ascii="宋体" w:hAnsi="宋体"/>
          <w:sz w:val="24"/>
          <w:u w:val="single"/>
        </w:rPr>
        <w:t xml:space="preserve">     (</w:t>
      </w:r>
      <w:r>
        <w:rPr>
          <w:rFonts w:hint="eastAsia" w:ascii="宋体" w:hAnsi="宋体"/>
          <w:sz w:val="24"/>
          <w:u w:val="single"/>
        </w:rPr>
        <w:t>项目名称</w:t>
      </w:r>
      <w:r>
        <w:rPr>
          <w:rFonts w:ascii="宋体" w:hAnsi="宋体"/>
          <w:sz w:val="24"/>
          <w:u w:val="single"/>
        </w:rPr>
        <w:t>)     _     _</w:t>
      </w:r>
      <w:r>
        <w:rPr>
          <w:rFonts w:ascii="宋体" w:hAnsi="宋体"/>
          <w:sz w:val="24"/>
        </w:rPr>
        <w:t>_</w:t>
      </w:r>
      <w:r>
        <w:rPr>
          <w:rFonts w:hint="eastAsia" w:ascii="宋体" w:hAnsi="宋体"/>
          <w:sz w:val="24"/>
        </w:rPr>
        <w:t>（项目编号：</w:t>
      </w:r>
      <w:r>
        <w:rPr>
          <w:rFonts w:ascii="宋体" w:hAnsi="宋体"/>
          <w:sz w:val="24"/>
          <w:u w:val="single"/>
        </w:rPr>
        <w:t xml:space="preserve">       </w:t>
      </w:r>
      <w:r>
        <w:rPr>
          <w:rFonts w:hint="eastAsia" w:ascii="宋体" w:hAnsi="宋体"/>
          <w:sz w:val="24"/>
        </w:rPr>
        <w:t>）项目的竞</w:t>
      </w:r>
      <w:r>
        <w:rPr>
          <w:rFonts w:hint="eastAsia" w:ascii="宋体" w:hAnsi="宋体"/>
          <w:sz w:val="24"/>
          <w:lang w:eastAsia="zh-CN"/>
        </w:rPr>
        <w:t>标</w:t>
      </w:r>
      <w:r>
        <w:rPr>
          <w:rFonts w:hint="eastAsia" w:ascii="宋体" w:hAnsi="宋体"/>
          <w:sz w:val="24"/>
        </w:rPr>
        <w:t>，为便于贵方公正、择优地确定成交供应商及其竞标货物和服务，我方就本次竞标有关事项郑重声明如下：</w:t>
      </w:r>
    </w:p>
    <w:p w14:paraId="6EF0042C">
      <w:pPr>
        <w:tabs>
          <w:tab w:val="left" w:pos="7200"/>
        </w:tabs>
        <w:spacing w:line="360" w:lineRule="auto"/>
        <w:ind w:firstLine="480" w:firstLineChars="200"/>
        <w:rPr>
          <w:rFonts w:hint="eastAsia" w:ascii="宋体" w:hAnsi="宋体"/>
          <w:sz w:val="24"/>
        </w:rPr>
      </w:pPr>
      <w:r>
        <w:rPr>
          <w:rFonts w:ascii="宋体" w:hAnsi="宋体"/>
          <w:sz w:val="24"/>
        </w:rPr>
        <w:t>1</w:t>
      </w:r>
      <w:r>
        <w:rPr>
          <w:rFonts w:hint="eastAsia" w:ascii="宋体" w:hAnsi="宋体"/>
          <w:sz w:val="24"/>
        </w:rPr>
        <w:t>、经查询，在“信用中国”和“中国政府采购网”网站我方未被列入失信被执行人、重大税收违法案件当事人名单、政府采购严重违法失信行为记录名单。</w:t>
      </w:r>
    </w:p>
    <w:p w14:paraId="317A2337">
      <w:pPr>
        <w:tabs>
          <w:tab w:val="left" w:pos="7200"/>
        </w:tabs>
        <w:spacing w:line="360" w:lineRule="auto"/>
        <w:ind w:firstLine="480" w:firstLineChars="200"/>
        <w:rPr>
          <w:rFonts w:ascii="宋体" w:hAnsi="宋体"/>
          <w:sz w:val="24"/>
          <w:u w:val="single"/>
        </w:rPr>
      </w:pPr>
      <w:r>
        <w:rPr>
          <w:rFonts w:hint="eastAsia" w:ascii="宋体" w:hAnsi="宋体"/>
          <w:sz w:val="24"/>
        </w:rPr>
        <w:t>2、我公司参加采购活动前3年内在经营活动中没有重大违法记录。</w:t>
      </w:r>
    </w:p>
    <w:p w14:paraId="6CF208BE">
      <w:pPr>
        <w:tabs>
          <w:tab w:val="left" w:pos="7200"/>
        </w:tabs>
        <w:spacing w:line="360" w:lineRule="auto"/>
        <w:ind w:firstLine="480" w:firstLineChars="200"/>
        <w:rPr>
          <w:rFonts w:ascii="宋体" w:hAnsi="宋体"/>
          <w:sz w:val="24"/>
        </w:rPr>
      </w:pPr>
      <w:r>
        <w:rPr>
          <w:rFonts w:hint="eastAsia" w:ascii="宋体" w:hAnsi="宋体"/>
          <w:sz w:val="24"/>
        </w:rPr>
        <w:t>3、以上事项如有虚假或隐瞒，我方愿意承担一切后果，并不再寻求任何旨在减轻或免除法律责任的辩解。</w:t>
      </w:r>
    </w:p>
    <w:p w14:paraId="5F05E373">
      <w:pPr>
        <w:spacing w:line="440" w:lineRule="exact"/>
        <w:ind w:firstLine="480" w:firstLineChars="200"/>
        <w:jc w:val="left"/>
        <w:rPr>
          <w:rFonts w:ascii="宋体" w:hAnsi="宋体"/>
          <w:sz w:val="24"/>
        </w:rPr>
      </w:pPr>
    </w:p>
    <w:p w14:paraId="3DC8ECB3">
      <w:pPr>
        <w:spacing w:line="440" w:lineRule="exact"/>
        <w:ind w:firstLine="480" w:firstLineChars="200"/>
        <w:jc w:val="left"/>
        <w:rPr>
          <w:rFonts w:ascii="宋体" w:hAnsi="宋体"/>
          <w:sz w:val="24"/>
        </w:rPr>
      </w:pPr>
    </w:p>
    <w:p w14:paraId="2437F989">
      <w:pPr>
        <w:tabs>
          <w:tab w:val="left" w:pos="7200"/>
        </w:tabs>
        <w:spacing w:line="360" w:lineRule="auto"/>
        <w:ind w:firstLine="959" w:firstLineChars="398"/>
        <w:rPr>
          <w:rFonts w:ascii="宋体" w:hAnsi="宋体"/>
          <w:sz w:val="24"/>
          <w:u w:val="single"/>
        </w:rPr>
      </w:pPr>
      <w:r>
        <w:rPr>
          <w:rFonts w:ascii="宋体" w:hAnsi="宋体"/>
          <w:b/>
          <w:sz w:val="24"/>
        </w:rPr>
        <w:t xml:space="preserve">                             </w:t>
      </w:r>
      <w:r>
        <w:rPr>
          <w:rFonts w:ascii="宋体" w:hAnsi="宋体"/>
          <w:sz w:val="24"/>
        </w:rPr>
        <w:t xml:space="preserve">  </w:t>
      </w:r>
      <w:r>
        <w:rPr>
          <w:rFonts w:hint="eastAsia" w:ascii="宋体" w:hAnsi="宋体"/>
          <w:sz w:val="24"/>
        </w:rPr>
        <w:t>法定代表人或委托代理人签字：</w:t>
      </w:r>
      <w:r>
        <w:rPr>
          <w:rFonts w:ascii="宋体" w:hAnsi="宋体"/>
          <w:sz w:val="24"/>
          <w:u w:val="single"/>
        </w:rPr>
        <w:t xml:space="preserve">             </w:t>
      </w:r>
    </w:p>
    <w:p w14:paraId="400A7E59">
      <w:pPr>
        <w:tabs>
          <w:tab w:val="left" w:pos="7200"/>
        </w:tabs>
        <w:spacing w:line="360" w:lineRule="auto"/>
        <w:ind w:firstLine="4668" w:firstLineChars="1945"/>
        <w:rPr>
          <w:rFonts w:ascii="宋体" w:hAnsi="宋体"/>
          <w:sz w:val="24"/>
        </w:rPr>
      </w:pPr>
      <w:r>
        <w:rPr>
          <w:rFonts w:hint="eastAsia" w:ascii="宋体" w:hAnsi="宋体"/>
          <w:sz w:val="24"/>
        </w:rPr>
        <w:t>竞标人（盖章）：</w:t>
      </w:r>
      <w:r>
        <w:rPr>
          <w:rFonts w:ascii="宋体" w:hAnsi="宋体"/>
          <w:sz w:val="24"/>
          <w:u w:val="single"/>
        </w:rPr>
        <w:t xml:space="preserve">                         </w:t>
      </w:r>
      <w:r>
        <w:rPr>
          <w:rFonts w:ascii="宋体" w:hAnsi="宋体"/>
          <w:sz w:val="24"/>
        </w:rPr>
        <w:t xml:space="preserve">           </w:t>
      </w:r>
    </w:p>
    <w:p w14:paraId="35199B9B">
      <w:pPr>
        <w:pStyle w:val="6"/>
        <w:rPr>
          <w:rFonts w:hint="eastAsia" w:ascii="宋体" w:hAnsi="宋体"/>
          <w:sz w:val="24"/>
        </w:rPr>
      </w:pPr>
      <w:r>
        <w:rPr>
          <w:rFonts w:ascii="宋体" w:hAnsi="宋体"/>
          <w:sz w:val="24"/>
        </w:rPr>
        <w:t xml:space="preserve">                                               </w:t>
      </w:r>
      <w:r>
        <w:rPr>
          <w:rFonts w:hint="eastAsia" w:ascii="宋体" w:hAnsi="宋体"/>
          <w:sz w:val="24"/>
        </w:rPr>
        <w:t>年</w:t>
      </w:r>
      <w:r>
        <w:rPr>
          <w:rFonts w:ascii="宋体" w:hAnsi="宋体"/>
          <w:sz w:val="24"/>
        </w:rPr>
        <w:t xml:space="preserve">    </w:t>
      </w:r>
      <w:r>
        <w:rPr>
          <w:rFonts w:hint="eastAsia" w:ascii="宋体" w:hAnsi="宋体"/>
          <w:sz w:val="24"/>
        </w:rPr>
        <w:t>月</w:t>
      </w:r>
      <w:r>
        <w:rPr>
          <w:rFonts w:ascii="宋体" w:hAnsi="宋体"/>
          <w:sz w:val="24"/>
        </w:rPr>
        <w:t xml:space="preserve">    </w:t>
      </w:r>
      <w:r>
        <w:rPr>
          <w:rFonts w:hint="eastAsia" w:ascii="宋体" w:hAnsi="宋体"/>
          <w:sz w:val="24"/>
        </w:rPr>
        <w:t>日</w:t>
      </w:r>
    </w:p>
    <w:p w14:paraId="5CE3D73E">
      <w:pPr>
        <w:pStyle w:val="6"/>
        <w:rPr>
          <w:rFonts w:ascii="宋体" w:hAnsi="宋体"/>
          <w:szCs w:val="24"/>
        </w:rPr>
      </w:pPr>
    </w:p>
    <w:p w14:paraId="699AA8B9">
      <w:pPr>
        <w:shd w:val="clear" w:color="auto" w:fill="FFFFFF"/>
        <w:spacing w:after="240" w:line="420" w:lineRule="atLeast"/>
        <w:ind w:firstLine="360" w:firstLineChars="150"/>
        <w:rPr>
          <w:rFonts w:ascii="宋体" w:hAnsi="宋体" w:cs="宋体"/>
          <w:color w:val="auto"/>
          <w:kern w:val="0"/>
          <w:sz w:val="24"/>
          <w:szCs w:val="24"/>
        </w:rPr>
      </w:pPr>
      <w:r>
        <w:rPr>
          <w:rFonts w:hint="eastAsia" w:ascii="宋体" w:hAnsi="宋体"/>
          <w:color w:val="auto"/>
          <w:sz w:val="24"/>
          <w:szCs w:val="24"/>
          <w:lang w:eastAsia="zh-CN"/>
        </w:rPr>
        <w:t>说明：</w:t>
      </w:r>
      <w:r>
        <w:rPr>
          <w:rFonts w:hint="eastAsia" w:ascii="宋体" w:hAnsi="宋体"/>
          <w:color w:val="auto"/>
          <w:sz w:val="24"/>
          <w:szCs w:val="24"/>
        </w:rPr>
        <w:t>由</w:t>
      </w:r>
      <w:r>
        <w:rPr>
          <w:rFonts w:hint="eastAsia" w:ascii="宋体" w:hAnsi="宋体"/>
          <w:b/>
          <w:color w:val="auto"/>
          <w:sz w:val="24"/>
          <w:szCs w:val="24"/>
        </w:rPr>
        <w:t>采购人</w:t>
      </w:r>
      <w:r>
        <w:rPr>
          <w:rFonts w:hint="eastAsia" w:ascii="宋体" w:hAnsi="宋体"/>
          <w:color w:val="auto"/>
          <w:sz w:val="24"/>
          <w:szCs w:val="24"/>
        </w:rPr>
        <w:t>在竞标截止时间后，通过“信用中国”网站(www.creditchina.gov.cn)、中国政府采购网(</w:t>
      </w:r>
      <w:r>
        <w:rPr>
          <w:color w:val="auto"/>
        </w:rPr>
        <w:fldChar w:fldCharType="begin"/>
      </w:r>
      <w:r>
        <w:rPr>
          <w:color w:val="auto"/>
        </w:rPr>
        <w:instrText xml:space="preserve"> HYPERLINK "http://www.ccgp.gov.cn" </w:instrText>
      </w:r>
      <w:r>
        <w:rPr>
          <w:color w:val="auto"/>
        </w:rPr>
        <w:fldChar w:fldCharType="separate"/>
      </w:r>
      <w:r>
        <w:rPr>
          <w:rFonts w:hint="eastAsia" w:ascii="宋体" w:hAnsi="宋体"/>
          <w:color w:val="auto"/>
          <w:sz w:val="24"/>
          <w:szCs w:val="24"/>
        </w:rPr>
        <w:t>www.ccgp.gov.cn</w:t>
      </w:r>
      <w:r>
        <w:rPr>
          <w:rFonts w:hint="eastAsia" w:ascii="宋体" w:hAnsi="宋体"/>
          <w:color w:val="auto"/>
          <w:sz w:val="24"/>
          <w:szCs w:val="24"/>
        </w:rPr>
        <w:fldChar w:fldCharType="end"/>
      </w:r>
      <w:r>
        <w:rPr>
          <w:rFonts w:hint="eastAsia" w:ascii="宋体" w:hAnsi="宋体"/>
          <w:color w:val="auto"/>
          <w:sz w:val="24"/>
          <w:szCs w:val="24"/>
        </w:rPr>
        <w:t>)网站对磋商供应商进行信用查询，对在“信用中国”网站(www.creditchina.gov.cn)、中国政府采购网(www.ccgp.gov.cn)被列入失信被执行人、重大税收违法失信主体名单、政府采购严重违法失信行为记录名单及其他不符合《中华人民共和国政府采购法》第二十二条规定条件的供应商，拒绝参与本次采购活动。</w:t>
      </w:r>
    </w:p>
    <w:p w14:paraId="3B0C4360">
      <w:pPr>
        <w:autoSpaceDE w:val="0"/>
        <w:autoSpaceDN w:val="0"/>
        <w:snapToGrid w:val="0"/>
        <w:spacing w:line="360" w:lineRule="auto"/>
        <w:ind w:firstLine="420" w:firstLineChars="200"/>
        <w:textAlignment w:val="bottom"/>
        <w:rPr>
          <w:rFonts w:ascii="宋体" w:hAnsi="宋体"/>
        </w:rPr>
      </w:pPr>
    </w:p>
    <w:p w14:paraId="4C4BFCA8">
      <w:pPr>
        <w:autoSpaceDE w:val="0"/>
        <w:autoSpaceDN w:val="0"/>
        <w:snapToGrid w:val="0"/>
        <w:spacing w:line="360" w:lineRule="auto"/>
        <w:ind w:firstLine="420" w:firstLineChars="200"/>
        <w:textAlignment w:val="bottom"/>
        <w:rPr>
          <w:rFonts w:ascii="宋体" w:hAnsi="宋体"/>
        </w:rPr>
      </w:pPr>
    </w:p>
    <w:p w14:paraId="32554342">
      <w:pPr>
        <w:autoSpaceDE w:val="0"/>
        <w:autoSpaceDN w:val="0"/>
        <w:snapToGrid w:val="0"/>
        <w:spacing w:line="360" w:lineRule="auto"/>
        <w:ind w:firstLine="420" w:firstLineChars="200"/>
        <w:textAlignment w:val="bottom"/>
        <w:rPr>
          <w:rFonts w:ascii="宋体" w:hAnsi="宋体"/>
        </w:rPr>
      </w:pPr>
    </w:p>
    <w:p w14:paraId="0C2E9E32">
      <w:pPr>
        <w:pStyle w:val="5"/>
        <w:rPr>
          <w:rFonts w:ascii="宋体" w:hAnsi="宋体"/>
        </w:rPr>
      </w:pPr>
    </w:p>
    <w:p w14:paraId="35A80C2F"/>
    <w:p w14:paraId="0215EA04">
      <w:pPr>
        <w:autoSpaceDE w:val="0"/>
        <w:autoSpaceDN w:val="0"/>
        <w:snapToGrid w:val="0"/>
        <w:spacing w:line="360" w:lineRule="auto"/>
        <w:ind w:firstLine="420" w:firstLineChars="200"/>
        <w:textAlignment w:val="bottom"/>
        <w:rPr>
          <w:rFonts w:ascii="宋体" w:hAnsi="宋体"/>
        </w:rPr>
      </w:pPr>
    </w:p>
    <w:p w14:paraId="28A8ABA1">
      <w:pPr>
        <w:autoSpaceDE w:val="0"/>
        <w:autoSpaceDN w:val="0"/>
        <w:snapToGrid w:val="0"/>
        <w:spacing w:line="360" w:lineRule="auto"/>
        <w:textAlignment w:val="bottom"/>
        <w:rPr>
          <w:rFonts w:ascii="宋体" w:hAnsi="宋体"/>
          <w:b/>
          <w:szCs w:val="24"/>
        </w:rPr>
      </w:pPr>
    </w:p>
    <w:p w14:paraId="766DAC54">
      <w:pPr>
        <w:autoSpaceDE w:val="0"/>
        <w:autoSpaceDN w:val="0"/>
        <w:snapToGrid w:val="0"/>
        <w:spacing w:line="360" w:lineRule="auto"/>
        <w:textAlignment w:val="bottom"/>
        <w:rPr>
          <w:rFonts w:ascii="宋体" w:hAnsi="宋体"/>
          <w:b/>
          <w:szCs w:val="24"/>
        </w:rPr>
      </w:pPr>
    </w:p>
    <w:p w14:paraId="7F95B5CC">
      <w:pPr>
        <w:autoSpaceDE w:val="0"/>
        <w:autoSpaceDN w:val="0"/>
        <w:snapToGrid w:val="0"/>
        <w:spacing w:line="360" w:lineRule="auto"/>
        <w:textAlignment w:val="bottom"/>
        <w:rPr>
          <w:rFonts w:ascii="宋体" w:hAnsi="宋体"/>
          <w:b/>
          <w:szCs w:val="24"/>
        </w:rPr>
      </w:pPr>
    </w:p>
    <w:p w14:paraId="15EAEBD5">
      <w:pPr>
        <w:autoSpaceDE w:val="0"/>
        <w:autoSpaceDN w:val="0"/>
        <w:snapToGrid w:val="0"/>
        <w:spacing w:line="360" w:lineRule="auto"/>
        <w:textAlignment w:val="bottom"/>
        <w:rPr>
          <w:rFonts w:ascii="宋体" w:hAnsi="宋体"/>
          <w:b/>
          <w:szCs w:val="24"/>
        </w:rPr>
      </w:pPr>
    </w:p>
    <w:p w14:paraId="68EAEAAE">
      <w:pPr>
        <w:autoSpaceDE w:val="0"/>
        <w:autoSpaceDN w:val="0"/>
        <w:snapToGrid w:val="0"/>
        <w:spacing w:line="360" w:lineRule="auto"/>
        <w:textAlignment w:val="bottom"/>
        <w:rPr>
          <w:rFonts w:ascii="宋体" w:hAnsi="宋体"/>
          <w:b/>
          <w:szCs w:val="24"/>
        </w:rPr>
      </w:pPr>
    </w:p>
    <w:p w14:paraId="138D7559">
      <w:pPr>
        <w:autoSpaceDE w:val="0"/>
        <w:autoSpaceDN w:val="0"/>
        <w:snapToGrid w:val="0"/>
        <w:spacing w:line="360" w:lineRule="auto"/>
        <w:textAlignment w:val="bottom"/>
        <w:rPr>
          <w:rFonts w:ascii="宋体" w:hAnsi="宋体"/>
          <w:b/>
          <w:szCs w:val="24"/>
        </w:rPr>
      </w:pPr>
      <w:r>
        <w:rPr>
          <w:rFonts w:hint="eastAsia" w:ascii="宋体" w:hAnsi="宋体"/>
          <w:b/>
          <w:szCs w:val="24"/>
        </w:rPr>
        <w:t>（二）商务技术类文件</w:t>
      </w:r>
    </w:p>
    <w:p w14:paraId="19D0827D">
      <w:pPr>
        <w:spacing w:line="300" w:lineRule="auto"/>
        <w:jc w:val="center"/>
        <w:rPr>
          <w:rFonts w:ascii="宋体" w:hAnsi="宋体"/>
          <w:b/>
          <w:sz w:val="28"/>
          <w:szCs w:val="28"/>
        </w:rPr>
      </w:pPr>
      <w:r>
        <w:rPr>
          <w:rFonts w:hint="eastAsia" w:ascii="宋体" w:hAnsi="宋体"/>
          <w:bCs/>
          <w:sz w:val="28"/>
          <w:szCs w:val="28"/>
        </w:rPr>
        <w:t>★</w:t>
      </w:r>
      <w:r>
        <w:rPr>
          <w:rFonts w:hint="eastAsia" w:ascii="宋体" w:hAnsi="宋体"/>
          <w:b/>
          <w:sz w:val="28"/>
          <w:szCs w:val="28"/>
        </w:rPr>
        <w:t>1、技术响应表</w:t>
      </w:r>
    </w:p>
    <w:p w14:paraId="729D2B52">
      <w:pPr>
        <w:spacing w:line="300" w:lineRule="auto"/>
        <w:rPr>
          <w:rFonts w:ascii="宋体" w:hAnsi="宋体"/>
          <w:sz w:val="28"/>
          <w:szCs w:val="28"/>
        </w:rPr>
      </w:pPr>
    </w:p>
    <w:p w14:paraId="3F452F73">
      <w:pPr>
        <w:spacing w:line="300" w:lineRule="auto"/>
        <w:rPr>
          <w:rFonts w:ascii="宋体" w:hAnsi="宋体"/>
          <w:u w:val="single"/>
        </w:rPr>
      </w:pPr>
      <w:r>
        <w:rPr>
          <w:rFonts w:hint="eastAsia" w:ascii="宋体" w:hAnsi="宋体"/>
        </w:rPr>
        <w:t>采购项目编号:</w:t>
      </w:r>
      <w:r>
        <w:rPr>
          <w:rFonts w:hint="eastAsia" w:ascii="宋体" w:hAnsi="宋体"/>
          <w:u w:val="single"/>
        </w:rPr>
        <w:t xml:space="preserve">                 </w:t>
      </w:r>
    </w:p>
    <w:p w14:paraId="0A5042BF">
      <w:pPr>
        <w:spacing w:line="300" w:lineRule="auto"/>
        <w:rPr>
          <w:rFonts w:ascii="宋体" w:hAnsi="宋体"/>
        </w:rPr>
      </w:pPr>
      <w:r>
        <w:rPr>
          <w:rFonts w:hint="eastAsia" w:ascii="宋体" w:hAnsi="宋体"/>
        </w:rPr>
        <w:t>采购项目名称:</w:t>
      </w:r>
      <w:r>
        <w:rPr>
          <w:rFonts w:hint="eastAsia" w:ascii="宋体" w:hAnsi="宋体"/>
          <w:u w:val="single"/>
        </w:rPr>
        <w:t xml:space="preserve">                 </w:t>
      </w:r>
    </w:p>
    <w:p w14:paraId="5908D956">
      <w:pPr>
        <w:spacing w:line="300" w:lineRule="auto"/>
        <w:rPr>
          <w:rFonts w:ascii="宋体" w:hAnsi="宋体"/>
        </w:rPr>
      </w:pPr>
    </w:p>
    <w:tbl>
      <w:tblPr>
        <w:tblStyle w:val="12"/>
        <w:tblW w:w="9911" w:type="dxa"/>
        <w:tblInd w:w="0"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841"/>
        <w:gridCol w:w="2843"/>
        <w:gridCol w:w="3178"/>
        <w:gridCol w:w="1580"/>
        <w:gridCol w:w="1469"/>
      </w:tblGrid>
      <w:tr w14:paraId="7C587B8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trPr>
        <w:tc>
          <w:tcPr>
            <w:tcW w:w="841" w:type="dxa"/>
            <w:vAlign w:val="center"/>
          </w:tcPr>
          <w:p w14:paraId="3D46429E">
            <w:pPr>
              <w:adjustRightInd w:val="0"/>
              <w:snapToGrid w:val="0"/>
              <w:spacing w:line="300" w:lineRule="auto"/>
              <w:jc w:val="center"/>
              <w:outlineLvl w:val="0"/>
              <w:rPr>
                <w:rFonts w:ascii="宋体" w:hAnsi="宋体"/>
              </w:rPr>
            </w:pPr>
            <w:bookmarkStart w:id="12" w:name="_Toc388450312"/>
            <w:bookmarkStart w:id="13" w:name="_Toc322959186"/>
            <w:bookmarkStart w:id="14" w:name="_Toc291581941"/>
            <w:r>
              <w:rPr>
                <w:rFonts w:hint="eastAsia" w:ascii="宋体" w:hAnsi="宋体"/>
              </w:rPr>
              <w:t>序号</w:t>
            </w:r>
            <w:bookmarkEnd w:id="12"/>
            <w:bookmarkEnd w:id="13"/>
            <w:bookmarkEnd w:id="14"/>
          </w:p>
        </w:tc>
        <w:tc>
          <w:tcPr>
            <w:tcW w:w="2843" w:type="dxa"/>
            <w:vAlign w:val="center"/>
          </w:tcPr>
          <w:p w14:paraId="119BEB75">
            <w:pPr>
              <w:adjustRightInd w:val="0"/>
              <w:snapToGrid w:val="0"/>
              <w:spacing w:line="300" w:lineRule="auto"/>
              <w:jc w:val="center"/>
              <w:outlineLvl w:val="0"/>
              <w:rPr>
                <w:rFonts w:ascii="宋体" w:hAnsi="宋体"/>
              </w:rPr>
            </w:pPr>
            <w:bookmarkStart w:id="15" w:name="_Toc388450313"/>
            <w:bookmarkStart w:id="16" w:name="_Toc322959187"/>
            <w:bookmarkStart w:id="17" w:name="_Toc291581942"/>
            <w:r>
              <w:rPr>
                <w:rFonts w:hint="eastAsia" w:ascii="宋体" w:hAnsi="宋体"/>
              </w:rPr>
              <w:t>采购文件要求</w:t>
            </w:r>
            <w:bookmarkEnd w:id="15"/>
            <w:bookmarkEnd w:id="16"/>
            <w:bookmarkEnd w:id="17"/>
          </w:p>
        </w:tc>
        <w:tc>
          <w:tcPr>
            <w:tcW w:w="3178" w:type="dxa"/>
            <w:vAlign w:val="center"/>
          </w:tcPr>
          <w:p w14:paraId="14E86019">
            <w:pPr>
              <w:adjustRightInd w:val="0"/>
              <w:snapToGrid w:val="0"/>
              <w:spacing w:line="300" w:lineRule="auto"/>
              <w:jc w:val="center"/>
              <w:outlineLvl w:val="0"/>
              <w:rPr>
                <w:rFonts w:ascii="宋体" w:hAnsi="宋体"/>
              </w:rPr>
            </w:pPr>
            <w:bookmarkStart w:id="18" w:name="_Toc322959188"/>
            <w:bookmarkStart w:id="19" w:name="_Toc388450314"/>
            <w:bookmarkStart w:id="20" w:name="_Toc291581943"/>
            <w:r>
              <w:rPr>
                <w:rFonts w:hint="eastAsia" w:ascii="宋体" w:hAnsi="宋体"/>
              </w:rPr>
              <w:t>响应文件具体响应</w:t>
            </w:r>
            <w:bookmarkEnd w:id="18"/>
            <w:bookmarkEnd w:id="19"/>
            <w:bookmarkEnd w:id="20"/>
          </w:p>
        </w:tc>
        <w:tc>
          <w:tcPr>
            <w:tcW w:w="1580" w:type="dxa"/>
            <w:vAlign w:val="center"/>
          </w:tcPr>
          <w:p w14:paraId="159BA65D">
            <w:pPr>
              <w:adjustRightInd w:val="0"/>
              <w:snapToGrid w:val="0"/>
              <w:spacing w:line="300" w:lineRule="auto"/>
              <w:jc w:val="center"/>
              <w:outlineLvl w:val="0"/>
              <w:rPr>
                <w:rFonts w:ascii="宋体" w:hAnsi="宋体"/>
              </w:rPr>
            </w:pPr>
            <w:bookmarkStart w:id="21" w:name="_Toc322959189"/>
            <w:bookmarkStart w:id="22" w:name="_Toc388450315"/>
            <w:bookmarkStart w:id="23" w:name="_Toc291581944"/>
            <w:r>
              <w:rPr>
                <w:rFonts w:hint="eastAsia" w:ascii="宋体" w:hAnsi="宋体"/>
              </w:rPr>
              <w:t>响应/偏离</w:t>
            </w:r>
            <w:bookmarkEnd w:id="21"/>
            <w:bookmarkEnd w:id="22"/>
            <w:bookmarkEnd w:id="23"/>
          </w:p>
        </w:tc>
        <w:tc>
          <w:tcPr>
            <w:tcW w:w="1469" w:type="dxa"/>
            <w:vAlign w:val="center"/>
          </w:tcPr>
          <w:p w14:paraId="4C48BA9A">
            <w:pPr>
              <w:adjustRightInd w:val="0"/>
              <w:snapToGrid w:val="0"/>
              <w:spacing w:line="300" w:lineRule="auto"/>
              <w:jc w:val="center"/>
              <w:outlineLvl w:val="0"/>
              <w:rPr>
                <w:rFonts w:ascii="宋体" w:hAnsi="宋体"/>
              </w:rPr>
            </w:pPr>
            <w:bookmarkStart w:id="24" w:name="_Toc291581945"/>
            <w:bookmarkStart w:id="25" w:name="_Toc388450316"/>
            <w:bookmarkStart w:id="26" w:name="_Toc322959190"/>
            <w:r>
              <w:rPr>
                <w:rFonts w:hint="eastAsia" w:ascii="宋体" w:hAnsi="宋体"/>
              </w:rPr>
              <w:t>说明</w:t>
            </w:r>
            <w:bookmarkEnd w:id="24"/>
            <w:bookmarkEnd w:id="25"/>
            <w:bookmarkEnd w:id="26"/>
          </w:p>
        </w:tc>
      </w:tr>
      <w:tr w14:paraId="2F66F40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200" w:hRule="atLeast"/>
        </w:trPr>
        <w:tc>
          <w:tcPr>
            <w:tcW w:w="841" w:type="dxa"/>
            <w:vAlign w:val="center"/>
          </w:tcPr>
          <w:p w14:paraId="38E3AD50">
            <w:pPr>
              <w:adjustRightInd w:val="0"/>
              <w:snapToGrid w:val="0"/>
              <w:spacing w:line="300" w:lineRule="auto"/>
              <w:jc w:val="center"/>
              <w:outlineLvl w:val="0"/>
              <w:rPr>
                <w:rFonts w:ascii="宋体" w:hAnsi="宋体"/>
              </w:rPr>
            </w:pPr>
            <w:bookmarkStart w:id="27" w:name="_Toc322959191"/>
            <w:bookmarkStart w:id="28" w:name="_Toc388450317"/>
            <w:bookmarkStart w:id="29" w:name="_Toc291581946"/>
            <w:r>
              <w:rPr>
                <w:rFonts w:hint="eastAsia" w:ascii="宋体" w:hAnsi="宋体"/>
              </w:rPr>
              <w:t>1</w:t>
            </w:r>
            <w:bookmarkEnd w:id="27"/>
            <w:bookmarkEnd w:id="28"/>
            <w:bookmarkEnd w:id="29"/>
          </w:p>
        </w:tc>
        <w:tc>
          <w:tcPr>
            <w:tcW w:w="2843" w:type="dxa"/>
            <w:vAlign w:val="center"/>
          </w:tcPr>
          <w:p w14:paraId="5896B803">
            <w:pPr>
              <w:adjustRightInd w:val="0"/>
              <w:snapToGrid w:val="0"/>
              <w:spacing w:line="300" w:lineRule="auto"/>
              <w:jc w:val="center"/>
              <w:outlineLvl w:val="0"/>
              <w:rPr>
                <w:rFonts w:ascii="宋体" w:hAnsi="宋体"/>
              </w:rPr>
            </w:pPr>
          </w:p>
        </w:tc>
        <w:tc>
          <w:tcPr>
            <w:tcW w:w="3178" w:type="dxa"/>
            <w:vAlign w:val="center"/>
          </w:tcPr>
          <w:p w14:paraId="49DF4D66">
            <w:pPr>
              <w:adjustRightInd w:val="0"/>
              <w:snapToGrid w:val="0"/>
              <w:spacing w:line="300" w:lineRule="auto"/>
              <w:jc w:val="center"/>
              <w:outlineLvl w:val="0"/>
              <w:rPr>
                <w:rFonts w:ascii="宋体" w:hAnsi="宋体"/>
              </w:rPr>
            </w:pPr>
          </w:p>
        </w:tc>
        <w:tc>
          <w:tcPr>
            <w:tcW w:w="1580" w:type="dxa"/>
            <w:vAlign w:val="center"/>
          </w:tcPr>
          <w:p w14:paraId="0835192D">
            <w:pPr>
              <w:adjustRightInd w:val="0"/>
              <w:snapToGrid w:val="0"/>
              <w:spacing w:line="300" w:lineRule="auto"/>
              <w:jc w:val="center"/>
              <w:outlineLvl w:val="0"/>
              <w:rPr>
                <w:rFonts w:ascii="宋体" w:hAnsi="宋体"/>
              </w:rPr>
            </w:pPr>
          </w:p>
        </w:tc>
        <w:tc>
          <w:tcPr>
            <w:tcW w:w="1469" w:type="dxa"/>
            <w:vAlign w:val="center"/>
          </w:tcPr>
          <w:p w14:paraId="53B59367">
            <w:pPr>
              <w:adjustRightInd w:val="0"/>
              <w:snapToGrid w:val="0"/>
              <w:spacing w:line="300" w:lineRule="auto"/>
              <w:jc w:val="center"/>
              <w:outlineLvl w:val="0"/>
              <w:rPr>
                <w:rFonts w:ascii="宋体" w:hAnsi="宋体"/>
              </w:rPr>
            </w:pPr>
          </w:p>
        </w:tc>
      </w:tr>
      <w:tr w14:paraId="3131679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trPr>
        <w:tc>
          <w:tcPr>
            <w:tcW w:w="841" w:type="dxa"/>
            <w:vAlign w:val="center"/>
          </w:tcPr>
          <w:p w14:paraId="7DC5B0A1">
            <w:pPr>
              <w:adjustRightInd w:val="0"/>
              <w:snapToGrid w:val="0"/>
              <w:spacing w:line="300" w:lineRule="auto"/>
              <w:jc w:val="center"/>
              <w:outlineLvl w:val="0"/>
              <w:rPr>
                <w:rFonts w:ascii="宋体" w:hAnsi="宋体"/>
              </w:rPr>
            </w:pPr>
            <w:bookmarkStart w:id="30" w:name="_Toc291581947"/>
            <w:bookmarkStart w:id="31" w:name="_Toc322959192"/>
            <w:bookmarkStart w:id="32" w:name="_Toc388450318"/>
            <w:r>
              <w:rPr>
                <w:rFonts w:hint="eastAsia" w:ascii="宋体" w:hAnsi="宋体"/>
              </w:rPr>
              <w:t>2</w:t>
            </w:r>
            <w:bookmarkEnd w:id="30"/>
            <w:bookmarkEnd w:id="31"/>
            <w:bookmarkEnd w:id="32"/>
          </w:p>
        </w:tc>
        <w:tc>
          <w:tcPr>
            <w:tcW w:w="2843" w:type="dxa"/>
            <w:vAlign w:val="center"/>
          </w:tcPr>
          <w:p w14:paraId="5C8F38FF">
            <w:pPr>
              <w:adjustRightInd w:val="0"/>
              <w:snapToGrid w:val="0"/>
              <w:spacing w:line="300" w:lineRule="auto"/>
              <w:jc w:val="center"/>
              <w:outlineLvl w:val="0"/>
              <w:rPr>
                <w:rFonts w:ascii="宋体" w:hAnsi="宋体"/>
              </w:rPr>
            </w:pPr>
          </w:p>
        </w:tc>
        <w:tc>
          <w:tcPr>
            <w:tcW w:w="3178" w:type="dxa"/>
            <w:vAlign w:val="center"/>
          </w:tcPr>
          <w:p w14:paraId="582DF6C5">
            <w:pPr>
              <w:adjustRightInd w:val="0"/>
              <w:snapToGrid w:val="0"/>
              <w:spacing w:line="300" w:lineRule="auto"/>
              <w:jc w:val="center"/>
              <w:outlineLvl w:val="0"/>
              <w:rPr>
                <w:rFonts w:ascii="宋体" w:hAnsi="宋体"/>
              </w:rPr>
            </w:pPr>
          </w:p>
        </w:tc>
        <w:tc>
          <w:tcPr>
            <w:tcW w:w="1580" w:type="dxa"/>
            <w:vAlign w:val="center"/>
          </w:tcPr>
          <w:p w14:paraId="2D5BE4DF">
            <w:pPr>
              <w:adjustRightInd w:val="0"/>
              <w:snapToGrid w:val="0"/>
              <w:spacing w:line="300" w:lineRule="auto"/>
              <w:jc w:val="center"/>
              <w:outlineLvl w:val="0"/>
              <w:rPr>
                <w:rFonts w:ascii="宋体" w:hAnsi="宋体"/>
              </w:rPr>
            </w:pPr>
          </w:p>
        </w:tc>
        <w:tc>
          <w:tcPr>
            <w:tcW w:w="1469" w:type="dxa"/>
            <w:vAlign w:val="center"/>
          </w:tcPr>
          <w:p w14:paraId="3C595681">
            <w:pPr>
              <w:adjustRightInd w:val="0"/>
              <w:snapToGrid w:val="0"/>
              <w:spacing w:line="300" w:lineRule="auto"/>
              <w:jc w:val="center"/>
              <w:outlineLvl w:val="0"/>
              <w:rPr>
                <w:rFonts w:ascii="宋体" w:hAnsi="宋体"/>
              </w:rPr>
            </w:pPr>
          </w:p>
        </w:tc>
      </w:tr>
      <w:tr w14:paraId="40CAB48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trPr>
        <w:tc>
          <w:tcPr>
            <w:tcW w:w="841" w:type="dxa"/>
            <w:vAlign w:val="center"/>
          </w:tcPr>
          <w:p w14:paraId="128DA8C2">
            <w:pPr>
              <w:adjustRightInd w:val="0"/>
              <w:snapToGrid w:val="0"/>
              <w:spacing w:line="300" w:lineRule="auto"/>
              <w:jc w:val="center"/>
              <w:outlineLvl w:val="0"/>
              <w:rPr>
                <w:rFonts w:ascii="宋体" w:hAnsi="宋体"/>
              </w:rPr>
            </w:pPr>
            <w:bookmarkStart w:id="33" w:name="_Toc291581948"/>
            <w:bookmarkStart w:id="34" w:name="_Toc388450319"/>
            <w:bookmarkStart w:id="35" w:name="_Toc322959193"/>
            <w:r>
              <w:rPr>
                <w:rFonts w:hint="eastAsia" w:ascii="宋体" w:hAnsi="宋体"/>
              </w:rPr>
              <w:t>3</w:t>
            </w:r>
            <w:bookmarkEnd w:id="33"/>
            <w:bookmarkEnd w:id="34"/>
            <w:bookmarkEnd w:id="35"/>
          </w:p>
        </w:tc>
        <w:tc>
          <w:tcPr>
            <w:tcW w:w="2843" w:type="dxa"/>
            <w:vAlign w:val="center"/>
          </w:tcPr>
          <w:p w14:paraId="7023CB62">
            <w:pPr>
              <w:adjustRightInd w:val="0"/>
              <w:snapToGrid w:val="0"/>
              <w:spacing w:line="300" w:lineRule="auto"/>
              <w:jc w:val="center"/>
              <w:outlineLvl w:val="0"/>
              <w:rPr>
                <w:rFonts w:ascii="宋体" w:hAnsi="宋体"/>
              </w:rPr>
            </w:pPr>
          </w:p>
        </w:tc>
        <w:tc>
          <w:tcPr>
            <w:tcW w:w="3178" w:type="dxa"/>
            <w:vAlign w:val="center"/>
          </w:tcPr>
          <w:p w14:paraId="5DE00819">
            <w:pPr>
              <w:adjustRightInd w:val="0"/>
              <w:snapToGrid w:val="0"/>
              <w:spacing w:line="300" w:lineRule="auto"/>
              <w:jc w:val="center"/>
              <w:outlineLvl w:val="0"/>
              <w:rPr>
                <w:rFonts w:ascii="宋体" w:hAnsi="宋体"/>
              </w:rPr>
            </w:pPr>
          </w:p>
        </w:tc>
        <w:tc>
          <w:tcPr>
            <w:tcW w:w="1580" w:type="dxa"/>
            <w:vAlign w:val="center"/>
          </w:tcPr>
          <w:p w14:paraId="400DF426">
            <w:pPr>
              <w:adjustRightInd w:val="0"/>
              <w:snapToGrid w:val="0"/>
              <w:spacing w:line="300" w:lineRule="auto"/>
              <w:jc w:val="center"/>
              <w:outlineLvl w:val="0"/>
              <w:rPr>
                <w:rFonts w:ascii="宋体" w:hAnsi="宋体"/>
              </w:rPr>
            </w:pPr>
          </w:p>
        </w:tc>
        <w:tc>
          <w:tcPr>
            <w:tcW w:w="1469" w:type="dxa"/>
            <w:vAlign w:val="center"/>
          </w:tcPr>
          <w:p w14:paraId="76A65147">
            <w:pPr>
              <w:adjustRightInd w:val="0"/>
              <w:snapToGrid w:val="0"/>
              <w:spacing w:line="300" w:lineRule="auto"/>
              <w:jc w:val="center"/>
              <w:outlineLvl w:val="0"/>
              <w:rPr>
                <w:rFonts w:ascii="宋体" w:hAnsi="宋体"/>
              </w:rPr>
            </w:pPr>
          </w:p>
        </w:tc>
      </w:tr>
      <w:tr w14:paraId="43EC649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90" w:hRule="atLeast"/>
        </w:trPr>
        <w:tc>
          <w:tcPr>
            <w:tcW w:w="841" w:type="dxa"/>
            <w:vAlign w:val="center"/>
          </w:tcPr>
          <w:p w14:paraId="1030DDCB">
            <w:pPr>
              <w:adjustRightInd w:val="0"/>
              <w:snapToGrid w:val="0"/>
              <w:spacing w:line="300" w:lineRule="auto"/>
              <w:jc w:val="center"/>
              <w:outlineLvl w:val="0"/>
              <w:rPr>
                <w:rFonts w:ascii="宋体" w:hAnsi="宋体"/>
              </w:rPr>
            </w:pPr>
            <w:bookmarkStart w:id="36" w:name="_Toc388450322"/>
            <w:bookmarkStart w:id="37" w:name="_Toc291581951"/>
            <w:bookmarkStart w:id="38" w:name="_Toc322959196"/>
            <w:r>
              <w:rPr>
                <w:rFonts w:hint="eastAsia" w:ascii="宋体" w:hAnsi="宋体"/>
              </w:rPr>
              <w:t>…</w:t>
            </w:r>
            <w:bookmarkEnd w:id="36"/>
            <w:bookmarkEnd w:id="37"/>
            <w:bookmarkEnd w:id="38"/>
          </w:p>
        </w:tc>
        <w:tc>
          <w:tcPr>
            <w:tcW w:w="2843" w:type="dxa"/>
            <w:vAlign w:val="center"/>
          </w:tcPr>
          <w:p w14:paraId="5C439AE0">
            <w:pPr>
              <w:adjustRightInd w:val="0"/>
              <w:snapToGrid w:val="0"/>
              <w:spacing w:line="300" w:lineRule="auto"/>
              <w:jc w:val="center"/>
              <w:outlineLvl w:val="0"/>
              <w:rPr>
                <w:rFonts w:ascii="宋体" w:hAnsi="宋体"/>
              </w:rPr>
            </w:pPr>
          </w:p>
        </w:tc>
        <w:tc>
          <w:tcPr>
            <w:tcW w:w="3178" w:type="dxa"/>
            <w:vAlign w:val="center"/>
          </w:tcPr>
          <w:p w14:paraId="7C4E584D">
            <w:pPr>
              <w:adjustRightInd w:val="0"/>
              <w:snapToGrid w:val="0"/>
              <w:spacing w:line="300" w:lineRule="auto"/>
              <w:jc w:val="center"/>
              <w:outlineLvl w:val="0"/>
              <w:rPr>
                <w:rFonts w:ascii="宋体" w:hAnsi="宋体"/>
              </w:rPr>
            </w:pPr>
          </w:p>
        </w:tc>
        <w:tc>
          <w:tcPr>
            <w:tcW w:w="1580" w:type="dxa"/>
            <w:tcBorders>
              <w:right w:val="single" w:color="auto" w:sz="4" w:space="0"/>
            </w:tcBorders>
            <w:vAlign w:val="center"/>
          </w:tcPr>
          <w:p w14:paraId="4CD4F7ED">
            <w:pPr>
              <w:adjustRightInd w:val="0"/>
              <w:snapToGrid w:val="0"/>
              <w:spacing w:line="300" w:lineRule="auto"/>
              <w:jc w:val="center"/>
              <w:outlineLvl w:val="0"/>
              <w:rPr>
                <w:rFonts w:ascii="宋体" w:hAnsi="宋体"/>
              </w:rPr>
            </w:pPr>
          </w:p>
        </w:tc>
        <w:tc>
          <w:tcPr>
            <w:tcW w:w="1469" w:type="dxa"/>
            <w:tcBorders>
              <w:left w:val="single" w:color="auto" w:sz="4" w:space="0"/>
            </w:tcBorders>
            <w:vAlign w:val="center"/>
          </w:tcPr>
          <w:p w14:paraId="34E9F13E">
            <w:pPr>
              <w:adjustRightInd w:val="0"/>
              <w:snapToGrid w:val="0"/>
              <w:spacing w:line="300" w:lineRule="auto"/>
              <w:jc w:val="center"/>
              <w:outlineLvl w:val="0"/>
              <w:rPr>
                <w:rFonts w:ascii="宋体" w:hAnsi="宋体"/>
              </w:rPr>
            </w:pPr>
          </w:p>
        </w:tc>
      </w:tr>
    </w:tbl>
    <w:p w14:paraId="51D0DCB0">
      <w:pPr>
        <w:spacing w:line="500" w:lineRule="exact"/>
        <w:ind w:firstLine="739" w:firstLineChars="352"/>
        <w:rPr>
          <w:rFonts w:ascii="宋体" w:hAnsi="宋体" w:cs="Courier New"/>
        </w:rPr>
      </w:pPr>
      <w:r>
        <w:rPr>
          <w:rFonts w:hint="eastAsia" w:ascii="宋体" w:hAnsi="宋体" w:cs="Courier New"/>
        </w:rPr>
        <w:t>说明：应对</w:t>
      </w:r>
      <w:bookmarkStart w:id="39" w:name="_Hlk41521256"/>
      <w:r>
        <w:rPr>
          <w:rFonts w:hint="eastAsia" w:ascii="宋体" w:hAnsi="宋体" w:cs="Courier New"/>
        </w:rPr>
        <w:t>照采购文件</w:t>
      </w:r>
      <w:bookmarkEnd w:id="39"/>
      <w:r>
        <w:rPr>
          <w:rFonts w:hint="eastAsia" w:ascii="宋体" w:hAnsi="宋体" w:cs="Courier New"/>
        </w:rPr>
        <w:t>“采购货物技术要求”，逐条说明所提供货物和服务已对</w:t>
      </w:r>
      <w:bookmarkStart w:id="40" w:name="_Hlk41521095"/>
      <w:r>
        <w:rPr>
          <w:rFonts w:hint="eastAsia" w:ascii="宋体" w:hAnsi="宋体" w:cs="Courier New"/>
        </w:rPr>
        <w:t>采购文件的“采购货物技术要求”</w:t>
      </w:r>
      <w:bookmarkEnd w:id="40"/>
      <w:r>
        <w:rPr>
          <w:rFonts w:hint="eastAsia" w:ascii="宋体" w:hAnsi="宋体" w:cs="Courier New"/>
        </w:rPr>
        <w:t>做出了实质性的响应，并申明与“采购货物技术要求”条文的响应和偏离。</w:t>
      </w:r>
      <w:r>
        <w:rPr>
          <w:rFonts w:hint="eastAsia" w:hAnsi="宋体"/>
        </w:rPr>
        <w:t>若完全响应无偏离，则在“是否响应”栏中填写“完全响应无偏离”即可</w:t>
      </w:r>
    </w:p>
    <w:p w14:paraId="473FC576">
      <w:pPr>
        <w:spacing w:line="300" w:lineRule="auto"/>
        <w:rPr>
          <w:rFonts w:ascii="宋体" w:hAnsi="宋体" w:cs="Courier New"/>
        </w:rPr>
      </w:pPr>
    </w:p>
    <w:p w14:paraId="36506206">
      <w:pPr>
        <w:spacing w:line="360" w:lineRule="auto"/>
        <w:ind w:firstLine="3150" w:firstLineChars="1500"/>
        <w:rPr>
          <w:rFonts w:ascii="宋体" w:hAnsi="宋体" w:cs="Courier New"/>
          <w:u w:val="single"/>
        </w:rPr>
      </w:pPr>
      <w:r>
        <w:rPr>
          <w:rFonts w:hint="eastAsia" w:ascii="宋体" w:hAnsi="宋体" w:cs="Courier New"/>
        </w:rPr>
        <w:t>法定代表人或法定代表人授权代表（签字）:</w:t>
      </w:r>
      <w:r>
        <w:rPr>
          <w:rFonts w:hint="eastAsia" w:ascii="宋体" w:hAnsi="宋体" w:cs="Courier New"/>
          <w:u w:val="single"/>
        </w:rPr>
        <w:t xml:space="preserve">           </w:t>
      </w:r>
    </w:p>
    <w:p w14:paraId="13DB31ED">
      <w:pPr>
        <w:spacing w:line="360" w:lineRule="auto"/>
        <w:ind w:firstLine="3150" w:firstLineChars="1500"/>
        <w:rPr>
          <w:rFonts w:ascii="宋体" w:hAnsi="宋体" w:cs="Courier New"/>
          <w:u w:val="single"/>
        </w:rPr>
      </w:pPr>
      <w:r>
        <w:rPr>
          <w:rFonts w:hint="eastAsia" w:ascii="宋体" w:hAnsi="宋体" w:cs="Courier New"/>
        </w:rPr>
        <w:t>供应商名称（签章）：</w:t>
      </w:r>
      <w:r>
        <w:rPr>
          <w:rFonts w:hint="eastAsia" w:ascii="宋体" w:hAnsi="宋体" w:cs="Courier New"/>
          <w:u w:val="single"/>
        </w:rPr>
        <w:t xml:space="preserve">                              </w:t>
      </w:r>
    </w:p>
    <w:p w14:paraId="6291FCA4">
      <w:pPr>
        <w:spacing w:line="360" w:lineRule="auto"/>
        <w:ind w:firstLine="3150" w:firstLineChars="1500"/>
        <w:rPr>
          <w:rFonts w:ascii="宋体" w:hAnsi="宋体"/>
          <w:szCs w:val="24"/>
        </w:rPr>
      </w:pPr>
      <w:r>
        <w:rPr>
          <w:rFonts w:hint="eastAsia" w:ascii="宋体" w:hAnsi="宋体"/>
          <w:szCs w:val="24"/>
        </w:rPr>
        <w:t>日期：</w:t>
      </w:r>
      <w:r>
        <w:rPr>
          <w:rFonts w:ascii="宋体" w:hAnsi="宋体"/>
          <w:szCs w:val="24"/>
          <w:u w:val="single"/>
        </w:rPr>
        <w:t xml:space="preserve">     </w:t>
      </w:r>
      <w:r>
        <w:rPr>
          <w:rFonts w:hint="eastAsia" w:ascii="宋体" w:hAnsi="宋体"/>
          <w:szCs w:val="24"/>
        </w:rPr>
        <w:t>年</w:t>
      </w:r>
      <w:r>
        <w:rPr>
          <w:rFonts w:ascii="宋体" w:hAnsi="宋体"/>
          <w:szCs w:val="24"/>
          <w:u w:val="single"/>
        </w:rPr>
        <w:t xml:space="preserve">     </w:t>
      </w:r>
      <w:r>
        <w:rPr>
          <w:rFonts w:hint="eastAsia" w:ascii="宋体" w:hAnsi="宋体"/>
          <w:szCs w:val="24"/>
        </w:rPr>
        <w:t>月</w:t>
      </w:r>
      <w:r>
        <w:rPr>
          <w:rFonts w:ascii="宋体" w:hAnsi="宋体"/>
          <w:szCs w:val="24"/>
          <w:u w:val="single"/>
        </w:rPr>
        <w:t xml:space="preserve">    </w:t>
      </w:r>
      <w:r>
        <w:rPr>
          <w:rFonts w:hint="eastAsia" w:ascii="宋体" w:hAnsi="宋体"/>
          <w:szCs w:val="24"/>
        </w:rPr>
        <w:t>日</w:t>
      </w:r>
    </w:p>
    <w:p w14:paraId="25759F63">
      <w:pPr>
        <w:spacing w:line="300" w:lineRule="auto"/>
        <w:jc w:val="center"/>
        <w:rPr>
          <w:rFonts w:ascii="宋体" w:hAnsi="宋体"/>
          <w:b/>
          <w:sz w:val="28"/>
          <w:szCs w:val="28"/>
        </w:rPr>
      </w:pPr>
    </w:p>
    <w:p w14:paraId="3C6CF97A"/>
    <w:p w14:paraId="672C323A">
      <w:pPr>
        <w:spacing w:line="300" w:lineRule="auto"/>
        <w:jc w:val="center"/>
        <w:rPr>
          <w:rFonts w:ascii="宋体" w:hAnsi="宋体"/>
          <w:b/>
          <w:sz w:val="28"/>
          <w:szCs w:val="28"/>
        </w:rPr>
      </w:pPr>
    </w:p>
    <w:p w14:paraId="6D7E3CF4">
      <w:pPr>
        <w:spacing w:line="300" w:lineRule="auto"/>
        <w:jc w:val="center"/>
        <w:rPr>
          <w:rFonts w:ascii="宋体" w:hAnsi="宋体"/>
          <w:b/>
          <w:sz w:val="28"/>
          <w:szCs w:val="28"/>
        </w:rPr>
      </w:pPr>
    </w:p>
    <w:p w14:paraId="5C3BB452">
      <w:pPr>
        <w:spacing w:line="300" w:lineRule="auto"/>
        <w:jc w:val="center"/>
        <w:rPr>
          <w:rFonts w:ascii="宋体" w:hAnsi="宋体"/>
          <w:b/>
          <w:sz w:val="28"/>
          <w:szCs w:val="28"/>
        </w:rPr>
      </w:pPr>
    </w:p>
    <w:p w14:paraId="41D5F6F6">
      <w:pPr>
        <w:spacing w:line="300" w:lineRule="auto"/>
        <w:jc w:val="center"/>
        <w:rPr>
          <w:rFonts w:ascii="宋体" w:hAnsi="宋体"/>
          <w:b/>
          <w:sz w:val="28"/>
          <w:szCs w:val="28"/>
        </w:rPr>
      </w:pPr>
    </w:p>
    <w:p w14:paraId="45BB9E41">
      <w:pPr>
        <w:spacing w:line="300" w:lineRule="auto"/>
        <w:jc w:val="center"/>
        <w:rPr>
          <w:rFonts w:ascii="宋体" w:hAnsi="宋体"/>
          <w:b/>
          <w:sz w:val="28"/>
          <w:szCs w:val="28"/>
        </w:rPr>
      </w:pPr>
    </w:p>
    <w:p w14:paraId="1210146F">
      <w:pPr>
        <w:spacing w:line="300" w:lineRule="auto"/>
        <w:jc w:val="center"/>
        <w:rPr>
          <w:rFonts w:ascii="宋体" w:hAnsi="宋体"/>
          <w:b/>
          <w:sz w:val="28"/>
          <w:szCs w:val="28"/>
        </w:rPr>
      </w:pPr>
    </w:p>
    <w:p w14:paraId="09C7ACDF">
      <w:pPr>
        <w:pStyle w:val="4"/>
      </w:pPr>
    </w:p>
    <w:p w14:paraId="355DB506">
      <w:pPr>
        <w:spacing w:line="300" w:lineRule="auto"/>
        <w:jc w:val="center"/>
        <w:rPr>
          <w:rFonts w:ascii="宋体" w:hAnsi="宋体"/>
          <w:b/>
          <w:sz w:val="28"/>
          <w:szCs w:val="28"/>
        </w:rPr>
      </w:pPr>
    </w:p>
    <w:p w14:paraId="4CB52F19">
      <w:pPr>
        <w:spacing w:line="300" w:lineRule="auto"/>
        <w:jc w:val="center"/>
        <w:rPr>
          <w:rFonts w:ascii="宋体" w:hAnsi="宋体"/>
          <w:b/>
          <w:sz w:val="28"/>
          <w:szCs w:val="28"/>
        </w:rPr>
      </w:pPr>
      <w:r>
        <w:rPr>
          <w:rFonts w:hint="eastAsia" w:ascii="宋体" w:hAnsi="宋体"/>
          <w:bCs/>
          <w:sz w:val="28"/>
          <w:szCs w:val="28"/>
        </w:rPr>
        <w:t>★</w:t>
      </w:r>
      <w:r>
        <w:rPr>
          <w:rFonts w:hint="eastAsia" w:ascii="宋体" w:hAnsi="宋体"/>
          <w:b/>
          <w:sz w:val="28"/>
          <w:szCs w:val="28"/>
        </w:rPr>
        <w:t>2、商务响应表</w:t>
      </w:r>
    </w:p>
    <w:p w14:paraId="6757A0C9">
      <w:pPr>
        <w:spacing w:line="300" w:lineRule="auto"/>
        <w:rPr>
          <w:rFonts w:ascii="宋体" w:hAnsi="宋体"/>
          <w:u w:val="single"/>
        </w:rPr>
      </w:pPr>
      <w:r>
        <w:rPr>
          <w:rFonts w:hint="eastAsia" w:ascii="宋体" w:hAnsi="宋体"/>
        </w:rPr>
        <w:t>采购项目编号：</w:t>
      </w:r>
      <w:r>
        <w:rPr>
          <w:rFonts w:hint="eastAsia" w:ascii="宋体" w:hAnsi="宋体"/>
          <w:u w:val="single"/>
        </w:rPr>
        <w:t xml:space="preserve">                 </w:t>
      </w:r>
    </w:p>
    <w:p w14:paraId="0314ED8C">
      <w:pPr>
        <w:spacing w:line="300" w:lineRule="auto"/>
        <w:rPr>
          <w:rFonts w:ascii="宋体" w:hAnsi="宋体"/>
          <w:u w:val="single"/>
        </w:rPr>
      </w:pPr>
      <w:r>
        <w:rPr>
          <w:rFonts w:hint="eastAsia" w:ascii="宋体" w:hAnsi="宋体"/>
        </w:rPr>
        <w:t>采购项目名称：</w:t>
      </w:r>
      <w:r>
        <w:rPr>
          <w:rFonts w:hint="eastAsia" w:ascii="宋体" w:hAnsi="宋体"/>
          <w:u w:val="single"/>
        </w:rPr>
        <w:t xml:space="preserve">                 </w:t>
      </w:r>
    </w:p>
    <w:p w14:paraId="755CACF0">
      <w:pPr>
        <w:spacing w:line="300" w:lineRule="auto"/>
        <w:rPr>
          <w:rFonts w:ascii="宋体" w:hAnsi="宋体"/>
        </w:rPr>
      </w:pPr>
    </w:p>
    <w:tbl>
      <w:tblPr>
        <w:tblStyle w:val="12"/>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093"/>
        <w:gridCol w:w="2977"/>
        <w:gridCol w:w="1417"/>
        <w:gridCol w:w="2324"/>
      </w:tblGrid>
      <w:tr w14:paraId="4BB146D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88" w:hRule="atLeast"/>
        </w:trPr>
        <w:tc>
          <w:tcPr>
            <w:tcW w:w="2093" w:type="dxa"/>
            <w:tcBorders>
              <w:top w:val="single" w:color="auto" w:sz="4" w:space="0"/>
              <w:left w:val="single" w:color="auto" w:sz="4" w:space="0"/>
              <w:bottom w:val="single" w:color="auto" w:sz="4" w:space="0"/>
              <w:right w:val="single" w:color="auto" w:sz="4" w:space="0"/>
            </w:tcBorders>
            <w:vAlign w:val="center"/>
          </w:tcPr>
          <w:p w14:paraId="6ABBDF2A">
            <w:pPr>
              <w:snapToGrid w:val="0"/>
              <w:spacing w:before="156" w:beforeLines="50"/>
              <w:jc w:val="center"/>
              <w:rPr>
                <w:rFonts w:ascii="宋体" w:hAnsi="宋体"/>
                <w:b/>
              </w:rPr>
            </w:pPr>
            <w:r>
              <w:rPr>
                <w:rFonts w:hint="eastAsia" w:ascii="宋体" w:hAnsi="宋体"/>
                <w:b/>
              </w:rPr>
              <w:t>项目</w:t>
            </w:r>
          </w:p>
        </w:tc>
        <w:tc>
          <w:tcPr>
            <w:tcW w:w="2977" w:type="dxa"/>
            <w:tcBorders>
              <w:top w:val="single" w:color="auto" w:sz="4" w:space="0"/>
              <w:left w:val="single" w:color="auto" w:sz="4" w:space="0"/>
              <w:bottom w:val="single" w:color="auto" w:sz="4" w:space="0"/>
              <w:right w:val="single" w:color="auto" w:sz="4" w:space="0"/>
            </w:tcBorders>
            <w:vAlign w:val="center"/>
          </w:tcPr>
          <w:p w14:paraId="7F679A24">
            <w:pPr>
              <w:snapToGrid w:val="0"/>
              <w:spacing w:before="156" w:beforeLines="50"/>
              <w:jc w:val="center"/>
              <w:rPr>
                <w:rFonts w:ascii="宋体" w:hAnsi="宋体"/>
                <w:b/>
              </w:rPr>
            </w:pPr>
            <w:r>
              <w:rPr>
                <w:rFonts w:hint="eastAsia" w:ascii="宋体" w:hAnsi="宋体"/>
                <w:b/>
              </w:rPr>
              <w:t>采购文件要求</w:t>
            </w:r>
          </w:p>
        </w:tc>
        <w:tc>
          <w:tcPr>
            <w:tcW w:w="1417" w:type="dxa"/>
            <w:tcBorders>
              <w:top w:val="single" w:color="auto" w:sz="4" w:space="0"/>
              <w:left w:val="single" w:color="auto" w:sz="4" w:space="0"/>
              <w:bottom w:val="single" w:color="auto" w:sz="4" w:space="0"/>
              <w:right w:val="single" w:color="auto" w:sz="4" w:space="0"/>
            </w:tcBorders>
            <w:vAlign w:val="center"/>
          </w:tcPr>
          <w:p w14:paraId="35B4B67F">
            <w:pPr>
              <w:snapToGrid w:val="0"/>
              <w:spacing w:before="156" w:beforeLines="50"/>
              <w:jc w:val="center"/>
              <w:rPr>
                <w:rFonts w:ascii="宋体" w:hAnsi="宋体"/>
                <w:b/>
              </w:rPr>
            </w:pPr>
            <w:r>
              <w:rPr>
                <w:rFonts w:hint="eastAsia" w:ascii="宋体" w:hAnsi="宋体"/>
                <w:b/>
              </w:rPr>
              <w:t>是否响应</w:t>
            </w:r>
          </w:p>
        </w:tc>
        <w:tc>
          <w:tcPr>
            <w:tcW w:w="2324" w:type="dxa"/>
            <w:tcBorders>
              <w:top w:val="single" w:color="auto" w:sz="4" w:space="0"/>
              <w:left w:val="single" w:color="auto" w:sz="4" w:space="0"/>
              <w:bottom w:val="single" w:color="auto" w:sz="4" w:space="0"/>
              <w:right w:val="single" w:color="auto" w:sz="4" w:space="0"/>
            </w:tcBorders>
            <w:vAlign w:val="center"/>
          </w:tcPr>
          <w:p w14:paraId="16B44F83">
            <w:pPr>
              <w:snapToGrid w:val="0"/>
              <w:spacing w:before="156" w:beforeLines="50"/>
              <w:jc w:val="center"/>
              <w:rPr>
                <w:rFonts w:ascii="宋体" w:hAnsi="宋体"/>
                <w:b/>
              </w:rPr>
            </w:pPr>
            <w:r>
              <w:rPr>
                <w:rFonts w:hint="eastAsia" w:ascii="宋体" w:hAnsi="宋体"/>
                <w:b/>
              </w:rPr>
              <w:t>报价人的承诺或说明</w:t>
            </w:r>
          </w:p>
        </w:tc>
      </w:tr>
      <w:tr w14:paraId="5ADE2F2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2093" w:type="dxa"/>
            <w:tcBorders>
              <w:top w:val="single" w:color="auto" w:sz="4" w:space="0"/>
              <w:left w:val="single" w:color="auto" w:sz="4" w:space="0"/>
              <w:bottom w:val="single" w:color="auto" w:sz="4" w:space="0"/>
              <w:right w:val="single" w:color="auto" w:sz="4" w:space="0"/>
            </w:tcBorders>
            <w:vAlign w:val="center"/>
          </w:tcPr>
          <w:p w14:paraId="5616CBF7">
            <w:pPr>
              <w:spacing w:line="340" w:lineRule="exact"/>
              <w:rPr>
                <w:sz w:val="20"/>
                <w:szCs w:val="20"/>
              </w:rPr>
            </w:pPr>
          </w:p>
        </w:tc>
        <w:tc>
          <w:tcPr>
            <w:tcW w:w="2977" w:type="dxa"/>
            <w:tcBorders>
              <w:top w:val="single" w:color="auto" w:sz="4" w:space="0"/>
              <w:left w:val="single" w:color="auto" w:sz="4" w:space="0"/>
              <w:bottom w:val="single" w:color="auto" w:sz="4" w:space="0"/>
              <w:right w:val="single" w:color="auto" w:sz="4" w:space="0"/>
            </w:tcBorders>
            <w:vAlign w:val="center"/>
          </w:tcPr>
          <w:p w14:paraId="5761E345">
            <w:pPr>
              <w:snapToGrid w:val="0"/>
              <w:spacing w:before="156" w:beforeLines="50"/>
              <w:jc w:val="center"/>
              <w:rPr>
                <w:rFonts w:ascii="宋体" w:hAnsi="宋体"/>
              </w:rPr>
            </w:pPr>
          </w:p>
        </w:tc>
        <w:tc>
          <w:tcPr>
            <w:tcW w:w="1417" w:type="dxa"/>
            <w:tcBorders>
              <w:top w:val="single" w:color="auto" w:sz="4" w:space="0"/>
              <w:left w:val="single" w:color="auto" w:sz="4" w:space="0"/>
              <w:bottom w:val="single" w:color="auto" w:sz="4" w:space="0"/>
              <w:right w:val="single" w:color="auto" w:sz="4" w:space="0"/>
            </w:tcBorders>
            <w:vAlign w:val="center"/>
          </w:tcPr>
          <w:p w14:paraId="711A0050">
            <w:pPr>
              <w:snapToGrid w:val="0"/>
              <w:spacing w:before="156" w:beforeLines="50"/>
              <w:jc w:val="center"/>
              <w:rPr>
                <w:rFonts w:ascii="宋体" w:hAnsi="宋体"/>
              </w:rPr>
            </w:pPr>
          </w:p>
        </w:tc>
        <w:tc>
          <w:tcPr>
            <w:tcW w:w="2324" w:type="dxa"/>
            <w:tcBorders>
              <w:top w:val="single" w:color="auto" w:sz="4" w:space="0"/>
              <w:left w:val="single" w:color="auto" w:sz="4" w:space="0"/>
              <w:bottom w:val="single" w:color="auto" w:sz="4" w:space="0"/>
              <w:right w:val="single" w:color="auto" w:sz="4" w:space="0"/>
            </w:tcBorders>
            <w:vAlign w:val="center"/>
          </w:tcPr>
          <w:p w14:paraId="7E3E22BE">
            <w:pPr>
              <w:snapToGrid w:val="0"/>
              <w:spacing w:before="156" w:beforeLines="50"/>
              <w:jc w:val="center"/>
              <w:rPr>
                <w:rFonts w:ascii="宋体" w:hAnsi="宋体"/>
              </w:rPr>
            </w:pPr>
          </w:p>
        </w:tc>
      </w:tr>
      <w:tr w14:paraId="57BACBF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2093" w:type="dxa"/>
            <w:tcBorders>
              <w:top w:val="single" w:color="auto" w:sz="4" w:space="0"/>
              <w:left w:val="single" w:color="auto" w:sz="4" w:space="0"/>
              <w:bottom w:val="single" w:color="auto" w:sz="4" w:space="0"/>
              <w:right w:val="single" w:color="auto" w:sz="4" w:space="0"/>
            </w:tcBorders>
            <w:vAlign w:val="center"/>
          </w:tcPr>
          <w:p w14:paraId="374B2B9F">
            <w:pPr>
              <w:spacing w:line="340" w:lineRule="exact"/>
              <w:rPr>
                <w:rFonts w:ascii="宋体" w:hAnsi="宋体" w:cs="宋体"/>
              </w:rPr>
            </w:pPr>
          </w:p>
        </w:tc>
        <w:tc>
          <w:tcPr>
            <w:tcW w:w="2977" w:type="dxa"/>
            <w:tcBorders>
              <w:top w:val="single" w:color="auto" w:sz="4" w:space="0"/>
              <w:left w:val="single" w:color="auto" w:sz="4" w:space="0"/>
              <w:bottom w:val="single" w:color="auto" w:sz="4" w:space="0"/>
              <w:right w:val="single" w:color="auto" w:sz="4" w:space="0"/>
            </w:tcBorders>
            <w:vAlign w:val="center"/>
          </w:tcPr>
          <w:p w14:paraId="03E0B3AF">
            <w:pPr>
              <w:snapToGrid w:val="0"/>
              <w:spacing w:before="156" w:beforeLines="50"/>
              <w:jc w:val="center"/>
              <w:rPr>
                <w:rFonts w:ascii="宋体" w:hAnsi="宋体"/>
              </w:rPr>
            </w:pPr>
          </w:p>
        </w:tc>
        <w:tc>
          <w:tcPr>
            <w:tcW w:w="1417" w:type="dxa"/>
            <w:tcBorders>
              <w:top w:val="single" w:color="auto" w:sz="4" w:space="0"/>
              <w:left w:val="single" w:color="auto" w:sz="4" w:space="0"/>
              <w:bottom w:val="single" w:color="auto" w:sz="4" w:space="0"/>
              <w:right w:val="single" w:color="auto" w:sz="4" w:space="0"/>
            </w:tcBorders>
            <w:vAlign w:val="center"/>
          </w:tcPr>
          <w:p w14:paraId="2D009B04">
            <w:pPr>
              <w:snapToGrid w:val="0"/>
              <w:spacing w:before="156" w:beforeLines="50"/>
              <w:jc w:val="center"/>
              <w:rPr>
                <w:rFonts w:ascii="宋体" w:hAnsi="宋体"/>
              </w:rPr>
            </w:pPr>
          </w:p>
        </w:tc>
        <w:tc>
          <w:tcPr>
            <w:tcW w:w="2324" w:type="dxa"/>
            <w:tcBorders>
              <w:top w:val="single" w:color="auto" w:sz="4" w:space="0"/>
              <w:left w:val="single" w:color="auto" w:sz="4" w:space="0"/>
              <w:bottom w:val="single" w:color="auto" w:sz="4" w:space="0"/>
              <w:right w:val="single" w:color="auto" w:sz="4" w:space="0"/>
            </w:tcBorders>
            <w:vAlign w:val="center"/>
          </w:tcPr>
          <w:p w14:paraId="39FB4564">
            <w:pPr>
              <w:snapToGrid w:val="0"/>
              <w:spacing w:before="156" w:beforeLines="50"/>
              <w:jc w:val="center"/>
              <w:rPr>
                <w:rFonts w:ascii="宋体" w:hAnsi="宋体"/>
              </w:rPr>
            </w:pPr>
          </w:p>
        </w:tc>
      </w:tr>
      <w:tr w14:paraId="5D9D058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2093" w:type="dxa"/>
            <w:tcBorders>
              <w:top w:val="single" w:color="auto" w:sz="4" w:space="0"/>
              <w:left w:val="single" w:color="auto" w:sz="4" w:space="0"/>
              <w:bottom w:val="single" w:color="auto" w:sz="4" w:space="0"/>
              <w:right w:val="single" w:color="auto" w:sz="4" w:space="0"/>
            </w:tcBorders>
            <w:vAlign w:val="center"/>
          </w:tcPr>
          <w:p w14:paraId="7EA1E69B">
            <w:pPr>
              <w:spacing w:line="340" w:lineRule="exact"/>
              <w:rPr>
                <w:rFonts w:ascii="宋体" w:hAnsi="宋体" w:cs="宋体"/>
              </w:rPr>
            </w:pPr>
          </w:p>
        </w:tc>
        <w:tc>
          <w:tcPr>
            <w:tcW w:w="2977" w:type="dxa"/>
            <w:tcBorders>
              <w:top w:val="single" w:color="auto" w:sz="4" w:space="0"/>
              <w:left w:val="single" w:color="auto" w:sz="4" w:space="0"/>
              <w:bottom w:val="single" w:color="auto" w:sz="4" w:space="0"/>
              <w:right w:val="single" w:color="auto" w:sz="4" w:space="0"/>
            </w:tcBorders>
            <w:vAlign w:val="center"/>
          </w:tcPr>
          <w:p w14:paraId="45531C67">
            <w:pPr>
              <w:snapToGrid w:val="0"/>
              <w:spacing w:before="156" w:beforeLines="50"/>
              <w:jc w:val="center"/>
              <w:rPr>
                <w:rFonts w:ascii="宋体" w:hAnsi="宋体"/>
              </w:rPr>
            </w:pPr>
          </w:p>
        </w:tc>
        <w:tc>
          <w:tcPr>
            <w:tcW w:w="1417" w:type="dxa"/>
            <w:tcBorders>
              <w:top w:val="single" w:color="auto" w:sz="4" w:space="0"/>
              <w:left w:val="single" w:color="auto" w:sz="4" w:space="0"/>
              <w:bottom w:val="single" w:color="auto" w:sz="4" w:space="0"/>
              <w:right w:val="single" w:color="auto" w:sz="4" w:space="0"/>
            </w:tcBorders>
            <w:vAlign w:val="center"/>
          </w:tcPr>
          <w:p w14:paraId="31D2CAB3">
            <w:pPr>
              <w:snapToGrid w:val="0"/>
              <w:spacing w:before="156" w:beforeLines="50"/>
              <w:jc w:val="center"/>
              <w:rPr>
                <w:rFonts w:ascii="宋体" w:hAnsi="宋体"/>
              </w:rPr>
            </w:pPr>
          </w:p>
        </w:tc>
        <w:tc>
          <w:tcPr>
            <w:tcW w:w="2324" w:type="dxa"/>
            <w:tcBorders>
              <w:top w:val="single" w:color="auto" w:sz="4" w:space="0"/>
              <w:left w:val="single" w:color="auto" w:sz="4" w:space="0"/>
              <w:bottom w:val="single" w:color="auto" w:sz="4" w:space="0"/>
              <w:right w:val="single" w:color="auto" w:sz="4" w:space="0"/>
            </w:tcBorders>
            <w:vAlign w:val="center"/>
          </w:tcPr>
          <w:p w14:paraId="3EDBED5A">
            <w:pPr>
              <w:snapToGrid w:val="0"/>
              <w:spacing w:before="156" w:beforeLines="50"/>
              <w:jc w:val="center"/>
              <w:rPr>
                <w:rFonts w:ascii="宋体" w:hAnsi="宋体"/>
              </w:rPr>
            </w:pPr>
          </w:p>
        </w:tc>
      </w:tr>
      <w:tr w14:paraId="1DF3716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093" w:type="dxa"/>
            <w:tcBorders>
              <w:top w:val="single" w:color="auto" w:sz="4" w:space="0"/>
              <w:left w:val="single" w:color="auto" w:sz="4" w:space="0"/>
              <w:bottom w:val="single" w:color="auto" w:sz="4" w:space="0"/>
              <w:right w:val="single" w:color="auto" w:sz="4" w:space="0"/>
            </w:tcBorders>
            <w:vAlign w:val="center"/>
          </w:tcPr>
          <w:p w14:paraId="1FEC1999">
            <w:pPr>
              <w:snapToGrid w:val="0"/>
              <w:spacing w:before="156" w:beforeLines="50"/>
              <w:jc w:val="center"/>
              <w:rPr>
                <w:rFonts w:ascii="宋体" w:hAnsi="宋体"/>
              </w:rPr>
            </w:pPr>
            <w:r>
              <w:rPr>
                <w:rFonts w:hint="eastAsia" w:ascii="宋体" w:hAnsi="宋体"/>
              </w:rPr>
              <w:t>…</w:t>
            </w:r>
          </w:p>
        </w:tc>
        <w:tc>
          <w:tcPr>
            <w:tcW w:w="2977" w:type="dxa"/>
            <w:tcBorders>
              <w:top w:val="single" w:color="auto" w:sz="4" w:space="0"/>
              <w:left w:val="single" w:color="auto" w:sz="4" w:space="0"/>
              <w:bottom w:val="single" w:color="auto" w:sz="4" w:space="0"/>
              <w:right w:val="single" w:color="auto" w:sz="4" w:space="0"/>
            </w:tcBorders>
            <w:vAlign w:val="center"/>
          </w:tcPr>
          <w:p w14:paraId="00FDBD9F">
            <w:pPr>
              <w:snapToGrid w:val="0"/>
              <w:spacing w:before="156" w:beforeLines="50"/>
              <w:jc w:val="center"/>
              <w:rPr>
                <w:rFonts w:ascii="宋体" w:hAnsi="宋体"/>
              </w:rPr>
            </w:pPr>
          </w:p>
        </w:tc>
        <w:tc>
          <w:tcPr>
            <w:tcW w:w="1417" w:type="dxa"/>
            <w:tcBorders>
              <w:top w:val="single" w:color="auto" w:sz="4" w:space="0"/>
              <w:left w:val="single" w:color="auto" w:sz="4" w:space="0"/>
              <w:bottom w:val="single" w:color="auto" w:sz="4" w:space="0"/>
              <w:right w:val="single" w:color="auto" w:sz="4" w:space="0"/>
            </w:tcBorders>
            <w:vAlign w:val="center"/>
          </w:tcPr>
          <w:p w14:paraId="311A788D">
            <w:pPr>
              <w:snapToGrid w:val="0"/>
              <w:spacing w:before="156" w:beforeLines="50"/>
              <w:jc w:val="center"/>
              <w:rPr>
                <w:rFonts w:ascii="宋体" w:hAnsi="宋体"/>
              </w:rPr>
            </w:pPr>
          </w:p>
        </w:tc>
        <w:tc>
          <w:tcPr>
            <w:tcW w:w="2324" w:type="dxa"/>
            <w:tcBorders>
              <w:top w:val="single" w:color="auto" w:sz="4" w:space="0"/>
              <w:left w:val="single" w:color="auto" w:sz="4" w:space="0"/>
              <w:bottom w:val="single" w:color="auto" w:sz="4" w:space="0"/>
              <w:right w:val="single" w:color="auto" w:sz="4" w:space="0"/>
            </w:tcBorders>
            <w:vAlign w:val="center"/>
          </w:tcPr>
          <w:p w14:paraId="28198D57">
            <w:pPr>
              <w:snapToGrid w:val="0"/>
              <w:spacing w:before="156" w:beforeLines="50"/>
              <w:jc w:val="center"/>
              <w:rPr>
                <w:rFonts w:ascii="宋体" w:hAnsi="宋体"/>
              </w:rPr>
            </w:pPr>
          </w:p>
        </w:tc>
      </w:tr>
    </w:tbl>
    <w:p w14:paraId="51B2BFC3">
      <w:pPr>
        <w:snapToGrid w:val="0"/>
        <w:spacing w:before="50" w:after="50"/>
        <w:rPr>
          <w:rFonts w:hAnsi="宋体"/>
        </w:rPr>
      </w:pPr>
    </w:p>
    <w:p w14:paraId="2872AA79">
      <w:pPr>
        <w:snapToGrid w:val="0"/>
        <w:spacing w:before="50" w:after="50"/>
        <w:rPr>
          <w:rFonts w:ascii="宋体" w:hAnsi="宋体"/>
          <w:spacing w:val="20"/>
        </w:rPr>
      </w:pPr>
      <w:r>
        <w:rPr>
          <w:rFonts w:hint="eastAsia" w:hAnsi="宋体"/>
        </w:rPr>
        <w:t>说明：应对照照政府采购电子卖场在线询价采购文件“商务要求”逐条说明已对采购文件的要求做出了实质性的响应，并申明与商务要求的响应和偏离。若完全响应无偏离，则在“是否响应”栏中填写“完全响应无偏离”即可。</w:t>
      </w:r>
    </w:p>
    <w:p w14:paraId="522EB843">
      <w:pPr>
        <w:snapToGrid w:val="0"/>
        <w:spacing w:before="50" w:after="50"/>
        <w:rPr>
          <w:rFonts w:ascii="宋体" w:hAnsi="宋体"/>
          <w:spacing w:val="20"/>
        </w:rPr>
      </w:pPr>
    </w:p>
    <w:p w14:paraId="2C440CA6">
      <w:pPr>
        <w:spacing w:line="360" w:lineRule="auto"/>
        <w:jc w:val="center"/>
        <w:rPr>
          <w:rFonts w:ascii="宋体" w:hAnsi="宋体"/>
          <w:b/>
          <w:sz w:val="28"/>
          <w:szCs w:val="28"/>
        </w:rPr>
      </w:pPr>
      <w:r>
        <w:rPr>
          <w:rFonts w:hint="eastAsia" w:ascii="宋体" w:hAnsi="宋体"/>
        </w:rPr>
        <w:t>★</w:t>
      </w:r>
      <w:r>
        <w:rPr>
          <w:rFonts w:hint="eastAsia" w:ascii="宋体" w:hAnsi="宋体"/>
          <w:b/>
          <w:sz w:val="28"/>
          <w:szCs w:val="28"/>
        </w:rPr>
        <w:t>3、质量保证措施和售后服务承诺</w:t>
      </w:r>
    </w:p>
    <w:p w14:paraId="41EACD43">
      <w:pPr>
        <w:spacing w:line="360" w:lineRule="auto"/>
        <w:rPr>
          <w:rFonts w:ascii="宋体" w:hAnsi="宋体"/>
          <w:b/>
          <w:szCs w:val="24"/>
        </w:rPr>
      </w:pPr>
      <w:r>
        <w:rPr>
          <w:rFonts w:hint="eastAsia" w:ascii="宋体" w:hAnsi="宋体"/>
          <w:b/>
          <w:szCs w:val="24"/>
        </w:rPr>
        <w:t>质量保证措施和售后服务承诺格式自拟。</w:t>
      </w:r>
    </w:p>
    <w:p w14:paraId="54AE371F">
      <w:pPr>
        <w:spacing w:line="360" w:lineRule="auto"/>
        <w:jc w:val="center"/>
        <w:rPr>
          <w:rFonts w:ascii="宋体" w:hAnsi="宋体" w:cs="宋体"/>
        </w:rPr>
      </w:pPr>
      <w:r>
        <w:rPr>
          <w:rFonts w:hint="eastAsia" w:ascii="宋体" w:hAnsi="宋体"/>
          <w:bCs/>
          <w:sz w:val="28"/>
          <w:szCs w:val="28"/>
        </w:rPr>
        <w:t>★</w:t>
      </w:r>
      <w:r>
        <w:rPr>
          <w:rFonts w:hint="eastAsia" w:ascii="宋体" w:hAnsi="宋体"/>
          <w:b/>
          <w:sz w:val="28"/>
          <w:szCs w:val="28"/>
        </w:rPr>
        <w:t>4、项目实施方案</w:t>
      </w:r>
    </w:p>
    <w:p w14:paraId="31CE3EA0">
      <w:pPr>
        <w:spacing w:line="360" w:lineRule="auto"/>
        <w:rPr>
          <w:rFonts w:ascii="宋体" w:hAnsi="宋体"/>
          <w:b/>
          <w:szCs w:val="24"/>
        </w:rPr>
      </w:pPr>
      <w:r>
        <w:rPr>
          <w:rFonts w:hint="eastAsia" w:ascii="宋体" w:hAnsi="宋体" w:cs="宋体"/>
        </w:rPr>
        <w:t>格式自拟。方案内容应包含但不限于对项目的理解，设计、配送、实施、安装方案，项目实施进度，项目执行保障措施等。</w:t>
      </w:r>
    </w:p>
    <w:p w14:paraId="13A821F8">
      <w:pPr>
        <w:spacing w:line="360" w:lineRule="auto"/>
        <w:rPr>
          <w:rFonts w:hint="eastAsia" w:ascii="宋体" w:hAnsi="宋体"/>
          <w:b/>
          <w:szCs w:val="24"/>
        </w:rPr>
      </w:pPr>
    </w:p>
    <w:p w14:paraId="04292333">
      <w:pPr>
        <w:spacing w:line="360" w:lineRule="auto"/>
        <w:rPr>
          <w:rFonts w:hint="eastAsia" w:ascii="宋体" w:hAnsi="宋体"/>
          <w:b/>
          <w:szCs w:val="24"/>
        </w:rPr>
      </w:pPr>
    </w:p>
    <w:p w14:paraId="7A2EB1B2">
      <w:pPr>
        <w:spacing w:line="360" w:lineRule="auto"/>
        <w:rPr>
          <w:rFonts w:hint="eastAsia" w:ascii="宋体" w:hAnsi="宋体"/>
          <w:b/>
          <w:szCs w:val="24"/>
        </w:rPr>
      </w:pPr>
    </w:p>
    <w:p w14:paraId="13791B36">
      <w:pPr>
        <w:spacing w:line="360" w:lineRule="auto"/>
        <w:rPr>
          <w:rFonts w:ascii="宋体" w:hAnsi="宋体"/>
          <w:szCs w:val="24"/>
        </w:rPr>
      </w:pPr>
      <w:r>
        <w:rPr>
          <w:rFonts w:hint="eastAsia" w:ascii="宋体" w:hAnsi="宋体"/>
          <w:b/>
          <w:szCs w:val="24"/>
        </w:rPr>
        <w:t>（三）供应商认为需要提供的有关资料</w:t>
      </w:r>
      <w:r>
        <w:rPr>
          <w:rFonts w:hint="eastAsia" w:ascii="宋体" w:hAnsi="宋体"/>
          <w:szCs w:val="24"/>
        </w:rPr>
        <w:t>。</w:t>
      </w:r>
    </w:p>
    <w:p w14:paraId="54645EDC">
      <w:pPr>
        <w:spacing w:line="360" w:lineRule="auto"/>
        <w:rPr>
          <w:rFonts w:ascii="宋体" w:hAnsi="宋体"/>
          <w:b/>
          <w:szCs w:val="24"/>
        </w:rPr>
      </w:pPr>
    </w:p>
    <w:p w14:paraId="15058A8C">
      <w:pPr>
        <w:spacing w:line="360" w:lineRule="auto"/>
        <w:rPr>
          <w:rFonts w:ascii="宋体" w:hAnsi="宋体"/>
          <w:b/>
          <w:szCs w:val="24"/>
        </w:rPr>
      </w:pPr>
    </w:p>
    <w:p w14:paraId="63686F7B">
      <w:pPr>
        <w:spacing w:line="360" w:lineRule="auto"/>
        <w:rPr>
          <w:rFonts w:ascii="宋体" w:hAnsi="宋体"/>
          <w:b/>
          <w:szCs w:val="24"/>
        </w:rPr>
      </w:pPr>
    </w:p>
    <w:p w14:paraId="07340B11">
      <w:pPr>
        <w:spacing w:line="360" w:lineRule="auto"/>
        <w:rPr>
          <w:rFonts w:ascii="宋体" w:hAnsi="宋体"/>
          <w:b/>
          <w:szCs w:val="24"/>
        </w:rPr>
      </w:pPr>
    </w:p>
    <w:p w14:paraId="4B56BAC0">
      <w:pPr>
        <w:spacing w:line="360" w:lineRule="auto"/>
        <w:rPr>
          <w:rFonts w:ascii="宋体" w:hAnsi="宋体"/>
          <w:b/>
          <w:szCs w:val="24"/>
        </w:rPr>
      </w:pPr>
    </w:p>
    <w:p w14:paraId="4206FE6B">
      <w:pPr>
        <w:spacing w:line="360" w:lineRule="auto"/>
        <w:rPr>
          <w:rFonts w:ascii="宋体" w:hAnsi="宋体"/>
          <w:b/>
          <w:szCs w:val="24"/>
        </w:rPr>
      </w:pPr>
    </w:p>
    <w:p w14:paraId="70FEC878">
      <w:pPr>
        <w:spacing w:line="360" w:lineRule="auto"/>
        <w:rPr>
          <w:rFonts w:ascii="宋体" w:hAnsi="宋体"/>
          <w:b/>
          <w:szCs w:val="24"/>
        </w:rPr>
      </w:pPr>
    </w:p>
    <w:p w14:paraId="6A8B1D40">
      <w:pPr>
        <w:spacing w:line="360" w:lineRule="auto"/>
        <w:rPr>
          <w:rFonts w:ascii="宋体" w:hAnsi="宋体"/>
          <w:b/>
          <w:szCs w:val="24"/>
        </w:rPr>
      </w:pPr>
    </w:p>
    <w:p w14:paraId="7E9C6D75">
      <w:pPr>
        <w:spacing w:line="360" w:lineRule="auto"/>
        <w:rPr>
          <w:rFonts w:ascii="宋体" w:hAnsi="宋体"/>
          <w:b/>
          <w:szCs w:val="24"/>
        </w:rPr>
      </w:pPr>
    </w:p>
    <w:p w14:paraId="174B2A65">
      <w:pPr>
        <w:spacing w:line="360" w:lineRule="auto"/>
        <w:rPr>
          <w:rFonts w:ascii="宋体" w:hAnsi="宋体"/>
          <w:szCs w:val="24"/>
        </w:rPr>
      </w:pPr>
      <w:r>
        <w:rPr>
          <w:rFonts w:hint="eastAsia" w:ascii="宋体" w:hAnsi="宋体"/>
          <w:b/>
          <w:szCs w:val="24"/>
        </w:rPr>
        <w:t>（四）报价表</w:t>
      </w:r>
      <w:r>
        <w:rPr>
          <w:rFonts w:hint="eastAsia" w:ascii="宋体" w:hAnsi="宋体"/>
          <w:szCs w:val="24"/>
        </w:rPr>
        <w:t>。</w:t>
      </w:r>
    </w:p>
    <w:p w14:paraId="6AFBF47C">
      <w:pPr>
        <w:spacing w:line="500" w:lineRule="exact"/>
        <w:jc w:val="center"/>
        <w:rPr>
          <w:rFonts w:ascii="仿宋_GB2312" w:hAnsi="仿宋_GB2312" w:eastAsia="仿宋_GB2312"/>
          <w:b/>
          <w:sz w:val="32"/>
          <w:szCs w:val="32"/>
        </w:rPr>
      </w:pPr>
      <w:r>
        <w:rPr>
          <w:rFonts w:hint="eastAsia" w:ascii="宋体" w:hAnsi="宋体"/>
          <w:bCs/>
          <w:sz w:val="28"/>
          <w:szCs w:val="28"/>
        </w:rPr>
        <w:t>★</w:t>
      </w:r>
      <w:r>
        <w:rPr>
          <w:rFonts w:hint="eastAsia" w:ascii="仿宋_GB2312" w:hAnsi="仿宋_GB2312" w:eastAsia="仿宋_GB2312"/>
          <w:b/>
          <w:sz w:val="32"/>
          <w:szCs w:val="32"/>
        </w:rPr>
        <w:t>报  价  表</w:t>
      </w:r>
    </w:p>
    <w:p w14:paraId="18A3E9B6">
      <w:pPr>
        <w:spacing w:line="500" w:lineRule="exact"/>
        <w:rPr>
          <w:rFonts w:ascii="宋体" w:hAnsi="宋体"/>
          <w:u w:val="single"/>
        </w:rPr>
      </w:pPr>
      <w:r>
        <w:rPr>
          <w:rFonts w:hint="eastAsia" w:ascii="宋体" w:hAnsi="宋体"/>
        </w:rPr>
        <w:t>项目名称:</w:t>
      </w:r>
      <w:r>
        <w:rPr>
          <w:rFonts w:hint="eastAsia" w:ascii="宋体" w:hAnsi="宋体"/>
          <w:u w:val="single"/>
        </w:rPr>
        <w:t xml:space="preserve">                 </w:t>
      </w:r>
    </w:p>
    <w:p w14:paraId="3F79F4AA">
      <w:pPr>
        <w:spacing w:line="500" w:lineRule="exact"/>
        <w:rPr>
          <w:rFonts w:ascii="宋体" w:hAnsi="宋体"/>
        </w:rPr>
      </w:pPr>
      <w:r>
        <w:rPr>
          <w:rFonts w:hint="eastAsia" w:ascii="宋体" w:hAnsi="宋体"/>
        </w:rPr>
        <w:t>项目编号:</w:t>
      </w:r>
      <w:r>
        <w:rPr>
          <w:rFonts w:hint="eastAsia" w:ascii="宋体" w:hAnsi="宋体"/>
          <w:u w:val="single"/>
        </w:rPr>
        <w:t xml:space="preserve">                 </w:t>
      </w:r>
      <w:r>
        <w:rPr>
          <w:rFonts w:hint="eastAsia" w:ascii="宋体" w:hAnsi="宋体"/>
        </w:rPr>
        <w:t xml:space="preserve">    </w:t>
      </w:r>
    </w:p>
    <w:p w14:paraId="16CEE5D0">
      <w:pPr>
        <w:spacing w:line="500" w:lineRule="exact"/>
        <w:rPr>
          <w:rFonts w:ascii="宋体" w:hAnsi="宋体"/>
          <w:b/>
        </w:rPr>
      </w:pPr>
    </w:p>
    <w:tbl>
      <w:tblPr>
        <w:tblStyle w:val="12"/>
        <w:tblW w:w="9274" w:type="dxa"/>
        <w:tblInd w:w="0" w:type="dxa"/>
        <w:tblLayout w:type="autofit"/>
        <w:tblCellMar>
          <w:top w:w="0" w:type="dxa"/>
          <w:left w:w="108" w:type="dxa"/>
          <w:bottom w:w="0" w:type="dxa"/>
          <w:right w:w="108" w:type="dxa"/>
        </w:tblCellMar>
      </w:tblPr>
      <w:tblGrid>
        <w:gridCol w:w="456"/>
        <w:gridCol w:w="916"/>
        <w:gridCol w:w="1151"/>
        <w:gridCol w:w="646"/>
        <w:gridCol w:w="816"/>
        <w:gridCol w:w="2459"/>
        <w:gridCol w:w="633"/>
        <w:gridCol w:w="1294"/>
        <w:gridCol w:w="903"/>
      </w:tblGrid>
      <w:tr w14:paraId="62B6ED46">
        <w:tblPrEx>
          <w:tblCellMar>
            <w:top w:w="0" w:type="dxa"/>
            <w:left w:w="108" w:type="dxa"/>
            <w:bottom w:w="0" w:type="dxa"/>
            <w:right w:w="108" w:type="dxa"/>
          </w:tblCellMar>
        </w:tblPrEx>
        <w:trPr>
          <w:cantSplit/>
          <w:trHeight w:val="1713" w:hRule="atLeast"/>
        </w:trPr>
        <w:tc>
          <w:tcPr>
            <w:tcW w:w="445" w:type="dxa"/>
            <w:tcBorders>
              <w:top w:val="single" w:color="000000" w:sz="4" w:space="0"/>
              <w:left w:val="single" w:color="000000" w:sz="4" w:space="0"/>
              <w:bottom w:val="single" w:color="000000" w:sz="4" w:space="0"/>
              <w:right w:val="single" w:color="000000" w:sz="4" w:space="0"/>
            </w:tcBorders>
            <w:vAlign w:val="center"/>
          </w:tcPr>
          <w:p w14:paraId="408BA42A">
            <w:pPr>
              <w:pStyle w:val="7"/>
              <w:jc w:val="center"/>
              <w:rPr>
                <w:spacing w:val="-29"/>
              </w:rPr>
            </w:pPr>
            <w:r>
              <w:rPr>
                <w:rFonts w:hint="eastAsia"/>
                <w:spacing w:val="-29"/>
              </w:rPr>
              <w:t>序号</w:t>
            </w:r>
          </w:p>
        </w:tc>
        <w:tc>
          <w:tcPr>
            <w:tcW w:w="918" w:type="dxa"/>
            <w:tcBorders>
              <w:top w:val="single" w:color="000000" w:sz="4" w:space="0"/>
              <w:left w:val="single" w:color="000000" w:sz="4" w:space="0"/>
              <w:bottom w:val="single" w:color="000000" w:sz="4" w:space="0"/>
              <w:right w:val="single" w:color="000000" w:sz="4" w:space="0"/>
            </w:tcBorders>
            <w:vAlign w:val="center"/>
          </w:tcPr>
          <w:p w14:paraId="27431652">
            <w:pPr>
              <w:tabs>
                <w:tab w:val="left" w:pos="180"/>
                <w:tab w:val="left" w:pos="1620"/>
              </w:tabs>
              <w:spacing w:line="500" w:lineRule="exact"/>
              <w:jc w:val="center"/>
              <w:rPr>
                <w:rFonts w:ascii="宋体" w:hAnsi="宋体"/>
              </w:rPr>
            </w:pPr>
            <w:r>
              <w:rPr>
                <w:rFonts w:hint="eastAsia" w:ascii="宋体" w:hAnsi="宋体"/>
              </w:rPr>
              <w:t>货物</w:t>
            </w:r>
          </w:p>
          <w:p w14:paraId="0C7D2274">
            <w:pPr>
              <w:tabs>
                <w:tab w:val="left" w:pos="180"/>
                <w:tab w:val="left" w:pos="1620"/>
              </w:tabs>
              <w:spacing w:line="500" w:lineRule="exact"/>
              <w:jc w:val="center"/>
              <w:rPr>
                <w:rFonts w:ascii="宋体" w:hAnsi="宋体"/>
              </w:rPr>
            </w:pPr>
            <w:r>
              <w:rPr>
                <w:rFonts w:hint="eastAsia" w:ascii="宋体" w:hAnsi="宋体"/>
              </w:rPr>
              <w:t>名称</w:t>
            </w:r>
          </w:p>
        </w:tc>
        <w:tc>
          <w:tcPr>
            <w:tcW w:w="1152" w:type="dxa"/>
            <w:tcBorders>
              <w:top w:val="single" w:color="000000" w:sz="4" w:space="0"/>
              <w:left w:val="single" w:color="000000" w:sz="4" w:space="0"/>
              <w:bottom w:val="single" w:color="000000" w:sz="4" w:space="0"/>
              <w:right w:val="single" w:color="000000" w:sz="4" w:space="0"/>
            </w:tcBorders>
            <w:vAlign w:val="center"/>
          </w:tcPr>
          <w:p w14:paraId="5108467E">
            <w:pPr>
              <w:tabs>
                <w:tab w:val="left" w:pos="180"/>
                <w:tab w:val="left" w:pos="1620"/>
              </w:tabs>
              <w:spacing w:line="500" w:lineRule="exact"/>
              <w:jc w:val="center"/>
              <w:rPr>
                <w:rFonts w:ascii="宋体" w:hAnsi="宋体"/>
              </w:rPr>
            </w:pPr>
            <w:r>
              <w:rPr>
                <w:rFonts w:hint="eastAsia" w:ascii="宋体" w:hAnsi="宋体"/>
              </w:rPr>
              <w:t>品牌、型号规格、生产厂家</w:t>
            </w:r>
          </w:p>
        </w:tc>
        <w:tc>
          <w:tcPr>
            <w:tcW w:w="647" w:type="dxa"/>
            <w:tcBorders>
              <w:top w:val="single" w:color="000000" w:sz="4" w:space="0"/>
              <w:left w:val="single" w:color="000000" w:sz="4" w:space="0"/>
              <w:bottom w:val="single" w:color="000000" w:sz="4" w:space="0"/>
              <w:right w:val="single" w:color="000000" w:sz="4" w:space="0"/>
            </w:tcBorders>
            <w:vAlign w:val="center"/>
          </w:tcPr>
          <w:p w14:paraId="3646FA49">
            <w:pPr>
              <w:tabs>
                <w:tab w:val="left" w:pos="180"/>
                <w:tab w:val="left" w:pos="1620"/>
              </w:tabs>
              <w:spacing w:line="500" w:lineRule="exact"/>
              <w:jc w:val="center"/>
              <w:rPr>
                <w:rFonts w:ascii="宋体" w:hAnsi="宋体"/>
              </w:rPr>
            </w:pPr>
            <w:r>
              <w:rPr>
                <w:rFonts w:hint="eastAsia" w:ascii="宋体" w:hAnsi="宋体"/>
              </w:rPr>
              <w:t>数量①</w:t>
            </w:r>
          </w:p>
        </w:tc>
        <w:tc>
          <w:tcPr>
            <w:tcW w:w="817" w:type="dxa"/>
            <w:tcBorders>
              <w:top w:val="single" w:color="000000" w:sz="4" w:space="0"/>
              <w:left w:val="single" w:color="000000" w:sz="4" w:space="0"/>
              <w:bottom w:val="single" w:color="000000" w:sz="4" w:space="0"/>
              <w:right w:val="single" w:color="000000" w:sz="4" w:space="0"/>
            </w:tcBorders>
            <w:vAlign w:val="center"/>
          </w:tcPr>
          <w:p w14:paraId="29FBCEF5">
            <w:pPr>
              <w:tabs>
                <w:tab w:val="left" w:pos="180"/>
                <w:tab w:val="left" w:pos="1620"/>
              </w:tabs>
              <w:spacing w:line="500" w:lineRule="exact"/>
              <w:jc w:val="center"/>
              <w:rPr>
                <w:rFonts w:ascii="宋体" w:hAnsi="宋体"/>
              </w:rPr>
            </w:pPr>
            <w:r>
              <w:rPr>
                <w:rFonts w:hint="eastAsia" w:ascii="宋体" w:hAnsi="宋体"/>
              </w:rPr>
              <w:t>单位</w:t>
            </w:r>
          </w:p>
        </w:tc>
        <w:tc>
          <w:tcPr>
            <w:tcW w:w="2463" w:type="dxa"/>
            <w:tcBorders>
              <w:top w:val="single" w:color="000000" w:sz="4" w:space="0"/>
              <w:left w:val="single" w:color="000000" w:sz="4" w:space="0"/>
              <w:bottom w:val="single" w:color="000000" w:sz="4" w:space="0"/>
              <w:right w:val="single" w:color="000000" w:sz="4" w:space="0"/>
            </w:tcBorders>
            <w:vAlign w:val="center"/>
          </w:tcPr>
          <w:p w14:paraId="06C349EA">
            <w:pPr>
              <w:tabs>
                <w:tab w:val="left" w:pos="180"/>
                <w:tab w:val="left" w:pos="1620"/>
              </w:tabs>
              <w:spacing w:line="500" w:lineRule="exact"/>
              <w:ind w:left="210" w:hanging="210" w:hangingChars="100"/>
              <w:rPr>
                <w:rFonts w:ascii="宋体" w:hAnsi="宋体"/>
              </w:rPr>
            </w:pPr>
            <w:r>
              <w:rPr>
                <w:rFonts w:hint="eastAsia" w:ascii="宋体" w:hAnsi="宋体"/>
              </w:rPr>
              <w:t>技术参数及性能配置要求（材质工艺要求说明）</w:t>
            </w:r>
          </w:p>
        </w:tc>
        <w:tc>
          <w:tcPr>
            <w:tcW w:w="634" w:type="dxa"/>
            <w:tcBorders>
              <w:top w:val="single" w:color="000000" w:sz="4" w:space="0"/>
              <w:left w:val="single" w:color="000000" w:sz="4" w:space="0"/>
              <w:bottom w:val="single" w:color="000000" w:sz="4" w:space="0"/>
              <w:right w:val="single" w:color="000000" w:sz="4" w:space="0"/>
            </w:tcBorders>
            <w:vAlign w:val="center"/>
          </w:tcPr>
          <w:p w14:paraId="1CE572B9">
            <w:pPr>
              <w:tabs>
                <w:tab w:val="left" w:pos="180"/>
                <w:tab w:val="left" w:pos="1620"/>
              </w:tabs>
              <w:spacing w:line="500" w:lineRule="exact"/>
              <w:jc w:val="center"/>
              <w:rPr>
                <w:rFonts w:ascii="宋体" w:hAnsi="宋体"/>
              </w:rPr>
            </w:pPr>
            <w:r>
              <w:rPr>
                <w:rFonts w:hint="eastAsia" w:ascii="宋体" w:hAnsi="宋体"/>
              </w:rPr>
              <w:t>单价②</w:t>
            </w:r>
          </w:p>
        </w:tc>
        <w:tc>
          <w:tcPr>
            <w:tcW w:w="1294" w:type="dxa"/>
            <w:tcBorders>
              <w:top w:val="single" w:color="000000" w:sz="4" w:space="0"/>
              <w:left w:val="single" w:color="000000" w:sz="4" w:space="0"/>
              <w:bottom w:val="single" w:color="000000" w:sz="4" w:space="0"/>
              <w:right w:val="single" w:color="000000" w:sz="4" w:space="0"/>
            </w:tcBorders>
            <w:vAlign w:val="center"/>
          </w:tcPr>
          <w:p w14:paraId="59999F1A">
            <w:pPr>
              <w:pStyle w:val="7"/>
              <w:jc w:val="center"/>
            </w:pPr>
            <w:r>
              <w:rPr>
                <w:rFonts w:hint="eastAsia"/>
              </w:rPr>
              <w:t>单项合价</w:t>
            </w:r>
          </w:p>
          <w:p w14:paraId="0A3C75CF">
            <w:pPr>
              <w:pStyle w:val="7"/>
              <w:jc w:val="center"/>
            </w:pPr>
            <w:r>
              <w:rPr>
                <w:rFonts w:hint="eastAsia"/>
              </w:rPr>
              <w:t>（元）</w:t>
            </w:r>
          </w:p>
          <w:p w14:paraId="1A38F436">
            <w:pPr>
              <w:pStyle w:val="7"/>
              <w:jc w:val="center"/>
            </w:pPr>
            <w:r>
              <w:rPr>
                <w:rFonts w:hint="eastAsia"/>
              </w:rPr>
              <w:t>③</w:t>
            </w:r>
            <w:r>
              <w:t>=</w:t>
            </w:r>
            <w:r>
              <w:rPr>
                <w:rFonts w:hint="eastAsia"/>
              </w:rPr>
              <w:t>①×②</w:t>
            </w:r>
          </w:p>
        </w:tc>
        <w:tc>
          <w:tcPr>
            <w:tcW w:w="904" w:type="dxa"/>
            <w:tcBorders>
              <w:top w:val="single" w:color="000000" w:sz="4" w:space="0"/>
              <w:left w:val="single" w:color="000000" w:sz="4" w:space="0"/>
              <w:bottom w:val="single" w:color="000000" w:sz="4" w:space="0"/>
              <w:right w:val="single" w:color="000000" w:sz="4" w:space="0"/>
            </w:tcBorders>
            <w:vAlign w:val="center"/>
          </w:tcPr>
          <w:p w14:paraId="1104758A">
            <w:pPr>
              <w:pStyle w:val="7"/>
              <w:jc w:val="center"/>
            </w:pPr>
            <w:r>
              <w:rPr>
                <w:rFonts w:hint="eastAsia"/>
              </w:rPr>
              <w:t>备注</w:t>
            </w:r>
          </w:p>
        </w:tc>
      </w:tr>
      <w:tr w14:paraId="35D6ED04">
        <w:tblPrEx>
          <w:tblCellMar>
            <w:top w:w="0" w:type="dxa"/>
            <w:left w:w="108" w:type="dxa"/>
            <w:bottom w:w="0" w:type="dxa"/>
            <w:right w:w="108" w:type="dxa"/>
          </w:tblCellMar>
        </w:tblPrEx>
        <w:trPr>
          <w:cantSplit/>
          <w:trHeight w:val="646" w:hRule="atLeast"/>
        </w:trPr>
        <w:tc>
          <w:tcPr>
            <w:tcW w:w="445" w:type="dxa"/>
            <w:tcBorders>
              <w:top w:val="single" w:color="000000" w:sz="4" w:space="0"/>
              <w:left w:val="single" w:color="000000" w:sz="4" w:space="0"/>
              <w:bottom w:val="single" w:color="000000" w:sz="4" w:space="0"/>
              <w:right w:val="single" w:color="000000" w:sz="4" w:space="0"/>
            </w:tcBorders>
            <w:vAlign w:val="center"/>
          </w:tcPr>
          <w:p w14:paraId="5E227C96">
            <w:pPr>
              <w:jc w:val="center"/>
              <w:rPr>
                <w:rFonts w:ascii="宋体" w:hAnsi="宋体"/>
                <w:sz w:val="24"/>
              </w:rPr>
            </w:pPr>
            <w:r>
              <w:rPr>
                <w:rFonts w:hint="eastAsia" w:ascii="宋体" w:hAnsi="宋体"/>
                <w:sz w:val="24"/>
              </w:rPr>
              <w:t>1</w:t>
            </w:r>
          </w:p>
        </w:tc>
        <w:tc>
          <w:tcPr>
            <w:tcW w:w="918" w:type="dxa"/>
            <w:tcBorders>
              <w:top w:val="single" w:color="000000" w:sz="4" w:space="0"/>
              <w:left w:val="single" w:color="000000" w:sz="4" w:space="0"/>
              <w:bottom w:val="single" w:color="000000" w:sz="4" w:space="0"/>
              <w:right w:val="single" w:color="000000" w:sz="4" w:space="0"/>
            </w:tcBorders>
            <w:vAlign w:val="center"/>
          </w:tcPr>
          <w:p w14:paraId="69ADB955">
            <w:pPr>
              <w:jc w:val="center"/>
              <w:rPr>
                <w:rFonts w:ascii="宋体" w:hAnsi="宋体"/>
              </w:rPr>
            </w:pPr>
          </w:p>
        </w:tc>
        <w:tc>
          <w:tcPr>
            <w:tcW w:w="1152" w:type="dxa"/>
            <w:tcBorders>
              <w:top w:val="single" w:color="000000" w:sz="4" w:space="0"/>
              <w:left w:val="single" w:color="000000" w:sz="4" w:space="0"/>
              <w:bottom w:val="single" w:color="000000" w:sz="4" w:space="0"/>
              <w:right w:val="single" w:color="000000" w:sz="4" w:space="0"/>
            </w:tcBorders>
            <w:vAlign w:val="center"/>
          </w:tcPr>
          <w:p w14:paraId="78DD51F2">
            <w:pPr>
              <w:jc w:val="center"/>
              <w:rPr>
                <w:rFonts w:ascii="宋体" w:hAnsi="宋体"/>
              </w:rPr>
            </w:pPr>
          </w:p>
        </w:tc>
        <w:tc>
          <w:tcPr>
            <w:tcW w:w="647" w:type="dxa"/>
            <w:tcBorders>
              <w:top w:val="single" w:color="000000" w:sz="4" w:space="0"/>
              <w:left w:val="single" w:color="000000" w:sz="4" w:space="0"/>
              <w:bottom w:val="single" w:color="000000" w:sz="4" w:space="0"/>
              <w:right w:val="single" w:color="000000" w:sz="4" w:space="0"/>
            </w:tcBorders>
            <w:vAlign w:val="center"/>
          </w:tcPr>
          <w:p w14:paraId="15F10604">
            <w:pPr>
              <w:pStyle w:val="7"/>
            </w:pPr>
          </w:p>
        </w:tc>
        <w:tc>
          <w:tcPr>
            <w:tcW w:w="817" w:type="dxa"/>
            <w:tcBorders>
              <w:top w:val="single" w:color="000000" w:sz="4" w:space="0"/>
              <w:left w:val="single" w:color="000000" w:sz="4" w:space="0"/>
              <w:bottom w:val="single" w:color="000000" w:sz="4" w:space="0"/>
              <w:right w:val="single" w:color="000000" w:sz="4" w:space="0"/>
            </w:tcBorders>
            <w:vAlign w:val="center"/>
          </w:tcPr>
          <w:p w14:paraId="10EE76BE">
            <w:pPr>
              <w:pStyle w:val="7"/>
            </w:pPr>
          </w:p>
        </w:tc>
        <w:tc>
          <w:tcPr>
            <w:tcW w:w="2463" w:type="dxa"/>
            <w:tcBorders>
              <w:top w:val="single" w:color="000000" w:sz="4" w:space="0"/>
              <w:left w:val="single" w:color="000000" w:sz="4" w:space="0"/>
              <w:bottom w:val="single" w:color="000000" w:sz="4" w:space="0"/>
              <w:right w:val="single" w:color="000000" w:sz="4" w:space="0"/>
            </w:tcBorders>
            <w:vAlign w:val="center"/>
          </w:tcPr>
          <w:p w14:paraId="45DF6A88">
            <w:pPr>
              <w:pStyle w:val="7"/>
            </w:pPr>
          </w:p>
        </w:tc>
        <w:tc>
          <w:tcPr>
            <w:tcW w:w="634" w:type="dxa"/>
            <w:tcBorders>
              <w:top w:val="single" w:color="000000" w:sz="4" w:space="0"/>
              <w:left w:val="single" w:color="000000" w:sz="4" w:space="0"/>
              <w:bottom w:val="single" w:color="000000" w:sz="4" w:space="0"/>
              <w:right w:val="single" w:color="000000" w:sz="4" w:space="0"/>
            </w:tcBorders>
            <w:vAlign w:val="center"/>
          </w:tcPr>
          <w:p w14:paraId="06612D58">
            <w:pPr>
              <w:pStyle w:val="7"/>
            </w:pPr>
          </w:p>
        </w:tc>
        <w:tc>
          <w:tcPr>
            <w:tcW w:w="1294" w:type="dxa"/>
            <w:tcBorders>
              <w:top w:val="single" w:color="000000" w:sz="4" w:space="0"/>
              <w:left w:val="single" w:color="000000" w:sz="4" w:space="0"/>
              <w:bottom w:val="single" w:color="000000" w:sz="4" w:space="0"/>
              <w:right w:val="single" w:color="000000" w:sz="4" w:space="0"/>
            </w:tcBorders>
            <w:vAlign w:val="center"/>
          </w:tcPr>
          <w:p w14:paraId="74AD4840">
            <w:pPr>
              <w:pStyle w:val="7"/>
            </w:pPr>
          </w:p>
        </w:tc>
        <w:tc>
          <w:tcPr>
            <w:tcW w:w="904" w:type="dxa"/>
            <w:tcBorders>
              <w:top w:val="single" w:color="000000" w:sz="4" w:space="0"/>
              <w:left w:val="single" w:color="000000" w:sz="4" w:space="0"/>
              <w:bottom w:val="single" w:color="000000" w:sz="4" w:space="0"/>
              <w:right w:val="single" w:color="000000" w:sz="4" w:space="0"/>
            </w:tcBorders>
            <w:vAlign w:val="center"/>
          </w:tcPr>
          <w:p w14:paraId="5C026360">
            <w:pPr>
              <w:pStyle w:val="7"/>
              <w:rPr>
                <w:spacing w:val="-10"/>
              </w:rPr>
            </w:pPr>
          </w:p>
        </w:tc>
      </w:tr>
      <w:tr w14:paraId="5575AC1F">
        <w:trPr>
          <w:cantSplit/>
          <w:trHeight w:val="646" w:hRule="atLeast"/>
        </w:trPr>
        <w:tc>
          <w:tcPr>
            <w:tcW w:w="445" w:type="dxa"/>
            <w:tcBorders>
              <w:top w:val="single" w:color="000000" w:sz="4" w:space="0"/>
              <w:left w:val="single" w:color="000000" w:sz="4" w:space="0"/>
              <w:bottom w:val="single" w:color="000000" w:sz="4" w:space="0"/>
              <w:right w:val="single" w:color="000000" w:sz="4" w:space="0"/>
            </w:tcBorders>
            <w:vAlign w:val="center"/>
          </w:tcPr>
          <w:p w14:paraId="2D681F5F">
            <w:pPr>
              <w:jc w:val="center"/>
              <w:rPr>
                <w:rFonts w:ascii="宋体" w:hAnsi="宋体"/>
                <w:sz w:val="24"/>
              </w:rPr>
            </w:pPr>
            <w:r>
              <w:rPr>
                <w:rFonts w:hint="eastAsia" w:ascii="宋体" w:hAnsi="宋体"/>
                <w:sz w:val="24"/>
              </w:rPr>
              <w:t>…</w:t>
            </w:r>
          </w:p>
        </w:tc>
        <w:tc>
          <w:tcPr>
            <w:tcW w:w="918" w:type="dxa"/>
            <w:tcBorders>
              <w:top w:val="single" w:color="000000" w:sz="4" w:space="0"/>
              <w:left w:val="single" w:color="000000" w:sz="4" w:space="0"/>
              <w:bottom w:val="single" w:color="000000" w:sz="4" w:space="0"/>
              <w:right w:val="single" w:color="000000" w:sz="4" w:space="0"/>
            </w:tcBorders>
            <w:vAlign w:val="center"/>
          </w:tcPr>
          <w:p w14:paraId="660A5D1D">
            <w:pPr>
              <w:jc w:val="center"/>
              <w:rPr>
                <w:rFonts w:ascii="宋体" w:hAnsi="宋体"/>
              </w:rPr>
            </w:pPr>
          </w:p>
        </w:tc>
        <w:tc>
          <w:tcPr>
            <w:tcW w:w="1152" w:type="dxa"/>
            <w:tcBorders>
              <w:top w:val="single" w:color="000000" w:sz="4" w:space="0"/>
              <w:left w:val="single" w:color="000000" w:sz="4" w:space="0"/>
              <w:bottom w:val="single" w:color="000000" w:sz="4" w:space="0"/>
              <w:right w:val="single" w:color="000000" w:sz="4" w:space="0"/>
            </w:tcBorders>
            <w:vAlign w:val="center"/>
          </w:tcPr>
          <w:p w14:paraId="5E078DC7">
            <w:pPr>
              <w:jc w:val="center"/>
              <w:rPr>
                <w:rFonts w:ascii="宋体" w:hAnsi="宋体"/>
              </w:rPr>
            </w:pPr>
          </w:p>
        </w:tc>
        <w:tc>
          <w:tcPr>
            <w:tcW w:w="647" w:type="dxa"/>
            <w:tcBorders>
              <w:top w:val="single" w:color="000000" w:sz="4" w:space="0"/>
              <w:left w:val="single" w:color="000000" w:sz="4" w:space="0"/>
              <w:bottom w:val="single" w:color="000000" w:sz="4" w:space="0"/>
              <w:right w:val="single" w:color="000000" w:sz="4" w:space="0"/>
            </w:tcBorders>
            <w:vAlign w:val="center"/>
          </w:tcPr>
          <w:p w14:paraId="2BC3597C">
            <w:pPr>
              <w:pStyle w:val="7"/>
            </w:pPr>
          </w:p>
        </w:tc>
        <w:tc>
          <w:tcPr>
            <w:tcW w:w="817" w:type="dxa"/>
            <w:tcBorders>
              <w:top w:val="single" w:color="000000" w:sz="4" w:space="0"/>
              <w:left w:val="single" w:color="000000" w:sz="4" w:space="0"/>
              <w:bottom w:val="single" w:color="000000" w:sz="4" w:space="0"/>
              <w:right w:val="single" w:color="000000" w:sz="4" w:space="0"/>
            </w:tcBorders>
            <w:vAlign w:val="center"/>
          </w:tcPr>
          <w:p w14:paraId="4F39E0B1">
            <w:pPr>
              <w:pStyle w:val="7"/>
            </w:pPr>
          </w:p>
        </w:tc>
        <w:tc>
          <w:tcPr>
            <w:tcW w:w="2463" w:type="dxa"/>
            <w:tcBorders>
              <w:top w:val="single" w:color="000000" w:sz="4" w:space="0"/>
              <w:left w:val="single" w:color="000000" w:sz="4" w:space="0"/>
              <w:bottom w:val="single" w:color="000000" w:sz="4" w:space="0"/>
              <w:right w:val="single" w:color="000000" w:sz="4" w:space="0"/>
            </w:tcBorders>
            <w:vAlign w:val="center"/>
          </w:tcPr>
          <w:p w14:paraId="79320214">
            <w:pPr>
              <w:pStyle w:val="7"/>
            </w:pPr>
          </w:p>
        </w:tc>
        <w:tc>
          <w:tcPr>
            <w:tcW w:w="634" w:type="dxa"/>
            <w:tcBorders>
              <w:top w:val="single" w:color="000000" w:sz="4" w:space="0"/>
              <w:left w:val="single" w:color="000000" w:sz="4" w:space="0"/>
              <w:bottom w:val="single" w:color="000000" w:sz="4" w:space="0"/>
              <w:right w:val="single" w:color="000000" w:sz="4" w:space="0"/>
            </w:tcBorders>
            <w:vAlign w:val="center"/>
          </w:tcPr>
          <w:p w14:paraId="44FB2CF8">
            <w:pPr>
              <w:pStyle w:val="7"/>
            </w:pPr>
          </w:p>
        </w:tc>
        <w:tc>
          <w:tcPr>
            <w:tcW w:w="1294" w:type="dxa"/>
            <w:tcBorders>
              <w:top w:val="single" w:color="000000" w:sz="4" w:space="0"/>
              <w:left w:val="single" w:color="000000" w:sz="4" w:space="0"/>
              <w:bottom w:val="single" w:color="000000" w:sz="4" w:space="0"/>
              <w:right w:val="single" w:color="000000" w:sz="4" w:space="0"/>
            </w:tcBorders>
            <w:vAlign w:val="center"/>
          </w:tcPr>
          <w:p w14:paraId="676619BD">
            <w:pPr>
              <w:pStyle w:val="7"/>
            </w:pPr>
          </w:p>
        </w:tc>
        <w:tc>
          <w:tcPr>
            <w:tcW w:w="904" w:type="dxa"/>
            <w:tcBorders>
              <w:top w:val="single" w:color="000000" w:sz="4" w:space="0"/>
              <w:left w:val="single" w:color="000000" w:sz="4" w:space="0"/>
              <w:bottom w:val="single" w:color="000000" w:sz="4" w:space="0"/>
              <w:right w:val="single" w:color="000000" w:sz="4" w:space="0"/>
            </w:tcBorders>
            <w:vAlign w:val="center"/>
          </w:tcPr>
          <w:p w14:paraId="26F97B9D">
            <w:pPr>
              <w:pStyle w:val="7"/>
              <w:rPr>
                <w:spacing w:val="-10"/>
              </w:rPr>
            </w:pPr>
          </w:p>
        </w:tc>
      </w:tr>
      <w:tr w14:paraId="23CDA55D">
        <w:tblPrEx>
          <w:tblCellMar>
            <w:top w:w="0" w:type="dxa"/>
            <w:left w:w="108" w:type="dxa"/>
            <w:bottom w:w="0" w:type="dxa"/>
            <w:right w:w="108" w:type="dxa"/>
          </w:tblCellMar>
        </w:tblPrEx>
        <w:trPr>
          <w:cantSplit/>
          <w:trHeight w:val="646" w:hRule="atLeast"/>
        </w:trPr>
        <w:tc>
          <w:tcPr>
            <w:tcW w:w="445" w:type="dxa"/>
            <w:tcBorders>
              <w:top w:val="single" w:color="000000" w:sz="4" w:space="0"/>
              <w:left w:val="single" w:color="000000" w:sz="4" w:space="0"/>
              <w:bottom w:val="single" w:color="000000" w:sz="4" w:space="0"/>
              <w:right w:val="single" w:color="000000" w:sz="4" w:space="0"/>
            </w:tcBorders>
            <w:vAlign w:val="center"/>
          </w:tcPr>
          <w:p w14:paraId="363D3E06">
            <w:pPr>
              <w:jc w:val="center"/>
              <w:rPr>
                <w:rFonts w:ascii="宋体" w:hAnsi="宋体"/>
                <w:sz w:val="24"/>
              </w:rPr>
            </w:pPr>
            <w:r>
              <w:rPr>
                <w:rFonts w:ascii="宋体" w:hAnsi="宋体"/>
                <w:sz w:val="24"/>
              </w:rPr>
              <w:t>N</w:t>
            </w:r>
          </w:p>
        </w:tc>
        <w:tc>
          <w:tcPr>
            <w:tcW w:w="918" w:type="dxa"/>
            <w:tcBorders>
              <w:top w:val="single" w:color="000000" w:sz="4" w:space="0"/>
              <w:left w:val="single" w:color="000000" w:sz="4" w:space="0"/>
              <w:bottom w:val="single" w:color="000000" w:sz="4" w:space="0"/>
              <w:right w:val="single" w:color="000000" w:sz="4" w:space="0"/>
            </w:tcBorders>
            <w:vAlign w:val="center"/>
          </w:tcPr>
          <w:p w14:paraId="2CA3D481">
            <w:pPr>
              <w:jc w:val="center"/>
              <w:rPr>
                <w:rFonts w:ascii="宋体" w:hAnsi="宋体"/>
              </w:rPr>
            </w:pPr>
          </w:p>
        </w:tc>
        <w:tc>
          <w:tcPr>
            <w:tcW w:w="1152" w:type="dxa"/>
            <w:tcBorders>
              <w:top w:val="single" w:color="000000" w:sz="4" w:space="0"/>
              <w:left w:val="single" w:color="000000" w:sz="4" w:space="0"/>
              <w:bottom w:val="single" w:color="000000" w:sz="4" w:space="0"/>
              <w:right w:val="single" w:color="000000" w:sz="4" w:space="0"/>
            </w:tcBorders>
            <w:vAlign w:val="center"/>
          </w:tcPr>
          <w:p w14:paraId="3A713FCB">
            <w:pPr>
              <w:jc w:val="center"/>
              <w:rPr>
                <w:rFonts w:ascii="宋体" w:hAnsi="宋体"/>
              </w:rPr>
            </w:pPr>
          </w:p>
        </w:tc>
        <w:tc>
          <w:tcPr>
            <w:tcW w:w="647" w:type="dxa"/>
            <w:tcBorders>
              <w:top w:val="single" w:color="000000" w:sz="4" w:space="0"/>
              <w:left w:val="single" w:color="000000" w:sz="4" w:space="0"/>
              <w:bottom w:val="single" w:color="000000" w:sz="4" w:space="0"/>
              <w:right w:val="single" w:color="000000" w:sz="4" w:space="0"/>
            </w:tcBorders>
            <w:vAlign w:val="center"/>
          </w:tcPr>
          <w:p w14:paraId="5C6C0E76">
            <w:pPr>
              <w:pStyle w:val="7"/>
            </w:pPr>
          </w:p>
        </w:tc>
        <w:tc>
          <w:tcPr>
            <w:tcW w:w="817" w:type="dxa"/>
            <w:tcBorders>
              <w:top w:val="single" w:color="000000" w:sz="4" w:space="0"/>
              <w:left w:val="single" w:color="000000" w:sz="4" w:space="0"/>
              <w:bottom w:val="single" w:color="000000" w:sz="4" w:space="0"/>
              <w:right w:val="single" w:color="000000" w:sz="4" w:space="0"/>
            </w:tcBorders>
            <w:vAlign w:val="center"/>
          </w:tcPr>
          <w:p w14:paraId="134D7E1D">
            <w:pPr>
              <w:pStyle w:val="7"/>
            </w:pPr>
          </w:p>
        </w:tc>
        <w:tc>
          <w:tcPr>
            <w:tcW w:w="2463" w:type="dxa"/>
            <w:tcBorders>
              <w:top w:val="single" w:color="000000" w:sz="4" w:space="0"/>
              <w:left w:val="single" w:color="000000" w:sz="4" w:space="0"/>
              <w:bottom w:val="single" w:color="000000" w:sz="4" w:space="0"/>
              <w:right w:val="single" w:color="000000" w:sz="4" w:space="0"/>
            </w:tcBorders>
            <w:vAlign w:val="center"/>
          </w:tcPr>
          <w:p w14:paraId="1698B8FC">
            <w:pPr>
              <w:pStyle w:val="7"/>
            </w:pPr>
          </w:p>
        </w:tc>
        <w:tc>
          <w:tcPr>
            <w:tcW w:w="634" w:type="dxa"/>
            <w:tcBorders>
              <w:top w:val="single" w:color="000000" w:sz="4" w:space="0"/>
              <w:left w:val="single" w:color="000000" w:sz="4" w:space="0"/>
              <w:bottom w:val="single" w:color="000000" w:sz="4" w:space="0"/>
              <w:right w:val="single" w:color="000000" w:sz="4" w:space="0"/>
            </w:tcBorders>
            <w:vAlign w:val="center"/>
          </w:tcPr>
          <w:p w14:paraId="3A51B5EB">
            <w:pPr>
              <w:pStyle w:val="7"/>
            </w:pPr>
          </w:p>
        </w:tc>
        <w:tc>
          <w:tcPr>
            <w:tcW w:w="1294" w:type="dxa"/>
            <w:tcBorders>
              <w:top w:val="single" w:color="000000" w:sz="4" w:space="0"/>
              <w:left w:val="single" w:color="000000" w:sz="4" w:space="0"/>
              <w:bottom w:val="single" w:color="000000" w:sz="4" w:space="0"/>
              <w:right w:val="single" w:color="000000" w:sz="4" w:space="0"/>
            </w:tcBorders>
            <w:vAlign w:val="center"/>
          </w:tcPr>
          <w:p w14:paraId="61F303B0">
            <w:pPr>
              <w:pStyle w:val="7"/>
            </w:pPr>
          </w:p>
        </w:tc>
        <w:tc>
          <w:tcPr>
            <w:tcW w:w="904" w:type="dxa"/>
            <w:tcBorders>
              <w:top w:val="single" w:color="000000" w:sz="4" w:space="0"/>
              <w:left w:val="single" w:color="000000" w:sz="4" w:space="0"/>
              <w:bottom w:val="single" w:color="000000" w:sz="4" w:space="0"/>
              <w:right w:val="single" w:color="000000" w:sz="4" w:space="0"/>
            </w:tcBorders>
            <w:vAlign w:val="center"/>
          </w:tcPr>
          <w:p w14:paraId="1FB82A6F">
            <w:pPr>
              <w:pStyle w:val="7"/>
              <w:rPr>
                <w:spacing w:val="-10"/>
              </w:rPr>
            </w:pPr>
          </w:p>
        </w:tc>
      </w:tr>
      <w:tr w14:paraId="102BC77A">
        <w:tblPrEx>
          <w:tblCellMar>
            <w:top w:w="0" w:type="dxa"/>
            <w:left w:w="108" w:type="dxa"/>
            <w:bottom w:w="0" w:type="dxa"/>
            <w:right w:w="108" w:type="dxa"/>
          </w:tblCellMar>
        </w:tblPrEx>
        <w:trPr>
          <w:cantSplit/>
          <w:trHeight w:val="646" w:hRule="atLeast"/>
        </w:trPr>
        <w:tc>
          <w:tcPr>
            <w:tcW w:w="9274" w:type="dxa"/>
            <w:gridSpan w:val="9"/>
            <w:tcBorders>
              <w:top w:val="single" w:color="000000" w:sz="4" w:space="0"/>
              <w:left w:val="single" w:color="000000" w:sz="4" w:space="0"/>
              <w:bottom w:val="single" w:color="000000" w:sz="4" w:space="0"/>
              <w:right w:val="single" w:color="000000" w:sz="4" w:space="0"/>
            </w:tcBorders>
            <w:vAlign w:val="center"/>
          </w:tcPr>
          <w:p w14:paraId="6F88BCD2">
            <w:pPr>
              <w:pStyle w:val="7"/>
              <w:rPr>
                <w:spacing w:val="-10"/>
              </w:rPr>
            </w:pPr>
            <w:r>
              <w:rPr>
                <w:rFonts w:hint="eastAsia"/>
                <w:spacing w:val="-10"/>
              </w:rPr>
              <w:t>总报价（人民币大写）：                                       （￥                       元）</w:t>
            </w:r>
          </w:p>
        </w:tc>
      </w:tr>
      <w:tr w14:paraId="5DBB0B3B">
        <w:tblPrEx>
          <w:tblCellMar>
            <w:top w:w="0" w:type="dxa"/>
            <w:left w:w="108" w:type="dxa"/>
            <w:bottom w:w="0" w:type="dxa"/>
            <w:right w:w="108" w:type="dxa"/>
          </w:tblCellMar>
        </w:tblPrEx>
        <w:trPr>
          <w:cantSplit/>
          <w:trHeight w:val="646" w:hRule="atLeast"/>
        </w:trPr>
        <w:tc>
          <w:tcPr>
            <w:tcW w:w="9274" w:type="dxa"/>
            <w:gridSpan w:val="9"/>
            <w:tcBorders>
              <w:top w:val="single" w:color="000000" w:sz="4" w:space="0"/>
              <w:left w:val="single" w:color="000000" w:sz="4" w:space="0"/>
              <w:bottom w:val="single" w:color="000000" w:sz="4" w:space="0"/>
              <w:right w:val="single" w:color="000000" w:sz="4" w:space="0"/>
            </w:tcBorders>
            <w:vAlign w:val="center"/>
          </w:tcPr>
          <w:p w14:paraId="42B5EA27">
            <w:pPr>
              <w:pStyle w:val="7"/>
              <w:rPr>
                <w:spacing w:val="-10"/>
              </w:rPr>
            </w:pPr>
            <w:r>
              <w:rPr>
                <w:rFonts w:hint="eastAsia"/>
                <w:spacing w:val="-10"/>
              </w:rPr>
              <w:t>交付使用时间：</w:t>
            </w:r>
          </w:p>
        </w:tc>
      </w:tr>
      <w:tr w14:paraId="24D7E175">
        <w:tblPrEx>
          <w:tblCellMar>
            <w:top w:w="0" w:type="dxa"/>
            <w:left w:w="108" w:type="dxa"/>
            <w:bottom w:w="0" w:type="dxa"/>
            <w:right w:w="108" w:type="dxa"/>
          </w:tblCellMar>
        </w:tblPrEx>
        <w:trPr>
          <w:cantSplit/>
          <w:trHeight w:val="665" w:hRule="atLeast"/>
        </w:trPr>
        <w:tc>
          <w:tcPr>
            <w:tcW w:w="9274" w:type="dxa"/>
            <w:gridSpan w:val="9"/>
            <w:tcBorders>
              <w:top w:val="single" w:color="000000" w:sz="4" w:space="0"/>
              <w:left w:val="single" w:color="000000" w:sz="4" w:space="0"/>
              <w:bottom w:val="single" w:color="000000" w:sz="4" w:space="0"/>
              <w:right w:val="single" w:color="000000" w:sz="4" w:space="0"/>
            </w:tcBorders>
            <w:vAlign w:val="center"/>
          </w:tcPr>
          <w:p w14:paraId="5C94EC97">
            <w:pPr>
              <w:pStyle w:val="7"/>
              <w:rPr>
                <w:spacing w:val="-10"/>
              </w:rPr>
            </w:pPr>
            <w:r>
              <w:rPr>
                <w:rFonts w:hint="eastAsia"/>
                <w:spacing w:val="-10"/>
              </w:rPr>
              <w:t>交付使用地点：</w:t>
            </w:r>
          </w:p>
        </w:tc>
      </w:tr>
    </w:tbl>
    <w:p w14:paraId="45507737">
      <w:pPr>
        <w:spacing w:line="500" w:lineRule="exact"/>
        <w:rPr>
          <w:rFonts w:ascii="宋体" w:hAnsi="宋体"/>
        </w:rPr>
      </w:pPr>
      <w:r>
        <w:rPr>
          <w:rFonts w:hint="eastAsia" w:ascii="宋体" w:hAnsi="宋体"/>
        </w:rPr>
        <w:t>注：1、所有价格均用人民币表示，单位为元，精确到小数点后两位数。</w:t>
      </w:r>
    </w:p>
    <w:p w14:paraId="571649C7">
      <w:pPr>
        <w:spacing w:line="500" w:lineRule="exact"/>
        <w:ind w:firstLine="412"/>
        <w:rPr>
          <w:rFonts w:ascii="宋体" w:hAnsi="宋体"/>
        </w:rPr>
      </w:pPr>
      <w:r>
        <w:rPr>
          <w:rFonts w:hint="eastAsia" w:ascii="宋体" w:hAnsi="宋体"/>
          <w:bCs/>
        </w:rPr>
        <w:t>2、报价指货物、服务、随配附件、备品备件、工具、货物运抵指定交货地点、安装、调试的各种费用和售后服务、税金及其它所有成本、费用的总和</w:t>
      </w:r>
      <w:r>
        <w:rPr>
          <w:rFonts w:hint="eastAsia" w:ascii="宋体" w:hAnsi="宋体"/>
        </w:rPr>
        <w:t>。</w:t>
      </w:r>
    </w:p>
    <w:p w14:paraId="027195C8">
      <w:pPr>
        <w:spacing w:before="50" w:after="50" w:line="360" w:lineRule="exact"/>
        <w:ind w:firstLine="420"/>
        <w:jc w:val="left"/>
        <w:rPr>
          <w:rFonts w:ascii="宋体" w:hAnsi="宋体"/>
        </w:rPr>
      </w:pPr>
      <w:r>
        <w:rPr>
          <w:rFonts w:hint="eastAsia" w:ascii="宋体" w:hAnsi="宋体"/>
        </w:rPr>
        <w:t>3、凡需用专用辅材、耗材的专用设备类采购项目，应按采购文件规定的辅材、耗材量或按耗材的常规试用量提供报价。</w:t>
      </w:r>
    </w:p>
    <w:p w14:paraId="47109C0B">
      <w:pPr>
        <w:spacing w:before="50" w:after="50" w:line="360" w:lineRule="exact"/>
        <w:ind w:firstLine="420"/>
        <w:jc w:val="left"/>
        <w:rPr>
          <w:rFonts w:ascii="宋体" w:hAnsi="宋体"/>
        </w:rPr>
      </w:pPr>
      <w:r>
        <w:rPr>
          <w:rFonts w:hint="eastAsia" w:ascii="宋体" w:hAnsi="宋体"/>
        </w:rPr>
        <w:t>4、报价表中的“货物名称”、“数量”、“单位”、“单价”、“单项合价”列必须填写；设备类项目“品牌、型号规格、生产厂家”列必须填写（定制产品和服务除外）。</w:t>
      </w:r>
    </w:p>
    <w:p w14:paraId="62283FFF">
      <w:pPr>
        <w:spacing w:line="500" w:lineRule="exact"/>
        <w:ind w:firstLine="420" w:firstLineChars="200"/>
        <w:rPr>
          <w:rFonts w:ascii="宋体" w:hAnsi="宋体"/>
        </w:rPr>
      </w:pPr>
      <w:r>
        <w:rPr>
          <w:rFonts w:hint="eastAsia" w:ascii="宋体" w:hAnsi="宋体"/>
        </w:rPr>
        <w:t>5、各分项报价不得高于分项单价控制价。</w:t>
      </w:r>
    </w:p>
    <w:p w14:paraId="0B0E52FF">
      <w:pPr>
        <w:spacing w:line="500" w:lineRule="exact"/>
        <w:rPr>
          <w:rFonts w:ascii="宋体" w:hAnsi="宋体"/>
        </w:rPr>
      </w:pPr>
    </w:p>
    <w:p w14:paraId="3E597A0D">
      <w:pPr>
        <w:spacing w:line="500" w:lineRule="exact"/>
        <w:jc w:val="right"/>
        <w:rPr>
          <w:rFonts w:ascii="宋体" w:hAnsi="宋体"/>
        </w:rPr>
      </w:pPr>
      <w:r>
        <w:rPr>
          <w:rFonts w:hint="eastAsia" w:ascii="宋体" w:hAnsi="宋体"/>
        </w:rPr>
        <w:t xml:space="preserve">法定代表人或委托代理人（签字）:              </w:t>
      </w:r>
    </w:p>
    <w:p w14:paraId="0486241D">
      <w:pPr>
        <w:pStyle w:val="7"/>
        <w:spacing w:line="500" w:lineRule="exact"/>
        <w:ind w:firstLine="420"/>
        <w:jc w:val="right"/>
        <w:rPr>
          <w:u w:val="single"/>
        </w:rPr>
      </w:pPr>
      <w:r>
        <w:rPr>
          <w:rFonts w:hint="eastAsia"/>
        </w:rPr>
        <w:t>供应商名称（盖章）：</w:t>
      </w:r>
      <w:r>
        <w:rPr>
          <w:rFonts w:hint="eastAsia"/>
          <w:u w:val="single"/>
        </w:rPr>
        <w:t xml:space="preserve">       </w:t>
      </w:r>
    </w:p>
    <w:p w14:paraId="58956BBE">
      <w:pPr>
        <w:spacing w:line="500" w:lineRule="exact"/>
        <w:ind w:firstLine="420"/>
        <w:jc w:val="right"/>
        <w:rPr>
          <w:rFonts w:ascii="宋体" w:hAnsi="宋体"/>
        </w:rPr>
        <w:sectPr>
          <w:pgSz w:w="11906" w:h="16838"/>
          <w:pgMar w:top="1134" w:right="1134" w:bottom="1134" w:left="1134" w:header="851" w:footer="992" w:gutter="0"/>
          <w:cols w:space="425" w:num="1"/>
          <w:docGrid w:type="lines" w:linePitch="312" w:charSpace="0"/>
        </w:sectPr>
      </w:pPr>
      <w:r>
        <w:rPr>
          <w:rFonts w:hint="eastAsia" w:ascii="宋体" w:hAnsi="宋体"/>
        </w:rPr>
        <w:t>报价时间：</w:t>
      </w:r>
      <w:r>
        <w:rPr>
          <w:rFonts w:hint="eastAsia" w:ascii="宋体" w:hAnsi="宋体"/>
          <w:u w:val="single"/>
        </w:rPr>
        <w:t xml:space="preserve">     </w:t>
      </w:r>
      <w:r>
        <w:rPr>
          <w:rFonts w:hint="eastAsia" w:ascii="宋体" w:hAnsi="宋体"/>
        </w:rPr>
        <w:t>年</w:t>
      </w:r>
      <w:r>
        <w:rPr>
          <w:rFonts w:hint="eastAsia" w:ascii="宋体" w:hAnsi="宋体"/>
          <w:u w:val="single"/>
        </w:rPr>
        <w:t xml:space="preserve">     </w:t>
      </w:r>
      <w:r>
        <w:rPr>
          <w:rFonts w:hint="eastAsia" w:ascii="宋体" w:hAnsi="宋体"/>
        </w:rPr>
        <w:t>月</w:t>
      </w:r>
      <w:r>
        <w:rPr>
          <w:rFonts w:hint="eastAsia" w:ascii="宋体" w:hAnsi="宋体"/>
          <w:u w:val="single"/>
        </w:rPr>
        <w:t xml:space="preserve">    </w:t>
      </w:r>
      <w:r>
        <w:rPr>
          <w:rFonts w:hint="eastAsia" w:ascii="宋体" w:hAnsi="宋体"/>
        </w:rPr>
        <w:t>日</w:t>
      </w:r>
    </w:p>
    <w:p w14:paraId="182723A9">
      <w:pPr>
        <w:snapToGrid w:val="0"/>
        <w:spacing w:before="156" w:beforeLines="50" w:after="50"/>
        <w:jc w:val="left"/>
        <w:rPr>
          <w:rFonts w:asciiTheme="minorEastAsia" w:hAnsiTheme="minorEastAsia" w:eastAsiaTheme="minorEastAsia"/>
          <w:szCs w:val="24"/>
        </w:rPr>
      </w:pPr>
      <w:r>
        <w:rPr>
          <w:rFonts w:hint="eastAsia" w:asciiTheme="minorEastAsia" w:hAnsiTheme="minorEastAsia" w:eastAsiaTheme="minorEastAsia"/>
          <w:b/>
          <w:sz w:val="24"/>
          <w:szCs w:val="24"/>
        </w:rPr>
        <w:t>（五）中小企业声明函</w:t>
      </w:r>
    </w:p>
    <w:p w14:paraId="62353D4A">
      <w:pPr>
        <w:rPr>
          <w:rFonts w:asciiTheme="minorEastAsia" w:hAnsiTheme="minorEastAsia" w:eastAsiaTheme="minorEastAsia"/>
          <w:szCs w:val="24"/>
        </w:rPr>
      </w:pPr>
    </w:p>
    <w:p w14:paraId="21E2D415">
      <w:pPr>
        <w:spacing w:line="500" w:lineRule="exact"/>
        <w:jc w:val="center"/>
        <w:rPr>
          <w:rFonts w:ascii="仿宋_GB2312" w:hAnsi="仿宋_GB2312" w:eastAsia="仿宋_GB2312"/>
          <w:b/>
          <w:sz w:val="32"/>
          <w:szCs w:val="32"/>
        </w:rPr>
      </w:pPr>
      <w:r>
        <w:rPr>
          <w:rFonts w:hint="eastAsia" w:ascii="仿宋_GB2312" w:hAnsi="仿宋_GB2312" w:eastAsia="仿宋_GB2312"/>
          <w:b/>
          <w:sz w:val="32"/>
          <w:szCs w:val="32"/>
        </w:rPr>
        <w:t>中小企业声明函</w:t>
      </w:r>
    </w:p>
    <w:p w14:paraId="56ADE057">
      <w:pPr>
        <w:ind w:left="-426" w:right="142" w:firstLine="567"/>
        <w:contextualSpacing/>
        <w:rPr>
          <w:rFonts w:asciiTheme="minorEastAsia" w:hAnsiTheme="minorEastAsia" w:eastAsiaTheme="minorEastAsia"/>
          <w:kern w:val="24"/>
          <w:sz w:val="24"/>
          <w:szCs w:val="24"/>
        </w:rPr>
      </w:pPr>
    </w:p>
    <w:p w14:paraId="01EB7100">
      <w:pPr>
        <w:pStyle w:val="3"/>
      </w:pPr>
    </w:p>
    <w:p w14:paraId="757FF736"/>
    <w:sectPr>
      <w:pgSz w:w="11906" w:h="16838"/>
      <w:pgMar w:top="1134" w:right="1134" w:bottom="1134"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C39163">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0EC914BE">
                          <w:pPr>
                            <w:pStyle w:val="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AqZhe+3AIAACQGAAAOAAAAAAAAAAEAIAAAAB8BAABkcnMvZTJvRG9jLnhtbFBLBQYA&#10;AAAABgAGAFkBAABtBgAAAAA=&#10;">
              <v:fill on="f" focussize="0,0"/>
              <v:stroke on="f" weight="0.5pt"/>
              <v:imagedata o:title=""/>
              <o:lock v:ext="edit" aspectratio="f"/>
              <v:textbox inset="0mm,0mm,0mm,0mm" style="mso-fit-shape-to-text:t;">
                <w:txbxContent>
                  <w:p w14:paraId="0EC914BE">
                    <w:pPr>
                      <w:pStyle w:val="8"/>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3EB73EB"/>
    <w:multiLevelType w:val="singleLevel"/>
    <w:tmpl w:val="93EB73EB"/>
    <w:lvl w:ilvl="0" w:tentative="0">
      <w:start w:val="1"/>
      <w:numFmt w:val="decimal"/>
      <w:suff w:val="nothing"/>
      <w:lvlText w:val="%1、"/>
      <w:lvlJc w:val="left"/>
    </w:lvl>
  </w:abstractNum>
  <w:abstractNum w:abstractNumId="1">
    <w:nsid w:val="3A902DAE"/>
    <w:multiLevelType w:val="singleLevel"/>
    <w:tmpl w:val="3A902DAE"/>
    <w:lvl w:ilvl="0" w:tentative="0">
      <w:start w:val="1"/>
      <w:numFmt w:val="decimal"/>
      <w:suff w:val="nothing"/>
      <w:lvlText w:val="%1、"/>
      <w:lvlJc w:val="left"/>
    </w:lvl>
  </w:abstractNum>
  <w:abstractNum w:abstractNumId="2">
    <w:nsid w:val="627FD80E"/>
    <w:multiLevelType w:val="singleLevel"/>
    <w:tmpl w:val="627FD80E"/>
    <w:lvl w:ilvl="0" w:tentative="0">
      <w:start w:val="1"/>
      <w:numFmt w:val="decimal"/>
      <w:suff w:val="nothing"/>
      <w:lvlText w:val="%1、"/>
      <w:lvlJc w:val="left"/>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68F2550"/>
    <w:rsid w:val="07243642"/>
    <w:rsid w:val="31694B05"/>
    <w:rsid w:val="373958E7"/>
    <w:rsid w:val="5D151DBC"/>
    <w:rsid w:val="620A20E5"/>
    <w:rsid w:val="6CC06D49"/>
    <w:rsid w:val="71E63ED3"/>
    <w:rsid w:val="79421186"/>
    <w:rsid w:val="794C4C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9" w:semiHidden="0" w:name="heading 3"/>
    <w:lsdException w:qFormat="1"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qFormat="1" w:unhideWhenUsed="0" w:uiPriority="99"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3"/>
    <w:basedOn w:val="1"/>
    <w:next w:val="1"/>
    <w:qFormat/>
    <w:uiPriority w:val="9"/>
    <w:pPr>
      <w:keepNext/>
      <w:keepLines/>
      <w:spacing w:before="260" w:after="260" w:line="416" w:lineRule="auto"/>
      <w:outlineLvl w:val="2"/>
    </w:pPr>
    <w:rPr>
      <w:b/>
      <w:bCs/>
      <w:sz w:val="32"/>
      <w:szCs w:val="32"/>
    </w:rPr>
  </w:style>
  <w:style w:type="paragraph" w:styleId="4">
    <w:name w:val="heading 4"/>
    <w:basedOn w:val="1"/>
    <w:next w:val="1"/>
    <w:unhideWhenUsed/>
    <w:qFormat/>
    <w:uiPriority w:val="9"/>
    <w:pPr>
      <w:keepNext/>
      <w:keepLines/>
      <w:spacing w:before="280" w:after="290" w:line="376" w:lineRule="auto"/>
      <w:outlineLvl w:val="3"/>
    </w:pPr>
    <w:rPr>
      <w:rFonts w:ascii="Cambria" w:hAnsi="Cambria"/>
      <w:b/>
      <w:bCs/>
      <w:sz w:val="28"/>
      <w:szCs w:val="28"/>
    </w:rPr>
  </w:style>
  <w:style w:type="character" w:default="1" w:styleId="14">
    <w:name w:val="Default Paragraph Font"/>
    <w:semiHidden/>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5">
    <w:name w:val="caption"/>
    <w:next w:val="1"/>
    <w:qFormat/>
    <w:uiPriority w:val="0"/>
    <w:pPr>
      <w:widowControl w:val="0"/>
      <w:spacing w:before="152" w:after="160"/>
      <w:jc w:val="both"/>
    </w:pPr>
    <w:rPr>
      <w:rFonts w:ascii="Arial" w:hAnsi="Arial" w:eastAsia="黑体" w:cs="Arial"/>
      <w:kern w:val="2"/>
      <w:lang w:val="en-US" w:eastAsia="zh-CN" w:bidi="ar-SA"/>
    </w:rPr>
  </w:style>
  <w:style w:type="paragraph" w:styleId="6">
    <w:name w:val="annotation text"/>
    <w:basedOn w:val="1"/>
    <w:qFormat/>
    <w:uiPriority w:val="0"/>
    <w:pPr>
      <w:jc w:val="left"/>
    </w:pPr>
  </w:style>
  <w:style w:type="paragraph" w:styleId="7">
    <w:name w:val="Plain Text"/>
    <w:basedOn w:val="1"/>
    <w:next w:val="4"/>
    <w:qFormat/>
    <w:uiPriority w:val="0"/>
    <w:rPr>
      <w:rFonts w:ascii="宋体" w:hAnsi="Courier New"/>
      <w:szCs w:val="20"/>
    </w:rPr>
  </w:style>
  <w:style w:type="paragraph" w:styleId="8">
    <w:name w:val="footer"/>
    <w:basedOn w:val="1"/>
    <w:uiPriority w:val="0"/>
    <w:pPr>
      <w:tabs>
        <w:tab w:val="center" w:pos="4153"/>
        <w:tab w:val="right" w:pos="8306"/>
      </w:tabs>
      <w:snapToGrid w:val="0"/>
      <w:jc w:val="left"/>
    </w:pPr>
    <w:rPr>
      <w:sz w:val="18"/>
    </w:rPr>
  </w:style>
  <w:style w:type="paragraph" w:styleId="9">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toc 1"/>
    <w:basedOn w:val="1"/>
    <w:next w:val="1"/>
    <w:qFormat/>
    <w:uiPriority w:val="39"/>
    <w:pPr>
      <w:spacing w:before="360" w:after="360"/>
      <w:jc w:val="left"/>
    </w:pPr>
    <w:rPr>
      <w:rFonts w:ascii="Calibri" w:hAnsi="Calibri"/>
      <w:b/>
      <w:bCs/>
      <w:caps/>
      <w:sz w:val="22"/>
      <w:szCs w:val="22"/>
      <w:u w:val="single"/>
    </w:rPr>
  </w:style>
  <w:style w:type="paragraph" w:styleId="11">
    <w:name w:val="toc 9"/>
    <w:basedOn w:val="1"/>
    <w:next w:val="1"/>
    <w:qFormat/>
    <w:uiPriority w:val="99"/>
    <w:pPr>
      <w:ind w:left="1470"/>
      <w:jc w:val="left"/>
    </w:pPr>
    <w:rPr>
      <w:sz w:val="20"/>
      <w:szCs w:val="20"/>
    </w:rPr>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5">
    <w:name w:val="Default"/>
    <w:qFormat/>
    <w:uiPriority w:val="0"/>
    <w:pPr>
      <w:widowControl w:val="0"/>
      <w:autoSpaceDE w:val="0"/>
      <w:autoSpaceDN w:val="0"/>
      <w:adjustRightInd w:val="0"/>
      <w:spacing w:line="360" w:lineRule="atLeast"/>
      <w:jc w:val="both"/>
      <w:textAlignment w:val="baseline"/>
    </w:pPr>
    <w:rPr>
      <w:rFonts w:ascii="宋体" w:hAnsi="Calibri" w:eastAsia="Times New Roman" w:cs="Times New Roman"/>
      <w:color w:val="000000"/>
      <w:sz w:val="24"/>
      <w:szCs w:val="24"/>
      <w:lang w:val="en-US" w:eastAsia="zh-CN" w:bidi="ar-SA"/>
    </w:rPr>
  </w:style>
  <w:style w:type="character" w:customStyle="1" w:styleId="16">
    <w:name w:val="NormalCharacter"/>
    <w:qFormat/>
    <w:uiPriority w:val="0"/>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jpeg"/><Relationship Id="rId7" Type="http://schemas.openxmlformats.org/officeDocument/2006/relationships/image" Target="media/image3.jpeg"/><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19</Pages>
  <Words>7060</Words>
  <Characters>8030</Characters>
  <Lines>0</Lines>
  <Paragraphs>0</Paragraphs>
  <TotalTime>15</TotalTime>
  <ScaleCrop>false</ScaleCrop>
  <LinksUpToDate>false</LinksUpToDate>
  <CharactersWithSpaces>8054</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2026-04-12T12:40:00Z</dcterms:created>
  <dc:creator>Lenovo</dc:creator>
  <cp:lastModifiedBy>Jiang</cp:lastModifiedBy>
  <dcterms:modified xsi:type="dcterms:W3CDTF">2026-04-25T05:23:14Z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KSOTemplateDocerSaveRecord">
    <vt:lpwstr>eyJoZGlkIjoiNmNiNzc5YjNkZGRkZmRjM2Q0YTIwYTE1OTc3MDMxMjciLCJ1c2VySWQiOiI1ODU4MTEzNDkifQ==</vt:lpwstr>
  </property>
  <property fmtid="{D5CDD505-2E9C-101B-9397-08002B2CF9AE}" pid="4" name="ICV">
    <vt:lpwstr>2E91D0329AAD4A518B2AE79C2D26E9CE_13</vt:lpwstr>
  </property>
</Properties>
</file>