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7FF60">
      <w:pPr>
        <w:spacing w:line="560" w:lineRule="exact"/>
        <w:jc w:val="center"/>
        <w:rPr>
          <w:rFonts w:hint="eastAsia" w:ascii="华文中宋" w:hAnsi="华文中宋" w:eastAsia="华文中宋" w:cs="华文中宋"/>
          <w:sz w:val="44"/>
          <w:szCs w:val="44"/>
          <w:u w:val="none"/>
          <w:lang w:eastAsia="zh-CN"/>
        </w:rPr>
      </w:pPr>
      <w:r>
        <w:rPr>
          <w:rFonts w:hint="eastAsia" w:ascii="华文中宋" w:hAnsi="华文中宋" w:eastAsia="华文中宋" w:cs="华文中宋"/>
          <w:sz w:val="44"/>
          <w:szCs w:val="44"/>
          <w:u w:val="none"/>
          <w:lang w:eastAsia="zh-CN"/>
        </w:rPr>
        <w:t>招标文件</w:t>
      </w:r>
    </w:p>
    <w:p w14:paraId="3F14250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一、项目信息</w:t>
      </w:r>
    </w:p>
    <w:p w14:paraId="5700B92D">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sz w:val="24"/>
          <w:szCs w:val="24"/>
        </w:rPr>
        <w:t>项目名称：</w:t>
      </w:r>
      <w:r>
        <w:rPr>
          <w:rFonts w:hint="eastAsia" w:ascii="宋体" w:hAnsi="宋体" w:eastAsia="宋体" w:cs="宋体"/>
          <w:b w:val="0"/>
          <w:bCs w:val="0"/>
          <w:color w:val="auto"/>
          <w:sz w:val="24"/>
          <w:szCs w:val="24"/>
          <w:highlight w:val="none"/>
          <w:lang w:val="en-US" w:eastAsia="zh-CN"/>
        </w:rPr>
        <w:t>南宁市第一看守所</w:t>
      </w:r>
      <w:r>
        <w:rPr>
          <w:rFonts w:hint="eastAsia" w:ascii="宋体" w:hAnsi="宋体" w:eastAsia="宋体" w:cs="宋体"/>
          <w:b w:val="0"/>
          <w:bCs w:val="0"/>
          <w:color w:val="auto"/>
          <w:sz w:val="24"/>
          <w:szCs w:val="24"/>
          <w:highlight w:val="none"/>
          <w:lang w:eastAsia="zh-CN"/>
        </w:rPr>
        <w:t>污水处理设备运维服务</w:t>
      </w:r>
    </w:p>
    <w:p w14:paraId="5F991833">
      <w:pPr>
        <w:spacing w:line="560" w:lineRule="exact"/>
        <w:ind w:firstLine="480" w:firstLineChars="200"/>
        <w:rPr>
          <w:rFonts w:hint="default" w:ascii="Arial" w:hAnsi="Arial" w:cs="Arial"/>
          <w:sz w:val="24"/>
          <w:szCs w:val="24"/>
          <w:lang w:val="en-US" w:eastAsia="zh-CN"/>
        </w:rPr>
      </w:pPr>
      <w:r>
        <w:rPr>
          <w:rFonts w:hint="eastAsia" w:ascii="宋体" w:hAnsi="宋体" w:eastAsia="宋体" w:cs="宋体"/>
          <w:sz w:val="24"/>
          <w:szCs w:val="24"/>
        </w:rPr>
        <w:t>项目联系人及联系方式：</w:t>
      </w:r>
      <w:r>
        <w:rPr>
          <w:rFonts w:hint="eastAsia" w:ascii="Arial" w:hAnsi="Arial" w:cs="Arial"/>
          <w:sz w:val="24"/>
          <w:szCs w:val="24"/>
          <w:lang w:eastAsia="zh-CN"/>
        </w:rPr>
        <w:t>周新</w:t>
      </w:r>
      <w:r>
        <w:rPr>
          <w:rFonts w:hint="eastAsia" w:ascii="Arial" w:hAnsi="Arial" w:cs="Arial"/>
          <w:sz w:val="24"/>
          <w:szCs w:val="24"/>
          <w:lang w:val="en-US" w:eastAsia="zh-CN"/>
        </w:rPr>
        <w:t xml:space="preserve">  17877168091</w:t>
      </w:r>
    </w:p>
    <w:p w14:paraId="7F343008">
      <w:pPr>
        <w:spacing w:line="560" w:lineRule="exact"/>
        <w:ind w:firstLine="480" w:firstLineChars="200"/>
        <w:rPr>
          <w:rFonts w:hint="eastAsia" w:ascii="Arial" w:hAnsi="Arial" w:cs="Arial"/>
          <w:sz w:val="24"/>
          <w:szCs w:val="24"/>
          <w:lang w:eastAsia="zh-CN"/>
        </w:rPr>
      </w:pPr>
      <w:r>
        <w:rPr>
          <w:rFonts w:hint="eastAsia" w:ascii="宋体" w:hAnsi="宋体" w:eastAsia="宋体" w:cs="宋体"/>
          <w:sz w:val="24"/>
          <w:szCs w:val="24"/>
        </w:rPr>
        <w:t>报价起止时间：</w:t>
      </w:r>
      <w:r>
        <w:rPr>
          <w:rFonts w:hint="eastAsia" w:ascii="Arial" w:hAnsi="Arial" w:cs="Arial"/>
          <w:sz w:val="24"/>
          <w:szCs w:val="24"/>
          <w:lang w:eastAsia="zh-CN"/>
        </w:rPr>
        <w:t>详见招标公告</w:t>
      </w:r>
    </w:p>
    <w:p w14:paraId="57D27ED3">
      <w:pPr>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采购单位：</w:t>
      </w:r>
      <w:r>
        <w:rPr>
          <w:rFonts w:hint="eastAsia" w:ascii="宋体" w:hAnsi="宋体" w:eastAsia="宋体" w:cs="宋体"/>
          <w:sz w:val="24"/>
          <w:szCs w:val="24"/>
          <w:lang w:eastAsia="zh-CN"/>
        </w:rPr>
        <w:t>南宁市第一看守所</w:t>
      </w:r>
    </w:p>
    <w:p w14:paraId="08FC3AED">
      <w:pPr>
        <w:spacing w:line="56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预算控制价：365275.33元</w:t>
      </w:r>
    </w:p>
    <w:p w14:paraId="07D2991F">
      <w:pPr>
        <w:spacing w:line="56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采购方式：在线询价</w:t>
      </w:r>
    </w:p>
    <w:p w14:paraId="2617975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供应商规模要求：专门面向小型、微型企业</w:t>
      </w:r>
    </w:p>
    <w:p w14:paraId="4D9DE3A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二、采购需求</w:t>
      </w:r>
    </w:p>
    <w:tbl>
      <w:tblPr>
        <w:tblStyle w:val="9"/>
        <w:tblW w:w="93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6"/>
        <w:gridCol w:w="7333"/>
        <w:gridCol w:w="720"/>
      </w:tblGrid>
      <w:tr w14:paraId="6A5A3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9"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85F8D0">
            <w:pPr>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73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EA34CE">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0FFDBA">
            <w:pPr>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分项预算合计（元）</w:t>
            </w:r>
          </w:p>
        </w:tc>
      </w:tr>
      <w:tr w14:paraId="05B21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B77D47">
            <w:pPr>
              <w:widowControl/>
              <w:spacing w:line="360" w:lineRule="auto"/>
              <w:contextualSpacing/>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南宁市第一看守所</w:t>
            </w:r>
            <w:r>
              <w:rPr>
                <w:rFonts w:hint="eastAsia" w:ascii="宋体" w:hAnsi="宋体" w:eastAsia="宋体" w:cs="宋体"/>
                <w:b w:val="0"/>
                <w:bCs w:val="0"/>
                <w:color w:val="auto"/>
                <w:sz w:val="24"/>
                <w:szCs w:val="24"/>
                <w:highlight w:val="none"/>
                <w:lang w:eastAsia="zh-CN"/>
              </w:rPr>
              <w:t>污水处理设备运维服务</w:t>
            </w:r>
          </w:p>
        </w:tc>
        <w:tc>
          <w:tcPr>
            <w:tcW w:w="73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0384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b/>
                <w:bCs/>
                <w:color w:val="auto"/>
                <w:sz w:val="24"/>
                <w:szCs w:val="24"/>
                <w:highlight w:val="none"/>
                <w:lang w:eastAsia="zh-CN"/>
              </w:rPr>
              <w:t>一、</w:t>
            </w:r>
            <w:r>
              <w:rPr>
                <w:rFonts w:hint="eastAsia" w:ascii="宋体" w:hAnsi="宋体" w:eastAsia="宋体" w:cs="宋体"/>
                <w:b/>
                <w:bCs/>
                <w:color w:val="auto"/>
                <w:sz w:val="24"/>
                <w:szCs w:val="24"/>
                <w:highlight w:val="none"/>
              </w:rPr>
              <w:t>项目服务内容</w:t>
            </w:r>
          </w:p>
          <w:p w14:paraId="1BCE337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根据采购单位要求，选定1家供应商承包采购人污水处理设备运营维护服务，供应商中标后，根据采购人的需求提供</w:t>
            </w:r>
            <w:r>
              <w:rPr>
                <w:rFonts w:hint="eastAsia" w:ascii="宋体" w:hAnsi="宋体" w:eastAsia="宋体" w:cs="宋体"/>
                <w:color w:val="auto"/>
                <w:sz w:val="24"/>
                <w:szCs w:val="24"/>
                <w:highlight w:val="none"/>
                <w:lang w:val="en-US" w:eastAsia="zh-CN"/>
              </w:rPr>
              <w:t>南宁市第一看守所</w:t>
            </w:r>
            <w:r>
              <w:rPr>
                <w:rFonts w:hint="eastAsia" w:ascii="宋体" w:hAnsi="宋体" w:eastAsia="宋体" w:cs="宋体"/>
                <w:color w:val="auto"/>
                <w:sz w:val="24"/>
                <w:szCs w:val="24"/>
                <w:highlight w:val="none"/>
              </w:rPr>
              <w:t>污水处理设施运营维护工作，运维期1年</w:t>
            </w:r>
            <w:r>
              <w:rPr>
                <w:rFonts w:hint="eastAsia" w:ascii="宋体" w:hAnsi="宋体" w:cs="宋体"/>
                <w:color w:val="auto"/>
                <w:sz w:val="24"/>
                <w:szCs w:val="24"/>
                <w:highlight w:val="none"/>
                <w:lang w:eastAsia="zh-CN"/>
              </w:rPr>
              <w:t>。</w:t>
            </w:r>
          </w:p>
          <w:p w14:paraId="77078E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b/>
                <w:bCs/>
                <w:color w:val="auto"/>
                <w:sz w:val="24"/>
                <w:szCs w:val="24"/>
                <w:highlight w:val="none"/>
                <w:lang w:eastAsia="zh-CN"/>
              </w:rPr>
              <w:t>二、</w:t>
            </w:r>
            <w:r>
              <w:rPr>
                <w:rFonts w:hint="eastAsia" w:ascii="宋体" w:hAnsi="宋体" w:eastAsia="宋体" w:cs="宋体"/>
                <w:b/>
                <w:bCs/>
                <w:color w:val="auto"/>
                <w:sz w:val="24"/>
                <w:szCs w:val="24"/>
                <w:highlight w:val="none"/>
              </w:rPr>
              <w:t>项目服务范围</w:t>
            </w:r>
          </w:p>
          <w:p w14:paraId="06ACBA4B">
            <w:pPr>
              <w:pStyle w:val="14"/>
              <w:numPr>
                <w:ilvl w:val="0"/>
                <w:numId w:val="0"/>
              </w:numPr>
              <w:spacing w:line="360" w:lineRule="auto"/>
              <w:ind w:left="630" w:left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服务内容：</w:t>
            </w:r>
          </w:p>
          <w:p w14:paraId="3114A97F">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整个服务期内提供运营技术指导、咨询服务，协助采购人建立完善的、针对该项目的运营管理方案及工作规章制度，并对操作、管理人员进行必要的技术及理论培训，对污水处理设施运营实行全程技术指导，包括人员培训、日常生产消耗材料、设备运行操作、设备维修、维护保养、污泥处理、</w:t>
            </w:r>
            <w:r>
              <w:rPr>
                <w:rFonts w:hint="eastAsia" w:ascii="宋体" w:hAnsi="宋体" w:eastAsia="宋体" w:cs="宋体"/>
                <w:color w:val="auto"/>
                <w:sz w:val="24"/>
                <w:szCs w:val="24"/>
                <w:highlight w:val="none"/>
                <w:lang w:eastAsia="zh-CN"/>
              </w:rPr>
              <w:t>在</w:t>
            </w:r>
            <w:r>
              <w:rPr>
                <w:rFonts w:hint="eastAsia" w:ascii="宋体" w:hAnsi="宋体" w:eastAsia="宋体" w:cs="宋体"/>
                <w:color w:val="000000" w:themeColor="text1"/>
                <w:sz w:val="24"/>
                <w:szCs w:val="24"/>
                <w:highlight w:val="none"/>
                <w:lang w:eastAsia="zh-CN"/>
                <w14:textFill>
                  <w14:solidFill>
                    <w14:schemeClr w14:val="tx1"/>
                  </w14:solidFill>
                </w14:textFill>
              </w:rPr>
              <w:t>线</w:t>
            </w:r>
            <w:r>
              <w:rPr>
                <w:rFonts w:hint="eastAsia" w:ascii="宋体" w:hAnsi="宋体" w:eastAsia="宋体" w:cs="宋体"/>
                <w:color w:val="000000" w:themeColor="text1"/>
                <w:sz w:val="24"/>
                <w:szCs w:val="24"/>
                <w:highlight w:val="none"/>
                <w:lang w:val="en-US" w:eastAsia="zh-CN"/>
                <w14:textFill>
                  <w14:solidFill>
                    <w14:schemeClr w14:val="tx1"/>
                  </w14:solidFill>
                </w14:textFill>
              </w:rPr>
              <w:t>监测仪器药剂配制和维护</w:t>
            </w:r>
            <w:r>
              <w:rPr>
                <w:rFonts w:hint="eastAsia" w:ascii="宋体" w:hAnsi="宋体" w:eastAsia="宋体" w:cs="宋体"/>
                <w:color w:val="000000" w:themeColor="text1"/>
                <w:sz w:val="24"/>
                <w:szCs w:val="24"/>
                <w:highlight w:val="none"/>
                <w14:textFill>
                  <w14:solidFill>
                    <w14:schemeClr w14:val="tx1"/>
                  </w14:solidFill>
                </w14:textFill>
              </w:rPr>
              <w:t>等</w:t>
            </w:r>
            <w:r>
              <w:rPr>
                <w:rFonts w:hint="eastAsia" w:ascii="宋体" w:hAnsi="宋体" w:eastAsia="宋体" w:cs="宋体"/>
                <w:color w:val="auto"/>
                <w:sz w:val="24"/>
                <w:szCs w:val="24"/>
                <w:highlight w:val="none"/>
              </w:rPr>
              <w:t>工作，协助解决日常运营过程中产 的各种突发事件，协助编制与项目运营相关的各种登记表单，实现本项目的规范化运营管理，确保本项目各项运营指标达标，并满足自治区、南宁市等上级有关部门考核要求。</w:t>
            </w:r>
          </w:p>
          <w:p w14:paraId="3D244EAA">
            <w:pPr>
              <w:pStyle w:val="14"/>
              <w:spacing w:line="360" w:lineRule="auto"/>
              <w:ind w:left="52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运营方案要求：</w:t>
            </w:r>
          </w:p>
          <w:p w14:paraId="7A16137C">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按照相关管理要求，实现南宁市第一看守所污水处理工程的规范化运营管理，确保本项目各项运营指标达标，并满足自治区、南宁市等上级有关部门考核要求。</w:t>
            </w:r>
          </w:p>
          <w:p w14:paraId="0ACB705C">
            <w:pPr>
              <w:pStyle w:val="14"/>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处理规模：南宁市第一看守所</w:t>
            </w:r>
            <w:r>
              <w:rPr>
                <w:rFonts w:hint="eastAsia" w:ascii="宋体" w:hAnsi="宋体" w:eastAsia="宋体" w:cs="宋体"/>
                <w:color w:val="auto"/>
                <w:sz w:val="24"/>
                <w:szCs w:val="24"/>
                <w:highlight w:val="none"/>
                <w:lang w:val="en-US"/>
              </w:rPr>
              <w:t>12</w:t>
            </w:r>
            <w:r>
              <w:rPr>
                <w:rFonts w:hint="eastAsia" w:ascii="宋体" w:hAnsi="宋体" w:eastAsia="宋体" w:cs="宋体"/>
                <w:color w:val="auto"/>
                <w:sz w:val="24"/>
                <w:szCs w:val="24"/>
                <w:highlight w:val="none"/>
              </w:rPr>
              <w:t>00吨/日</w:t>
            </w:r>
            <w:r>
              <w:rPr>
                <w:rFonts w:hint="eastAsia" w:ascii="宋体" w:hAnsi="宋体" w:eastAsia="宋体" w:cs="宋体"/>
                <w:color w:val="auto"/>
                <w:sz w:val="24"/>
                <w:szCs w:val="24"/>
                <w:highlight w:val="none"/>
                <w:lang w:eastAsia="zh-CN"/>
              </w:rPr>
              <w:t>。</w:t>
            </w:r>
          </w:p>
          <w:p w14:paraId="1067759A">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处理工艺：南宁市第一看守所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多级生物接触氧化反应处理工艺</w:t>
            </w:r>
          </w:p>
          <w:p w14:paraId="51FC8192">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处理标准：要求南宁市第一看守所污水处理排放标准达到《城镇污水处理厂污染物排放标准》中的</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标准，要求经消毒达标后的出水排入市政管网。化学需氧量COD及氨氮的消减量和污水处理率及负荷率达到环保排放要求，污泥处置符合要求；</w:t>
            </w:r>
          </w:p>
          <w:p w14:paraId="6F5866BD">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运营单位工作要求：</w:t>
            </w:r>
          </w:p>
          <w:p w14:paraId="35721132">
            <w:pPr>
              <w:spacing w:line="360" w:lineRule="auto"/>
              <w:ind w:firstLine="499" w:firstLine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1、经处理的出水水质和处理量能达到设计和环保要求；每天对污水自行检测，一个季度1次委托有资质的监测机构对污水处理系统的出水水质进行监测，并出具加盖有效的CMA章的监测报告，</w:t>
            </w:r>
            <w:r>
              <w:rPr>
                <w:rFonts w:hint="eastAsia" w:ascii="宋体" w:hAnsi="宋体" w:eastAsia="宋体" w:cs="宋体"/>
                <w:color w:val="auto"/>
                <w:sz w:val="24"/>
                <w:szCs w:val="24"/>
                <w:highlight w:val="none"/>
              </w:rPr>
              <w:t>确保各处污水处理站出水水质要求达到城镇污水处理厂污染物排放的排放标准</w:t>
            </w:r>
            <w:r>
              <w:rPr>
                <w:rFonts w:hint="eastAsia" w:ascii="宋体" w:hAnsi="宋体" w:eastAsia="宋体" w:cs="宋体"/>
                <w:color w:val="auto"/>
                <w:sz w:val="24"/>
                <w:szCs w:val="24"/>
                <w:highlight w:val="none"/>
                <w:lang w:eastAsia="zh-CN"/>
              </w:rPr>
              <w:t>，大气污染物排放标准达到《恶臭污染物排放标准》GB14554-1993</w:t>
            </w:r>
            <w:r>
              <w:rPr>
                <w:rFonts w:hint="eastAsia" w:ascii="宋体" w:hAnsi="宋体" w:eastAsia="宋体" w:cs="宋体"/>
                <w:color w:val="auto"/>
                <w:sz w:val="24"/>
                <w:szCs w:val="24"/>
                <w:highlight w:val="none"/>
              </w:rPr>
              <w:t>。对设备能进行日常检修维护保养，确保污水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臭气</w:t>
            </w:r>
            <w:r>
              <w:rPr>
                <w:rFonts w:hint="eastAsia" w:ascii="宋体" w:hAnsi="宋体" w:eastAsia="宋体" w:cs="宋体"/>
                <w:color w:val="auto"/>
                <w:sz w:val="24"/>
                <w:szCs w:val="24"/>
                <w:highlight w:val="none"/>
              </w:rPr>
              <w:t>处理设施正常运转，设施设备完好，仪表显示正常，并在托管运营期满时将项目设施完好移交给采购人，并保证能正常运行。</w:t>
            </w:r>
          </w:p>
          <w:p w14:paraId="4CE4F98F">
            <w:pPr>
              <w:spacing w:line="360" w:lineRule="auto"/>
              <w:ind w:firstLine="499" w:firstLine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2、在运营期间，供应商必须安排取得相关上岗证书人员服务本项目，并建立相应的排班制度，保持通讯渠道畅通，设立专门应急队伍，负责运营期间突发事件的处理，确保及时到位。</w:t>
            </w:r>
          </w:p>
          <w:p w14:paraId="0851A388">
            <w:pPr>
              <w:spacing w:line="360" w:lineRule="auto"/>
              <w:ind w:firstLine="499" w:firstLine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3、制定完备的设运营服务方案，按照规定在正常情况下完成出水</w:t>
            </w:r>
            <w:r>
              <w:rPr>
                <w:rFonts w:hint="eastAsia" w:ascii="宋体" w:hAnsi="宋体" w:eastAsia="宋体" w:cs="宋体"/>
                <w:color w:val="auto"/>
                <w:sz w:val="24"/>
                <w:szCs w:val="24"/>
                <w:highlight w:val="none"/>
                <w:lang w:val="en-US" w:eastAsia="zh-CN"/>
              </w:rPr>
              <w:t>水质达标</w:t>
            </w:r>
            <w:r>
              <w:rPr>
                <w:rFonts w:hint="eastAsia" w:ascii="宋体" w:hAnsi="宋体" w:eastAsia="宋体" w:cs="宋体"/>
                <w:color w:val="auto"/>
                <w:sz w:val="24"/>
                <w:szCs w:val="24"/>
                <w:highlight w:val="none"/>
              </w:rPr>
              <w:t>，每日做好处理量记录，必须建立运行管理台账，内容包括设施运转情况、设备维护情况等，每月要有运营管理总结并定期上报采购人。并接受采购人和环保部门的监督检查。每月的 5日前向采购人报告上个月的运营情况，按月报表形式汇报。包括处理水量、出水水质、安全生产、设备运行记录等情况,将每个点运行台帐装订成册交采购人保存。</w:t>
            </w:r>
          </w:p>
          <w:p w14:paraId="33771AF5">
            <w:pPr>
              <w:spacing w:line="360" w:lineRule="auto"/>
              <w:ind w:firstLine="499" w:firstLine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4、详实纪录并妥善保存污水排放的日常运行记录报表、维修保养记录，水质检测报告，合同期满后，完整移交给采购人。在运营期内，有义务配合采购人做好上级部门的监督检查工作，并提供相关材料。</w:t>
            </w:r>
          </w:p>
          <w:p w14:paraId="43CDAB8B">
            <w:pPr>
              <w:spacing w:line="360" w:lineRule="auto"/>
              <w:ind w:firstLine="499" w:firstLine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建立并完善污水处理工作制度、人员岗位职责、巡查制度和各种应急处理预案，确保污水处理设施常年正常运转，在设备保修期间，一旦发现运行异常和污水处理设施出现问题，要立即上报并立即对接设备安装单位进行维修，保证污水处理系统的正常运营，不出环保和安全事故。</w:t>
            </w:r>
          </w:p>
          <w:p w14:paraId="52D29E0D">
            <w:pPr>
              <w:spacing w:line="360" w:lineRule="auto"/>
              <w:ind w:firstLine="499" w:firstLine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6、须按相关法规要求对污泥进行合规处理和处置。</w:t>
            </w:r>
          </w:p>
          <w:p w14:paraId="23E67780">
            <w:pPr>
              <w:spacing w:line="360" w:lineRule="auto"/>
              <w:ind w:firstLine="499" w:firstLineChars="2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承担设施设备运行维护管理安全生产责任，严格操作规程，加强对操作人员的安全生产教育，定期检查设施的运行维护及设备运转情况，及时纠正、排除安全隐患，保证运行维护做到安全、规范、优质、高效。因管理人员操作不当或失职造成的安全问题、设备故障，责任由服务方自行承担。</w:t>
            </w:r>
          </w:p>
          <w:p w14:paraId="17FA767A">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8、运营维护服务工程中，执行各处污水处理设施要求的出水排放标准，出水重力流排入市政污水处理厂管网。</w:t>
            </w:r>
          </w:p>
          <w:p w14:paraId="60468F3A">
            <w:pPr>
              <w:spacing w:line="360" w:lineRule="auto"/>
              <w:ind w:firstLine="720" w:firstLineChars="300"/>
              <w:jc w:val="both"/>
              <w:rPr>
                <w:rFonts w:hint="eastAsia" w:ascii="宋体" w:hAnsi="宋体" w:eastAsia="宋体" w:cs="宋体"/>
                <w:color w:val="auto"/>
                <w:kern w:val="0"/>
                <w:sz w:val="24"/>
                <w:szCs w:val="24"/>
                <w:highlight w:val="none"/>
                <w:lang w:val="en-US" w:bidi="ar-SA"/>
              </w:rPr>
            </w:pPr>
            <w:r>
              <w:rPr>
                <w:rFonts w:hint="eastAsia" w:ascii="宋体" w:hAnsi="宋体" w:cs="宋体"/>
                <w:color w:val="auto"/>
                <w:kern w:val="0"/>
                <w:sz w:val="24"/>
                <w:szCs w:val="24"/>
                <w:highlight w:val="none"/>
                <w:lang w:val="en-US" w:eastAsia="zh-CN" w:bidi="ar-SA"/>
              </w:rPr>
              <w:t>（四）</w:t>
            </w:r>
            <w:r>
              <w:rPr>
                <w:rFonts w:hint="eastAsia" w:ascii="宋体" w:hAnsi="宋体" w:eastAsia="宋体" w:cs="宋体"/>
                <w:color w:val="auto"/>
                <w:kern w:val="0"/>
                <w:sz w:val="24"/>
                <w:szCs w:val="24"/>
                <w:highlight w:val="none"/>
                <w:lang w:val="en-US" w:bidi="ar-SA"/>
              </w:rPr>
              <w:t>污水处理设施维护要求：</w:t>
            </w:r>
          </w:p>
          <w:p w14:paraId="2859EB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运营单位应定期对站内处理设施进行养护、维修</w:t>
            </w:r>
            <w:r>
              <w:rPr>
                <w:rFonts w:hint="eastAsia" w:ascii="宋体" w:hAnsi="宋体" w:cs="宋体"/>
                <w:color w:val="auto"/>
                <w:sz w:val="24"/>
                <w:szCs w:val="24"/>
                <w:highlight w:val="none"/>
                <w:lang w:eastAsia="zh-CN"/>
              </w:rPr>
              <w:t>（所需维保的设施、设备包括但不限于以下内容）</w:t>
            </w:r>
            <w:r>
              <w:rPr>
                <w:rFonts w:hint="eastAsia" w:ascii="宋体" w:hAnsi="宋体" w:eastAsia="宋体" w:cs="宋体"/>
                <w:color w:val="auto"/>
                <w:sz w:val="24"/>
                <w:szCs w:val="24"/>
                <w:highlight w:val="none"/>
              </w:rPr>
              <w:t>：</w:t>
            </w:r>
          </w:p>
          <w:p w14:paraId="484E99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1、管网系统</w:t>
            </w:r>
          </w:p>
          <w:p w14:paraId="20C5A8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理管道内积泥；发现堵塞时，应养护、疏通；发现管道渗漏、破损、变形时，应维修、更换；雨污混接时，应及时上报。清理检查井内的杂物、垃圾、积泥；发现堵塞时，应进行养护、疏通；井筒或井框破损、变形，井盖破损、缺失、无法打开、井盖标识错误，应维修、更换。井盖被违章占压时，应及时上报。</w:t>
            </w:r>
          </w:p>
          <w:p w14:paraId="58AB16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2、格栅井</w:t>
            </w:r>
          </w:p>
          <w:p w14:paraId="46DE7B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查看格栅井内液位，调整格栅高度。格栅有损坏或变形时，应更换。格栅井口被杂物覆盖时，应清理。</w:t>
            </w:r>
          </w:p>
          <w:p w14:paraId="53CF0F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3、调节池</w:t>
            </w:r>
          </w:p>
          <w:p w14:paraId="661ABF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看调节池盖板，有损坏时，应修复或更换。每年至少进行一次清池及检修，确保液位计正常工作。对调节池井底进行人工清淤时，运维人员应遵守规章制度，先进行通风，确保井内部有毒有害气体排出后，方可进行清扫作业。</w:t>
            </w:r>
          </w:p>
          <w:p w14:paraId="5AC130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4、处理工艺设施的维护</w:t>
            </w:r>
          </w:p>
          <w:p w14:paraId="6DDE17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（1）工艺设施运维：</w:t>
            </w:r>
          </w:p>
          <w:p w14:paraId="0C518D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应保持各生物池中各生物池运行参数应符合技术要求。池内有填料的情况下，发现填料破损或不足时，应及时补充；工艺设施的巡检养护应按照技术规程进行。</w:t>
            </w:r>
          </w:p>
          <w:p w14:paraId="5E0CFB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（2）多级生物接触氧化反应工艺运维：</w:t>
            </w:r>
          </w:p>
          <w:p w14:paraId="1C9E5C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控制水力负荷，生物滤池各控制参数应符合技术要求；检查滤池填料，填料破损或不足时，应及时补充；生物滤池内有曝气系统时，应严格控制曝气量，确保曝气器和风机正常工作；生物滤池的巡检养护应按技术规程进行。</w:t>
            </w:r>
          </w:p>
          <w:p w14:paraId="48F9DE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（3）膜生物反应器运维：</w:t>
            </w:r>
          </w:p>
          <w:p w14:paraId="1D1038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跨膜压差，跨膜压差上升时，应清洗膜组件；检查曝气量，有异常或曝气不均时，应及时调整曝气量，检修风机及曝气器；不应随意倾倒膜清洗液和废液，应按照环保要求处理；MBR的巡检养护应按技术规程进行。</w:t>
            </w:r>
          </w:p>
          <w:p w14:paraId="639243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5、消毒设备</w:t>
            </w:r>
          </w:p>
          <w:p w14:paraId="03571C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（1）化学消毒</w:t>
            </w:r>
          </w:p>
          <w:p w14:paraId="6D792E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处理终端使用化学消毒时，应注意以下问题：使用含氯消毒剂对污水消毒时，应做好防护，避免药剂与皮肤直接接触；检查消毒剂余量，余量不足时添加，并记录添加量和时间；加氯量以氯计宜为6～15mg/L，接触30分钟以上。宜根据余氯量、水质、水量试验确定并调整消毒剂投加量。</w:t>
            </w:r>
          </w:p>
          <w:p w14:paraId="2D7058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6、化学除磷</w:t>
            </w:r>
          </w:p>
          <w:p w14:paraId="45ADF3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化学除磷通常使用聚合硫酸铁、聚合氯化铝等除磷药剂，可按照铁或铝与污水里总磷的摩尔比为1.5～3进行投加。检查污泥存储和外排装置，确保其正常工作，并定期排泥。化学除磷的污泥应妥善处置。</w:t>
            </w:r>
          </w:p>
          <w:p w14:paraId="0F43F17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7、出水井</w:t>
            </w:r>
          </w:p>
          <w:p w14:paraId="5C11FD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清理出水井中淤积物、漂浮物等；检查出水井出水，确保其排水通畅；出水井渗漏、破损时，应进行维修。</w:t>
            </w:r>
          </w:p>
          <w:p w14:paraId="7F24188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8、附属设施</w:t>
            </w:r>
          </w:p>
          <w:p w14:paraId="4AFD6B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（1）污水泵</w:t>
            </w:r>
          </w:p>
          <w:p w14:paraId="163FD4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人员应对污水泵进行维保，可按《产品使用说明书》执行：检查水泵油室及机械密封件的状况，操作时不应损坏其密封件端面和轴；起吊和吊放污水泵时，不应牵提其电缆；必要时更换机油和其它机械密封件；检查泵体、叶轮、叶片、轴套、闸阀、管道，有损坏时，应修理或更换，并清除淤积物；检查电机绝缘情况，管路、螺丝钉以及结合处松动时，应加固；长期不用污水泵时，应将其拆开，把内部所有水分擦干，并做防锈处理。</w:t>
            </w:r>
          </w:p>
          <w:p w14:paraId="366001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（2）风机</w:t>
            </w:r>
          </w:p>
          <w:p w14:paraId="65B69A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人员应对风机进行维保，可按《产品使用说明书》执行：风机声音或振动有异常时，应查明原因，采取相应措施；风机的进风廊道、空气等的过滤装置堵塞时，应清洁；检查风机的风压、电流和电压等参数，确保正常运行；风机磨损时，应更换磨损的组件；电缆损坏时，应更换；遇到不能排除的故障时，应停机检查。</w:t>
            </w:r>
          </w:p>
          <w:p w14:paraId="47016F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（3）流量计</w:t>
            </w:r>
          </w:p>
          <w:p w14:paraId="60D99E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流量计的仪表显示和供电情况，连接管或线路存在泄漏、损坏情况时，应及时维修、更换；使用电磁流量计时，宜每月进行阻尼检查和零位调校，清除传感器电极上的污垢；使用超声波明渠流量计时，接线端子及电气元件有松动、锈蚀时，应加固或更换，定期清洗探头。</w:t>
            </w:r>
          </w:p>
          <w:p w14:paraId="263FC5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（4）液位计</w:t>
            </w:r>
          </w:p>
          <w:p w14:paraId="6AE2AF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液位计工作情况，有问题时应及时修理；使用浮球液位开关时，应检查浮球是否被卡住，有螺丝钉松动时应加固，定期清洗浮球及连杆；使用超声波液位计时，应检查探头，发现有锈蚀、脱落、探头接触不良的情况，应维修、更换，定期清洗探头。</w:t>
            </w:r>
          </w:p>
          <w:p w14:paraId="21189136">
            <w:pPr>
              <w:pStyle w:val="2"/>
              <w:numPr>
                <w:ilvl w:val="0"/>
                <w:numId w:val="1"/>
              </w:numPr>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在线检测设备</w:t>
            </w:r>
          </w:p>
          <w:p w14:paraId="1DFDDB5A">
            <w:pPr>
              <w:pStyle w:val="2"/>
              <w:numPr>
                <w:ilvl w:val="0"/>
                <w:numId w:val="0"/>
              </w:numPr>
              <w:ind w:lef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每个月定期对在线监测设备试剂更换和维护，有问题时候</w:t>
            </w:r>
            <w:r>
              <w:rPr>
                <w:rFonts w:hint="eastAsia" w:ascii="宋体" w:hAnsi="宋体" w:eastAsia="宋体" w:cs="宋体"/>
                <w:color w:val="auto"/>
                <w:sz w:val="24"/>
                <w:szCs w:val="24"/>
                <w:highlight w:val="none"/>
              </w:rPr>
              <w:t>应及时</w:t>
            </w:r>
            <w:r>
              <w:rPr>
                <w:rFonts w:hint="eastAsia" w:ascii="宋体" w:hAnsi="宋体" w:eastAsia="宋体" w:cs="宋体"/>
                <w:color w:val="auto"/>
                <w:sz w:val="24"/>
                <w:szCs w:val="24"/>
                <w:highlight w:val="none"/>
                <w:lang w:eastAsia="zh-CN"/>
              </w:rPr>
              <w:t>维修</w:t>
            </w:r>
          </w:p>
          <w:p w14:paraId="16B34712">
            <w:pPr>
              <w:pStyle w:val="2"/>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）电控柜</w:t>
            </w:r>
          </w:p>
          <w:p w14:paraId="6D4477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电控柜进行维保：在断电情况下，清扫电控柜内部和外部；检查接线、控制器的布线、接触器，有异常时，应及时修理或更换；检查电控柜内部的器件、电线及线圈等，有异常时，应及时修理或更换；检查传感器、仪表以及各动力线接头螺母，有松动时，应加固；检查开关、继电器、接触器等，触点吸合不良时，应及时修理；检查控制回路、各控制器，有异常时，应及时修理或更换。</w:t>
            </w:r>
          </w:p>
          <w:p w14:paraId="45273CC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）控制房</w:t>
            </w:r>
          </w:p>
          <w:p w14:paraId="2F0362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保持控制房内外干净整洁；离开处理终端时，应关好房门窗并上锁；门、窗、锁、墙等有损坏时，应维修、更换。</w:t>
            </w:r>
          </w:p>
          <w:p w14:paraId="456A5FEB">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新增值班室</w:t>
            </w:r>
          </w:p>
          <w:p w14:paraId="4DEFAA5B">
            <w:pPr>
              <w:spacing w:line="360" w:lineRule="auto"/>
              <w:ind w:firstLine="720" w:firstLineChars="3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中标单位需要自行</w:t>
            </w:r>
            <w:r>
              <w:rPr>
                <w:rFonts w:hint="eastAsia" w:ascii="宋体" w:hAnsi="宋体" w:cs="宋体"/>
                <w:color w:val="auto"/>
                <w:sz w:val="24"/>
                <w:szCs w:val="24"/>
                <w:highlight w:val="none"/>
                <w:lang w:eastAsia="zh-CN"/>
              </w:rPr>
              <w:t>新</w:t>
            </w:r>
            <w:r>
              <w:rPr>
                <w:rFonts w:hint="eastAsia" w:ascii="宋体" w:hAnsi="宋体" w:cs="宋体"/>
                <w:color w:val="auto"/>
                <w:sz w:val="24"/>
                <w:szCs w:val="24"/>
                <w:highlight w:val="none"/>
                <w:lang w:val="en-US" w:eastAsia="zh-CN"/>
              </w:rPr>
              <w:t>建值班室，本项目污水处理厂区没有值班房，项目所需值班值守用房由中标单位自行全额新增、所有建设内容、人工材料、及相关一切费用均已综合包含在投标总价中，不单独列项、不另行计量支付。合同到期后整体无偿移交采购单位，产权归采购单位所有。</w:t>
            </w:r>
            <w:r>
              <w:rPr>
                <w:rFonts w:hint="eastAsia" w:ascii="宋体" w:hAnsi="宋体" w:cs="宋体"/>
                <w:color w:val="auto"/>
                <w:sz w:val="24"/>
                <w:szCs w:val="24"/>
                <w:highlight w:val="none"/>
                <w:lang w:eastAsia="zh-CN"/>
              </w:rPr>
              <w:t> </w:t>
            </w:r>
          </w:p>
          <w:p w14:paraId="78CACFB5">
            <w:pPr>
              <w:numPr>
                <w:ilvl w:val="0"/>
                <w:numId w:val="0"/>
              </w:numPr>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）新增设备</w:t>
            </w:r>
          </w:p>
          <w:p w14:paraId="58C33A39">
            <w:pPr>
              <w:numPr>
                <w:ilvl w:val="0"/>
                <w:numId w:val="0"/>
              </w:numPr>
              <w:spacing w:line="360" w:lineRule="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 xml:space="preserve">    运营单位中标后需自行投入部分设备（包含水泵，巴氏流量计，罗茨风等）运营结束后设备归采购人所有</w:t>
            </w:r>
          </w:p>
          <w:p w14:paraId="14E4CAE0">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运营单位的其他要求：</w:t>
            </w:r>
          </w:p>
          <w:p w14:paraId="080977F7">
            <w:pPr>
              <w:widowControl/>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1、运营管理目标要求：</w:t>
            </w:r>
          </w:p>
          <w:p w14:paraId="298A384E">
            <w:pPr>
              <w:widowControl/>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污水站的运行管理，指从接纳原污水至净化处理排出“达标”污水的全过程的管理，是污水处理站各种经营活动中最重要的部分。</w:t>
            </w:r>
          </w:p>
          <w:p w14:paraId="6A6A201A">
            <w:pPr>
              <w:widowControl/>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（1）按需生产：首先应满足服务区与水环境对污水站运行的基本要求，保证处理量并使处理后污水达标。</w:t>
            </w:r>
          </w:p>
          <w:p w14:paraId="6DF7AA70">
            <w:pPr>
              <w:widowControl/>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（2）经济生产：以最低的成本处理好污水，使污水“达标”排放。</w:t>
            </w:r>
          </w:p>
          <w:p w14:paraId="25D7D7AB">
            <w:pPr>
              <w:widowControl/>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（3）文明生产：要求具有素质的操作管理人员，以先进的技术的方式，安全的做好生产运行。</w:t>
            </w:r>
          </w:p>
          <w:p w14:paraId="2ADDC1FA">
            <w:pPr>
              <w:widowControl/>
              <w:spacing w:line="360" w:lineRule="auto"/>
              <w:ind w:firstLine="480" w:firstLineChars="200"/>
              <w:contextualSpacing/>
              <w:rPr>
                <w:rFonts w:hint="eastAsia" w:ascii="宋体" w:hAnsi="宋体" w:eastAsia="宋体" w:cs="宋体"/>
                <w:color w:val="auto"/>
                <w:sz w:val="24"/>
                <w:szCs w:val="24"/>
                <w:highlight w:val="none"/>
              </w:rPr>
            </w:pPr>
            <w:bookmarkStart w:id="0" w:name="_Toc258761751"/>
            <w:r>
              <w:rPr>
                <w:rFonts w:hint="eastAsia" w:ascii="宋体" w:hAnsi="宋体" w:eastAsia="宋体" w:cs="宋体"/>
                <w:color w:val="auto"/>
                <w:sz w:val="24"/>
                <w:szCs w:val="24"/>
                <w:highlight w:val="none"/>
              </w:rPr>
              <w:t>2、质量目标</w:t>
            </w:r>
            <w:bookmarkEnd w:id="0"/>
            <w:r>
              <w:rPr>
                <w:rFonts w:hint="eastAsia" w:ascii="宋体" w:hAnsi="宋体" w:eastAsia="宋体" w:cs="宋体"/>
                <w:color w:val="auto"/>
                <w:sz w:val="24"/>
                <w:szCs w:val="24"/>
                <w:highlight w:val="none"/>
              </w:rPr>
              <w:t>要求：在保证进水水质符合要求的前提下：</w:t>
            </w:r>
          </w:p>
          <w:p w14:paraId="2C1662FC">
            <w:pPr>
              <w:widowControl/>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水量管理目标：水量确保完成计划指标。</w:t>
            </w:r>
          </w:p>
          <w:p w14:paraId="0221E6C8">
            <w:pPr>
              <w:widowControl/>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水质管理目标：确保污水处理达标。</w:t>
            </w:r>
          </w:p>
          <w:p w14:paraId="1B7EE2A4">
            <w:pPr>
              <w:widowControl/>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设备保养目标：确保设备、设施的完好。</w:t>
            </w:r>
          </w:p>
          <w:p w14:paraId="227A1DC0">
            <w:pPr>
              <w:widowControl/>
              <w:spacing w:line="360" w:lineRule="auto"/>
              <w:contextualSpacing/>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人员要求</w:t>
            </w:r>
          </w:p>
          <w:p w14:paraId="7037F97B">
            <w:pPr>
              <w:widowControl/>
              <w:spacing w:line="360" w:lineRule="auto"/>
              <w:ind w:firstLine="480" w:firstLineChars="200"/>
              <w:contextualSpacing/>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拟投入的人员不少于</w:t>
            </w:r>
            <w:r>
              <w:rPr>
                <w:rFonts w:hint="eastAsia" w:ascii="宋体" w:hAnsi="宋体" w:cs="宋体"/>
                <w:color w:val="000000" w:themeColor="text1"/>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人，并具有相关操作证件（易制爆危险品安全员、危险化学品安全员、废水处理中级及以上技能证书等），负责操作运行全套污水处理系统并承担因此所产生的所有费用，配合环保部门按环保部门和卫生部门的时间要求定期填写数据资料，负责污水处理设施的日常运营工作，按污水站《排污许可证》副本的监测要求对污水处理站的排放进行监测，并负责相关的排放项目监测并记录，要求真实有效，服务方须对监测记录真实性负责，做好监测台账。保证定时对污水处理站周边环境、卫生和水位状况进行巡视并做好记录，每天向采购人上报运营报表确认处理量。</w:t>
            </w:r>
          </w:p>
          <w:p w14:paraId="5D005721">
            <w:pPr>
              <w:widowControl/>
              <w:spacing w:line="360" w:lineRule="auto"/>
              <w:contextualSpacing/>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Fonts w:hint="eastAsia" w:ascii="宋体" w:hAnsi="宋体" w:cs="宋体"/>
                <w:color w:val="000000" w:themeColor="text1"/>
                <w:sz w:val="24"/>
                <w:szCs w:val="24"/>
                <w:highlight w:val="none"/>
                <w:lang w:val="en-US" w:eastAsia="zh-CN" w:bidi="ar"/>
                <w14:textFill>
                  <w14:solidFill>
                    <w14:schemeClr w14:val="tx1"/>
                  </w14:solidFill>
                </w14:textFill>
              </w:rPr>
              <w:t>四、</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运营单位服务能力</w:t>
            </w:r>
          </w:p>
          <w:p w14:paraId="2DDE4927">
            <w:pPr>
              <w:widowControl/>
              <w:spacing w:line="360" w:lineRule="auto"/>
              <w:ind w:firstLine="480" w:firstLineChars="200"/>
              <w:contextualSpacing/>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运营单位须具备一级A或一级B标准污水处理运营服务经验，能够保证出水长期稳定达标，满足看守所特殊场所环保、安全管理要求。具有近3年城镇污水处理或镇级污水处理站运营业绩，且出水水质执行《城镇污水处理厂污染物排放标准》（GB18918-2002）一级A或一级B标准，相关业绩材料2份。</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A23B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sz w:val="24"/>
                <w:szCs w:val="24"/>
                <w:lang w:val="en-US" w:eastAsia="zh-CN"/>
              </w:rPr>
              <w:t>365275.33</w:t>
            </w:r>
            <w:r>
              <w:rPr>
                <w:rFonts w:hint="eastAsia" w:ascii="宋体" w:hAnsi="宋体" w:eastAsia="宋体" w:cs="宋体"/>
                <w:sz w:val="24"/>
                <w:szCs w:val="24"/>
                <w:lang w:val="en-US" w:eastAsia="zh-CN"/>
              </w:rPr>
              <w:t>元/</w:t>
            </w:r>
            <w:bookmarkStart w:id="1" w:name="_GoBack"/>
            <w:r>
              <w:rPr>
                <w:rFonts w:hint="eastAsia" w:ascii="宋体" w:hAnsi="宋体" w:eastAsia="宋体" w:cs="宋体"/>
                <w:sz w:val="24"/>
                <w:szCs w:val="24"/>
                <w:lang w:val="en-US" w:eastAsia="zh-CN"/>
              </w:rPr>
              <w:t>年</w:t>
            </w:r>
            <w:bookmarkEnd w:id="1"/>
          </w:p>
        </w:tc>
      </w:tr>
    </w:tbl>
    <w:p w14:paraId="18637C29">
      <w:pPr>
        <w:spacing w:line="560" w:lineRule="exact"/>
        <w:rPr>
          <w:rFonts w:hint="eastAsia" w:ascii="宋体" w:hAnsi="宋体" w:eastAsia="宋体" w:cs="宋体"/>
          <w:sz w:val="24"/>
          <w:szCs w:val="24"/>
        </w:rPr>
      </w:pPr>
    </w:p>
    <w:p w14:paraId="43081219">
      <w:pPr>
        <w:spacing w:line="5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三、响应文件要求</w:t>
      </w:r>
    </w:p>
    <w:p w14:paraId="558E79B0">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报价文件应包含报价表（格式自拟，至少应包含</w:t>
      </w:r>
      <w:r>
        <w:rPr>
          <w:rFonts w:hint="eastAsia" w:ascii="宋体" w:hAnsi="宋体" w:eastAsia="宋体" w:cs="宋体"/>
          <w:b w:val="0"/>
          <w:bCs w:val="0"/>
          <w:sz w:val="24"/>
          <w:szCs w:val="24"/>
          <w:lang w:val="en-US" w:eastAsia="zh-CN"/>
        </w:rPr>
        <w:t>服务</w:t>
      </w:r>
      <w:r>
        <w:rPr>
          <w:rFonts w:hint="eastAsia" w:ascii="宋体" w:hAnsi="宋体" w:eastAsia="宋体" w:cs="宋体"/>
          <w:b w:val="0"/>
          <w:bCs w:val="0"/>
          <w:sz w:val="24"/>
          <w:szCs w:val="24"/>
        </w:rPr>
        <w:t>名称、单位、数量、单价、金额、合计等内容）、单位营业执照、法人身份证明、授权委托书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如有委托时</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、授权人及被委托人身份证（加盖公章</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如有委托时</w:t>
      </w:r>
      <w:r>
        <w:rPr>
          <w:rFonts w:hint="eastAsia" w:ascii="宋体" w:hAnsi="宋体" w:eastAsia="宋体" w:cs="宋体"/>
          <w:b w:val="0"/>
          <w:bCs w:val="0"/>
          <w:sz w:val="24"/>
          <w:szCs w:val="24"/>
        </w:rPr>
        <w:t>）。</w:t>
      </w:r>
    </w:p>
    <w:p w14:paraId="67990869">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报价文件须加盖供应商单位公章，并由法人代表或经其正式授权的代表签字。否则视为无效报价文件。</w:t>
      </w:r>
    </w:p>
    <w:p w14:paraId="79B5B3F5">
      <w:pPr>
        <w:spacing w:line="56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资格证明文件</w:t>
      </w:r>
      <w:r>
        <w:rPr>
          <w:rFonts w:hint="eastAsia" w:ascii="宋体" w:hAnsi="宋体" w:eastAsia="宋体" w:cs="宋体"/>
          <w:b w:val="0"/>
          <w:bCs w:val="0"/>
          <w:sz w:val="24"/>
          <w:szCs w:val="24"/>
          <w:lang w:eastAsia="zh-CN"/>
        </w:rPr>
        <w:t>：</w:t>
      </w:r>
    </w:p>
    <w:p w14:paraId="1CE107E9">
      <w:pPr>
        <w:spacing w:line="560" w:lineRule="exact"/>
        <w:rPr>
          <w:rFonts w:hint="eastAsia" w:ascii="宋体" w:hAnsi="宋体" w:eastAsia="宋体" w:cs="宋体"/>
          <w:b w:val="0"/>
          <w:bCs w:val="0"/>
          <w:sz w:val="24"/>
          <w:szCs w:val="24"/>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1</w:t>
      </w:r>
      <w:r>
        <w:rPr>
          <w:rFonts w:hint="eastAsia" w:ascii="宋体" w:hAnsi="宋体" w:cs="宋体"/>
          <w:b w:val="0"/>
          <w:bCs w:val="0"/>
          <w:sz w:val="24"/>
          <w:szCs w:val="24"/>
          <w:lang w:eastAsia="zh-CN"/>
        </w:rPr>
        <w:t>）</w:t>
      </w:r>
      <w:r>
        <w:rPr>
          <w:rFonts w:hint="eastAsia" w:ascii="宋体" w:hAnsi="宋体" w:eastAsia="宋体" w:cs="宋体"/>
          <w:sz w:val="24"/>
          <w:szCs w:val="24"/>
        </w:rPr>
        <w:t>供应商依法缴纳税收的相关材料（响应文件提交截止时间前半年内供应商任意1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b w:val="0"/>
          <w:bCs w:val="0"/>
          <w:sz w:val="24"/>
          <w:szCs w:val="24"/>
        </w:rPr>
        <w:t>；</w:t>
      </w:r>
    </w:p>
    <w:p w14:paraId="7420F9F8">
      <w:pPr>
        <w:spacing w:line="560" w:lineRule="exact"/>
        <w:rPr>
          <w:rFonts w:hint="eastAsia" w:ascii="宋体" w:hAnsi="宋体" w:eastAsia="宋体" w:cs="宋体"/>
          <w:sz w:val="24"/>
          <w:szCs w:val="24"/>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2</w:t>
      </w:r>
      <w:r>
        <w:rPr>
          <w:rFonts w:hint="eastAsia" w:ascii="宋体" w:hAnsi="宋体" w:cs="宋体"/>
          <w:b w:val="0"/>
          <w:bCs w:val="0"/>
          <w:sz w:val="24"/>
          <w:szCs w:val="24"/>
          <w:lang w:eastAsia="zh-CN"/>
        </w:rPr>
        <w:t>）</w:t>
      </w:r>
      <w:r>
        <w:rPr>
          <w:rFonts w:hint="eastAsia" w:ascii="宋体" w:hAnsi="宋体" w:eastAsia="宋体" w:cs="宋体"/>
          <w:sz w:val="24"/>
          <w:szCs w:val="24"/>
        </w:rPr>
        <w:t>供应商依法缴纳社会保障资金的相关材料[响应文件提交截止时间前半年内供应商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依法缴纳社会保障资金的相应证明文件]；</w:t>
      </w:r>
    </w:p>
    <w:p w14:paraId="45C00BEE">
      <w:pPr>
        <w:spacing w:line="560" w:lineRule="exact"/>
        <w:rPr>
          <w:rFonts w:hint="eastAsia" w:ascii="宋体" w:hAnsi="宋体" w:eastAsia="宋体" w:cs="宋体"/>
          <w:b w:val="0"/>
          <w:bCs w:val="0"/>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供应商财务状况报告，2024年财务状况报告复印件或者银行出具的资信证明；供应商成立不满一年的应按提供首次响应文件提交截止时间上一个月的财务状况报告复印件或银行出具的资信证明；资信证明应在有效期内，未注明有效期的，银行出具时间至响应文件提交截止时间不超过一年</w:t>
      </w:r>
      <w:r>
        <w:rPr>
          <w:rFonts w:hint="eastAsia" w:ascii="宋体" w:hAnsi="宋体" w:eastAsia="宋体" w:cs="宋体"/>
          <w:b w:val="0"/>
          <w:bCs w:val="0"/>
          <w:sz w:val="24"/>
          <w:szCs w:val="24"/>
        </w:rPr>
        <w:t>。</w:t>
      </w:r>
    </w:p>
    <w:p w14:paraId="44EAB258">
      <w:pPr>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备注：请按以上要求提供相关报价材料（加盖公章），并扫描PDF文件上传，否则竞价无效</w:t>
      </w:r>
      <w:r>
        <w:rPr>
          <w:rFonts w:hint="eastAsia" w:ascii="宋体" w:hAnsi="宋体" w:eastAsia="宋体" w:cs="宋体"/>
          <w:b w:val="0"/>
          <w:bCs w:val="0"/>
          <w:sz w:val="24"/>
          <w:szCs w:val="24"/>
          <w:lang w:eastAsia="zh-CN"/>
        </w:rPr>
        <w:t>。</w:t>
      </w:r>
    </w:p>
    <w:p w14:paraId="3EAF3DC8">
      <w:pPr>
        <w:spacing w:line="560" w:lineRule="exact"/>
        <w:ind w:firstLine="480" w:firstLineChars="200"/>
        <w:rPr>
          <w:rFonts w:hint="eastAsia" w:ascii="宋体" w:hAnsi="宋体" w:eastAsia="宋体" w:cs="宋体"/>
          <w:sz w:val="24"/>
          <w:szCs w:val="24"/>
          <w:lang w:eastAsia="zh-CN"/>
        </w:rPr>
      </w:pPr>
    </w:p>
    <w:p w14:paraId="7B99BBE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、商务要求</w:t>
      </w:r>
    </w:p>
    <w:tbl>
      <w:tblPr>
        <w:tblStyle w:val="9"/>
        <w:tblW w:w="93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6"/>
        <w:gridCol w:w="7333"/>
        <w:gridCol w:w="720"/>
      </w:tblGrid>
      <w:tr w14:paraId="23DDE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05" w:hRule="atLeast"/>
          <w:jc w:val="center"/>
        </w:trPr>
        <w:tc>
          <w:tcPr>
            <w:tcW w:w="1306" w:type="dxa"/>
            <w:tcBorders>
              <w:top w:val="single" w:color="auto" w:sz="4" w:space="0"/>
              <w:left w:val="single" w:color="auto" w:sz="4" w:space="0"/>
              <w:bottom w:val="single" w:color="auto" w:sz="4" w:space="0"/>
              <w:right w:val="single" w:color="auto" w:sz="4" w:space="0"/>
              <w:tl2br w:val="nil"/>
              <w:tr2bl w:val="nil"/>
            </w:tcBorders>
            <w:noWrap w:val="0"/>
            <w:vAlign w:val="top"/>
          </w:tcPr>
          <w:p w14:paraId="15EEA043">
            <w:pPr>
              <w:spacing w:line="360" w:lineRule="exact"/>
              <w:jc w:val="center"/>
              <w:rPr>
                <w:rFonts w:hint="eastAsia" w:ascii="宋体" w:hAnsi="宋体" w:eastAsia="宋体" w:cs="宋体"/>
                <w:color w:val="auto"/>
                <w:sz w:val="24"/>
                <w:szCs w:val="24"/>
                <w:highlight w:val="none"/>
              </w:rPr>
            </w:pPr>
          </w:p>
          <w:p w14:paraId="253075AA">
            <w:pPr>
              <w:spacing w:line="360" w:lineRule="exact"/>
              <w:jc w:val="center"/>
              <w:rPr>
                <w:rFonts w:hint="eastAsia" w:ascii="宋体" w:hAnsi="宋体" w:eastAsia="宋体" w:cs="宋体"/>
                <w:color w:val="auto"/>
                <w:sz w:val="24"/>
                <w:szCs w:val="24"/>
                <w:highlight w:val="none"/>
              </w:rPr>
            </w:pPr>
          </w:p>
          <w:p w14:paraId="77892F4C">
            <w:pPr>
              <w:spacing w:line="3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商务条款</w:t>
            </w:r>
          </w:p>
        </w:tc>
        <w:tc>
          <w:tcPr>
            <w:tcW w:w="7333" w:type="dxa"/>
            <w:tcBorders>
              <w:top w:val="single" w:color="auto" w:sz="4" w:space="0"/>
              <w:left w:val="single" w:color="auto" w:sz="4" w:space="0"/>
              <w:bottom w:val="single" w:color="auto" w:sz="4" w:space="0"/>
              <w:right w:val="single" w:color="auto" w:sz="4" w:space="0"/>
              <w:tl2br w:val="nil"/>
              <w:tr2bl w:val="nil"/>
            </w:tcBorders>
            <w:noWrap w:val="0"/>
            <w:vAlign w:val="top"/>
          </w:tcPr>
          <w:p w14:paraId="0048B0BE">
            <w:pPr>
              <w:spacing w:line="360" w:lineRule="auto"/>
              <w:ind w:left="105" w:leftChars="50" w:right="105" w:rightChars="5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▲一、合同签订期：</w:t>
            </w:r>
            <w:r>
              <w:rPr>
                <w:rFonts w:hint="eastAsia" w:ascii="宋体" w:hAnsi="宋体" w:eastAsia="宋体" w:cs="宋体"/>
                <w:color w:val="auto"/>
                <w:sz w:val="24"/>
                <w:szCs w:val="24"/>
                <w:highlight w:val="none"/>
              </w:rPr>
              <w:t>自成交通知书发出之日起</w:t>
            </w:r>
            <w:r>
              <w:rPr>
                <w:rFonts w:hint="eastAsia" w:ascii="宋体" w:hAnsi="宋体" w:cs="宋体"/>
                <w:color w:val="auto"/>
                <w:sz w:val="24"/>
                <w:szCs w:val="24"/>
                <w:highlight w:val="none"/>
                <w:lang w:val="en-US" w:eastAsia="zh-CN"/>
              </w:rPr>
              <w:t>十</w:t>
            </w:r>
            <w:r>
              <w:rPr>
                <w:rFonts w:hint="eastAsia" w:ascii="宋体" w:hAnsi="宋体" w:eastAsia="宋体" w:cs="宋体"/>
                <w:color w:val="auto"/>
                <w:sz w:val="24"/>
                <w:szCs w:val="24"/>
                <w:highlight w:val="none"/>
              </w:rPr>
              <w:t>个工作日内。</w:t>
            </w:r>
          </w:p>
          <w:p w14:paraId="6BEF31DD">
            <w:pPr>
              <w:spacing w:line="360" w:lineRule="auto"/>
              <w:ind w:right="105" w:rightChars="5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二、服务期限：</w:t>
            </w:r>
            <w:r>
              <w:rPr>
                <w:rFonts w:hint="eastAsia" w:ascii="宋体" w:hAnsi="宋体" w:eastAsia="宋体" w:cs="宋体"/>
                <w:color w:val="auto"/>
                <w:sz w:val="24"/>
                <w:szCs w:val="24"/>
                <w:highlight w:val="none"/>
              </w:rPr>
              <w:t>自合同签订之日起一年。</w:t>
            </w:r>
          </w:p>
          <w:p w14:paraId="48B3D25A">
            <w:pPr>
              <w:spacing w:line="360" w:lineRule="auto"/>
              <w:ind w:left="105" w:leftChars="50" w:right="105" w:rightChars="50" w:firstLine="482"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bCs/>
                <w:color w:val="auto"/>
                <w:sz w:val="24"/>
                <w:szCs w:val="24"/>
                <w:highlight w:val="none"/>
                <w:lang w:val="en-US" w:eastAsia="zh-CN"/>
              </w:rPr>
              <w:t>服务地点：</w:t>
            </w:r>
            <w:r>
              <w:rPr>
                <w:rFonts w:hint="eastAsia" w:ascii="宋体" w:hAnsi="宋体" w:eastAsia="宋体" w:cs="宋体"/>
                <w:b w:val="0"/>
                <w:bCs w:val="0"/>
                <w:color w:val="auto"/>
                <w:sz w:val="24"/>
                <w:szCs w:val="24"/>
                <w:highlight w:val="none"/>
                <w:lang w:val="en-US" w:eastAsia="zh-CN"/>
              </w:rPr>
              <w:t>南宁市内采购人指定地点。</w:t>
            </w:r>
          </w:p>
          <w:p w14:paraId="28B99DEB">
            <w:pPr>
              <w:spacing w:line="360" w:lineRule="auto"/>
              <w:ind w:left="105" w:leftChars="50" w:right="105" w:rightChars="50"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四、提交服务成果：</w:t>
            </w:r>
          </w:p>
          <w:p w14:paraId="65490FB9">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(1)处理问题响应时间：接到采购人处理问题通知后2小时内到达采购人指定现场。</w:t>
            </w:r>
          </w:p>
          <w:p w14:paraId="3EE1B0AE">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(2)每季度向采购人汇报运营情况不低于1次。</w:t>
            </w:r>
          </w:p>
          <w:p w14:paraId="7725398B">
            <w:pPr>
              <w:spacing w:line="360" w:lineRule="auto"/>
              <w:ind w:left="105" w:leftChars="50" w:right="105" w:rightChars="5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五、其他要求：</w:t>
            </w:r>
          </w:p>
          <w:p w14:paraId="0ACCD60B">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(1)运营期间接受当地政府相关部门有关运维工作绩效监督考核。</w:t>
            </w:r>
          </w:p>
          <w:p w14:paraId="54F9E6DA">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(2)供应商对污水设施进行现场勘察，并将项目点现状、解决方案等附于响应文件中，费用自理。</w:t>
            </w:r>
          </w:p>
          <w:p w14:paraId="6E4F5E00">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(3)服务期内项目驻点技术人员不少于3人。</w:t>
            </w:r>
            <w:r>
              <w:rPr>
                <w:rFonts w:hint="eastAsia" w:ascii="宋体" w:hAnsi="宋体" w:eastAsia="宋体" w:cs="宋体"/>
                <w:color w:val="auto"/>
                <w:sz w:val="24"/>
                <w:szCs w:val="24"/>
                <w:highlight w:val="none"/>
                <w:lang w:val="en-US" w:eastAsia="zh-CN"/>
              </w:rPr>
              <w:tab/>
            </w:r>
          </w:p>
          <w:p w14:paraId="1226371D">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(4)如有上级部门检查，供应商必须有人员在场。 </w:t>
            </w:r>
          </w:p>
          <w:p w14:paraId="47127820">
            <w:pPr>
              <w:spacing w:line="360" w:lineRule="auto"/>
              <w:ind w:left="105" w:leftChars="50" w:right="105" w:rightChars="5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▲六、投标报价必须包含(不仅限于)以下部分，包括：</w:t>
            </w:r>
          </w:p>
          <w:p w14:paraId="364DF9D1">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(1)生产费用：包括污水设备设施的相关设备及排污管网维护费用，维护使用的配件、零部件、配件及安装材料的价格，运营所需要的化学药品或物理处理费等；</w:t>
            </w:r>
          </w:p>
          <w:p w14:paraId="7A88F31F">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(2)管理费用：包括办公费、差旅费、绿化养护费等；</w:t>
            </w:r>
          </w:p>
          <w:p w14:paraId="1012C829">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(3)人员工资：包括投入本项目服务所有人员的工资、交通及通讯补助、劳保费等；</w:t>
            </w:r>
          </w:p>
          <w:p w14:paraId="39E3CECE">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(4)必要的保险费用和各项税金；</w:t>
            </w:r>
          </w:p>
          <w:p w14:paraId="750C6E06">
            <w:pPr>
              <w:spacing w:line="360" w:lineRule="auto"/>
              <w:ind w:left="105" w:leftChars="50" w:right="105" w:rightChars="5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(5)其他：运输、装卸、安装、调试、培训、技术支持、售后服务等费用。</w:t>
            </w:r>
          </w:p>
          <w:p w14:paraId="7A490FBB">
            <w:pPr>
              <w:spacing w:line="360" w:lineRule="auto"/>
              <w:ind w:left="105" w:leftChars="50" w:right="105" w:rightChars="5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▲七、付款方式：</w:t>
            </w:r>
          </w:p>
          <w:p w14:paraId="4055CFFC">
            <w:pPr>
              <w:numPr>
                <w:ilvl w:val="0"/>
                <w:numId w:val="0"/>
              </w:numPr>
              <w:spacing w:line="360" w:lineRule="auto"/>
              <w:ind w:left="105" w:leftChars="50" w:right="105" w:rightChars="5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sz w:val="24"/>
                <w:szCs w:val="24"/>
                <w:highlight w:val="none"/>
                <w:lang w:val="en-US" w:eastAsia="zh-CN"/>
              </w:rPr>
              <w:t>本项目无预付款；</w:t>
            </w:r>
          </w:p>
          <w:p w14:paraId="2170ABFC">
            <w:pPr>
              <w:numPr>
                <w:ilvl w:val="0"/>
                <w:numId w:val="0"/>
              </w:numPr>
              <w:spacing w:line="360" w:lineRule="auto"/>
              <w:ind w:left="105" w:leftChars="50" w:right="105" w:rightChars="50" w:firstLine="480" w:firstLineChars="20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本项目运营服务按季度分期支付，自合同签订之日起，乙方每季度运营服务履约完成后，甲方于下一季度首月支付上一委度服务费用。</w:t>
            </w:r>
          </w:p>
          <w:p w14:paraId="1303FC46">
            <w:pPr>
              <w:numPr>
                <w:ilvl w:val="0"/>
                <w:numId w:val="0"/>
              </w:numPr>
              <w:spacing w:line="360" w:lineRule="auto"/>
              <w:ind w:left="105" w:leftChars="50" w:right="105" w:rightChars="50"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3.前三</w:t>
            </w:r>
            <w:r>
              <w:rPr>
                <w:rFonts w:hint="eastAsia" w:ascii="宋体" w:hAnsi="宋体" w:eastAsia="宋体" w:cs="宋体"/>
                <w:color w:val="auto"/>
                <w:sz w:val="24"/>
                <w:szCs w:val="24"/>
                <w:highlight w:val="none"/>
              </w:rPr>
              <w:t>季度服务费</w:t>
            </w:r>
            <w:r>
              <w:rPr>
                <w:rFonts w:hint="eastAsia" w:ascii="宋体" w:hAnsi="宋体" w:cs="宋体"/>
                <w:color w:val="auto"/>
                <w:sz w:val="24"/>
                <w:szCs w:val="24"/>
                <w:highlight w:val="none"/>
                <w:lang w:eastAsia="zh-CN"/>
              </w:rPr>
              <w:t>按</w:t>
            </w:r>
            <w:r>
              <w:rPr>
                <w:rFonts w:hint="eastAsia" w:ascii="宋体" w:hAnsi="宋体" w:eastAsia="宋体" w:cs="宋体"/>
                <w:color w:val="auto"/>
                <w:sz w:val="24"/>
                <w:szCs w:val="24"/>
                <w:highlight w:val="none"/>
              </w:rPr>
              <w:t>合同总价条款的25%</w:t>
            </w:r>
            <w:r>
              <w:rPr>
                <w:rFonts w:hint="eastAsia" w:ascii="宋体" w:hAnsi="宋体" w:cs="宋体"/>
                <w:color w:val="auto"/>
                <w:sz w:val="24"/>
                <w:szCs w:val="24"/>
                <w:highlight w:val="none"/>
                <w:lang w:eastAsia="zh-CN"/>
              </w:rPr>
              <w:t>核算支付，剩余尾款待项目完成结算审计且出具正式审计报告后，甲方按照最终审定运营服务总费用结算，扣除前期已支付全部款项后，一次性付清余款。</w:t>
            </w:r>
          </w:p>
          <w:p w14:paraId="2644537C">
            <w:pPr>
              <w:spacing w:line="360" w:lineRule="auto"/>
              <w:ind w:right="105" w:rightChars="5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.供应商在请款前须提供税票给采购人，确认无误后方可支付。</w:t>
            </w:r>
          </w:p>
          <w:p w14:paraId="5E2920A0">
            <w:pPr>
              <w:numPr>
                <w:ilvl w:val="0"/>
                <w:numId w:val="0"/>
              </w:numPr>
              <w:spacing w:line="360" w:lineRule="auto"/>
              <w:ind w:leftChars="250" w:right="105" w:rightChars="5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八、合同延续年限、条件和方式：</w:t>
            </w:r>
          </w:p>
          <w:p w14:paraId="4082E687">
            <w:pPr>
              <w:numPr>
                <w:ilvl w:val="0"/>
                <w:numId w:val="0"/>
              </w:numPr>
              <w:spacing w:line="360" w:lineRule="auto"/>
              <w:ind w:right="105" w:rightChars="50"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合同履约期到期后，采购人依据本项目的服务履约评价情况及实际需求，并根据《财政部关于推进和完善服务项目政府有关问题的通知》（财库[2014]37号）及《政府购买服务管理办法》（财政部令102号）等规定，在年度预算保障的前提下，对于购买内容（采购需求）相对固定、连续（延续）性强、经费来源稳定、价格变化幅度小的政府采购服务项目，可以通过一年一续签方式签订合同，期限总长不得超过三年。</w:t>
            </w:r>
          </w:p>
          <w:p w14:paraId="280FABCB">
            <w:pPr>
              <w:numPr>
                <w:ilvl w:val="0"/>
                <w:numId w:val="0"/>
              </w:numPr>
              <w:spacing w:line="360" w:lineRule="auto"/>
              <w:ind w:right="105" w:rightChars="5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九、其它要求：</w:t>
            </w:r>
          </w:p>
          <w:p w14:paraId="55F9DE0E">
            <w:pPr>
              <w:numPr>
                <w:ilvl w:val="0"/>
                <w:numId w:val="0"/>
              </w:numPr>
              <w:spacing w:line="360" w:lineRule="auto"/>
              <w:ind w:right="105" w:rightChars="50"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1、中标供应商中标后，不得因甲方在资金申付、人员调整、地点变更等因素中止提供服务。</w:t>
            </w:r>
          </w:p>
          <w:p w14:paraId="51829DF9">
            <w:pPr>
              <w:numPr>
                <w:ilvl w:val="0"/>
                <w:numId w:val="0"/>
              </w:numPr>
              <w:spacing w:line="360" w:lineRule="auto"/>
              <w:ind w:right="105" w:rightChars="50"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2、合同履约完毕验收后，甲方依规向相关部门申办支付剩余服务费，具体支付以批准金额和时间节点为准。</w:t>
            </w:r>
          </w:p>
          <w:p w14:paraId="7A2B7B2D">
            <w:pPr>
              <w:numPr>
                <w:ilvl w:val="0"/>
                <w:numId w:val="0"/>
              </w:numPr>
              <w:spacing w:line="360" w:lineRule="auto"/>
              <w:ind w:right="105" w:rightChars="50"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出现环保、卫生监督部门监测结果不达标而给采购人造成的损失及产生的费用，全部由中标供应商承担（因不可抗拒的原因如：自然灾害、停电、停水等造成的不达标除外）。如采购人因此受到有关部门罚款，罚款由中标供应商承担。连续出现三次不达标的，采购人有权上报相关监督部门申请终止合同，所有后果均由中标供应商承担。</w:t>
            </w:r>
          </w:p>
          <w:p w14:paraId="60086C6F">
            <w:pPr>
              <w:numPr>
                <w:ilvl w:val="0"/>
                <w:numId w:val="0"/>
              </w:numPr>
              <w:spacing w:line="360" w:lineRule="auto"/>
              <w:ind w:right="105" w:rightChars="50"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十、验收标准</w:t>
            </w:r>
          </w:p>
          <w:p w14:paraId="630F9659">
            <w:pPr>
              <w:numPr>
                <w:ilvl w:val="0"/>
                <w:numId w:val="0"/>
              </w:numPr>
              <w:spacing w:line="360" w:lineRule="auto"/>
              <w:ind w:left="105" w:leftChars="50" w:right="105" w:rightChars="50" w:firstLine="480" w:firstLineChars="200"/>
              <w:jc w:val="left"/>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cs="宋体"/>
                <w:color w:val="000000" w:themeColor="text1"/>
                <w:sz w:val="24"/>
                <w:szCs w:val="24"/>
                <w:highlight w:val="none"/>
                <w:lang w:val="en-US" w:eastAsia="zh-CN" w:bidi="ar"/>
                <w14:textFill>
                  <w14:solidFill>
                    <w14:schemeClr w14:val="tx1"/>
                  </w14:solidFill>
                </w14:textFill>
              </w:rPr>
              <w:t>采用定期或不定期方式进行检查，现场取水进行检测，</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出水水质执行《城镇污水处理厂污染物排放标准》（GB18918-2002）一级A或一级B标准</w:t>
            </w:r>
            <w:r>
              <w:rPr>
                <w:rFonts w:hint="eastAsia" w:ascii="宋体" w:hAnsi="宋体" w:cs="宋体"/>
                <w:color w:val="000000" w:themeColor="text1"/>
                <w:sz w:val="24"/>
                <w:szCs w:val="24"/>
                <w:highlight w:val="none"/>
                <w:lang w:val="en-US" w:eastAsia="zh-CN" w:bidi="ar"/>
                <w14:textFill>
                  <w14:solidFill>
                    <w14:schemeClr w14:val="tx1"/>
                  </w14:solidFill>
                </w14:textFill>
              </w:rPr>
              <w:t>。</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8879C6">
            <w:pPr>
              <w:spacing w:line="360" w:lineRule="auto"/>
              <w:jc w:val="center"/>
              <w:rPr>
                <w:rFonts w:hint="eastAsia" w:ascii="宋体" w:hAnsi="宋体" w:eastAsia="宋体" w:cs="宋体"/>
                <w:sz w:val="24"/>
                <w:szCs w:val="24"/>
                <w:lang w:val="en-US" w:eastAsia="zh-CN"/>
              </w:rPr>
            </w:pPr>
          </w:p>
        </w:tc>
      </w:tr>
    </w:tbl>
    <w:p w14:paraId="336701C3">
      <w:pPr>
        <w:pStyle w:val="2"/>
        <w:rPr>
          <w:rFonts w:hint="eastAsia" w:ascii="仿宋_GB2312" w:hAnsi="仿宋_GB2312" w:eastAsia="仿宋_GB2312" w:cs="仿宋_GB2312"/>
          <w:sz w:val="21"/>
          <w:szCs w:val="21"/>
        </w:rPr>
      </w:pP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F537A"/>
    <w:multiLevelType w:val="singleLevel"/>
    <w:tmpl w:val="9B2F537A"/>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MTk3YjYxY2EzOTNmOWM3ODk1MTNkNDlmMDJjZTMifQ=="/>
  </w:docVars>
  <w:rsids>
    <w:rsidRoot w:val="00000000"/>
    <w:rsid w:val="00155351"/>
    <w:rsid w:val="00AF4F37"/>
    <w:rsid w:val="00BC3A1F"/>
    <w:rsid w:val="01BF78B6"/>
    <w:rsid w:val="03B44E81"/>
    <w:rsid w:val="03EE3EEF"/>
    <w:rsid w:val="046F4905"/>
    <w:rsid w:val="047F0FEB"/>
    <w:rsid w:val="0490144A"/>
    <w:rsid w:val="05105AB1"/>
    <w:rsid w:val="05445D91"/>
    <w:rsid w:val="05DE1D42"/>
    <w:rsid w:val="06550C71"/>
    <w:rsid w:val="065546FA"/>
    <w:rsid w:val="06C62F02"/>
    <w:rsid w:val="073F2CB4"/>
    <w:rsid w:val="08183C7D"/>
    <w:rsid w:val="094A4F3B"/>
    <w:rsid w:val="099217C1"/>
    <w:rsid w:val="09B74D83"/>
    <w:rsid w:val="0ADF4A77"/>
    <w:rsid w:val="0BB97C7D"/>
    <w:rsid w:val="0BC8771C"/>
    <w:rsid w:val="0BD75BB1"/>
    <w:rsid w:val="0C14736E"/>
    <w:rsid w:val="0C5217AA"/>
    <w:rsid w:val="0C9B7385"/>
    <w:rsid w:val="0DFF661F"/>
    <w:rsid w:val="0E126A88"/>
    <w:rsid w:val="0E130CAA"/>
    <w:rsid w:val="0EED7D4B"/>
    <w:rsid w:val="0F97D8B4"/>
    <w:rsid w:val="0FCB058E"/>
    <w:rsid w:val="11511F61"/>
    <w:rsid w:val="123A0C48"/>
    <w:rsid w:val="1262410A"/>
    <w:rsid w:val="129B16E6"/>
    <w:rsid w:val="12B32F38"/>
    <w:rsid w:val="14053DFF"/>
    <w:rsid w:val="15DD562F"/>
    <w:rsid w:val="16F77107"/>
    <w:rsid w:val="17521EE4"/>
    <w:rsid w:val="17E551B2"/>
    <w:rsid w:val="19630A84"/>
    <w:rsid w:val="1A01407D"/>
    <w:rsid w:val="1AC217DA"/>
    <w:rsid w:val="1B671BEF"/>
    <w:rsid w:val="1C000577"/>
    <w:rsid w:val="1C2E3288"/>
    <w:rsid w:val="1E173895"/>
    <w:rsid w:val="1ECDFA2E"/>
    <w:rsid w:val="1F553552"/>
    <w:rsid w:val="1F6224DA"/>
    <w:rsid w:val="1FF7BD19"/>
    <w:rsid w:val="1FFC5A79"/>
    <w:rsid w:val="205B4263"/>
    <w:rsid w:val="20F12E19"/>
    <w:rsid w:val="210E0587"/>
    <w:rsid w:val="21355A8C"/>
    <w:rsid w:val="22711A71"/>
    <w:rsid w:val="23902475"/>
    <w:rsid w:val="23AB3753"/>
    <w:rsid w:val="242F6132"/>
    <w:rsid w:val="244D0366"/>
    <w:rsid w:val="249742C4"/>
    <w:rsid w:val="24E0207B"/>
    <w:rsid w:val="25D90293"/>
    <w:rsid w:val="26025181"/>
    <w:rsid w:val="26044198"/>
    <w:rsid w:val="2763704A"/>
    <w:rsid w:val="2927562A"/>
    <w:rsid w:val="2A1F4553"/>
    <w:rsid w:val="2B0D4CF3"/>
    <w:rsid w:val="2BAB39EE"/>
    <w:rsid w:val="2BE52B74"/>
    <w:rsid w:val="2BF37484"/>
    <w:rsid w:val="2C8608B9"/>
    <w:rsid w:val="2D3B5B48"/>
    <w:rsid w:val="2E50117F"/>
    <w:rsid w:val="2EDF4024"/>
    <w:rsid w:val="2F15242A"/>
    <w:rsid w:val="2FB9210C"/>
    <w:rsid w:val="32A63A63"/>
    <w:rsid w:val="33045416"/>
    <w:rsid w:val="347B0F20"/>
    <w:rsid w:val="35064DE3"/>
    <w:rsid w:val="356F4FBA"/>
    <w:rsid w:val="35E9424C"/>
    <w:rsid w:val="36EA41BD"/>
    <w:rsid w:val="379C5435"/>
    <w:rsid w:val="37B773BD"/>
    <w:rsid w:val="37DF5FF9"/>
    <w:rsid w:val="37E971B0"/>
    <w:rsid w:val="37F7F848"/>
    <w:rsid w:val="37FBF415"/>
    <w:rsid w:val="37FFB9B6"/>
    <w:rsid w:val="3894610C"/>
    <w:rsid w:val="38FA2C3B"/>
    <w:rsid w:val="3ACC6031"/>
    <w:rsid w:val="3BDE3E9B"/>
    <w:rsid w:val="3BF5359A"/>
    <w:rsid w:val="3C9E57AB"/>
    <w:rsid w:val="3D3B749E"/>
    <w:rsid w:val="3DBB38A4"/>
    <w:rsid w:val="3E307ADA"/>
    <w:rsid w:val="3E6F2641"/>
    <w:rsid w:val="3E75253C"/>
    <w:rsid w:val="3EF9451A"/>
    <w:rsid w:val="3FBB96CF"/>
    <w:rsid w:val="3FE9B62A"/>
    <w:rsid w:val="3FEFE4C3"/>
    <w:rsid w:val="3FF65161"/>
    <w:rsid w:val="3FFC0352"/>
    <w:rsid w:val="40A51076"/>
    <w:rsid w:val="41563F8C"/>
    <w:rsid w:val="41EE2EFC"/>
    <w:rsid w:val="42C201A2"/>
    <w:rsid w:val="42ED70C4"/>
    <w:rsid w:val="436F3BCE"/>
    <w:rsid w:val="43961FAD"/>
    <w:rsid w:val="43CB50A1"/>
    <w:rsid w:val="44FB3A29"/>
    <w:rsid w:val="459F74E1"/>
    <w:rsid w:val="46C1535D"/>
    <w:rsid w:val="46DF1DFE"/>
    <w:rsid w:val="46E2098A"/>
    <w:rsid w:val="471A0124"/>
    <w:rsid w:val="47E0136E"/>
    <w:rsid w:val="47FB1D04"/>
    <w:rsid w:val="483F659C"/>
    <w:rsid w:val="488E70FC"/>
    <w:rsid w:val="495E1FB7"/>
    <w:rsid w:val="497D6908"/>
    <w:rsid w:val="4A38723F"/>
    <w:rsid w:val="4AD85E83"/>
    <w:rsid w:val="4B4B11F4"/>
    <w:rsid w:val="4B895879"/>
    <w:rsid w:val="4CA010CC"/>
    <w:rsid w:val="4DF72F6D"/>
    <w:rsid w:val="4E3B1ACB"/>
    <w:rsid w:val="50D23DDF"/>
    <w:rsid w:val="51051E45"/>
    <w:rsid w:val="51BE1094"/>
    <w:rsid w:val="52AB0FDC"/>
    <w:rsid w:val="536D5230"/>
    <w:rsid w:val="53F12DAC"/>
    <w:rsid w:val="54EF0E42"/>
    <w:rsid w:val="54F9C094"/>
    <w:rsid w:val="555731AD"/>
    <w:rsid w:val="55D51A9B"/>
    <w:rsid w:val="55D76224"/>
    <w:rsid w:val="55EC5382"/>
    <w:rsid w:val="55EE10FA"/>
    <w:rsid w:val="56066443"/>
    <w:rsid w:val="567A0BDF"/>
    <w:rsid w:val="567B1032"/>
    <w:rsid w:val="56B54DF3"/>
    <w:rsid w:val="57254695"/>
    <w:rsid w:val="573B11DB"/>
    <w:rsid w:val="576F5CC7"/>
    <w:rsid w:val="57835872"/>
    <w:rsid w:val="5910550B"/>
    <w:rsid w:val="599975CF"/>
    <w:rsid w:val="59C24C2E"/>
    <w:rsid w:val="5AEEF128"/>
    <w:rsid w:val="5BFB6027"/>
    <w:rsid w:val="5BFF8AA8"/>
    <w:rsid w:val="5CDF022A"/>
    <w:rsid w:val="5CF84784"/>
    <w:rsid w:val="5D447851"/>
    <w:rsid w:val="5D6F173E"/>
    <w:rsid w:val="5DFE045C"/>
    <w:rsid w:val="5E704405"/>
    <w:rsid w:val="5F966721"/>
    <w:rsid w:val="5FD72B9C"/>
    <w:rsid w:val="5FD90725"/>
    <w:rsid w:val="5FE5CF17"/>
    <w:rsid w:val="5FFF1520"/>
    <w:rsid w:val="5FFF3553"/>
    <w:rsid w:val="5FFF7BCB"/>
    <w:rsid w:val="5FFFB80B"/>
    <w:rsid w:val="61F730E4"/>
    <w:rsid w:val="61F80926"/>
    <w:rsid w:val="62422010"/>
    <w:rsid w:val="62EF200D"/>
    <w:rsid w:val="63462575"/>
    <w:rsid w:val="63856585"/>
    <w:rsid w:val="656E02A1"/>
    <w:rsid w:val="65C77BFA"/>
    <w:rsid w:val="66261296"/>
    <w:rsid w:val="67B37C44"/>
    <w:rsid w:val="67DB1792"/>
    <w:rsid w:val="67FFEFA4"/>
    <w:rsid w:val="68262832"/>
    <w:rsid w:val="682D5AB2"/>
    <w:rsid w:val="68525206"/>
    <w:rsid w:val="68BA0367"/>
    <w:rsid w:val="68EA0F9F"/>
    <w:rsid w:val="691B3B5C"/>
    <w:rsid w:val="6ACD0E86"/>
    <w:rsid w:val="6AEE4FFC"/>
    <w:rsid w:val="6B882FFF"/>
    <w:rsid w:val="6C9C3206"/>
    <w:rsid w:val="6CF43042"/>
    <w:rsid w:val="6CFEA78D"/>
    <w:rsid w:val="6DFB0B84"/>
    <w:rsid w:val="6DFB924E"/>
    <w:rsid w:val="6E02639C"/>
    <w:rsid w:val="6EB2671B"/>
    <w:rsid w:val="6EC9C276"/>
    <w:rsid w:val="6F67B88E"/>
    <w:rsid w:val="6FBB592C"/>
    <w:rsid w:val="6FD7E42A"/>
    <w:rsid w:val="6FE32EFA"/>
    <w:rsid w:val="6FFD339E"/>
    <w:rsid w:val="6FFDBA9B"/>
    <w:rsid w:val="708F6BDE"/>
    <w:rsid w:val="709366CE"/>
    <w:rsid w:val="71792766"/>
    <w:rsid w:val="72D52FCE"/>
    <w:rsid w:val="73171838"/>
    <w:rsid w:val="734C0DB6"/>
    <w:rsid w:val="73DB9930"/>
    <w:rsid w:val="73F90F3E"/>
    <w:rsid w:val="74892510"/>
    <w:rsid w:val="76C42081"/>
    <w:rsid w:val="770E5F08"/>
    <w:rsid w:val="773F0990"/>
    <w:rsid w:val="776F3FAF"/>
    <w:rsid w:val="777AD014"/>
    <w:rsid w:val="777FFB08"/>
    <w:rsid w:val="77DFC04F"/>
    <w:rsid w:val="77F5CC87"/>
    <w:rsid w:val="79ED298B"/>
    <w:rsid w:val="79EF191A"/>
    <w:rsid w:val="7AF6826E"/>
    <w:rsid w:val="7B3FC98B"/>
    <w:rsid w:val="7B4F4750"/>
    <w:rsid w:val="7B7D2454"/>
    <w:rsid w:val="7B8E6410"/>
    <w:rsid w:val="7BD85C6D"/>
    <w:rsid w:val="7BFF64B5"/>
    <w:rsid w:val="7C4A67DB"/>
    <w:rsid w:val="7DCB8965"/>
    <w:rsid w:val="7DF54524"/>
    <w:rsid w:val="7E33504C"/>
    <w:rsid w:val="7EBF188C"/>
    <w:rsid w:val="7F865DC9"/>
    <w:rsid w:val="7FDC176D"/>
    <w:rsid w:val="7FEDBCD0"/>
    <w:rsid w:val="7FFAAC57"/>
    <w:rsid w:val="7FFB4234"/>
    <w:rsid w:val="7FFE5FC3"/>
    <w:rsid w:val="7FFFBC15"/>
    <w:rsid w:val="9FFF7E30"/>
    <w:rsid w:val="A7BFF950"/>
    <w:rsid w:val="ABA75FEF"/>
    <w:rsid w:val="ABFF5C92"/>
    <w:rsid w:val="AEF49A55"/>
    <w:rsid w:val="AF76BB01"/>
    <w:rsid w:val="AFB77DE1"/>
    <w:rsid w:val="AFFB9112"/>
    <w:rsid w:val="AFFD6DCA"/>
    <w:rsid w:val="AFFF87BF"/>
    <w:rsid w:val="B67F5E44"/>
    <w:rsid w:val="B947AFE2"/>
    <w:rsid w:val="B9F6D8D2"/>
    <w:rsid w:val="BDF6DCA0"/>
    <w:rsid w:val="BED70F6D"/>
    <w:rsid w:val="BFFB26B9"/>
    <w:rsid w:val="BFFB2C51"/>
    <w:rsid w:val="CBEDF64A"/>
    <w:rsid w:val="CBFB89F3"/>
    <w:rsid w:val="CEFDD200"/>
    <w:rsid w:val="CFB3743B"/>
    <w:rsid w:val="D79CFB1C"/>
    <w:rsid w:val="D7FB0897"/>
    <w:rsid w:val="DA6F4D10"/>
    <w:rsid w:val="DAB6C2C0"/>
    <w:rsid w:val="DBE141E9"/>
    <w:rsid w:val="DD4750CE"/>
    <w:rsid w:val="DEFFBED5"/>
    <w:rsid w:val="DF39025C"/>
    <w:rsid w:val="DFCAED84"/>
    <w:rsid w:val="DFCFCA2E"/>
    <w:rsid w:val="DFE7AB4A"/>
    <w:rsid w:val="DFE8FA5A"/>
    <w:rsid w:val="E7FFA21E"/>
    <w:rsid w:val="E8B7D0A9"/>
    <w:rsid w:val="E96E0A19"/>
    <w:rsid w:val="ED7F9E08"/>
    <w:rsid w:val="EED37063"/>
    <w:rsid w:val="EFA74E58"/>
    <w:rsid w:val="F1BFF8F9"/>
    <w:rsid w:val="F3D750F0"/>
    <w:rsid w:val="F6B74F9F"/>
    <w:rsid w:val="F72BD66C"/>
    <w:rsid w:val="F73F5148"/>
    <w:rsid w:val="F9BD7B4C"/>
    <w:rsid w:val="FBCE8B88"/>
    <w:rsid w:val="FBDC9D9B"/>
    <w:rsid w:val="FBF773C2"/>
    <w:rsid w:val="FBFFB3BA"/>
    <w:rsid w:val="FCCB5A4F"/>
    <w:rsid w:val="FCDFC645"/>
    <w:rsid w:val="FD97BF0E"/>
    <w:rsid w:val="FDBF3B3C"/>
    <w:rsid w:val="FDEBA360"/>
    <w:rsid w:val="FDF57212"/>
    <w:rsid w:val="FDF774B8"/>
    <w:rsid w:val="FE7463B3"/>
    <w:rsid w:val="FE7F4B4E"/>
    <w:rsid w:val="FEE54798"/>
    <w:rsid w:val="FEEF2A2E"/>
    <w:rsid w:val="FEF17207"/>
    <w:rsid w:val="FF7DF73B"/>
    <w:rsid w:val="FF9EB5F5"/>
    <w:rsid w:val="FFB10F7D"/>
    <w:rsid w:val="FFB5F308"/>
    <w:rsid w:val="FFBC6D2C"/>
    <w:rsid w:val="FFD882D6"/>
    <w:rsid w:val="FFED32EF"/>
    <w:rsid w:val="FFFFE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Body Text Indent"/>
    <w:basedOn w:val="1"/>
    <w:next w:val="6"/>
    <w:qFormat/>
    <w:uiPriority w:val="0"/>
    <w:pPr>
      <w:ind w:firstLine="830" w:firstLineChars="352"/>
    </w:pPr>
    <w:rPr>
      <w:rFonts w:ascii="仿宋_GB2312" w:eastAsia="仿宋_GB2312"/>
      <w:kern w:val="0"/>
      <w:sz w:val="32"/>
      <w:szCs w:val="20"/>
    </w:rPr>
  </w:style>
  <w:style w:type="paragraph" w:styleId="6">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Body Text First Indent 2"/>
    <w:basedOn w:val="5"/>
    <w:qFormat/>
    <w:uiPriority w:val="0"/>
    <w:pPr>
      <w:spacing w:after="120"/>
      <w:ind w:left="420" w:leftChars="200" w:firstLine="420" w:firstLineChars="200"/>
    </w:pPr>
    <w:rPr>
      <w:rFonts w:ascii="黑体" w:eastAsia="黑体" w:cs="Courier New"/>
      <w:sz w:val="20"/>
    </w:rPr>
  </w:style>
  <w:style w:type="paragraph" w:customStyle="1" w:styleId="11">
    <w:name w:val="列出段落11"/>
    <w:basedOn w:val="1"/>
    <w:qFormat/>
    <w:uiPriority w:val="0"/>
    <w:pPr>
      <w:ind w:firstLine="420" w:firstLineChars="200"/>
    </w:pPr>
    <w:rPr>
      <w:rFonts w:ascii="Calibri" w:hAnsi="Calibri"/>
      <w:szCs w:val="22"/>
    </w:rPr>
  </w:style>
  <w:style w:type="paragraph" w:customStyle="1" w:styleId="12">
    <w:name w:val="无间隔1"/>
    <w:qFormat/>
    <w:uiPriority w:val="0"/>
    <w:rPr>
      <w:rFonts w:ascii="Tahoma" w:hAnsi="Tahoma" w:eastAsia="微软雅黑" w:cs="Tahoma"/>
      <w:color w:val="000000"/>
      <w:kern w:val="0"/>
      <w:sz w:val="22"/>
      <w:szCs w:val="22"/>
      <w:lang w:val="en-US" w:eastAsia="zh-CN" w:bidi="ar-SA"/>
    </w:rPr>
  </w:style>
  <w:style w:type="paragraph" w:styleId="13">
    <w:name w:val="No Spacing"/>
    <w:qFormat/>
    <w:uiPriority w:val="0"/>
    <w:rPr>
      <w:rFonts w:ascii="Tahoma" w:hAnsi="Tahoma" w:eastAsia="微软雅黑" w:cs="Tahoma"/>
      <w:color w:val="000000"/>
      <w:sz w:val="22"/>
      <w:szCs w:val="22"/>
      <w:lang w:val="en-US" w:eastAsia="zh-CN" w:bidi="ar-SA"/>
    </w:rPr>
  </w:style>
  <w:style w:type="paragraph" w:customStyle="1" w:styleId="14">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6157</Words>
  <Characters>6268</Characters>
  <Lines>0</Lines>
  <Paragraphs>0</Paragraphs>
  <TotalTime>64</TotalTime>
  <ScaleCrop>false</ScaleCrop>
  <LinksUpToDate>false</LinksUpToDate>
  <CharactersWithSpaces>6282</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2023-04-15T13:29:00Z</dcterms:created>
  <dc:creator>adol</dc:creator>
  <cp:lastModifiedBy>花雕茯苓猪</cp:lastModifiedBy>
  <cp:lastPrinted>2026-06-30T07:49:06Z</cp:lastPrinted>
  <dcterms:modified xsi:type="dcterms:W3CDTF">2026-06-30T08:35:30Z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F5F1ADEFA55143FDA13B1E46E83AD95F_13</vt:lpwstr>
  </property>
  <property fmtid="{D5CDD505-2E9C-101B-9397-08002B2CF9AE}" pid="4" name="KSOTemplateDocerSaveRecord">
    <vt:lpwstr>eyJoZGlkIjoiOGZmZDM2YmMxZWE3MGNmMTAyMzkwODg1ODBiNjY4OTYiLCJ1c2VySWQiOiIyNzE5NDA4MzMifQ==</vt:lpwstr>
  </property>
</Properties>
</file>