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3C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36"/>
          <w:szCs w:val="44"/>
        </w:rPr>
      </w:pPr>
      <w:r>
        <w:rPr>
          <w:rFonts w:hint="eastAsia"/>
          <w:b/>
          <w:bCs/>
          <w:sz w:val="36"/>
          <w:szCs w:val="44"/>
        </w:rPr>
        <w:t>南宁市中级人民法院办公办案设备采购项目</w:t>
      </w:r>
    </w:p>
    <w:p w14:paraId="4B5A61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36"/>
          <w:szCs w:val="44"/>
        </w:rPr>
      </w:pPr>
      <w:r>
        <w:rPr>
          <w:rFonts w:hint="eastAsia"/>
          <w:b/>
          <w:bCs/>
          <w:sz w:val="36"/>
          <w:szCs w:val="44"/>
        </w:rPr>
        <w:t>采购需求</w:t>
      </w:r>
    </w:p>
    <w:tbl>
      <w:tblPr>
        <w:tblStyle w:val="4"/>
        <w:tblpPr w:leftFromText="180" w:rightFromText="180" w:vertAnchor="text" w:horzAnchor="page" w:tblpX="1780" w:tblpY="557"/>
        <w:tblOverlap w:val="never"/>
        <w:tblW w:w="503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4"/>
        <w:gridCol w:w="1156"/>
        <w:gridCol w:w="3899"/>
        <w:gridCol w:w="536"/>
        <w:gridCol w:w="627"/>
        <w:gridCol w:w="800"/>
        <w:gridCol w:w="991"/>
      </w:tblGrid>
      <w:tr w14:paraId="6179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D824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D7E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FF0000"/>
                <w:sz w:val="18"/>
                <w:szCs w:val="18"/>
                <w:u w:val="none"/>
              </w:rPr>
            </w:pPr>
            <w:r>
              <w:rPr>
                <w:rFonts w:hint="eastAsia" w:ascii="仿宋" w:hAnsi="仿宋" w:eastAsia="仿宋" w:cs="仿宋"/>
                <w:b/>
                <w:bCs/>
                <w:i w:val="0"/>
                <w:iCs w:val="0"/>
                <w:color w:val="0D0D0D"/>
                <w:kern w:val="0"/>
                <w:sz w:val="18"/>
                <w:szCs w:val="18"/>
                <w:u w:val="none"/>
                <w:lang w:val="en-US" w:eastAsia="zh-CN" w:bidi="ar"/>
              </w:rPr>
              <w:t>商品名称</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5F9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FF0000"/>
                <w:sz w:val="18"/>
                <w:szCs w:val="18"/>
                <w:u w:val="none"/>
              </w:rPr>
            </w:pPr>
            <w:r>
              <w:rPr>
                <w:rStyle w:val="13"/>
                <w:rFonts w:hint="eastAsia" w:ascii="仿宋" w:hAnsi="仿宋" w:eastAsia="仿宋" w:cs="仿宋"/>
                <w:sz w:val="18"/>
                <w:szCs w:val="18"/>
                <w:lang w:val="en-US" w:eastAsia="zh-CN" w:bidi="ar"/>
              </w:rPr>
              <w:t>核心</w:t>
            </w:r>
            <w:r>
              <w:rPr>
                <w:rFonts w:hint="eastAsia" w:ascii="仿宋" w:hAnsi="仿宋" w:eastAsia="仿宋" w:cs="仿宋"/>
                <w:b/>
                <w:bCs/>
                <w:i w:val="0"/>
                <w:iCs w:val="0"/>
                <w:color w:val="0D0D0D"/>
                <w:kern w:val="0"/>
                <w:sz w:val="18"/>
                <w:szCs w:val="18"/>
                <w:u w:val="none"/>
                <w:lang w:val="en-US" w:eastAsia="zh-CN" w:bidi="ar"/>
              </w:rPr>
              <w:t>参数要求</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1232">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FF0000"/>
                <w:sz w:val="18"/>
                <w:szCs w:val="18"/>
                <w:u w:val="none"/>
              </w:rPr>
            </w:pPr>
            <w:r>
              <w:rPr>
                <w:rFonts w:hint="eastAsia" w:ascii="仿宋" w:hAnsi="仿宋" w:eastAsia="仿宋" w:cs="仿宋"/>
                <w:b/>
                <w:bCs/>
                <w:i w:val="0"/>
                <w:iCs w:val="0"/>
                <w:color w:val="0D0D0D"/>
                <w:kern w:val="0"/>
                <w:sz w:val="18"/>
                <w:szCs w:val="18"/>
                <w:u w:val="none"/>
                <w:lang w:val="en-US" w:eastAsia="zh-CN" w:bidi="ar"/>
              </w:rPr>
              <w:t>数量</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10D8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FF0000"/>
                <w:sz w:val="18"/>
                <w:szCs w:val="18"/>
                <w:u w:val="none"/>
              </w:rPr>
            </w:pPr>
            <w:r>
              <w:rPr>
                <w:rFonts w:hint="eastAsia" w:ascii="仿宋" w:hAnsi="仿宋" w:eastAsia="仿宋" w:cs="仿宋"/>
                <w:b/>
                <w:bCs/>
                <w:i w:val="0"/>
                <w:iCs w:val="0"/>
                <w:color w:val="0D0D0D"/>
                <w:kern w:val="0"/>
                <w:sz w:val="18"/>
                <w:szCs w:val="18"/>
                <w:u w:val="none"/>
                <w:lang w:val="en-US" w:eastAsia="zh-CN" w:bidi="ar"/>
              </w:rPr>
              <w:t>计量单位</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B37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0D0D0D"/>
                <w:sz w:val="18"/>
                <w:szCs w:val="18"/>
                <w:u w:val="none"/>
              </w:rPr>
            </w:pPr>
            <w:r>
              <w:rPr>
                <w:rFonts w:hint="eastAsia" w:ascii="仿宋" w:hAnsi="仿宋" w:eastAsia="仿宋" w:cs="仿宋"/>
                <w:b/>
                <w:bCs/>
                <w:i w:val="0"/>
                <w:iCs w:val="0"/>
                <w:color w:val="0D0D0D"/>
                <w:kern w:val="0"/>
                <w:sz w:val="18"/>
                <w:szCs w:val="18"/>
                <w:u w:val="none"/>
                <w:lang w:val="en-US" w:eastAsia="zh-CN" w:bidi="ar"/>
              </w:rPr>
              <w:t>最高总价（元）</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431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b/>
                <w:bCs/>
                <w:i w:val="0"/>
                <w:iCs w:val="0"/>
                <w:color w:val="0D0D0D"/>
                <w:sz w:val="18"/>
                <w:szCs w:val="18"/>
                <w:u w:val="none"/>
              </w:rPr>
            </w:pPr>
            <w:r>
              <w:rPr>
                <w:rFonts w:hint="eastAsia" w:ascii="仿宋" w:hAnsi="仿宋" w:eastAsia="仿宋" w:cs="仿宋"/>
                <w:b/>
                <w:bCs/>
                <w:i w:val="0"/>
                <w:iCs w:val="0"/>
                <w:color w:val="0D0D0D"/>
                <w:kern w:val="0"/>
                <w:sz w:val="18"/>
                <w:szCs w:val="18"/>
                <w:u w:val="none"/>
                <w:lang w:val="en-US" w:eastAsia="zh-CN" w:bidi="ar"/>
              </w:rPr>
              <w:t>建议品牌</w:t>
            </w:r>
          </w:p>
        </w:tc>
      </w:tr>
      <w:tr w14:paraId="1602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9BA8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9B4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索尼Alpha1II</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D001">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传感器：约5010万有效像素的全画幅ExmorRSCMOS（背照式堆叠），搭配BIONZXR影像处理器。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ISO范围：原生ISO100-32000，可扩展至ISO50-102400，高感画质表现优秀。</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防抖：5轴机身防抖，静态照片中心最高可达8.5级，边缘7.0级，视频也有动态增强防抖模式。</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极速连拍性能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电子快门：支持最高30张/秒​的无黑屏高速连拍，且全程支持AF/AE追踪，每秒可进行约120次对焦和曝光计算。</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机械快门：最高约10张/秒。</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预拍摄：支持记录按下快门前最多1秒的瞬间，抓拍“决定性瞬间”非常给力。</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识别能力：内置独立AI芯片，支持“自动”模式，能识别人（含姿态、眼镜遮挡）、动物、鸟类、昆虫、车辆、飞机、火车等7类主体。其中动物和鸟类识别率相比前代有显著提升。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对焦系统：759个相位对焦点，覆盖约92%的画面，弱光对焦低至EV-4。</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高分辨率：支持8K30p​10-bit4:2:0录制（8.6K超采样），以及4K120p10-bit4:2:2高帧率慢动作。</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色彩科学：内置S-Cinetone色彩模式，支持S-Log3及导入自定义LUT。</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辅助功能：支持呼吸补偿、焦点图、AF辅助等，还可通过HDMI输出16-bitRAW视频。</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屏幕：3.2英寸约210万点4轴多角度翻转触控屏。</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取景器：944万点EVF，最高240fps刷新率。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存储：双卡槽设计，均支持CFexpressTypeA和SD卡（UHS-I/II）。</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连接：支持Wi-Fi和蓝牙。</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重量：机身约743克，保持了紧凑设计。</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标配：随机附加深眼罩（FDA-EP21）和双电池充电器（BC-ZD1），续航和户外强光拍摄体验更好。</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CCF6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B6F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496F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52646</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2B34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索尼Alpha1II</w:t>
            </w:r>
          </w:p>
        </w:tc>
      </w:tr>
      <w:tr w14:paraId="5416C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9510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5C9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索尼FE24-70mmF2.8GMII</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1DAC">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镜头结构：20片15组，含2枚XA超级非球面镜片、2枚ED低色散镜片和2枚SuperED超级低色散镜片。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光圈：恒定F2.8，11片圆形光圈叶片。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对焦：最近对焦距离0.21米（24mm端）-0.3米（70mm端），最大放大倍率0.32倍。</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驱动：4个XD线性马达，支持高速、高精度自动对焦。</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物理规格：滤镜直径82mm，尺寸约87.8×119.9mm，重量约695g。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防护：防尘防潮设计，前组镜片带氟化物涂层。</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368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296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ABC7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31582</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6D8A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索尼FE24-70mmF2.8GMII</w:t>
            </w:r>
          </w:p>
        </w:tc>
      </w:tr>
      <w:tr w14:paraId="5FA54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0C11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F89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索尼FE70-200mmF2.8GMOSSII</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1C65">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光学结构：14组17片，含1枚XA超级非球面镜片、1枚非球面镜片、1枚ED低色散非球面镜片、2枚ED低色散镜片和2枚SuperED超低色散镜片。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光圈：恒定F2.8，11片圆形光圈叶片，最小光圈F22。</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对焦与防抖：4个XD线性马达，支持快速精准自动对焦；内置光学防抖（OSS），搭配防抖机身可实现5轴防抖。</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最近对焦距离：0.4米（70mm端）-0.82米（200mm端），最大放大倍率约0.3倍。</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物理规格：滤镜直径77mm，尺寸约88×200mm，重量约1045g（不含三脚架卡口）。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防护与设计：防尘防潮设计，前组镜片带氟化物涂层；内变焦设计，变焦时重心不变。</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视频功能：显著减少呼吸效应、变焦过程中的焦点偏移和光轴偏移；具备独立的对焦环、变焦环和光圈控制环，光圈环支持无级光圈点按开关（CLICKON/OFF）。</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084D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FFB2">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631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20735</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1B4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索尼FE70-200mmF2.8GMOSSII</w:t>
            </w:r>
          </w:p>
        </w:tc>
      </w:tr>
      <w:tr w14:paraId="7770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A4F5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651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索尼HVL-F60RM2</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6C8CE">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闪光指数：GN60（ISO100，200mm焦距）。</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变焦覆盖：自动/手动20-200mm，加装广角扩散片可覆盖至14mm。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回电与续航：使用镍氢电池回电约1.7秒，全功率闪光约240次；搭配外接电池盒回电可缩短至0.6秒。</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高速同步：支持HSS，最高可与1/8000秒快门同步。</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连拍性能：最高支持10张/秒连拍连续闪光200次。</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无线功能：2.4GHz无线电控制，最远30米，可控制多达15个闪光灯（分为5组）。</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操控与防护：配备点阵式LCD屏，支持防尘防潮设计，采用金属热靴接口。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物理规格：尺寸约78.1×143.1×104.6mm，重量约439g（不含电池），使用4节AA电池供电。</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627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C30C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A9E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8536</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5F792">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索尼HVL-F60RM2</w:t>
            </w:r>
          </w:p>
        </w:tc>
      </w:tr>
      <w:tr w14:paraId="4AFC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63F7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4489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索尼VG-C5竖拍手柄</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10CB">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索尼VG-C5竖拍手柄</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尺寸(宽×高×深)约136.1×108.9×68.3mm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本体重量约236g(不含电池和机身盖)</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三脚架安装孔配有1/4"-20标准螺丝孔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工作温度0°C至40°C</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存储温度-22°C至55°C(约)</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2244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3AEF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0EEF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4021</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4FB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索尼VG-C5竖拍手柄</w:t>
            </w:r>
          </w:p>
        </w:tc>
      </w:tr>
      <w:tr w14:paraId="0E53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901F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CDA3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索尼NP-FZ100电池</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F8AF">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索尼NP-FZ100电池</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电池类型可充电锂离子电池组(Li-Ion)</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电池容量2280mAh/16.4Wh</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额定电压7.2V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充电限制电压8.4V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外观尺寸约38.7x22.7x51.7mm(WxHxD)</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重量约83g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工作温度0°C到40°C(32°F到104°F)</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存储温度-20°C到55°C(-4°F到131°F)</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02D0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52E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C572">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1090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6FD4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索尼NP-FZ100电池</w:t>
            </w:r>
          </w:p>
        </w:tc>
      </w:tr>
      <w:tr w14:paraId="1835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981F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F86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索尼MDR-MV1</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1776">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核心声学：采用40mm专门开发的驱动单元，配合开放式声学结构，实现5Hz-80,000Hz的超宽频响范围，能精准复现音源的空间信息和低频细节。</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佩戴体验：整机重量仅约223g，采用亲肤类绒面耳罩和低回弹聚氨酯填充，透气舒适，适合长时间佩戴。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连接设计：配备约2.5米可拆式耳机线，标配6.3mm立体声插头及3.5mm转换适配器，方便连接各类专业设备。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电气参数：阻抗24Ω（1kHz），灵敏度100dB/mW，最大输入功率1500mW</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E1A6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94C9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E31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3265</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218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索尼MDR-MV1</w:t>
            </w:r>
          </w:p>
        </w:tc>
      </w:tr>
      <w:tr w14:paraId="625D5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8B76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F3B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索尼CFexpressTypeA80G</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A178">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相机存储卡，索尼CFexpressTypeA80G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容量80GB</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读取速度800MB/s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写入速度700MB/s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最低写入速度400MB/s(VPG400保证)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接口PCIExpressGen3x1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尺寸(WxHxD)20.0mm×28.0mm×2.8mm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工作温度-10°C至+70°C（无冷凝）</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A30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979E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F5A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8395</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1AA0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索尼CFexpressTypeA80G</w:t>
            </w:r>
          </w:p>
        </w:tc>
      </w:tr>
      <w:tr w14:paraId="2D692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75ED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3CE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三星T9移动固态硬盘1T</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26F1">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产品尺寸：88mm*60mm*14mm，最高连续读速2000MB/s，接口USB3.2，容量1T。</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9AD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673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DED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16120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ACC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三星T9移动固态硬盘1T</w:t>
            </w:r>
          </w:p>
        </w:tc>
      </w:tr>
      <w:tr w14:paraId="0146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7E33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363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三星T9移动固态硬盘2T</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F452">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产品尺寸：88mm*60mm*14mm，最高连续读速2000MB/s，接口USB3.2，容量2T。</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351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98C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BDA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5478</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230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三星T9移动固态硬盘2T</w:t>
            </w:r>
          </w:p>
        </w:tc>
      </w:tr>
      <w:tr w14:paraId="07F9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56E5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7A8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闪迪U3高速TF卡128G</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99A6">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闪迪U3高速TF卡容量128G</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DAB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DD25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71EC2">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1782</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033A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闪迪U3高速TF卡128G</w:t>
            </w:r>
          </w:p>
        </w:tc>
      </w:tr>
      <w:tr w14:paraId="372D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05C7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574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大疆DJIRS5套装</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3E04">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核心性能：最大负载3千克，采用RS第五代增稳算法，电机峰值扭矩较上代提升50%，配合新增的Z轴稳定指示器，能实时反馈垂直抖动并引导步伐调整，确保画面极致平稳。</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智能追踪：搭载全新RS增强智能追踪模块，支持在触控屏上直接框选人、车、宠物等任意物体进行智能跟拍，识别距离最远可达10米，且短暂遮挡后能重新找回目标。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续航充电：标配BG33电池手柄，续航时间提升至约14小时，支持快充技术，仅需约1小时即可充满，相比前代充电速度提升60%。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便携操控：云台本体连同手柄及快装板仅重约1.46千克，配备第二代自动轴锁，开关机自动锁定便于转场；所有轴臂均配备微调平旋钮与特氟龙™夹层，可实现毫米级快速精准调平。</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原生配件：套装自带全新原生电控手提转接手柄，自带摇杆及按键可单手控制云台与相机，轻松解锁低角度等更多拍摄方式，且自带冷靴与拓展接口。</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69A8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C814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CD4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4202</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4F5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大疆DJIRS5套装</w:t>
            </w:r>
          </w:p>
        </w:tc>
      </w:tr>
      <w:tr w14:paraId="1AD90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AF3E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CA9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大疆OsmoPocket4PVlog套装+续航手柄</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DC60">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影像系统：搭载1英寸CMOS传感器与f/2.0大光圈镜头，支持4K/240fps慢动作录制及14级动态范围，内置103GB存储空间，无需额外存储卡即可开拍。</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续航能力：单机满电可录制约240分钟，搭配满电续航手柄可增加约150分钟录制时间，总续航可达约390分钟。手柄支持热插拔换电，底部配有1/4''螺纹孔可外接三脚架。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全能配件：除主机外，套装还包含DJIMic3发射器（支持四声道收音）、补光灯、迷你三脚架、增广镜及收纳包等丰富配件，轻松应对多场景创作。</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智能操控：采用2英寸旋转触控屏，支持一键切换横竖拍；升级智能跟随算法，支持最高4倍变焦跟随，新增屏下变焦与自定义双按键</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010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53B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704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4198</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11F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大疆OsmoPocket4PVlog套装+续航手柄</w:t>
            </w:r>
          </w:p>
        </w:tc>
      </w:tr>
      <w:tr w14:paraId="7D9B0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8614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5E3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DJIMic3（四发一收含充电盒+热靴转接件）</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34A0B">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迷你无线麦克风，四发一收，配套充电盒，热靴转接件。品牌型号DJIMic3</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484A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658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A79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4235</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60C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DJIMic3（四发一收含充电盒+热靴转接件）</w:t>
            </w:r>
          </w:p>
        </w:tc>
      </w:tr>
      <w:tr w14:paraId="0EBC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1A6F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7F8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DJIOsmoAction6畅拍套裝</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8D84">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影像实力：搭载全新1/1.1英寸方形传感器，支持可变光圈（f/2.0-f/4.0），最高可录制8K超高清视频及4K/120fps慢动作，并新增4K自由裁切模式，支持先拍后剪。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续航与耐寒：配备3块1950mAh耐寒增强续航电池，单机续航最长可达240分钟（4小时），支持在-20℃至45℃的严苛环境下稳定拍摄。</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音频与连接：支持OsmoAudio™直连2个DJI麦克风发射器（无需接收器），机身内置三麦克风阵列，配合智能降噪算法有效抑制风噪。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防护与增稳：支持20米裸机防水（加防水壳可达60米），内置色温传感器与专业水压计；搭载超强增稳3.0及地平线增稳技术，无惧颠簸。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存储与配件：内置50GB存储空间，套装额外包含1.5米延长杆、多功能电池收纳盒3、双向快拆转接件等丰富配件。</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E22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B7F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9EB4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3988</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FEB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DJIOsmoAction6畅拍套裝</w:t>
            </w:r>
          </w:p>
        </w:tc>
      </w:tr>
      <w:tr w14:paraId="5958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3B02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524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华为Mate80ProMax风驰版16GB+512GB</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25B94">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品牌型号：华为Mate80ProMax风驰版</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1、CPU型号麒麟9030Pro；</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2、屏幕尺寸6.9英寸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3、后摄主像素5000万像素</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4、后摄2超广角像素4000万像素</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5、运行内存16GB，存储容量512GB</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6、系统：HarmonyOS</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C5A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074E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1FB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9240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7164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华为Mate80ProMax风驰版16GB+512GB</w:t>
            </w:r>
          </w:p>
        </w:tc>
      </w:tr>
      <w:tr w14:paraId="2A4C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73395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A39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罗技MXKeys+Master4键鼠套装</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9F75">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品牌型号：罗技MXKeys+Master4键鼠套装</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108键全尺寸布局，尺寸（宽×高×深）≥430mm×≥132mm×≤21mm，双模无线连接，支持LogiBoltUSB接收器及低功耗蓝牙（Bluetooth®LowEnergy）；支持Easy-Switch功能，最多可连接3台不同设备，一键切换；按键寿命（功能键）≥500万次；配套MXMaster4无线智能鼠标。</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53C5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9566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D0D0D"/>
                <w:sz w:val="18"/>
                <w:szCs w:val="18"/>
                <w:u w:val="none"/>
              </w:rPr>
            </w:pPr>
            <w:r>
              <w:rPr>
                <w:rFonts w:hint="eastAsia" w:ascii="仿宋" w:hAnsi="仿宋" w:eastAsia="仿宋" w:cs="仿宋"/>
                <w:i w:val="0"/>
                <w:iCs w:val="0"/>
                <w:color w:val="0D0D0D"/>
                <w:kern w:val="0"/>
                <w:sz w:val="18"/>
                <w:szCs w:val="18"/>
                <w:u w:val="none"/>
                <w:lang w:val="en-US" w:eastAsia="zh-CN" w:bidi="ar"/>
              </w:rPr>
              <w:t>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CC1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1584</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087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罗技MXKeys+Master4键鼠套装</w:t>
            </w:r>
          </w:p>
        </w:tc>
      </w:tr>
      <w:tr w14:paraId="32A36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0EFD1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B996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显示器</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F868B">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1、面板尺寸：34英寸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2、面板类型：IPS技术</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3、显示屏涂层：防眩，3H，雾度25%</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4、宽高比：21:9</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5、最高分辨率：2560x1080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6、刷新率：75Hz</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7、响应时间：4毫秒（灰阶到灰阶）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8、亮度：300cd/m²</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9、对比度（标准）：1000:1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10：视角：178º（水平）/178º（垂直）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11、显示屏色彩：16.7M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12、信号接口：DP*1、HDMI*2</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13、底座功能：高度调节：100毫米，倾斜：-5~20度，底部：左右旋转±45°</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14、保修服务：三年保修</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15、供货时提供原厂售后服务承诺函。</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3F0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32A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89D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176000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2206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飞利浦342E2E</w:t>
            </w:r>
          </w:p>
        </w:tc>
      </w:tr>
      <w:tr w14:paraId="45F9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90ACC">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B2B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显示器支架</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ECC6A">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底座功能：高度调节：100毫米，倾斜：-5~20度，底部：左右旋转±45°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43C2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912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E96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8CE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w:t>
            </w:r>
          </w:p>
        </w:tc>
      </w:tr>
      <w:tr w14:paraId="352E3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F4BF6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06F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科大讯飞智能办公本X5Pro</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C2123">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型号：XF-DX-T510E</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CPU型号：MT8189CPU核心数与频率八核至高2.6GHz,9TOPSNPU算力</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运行内存：8GBLPDDR5，机身存储与扩展空间：128GBUFS2.2，支持至多2TB的TF卡</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屏幕尺寸：10.65英寸屏幕材质E-ink柔性电子墨水屏</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屏幕分辨率：1920*2560，300PPI屏占比约87%视觉屏占比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无线链接：4G网络通信*+WiFi6+蓝牙5.3</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声麦系统：八麦阵列(顶4+底4)+双扬声器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充电接口：USBTypeC，支持OTG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耳机接口：支持TypeC接口的数字耳机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屏幕触控：全新讯飞I-Pencil(第三代)电磁笔LAMY恒星限定系列电磁笔</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机身材质：CNC铝合金中框+复合板材背板外观工艺顶级锆砂工艺+肤感拓印纹理</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电池容量：4500mAh,支持最高18W快充</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后置摄像头：500万/800万像素文档扫描摄像头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灵动条触控条，用于快速启动讯飞星火大模型、快捷便签以及快速翻页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文件格式：pdf/epub/mobi/txt/azw3/doc(x)/xls(x)/p</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pt(x)/mp3/opus/jpeg/png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操作系统：基于安卓15的讯飞定制DUI6.0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颜色：金色机身+黑/蓝/棕皮套，经典黑双面细格纹素皮皮套--X5Pro黑灰，水墨蓝双面细格纹素皮皮套-X5Pro蓝金，摩卡棕双面细格纹素皮皮套--X5Pro棕金</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品裸机尺寸：248.5*177.5*4.6mm产品裸机重量约355g</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*4G通信支持中国移动/中国电信/中国联通的4G网络通信</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2A7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F347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6825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181500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207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科达讯飞X5PRO</w:t>
            </w:r>
          </w:p>
        </w:tc>
      </w:tr>
      <w:tr w14:paraId="70EFD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B76A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75AA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移动音箱</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239F">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品牌：MIPRO，型号：MA505</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1、最大音压 105 dB</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2、喇叭系统 1 吋高音 + 8 吋低音</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3、频率范围 70 Hz ~ 14 kHz</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4、音源输入MICIN：XLR、6.3mm / LINE IN：3.5 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5、音源输出LINE OUT：3.5mm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6、放大器 D 类</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9、输出功率额定 145W，最大 248W</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10、接收模块 内建 2 组，可多加装 2 组</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11、播音模块 内建蓝牙，CD、USB、SD 等录放音座可供选择</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12、发射模块可选购 MTM-91、MTM-24、MTM-58</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13、外接喇叭6.3mm 输出插座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14、特殊功能VOP 广播优先、麦克风回音效果或高低音比例调整、警报声</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15、电源供应AC 100~240V，DC 24 ~ 28V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16、电池类型锂离子电池 (MB-35) × 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17、电量显示4 段 LED 灯显示电池电量及充电状况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18、待机时间8 小时以上</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19、尺寸275 × 406 × 225 mm (W×H×D)</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20、重量约 8.0 kg（含电池）</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21、原厂配套移动音箱袋*1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22、音频转换线型号MU-40G*1</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59B1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A5AD5">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BB3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D5D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MIPRO</w:t>
            </w:r>
          </w:p>
        </w:tc>
      </w:tr>
      <w:tr w14:paraId="762B1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59C0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567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移动电源</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7A149">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品牌：大疆，型号：DJIPower2000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220V3000瓦大功率大容量快充储能户外电源，电池能量2000-2500Wh，重量 22 公斤</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2DD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2616">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4BA1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5700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C45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大疆DJIPower2000</w:t>
            </w:r>
          </w:p>
        </w:tc>
      </w:tr>
      <w:tr w14:paraId="2C080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2FB4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F59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平衡车</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71704">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主要材质：镁合金压铸一体成型+铝合金+ABS+橡胶；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最高车速：20公里/小时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典型续航里程：90公里</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载重范围：40～150公斤</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最小转弯半径0°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最大爬坡角度≤35度</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踏板高度22.1厘米</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最小离地间隙12.5厘米</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轮胎尺寸19寸全地形越野轮胎</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标准胎压150kpa</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长X宽X高②488x836x1080~1480毫米（高度可调）</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净重51.1公斤</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毛重58.3公斤</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工作温度-10~+40℃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储存温度-20~+50℃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防水等级IP56</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新手模式：有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适用地形：水泥/柏油路/土路/草地/碎石路/沙滩/减速带/助力模式可上下楼梯或路肩。</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认证CE/FCC/RoHS/MSDS/UN38.3/航空运输报告/海运运输报告；</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电机驱动方式：双系统+航空级进口陀螺仪控制系统</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电池组参数：电池类型18650锂离子电池</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额定电压57.6V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最高充电电压67.2V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额定容量（Ah)15.6Ah</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智能BMS过压/欠压/短路/过热保护，自动休眠/唤醒，通过APP可检测电池状态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最大持续放电功率：1000W</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电机参数：无刷直流电机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电机功率1500Wx2=3000W</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充电器参数：输入电压100~240V，输出电压67.2V，输出电流2.0A，额定功率120W，充电时间约4~5小时，允许充电温度0~40℃；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工作模式：待机模式/助力模式/限速驾驶模式/正常驾驶模式/遥控模式/锁车模式</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显示面板：6.5寸OLED显示屏/电量/速度/限速报警显示/灯光/故障显示/锁车/蓝牙</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灯光：前照明大灯/氛围灯/左右转向灯/刹车灯/倒车灯</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无线连接：遥控蓝牙连接，APP蓝牙连接，手机蓝牙音响</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盾牌：有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侧箱:2个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侧箱爆闪灯:2个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顶部爆闪灯:有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喊话器:有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遥控器:有</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D458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B1CE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辆</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EEB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E3E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德瑞玛M20旗舰定制款</w:t>
            </w:r>
          </w:p>
        </w:tc>
      </w:tr>
      <w:tr w14:paraId="4991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09581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C66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访客机</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F6E7">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1、采用四核处理器，主频≥2.0GHz，搭载Android11操作系统，运行稳定流畅。</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2、支持双屏，屏幕尺寸为10.1寸或15.6寸可选；10.1寸屏分辨率不小于1280*800，15.6寸屏分辨率不小于1920*1080；屏幕最大亮度应≥100cd/㎡；屏幕（含镜头）支持上下旋转，旋转角度45°。</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3、系统及各主要组成部分应有表明其工作正常的自检功能；有指示灯提示设备工作状态；UI界面有网络连接状态及布防状态提示。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支持通过平台进行访客预约；预约访客信息包括：姓名、性别、手机号码、证件类型、证件号码、车牌号、访客单位、来访事由、来访时间、离开时间、来访区域、被访人、备注等信息；访客信息支持自定义项，自定义项可由用户更改名称；可配置各信息项是否显示、是否必选；支持预约访客登记，可通过输入预约码、手机号（后4位）或刷身份证来启动登记；预约访客登记时可自动填充已预约的信息；对于刷身份证的访客，可获取身份证信息自动填充到登记信息中；之前登记过的访客，再次来访登记时，可获取历史信息自动填充到登记信息中。</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应支持人脸识别功能，现场抓拍人脸照片与本地人脸库照片或身份证内照片进行比对，进行人员身份核验；应支持联网与后端平台对接，实现人脸比对功能；支持在0.0011ux低照度无补光环境下正常实现人脸识别，适应强光、逆光、暗光等条件的人脸识别；应支持侧脸，遮挡，模糊，表情，戴眼睛等实际场景识别；应支持用户人脸数据下发及人脸识别双线程同步工作；设备垂直及水平区域人脸识别范围应能设置；人脸在各角度偏转±45°，应能进行人脸识别，并且该识别角度应能支持设置。</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6、支持二维码识别、广告播放、语音播报、视频预览、系统校时功能。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7、内置扬声器，支持数字降噪处理，音频压缩采用G.711U标准，压缩码率64Kbps，支持本机及软件双向音量调节。</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8、支持13.56MHz频率读卡，兼容M1卡、IC卡、CPU卡、身份证卡序列号及内容读取。</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9、M1卡、CPU卡读卡距离≤4cm，身份证读卡距离≤3cm，读卡耗时≤1秒。</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10、支持搭配打印底座或USB外接打印机实现访客凭条打印功能。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11、支持访客记录查询，可通过姓名、身份证号检索信息，支持U盘导出访客数据，可存储≥30万条访客事件记录。</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12、支持非预约访客登记；支持未带身份证的访客登记；可在人证比对过程中由工作人员跳过自动核验，改为人工核验。</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13、支持10M/100M/1000M自适应有线网络、Wi-Fi无线网络、4G全网通接入，配备1路SIM卡插槽。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14、配备1路千兆网口、1路RS-485接口、1路门锁输出接口、1路IO输入接口、3路USB接口。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15、配备人脸镜头红外补光灯、摄像头白光补光灯，支持红绿双色状态指示灯提示。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16、工作温度范围-10℃~50℃，工作湿度范围10%~90%。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4B5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8B1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7EC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2EB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海康DS-K5033CWG-DP</w:t>
            </w:r>
          </w:p>
        </w:tc>
      </w:tr>
      <w:tr w14:paraId="6567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AE8F5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3C49">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录像备份主机</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74F7">
            <w:pPr>
              <w:keepNext w:val="0"/>
              <w:keepLines w:val="0"/>
              <w:pageBreakBefore w:val="0"/>
              <w:widowControl w:val="0"/>
              <w:suppressLineNumbers w:val="0"/>
              <w:kinsoku/>
              <w:wordWrap w:val="0"/>
              <w:overflowPunct/>
              <w:topLinePunct/>
              <w:autoSpaceDE/>
              <w:autoSpaceDN/>
              <w:bidi w:val="0"/>
              <w:adjustRightInd/>
              <w:snapToGrid/>
              <w:spacing w:line="30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品牌：海康威视，型号：iDS-AK70236R-LZ</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1、配置≥1颗64位多核处理器，配置≥16GB内存，并可扩展到64GB，可接入≥36块硬盘，风扇支持热插拔并可冗余温控调速</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2、设备具有≥1个RS232串口/CONSOLE接口、≥1个VGA接口、≥1个HDMI、≥2个USB2.0接口、≥2个USB3.0接口、≥2个千兆网口、≥1个千兆管理网口、支持PCI-E3.0插槽，采用可热插拔1+1AC220V电源，机箱具备防尘滤网和双立柱。</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3、可接入硬盘容量1TB/2TB/3TB/4TB/5TB/6TB/8TB/10TB/12TB/14TB/16TB/18TB/20TB/25TB/26TB；支持SATA或SAS接口硬盘；支持硬盘交错/分时启动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4、可对视音频、图片、智能数据（智能行为分析录像）流进行混合直存，无须存储服务器和图片服务器的参与，平台服务器宕机时，存储业务正常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5、支持红灯/蓝灯报警，可根据故障紧急程度分级报警，不同级别闪烁不同颜色保养灯，保养灯闪烁时长、频率可设</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6、★设备内置大模型算法引擎，支持对目标图像和自然语言的多模态大模型建模，建立目标图像和自然语言的对应关系，目标包括人、车、非机动车及其附属物品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7、★支持接入智能相机、结构化相机、抓拍机，对图片中的目标进行多模态大模型建模，目标图片大模型建模性能20张/s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8、★以文搜图支持秒级检索，500w条目标数据3s内出结果，首页以文搜图结果正样本召回率大于90%；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9、★内置图文搜索引擎，支持开放式语义检索，输入文字描述即可查找人、车、非机动车及附属物等目标；搜索文本支持32个以内文字</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10、★支持独立的以文搜图应用展示界面，默认支持全通道录像检索，且通道和时间范围可设；支持搜索结果相似度自定义设置展示；支持自定义选择时间范围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11、★界面支持以图形和文字方式展示高频词，可自由组合选择，如人的上衣颜色、下装颜色、随身物品、性别等；车的颜色、类型、品牌等；其他的包括保安、抽烟、打电话、玩手机等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12、支持自定义以文搜图的8个高频热词分组，组内可添加高频搜索词汇；支持用户选择高频词后，设备可自动填充描述成句</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13、★支持将搜索内容添加到历史记录，历史检索词条保持最近10条，通过直接点击该高频热词或历史记录可直接进行重复检索</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14、★支持搜索结果按相似度排序展示，根据搜索结果，可一键关联录像片段及以图搜图，对目标进行二次精准检索定位，还原目标的跨通道行动轨迹</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15、★以文搜图检索结果支持以相似度、时间、通道等条件对检出录像/图片进行排序或筛选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16、支持web或平台通过网络接口来调用设备以文搜图板块，进行以文搜图及页面展示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17、设备支持以文搜图内容合规性检测，可自动过滤敏感内容，且合规检测算法支持在线升级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18、支持视频流、图片直写，支持ONVIF、GB/T 28181、RTSP等标准协议</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19、★供货时提供原厂售后服务承诺函。</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52F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607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D5CA">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71000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2149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海康iDS-AK70236R-LZ</w:t>
            </w:r>
          </w:p>
        </w:tc>
      </w:tr>
      <w:tr w14:paraId="58E6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9A5AE">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1904">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硬盘</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ABDC">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16T企业级硬盘，容量：16TB，3.5''，转速：7200，缓存：256MB。</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B2A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43</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141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7250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266600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0EA9">
            <w:pPr>
              <w:keepNext w:val="0"/>
              <w:keepLines w:val="0"/>
              <w:pageBreakBefore w:val="0"/>
              <w:widowControl w:val="0"/>
              <w:kinsoku/>
              <w:wordWrap w:val="0"/>
              <w:overflowPunct/>
              <w:topLinePunct/>
              <w:autoSpaceDE/>
              <w:autoSpaceDN/>
              <w:bidi w:val="0"/>
              <w:adjustRightInd/>
              <w:snapToGrid/>
              <w:spacing w:line="300" w:lineRule="exact"/>
              <w:jc w:val="center"/>
              <w:rPr>
                <w:rFonts w:hint="eastAsia" w:ascii="仿宋" w:hAnsi="仿宋" w:eastAsia="仿宋" w:cs="仿宋"/>
                <w:i w:val="0"/>
                <w:iCs w:val="0"/>
                <w:color w:val="000000"/>
                <w:sz w:val="18"/>
                <w:szCs w:val="18"/>
                <w:u w:val="none"/>
              </w:rPr>
            </w:pPr>
          </w:p>
        </w:tc>
      </w:tr>
      <w:tr w14:paraId="3DD9B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3B8BB">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F641">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光盘刻录机</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03B2">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支持DVD/CD全自动光盘刻录等</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5D9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1B1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43E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4888</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0297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清华同方（THTF）TFDA-708UBD-R蓝光档案级光盘刻录机</w:t>
            </w:r>
          </w:p>
        </w:tc>
      </w:tr>
      <w:tr w14:paraId="33E7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73507">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717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扩展坞</w:t>
            </w:r>
          </w:p>
        </w:tc>
        <w:tc>
          <w:tcPr>
            <w:tcW w:w="2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CCAF">
            <w:pPr>
              <w:keepNext w:val="0"/>
              <w:keepLines w:val="0"/>
              <w:pageBreakBefore w:val="0"/>
              <w:widowControl w:val="0"/>
              <w:suppressLineNumbers w:val="0"/>
              <w:kinsoku/>
              <w:wordWrap w:val="0"/>
              <w:overflowPunct/>
              <w:topLinePunct/>
              <w:autoSpaceDE/>
              <w:autoSpaceDN/>
              <w:bidi w:val="0"/>
              <w:adjustRightInd/>
              <w:snapToGrid/>
              <w:spacing w:line="300" w:lineRule="exact"/>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10合1拓展坞，千兆网口，PD 100W供电，10Gbps高速传输，SD/TF U2读卡，支持30Hz4K，60Hz4K刷新率。</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15BD">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5BAAF">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A003">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24000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F79F8">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多凯斯</w:t>
            </w:r>
          </w:p>
        </w:tc>
      </w:tr>
      <w:tr w14:paraId="34950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956"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8D4E010">
            <w:pPr>
              <w:keepNext w:val="0"/>
              <w:keepLines w:val="0"/>
              <w:pageBreakBefore w:val="0"/>
              <w:widowControl w:val="0"/>
              <w:suppressLineNumbers w:val="0"/>
              <w:kinsoku/>
              <w:wordWrap w:val="0"/>
              <w:overflowPunct/>
              <w:topLinePunct/>
              <w:autoSpaceDE/>
              <w:autoSpaceDN/>
              <w:bidi w:val="0"/>
              <w:adjustRightInd/>
              <w:snapToGrid/>
              <w:spacing w:line="30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合计</w:t>
            </w:r>
          </w:p>
        </w:tc>
        <w:tc>
          <w:tcPr>
            <w:tcW w:w="104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7FF6CD">
            <w:pPr>
              <w:keepNext w:val="0"/>
              <w:keepLines w:val="0"/>
              <w:widowControl/>
              <w:suppressLineNumbers w:val="0"/>
              <w:jc w:val="center"/>
              <w:textAlignment w:val="center"/>
              <w:rPr>
                <w:rFonts w:hint="eastAsia" w:ascii="微软雅黑" w:hAnsi="微软雅黑" w:eastAsia="微软雅黑" w:cs="微软雅黑"/>
                <w:i w:val="0"/>
                <w:iCs w:val="0"/>
                <w:color w:val="FF0000"/>
                <w:kern w:val="2"/>
                <w:sz w:val="24"/>
                <w:szCs w:val="24"/>
                <w:u w:val="none"/>
                <w:lang w:val="en-US" w:eastAsia="zh-CN" w:bidi="ar-SA"/>
              </w:rPr>
            </w:pPr>
            <w:r>
              <w:rPr>
                <w:rFonts w:hint="eastAsia" w:ascii="仿宋" w:hAnsi="仿宋" w:eastAsia="仿宋" w:cs="仿宋"/>
                <w:i w:val="0"/>
                <w:iCs w:val="0"/>
                <w:color w:val="000000"/>
                <w:kern w:val="0"/>
                <w:sz w:val="18"/>
                <w:szCs w:val="18"/>
                <w:u w:val="none"/>
                <w:lang w:val="en-US" w:eastAsia="zh-CN" w:bidi="ar"/>
              </w:rPr>
              <w:t>¥982,285.00元</w:t>
            </w:r>
            <w:r>
              <w:rPr>
                <w:rFonts w:hint="eastAsia" w:ascii="微软雅黑" w:hAnsi="微软雅黑" w:eastAsia="微软雅黑" w:cs="微软雅黑"/>
                <w:i w:val="0"/>
                <w:iCs w:val="0"/>
                <w:color w:val="FF0000"/>
                <w:kern w:val="0"/>
                <w:sz w:val="24"/>
                <w:szCs w:val="24"/>
                <w:u w:val="none"/>
                <w:lang w:val="en-US" w:eastAsia="zh-CN" w:bidi="ar"/>
              </w:rPr>
              <w:t xml:space="preserve"> </w:t>
            </w:r>
          </w:p>
        </w:tc>
      </w:tr>
    </w:tbl>
    <w:p w14:paraId="1147DC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36"/>
          <w:szCs w:val="44"/>
        </w:rPr>
      </w:pPr>
    </w:p>
    <w:p w14:paraId="240D5981"/>
    <w:p w14:paraId="4F5769A4">
      <w:pPr>
        <w:rPr>
          <w:b/>
          <w:bCs/>
        </w:rPr>
      </w:pPr>
    </w:p>
    <w:p w14:paraId="22B17655">
      <w:pPr>
        <w:rPr>
          <w:b/>
          <w:bCs/>
        </w:rPr>
      </w:pPr>
      <w:r>
        <w:rPr>
          <w:rFonts w:hint="eastAsia"/>
          <w:b/>
          <w:bCs/>
          <w:lang w:val="en-US" w:eastAsia="zh-CN"/>
        </w:rPr>
        <w:t>卖家</w:t>
      </w:r>
      <w:r>
        <w:rPr>
          <w:rFonts w:hint="eastAsia"/>
          <w:b/>
          <w:bCs/>
        </w:rPr>
        <w:t>留言:</w:t>
      </w:r>
    </w:p>
    <w:p w14:paraId="73A53F69">
      <w:pPr>
        <w:ind w:firstLine="420" w:firstLineChars="200"/>
        <w:rPr>
          <w:b/>
          <w:bCs/>
        </w:rPr>
      </w:pPr>
      <w:r>
        <w:rPr>
          <w:rFonts w:hint="eastAsia"/>
        </w:rPr>
        <w:t>请供应商务必仔细研读采购需求文件，并根据</w:t>
      </w:r>
      <w:r>
        <w:rPr>
          <w:rFonts w:hint="eastAsia"/>
          <w:lang w:eastAsia="zh-CN"/>
        </w:rPr>
        <w:t>《南宁市中</w:t>
      </w:r>
      <w:bookmarkStart w:id="0" w:name="_GoBack"/>
      <w:bookmarkEnd w:id="0"/>
      <w:r>
        <w:rPr>
          <w:rFonts w:hint="eastAsia"/>
          <w:lang w:eastAsia="zh-CN"/>
        </w:rPr>
        <w:t>级人民法院办公办案设备采购项目采购需求》</w:t>
      </w:r>
      <w:r>
        <w:rPr>
          <w:rFonts w:hint="eastAsia"/>
        </w:rPr>
        <w:t>清单技术参数、商务要求及响应附件要求提交竞标响应文件及证明材料(加盖供应商公章)，否则竞标无效。</w:t>
      </w:r>
    </w:p>
    <w:p w14:paraId="6B597EC9">
      <w:pPr>
        <w:rPr>
          <w:b/>
          <w:bCs/>
        </w:rPr>
      </w:pPr>
    </w:p>
    <w:p w14:paraId="454B18FA">
      <w:pPr>
        <w:rPr>
          <w:b/>
          <w:bCs/>
        </w:rPr>
      </w:pPr>
      <w:r>
        <w:rPr>
          <w:rFonts w:hint="eastAsia"/>
          <w:b/>
          <w:bCs/>
        </w:rPr>
        <w:t>响应附件要求:</w:t>
      </w:r>
    </w:p>
    <w:p w14:paraId="76A66000">
      <w:pPr>
        <w:ind w:firstLine="420" w:firstLineChars="200"/>
      </w:pPr>
      <w:r>
        <w:rPr>
          <w:rFonts w:hint="eastAsia"/>
        </w:rPr>
        <w:t>1、报价时必须提交企业营业执照复印件并加盖供应商公章，否则竞标无效。2、报价时必须提交竞标截止之日前6个月内竞标企业任意1个月依法缴纳税收或依法免缴税收的证明并加盖公章，否则竞标无效。 3、报价时必须提交竞标截止之日前半年内竞标企业任意1个月依法缴纳社会保障资金的证明并加盖公章，否则竞标无效。4、本项目供应商报价仅限推荐品牌及型号，不接受推荐品牌及型号以外的产品，供应商不得以任何理由更改设备的品牌、型号、配置。请根据采购需求清单技术参数及商务要求，逐条响应，提交响应文件及证明材料(加盖供应商公章)，否则竞标无效。</w:t>
      </w:r>
    </w:p>
    <w:p w14:paraId="0456D9E3">
      <w:pPr>
        <w:rPr>
          <w:b/>
          <w:bCs/>
        </w:rPr>
      </w:pPr>
    </w:p>
    <w:p w14:paraId="761947E6">
      <w:pPr>
        <w:rPr>
          <w:b/>
          <w:bCs/>
        </w:rPr>
      </w:pPr>
      <w:r>
        <w:rPr>
          <w:rFonts w:hint="eastAsia"/>
          <w:b/>
          <w:bCs/>
        </w:rPr>
        <w:t>商务条款：</w:t>
      </w:r>
    </w:p>
    <w:p w14:paraId="7A32FC61">
      <w:r>
        <w:rPr>
          <w:rFonts w:hint="eastAsia"/>
        </w:rPr>
        <w:t xml:space="preserve">★一、所有货物要求免费送货上门，免费安装、调试。  </w:t>
      </w:r>
    </w:p>
    <w:p w14:paraId="1F1A4625">
      <w:r>
        <w:rPr>
          <w:rFonts w:hint="eastAsia"/>
        </w:rPr>
        <w:t>★二、质量保证:要求原厂全新正品，原厂质保。按国家有关产品"三包”规定执行"三包”服务，国家没有明确规定或没有特别说明的，质保期为一年。招标参数中要求质保期大于一年的，按招标要求执行。质保期内免除一切费用。</w:t>
      </w:r>
    </w:p>
    <w:p w14:paraId="5687B90D">
      <w:r>
        <w:rPr>
          <w:rFonts w:hint="eastAsia"/>
        </w:rPr>
        <w:t>★三、合同签订：系统成交且经采购人核查成交人在竞标时已按要求提交响应文件的，成交人应当及时与采购人对接合同签订事宜。注意事项：(一)合同签订前准备工作：1.成交人应在系统成交当天向采购人提供经办人、专职项目经理授权委托书原件，内容须包含姓名、身份证复印件、联系电话、微信账号等信息，并加盖供应商公司公章。2.成交人当天需备齐合同签订所需全部材料，确保合同签订条件具备。(二)合同签订流程：1.成交人负责草拟采购合同文本，应在系统成交后当天提交合同文本初稿，合同文本按本项目政采云合同模版制作，同时要求将响应文件和设备详细参数作为合同的附件。2.采购人对合同内容进行审核确认(可通过邮件、微信等方式进行确认)。3.成交人应在采购人确认合同内容后1个工作日内，向采购人递交加盖公章的正式采购合同文本原件(如需邮寄的，以寄出时间为准)。特别说明：如成交人未按注意事项(一)(二)所述要求及时配合完成相关工作，包括但不限于未按时提交授权委托书、合同文本初稿或正式合同文本原件等，视为成交人主动放弃中标资格，采购人有权立即在系统发起取消订单，所涉供应商需配合订单取消的相关操作，如拖延不配合操作的，采购人有权向政采云平台和南宁市政府采购管理办公室投诉，后果由所涉供应商承担。(三)采购人在收到正式合同文本原件的3个工作日内完成合同签订。</w:t>
      </w:r>
    </w:p>
    <w:p w14:paraId="5107F1B2">
      <w:r>
        <w:rPr>
          <w:rFonts w:hint="eastAsia"/>
        </w:rPr>
        <w:t>★四、竟价要求:供应商须严格按照"采购需求"中所要求的所有内容进行逐项报价，本项目供应商报价仅限推荐品牌及型号，不接受推荐品牌及型号以外的产品，供应商不得以任何理由更改设备的品牌、型号、配置。投标的产品型号及参数必须能够全部满足招标产品参数要求，如投标所提供产品不符合本项目采购需求的，视为无效竟价，采购人将不予确认成交，并按规定对投标公司上报有关部门进行处罚，产生的后果由中标人负责。报价必须包含所有设备物品、系统软件、随配附件、备品备件、运输、工具、各种附材、附加培训、售后服务、税金以及升级改造或更换原有设备等其他所有可能发生的一切费用。采购人不再支付任何费用。</w:t>
      </w:r>
    </w:p>
    <w:p w14:paraId="0CE646C2">
      <w:r>
        <w:rPr>
          <w:rFonts w:hint="eastAsia"/>
        </w:rPr>
        <w:t>★五、兼容性要求:供应商所提供的货物、耗材必须能兼容、匹配采购人的现有办公系统及办公设备，满足日常工作要求；如因成交供应商提供不符合本项目采购需求的产品而造成无法接入现有系统平台或采购人设备损坏、人身健康或其它损失的，后果由供应商承担。</w:t>
      </w:r>
    </w:p>
    <w:p w14:paraId="09ED3D3E">
      <w:r>
        <w:rPr>
          <w:rFonts w:hint="eastAsia"/>
        </w:rPr>
        <w:t>★六、交货验收、付款：(1)交货地点：南宁市竹溪大道88号，南宁市中级人民法院。(2)双方签订合同后，供应商应当在</w:t>
      </w:r>
      <w:r>
        <w:rPr>
          <w:rFonts w:hint="eastAsia"/>
          <w:lang w:val="en-US" w:eastAsia="zh-CN"/>
        </w:rPr>
        <w:t>7</w:t>
      </w:r>
      <w:r>
        <w:rPr>
          <w:rFonts w:hint="eastAsia"/>
        </w:rPr>
        <w:t>日内完成所有货物供应及安装调试，验收时由采购人邀请核心产品厂家授权代表对本次所采购的设备进行验收并提供原厂售后服务承诺函；①如无法按时完成供货，供应商应在供货期限届满前向采购人提出书面申请并充分说明理由，经采购人采购部门审核后，可以视情况允许供应商延期或分批供货，并向供应商出具延期或分批供货批复，采购人采购部门还可在批复中要求供应商在指定期限内完成所有货物供应，采购人同意分批供货的，双方可根据货物到货批次、数量和安装调试实际情况进行确认并验收，分批结算合同款。采购人不同意且供应商确无法按时完成供货的，按合同违约条款的规定处理，②付款前，供应商须向采购人出具付款申请并开具发票，采购人在收到付款申请和发票后7个工作日内向市财政局申请资金财政局批复并下达资金后，10个工作日内支付供应商申请的合同款项(向财政国库申请资金和办理国库支付手续不计入采购人付款期限内)。</w:t>
      </w:r>
    </w:p>
    <w:p w14:paraId="1C52956E">
      <w:r>
        <w:rPr>
          <w:rFonts w:hint="eastAsia"/>
        </w:rPr>
        <w:t>七、违约责任:成交供应商不按照本采购需求供货的、所供货物不满足本项目采购需求的、存在以次充好、提供价低质劣产品或货不对版的、未提供齐全相关验收材料的、所供产品为非原厂正品的、验收不合格的、以及逾期供货1天以上的，视为供应商违约，采购人有权单方面终止合同，并报相关的政府采购监督管理部门进行处罚处理，所造成的损失均由供应商承担。</w:t>
      </w:r>
    </w:p>
    <w:p w14:paraId="2C176143">
      <w:r>
        <w:rPr>
          <w:rFonts w:hint="eastAsia"/>
        </w:rPr>
        <w:t>八、供应商在现场所有的安装施工应遵守国家和地方关于劳动安全用工法律法规及规章制度，保证其用工的合法性。为现场实施人员进行人身保险，配备合格的劳动防护服、安全用具，指派专职项目经理负责现场的安全管理，并对实施现场安全负责。因供应商原因导致的安全事故由供应商承担全部责任。</w:t>
      </w:r>
    </w:p>
    <w:p w14:paraId="44FD50C9">
      <w:r>
        <w:rPr>
          <w:rFonts w:hint="eastAsia"/>
        </w:rPr>
        <w:t>九、供应商须严格遵守采购人有关保密的管理制度，参与项目的工作人员应当签署保密承诺书。若因供应商管理疏漏、人员违规操作等原因引发泄密事件或其他违反有关保密规定的行为的，采购人有权追究供应商违约责任和法律责任，并要求其承担由此产生的全部损失。</w:t>
      </w:r>
    </w:p>
    <w:p w14:paraId="749094D2">
      <w:pPr>
        <w:rPr>
          <w:b/>
          <w:bC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3CE7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5694A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F5694A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096"/>
    <w:rsid w:val="00084CAE"/>
    <w:rsid w:val="0009456C"/>
    <w:rsid w:val="001049D0"/>
    <w:rsid w:val="00B665E1"/>
    <w:rsid w:val="00BA29D9"/>
    <w:rsid w:val="00DF1BA2"/>
    <w:rsid w:val="00FE4096"/>
    <w:rsid w:val="012E0E7D"/>
    <w:rsid w:val="01F6771D"/>
    <w:rsid w:val="03E1134F"/>
    <w:rsid w:val="05153008"/>
    <w:rsid w:val="087E3119"/>
    <w:rsid w:val="0AE95411"/>
    <w:rsid w:val="0D006A41"/>
    <w:rsid w:val="0ECB2C7C"/>
    <w:rsid w:val="12617F82"/>
    <w:rsid w:val="1412348F"/>
    <w:rsid w:val="16E87095"/>
    <w:rsid w:val="16E94998"/>
    <w:rsid w:val="1975384C"/>
    <w:rsid w:val="1BE542EF"/>
    <w:rsid w:val="1D656883"/>
    <w:rsid w:val="1F1B2614"/>
    <w:rsid w:val="1FEF431F"/>
    <w:rsid w:val="21B66F3F"/>
    <w:rsid w:val="22664209"/>
    <w:rsid w:val="28835D5A"/>
    <w:rsid w:val="293576D0"/>
    <w:rsid w:val="297764B9"/>
    <w:rsid w:val="2B942D1F"/>
    <w:rsid w:val="2BD8717A"/>
    <w:rsid w:val="2DF547C2"/>
    <w:rsid w:val="2E3710C8"/>
    <w:rsid w:val="38D42A00"/>
    <w:rsid w:val="3B1828B7"/>
    <w:rsid w:val="3C507AAD"/>
    <w:rsid w:val="3D990188"/>
    <w:rsid w:val="400F2033"/>
    <w:rsid w:val="40B722AF"/>
    <w:rsid w:val="40DF2390"/>
    <w:rsid w:val="41BE1FD5"/>
    <w:rsid w:val="429F5DD9"/>
    <w:rsid w:val="46D7704F"/>
    <w:rsid w:val="49D97E23"/>
    <w:rsid w:val="4BE149AB"/>
    <w:rsid w:val="4E597AD2"/>
    <w:rsid w:val="526D6E57"/>
    <w:rsid w:val="561C097C"/>
    <w:rsid w:val="5743468B"/>
    <w:rsid w:val="5A0739D7"/>
    <w:rsid w:val="5C3F0242"/>
    <w:rsid w:val="5D9702C9"/>
    <w:rsid w:val="623E0D13"/>
    <w:rsid w:val="664D64DF"/>
    <w:rsid w:val="68C70E64"/>
    <w:rsid w:val="694F1A58"/>
    <w:rsid w:val="6B811345"/>
    <w:rsid w:val="6C0819BC"/>
    <w:rsid w:val="6C983716"/>
    <w:rsid w:val="6D2F7444"/>
    <w:rsid w:val="6FF077A0"/>
    <w:rsid w:val="776166CF"/>
    <w:rsid w:val="79474486"/>
    <w:rsid w:val="7C505072"/>
    <w:rsid w:val="7F6C4C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nt11"/>
    <w:basedOn w:val="5"/>
    <w:qFormat/>
    <w:uiPriority w:val="0"/>
    <w:rPr>
      <w:rFonts w:hint="eastAsia" w:ascii="微软雅黑" w:hAnsi="微软雅黑" w:eastAsia="微软雅黑" w:cs="微软雅黑"/>
      <w:b/>
      <w:bCs/>
      <w:color w:val="0D0D0D"/>
      <w:sz w:val="24"/>
      <w:szCs w:val="24"/>
      <w:u w:val="none"/>
    </w:rPr>
  </w:style>
  <w:style w:type="character" w:customStyle="1" w:styleId="7">
    <w:name w:val="font41"/>
    <w:basedOn w:val="5"/>
    <w:qFormat/>
    <w:uiPriority w:val="0"/>
    <w:rPr>
      <w:rFonts w:hint="eastAsia" w:ascii="微软雅黑" w:hAnsi="微软雅黑" w:eastAsia="微软雅黑" w:cs="微软雅黑"/>
      <w:b/>
      <w:bCs/>
      <w:color w:val="FF0000"/>
      <w:sz w:val="24"/>
      <w:szCs w:val="24"/>
      <w:u w:val="none"/>
    </w:rPr>
  </w:style>
  <w:style w:type="character" w:customStyle="1" w:styleId="8">
    <w:name w:val="font31"/>
    <w:basedOn w:val="5"/>
    <w:qFormat/>
    <w:uiPriority w:val="0"/>
    <w:rPr>
      <w:rFonts w:hint="eastAsia" w:ascii="微软雅黑" w:hAnsi="微软雅黑" w:eastAsia="微软雅黑" w:cs="微软雅黑"/>
      <w:color w:val="000000"/>
      <w:sz w:val="16"/>
      <w:szCs w:val="16"/>
      <w:u w:val="none"/>
    </w:rPr>
  </w:style>
  <w:style w:type="character" w:customStyle="1" w:styleId="9">
    <w:name w:val="font71"/>
    <w:basedOn w:val="5"/>
    <w:qFormat/>
    <w:uiPriority w:val="0"/>
    <w:rPr>
      <w:rFonts w:hint="eastAsia" w:ascii="微软雅黑" w:hAnsi="微软雅黑" w:eastAsia="微软雅黑" w:cs="微软雅黑"/>
      <w:b/>
      <w:bCs/>
      <w:color w:val="FF0000"/>
      <w:sz w:val="24"/>
      <w:szCs w:val="24"/>
      <w:u w:val="none"/>
    </w:rPr>
  </w:style>
  <w:style w:type="character" w:customStyle="1" w:styleId="10">
    <w:name w:val="font81"/>
    <w:basedOn w:val="5"/>
    <w:qFormat/>
    <w:uiPriority w:val="0"/>
    <w:rPr>
      <w:rFonts w:hint="eastAsia" w:ascii="微软雅黑" w:hAnsi="微软雅黑" w:eastAsia="微软雅黑" w:cs="微软雅黑"/>
      <w:b/>
      <w:bCs/>
      <w:color w:val="0D0D0D"/>
      <w:sz w:val="24"/>
      <w:szCs w:val="24"/>
      <w:u w:val="none"/>
    </w:rPr>
  </w:style>
  <w:style w:type="character" w:customStyle="1" w:styleId="11">
    <w:name w:val="font121"/>
    <w:basedOn w:val="5"/>
    <w:qFormat/>
    <w:uiPriority w:val="0"/>
    <w:rPr>
      <w:rFonts w:hint="eastAsia" w:ascii="微软雅黑" w:hAnsi="微软雅黑" w:eastAsia="微软雅黑" w:cs="微软雅黑"/>
      <w:b/>
      <w:bCs/>
      <w:color w:val="000000"/>
      <w:sz w:val="24"/>
      <w:szCs w:val="24"/>
      <w:u w:val="none"/>
    </w:rPr>
  </w:style>
  <w:style w:type="character" w:customStyle="1" w:styleId="12">
    <w:name w:val="font61"/>
    <w:basedOn w:val="5"/>
    <w:qFormat/>
    <w:uiPriority w:val="0"/>
    <w:rPr>
      <w:rFonts w:hint="eastAsia" w:ascii="微软雅黑" w:hAnsi="微软雅黑" w:eastAsia="微软雅黑" w:cs="微软雅黑"/>
      <w:b/>
      <w:bCs/>
      <w:color w:val="FF0000"/>
      <w:sz w:val="24"/>
      <w:szCs w:val="24"/>
      <w:u w:val="none"/>
    </w:rPr>
  </w:style>
  <w:style w:type="character" w:customStyle="1" w:styleId="13">
    <w:name w:val="font112"/>
    <w:basedOn w:val="5"/>
    <w:qFormat/>
    <w:uiPriority w:val="0"/>
    <w:rPr>
      <w:rFonts w:hint="eastAsia" w:ascii="微软雅黑" w:hAnsi="微软雅黑" w:eastAsia="微软雅黑" w:cs="微软雅黑"/>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中国石油大学</Company>
  <Pages>12</Pages>
  <Words>9131</Words>
  <Characters>11505</Characters>
  <Lines>17</Lines>
  <Paragraphs>4</Paragraphs>
  <TotalTime>1</TotalTime>
  <ScaleCrop>false</ScaleCrop>
  <LinksUpToDate>false</LinksUpToDate>
  <CharactersWithSpaces>11564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2025-06-23T04:16:00Z</dcterms:created>
  <dc:creator>Lizs</dc:creator>
  <cp:lastModifiedBy>廖祎</cp:lastModifiedBy>
  <dcterms:modified xsi:type="dcterms:W3CDTF">2026-07-03T08:43:44Z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eyJoZGlkIjoiNTJmYzk0YzVmNjU5YjNiNWIyZjViMWNlZGI2NjNmYjAiLCJ1c2VySWQiOiIzMDc3MjA1MTkifQ==</vt:lpwstr>
  </property>
  <property fmtid="{D5CDD505-2E9C-101B-9397-08002B2CF9AE}" pid="4" name="ICV">
    <vt:lpwstr>64C11240A5844CDFB28E370DA87C062A_13</vt:lpwstr>
  </property>
</Properties>
</file>