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B2038">
      <w:pPr>
        <w:jc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2026年南宁市第十四中学建政校区建设项目</w:t>
      </w:r>
    </w:p>
    <w:p w14:paraId="6909E943">
      <w:pPr>
        <w:jc w:val="center"/>
      </w:pPr>
      <w:r>
        <w:rPr>
          <w:rFonts w:hint="eastAsia" w:ascii="等线" w:hAnsi="等线" w:eastAsia="等线" w:cs="等线"/>
          <w:b/>
          <w:bCs/>
          <w:i w:val="0"/>
          <w:iCs w:val="0"/>
          <w:color w:val="000000"/>
          <w:kern w:val="0"/>
          <w:sz w:val="32"/>
          <w:szCs w:val="32"/>
          <w:u w:val="none"/>
          <w:lang w:val="en-US" w:eastAsia="zh-CN" w:bidi="ar"/>
        </w:rPr>
        <w:t>实验室桌椅采购需求表</w:t>
      </w:r>
    </w:p>
    <w:tbl>
      <w:tblPr>
        <w:tblStyle w:val="4"/>
        <w:tblW w:w="88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26"/>
        <w:gridCol w:w="5412"/>
        <w:gridCol w:w="582"/>
        <w:gridCol w:w="684"/>
      </w:tblGrid>
      <w:tr w14:paraId="18C4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4D54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2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292D50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412"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3322C8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582"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1CD8AC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D653E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2758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711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物理实验室</w:t>
            </w:r>
          </w:p>
        </w:tc>
      </w:tr>
      <w:tr w14:paraId="466D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B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实验桌（教师演示台）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9B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整体规格：≥2500mm×700mm×900mm，由台面、储物柜，抽屉架组成；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规格≥2400mm×650mm×12.7mm；采用实芯理化板，整体为高温高压成型的均质实芯结构，耐酸碱、耐高温、耐磨、防潮；台面表层采用六边形蜂窝状压纹设计，单个六边形边长≥2.5mm，压纹深度0.2mm-0.3mm，整体压纹均匀一致，一体热压成型，具备防滑、耐磨功能；台面四周边缘经圆弧倒角处理，边角圆滑过渡，无毛刺；采用三侧嵌入式结构，台面嵌入桌体无需使用金属固定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为确保使用者的健康安全，双面膜实芯理化板台面满足或优于以下7项性能检测要求：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★1）、化学性能检测：参照GB/T 17657-2022标准，台面板不少于140项化学试剂及有机溶液检测，且包含：硫酸（98%）、氢氟酸（48%）、硝酸（65%）、乙酰丙酮、三氯乙酸等。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★2）、环保性能检测：参照GB/T 39600-2021标准，甲醛释放量检测结果值≤0.005mg/m³。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★3）、物理性能检测：参照GB/T 17657-2022标准及其他检测方法检测，满足静曲强度≥145Mpa；弹性模量≥10450Mpa；密度≥1.43g/cm³；耐臭氧（72h）：外观无明显变化；尺寸稳定性：纵向、横向≤0.03%；漆膜附着力：六级：切割边缘完全平滑，网格内无脱落；表面耐划痕性能：4.5N作用下，试件表面无大于90%的连续划痕；耐沸水性能：质量增加百分率≤0.01%、厚度增加百分率≤0.06%，表面质量等级：5级：无变化，边缘质量等级：5级：无明显变化；表面耐磨性能≥1140r，未出现磨损；弯曲强度≥140Mpa；表面耐冷热循环：表面无裂纹及鼓泡等不少于22项物理性能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★4）、TVOC释放量检测：参照HJ571-2010标准，总挥发性有机化合物TVOC释放量为未检出。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★5）、抗霉菌性能检测：参照JC/T 2039-2010标准，黑曲霉、土曲霉、宛氏拟青霉、绳状青霉、出芽短梗霉、球毛壳霉、长枝木霉等不少于7种霉菌检测等级为0级；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★6）、抗细菌性能检测：参照JC/T 2039-2010标准，大肠埃希氏菌、金黄色葡萄球菌、白色念珠菌、铜绿假单胞菌、肺炎克雷伯氏菌、鼠伤寒沙门氏菌、枯草芽孢杆菌、耐甲氧西林金黄色葡萄球菌、肠沙门氏菌肠亚种、粪肠球菌、宋氏志贺氏菌、白色葡萄球菌、变异库克菌、表皮葡萄球菌等不少于14种菌种检测抗菌率≥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★7）、氙灯老化测试：参照GB/T 16422.2-2022标准，进行400小时以上老化试验测试结果为样品无变色、发粘、裂纹等异常，等级为5级。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储物柜：配有3个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配合至少4个塑料支撑扣调整高度，调节孔距≥65mm，承重≥20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抽屉架：主体采用≥1.0mm厚冷轧钢板，表层经酸洗、磷化、环氧树脂粉末喷涂等工艺加工生产，接缝处无焊点，表面平整光滑，耐酸碱，防腐蚀；边缘做倒角设计，可防止磕碰；内置2个内部规格：≥310mm×350mm×125mm抽屉，抽头均为双层结构，内附蜂窝状瓦楞纸防噪填充，采用三节静音导轨，配备阻尼滑道，抽头内嵌塑料拉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4、可调脚：桌体底部配备≥50mm高钢制PP注塑调节地脚，减震防滑。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96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B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3A88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8B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5E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教师椅</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8E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1.规格：≥550×500×1070mm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2.采用PU皮面，海绵坐垫；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3.黑色PP加玻纤内外塑框；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4.一体成型PP固定扶手；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5.中靠背46-49cm，人体工程学设计；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6.≥1.0mm厚气杆；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7.PP加纤五星塑脚；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8.φ50mm（偏差±5%）黑边尼龙万向轮。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5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6387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CA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4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实验桌（学生）</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2F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整桌规格：≥1200mm（L）×600mm（W）×780mm（H）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1.台面：采用厚度≥20mm新型环保陶瓷台面，表面采用实验室专业耐腐蚀、耐刻刮、耐污染釉面，由黑色坯体与耐腐蚀釉面经高温长时间一体烧制而成，黑色坯体可避免台面侧面因二次低温上釉易脱落现象的发生。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陶瓷台面板技术参数满足以下指标：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★1）、表面耐冷热循环：参照GB/T17657-2022标准，实测结果：表面无裂纹、鼓泡。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★2）、耐光色牢度：参照GB/T17657-2022标准，变色等级实测结果≥4级。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外观质量：参照T/CIQA10-2020标准：①外观为五面坯体，表面为釉面烧成颜色；样品敲碎后无空洞，无直径2mm以上气泡，无杂色，为一体实芯坯体。②釉面和坯体之间无脱层，釉面与坯体呈一体结构；釉面为烧成颜色（非坯体颜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★4）、耐污染性能：参照GB/T17657-2022 标准，台面板不少于60项化学试剂进行检测，包含氢氧化钙饱和溶液、乙醇99%、王水、硝酸65%、硫酸98%、高氯酸72%、乙醚99%、糠醛99%、硫化钠饱和溶液、甲苯99%、丁酮99%、二氯甲烷99%、铬酸60%、丙酮99%、苯99%、片状氢氧化钠、磷酸85%、乙酸乙酯99%、乙酸99%、盐酸37%、甲醛37%、氨水28%等，检测结果为五级（未盖玻璃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★5）、表面耐划痕：参照GB/T17657-2022标准，实测结果：≥3级，2.0N负荷测试后未见划痕。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★6）、耐高温性能：参照GB/T17657-2022标准，实测结果：表面无裂纹。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2.桌体结构：塑铝结构。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4.主横梁采用铝型材拉伸成型，规格≥1095mm×80mm，表面经过防腐氧化处理，具有较强的耐蚀性及承重性。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5.前挡条采用铝型材拉伸成型，规格≥1080mm×60mm，表面经过防腐氧化处理高≥35mm。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6.桌体型材框架表面包覆有ABS环保材料外壳。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7.桌体底部脚垫高度可调、耐磨、防潮。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8.书包斗：内部规格≥385mm×250mm×130mm，采用ABS工程塑料一次注塑成型，书包斗固定挂架采用≥1110mm×20mm×10mm矩形钢构件，钢构件表面经镀锌处理，框架横梁与桌脚之间均采用PC＋ABS工程塑料合金连插件连接。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BF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9C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32DC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60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C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学生凳</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68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1、规格：≥φ300mm×440mm；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支持调节凳子高度，升降≥50mm；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4、钢脚架：由壁厚≥1.2mm椭圆形钢管及壁厚≥1.5mm圆钢管焊接组成，表面经高温烤漆处理；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5、脚垫：塑胶材质，采用PP加纤维制实心倒钩式一体注塑成型，防水防滑。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★6、学生凳参照GB /T 24820—2024 《实验室家具通用技术条件》或其他相关标准，满足以下性能要求：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性能要求：①金属件管材应无裂缝、叠缝；②金属件焊接件焊接处无脱焊、虚焊、焊穿、错位，金属件焊接件焊接处无夹渣、气孔、焊瘤、焊丝头、咬边、飞溅，金属件焊接件焊接处表面波纹应均匀；③金属件喷涂层无漏喷、锈蚀，涂层应光滑均匀，色泽一致，应无流挂、疙瘩、皱皮、飞漆等缺陷；④塑料件应无裂纹、明显变形、缩水、针孔，无凹陷、飞边、</w:t>
            </w:r>
            <w:r>
              <w:rPr>
                <w:rFonts w:hint="eastAsia" w:ascii="宋体" w:hAnsi="宋体" w:eastAsia="宋体" w:cs="宋体"/>
                <w:i w:val="0"/>
                <w:iCs w:val="0"/>
                <w:color w:val="FF0000"/>
                <w:kern w:val="0"/>
                <w:sz w:val="21"/>
                <w:szCs w:val="21"/>
                <w:u w:val="none"/>
                <w:lang w:val="en-US" w:eastAsia="zh-CN" w:bidi="ar"/>
              </w:rPr>
              <w:t>折皱</w:t>
            </w:r>
            <w:r>
              <w:rPr>
                <w:rFonts w:hint="eastAsia" w:ascii="宋体" w:hAnsi="宋体" w:eastAsia="宋体" w:cs="宋体"/>
                <w:i w:val="0"/>
                <w:iCs w:val="0"/>
                <w:color w:val="000000"/>
                <w:kern w:val="0"/>
                <w:sz w:val="21"/>
                <w:szCs w:val="21"/>
                <w:u w:val="none"/>
                <w:lang w:val="en-US" w:eastAsia="zh-CN" w:bidi="ar"/>
              </w:rPr>
              <w:t>、疙瘩，无气泡、杂质、伤痕、白印，无划痕、毛刺、拉毛、污渍，无明显色差；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2）、安全性能要求：①正常使用时,可接触到的边都应进行倒圆、砂光的方式进行保护。倒圆半径应不小于 0.5 mm；②固定零部件的结合应无少件、透钉、漏钉；③正常使用时,其他部件表面应无锐边、锐角；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带★条款投标人须提供经国家质量监督管理部门认可的第三方检测机构出具的检测报告复印件加盖投标人公章。（检测报告须带有CMA标识及查询真伪的二维码。）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DB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A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5FD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D5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化学万向通风实验室</w:t>
            </w:r>
          </w:p>
        </w:tc>
      </w:tr>
      <w:tr w14:paraId="42C8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C2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8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实验桌（教师演示台）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1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整体规格：≥2900mm×700mm×900mm，由台面、储物柜、抽屉架、水槽柜组成；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规格≥2800mm×650mm×12.7mm，采用实芯理化板，整体为高温高压成型的均质实芯结构，耐酸碱、耐高温、耐磨、防潮；台面表层采用六边形蜂窝状压纹设计，单个六边形边长≥2.5mm，压纹深度0.2mm-0.3mm，整体压纹均匀一致，一体热压成型，具备防滑、耐磨功能；台面四周边缘经圆弧倒角处理，边角圆滑过渡，无毛刺；采用三侧嵌入式结构，台面嵌入桌体无需使用金属固定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为确保使用者的健康安全，双面膜实芯理化板台面满足或优于以下7项性能检测要求：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★1）、化学性能检测：参照GB/T 17657-2022标准，台面板不少于140项化学试剂及有机溶液检测，且包含：硫酸（98%）、氢氟酸（48%）、硝酸（65%）、乙酰丙酮、三氯乙酸等。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★2）、环保性能检测：参照GB/T 39600-2021标准，甲醛释放量检测结果值≤0.005mg/m³。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★3）、物理性能检测：参照GB/T 17657-2022标准及其他检测方法检测，满足静曲强度≥145Mpa；弹性模量≥10450Mpa；密度≥1.43g/cm³；耐臭氧（72h）：外观无明显变化；尺寸稳定性：纵向、横向≤0.03%；漆膜附着力：六级：切割边缘完全平滑，网格内无脱落；表面耐划痕性能：4.5N作用下，试件表面无大于90%的连续划痕；耐沸水性能：质量增加百分率≤0.01%、厚度增加百分率≤0.06%，表面质量等级：5级：无变化，边缘质量等级：5级：无明显变化；表面耐磨性能≥1140r，未出现磨损；弯曲强度≥140Mpa；表面耐冷热循环：表面无裂纹及鼓泡等不少于22项物理性能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★4）、TVOC释放量检测：参照HJ571-2010标准，总挥发性有机化合物TVOC释放量为未检出。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★5）、抗霉菌性能检测：参照JC/T 2039-2010标准，黑曲霉、土曲霉、宛氏拟青霉、绳状青霉、出芽短梗霉、球毛壳霉、长枝木霉等不少于7种霉菌检测等级为0级；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★6）、抗细菌性能检测：参照JC/T 2039-2010标准，大肠埃希氏菌、金黄色葡萄球菌、白色念珠菌、铜绿假单胞菌、肺炎克雷伯氏菌、鼠伤寒沙门氏菌、枯草芽孢杆菌、耐甲氧西林金黄色葡萄球菌、肠沙门氏菌肠亚种、粪肠球菌、宋氏志贺氏菌、白色葡萄球菌、变异库克菌、表皮葡萄球菌等不少于14种菌种检测抗菌率≥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★7）、氙灯老化测试：参照GB/T 16422.2-2022标准，进行400小时以上老化试验测试结果为样品无变色、发粘、裂纹等异常，等级为5级。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储物柜：配有3个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配合至少4个塑料支撑扣调整高度，调节孔距≥65mm，承重≥20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抽屉架：主体采用≥1.0mm厚冷轧钢板，表层经酸洗、磷化、环氧树脂粉末喷涂等工艺加工生产，接缝处无焊点，表面平整光滑，耐酸碱，防腐蚀。边缘做倒角设计，可防止磕碰；内置2个内部规格：≥310mm×350mm×125mm抽屉，抽头均为双层结构，内附蜂窝状瓦楞纸防噪填充，采用三节静音导轨，配备阻尼滑道，抽头内嵌塑料拉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水槽柜：规格：≥550mm×700mm×900mm，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防撞贴，面板内嵌ABS塑料拉手；预留水槽孔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5、可调脚：桌体底部配备≥50mm高钢制PP注塑调节地脚，减震防滑。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8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50BD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15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5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教师椅</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A4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1.规格：≥550×500×1070mm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2.采用PU皮面，海绵坐垫；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3.黑色PP加玻纤内外塑框；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4.一体成型PP固定扶手；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5.中靠背46-49cm，人体工程学设计；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6.≥1.0mm厚气杆；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7.PP加纤五星塑脚；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8.φ50mm（偏差±5%）黑边尼龙万向轮。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0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9B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6D4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8A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C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实验桌（学生）</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4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整桌规格：≥1200mm（L）×600mm（W）×780mm（H）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1.台面：采用厚度≥20mm新型环保陶瓷台面，表面采用实验室专业耐腐蚀、耐刻刮、耐污染釉面，由黑色坯体与耐腐蚀釉面经高温长时间一体烧制而成，黑色坯体可避免台面侧面因二次低温上釉易脱落现象的发生。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陶瓷台面板技术参数满足以下指标：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★1）、表面耐冷热循环：参照GB/T17657-2022标准，实测结果：表面无裂纹、鼓泡。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★2）、耐光色牢度：参照GB/T17657-2022标准，变色等级实测结果≥4级。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外观质量：参照T/CIQA10-2020标准：①外观为五面坯体，表面为釉面烧成颜色；样品敲碎后无空洞，无直径2mm以上气泡，无杂色，为一体实芯坯体。②釉面和坯体之间无脱层，釉面与坯体呈一体结构；釉面为烧成颜色（非坯体颜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★4）、耐污染性能：参照GB/T17657-2022 标准，台面板不少于60项化学试剂进行检测，包含氢氧化钙饱和溶液、乙醇99%、王水、硝酸65%、硫酸98%、高氯酸72%、乙醚99%、糠醛99%、硫化钠饱和溶液、甲苯99%、丁酮99%、二氯甲烷99%、铬酸60%、丙酮99%、苯99%、片状氢氧化钠、磷酸85%、乙酸乙酯99%、乙酸99%、盐酸37%、甲醛37%、氨水28%等，检测结果为五级（未盖玻璃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★5）、表面耐划痕：参照GB/T17657-2022标准，实测结果：≥3级，2.0N负荷测试后未见划痕。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★6）、耐高温性能：参照GB/T17657-2022标准，实测结果：表面无裂纹。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2.桌体结构：塑铝结构。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4.主横梁采用铝型材拉伸成型，规格≥1095mm×80mm，表面经过防腐氧化处理，具有较强的耐蚀性及承重性。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5.前挡条采用铝型材拉伸成型，规格≥1080mm×60mm，表面经过防腐氧化处理高≥35mm。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6.桌体型材框架表面包覆有ABS环保材料外壳。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7.桌体底部脚垫高度可调、耐磨、防潮。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8.书包斗：内部规格≥385mm×250mm×130mm，采用ABS工程塑料一次注塑成型，书包斗固定挂架采用≥1110mm×20mm×10mm矩形钢构件，钢构件表面经镀锌处理，框架横梁与桌脚之间均采用PC＋ABS工程塑料合金连插件连接。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FB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6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AAB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6B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5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学生凳</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9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1、规格：≥φ300mm×440mm；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支持调节凳子高度，升降≥50mm；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4、钢脚架：由壁厚≥1.2mm椭圆形钢管及壁厚≥1.5mm圆钢管焊接组成，表面经高温烤漆处理；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5、脚垫：塑胶材质，采用PP加纤维制实心倒钩式一体注塑成型，防水防滑。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★6、学生凳参照GB /T 24820—2024 《实验室家具通用技术条件》或其他相关标准，满足以下性能要求：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性能要求：①金属件管材应无裂缝、叠缝；②金属件焊接件焊接处无脱焊、虚焊、焊穿、错位，金属件焊接件焊接处无夹渣、气孔、焊瘤、焊丝头、咬边、飞溅，金属件焊接件焊接处表面波纹应均匀；③金属件喷涂层无漏喷、锈蚀，涂层应光滑均匀，色泽一致，应无流挂、疙瘩、皱皮、飞漆等缺陷；④塑料件应无裂纹、明显变形、缩水、针孔，无凹陷、飞边、</w:t>
            </w:r>
            <w:r>
              <w:rPr>
                <w:rFonts w:hint="eastAsia" w:ascii="宋体" w:hAnsi="宋体" w:eastAsia="宋体" w:cs="宋体"/>
                <w:i w:val="0"/>
                <w:iCs w:val="0"/>
                <w:color w:val="FF0000"/>
                <w:kern w:val="0"/>
                <w:sz w:val="21"/>
                <w:szCs w:val="21"/>
                <w:u w:val="none"/>
                <w:lang w:val="en-US" w:eastAsia="zh-CN" w:bidi="ar"/>
              </w:rPr>
              <w:t>折皱</w:t>
            </w:r>
            <w:r>
              <w:rPr>
                <w:rFonts w:hint="eastAsia" w:ascii="宋体" w:hAnsi="宋体" w:eastAsia="宋体" w:cs="宋体"/>
                <w:i w:val="0"/>
                <w:iCs w:val="0"/>
                <w:color w:val="000000"/>
                <w:kern w:val="0"/>
                <w:sz w:val="21"/>
                <w:szCs w:val="21"/>
                <w:u w:val="none"/>
                <w:lang w:val="en-US" w:eastAsia="zh-CN" w:bidi="ar"/>
              </w:rPr>
              <w:t>、疙瘩，无气泡、杂质、伤痕、白印，无划痕、毛刺、拉毛、污渍，无明显色差；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2）、安全性能要求：①正常使用时,可接触到的边都应进行倒圆、砂光的方式进行保护。倒圆半径应不小于 0.5 mm；②固定零部件的结合应无少件、透钉、漏钉；③正常使用时,其他部件表面应无锐边、锐角；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带★条款投标人须提供经国家质量监督管理部门认可的第三方检测机构出具的检测报告复印件加盖投标人公章。（检测报告须带有CMA标识及查询真伪的二维码。）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F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5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B18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B5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生物观察实验室</w:t>
            </w:r>
          </w:p>
        </w:tc>
      </w:tr>
      <w:tr w14:paraId="6BE6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76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C4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实验桌（教师演示台）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E7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整体规格：≥2900mm×700mm×900mm，由台面、储物柜、抽屉架、水槽柜组成；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规格≥2800mm×650mm×12.7mm，采用实芯理化板，整体为高温高压成型的均质实芯结构，耐酸碱、耐高温、耐磨、防潮；台面表层采用六边形蜂窝状压纹设计，单个六边形边长≥2.5mm，压纹深度0.2mm-0.3mm，整体压纹均匀一致，一体热压成型，具备防滑、耐磨功能；台面四周边缘经圆弧倒角处理，边角圆滑过渡，无毛刺；采用三侧嵌入式结构，台面嵌入桌体无需使用金属固定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为确保使用者的健康安全，双面膜实芯理化板台面满足或优于以下7项性能检测要求：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★1）、化学性能检测：参照GB/T 17657-2022标准，台面板不少于140项化学试剂及有机溶液检测，且包含：硫酸（98%）、氢氟酸（48%）、硝酸（65%）、乙酰丙酮、三氯乙酸等。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★2）、环保性能检测：参照GB/T 39600-2021标准，甲醛释放量检测结果值≤0.005mg/m³。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★3）、物理性能检测：参照GB/T 17657-2022标准及其他检测方法检测，满足静曲强度≥145Mpa；弹性模量≥10450Mpa；密度≥1.43g/cm³；耐臭氧（72h）：外观无明显变化；尺寸稳定性：纵向、横向≤0.03%；漆膜附着力：六级：切割边缘完全平滑，网格内无脱落；表面耐划痕性能：4.5N作用下，试件表面无大于90%的连续划痕；耐沸水性能：质量增加百分率≤0.01%、厚度增加百分率≤0.06%，表面质量等级：5级：无变化，边缘质量等级：5级：无明显变化；表面耐磨性能≥1140r，未出现磨损；弯曲强度≥140Mpa；表面耐冷热循环：表面无裂纹及鼓泡等不少于22项物理性能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★4）、TVOC释放量检测：参照HJ571-2010标准，总挥发性有机化合物TVOC释放量为未检出。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★5）、抗霉菌性能检测：参照JC/T 2039-2010标准，黑曲霉、土曲霉、宛氏拟青霉、绳状青霉、出芽短梗霉、球毛壳霉、长枝木霉等不少于7种霉菌检测等级为0级；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★6）、抗细菌性能检测：参照JC/T 2039-2010标准，大肠埃希氏菌、金黄色葡萄球菌、白色念珠菌、铜绿假单胞菌、肺炎克雷伯氏菌、鼠伤寒沙门氏菌、枯草芽孢杆菌、耐甲氧西林金黄色葡萄球菌、肠沙门氏菌肠亚种、粪肠球菌、宋氏志贺氏菌、白色葡萄球菌、变异库克菌、表皮葡萄球菌等不少于14种菌种检测抗菌率≥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★7）、氙灯老化测试：参照GB/T 16422.2-2022标准，进行400小时以上老化试验测试结果为样品无变色、发粘、裂纹等异常，等级为5级。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储物柜：配有3个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配合至少4个塑料支撑扣调整上下高度，调节孔距≥65mm，承重≥20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抽屉架：主体采用≥1.0mm厚冷轧钢板，表层经酸洗、磷化、环氧树脂粉末喷涂等工艺加工生产，接缝处无焊点，表面平整光滑，耐酸碱，防腐蚀。边缘做倒角设计，可防止磕碰；内置2个内部规格：≥310mm×350mm×125mm抽屉，抽头均为双层结构，内附蜂窝状瓦楞纸防噪填充，采用三节静音导轨，配备阻尼滑道，抽头内嵌塑料拉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水槽柜：规格：≥550mm×700mm×900mm，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防撞贴，面板内嵌ABS塑料拉手；预留水槽孔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5、可调脚：桌体底部配备≥50mm高钢制PP注塑调节地脚，减震防滑。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9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D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8BA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38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27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教师椅</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E3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1.规格：≥550×500×1070mm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2.采用PU皮面，海绵坐垫；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3.黑色PP加玻纤内外塑框；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4.一体成型PP固定扶手；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5.中靠背46-49cm，人体工程学设计；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6.≥1.0mm厚气杆；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7.PP加纤五星塑脚；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8.φ50mm（偏差±5%）黑边尼龙万向轮。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F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1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443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E8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3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实验桌（学生）</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5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整桌规格：≥1200mm（L）×600mm（W）×780mm（H）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1.台面：采用厚度≥20mm新型环保陶瓷台面，表面采用实验室专业耐腐蚀、耐刻刮、耐污染釉面，由黑色坯体与耐腐蚀釉面经高温长时间一体烧制而成，黑色坯体可避免台面侧面因二次低温上釉易脱落现象的发生。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陶瓷台面板技术参数满足以下指标：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★1）、表面耐冷热循环：参照GB/T17657-2022标准，实测结果：表面无裂纹、鼓泡。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★2）、耐光色牢度：参照GB/T17657-2022标准，变色等级实测结果≥4级。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外观质量：参照T/CIQA10-2020标准：①外观为五面坯体，表面为釉面烧成颜色；样品敲碎后无空洞，无直径2mm以上气泡，无杂色，为一体实芯坯体。②釉面和坯体之间无脱层，釉面与坯体呈一体结构；釉面为烧成颜色（非坯体颜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★4）、耐污染性能：参照GB/T17657-2022 标准，台面板不少于60项化学试剂进行检测，包含氢氧化钙饱和溶液、乙醇99%、王水、硝酸65%、硫酸98%、高氯酸72%、乙醚99%、糠醛99%、硫化钠饱和溶液、甲苯99%、丁酮99%、二氯甲烷99%、铬酸60%、丙酮99%、苯99%、片状氢氧化钠、磷酸85%、乙酸乙酯99%、乙酸99%、盐酸37%、甲醛37%、氨水28%等，检测结果为五级（未盖玻璃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★5）、表面耐划痕：参照GB/T17657-2022标准，实测结果：≥3级，2.0N负荷测试后未见划痕。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★6）、耐高温性能：参照GB/T17657-2022标准，实测结果：表面无裂纹。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2.桌体结构：塑铝结构。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4.主横梁采用铝型材拉伸成型，规格≥1095mm×80mm，表面经过防腐氧化处理，具有较强的耐蚀性及承重性。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5.前挡条采用铝型材拉伸成型，规格≥1080mm×60mm，表面经过防腐氧化处理高≥35mm。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6.桌体型材框架表面包覆有ABS环保材料外壳。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7.桌体底部脚垫高度可调、耐磨、防潮。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8.书包斗：内部规格≥385mm×250mm×130mm，采用ABS工程塑料一次注塑成型，书包斗固定挂架采用≥1110mm×20mm×10mm矩形钢构件，钢构件表面经镀锌处理，框架横梁与桌脚之间均采用PC＋ABS工程塑料合金连插件连接。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D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4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A19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00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8E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学生凳</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2D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1、规格：≥φ300mm×440mm；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支持调节凳子高度，升降≥50mm；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4、钢脚架：由壁厚≥1.2mm椭圆形钢管及壁厚≥1.5mm圆钢管焊接组成，表面经高温烤漆处理；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5、脚垫：塑胶材质，采用PP加纤维制实心倒勾式一体注塑成型，防水防滑。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★6、学生凳参照GB /T 24820—2024 《实验室家具通用技术条件》或其他相关标准，满足以下性能要求：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性能要求：①金属件管材应无裂缝、叠缝；②金属件焊接件焊接处无脱焊、虚焊、焊穿、错位，金属件焊接件焊接处无夹渣、气孔、焊瘤、焊丝头、咬边、飞溅，金属件焊接件焊接处表面波纹应均匀；③金属件喷涂层无漏喷、锈蚀，涂层应光滑均匀，色泽一致，应无流挂、疙瘩、皱皮、飞漆等缺陷；④塑料件应无裂纹、明显变形、缩水、针孔，无凹陷、飞边、折皱、疙瘩，无气泡、杂质、伤痕、白印，无划痕、毛刺、拉毛、污渍，无明显色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2）、安全性能要求：①正常使用时,可接触到的边都应进行倒圆、砂光的方式进行保护。倒圆半径应不小于 0.5 mm；②固定零部件的结合应无少件、透钉、漏钉；③正常使用时,其他部件表面应无锐边、锐角；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带★条款投标人须提供经国家质量监督管理部门认可的第三方检测机构出具的检测报告复印件加盖投标人公章。（检测报告须带有CMA标识及查询真伪的二维码。）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6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55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5A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164C155">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报价须知</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5DFACF">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商务条款:(以下带★的条款必须响应，否则</w:t>
            </w:r>
            <w:r>
              <w:rPr>
                <w:rFonts w:hint="eastAsia" w:ascii="宋体" w:hAnsi="宋体" w:eastAsia="宋体" w:cs="宋体"/>
                <w:sz w:val="21"/>
                <w:szCs w:val="21"/>
                <w:vertAlign w:val="baseline"/>
                <w:lang w:eastAsia="zh-CN"/>
              </w:rPr>
              <w:t>竞价</w:t>
            </w:r>
            <w:r>
              <w:rPr>
                <w:rFonts w:hint="eastAsia" w:ascii="宋体" w:hAnsi="宋体" w:eastAsia="宋体" w:cs="宋体"/>
                <w:sz w:val="21"/>
                <w:szCs w:val="21"/>
                <w:vertAlign w:val="baseline"/>
              </w:rPr>
              <w:t>无效)</w:t>
            </w:r>
          </w:p>
          <w:p w14:paraId="200DF450">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w:t>
            </w:r>
          </w:p>
          <w:p w14:paraId="37A3913B">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、供应商响应时，必须满足采购需求的全部功能，供应商须对附件中的参数要求及商务要求进行全部响应，</w:t>
            </w:r>
            <w:r>
              <w:rPr>
                <w:rFonts w:hint="eastAsia" w:ascii="宋体" w:hAnsi="宋体" w:eastAsia="宋体" w:cs="宋体"/>
                <w:sz w:val="21"/>
                <w:szCs w:val="21"/>
                <w:vertAlign w:val="baseline"/>
                <w:lang w:val="en-US" w:eastAsia="zh-CN"/>
              </w:rPr>
              <w:t>响应后</w:t>
            </w:r>
            <w:r>
              <w:rPr>
                <w:rFonts w:hint="eastAsia" w:ascii="宋体" w:hAnsi="宋体" w:eastAsia="宋体" w:cs="宋体"/>
                <w:sz w:val="21"/>
                <w:szCs w:val="21"/>
                <w:vertAlign w:val="baseline"/>
              </w:rPr>
              <w:t>要求提供原厂商针对本项目的授权书，否则为无效</w:t>
            </w: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签订合同前要求提供原厂商针对本项目的售后服务承诺函和供货证明，否则作为虚假应标，追究相应法律责任。(</w:t>
            </w:r>
            <w:r>
              <w:rPr>
                <w:rFonts w:hint="eastAsia" w:ascii="宋体" w:hAnsi="宋体" w:eastAsia="宋体" w:cs="宋体"/>
                <w:sz w:val="21"/>
                <w:szCs w:val="21"/>
                <w:vertAlign w:val="baseline"/>
                <w:lang w:eastAsia="zh-CN"/>
              </w:rPr>
              <w:t>竞价</w:t>
            </w:r>
            <w:r>
              <w:rPr>
                <w:rFonts w:hint="eastAsia" w:ascii="宋体" w:hAnsi="宋体" w:eastAsia="宋体" w:cs="宋体"/>
                <w:sz w:val="21"/>
                <w:szCs w:val="21"/>
                <w:vertAlign w:val="baseline"/>
              </w:rPr>
              <w:t>时投标人必须上传扫描件，否则采购人有权利取消预成交供应商的中标资格;报价结束后 24 小时内对预成交供应商核查件，核查无误后方能确定成交供应商)</w:t>
            </w:r>
          </w:p>
          <w:p w14:paraId="18ACFCFB">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rPr>
              <w:t>、供应商应充分考虑供货成本，如供应商低价恶意</w:t>
            </w:r>
            <w:r>
              <w:rPr>
                <w:rFonts w:hint="eastAsia" w:ascii="宋体" w:hAnsi="宋体" w:eastAsia="宋体" w:cs="宋体"/>
                <w:sz w:val="21"/>
                <w:szCs w:val="21"/>
                <w:vertAlign w:val="baseline"/>
                <w:lang w:eastAsia="zh-CN"/>
              </w:rPr>
              <w:t>竞价</w:t>
            </w:r>
            <w:r>
              <w:rPr>
                <w:rFonts w:hint="eastAsia" w:ascii="宋体" w:hAnsi="宋体" w:eastAsia="宋体" w:cs="宋体"/>
                <w:sz w:val="21"/>
                <w:szCs w:val="21"/>
                <w:vertAlign w:val="baseline"/>
              </w:rPr>
              <w:t>、未按参数要求提供并上传相应证明文件、且中标后无法按要求提供货物或者所供货物及资质要求无法满足参数要求的，采购人将按虚假竞标处理，并保留因耽误采购人使用时间造成的损失进行赔偿的权利。</w:t>
            </w:r>
          </w:p>
          <w:p w14:paraId="7743EB26">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rPr>
              <w:t>、报价必须包含所有货物、随配附件、售后服务、培训、税金及其他所有可能发生的一切费用，采购人不再支付任何费用。</w:t>
            </w:r>
          </w:p>
          <w:p w14:paraId="225B2EB5">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w:t>
            </w:r>
          </w:p>
          <w:p w14:paraId="115AB049">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（1）竞标供应商自行考虑完成项目所需的辅材、杂配件等数量，投标报价中应包含全部内容，成交后采购人不再另行支付额外费用。</w:t>
            </w:r>
          </w:p>
          <w:p w14:paraId="57324724">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（2）竞标供应商的投标总报价≤采购预算总价。</w:t>
            </w:r>
          </w:p>
        </w:tc>
      </w:tr>
      <w:tr w14:paraId="30D3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416EA1">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合同</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4E37DD">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）合同签订期：自成交公告发出之日起 3 个工作日内。</w:t>
            </w:r>
          </w:p>
          <w:p w14:paraId="7D22D201">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rPr>
              <w:t>2）合同签订地点：采购人指定地点。</w:t>
            </w:r>
          </w:p>
        </w:tc>
      </w:tr>
      <w:tr w14:paraId="7489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66634FE">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交付时间及地点</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82A368">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1）交付使用期：自接到采购人通知之日起 </w:t>
            </w:r>
            <w:r>
              <w:rPr>
                <w:rFonts w:hint="eastAsia" w:ascii="宋体" w:hAnsi="宋体" w:eastAsia="宋体" w:cs="宋体"/>
                <w:sz w:val="21"/>
                <w:szCs w:val="21"/>
                <w:vertAlign w:val="baseline"/>
                <w:lang w:val="en-US" w:eastAsia="zh-CN"/>
              </w:rPr>
              <w:t>15</w:t>
            </w:r>
            <w:r>
              <w:rPr>
                <w:rFonts w:hint="eastAsia" w:ascii="宋体" w:hAnsi="宋体" w:eastAsia="宋体" w:cs="宋体"/>
                <w:sz w:val="21"/>
                <w:szCs w:val="21"/>
                <w:vertAlign w:val="baseline"/>
              </w:rPr>
              <w:t xml:space="preserve"> 个工作日内交货</w:t>
            </w:r>
            <w:r>
              <w:rPr>
                <w:rFonts w:hint="eastAsia" w:ascii="宋体" w:hAnsi="宋体" w:eastAsia="宋体" w:cs="宋体"/>
                <w:sz w:val="21"/>
                <w:szCs w:val="21"/>
                <w:vertAlign w:val="baseline"/>
                <w:lang w:val="en-US" w:eastAsia="zh-CN"/>
              </w:rPr>
              <w:t>并</w:t>
            </w:r>
            <w:r>
              <w:rPr>
                <w:rFonts w:hint="eastAsia" w:ascii="宋体" w:hAnsi="宋体" w:eastAsia="宋体" w:cs="宋体"/>
                <w:sz w:val="21"/>
                <w:szCs w:val="21"/>
                <w:vertAlign w:val="baseline"/>
              </w:rPr>
              <w:t>验收合格交付使用。</w:t>
            </w:r>
          </w:p>
          <w:p w14:paraId="04AB474F">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2）交货地点：采购人指定地点。</w:t>
            </w:r>
          </w:p>
        </w:tc>
      </w:tr>
      <w:tr w14:paraId="1AA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8098A1F">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付款方式</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1B29C8">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项</w:t>
            </w:r>
            <w:r>
              <w:rPr>
                <w:rFonts w:hint="eastAsia" w:ascii="宋体" w:hAnsi="宋体" w:eastAsia="宋体" w:cs="宋体"/>
                <w:sz w:val="21"/>
                <w:szCs w:val="21"/>
                <w:vertAlign w:val="baseline"/>
              </w:rPr>
              <w:t>目全部实施交付并完成</w:t>
            </w:r>
            <w:bookmarkStart w:id="0" w:name="_GoBack"/>
            <w:bookmarkEnd w:id="0"/>
            <w:r>
              <w:rPr>
                <w:rFonts w:hint="eastAsia" w:ascii="宋体" w:hAnsi="宋体" w:eastAsia="宋体" w:cs="宋体"/>
                <w:sz w:val="21"/>
                <w:szCs w:val="21"/>
                <w:vertAlign w:val="baseline"/>
              </w:rPr>
              <w:t>履约验收合格后 30 个工作日</w:t>
            </w:r>
            <w:r>
              <w:rPr>
                <w:rFonts w:hint="eastAsia" w:ascii="宋体" w:hAnsi="宋体" w:eastAsia="宋体" w:cs="宋体"/>
                <w:sz w:val="21"/>
                <w:szCs w:val="21"/>
                <w:vertAlign w:val="baseline"/>
              </w:rPr>
              <w:t>内采购人向成交供应商支付合同金额 100%的合同款</w:t>
            </w:r>
            <w:r>
              <w:rPr>
                <w:rFonts w:hint="eastAsia" w:ascii="宋体" w:hAnsi="宋体" w:eastAsia="宋体" w:cs="宋体"/>
                <w:sz w:val="21"/>
                <w:szCs w:val="21"/>
                <w:vertAlign w:val="baseline"/>
              </w:rPr>
              <w:t>，成交供应商在申请合同款前 10 个工作日</w:t>
            </w:r>
            <w:r>
              <w:rPr>
                <w:rFonts w:hint="eastAsia" w:ascii="宋体" w:hAnsi="宋体" w:eastAsia="宋体" w:cs="宋体"/>
                <w:sz w:val="21"/>
                <w:szCs w:val="21"/>
                <w:vertAlign w:val="baseline"/>
              </w:rPr>
              <w:t>提供相应金额的正式发票。</w:t>
            </w:r>
          </w:p>
        </w:tc>
      </w:tr>
      <w:tr w14:paraId="0C19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9642A9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469F9F">
            <w:pPr>
              <w:keepNext w:val="0"/>
              <w:keepLines w:val="0"/>
              <w:widowControl/>
              <w:suppressLineNumbers w:val="0"/>
              <w:spacing w:before="0" w:beforeAutospacing="0" w:after="0" w:afterAutospacing="0" w:line="360" w:lineRule="auto"/>
              <w:ind w:left="0" w:right="0"/>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供应商不能满足参数要求而进行虚假响应，或者供应商无法正常交货影响采购人办公使用的，采购人取消成交结果，并按规定对供应商予以处罚并进行通报处理。</w:t>
            </w:r>
          </w:p>
          <w:p w14:paraId="6BF6A634">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本项目采购任务紧急，现特向潜在供应商作出相关提醒：供应商存在不按要求报价、接到采购人书面竞价审查通知书后无法按规定提交合格的资料或产品、中标（成交）后无故放弃或不按合同履行等违约行为的，采购人有权按预算金额 30%的赔偿金额向成交供应商追偿其所造成的损失。</w:t>
            </w:r>
          </w:p>
        </w:tc>
      </w:tr>
    </w:tbl>
    <w:p w14:paraId="77B9918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F4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132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132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049C9"/>
    <w:rsid w:val="0A662983"/>
    <w:rsid w:val="0E21344C"/>
    <w:rsid w:val="1194302C"/>
    <w:rsid w:val="172049C9"/>
    <w:rsid w:val="29D46E34"/>
    <w:rsid w:val="68AF0DEA"/>
    <w:rsid w:val="7B68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10065</Words>
  <Characters>11692</Characters>
  <Lines>0</Lines>
  <Paragraphs>0</Paragraphs>
  <TotalTime>1</TotalTime>
  <ScaleCrop>false</ScaleCrop>
  <LinksUpToDate>false</LinksUpToDate>
  <CharactersWithSpaces>11749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2026-05-07T01:41:00Z</dcterms:created>
  <dc:creator>WM</dc:creator>
  <cp:lastModifiedBy>工作牛马</cp:lastModifiedBy>
  <dcterms:modified xsi:type="dcterms:W3CDTF">2026-05-18T07:02:58Z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4137568DAB1E4122B9B58FD472A9010E_13</vt:lpwstr>
  </property>
  <property fmtid="{D5CDD505-2E9C-101B-9397-08002B2CF9AE}" pid="4" name="KSOTemplateDocerSaveRecord">
    <vt:lpwstr>eyJoZGlkIjoiN2E5M2M3NmEyOWJjMDczN2Y1YWVjYjVkYjI3MDgxNTQiLCJ1c2VySWQiOiIxMjIzNzYzNDQ3In0=</vt:lpwstr>
  </property>
</Properties>
</file>