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C2BDA">
      <w:pPr>
        <w:pStyle w:val="5"/>
        <w:rPr>
          <w:rFonts w:hint="eastAsia"/>
          <w:color w:val="auto"/>
          <w:sz w:val="32"/>
          <w:szCs w:val="32"/>
        </w:rPr>
      </w:pPr>
      <w:r>
        <w:rPr>
          <w:rFonts w:hint="eastAsia"/>
          <w:color w:val="auto"/>
          <w:sz w:val="32"/>
          <w:szCs w:val="32"/>
          <w:lang w:val="en-US" w:eastAsia="zh-CN"/>
        </w:rPr>
        <w:t>四、政府采购项目采购需求</w:t>
      </w:r>
    </w:p>
    <w:tbl>
      <w:tblPr>
        <w:tblStyle w:val="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1848"/>
        <w:gridCol w:w="618"/>
        <w:gridCol w:w="567"/>
        <w:gridCol w:w="2214"/>
        <w:gridCol w:w="1090"/>
        <w:gridCol w:w="1799"/>
      </w:tblGrid>
      <w:tr w14:paraId="4AD739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9"/>
            <w:tcBorders>
              <w:top w:val="single" w:color="auto" w:sz="4" w:space="0"/>
              <w:left w:val="single" w:color="auto" w:sz="4" w:space="0"/>
              <w:right w:val="single" w:color="auto" w:sz="4" w:space="0"/>
            </w:tcBorders>
            <w:noWrap w:val="0"/>
            <w:vAlign w:val="center"/>
          </w:tcPr>
          <w:p w14:paraId="3CC5D959">
            <w:pPr>
              <w:spacing w:line="570" w:lineRule="exact"/>
              <w:jc w:val="center"/>
              <w:rPr>
                <w:rFonts w:ascii="宋体" w:hAnsi="宋体" w:cs="宋体"/>
                <w:b/>
                <w:color w:val="auto"/>
                <w:sz w:val="24"/>
              </w:rPr>
            </w:pPr>
            <w:r>
              <w:rPr>
                <w:rFonts w:hint="eastAsia"/>
                <w:b/>
                <w:bCs/>
                <w:color w:val="auto"/>
                <w:sz w:val="28"/>
                <w:szCs w:val="28"/>
              </w:rPr>
              <w:t>货物（服务）</w:t>
            </w:r>
            <w:r>
              <w:rPr>
                <w:rFonts w:hint="eastAsia" w:ascii="仿宋_GB2312" w:hAnsi="宋体" w:eastAsia="仿宋_GB2312" w:cs="Arial"/>
                <w:b/>
                <w:bCs/>
                <w:color w:val="auto"/>
                <w:sz w:val="28"/>
                <w:szCs w:val="28"/>
              </w:rPr>
              <w:t>需求一览表</w:t>
            </w:r>
          </w:p>
        </w:tc>
      </w:tr>
      <w:tr w14:paraId="2DADA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985" w:type="dxa"/>
            <w:gridSpan w:val="3"/>
            <w:tcBorders>
              <w:top w:val="single" w:color="auto" w:sz="4" w:space="0"/>
              <w:left w:val="single" w:color="auto" w:sz="4" w:space="0"/>
              <w:right w:val="single" w:color="auto" w:sz="4" w:space="0"/>
            </w:tcBorders>
            <w:noWrap w:val="0"/>
            <w:vAlign w:val="center"/>
          </w:tcPr>
          <w:p w14:paraId="6944D191">
            <w:pPr>
              <w:spacing w:line="570" w:lineRule="exact"/>
              <w:jc w:val="center"/>
              <w:rPr>
                <w:rFonts w:ascii="仿宋_GB2312" w:hAnsi="宋体" w:eastAsia="仿宋_GB2312" w:cs="Arial"/>
                <w:color w:val="auto"/>
                <w:sz w:val="32"/>
                <w:szCs w:val="32"/>
              </w:rPr>
            </w:pPr>
            <w:r>
              <w:rPr>
                <w:rFonts w:hint="eastAsia" w:ascii="仿宋_GB2312" w:hAnsi="宋体" w:eastAsia="仿宋_GB2312" w:cs="Arial"/>
                <w:color w:val="auto"/>
                <w:sz w:val="32"/>
                <w:szCs w:val="32"/>
              </w:rPr>
              <w:t>标段</w:t>
            </w:r>
          </w:p>
        </w:tc>
        <w:tc>
          <w:tcPr>
            <w:tcW w:w="8136" w:type="dxa"/>
            <w:gridSpan w:val="6"/>
            <w:tcBorders>
              <w:top w:val="single" w:color="auto" w:sz="4" w:space="0"/>
              <w:left w:val="single" w:color="auto" w:sz="4" w:space="0"/>
              <w:right w:val="single" w:color="auto" w:sz="4" w:space="0"/>
            </w:tcBorders>
            <w:noWrap w:val="0"/>
            <w:vAlign w:val="center"/>
          </w:tcPr>
          <w:p w14:paraId="03D4492E">
            <w:pPr>
              <w:spacing w:line="570" w:lineRule="exact"/>
              <w:jc w:val="left"/>
              <w:rPr>
                <w:rFonts w:hAnsi="宋体"/>
                <w:b/>
                <w:bCs/>
                <w:color w:val="auto"/>
                <w:sz w:val="28"/>
              </w:rPr>
            </w:pPr>
            <w:r>
              <w:rPr>
                <w:rFonts w:ascii="宋体" w:hAnsi="宋体" w:eastAsia="宋体" w:cs="宋体"/>
                <w:sz w:val="24"/>
                <w:szCs w:val="24"/>
              </w:rPr>
              <w:t>南宁职业技术大学 “一站式” 学生社区空调采购项目</w:t>
            </w:r>
          </w:p>
        </w:tc>
      </w:tr>
      <w:tr w14:paraId="06CBC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2C3034A2">
            <w:pPr>
              <w:spacing w:line="570" w:lineRule="exact"/>
              <w:jc w:val="center"/>
              <w:rPr>
                <w:rFonts w:ascii="宋体" w:hAnsi="宋体" w:cs="宋体"/>
                <w:color w:val="auto"/>
                <w:sz w:val="24"/>
                <w:szCs w:val="24"/>
              </w:rPr>
            </w:pPr>
            <w:r>
              <w:rPr>
                <w:rFonts w:hint="eastAsia" w:ascii="宋体" w:hAnsi="宋体" w:cs="宋体"/>
                <w:color w:val="auto"/>
                <w:sz w:val="24"/>
                <w:szCs w:val="24"/>
              </w:rPr>
              <w:t>采购清单及货物参数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395236E">
            <w:pPr>
              <w:spacing w:line="570" w:lineRule="exact"/>
              <w:jc w:val="center"/>
              <w:rPr>
                <w:rFonts w:ascii="宋体" w:hAnsi="宋体" w:cs="宋体"/>
                <w:color w:val="auto"/>
                <w:sz w:val="24"/>
                <w:szCs w:val="24"/>
              </w:rPr>
            </w:pPr>
            <w:r>
              <w:rPr>
                <w:rFonts w:hint="eastAsia" w:ascii="宋体" w:hAnsi="宋体" w:cs="宋体"/>
                <w:color w:val="auto"/>
                <w:sz w:val="24"/>
                <w:szCs w:val="24"/>
              </w:rPr>
              <w:t>序号</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27996323">
            <w:pPr>
              <w:spacing w:line="570" w:lineRule="exact"/>
              <w:jc w:val="center"/>
              <w:rPr>
                <w:rFonts w:ascii="宋体" w:hAnsi="宋体" w:cs="宋体"/>
                <w:color w:val="auto"/>
                <w:sz w:val="24"/>
                <w:szCs w:val="24"/>
              </w:rPr>
            </w:pPr>
            <w:r>
              <w:rPr>
                <w:rFonts w:hint="eastAsia" w:ascii="宋体" w:hAnsi="宋体" w:cs="宋体"/>
                <w:color w:val="auto"/>
                <w:sz w:val="24"/>
                <w:szCs w:val="24"/>
              </w:rPr>
              <w:t>采购货物</w:t>
            </w:r>
            <w:r>
              <w:rPr>
                <w:rFonts w:hint="eastAsia"/>
                <w:color w:val="auto"/>
                <w:sz w:val="24"/>
                <w:szCs w:val="24"/>
                <w:lang w:eastAsia="zh-CN"/>
              </w:rPr>
              <w:t>（</w:t>
            </w:r>
            <w:r>
              <w:rPr>
                <w:rFonts w:hint="eastAsia"/>
                <w:color w:val="auto"/>
                <w:sz w:val="24"/>
                <w:szCs w:val="24"/>
                <w:lang w:val="en-US" w:eastAsia="zh-CN"/>
              </w:rPr>
              <w:t>服务）</w:t>
            </w:r>
            <w:r>
              <w:rPr>
                <w:rFonts w:hint="eastAsia" w:ascii="宋体" w:hAnsi="宋体" w:cs="宋体"/>
                <w:color w:val="auto"/>
                <w:sz w:val="24"/>
                <w:szCs w:val="24"/>
              </w:rPr>
              <w:t>名称</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35EFD0F2">
            <w:pPr>
              <w:spacing w:line="570" w:lineRule="exact"/>
              <w:jc w:val="center"/>
              <w:rPr>
                <w:rFonts w:ascii="宋体" w:hAnsi="宋体" w:cs="宋体"/>
                <w:color w:val="auto"/>
                <w:sz w:val="24"/>
                <w:szCs w:val="24"/>
              </w:rPr>
            </w:pPr>
            <w:r>
              <w:rPr>
                <w:rFonts w:hint="eastAsia" w:ascii="宋体" w:hAnsi="宋体" w:cs="宋体"/>
                <w:color w:val="auto"/>
                <w:sz w:val="24"/>
                <w:szCs w:val="24"/>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17C0E749">
            <w:pPr>
              <w:spacing w:line="570" w:lineRule="exact"/>
              <w:jc w:val="center"/>
              <w:rPr>
                <w:rFonts w:ascii="宋体" w:hAnsi="宋体" w:cs="宋体"/>
                <w:color w:val="auto"/>
                <w:sz w:val="24"/>
                <w:szCs w:val="24"/>
              </w:rPr>
            </w:pPr>
            <w:r>
              <w:rPr>
                <w:rFonts w:hint="eastAsia" w:ascii="宋体" w:hAnsi="宋体" w:cs="宋体"/>
                <w:color w:val="auto"/>
                <w:sz w:val="24"/>
                <w:szCs w:val="24"/>
              </w:rPr>
              <w:t>数量</w:t>
            </w:r>
          </w:p>
        </w:tc>
        <w:tc>
          <w:tcPr>
            <w:tcW w:w="2214" w:type="dxa"/>
            <w:tcBorders>
              <w:top w:val="single" w:color="auto" w:sz="4" w:space="0"/>
              <w:left w:val="single" w:color="auto" w:sz="4" w:space="0"/>
              <w:bottom w:val="single" w:color="auto" w:sz="4" w:space="0"/>
              <w:right w:val="single" w:color="auto" w:sz="4" w:space="0"/>
            </w:tcBorders>
            <w:noWrap w:val="0"/>
            <w:vAlign w:val="top"/>
          </w:tcPr>
          <w:p w14:paraId="1736630D">
            <w:pPr>
              <w:spacing w:line="570" w:lineRule="exact"/>
              <w:jc w:val="center"/>
              <w:rPr>
                <w:rFonts w:hint="eastAsia" w:ascii="宋体" w:hAnsi="宋体" w:cs="宋体"/>
                <w:color w:val="auto"/>
                <w:sz w:val="24"/>
                <w:szCs w:val="24"/>
              </w:rPr>
            </w:pPr>
          </w:p>
          <w:p w14:paraId="76C51F68">
            <w:pPr>
              <w:spacing w:line="570" w:lineRule="exact"/>
              <w:jc w:val="both"/>
              <w:rPr>
                <w:rFonts w:hint="eastAsia"/>
                <w:color w:val="auto"/>
                <w:sz w:val="24"/>
                <w:szCs w:val="24"/>
                <w:lang w:val="en-US" w:eastAsia="zh-CN"/>
              </w:rPr>
            </w:pPr>
            <w:r>
              <w:rPr>
                <w:rFonts w:hint="eastAsia"/>
                <w:color w:val="auto"/>
                <w:sz w:val="24"/>
                <w:szCs w:val="24"/>
                <w:lang w:val="en-US" w:eastAsia="zh-CN"/>
              </w:rPr>
              <w:t xml:space="preserve">货物（服务） </w:t>
            </w:r>
          </w:p>
          <w:p w14:paraId="01949BF4">
            <w:pPr>
              <w:spacing w:line="570" w:lineRule="exact"/>
              <w:ind w:firstLine="480" w:firstLineChars="200"/>
              <w:jc w:val="both"/>
              <w:rPr>
                <w:rFonts w:ascii="宋体" w:hAnsi="宋体" w:cs="宋体"/>
                <w:color w:val="auto"/>
                <w:sz w:val="24"/>
                <w:szCs w:val="24"/>
              </w:rPr>
            </w:pPr>
            <w:r>
              <w:rPr>
                <w:rFonts w:hint="eastAsia" w:ascii="宋体" w:hAnsi="宋体" w:cs="宋体"/>
                <w:color w:val="auto"/>
                <w:sz w:val="24"/>
                <w:szCs w:val="24"/>
              </w:rPr>
              <w:t>参数</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2C6D583">
            <w:pPr>
              <w:spacing w:line="570" w:lineRule="exact"/>
              <w:jc w:val="center"/>
              <w:rPr>
                <w:rFonts w:ascii="宋体" w:hAnsi="宋体" w:cs="宋体"/>
                <w:color w:val="auto"/>
                <w:sz w:val="24"/>
                <w:szCs w:val="24"/>
              </w:rPr>
            </w:pPr>
            <w:r>
              <w:rPr>
                <w:rFonts w:hint="eastAsia" w:ascii="宋体" w:hAnsi="宋体" w:cs="宋体"/>
                <w:color w:val="auto"/>
                <w:sz w:val="24"/>
                <w:szCs w:val="24"/>
              </w:rPr>
              <w:t>分项预算合计（元）</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5A4EE647">
            <w:pPr>
              <w:spacing w:line="570" w:lineRule="exact"/>
              <w:jc w:val="center"/>
              <w:rPr>
                <w:rFonts w:ascii="宋体" w:hAnsi="宋体" w:cs="宋体"/>
                <w:color w:val="auto"/>
                <w:sz w:val="24"/>
                <w:szCs w:val="24"/>
              </w:rPr>
            </w:pPr>
            <w:r>
              <w:rPr>
                <w:rFonts w:hint="eastAsia"/>
                <w:color w:val="auto"/>
                <w:sz w:val="24"/>
                <w:szCs w:val="24"/>
              </w:rPr>
              <w:t>中小企业划分标准所属行业名称（</w:t>
            </w:r>
            <w:r>
              <w:rPr>
                <w:rFonts w:hint="eastAsia"/>
                <w:i/>
                <w:iCs/>
                <w:color w:val="auto"/>
                <w:sz w:val="24"/>
                <w:szCs w:val="24"/>
              </w:rPr>
              <w:t>行业名称及划分</w:t>
            </w:r>
            <w:r>
              <w:rPr>
                <w:rFonts w:hint="eastAsia"/>
                <w:i/>
                <w:iCs/>
                <w:color w:val="auto"/>
                <w:sz w:val="24"/>
                <w:szCs w:val="24"/>
                <w:lang w:val="en-US" w:eastAsia="zh-CN"/>
              </w:rPr>
              <w:t>详见</w:t>
            </w:r>
            <w:r>
              <w:rPr>
                <w:rFonts w:hint="eastAsia"/>
                <w:i/>
                <w:iCs/>
                <w:color w:val="auto"/>
                <w:sz w:val="24"/>
                <w:szCs w:val="24"/>
              </w:rPr>
              <w:t>附件6 工信部联企业〔2011〕300号 关于印发中小企业划型标准规定的通知</w:t>
            </w:r>
            <w:r>
              <w:rPr>
                <w:rFonts w:hint="eastAsia"/>
                <w:color w:val="auto"/>
                <w:sz w:val="24"/>
                <w:szCs w:val="24"/>
              </w:rPr>
              <w:t>）</w:t>
            </w:r>
          </w:p>
        </w:tc>
      </w:tr>
      <w:tr w14:paraId="3BB9F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1F73FBAE">
            <w:pPr>
              <w:spacing w:line="570" w:lineRule="exact"/>
              <w:jc w:val="center"/>
              <w:rPr>
                <w:rFonts w:ascii="宋体" w:hAnsi="宋体"/>
                <w:b/>
                <w:bCs/>
                <w:color w:val="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8E06747">
            <w:pPr>
              <w:spacing w:line="570" w:lineRule="exact"/>
              <w:jc w:val="center"/>
              <w:rPr>
                <w:rFonts w:ascii="宋体" w:hAnsi="宋体"/>
                <w:color w:val="auto"/>
                <w:szCs w:val="21"/>
              </w:rPr>
            </w:pPr>
            <w:r>
              <w:rPr>
                <w:rFonts w:hint="eastAsia" w:ascii="宋体" w:hAnsi="宋体"/>
                <w:color w:val="auto"/>
                <w:szCs w:val="21"/>
              </w:rPr>
              <w:t>1</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67573475">
            <w:pPr>
              <w:keepNext w:val="0"/>
              <w:keepLines w:val="0"/>
              <w:widowControl/>
              <w:suppressLineNumbers w:val="0"/>
              <w:jc w:val="center"/>
              <w:textAlignment w:val="center"/>
              <w:rPr>
                <w:rFonts w:ascii="宋体" w:hAnsi="宋体"/>
                <w:color w:val="auto"/>
                <w:szCs w:val="21"/>
              </w:rPr>
            </w:pPr>
            <w:r>
              <w:rPr>
                <w:rFonts w:ascii="宋体" w:hAnsi="宋体" w:eastAsia="宋体" w:cs="宋体"/>
                <w:sz w:val="24"/>
                <w:szCs w:val="24"/>
              </w:rPr>
              <w:t>1.5 匹冷暖变频挂式空调</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6B61C890">
            <w:pPr>
              <w:keepNext w:val="0"/>
              <w:keepLines w:val="0"/>
              <w:widowControl/>
              <w:suppressLineNumbers w:val="0"/>
              <w:jc w:val="center"/>
              <w:textAlignment w:val="center"/>
              <w:rPr>
                <w:rFonts w:hint="default" w:ascii="宋体" w:hAnsi="宋体" w:eastAsia="仿宋_GB2312"/>
                <w:color w:val="auto"/>
                <w:szCs w:val="21"/>
                <w:lang w:val="en-US" w:eastAsia="zh-CN"/>
              </w:rPr>
            </w:pPr>
            <w:r>
              <w:rPr>
                <w:rFonts w:hint="eastAsia" w:ascii="宋体" w:hAnsi="宋体"/>
                <w:color w:val="auto"/>
                <w:szCs w:val="21"/>
                <w:lang w:val="en-US" w:eastAsia="zh-CN"/>
              </w:rPr>
              <w:t>台</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3FA04B52">
            <w:pPr>
              <w:keepNext w:val="0"/>
              <w:keepLines w:val="0"/>
              <w:widowControl/>
              <w:suppressLineNumbers w:val="0"/>
              <w:jc w:val="center"/>
              <w:textAlignment w:val="center"/>
              <w:rPr>
                <w:rFonts w:hint="eastAsia" w:ascii="宋体" w:hAnsi="宋体" w:eastAsia="仿宋_GB2312"/>
                <w:color w:val="auto"/>
                <w:szCs w:val="21"/>
                <w:lang w:val="en-US" w:eastAsia="zh-CN"/>
              </w:rPr>
            </w:pPr>
            <w:r>
              <w:rPr>
                <w:rFonts w:hint="eastAsia" w:ascii="宋体" w:hAnsi="宋体"/>
                <w:color w:val="auto"/>
                <w:szCs w:val="21"/>
                <w:lang w:val="en-US" w:eastAsia="zh-CN"/>
              </w:rPr>
              <w:t>28</w:t>
            </w:r>
          </w:p>
        </w:tc>
        <w:tc>
          <w:tcPr>
            <w:tcW w:w="2214" w:type="dxa"/>
            <w:tcBorders>
              <w:top w:val="single" w:color="auto" w:sz="4" w:space="0"/>
              <w:left w:val="single" w:color="auto" w:sz="4" w:space="0"/>
              <w:bottom w:val="single" w:color="auto" w:sz="4" w:space="0"/>
              <w:right w:val="single" w:color="auto" w:sz="4" w:space="0"/>
            </w:tcBorders>
            <w:noWrap w:val="0"/>
            <w:vAlign w:val="top"/>
          </w:tcPr>
          <w:p w14:paraId="37E9FFDC">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color w:val="auto"/>
                <w:szCs w:val="21"/>
              </w:rPr>
              <w:t>▲</w:t>
            </w:r>
            <w:r>
              <w:rPr>
                <w:rFonts w:hint="eastAsia" w:ascii="宋体" w:hAnsi="宋体" w:eastAsia="宋体" w:cs="宋体"/>
                <w:color w:val="auto"/>
                <w:kern w:val="2"/>
                <w:sz w:val="24"/>
                <w:szCs w:val="24"/>
                <w:lang w:val="en-US" w:eastAsia="zh-CN" w:bidi="ar-SA"/>
              </w:rPr>
              <w:t>1、APF：</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4.</w:t>
            </w:r>
            <w:r>
              <w:rPr>
                <w:rFonts w:hint="eastAsia" w:hAnsi="宋体" w:eastAsia="宋体" w:cs="宋体"/>
                <w:color w:val="auto"/>
                <w:kern w:val="2"/>
                <w:sz w:val="24"/>
                <w:szCs w:val="24"/>
                <w:lang w:val="en-US" w:eastAsia="zh-CN" w:bidi="ar-SA"/>
              </w:rPr>
              <w:t>73</w:t>
            </w:r>
            <w:r>
              <w:rPr>
                <w:rFonts w:hint="eastAsia" w:ascii="宋体" w:hAnsi="宋体" w:eastAsia="宋体" w:cs="宋体"/>
                <w:color w:val="auto"/>
                <w:kern w:val="2"/>
                <w:sz w:val="24"/>
                <w:szCs w:val="24"/>
                <w:lang w:val="en-US" w:eastAsia="zh-CN" w:bidi="ar-SA"/>
              </w:rPr>
              <w:t>；</w:t>
            </w:r>
          </w:p>
          <w:p w14:paraId="212C566B">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color w:val="auto"/>
                <w:szCs w:val="21"/>
              </w:rPr>
              <w:t>▲</w:t>
            </w:r>
            <w:r>
              <w:rPr>
                <w:rFonts w:hint="eastAsia" w:ascii="宋体" w:hAnsi="宋体" w:eastAsia="宋体" w:cs="宋体"/>
                <w:color w:val="auto"/>
                <w:kern w:val="2"/>
                <w:sz w:val="24"/>
                <w:szCs w:val="24"/>
                <w:lang w:val="en-US" w:eastAsia="zh-CN" w:bidi="ar-SA"/>
              </w:rPr>
              <w:t>2、额定制冷量(W)：</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3500；</w:t>
            </w:r>
          </w:p>
          <w:p w14:paraId="2DC9B4C4">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3、额定制热功率(W)：</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1160；</w:t>
            </w:r>
          </w:p>
          <w:p w14:paraId="11F11DFD">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4、额定制热量(W)：</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4600；</w:t>
            </w:r>
          </w:p>
          <w:p w14:paraId="4C93A730">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5、额定制冷功率(W)：</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930；</w:t>
            </w:r>
          </w:p>
          <w:p w14:paraId="1543929E">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6、室内机噪音高风dB(A）：</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35；</w:t>
            </w:r>
          </w:p>
          <w:p w14:paraId="3F58FF86">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7、室外机噪音dB(A）：</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50；</w:t>
            </w:r>
          </w:p>
          <w:p w14:paraId="2A00D7C0">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color w:val="auto"/>
                <w:szCs w:val="21"/>
              </w:rPr>
              <w:t>▲</w:t>
            </w:r>
            <w:r>
              <w:rPr>
                <w:rFonts w:hint="eastAsia" w:ascii="宋体" w:hAnsi="宋体" w:eastAsia="宋体" w:cs="宋体"/>
                <w:color w:val="auto"/>
                <w:kern w:val="2"/>
                <w:sz w:val="24"/>
                <w:szCs w:val="24"/>
                <w:lang w:val="en-US" w:eastAsia="zh-CN" w:bidi="ar-SA"/>
              </w:rPr>
              <w:t>8、循环风量（m³/h)：</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640；</w:t>
            </w:r>
          </w:p>
          <w:p w14:paraId="303C7DAC">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9、电辅热(W)：</w:t>
            </w:r>
            <w:r>
              <w:rPr>
                <w:rFonts w:ascii="宋体" w:hAnsi="宋体" w:eastAsia="宋体" w:cs="宋体"/>
                <w:sz w:val="24"/>
                <w:szCs w:val="24"/>
              </w:rPr>
              <w:t>≥</w:t>
            </w:r>
            <w:r>
              <w:rPr>
                <w:rFonts w:hint="eastAsia" w:ascii="宋体" w:hAnsi="宋体" w:eastAsia="宋体" w:cs="宋体"/>
                <w:color w:val="auto"/>
                <w:kern w:val="2"/>
                <w:sz w:val="24"/>
                <w:szCs w:val="24"/>
                <w:lang w:val="en-US" w:eastAsia="zh-CN" w:bidi="ar-SA"/>
              </w:rPr>
              <w:t>1000；</w:t>
            </w:r>
          </w:p>
          <w:p w14:paraId="5FABB226">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10、电源（V/HZ）：220V/50HZ ；</w:t>
            </w:r>
          </w:p>
          <w:p w14:paraId="68157D8A">
            <w:pPr>
              <w:keepNext w:val="0"/>
              <w:keepLines w:val="0"/>
              <w:widowControl/>
              <w:suppressLineNumbers w:val="0"/>
              <w:jc w:val="left"/>
              <w:textAlignment w:val="top"/>
              <w:rPr>
                <w:rFonts w:ascii="宋体" w:hAnsi="宋体"/>
                <w:color w:val="auto"/>
                <w:szCs w:val="21"/>
              </w:rPr>
            </w:pPr>
            <w:r>
              <w:rPr>
                <w:rFonts w:hint="eastAsia" w:ascii="宋体" w:hAnsi="宋体"/>
                <w:color w:val="auto"/>
                <w:szCs w:val="21"/>
              </w:rPr>
              <w:t>▲</w:t>
            </w:r>
            <w:r>
              <w:rPr>
                <w:rFonts w:hint="eastAsia" w:ascii="宋体" w:hAnsi="宋体" w:eastAsia="宋体" w:cs="宋体"/>
                <w:color w:val="auto"/>
                <w:kern w:val="2"/>
                <w:sz w:val="24"/>
                <w:szCs w:val="24"/>
                <w:lang w:val="en-US" w:eastAsia="zh-CN" w:bidi="ar-SA"/>
              </w:rPr>
              <w:t>11、以上参数以空调内机张贴的铭牌参数值为准，在投标文件中提供投标产品的铭牌参数表复印件</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ACB680C">
            <w:pPr>
              <w:keepNext w:val="0"/>
              <w:keepLines w:val="0"/>
              <w:widowControl/>
              <w:suppressLineNumbers w:val="0"/>
              <w:jc w:val="center"/>
              <w:textAlignment w:val="center"/>
              <w:rPr>
                <w:rFonts w:hint="default" w:ascii="宋体" w:hAnsi="宋体" w:eastAsia="仿宋_GB2312"/>
                <w:color w:val="auto"/>
                <w:szCs w:val="21"/>
                <w:lang w:val="en-US" w:eastAsia="zh-CN"/>
              </w:rPr>
            </w:pPr>
            <w:r>
              <w:rPr>
                <w:rFonts w:hint="eastAsia" w:ascii="宋体" w:hAnsi="宋体"/>
                <w:color w:val="auto"/>
                <w:szCs w:val="21"/>
                <w:lang w:val="en-US" w:eastAsia="zh-CN"/>
              </w:rPr>
              <w:t>70000</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50F668C8">
            <w:pPr>
              <w:spacing w:line="570" w:lineRule="exact"/>
              <w:rPr>
                <w:rFonts w:ascii="宋体" w:hAnsi="宋体"/>
                <w:color w:val="auto"/>
                <w:szCs w:val="21"/>
              </w:rPr>
            </w:pPr>
            <w:r>
              <w:rPr>
                <w:rFonts w:hint="eastAsia" w:ascii="宋体" w:hAnsi="宋体" w:cs="宋体"/>
                <w:color w:val="000000"/>
                <w:kern w:val="0"/>
                <w:sz w:val="20"/>
                <w:szCs w:val="20"/>
                <w:lang w:bidi="ar"/>
              </w:rPr>
              <w:t>工业</w:t>
            </w:r>
          </w:p>
        </w:tc>
      </w:tr>
      <w:tr w14:paraId="74887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126E505B">
            <w:pPr>
              <w:spacing w:line="570" w:lineRule="exact"/>
              <w:jc w:val="center"/>
              <w:rPr>
                <w:rFonts w:ascii="宋体" w:hAnsi="宋体"/>
                <w:b/>
                <w:bCs/>
                <w:color w:val="auto"/>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2F55C18">
            <w:pPr>
              <w:spacing w:line="570" w:lineRule="exact"/>
              <w:jc w:val="center"/>
              <w:rPr>
                <w:rFonts w:hint="default" w:ascii="宋体" w:hAnsi="宋体" w:eastAsia="仿宋_GB2312"/>
                <w:color w:val="auto"/>
                <w:szCs w:val="21"/>
                <w:lang w:val="en-US" w:eastAsia="zh-CN"/>
              </w:rPr>
            </w:pPr>
            <w:r>
              <w:rPr>
                <w:rFonts w:hint="eastAsia" w:ascii="宋体" w:hAnsi="宋体"/>
                <w:color w:val="auto"/>
                <w:szCs w:val="21"/>
                <w:lang w:val="en-US" w:eastAsia="zh-CN"/>
              </w:rPr>
              <w:t>2</w:t>
            </w:r>
          </w:p>
        </w:tc>
        <w:tc>
          <w:tcPr>
            <w:tcW w:w="2743" w:type="dxa"/>
            <w:gridSpan w:val="2"/>
            <w:tcBorders>
              <w:top w:val="single" w:color="auto" w:sz="4" w:space="0"/>
              <w:left w:val="single" w:color="auto" w:sz="4" w:space="0"/>
              <w:bottom w:val="single" w:color="auto" w:sz="4" w:space="0"/>
              <w:right w:val="single" w:color="auto" w:sz="4" w:space="0"/>
            </w:tcBorders>
            <w:noWrap w:val="0"/>
            <w:vAlign w:val="center"/>
          </w:tcPr>
          <w:p w14:paraId="143EF081">
            <w:pPr>
              <w:keepNext w:val="0"/>
              <w:keepLines w:val="0"/>
              <w:widowControl/>
              <w:suppressLineNumbers w:val="0"/>
              <w:jc w:val="center"/>
              <w:textAlignment w:val="center"/>
              <w:rPr>
                <w:rFonts w:ascii="宋体" w:hAnsi="宋体"/>
                <w:color w:val="auto"/>
                <w:szCs w:val="21"/>
              </w:rPr>
            </w:pPr>
            <w:r>
              <w:rPr>
                <w:rFonts w:ascii="宋体" w:hAnsi="宋体" w:eastAsia="宋体" w:cs="宋体"/>
                <w:sz w:val="24"/>
                <w:szCs w:val="24"/>
              </w:rPr>
              <w:t>空调安装及辅材</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078A4932">
            <w:pPr>
              <w:keepNext w:val="0"/>
              <w:keepLines w:val="0"/>
              <w:widowControl/>
              <w:suppressLineNumbers w:val="0"/>
              <w:jc w:val="center"/>
              <w:textAlignment w:val="center"/>
              <w:rPr>
                <w:rFonts w:hint="eastAsia" w:ascii="宋体" w:hAnsi="宋体" w:eastAsia="仿宋_GB2312"/>
                <w:color w:val="auto"/>
                <w:szCs w:val="21"/>
                <w:lang w:val="en-US" w:eastAsia="zh-CN"/>
              </w:rPr>
            </w:pPr>
            <w:r>
              <w:rPr>
                <w:rFonts w:hint="eastAsia" w:ascii="宋体" w:hAnsi="宋体"/>
                <w:color w:val="auto"/>
                <w:szCs w:val="21"/>
                <w:lang w:val="en-US" w:eastAsia="zh-CN"/>
              </w:rPr>
              <w:t>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2F1B1A82">
            <w:pPr>
              <w:keepNext w:val="0"/>
              <w:keepLines w:val="0"/>
              <w:widowControl/>
              <w:suppressLineNumbers w:val="0"/>
              <w:jc w:val="center"/>
              <w:textAlignment w:val="center"/>
              <w:rPr>
                <w:rFonts w:hint="eastAsia" w:ascii="宋体" w:hAnsi="宋体" w:eastAsia="仿宋_GB2312"/>
                <w:color w:val="auto"/>
                <w:szCs w:val="21"/>
                <w:lang w:val="en-US" w:eastAsia="zh-CN"/>
              </w:rPr>
            </w:pPr>
            <w:r>
              <w:rPr>
                <w:rFonts w:hint="eastAsia" w:ascii="宋体" w:hAnsi="宋体"/>
                <w:color w:val="auto"/>
                <w:szCs w:val="21"/>
                <w:lang w:val="en-US" w:eastAsia="zh-CN"/>
              </w:rPr>
              <w:t>1</w:t>
            </w:r>
          </w:p>
        </w:tc>
        <w:tc>
          <w:tcPr>
            <w:tcW w:w="2214" w:type="dxa"/>
            <w:tcBorders>
              <w:top w:val="single" w:color="auto" w:sz="4" w:space="0"/>
              <w:left w:val="single" w:color="auto" w:sz="4" w:space="0"/>
              <w:bottom w:val="single" w:color="auto" w:sz="4" w:space="0"/>
              <w:right w:val="single" w:color="auto" w:sz="4" w:space="0"/>
            </w:tcBorders>
            <w:noWrap w:val="0"/>
            <w:vAlign w:val="top"/>
          </w:tcPr>
          <w:p w14:paraId="4175C6B0">
            <w:pPr>
              <w:keepNext w:val="0"/>
              <w:keepLines w:val="0"/>
              <w:widowControl/>
              <w:suppressLineNumbers w:val="0"/>
              <w:jc w:val="left"/>
              <w:textAlignment w:val="top"/>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1、中标供应商负责设备安装、调试、试运行、系统联调及交付验收，确保设备正常投入使用；施工人员须具备相应专业能力，安装调试需符合国家及行业相关规范要求；</w:t>
            </w:r>
          </w:p>
          <w:p w14:paraId="54557FB3">
            <w:pPr>
              <w:pStyle w:val="2"/>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2、所有空调安装所需额外增加铜管、排水管、支架等所有辅材，</w:t>
            </w:r>
            <w:r>
              <w:rPr>
                <w:rFonts w:ascii="宋体" w:hAnsi="宋体" w:eastAsia="宋体" w:cs="宋体"/>
                <w:sz w:val="24"/>
                <w:szCs w:val="24"/>
              </w:rPr>
              <w:t>合计</w:t>
            </w:r>
            <w:r>
              <w:rPr>
                <w:rStyle w:val="8"/>
                <w:rFonts w:hint="eastAsia" w:hAnsi="宋体" w:eastAsia="宋体" w:cs="宋体"/>
                <w:b/>
                <w:bCs/>
                <w:color w:val="000000"/>
                <w:sz w:val="24"/>
                <w:szCs w:val="24"/>
                <w:lang w:val="en-US" w:eastAsia="zh-CN"/>
              </w:rPr>
              <w:t>28</w:t>
            </w:r>
            <w:r>
              <w:rPr>
                <w:rFonts w:hint="eastAsia" w:ascii="宋体" w:hAnsi="宋体" w:eastAsia="宋体" w:cs="宋体"/>
                <w:color w:val="auto"/>
                <w:kern w:val="2"/>
                <w:sz w:val="24"/>
                <w:szCs w:val="24"/>
                <w:lang w:val="en-US" w:eastAsia="zh-CN" w:bidi="ar-SA"/>
              </w:rPr>
              <w:t>个安装支架、30米铜管；</w:t>
            </w:r>
          </w:p>
          <w:p w14:paraId="4E6D7086">
            <w:pPr>
              <w:pStyle w:val="2"/>
              <w:ind w:left="0" w:leftChars="0" w:firstLine="0" w:firstLineChars="0"/>
              <w:jc w:val="both"/>
              <w:rPr>
                <w:rFonts w:ascii="宋体" w:hAnsi="宋体"/>
                <w:szCs w:val="21"/>
              </w:rPr>
            </w:pPr>
            <w:r>
              <w:rPr>
                <w:rFonts w:hint="eastAsia" w:ascii="宋体" w:hAnsi="宋体"/>
                <w:color w:val="auto"/>
                <w:szCs w:val="21"/>
              </w:rPr>
              <w:t>▲</w:t>
            </w:r>
            <w:r>
              <w:rPr>
                <w:rFonts w:hint="eastAsia" w:ascii="宋体" w:hAnsi="宋体" w:eastAsia="宋体" w:cs="宋体"/>
                <w:color w:val="auto"/>
                <w:kern w:val="2"/>
                <w:sz w:val="24"/>
                <w:szCs w:val="24"/>
                <w:lang w:val="en-US" w:eastAsia="zh-CN" w:bidi="ar-SA"/>
              </w:rPr>
              <w:t>3、所有空调安装必须使用水磨钻进行墙体开孔，</w:t>
            </w:r>
            <w:r>
              <w:rPr>
                <w:rFonts w:ascii="宋体" w:hAnsi="宋体" w:eastAsia="宋体" w:cs="宋体"/>
                <w:sz w:val="24"/>
                <w:szCs w:val="24"/>
              </w:rPr>
              <w:t>共计</w:t>
            </w:r>
            <w:r>
              <w:rPr>
                <w:rFonts w:hint="eastAsia" w:ascii="宋体" w:hAnsi="宋体" w:eastAsia="宋体" w:cs="宋体"/>
                <w:color w:val="auto"/>
                <w:kern w:val="2"/>
                <w:sz w:val="24"/>
                <w:szCs w:val="24"/>
                <w:lang w:val="en-US" w:eastAsia="zh-CN" w:bidi="ar-SA"/>
              </w:rPr>
              <w:t>28个水磨钻孔。</w:t>
            </w:r>
          </w:p>
          <w:p w14:paraId="2A6A42C2">
            <w:pPr>
              <w:keepNext w:val="0"/>
              <w:keepLines w:val="0"/>
              <w:widowControl/>
              <w:suppressLineNumbers w:val="0"/>
              <w:jc w:val="left"/>
              <w:textAlignment w:val="top"/>
              <w:rPr>
                <w:rFonts w:hint="eastAsia" w:ascii="宋体" w:hAnsi="宋体"/>
                <w:b/>
                <w:bCs/>
                <w:color w:val="auto"/>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B6116F7">
            <w:pPr>
              <w:keepNext w:val="0"/>
              <w:keepLines w:val="0"/>
              <w:widowControl/>
              <w:suppressLineNumbers w:val="0"/>
              <w:jc w:val="center"/>
              <w:textAlignment w:val="center"/>
              <w:rPr>
                <w:rFonts w:hint="default" w:ascii="宋体" w:hAnsi="宋体" w:eastAsia="仿宋_GB2312"/>
                <w:color w:val="auto"/>
                <w:szCs w:val="21"/>
                <w:lang w:val="en-US" w:eastAsia="zh-CN"/>
              </w:rPr>
            </w:pPr>
            <w:r>
              <w:rPr>
                <w:rFonts w:hint="eastAsia" w:ascii="宋体" w:hAnsi="宋体"/>
                <w:color w:val="auto"/>
                <w:szCs w:val="21"/>
                <w:lang w:val="en-US" w:eastAsia="zh-CN"/>
              </w:rPr>
              <w:t>5000</w:t>
            </w:r>
          </w:p>
        </w:tc>
        <w:tc>
          <w:tcPr>
            <w:tcW w:w="1799" w:type="dxa"/>
            <w:tcBorders>
              <w:top w:val="single" w:color="auto" w:sz="4" w:space="0"/>
              <w:left w:val="single" w:color="auto" w:sz="4" w:space="0"/>
              <w:bottom w:val="single" w:color="auto" w:sz="4" w:space="0"/>
              <w:right w:val="single" w:color="auto" w:sz="4" w:space="0"/>
            </w:tcBorders>
            <w:noWrap w:val="0"/>
            <w:vAlign w:val="top"/>
          </w:tcPr>
          <w:p w14:paraId="4FB98EA2">
            <w:pPr>
              <w:spacing w:line="570" w:lineRule="exact"/>
              <w:rPr>
                <w:rFonts w:ascii="宋体" w:hAnsi="宋体"/>
                <w:color w:val="auto"/>
                <w:szCs w:val="21"/>
              </w:rPr>
            </w:pPr>
            <w:r>
              <w:rPr>
                <w:rFonts w:hint="eastAsia" w:ascii="宋体" w:hAnsi="宋体" w:cs="宋体"/>
                <w:color w:val="000000"/>
                <w:kern w:val="0"/>
                <w:sz w:val="20"/>
                <w:szCs w:val="20"/>
                <w:lang w:bidi="ar"/>
              </w:rPr>
              <w:t>工业</w:t>
            </w:r>
          </w:p>
        </w:tc>
      </w:tr>
      <w:tr w14:paraId="3A450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41DE54CC">
            <w:pPr>
              <w:spacing w:line="570" w:lineRule="exact"/>
              <w:jc w:val="center"/>
              <w:rPr>
                <w:rFonts w:ascii="宋体" w:hAnsi="宋体"/>
                <w:color w:val="auto"/>
              </w:rPr>
            </w:pPr>
          </w:p>
          <w:p w14:paraId="44421FEF">
            <w:pPr>
              <w:spacing w:line="570" w:lineRule="exact"/>
              <w:jc w:val="center"/>
              <w:rPr>
                <w:rFonts w:ascii="宋体" w:hAnsi="宋体"/>
                <w:color w:val="auto"/>
              </w:rPr>
            </w:pPr>
          </w:p>
          <w:p w14:paraId="306784C9">
            <w:pPr>
              <w:spacing w:line="570" w:lineRule="exact"/>
              <w:jc w:val="center"/>
              <w:rPr>
                <w:rFonts w:ascii="宋体" w:hAnsi="宋体"/>
                <w:color w:val="auto"/>
              </w:rPr>
            </w:pPr>
            <w:r>
              <w:rPr>
                <w:rFonts w:hint="eastAsia" w:ascii="宋体" w:hAnsi="宋体"/>
                <w:color w:val="auto"/>
              </w:rPr>
              <w:t>商务条款</w:t>
            </w:r>
          </w:p>
        </w:tc>
        <w:tc>
          <w:tcPr>
            <w:tcW w:w="9576" w:type="dxa"/>
            <w:gridSpan w:val="8"/>
            <w:tcBorders>
              <w:top w:val="single" w:color="auto" w:sz="4" w:space="0"/>
              <w:left w:val="single" w:color="auto" w:sz="4" w:space="0"/>
              <w:bottom w:val="single" w:color="auto" w:sz="4" w:space="0"/>
              <w:right w:val="single" w:color="auto" w:sz="4" w:space="0"/>
            </w:tcBorders>
            <w:noWrap w:val="0"/>
            <w:vAlign w:val="top"/>
          </w:tcPr>
          <w:p w14:paraId="5D9932D9">
            <w:pPr>
              <w:widowControl/>
              <w:shd w:val="clear" w:color="auto" w:fill="FFFFFF"/>
              <w:spacing w:line="570" w:lineRule="exact"/>
              <w:rPr>
                <w:rFonts w:ascii="宋体" w:hAnsi="宋体"/>
                <w:color w:val="auto"/>
                <w:szCs w:val="21"/>
              </w:rPr>
            </w:pPr>
            <w:bookmarkStart w:id="0" w:name="_top"/>
            <w:bookmarkEnd w:id="0"/>
            <w:r>
              <w:rPr>
                <w:rFonts w:hint="eastAsia" w:ascii="宋体" w:hAnsi="宋体"/>
                <w:color w:val="auto"/>
                <w:szCs w:val="21"/>
                <w:lang w:val="en-US" w:eastAsia="zh-CN"/>
              </w:rPr>
              <w:t>一</w:t>
            </w:r>
            <w:r>
              <w:rPr>
                <w:rFonts w:hint="eastAsia" w:ascii="宋体" w:hAnsi="宋体"/>
                <w:color w:val="auto"/>
                <w:szCs w:val="21"/>
              </w:rPr>
              <w:t>、合同签订期：自中标通知书发出之日起</w:t>
            </w:r>
            <w:r>
              <w:rPr>
                <w:rFonts w:hint="eastAsia" w:ascii="宋体" w:hAnsi="宋体"/>
                <w:color w:val="auto"/>
                <w:szCs w:val="21"/>
                <w:u w:val="single"/>
                <w:lang w:val="en-US" w:eastAsia="zh-CN"/>
              </w:rPr>
              <w:t xml:space="preserve"> 25 </w:t>
            </w:r>
            <w:r>
              <w:rPr>
                <w:rFonts w:hint="eastAsia" w:ascii="宋体" w:hAnsi="宋体"/>
                <w:color w:val="auto"/>
                <w:szCs w:val="21"/>
              </w:rPr>
              <w:t>日内（注：</w:t>
            </w:r>
            <w:r>
              <w:rPr>
                <w:rFonts w:hint="eastAsia"/>
                <w:color w:val="auto"/>
              </w:rPr>
              <w:t>中标通知书发出之日起25日内必须签订合同。</w:t>
            </w:r>
            <w:r>
              <w:rPr>
                <w:rFonts w:hint="eastAsia" w:ascii="宋体" w:hAnsi="宋体"/>
                <w:color w:val="auto"/>
                <w:szCs w:val="21"/>
              </w:rPr>
              <w:t>）</w:t>
            </w:r>
          </w:p>
          <w:p w14:paraId="04686764">
            <w:pPr>
              <w:widowControl/>
              <w:shd w:val="clear" w:color="auto" w:fill="FFFFFF"/>
              <w:spacing w:line="570" w:lineRule="exact"/>
              <w:rPr>
                <w:rFonts w:ascii="宋体" w:hAnsi="宋体"/>
                <w:bCs/>
                <w:color w:val="auto"/>
                <w:szCs w:val="21"/>
                <w:u w:val="single"/>
              </w:rPr>
            </w:pPr>
            <w:r>
              <w:rPr>
                <w:rFonts w:hint="eastAsia" w:ascii="宋体" w:hAnsi="宋体"/>
                <w:color w:val="auto"/>
                <w:szCs w:val="21"/>
              </w:rPr>
              <w:t>二、</w:t>
            </w:r>
            <w:r>
              <w:rPr>
                <w:rFonts w:hint="eastAsia" w:ascii="宋体" w:hAnsi="宋体"/>
                <w:bCs/>
                <w:color w:val="auto"/>
                <w:szCs w:val="21"/>
              </w:rPr>
              <w:t>货物期限或者货物时间：</w:t>
            </w:r>
            <w:r>
              <w:rPr>
                <w:rFonts w:hint="eastAsia" w:ascii="宋体" w:hAnsi="宋体" w:cs="Arial"/>
                <w:bCs/>
                <w:kern w:val="0"/>
                <w:szCs w:val="21"/>
              </w:rPr>
              <w:t>合同签订后</w:t>
            </w:r>
            <w:r>
              <w:rPr>
                <w:rFonts w:hint="eastAsia" w:ascii="宋体" w:hAnsi="宋体" w:cs="Arial"/>
                <w:bCs/>
                <w:kern w:val="0"/>
                <w:szCs w:val="21"/>
                <w:lang w:val="en-US" w:eastAsia="zh-CN"/>
              </w:rPr>
              <w:t>15</w:t>
            </w:r>
            <w:r>
              <w:rPr>
                <w:rFonts w:hint="eastAsia" w:ascii="宋体" w:hAnsi="宋体"/>
                <w:szCs w:val="21"/>
              </w:rPr>
              <w:t>个工作日</w:t>
            </w:r>
            <w:r>
              <w:rPr>
                <w:rFonts w:hint="eastAsia" w:ascii="宋体" w:hAnsi="宋体" w:cs="Arial"/>
                <w:bCs/>
                <w:kern w:val="0"/>
                <w:szCs w:val="21"/>
              </w:rPr>
              <w:t>内交货（含安装调试）</w:t>
            </w:r>
            <w:r>
              <w:rPr>
                <w:rFonts w:hint="eastAsia" w:ascii="宋体" w:hAnsi="宋体"/>
                <w:color w:val="auto"/>
                <w:szCs w:val="21"/>
              </w:rPr>
              <w:t>三、货物地点：</w:t>
            </w:r>
            <w:r>
              <w:rPr>
                <w:rFonts w:hint="eastAsia" w:ascii="宋体" w:hAnsi="宋体"/>
                <w:szCs w:val="21"/>
              </w:rPr>
              <w:t>南宁职业技术大学校内指定地点</w:t>
            </w:r>
          </w:p>
          <w:p w14:paraId="152CDEA8">
            <w:pPr>
              <w:widowControl/>
              <w:shd w:val="clear" w:color="auto" w:fill="FFFFFF"/>
              <w:spacing w:line="570" w:lineRule="exact"/>
              <w:rPr>
                <w:rFonts w:hint="eastAsia" w:ascii="宋体" w:hAnsi="宋体" w:cs="宋体"/>
                <w:color w:val="auto"/>
                <w:szCs w:val="21"/>
              </w:rPr>
            </w:pPr>
            <w:r>
              <w:rPr>
                <w:rFonts w:hint="eastAsia" w:ascii="宋体" w:hAnsi="宋体"/>
                <w:bCs/>
                <w:color w:val="auto"/>
                <w:szCs w:val="21"/>
              </w:rPr>
              <w:t>四、</w:t>
            </w:r>
            <w:r>
              <w:rPr>
                <w:rFonts w:hint="eastAsia" w:ascii="宋体" w:hAnsi="宋体" w:cs="宋体"/>
                <w:color w:val="auto"/>
                <w:szCs w:val="21"/>
              </w:rPr>
              <w:t>验收标准、规范：</w:t>
            </w:r>
          </w:p>
          <w:p w14:paraId="77D01F4E">
            <w:pPr>
              <w:widowControl/>
              <w:shd w:val="clear" w:color="auto" w:fill="FFFFFF"/>
              <w:spacing w:line="360" w:lineRule="exact"/>
              <w:rPr>
                <w:rFonts w:ascii="宋体" w:hAnsi="宋体"/>
                <w:bCs/>
                <w:szCs w:val="21"/>
              </w:rPr>
            </w:pPr>
            <w:r>
              <w:rPr>
                <w:rFonts w:ascii="宋体" w:hAnsi="宋体"/>
                <w:bCs/>
                <w:szCs w:val="21"/>
              </w:rPr>
              <w:t>1</w:t>
            </w:r>
            <w:r>
              <w:rPr>
                <w:rFonts w:hint="eastAsia" w:ascii="宋体" w:hAnsi="宋体"/>
                <w:bCs/>
                <w:szCs w:val="21"/>
              </w:rPr>
              <w:t>）</w:t>
            </w:r>
            <w:r>
              <w:rPr>
                <w:rFonts w:hint="eastAsia" w:ascii="宋体" w:hAnsi="宋体"/>
                <w:szCs w:val="21"/>
              </w:rPr>
              <w:t>验收产生的费用首次验收费用由采购人承担，如首次验收不合格，后续验收费用由中标人支付</w:t>
            </w:r>
            <w:r>
              <w:rPr>
                <w:rFonts w:hint="eastAsia" w:ascii="宋体" w:hAnsi="宋体"/>
                <w:bCs/>
                <w:szCs w:val="21"/>
              </w:rPr>
              <w:t>。</w:t>
            </w:r>
          </w:p>
          <w:p w14:paraId="52466531">
            <w:pPr>
              <w:spacing w:line="360" w:lineRule="exact"/>
              <w:rPr>
                <w:rFonts w:ascii="宋体" w:hAnsi="宋体"/>
                <w:szCs w:val="21"/>
              </w:rPr>
            </w:pPr>
            <w:r>
              <w:rPr>
                <w:rFonts w:hint="eastAsia" w:ascii="宋体" w:hAnsi="宋体"/>
                <w:bCs/>
                <w:szCs w:val="21"/>
              </w:rPr>
              <w:t>▲</w:t>
            </w:r>
            <w:r>
              <w:rPr>
                <w:rFonts w:ascii="宋体" w:hAnsi="宋体"/>
                <w:bCs/>
                <w:szCs w:val="21"/>
              </w:rPr>
              <w:t>2</w:t>
            </w:r>
            <w:r>
              <w:rPr>
                <w:rFonts w:hint="eastAsia" w:ascii="宋体" w:hAnsi="宋体"/>
                <w:bCs/>
                <w:szCs w:val="21"/>
              </w:rPr>
              <w:t>）</w:t>
            </w:r>
            <w:r>
              <w:rPr>
                <w:rFonts w:hint="eastAsia" w:ascii="宋体" w:hAnsi="宋体"/>
                <w:szCs w:val="21"/>
              </w:rPr>
              <w:t>采购人对中标供应商所交货物必须依照招标文件上的技术规格实质要求和国家有关标准验收，进行现场测试比对，达到要求的方可验收。如因中标供应商虚假应标而造成采购人损失的，中标供应商应承担相应法律责任，并赔偿因此而造成的采购人的损失。</w:t>
            </w:r>
          </w:p>
          <w:p w14:paraId="7DF8384B">
            <w:pPr>
              <w:widowControl/>
              <w:shd w:val="clear" w:color="auto" w:fill="FFFFFF"/>
              <w:spacing w:line="360" w:lineRule="exact"/>
              <w:rPr>
                <w:rFonts w:ascii="宋体" w:hAnsi="宋体"/>
                <w:bCs/>
                <w:szCs w:val="21"/>
              </w:rPr>
            </w:pPr>
            <w:r>
              <w:rPr>
                <w:rFonts w:ascii="宋体" w:hAnsi="宋体"/>
                <w:bCs/>
                <w:szCs w:val="21"/>
              </w:rPr>
              <w:t>3</w:t>
            </w:r>
            <w:r>
              <w:rPr>
                <w:rFonts w:hint="eastAsia" w:ascii="宋体" w:hAnsi="宋体"/>
                <w:bCs/>
                <w:szCs w:val="21"/>
              </w:rPr>
              <w:t>）对检验，因中标人原因验收不通过的，采购人不再予以验收，视为中标人单方违约，采购人将如实上报财政部门并追究其全部法律责任及要求赔偿相应的经济损失。</w:t>
            </w:r>
          </w:p>
          <w:p w14:paraId="4D00B7AE">
            <w:pPr>
              <w:spacing w:line="360" w:lineRule="exact"/>
              <w:rPr>
                <w:rFonts w:ascii="宋体" w:hAnsi="宋体"/>
                <w:szCs w:val="21"/>
              </w:rPr>
            </w:pPr>
            <w:r>
              <w:rPr>
                <w:rFonts w:ascii="宋体" w:hAnsi="宋体"/>
                <w:szCs w:val="21"/>
              </w:rPr>
              <w:t>4</w:t>
            </w:r>
            <w:r>
              <w:rPr>
                <w:rFonts w:hint="eastAsia" w:ascii="宋体" w:hAnsi="宋体"/>
                <w:szCs w:val="21"/>
              </w:rPr>
              <w:t>）货物符合国家官方合格标准。</w:t>
            </w:r>
          </w:p>
          <w:p w14:paraId="584039F0">
            <w:pPr>
              <w:spacing w:line="360" w:lineRule="exact"/>
              <w:rPr>
                <w:rFonts w:hint="eastAsia" w:ascii="宋体" w:hAnsi="宋体"/>
                <w:szCs w:val="21"/>
              </w:rPr>
            </w:pPr>
            <w:r>
              <w:rPr>
                <w:rFonts w:ascii="宋体" w:hAnsi="宋体"/>
                <w:szCs w:val="21"/>
              </w:rPr>
              <w:t>5</w:t>
            </w:r>
            <w:r>
              <w:rPr>
                <w:rFonts w:hint="eastAsia" w:ascii="宋体" w:hAnsi="宋体"/>
                <w:szCs w:val="21"/>
              </w:rPr>
              <w:t>）中标供应商须确保货物为原制造商制造的全新产品，无污染，无侵权行为、表面无划损、无任何缺陷隐患，在中国境内可依常规安全合法使用。</w:t>
            </w:r>
          </w:p>
          <w:p w14:paraId="065D10C1">
            <w:pPr>
              <w:spacing w:line="360" w:lineRule="exact"/>
              <w:rPr>
                <w:rFonts w:hint="default" w:ascii="宋体" w:hAnsi="宋体" w:cs="Times New Roman"/>
                <w:szCs w:val="21"/>
                <w:lang w:val="en-US" w:eastAsia="zh-CN"/>
              </w:rPr>
            </w:pPr>
            <w:r>
              <w:rPr>
                <w:rFonts w:hint="eastAsia" w:ascii="宋体" w:hAnsi="宋体" w:cs="Times New Roman"/>
                <w:szCs w:val="21"/>
                <w:lang w:val="en-US" w:eastAsia="zh-CN"/>
              </w:rPr>
              <w:t>五、违约责任</w:t>
            </w:r>
            <w:r>
              <w:rPr>
                <w:rFonts w:hint="default" w:ascii="宋体" w:hAnsi="宋体" w:cs="Times New Roman"/>
                <w:szCs w:val="21"/>
                <w:lang w:val="en-US" w:eastAsia="zh-CN"/>
              </w:rPr>
              <w:t xml:space="preserve"> </w:t>
            </w:r>
          </w:p>
          <w:p w14:paraId="654174BD">
            <w:pPr>
              <w:spacing w:line="360" w:lineRule="exact"/>
              <w:rPr>
                <w:rFonts w:hint="eastAsia" w:ascii="宋体" w:hAnsi="宋体" w:cs="Times New Roman"/>
                <w:szCs w:val="21"/>
              </w:rPr>
            </w:pPr>
            <w:r>
              <w:rPr>
                <w:rFonts w:hint="eastAsia" w:ascii="宋体" w:hAnsi="宋体" w:cs="Times New Roman"/>
                <w:szCs w:val="21"/>
              </w:rPr>
              <w:t>中标供应商未按合同约定工期完成供货、安装、调试并验收合格的，每逾期一日，</w:t>
            </w:r>
            <w:r>
              <w:rPr>
                <w:rFonts w:hint="eastAsia" w:ascii="宋体" w:hAnsi="宋体" w:cs="Times New Roman"/>
                <w:szCs w:val="21"/>
                <w:lang w:val="en-US" w:eastAsia="zh-CN"/>
              </w:rPr>
              <w:t>应</w:t>
            </w:r>
            <w:r>
              <w:rPr>
                <w:rFonts w:hint="default" w:ascii="宋体" w:hAnsi="宋体" w:cs="Times New Roman"/>
                <w:szCs w:val="21"/>
                <w:lang w:val="en-US" w:eastAsia="zh-CN"/>
              </w:rPr>
              <w:t>按逾期交</w:t>
            </w:r>
            <w:r>
              <w:rPr>
                <w:rFonts w:hint="eastAsia" w:ascii="宋体" w:hAnsi="宋体" w:cs="Times New Roman"/>
                <w:szCs w:val="21"/>
                <w:lang w:val="en-US" w:eastAsia="zh-CN"/>
              </w:rPr>
              <w:t xml:space="preserve">货总额 </w:t>
            </w:r>
            <w:r>
              <w:rPr>
                <w:rFonts w:hint="eastAsia" w:ascii="宋体" w:hAnsi="宋体" w:cs="Times New Roman"/>
                <w:szCs w:val="21"/>
              </w:rPr>
              <w:t xml:space="preserve">0.5‰向采购人支付违约金；逾期超过 </w:t>
            </w:r>
            <w:r>
              <w:rPr>
                <w:rFonts w:hint="eastAsia" w:ascii="宋体" w:hAnsi="宋体" w:cs="Times New Roman"/>
                <w:szCs w:val="21"/>
                <w:lang w:val="en-US" w:eastAsia="zh-CN"/>
              </w:rPr>
              <w:t>30</w:t>
            </w:r>
            <w:r>
              <w:rPr>
                <w:rFonts w:hint="eastAsia" w:ascii="宋体" w:hAnsi="宋体" w:cs="Times New Roman"/>
                <w:szCs w:val="21"/>
              </w:rPr>
              <w:t>日的，采购人有权单方解除合同，</w:t>
            </w:r>
            <w:r>
              <w:rPr>
                <w:rFonts w:hint="default" w:ascii="宋体" w:hAnsi="宋体" w:cs="Times New Roman"/>
                <w:szCs w:val="21"/>
                <w:lang w:val="en-US" w:eastAsia="zh-CN"/>
              </w:rPr>
              <w:t>并要求</w:t>
            </w:r>
            <w:r>
              <w:rPr>
                <w:rFonts w:hint="eastAsia" w:ascii="宋体" w:hAnsi="宋体" w:cs="Times New Roman"/>
                <w:szCs w:val="21"/>
              </w:rPr>
              <w:t>中标供应商</w:t>
            </w:r>
            <w:r>
              <w:rPr>
                <w:rFonts w:hint="default" w:ascii="宋体" w:hAnsi="宋体" w:cs="Times New Roman"/>
                <w:szCs w:val="21"/>
                <w:lang w:val="en-US" w:eastAsia="zh-CN"/>
              </w:rPr>
              <w:t>支付合同</w:t>
            </w:r>
            <w:r>
              <w:rPr>
                <w:rFonts w:hint="eastAsia" w:ascii="宋体" w:hAnsi="宋体" w:cs="Times New Roman"/>
                <w:szCs w:val="21"/>
                <w:lang w:val="en-US" w:eastAsia="zh-CN"/>
              </w:rPr>
              <w:t>总额 3</w:t>
            </w:r>
            <w:r>
              <w:rPr>
                <w:rFonts w:hint="default" w:ascii="宋体" w:hAnsi="宋体" w:cs="Times New Roman"/>
                <w:szCs w:val="21"/>
                <w:lang w:val="en-US" w:eastAsia="zh-CN"/>
              </w:rPr>
              <w:t xml:space="preserve"> %的</w:t>
            </w:r>
            <w:r>
              <w:rPr>
                <w:rFonts w:hint="eastAsia" w:ascii="宋体" w:hAnsi="宋体" w:cs="Times New Roman"/>
                <w:szCs w:val="21"/>
                <w:lang w:val="en-US" w:eastAsia="zh-CN"/>
              </w:rPr>
              <w:t>违约</w:t>
            </w:r>
            <w:r>
              <w:rPr>
                <w:rFonts w:hint="default" w:ascii="宋体" w:hAnsi="宋体" w:cs="Times New Roman"/>
                <w:szCs w:val="21"/>
                <w:lang w:val="en-US" w:eastAsia="zh-CN"/>
              </w:rPr>
              <w:t>金</w:t>
            </w:r>
            <w:r>
              <w:rPr>
                <w:rFonts w:hint="eastAsia" w:ascii="宋体" w:hAnsi="宋体" w:cs="Times New Roman"/>
                <w:szCs w:val="21"/>
              </w:rPr>
              <w:t>。</w:t>
            </w:r>
          </w:p>
          <w:p w14:paraId="2FF3C281">
            <w:pPr>
              <w:spacing w:line="570" w:lineRule="exact"/>
              <w:rPr>
                <w:rFonts w:ascii="宋体" w:hAnsi="宋体"/>
                <w:color w:val="auto"/>
                <w:szCs w:val="21"/>
              </w:rPr>
            </w:pPr>
            <w:r>
              <w:rPr>
                <w:rFonts w:hint="eastAsia" w:ascii="宋体" w:hAnsi="宋体"/>
                <w:color w:val="auto"/>
                <w:szCs w:val="21"/>
                <w:lang w:val="en-US" w:eastAsia="zh-CN"/>
              </w:rPr>
              <w:t>六</w:t>
            </w:r>
            <w:r>
              <w:rPr>
                <w:rFonts w:hint="eastAsia" w:ascii="宋体" w:hAnsi="宋体"/>
                <w:color w:val="auto"/>
                <w:szCs w:val="21"/>
              </w:rPr>
              <w:t>、其他要求：</w:t>
            </w:r>
          </w:p>
          <w:p w14:paraId="1695A8F8">
            <w:pPr>
              <w:spacing w:line="570" w:lineRule="exact"/>
              <w:rPr>
                <w:rFonts w:ascii="宋体" w:hAnsi="宋体"/>
                <w:color w:val="auto"/>
                <w:szCs w:val="21"/>
              </w:rPr>
            </w:pPr>
            <w:r>
              <w:rPr>
                <w:rFonts w:hint="eastAsia" w:ascii="宋体" w:hAnsi="宋体"/>
                <w:color w:val="auto"/>
                <w:szCs w:val="21"/>
                <w:lang w:eastAsia="zh-CN"/>
              </w:rPr>
              <w:t>1.</w:t>
            </w:r>
            <w:r>
              <w:rPr>
                <w:rFonts w:hint="eastAsia" w:ascii="宋体" w:hAnsi="宋体"/>
                <w:color w:val="auto"/>
                <w:szCs w:val="21"/>
              </w:rPr>
              <w:t>报价必须含以下部分，包括：</w:t>
            </w:r>
          </w:p>
          <w:p w14:paraId="528CA5E3">
            <w:pPr>
              <w:spacing w:line="570" w:lineRule="exact"/>
              <w:rPr>
                <w:rFonts w:ascii="宋体" w:hAnsi="宋体" w:cs="宋体"/>
                <w:color w:val="auto"/>
                <w:szCs w:val="21"/>
              </w:rPr>
            </w:pPr>
            <w:r>
              <w:rPr>
                <w:rFonts w:hint="eastAsia" w:ascii="宋体" w:hAnsi="宋体" w:cs="宋体"/>
                <w:color w:val="auto"/>
                <w:szCs w:val="21"/>
              </w:rPr>
              <w:t>（1）货物的价格；</w:t>
            </w:r>
          </w:p>
          <w:p w14:paraId="638D8C03">
            <w:pPr>
              <w:spacing w:line="570" w:lineRule="exact"/>
              <w:rPr>
                <w:rFonts w:ascii="宋体" w:hAnsi="宋体" w:cs="宋体"/>
                <w:color w:val="auto"/>
                <w:szCs w:val="21"/>
              </w:rPr>
            </w:pPr>
            <w:r>
              <w:rPr>
                <w:rFonts w:hint="eastAsia" w:ascii="宋体" w:hAnsi="宋体" w:cs="宋体"/>
                <w:color w:val="auto"/>
                <w:szCs w:val="21"/>
              </w:rPr>
              <w:t>（2）必要的保险费用和各项税金；</w:t>
            </w:r>
          </w:p>
          <w:p w14:paraId="367BDFD3">
            <w:pPr>
              <w:tabs>
                <w:tab w:val="left" w:pos="3490"/>
                <w:tab w:val="left" w:pos="3670"/>
                <w:tab w:val="left" w:pos="3895"/>
              </w:tabs>
              <w:spacing w:line="570" w:lineRule="exact"/>
              <w:rPr>
                <w:rFonts w:ascii="宋体" w:hAnsi="宋体"/>
                <w:color w:val="auto"/>
                <w:szCs w:val="21"/>
                <w:u w:val="single"/>
              </w:rPr>
            </w:pPr>
            <w:r>
              <w:rPr>
                <w:rFonts w:hint="eastAsia" w:ascii="宋体" w:hAnsi="宋体" w:cs="宋体"/>
                <w:color w:val="auto"/>
                <w:szCs w:val="21"/>
              </w:rPr>
              <w:t>（3）其他（如运输、装卸、安装、调试、培训、技术支持、售后货物、更新升级等费用，根据项目具体情况填写）：</w:t>
            </w:r>
          </w:p>
          <w:p w14:paraId="2440B09A">
            <w:pPr>
              <w:spacing w:line="570" w:lineRule="exact"/>
              <w:rPr>
                <w:rFonts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付款方式：选择以下第</w:t>
            </w:r>
            <w:r>
              <w:rPr>
                <w:rFonts w:hint="eastAsia" w:ascii="宋体" w:hAnsi="宋体" w:cs="宋体"/>
                <w:color w:val="auto"/>
                <w:szCs w:val="21"/>
                <w:lang w:eastAsia="zh-CN"/>
              </w:rPr>
              <w:t>（</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rPr>
              <w:t>种方式</w:t>
            </w:r>
          </w:p>
          <w:p w14:paraId="030F1FE4">
            <w:pPr>
              <w:spacing w:line="570" w:lineRule="exact"/>
              <w:ind w:firstLine="560" w:firstLineChars="200"/>
              <w:rPr>
                <w:rFonts w:ascii="宋体" w:hAnsi="宋体" w:cs="宋体"/>
                <w:color w:val="auto"/>
                <w:szCs w:val="21"/>
              </w:rPr>
            </w:pPr>
            <w:r>
              <w:rPr>
                <w:rFonts w:hint="eastAsia" w:ascii="宋体" w:hAnsi="宋体"/>
                <w:color w:val="auto"/>
                <w:szCs w:val="21"/>
              </w:rPr>
              <w:t>（1）</w:t>
            </w:r>
            <w:r>
              <w:rPr>
                <w:rFonts w:hint="eastAsia" w:ascii="宋体" w:hAnsi="宋体" w:cs="宋体"/>
                <w:color w:val="auto"/>
                <w:szCs w:val="21"/>
              </w:rPr>
              <w:t>本项目无预付款，供应商所提交的货物经采购人书面验收合格后，一次性（</w:t>
            </w:r>
            <w:r>
              <w:rPr>
                <w:rFonts w:hint="eastAsia"/>
                <w:color w:val="auto"/>
              </w:rPr>
              <w:t>或按项目进度分次付款，项目进度内容及每次付款比例要写明</w:t>
            </w:r>
            <w:r>
              <w:rPr>
                <w:rFonts w:hint="eastAsia" w:ascii="宋体" w:hAnsi="宋体" w:cs="宋体"/>
                <w:color w:val="auto"/>
                <w:szCs w:val="21"/>
              </w:rPr>
              <w:t>）支付合同款。</w:t>
            </w:r>
          </w:p>
          <w:p w14:paraId="5C11CE13">
            <w:pPr>
              <w:spacing w:line="570" w:lineRule="exact"/>
              <w:ind w:firstLine="560" w:firstLineChars="200"/>
              <w:rPr>
                <w:rFonts w:ascii="宋体" w:hAnsi="宋体" w:cs="宋体"/>
                <w:color w:val="auto"/>
                <w:szCs w:val="21"/>
                <w:u w:val="single"/>
              </w:rPr>
            </w:pPr>
            <w:r>
              <w:rPr>
                <w:rFonts w:hint="eastAsia" w:ascii="宋体" w:hAnsi="宋体"/>
                <w:color w:val="auto"/>
                <w:szCs w:val="21"/>
              </w:rPr>
              <w:t>（2）</w:t>
            </w:r>
            <w:r>
              <w:rPr>
                <w:rFonts w:hint="eastAsia" w:ascii="宋体" w:hAnsi="宋体" w:cs="宋体"/>
                <w:color w:val="auto"/>
                <w:szCs w:val="21"/>
              </w:rPr>
              <w:t>本项目采取预付款形式，预付形式为</w:t>
            </w:r>
            <w:r>
              <w:rPr>
                <w:rFonts w:hint="eastAsia" w:ascii="宋体" w:hAnsi="宋体" w:cs="宋体"/>
                <w:color w:val="auto"/>
                <w:szCs w:val="21"/>
                <w:lang w:eastAsia="zh-CN"/>
              </w:rPr>
              <w:t>：</w:t>
            </w:r>
            <w:r>
              <w:rPr>
                <w:rFonts w:hint="eastAsia" w:ascii="宋体" w:hAnsi="宋体" w:eastAsia="宋体" w:cs="宋体"/>
                <w:szCs w:val="21"/>
              </w:rPr>
              <w:t>第一期付款：合同签订后，甲方向乙方支付合同总价30%预付款，支付前由乙方按规定向甲方开具正式发票；第二期付款：乙方交货完毕并验收合格后，甲方向乙方支付合同总价70%的服务款项（无息），支付前由乙方按规定向甲方开具正式发票。</w:t>
            </w:r>
          </w:p>
          <w:p w14:paraId="417F86FD">
            <w:pPr>
              <w:spacing w:line="570" w:lineRule="exact"/>
              <w:rPr>
                <w:rFonts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对合同条款的调整（如对验收、违约责任等有特殊要求的）</w:t>
            </w:r>
          </w:p>
        </w:tc>
      </w:tr>
      <w:tr w14:paraId="6B9348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2BF528B6">
            <w:pPr>
              <w:spacing w:line="570" w:lineRule="exact"/>
              <w:jc w:val="center"/>
              <w:rPr>
                <w:rFonts w:ascii="宋体" w:hAnsi="宋体"/>
                <w:color w:val="auto"/>
              </w:rPr>
            </w:pPr>
            <w:r>
              <w:rPr>
                <w:rFonts w:hint="eastAsia" w:ascii="宋体" w:hAnsi="宋体"/>
                <w:color w:val="auto"/>
              </w:rPr>
              <w:t>其他说明</w:t>
            </w:r>
          </w:p>
        </w:tc>
        <w:tc>
          <w:tcPr>
            <w:tcW w:w="9576" w:type="dxa"/>
            <w:gridSpan w:val="8"/>
            <w:tcBorders>
              <w:top w:val="single" w:color="auto" w:sz="4" w:space="0"/>
              <w:left w:val="single" w:color="auto" w:sz="4" w:space="0"/>
              <w:bottom w:val="single" w:color="auto" w:sz="4" w:space="0"/>
              <w:right w:val="single" w:color="auto" w:sz="4" w:space="0"/>
            </w:tcBorders>
            <w:noWrap w:val="0"/>
            <w:vAlign w:val="top"/>
          </w:tcPr>
          <w:p w14:paraId="4B25386E">
            <w:pPr>
              <w:widowControl/>
              <w:shd w:val="clear" w:color="auto" w:fill="FFFFFF"/>
              <w:spacing w:line="570" w:lineRule="exact"/>
              <w:rPr>
                <w:rFonts w:ascii="宋体" w:hAnsi="宋体"/>
                <w:color w:val="auto"/>
              </w:rPr>
            </w:pPr>
            <w:r>
              <w:rPr>
                <w:rFonts w:hint="eastAsia" w:ascii="宋体" w:hAnsi="宋体"/>
                <w:color w:val="auto"/>
              </w:rPr>
              <w:t>一、进口产品说明（根据项目实际情况选择）</w:t>
            </w:r>
          </w:p>
          <w:p w14:paraId="1F9E6B99">
            <w:pPr>
              <w:spacing w:line="570" w:lineRule="exact"/>
              <w:ind w:firstLine="560" w:firstLineChars="200"/>
              <w:rPr>
                <w:rFonts w:ascii="宋体" w:hAnsi="宋体"/>
                <w:color w:val="auto"/>
                <w:szCs w:val="21"/>
              </w:rPr>
            </w:pPr>
            <w:r>
              <w:rPr>
                <w:rFonts w:hint="eastAsia" w:ascii="宋体" w:hAnsi="宋体"/>
                <w:color w:val="auto"/>
                <w:szCs w:val="21"/>
              </w:rPr>
              <w:t>□本表的第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Cs w:val="21"/>
              </w:rPr>
              <w:t>其他货物不接受进口产品参与投标</w:t>
            </w:r>
            <w:r>
              <w:rPr>
                <w:rFonts w:hint="eastAsia" w:ascii="宋体" w:hAnsi="宋体"/>
                <w:color w:val="auto"/>
                <w:szCs w:val="21"/>
              </w:rPr>
              <w:t>，</w:t>
            </w:r>
            <w:r>
              <w:rPr>
                <w:rFonts w:hint="eastAsia" w:ascii="宋体" w:hAnsi="宋体"/>
                <w:b/>
                <w:color w:val="auto"/>
                <w:szCs w:val="21"/>
              </w:rPr>
              <w:t>否则作无效标处理。</w:t>
            </w:r>
          </w:p>
          <w:p w14:paraId="3C917DDE">
            <w:pPr>
              <w:tabs>
                <w:tab w:val="left" w:pos="180"/>
                <w:tab w:val="left" w:pos="1620"/>
              </w:tabs>
              <w:spacing w:line="570" w:lineRule="exact"/>
              <w:ind w:firstLine="560" w:firstLineChars="200"/>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rPr>
              <w:t>本分标货物所涉及的货物不接受进口产品（即通过中国海关报关验放进入中国境内且产自关境外的产品）参与投标，</w:t>
            </w:r>
            <w:r>
              <w:rPr>
                <w:rFonts w:hint="eastAsia" w:ascii="宋体" w:hAnsi="宋体"/>
                <w:b/>
                <w:color w:val="auto"/>
                <w:szCs w:val="21"/>
              </w:rPr>
              <w:t>如有进口产品参与投标的作无效标处理</w:t>
            </w:r>
            <w:r>
              <w:rPr>
                <w:rFonts w:hint="eastAsia" w:ascii="宋体" w:hAnsi="宋体"/>
                <w:color w:val="auto"/>
                <w:szCs w:val="21"/>
              </w:rPr>
              <w:t>。</w:t>
            </w:r>
          </w:p>
          <w:p w14:paraId="3BD7CF0C">
            <w:pPr>
              <w:tabs>
                <w:tab w:val="left" w:pos="180"/>
                <w:tab w:val="left" w:pos="1620"/>
              </w:tabs>
              <w:spacing w:line="570" w:lineRule="exact"/>
              <w:rPr>
                <w:rFonts w:ascii="宋体" w:hAnsi="宋体"/>
                <w:b/>
                <w:color w:val="auto"/>
                <w:szCs w:val="21"/>
              </w:rPr>
            </w:pPr>
            <w:r>
              <w:rPr>
                <w:rFonts w:hint="eastAsia" w:ascii="宋体" w:hAnsi="宋体"/>
                <w:b/>
                <w:color w:val="auto"/>
                <w:szCs w:val="21"/>
              </w:rPr>
              <w:t>二、与本项目有关的设计图纸、技术规范、文件等附件资料及其获取方式（如有）</w:t>
            </w:r>
          </w:p>
          <w:p w14:paraId="2D383FCE">
            <w:pPr>
              <w:tabs>
                <w:tab w:val="left" w:pos="180"/>
                <w:tab w:val="left" w:pos="1620"/>
              </w:tabs>
              <w:spacing w:line="570" w:lineRule="exact"/>
              <w:rPr>
                <w:rFonts w:ascii="宋体" w:hAnsi="宋体"/>
                <w:color w:val="auto"/>
                <w:szCs w:val="21"/>
              </w:rPr>
            </w:pPr>
            <w:r>
              <w:rPr>
                <w:rFonts w:hint="eastAsia" w:ascii="宋体" w:hAnsi="宋体"/>
                <w:color w:val="auto"/>
                <w:szCs w:val="21"/>
              </w:rPr>
              <w:t>文件或者资料名称：</w:t>
            </w:r>
          </w:p>
          <w:p w14:paraId="62D29EEB">
            <w:pPr>
              <w:tabs>
                <w:tab w:val="left" w:pos="180"/>
                <w:tab w:val="left" w:pos="1620"/>
              </w:tabs>
              <w:spacing w:line="570" w:lineRule="exact"/>
              <w:rPr>
                <w:rFonts w:ascii="宋体" w:hAnsi="宋体"/>
                <w:color w:val="auto"/>
                <w:szCs w:val="21"/>
              </w:rPr>
            </w:pPr>
            <w:r>
              <w:rPr>
                <w:rFonts w:hint="eastAsia" w:ascii="宋体" w:hAnsi="宋体"/>
                <w:color w:val="auto"/>
                <w:szCs w:val="21"/>
              </w:rPr>
              <w:t>公布渠道或者获取方式：</w:t>
            </w:r>
          </w:p>
          <w:p w14:paraId="161B2729">
            <w:pPr>
              <w:tabs>
                <w:tab w:val="left" w:pos="180"/>
                <w:tab w:val="left" w:pos="1620"/>
              </w:tabs>
              <w:spacing w:line="570" w:lineRule="exact"/>
              <w:rPr>
                <w:rFonts w:ascii="宋体" w:hAnsi="宋体"/>
                <w:color w:val="auto"/>
              </w:rPr>
            </w:pPr>
            <w:r>
              <w:rPr>
                <w:rFonts w:hint="eastAsia" w:ascii="宋体" w:hAnsi="宋体"/>
                <w:color w:val="auto"/>
                <w:szCs w:val="21"/>
              </w:rPr>
              <w:t>▲三、</w:t>
            </w:r>
            <w:r>
              <w:rPr>
                <w:rFonts w:hint="eastAsia" w:ascii="宋体" w:hAnsi="宋体"/>
                <w:color w:val="auto"/>
              </w:rPr>
              <w:t>核心产品</w:t>
            </w:r>
          </w:p>
          <w:p w14:paraId="0C8C712F">
            <w:pPr>
              <w:tabs>
                <w:tab w:val="left" w:pos="180"/>
                <w:tab w:val="left" w:pos="1620"/>
              </w:tabs>
              <w:spacing w:line="570" w:lineRule="exact"/>
              <w:rPr>
                <w:rFonts w:hint="eastAsia" w:ascii="宋体" w:hAnsi="宋体" w:cs="宋体"/>
                <w:color w:val="auto"/>
              </w:rPr>
            </w:pPr>
            <w:r>
              <w:rPr>
                <w:rFonts w:hint="eastAsia" w:ascii="宋体" w:hAnsi="宋体" w:cs="宋体"/>
                <w:color w:val="auto"/>
              </w:rPr>
              <w:t>“采购清单及技术参数”表中的核心产品为序号第</w:t>
            </w:r>
            <w:r>
              <w:rPr>
                <w:rFonts w:hint="eastAsia" w:ascii="宋体" w:hAnsi="宋体" w:cs="宋体"/>
                <w:color w:val="auto"/>
                <w:lang w:val="en-US" w:eastAsia="zh-CN"/>
              </w:rPr>
              <w:t>1</w:t>
            </w:r>
            <w:r>
              <w:rPr>
                <w:rFonts w:hint="eastAsia" w:ascii="宋体" w:hAnsi="宋体" w:cs="宋体"/>
                <w:color w:val="auto"/>
              </w:rPr>
              <w:t>项产品</w:t>
            </w:r>
            <w:r>
              <w:rPr>
                <w:rFonts w:hint="eastAsia" w:ascii="宋体" w:hAnsi="宋体" w:cs="宋体"/>
                <w:color w:val="auto"/>
                <w:lang w:eastAsia="zh-CN"/>
              </w:rPr>
              <w:t>“</w:t>
            </w:r>
            <w:r>
              <w:rPr>
                <w:rFonts w:ascii="宋体" w:hAnsi="宋体" w:eastAsia="宋体" w:cs="宋体"/>
                <w:sz w:val="24"/>
                <w:szCs w:val="24"/>
              </w:rPr>
              <w:t>1.5 匹冷暖变频挂式空调</w:t>
            </w:r>
            <w:r>
              <w:rPr>
                <w:rFonts w:hint="eastAsia" w:ascii="宋体" w:hAnsi="宋体" w:cs="宋体"/>
                <w:color w:val="auto"/>
                <w:lang w:eastAsia="zh-CN"/>
              </w:rPr>
              <w:t>”</w:t>
            </w:r>
            <w:r>
              <w:rPr>
                <w:rFonts w:hint="eastAsia" w:ascii="宋体" w:hAnsi="宋体" w:cs="宋体"/>
                <w:color w:val="auto"/>
              </w:rPr>
              <w:t>。</w:t>
            </w:r>
          </w:p>
          <w:p w14:paraId="2F7362DB">
            <w:pPr>
              <w:tabs>
                <w:tab w:val="left" w:pos="180"/>
                <w:tab w:val="left" w:pos="1620"/>
              </w:tabs>
              <w:spacing w:line="570" w:lineRule="exact"/>
              <w:rPr>
                <w:rFonts w:hint="eastAsia" w:ascii="宋体" w:hAnsi="宋体" w:cs="Times New Roman"/>
                <w:color w:val="auto"/>
                <w:szCs w:val="21"/>
              </w:rPr>
            </w:pPr>
            <w:r>
              <w:rPr>
                <w:rFonts w:hint="eastAsia" w:ascii="宋体" w:hAnsi="宋体" w:cs="Times New Roman"/>
                <w:color w:val="auto"/>
                <w:szCs w:val="21"/>
                <w:lang w:val="en-US" w:eastAsia="zh-CN"/>
              </w:rPr>
              <w:t>四、</w:t>
            </w:r>
            <w:r>
              <w:rPr>
                <w:rFonts w:hint="eastAsia" w:ascii="宋体" w:hAnsi="宋体" w:cs="Times New Roman"/>
                <w:color w:val="auto"/>
                <w:szCs w:val="21"/>
              </w:rPr>
              <w:t>验收标准</w:t>
            </w:r>
          </w:p>
          <w:p w14:paraId="6B93A060">
            <w:pPr>
              <w:rPr>
                <w:rFonts w:ascii="宋体" w:hAnsi="宋体"/>
                <w:szCs w:val="21"/>
              </w:rPr>
            </w:pPr>
            <w:r>
              <w:rPr>
                <w:rFonts w:hint="eastAsia" w:ascii="宋体" w:hAnsi="宋体"/>
                <w:bCs/>
                <w:szCs w:val="21"/>
              </w:rPr>
              <w:t>▲</w:t>
            </w:r>
            <w:r>
              <w:rPr>
                <w:rFonts w:hint="eastAsia" w:ascii="宋体" w:hAnsi="宋体"/>
                <w:szCs w:val="21"/>
              </w:rPr>
              <w:t>采购人对中标供应商所交货物必须依照招标文件上的技术规格实质要求和国家有关标准验收，进行现场测试比对，达到要求的方可验收；如因中标供应商虚假应标而造成采购人损失的，中标供应商应承担相应法律责任，并赔偿因此而造成的采购人的损失。</w:t>
            </w:r>
          </w:p>
          <w:p w14:paraId="0FFF3E02">
            <w:pPr>
              <w:widowControl/>
              <w:shd w:val="clear" w:color="auto" w:fill="FFFFFF"/>
              <w:spacing w:line="570" w:lineRule="exact"/>
              <w:rPr>
                <w:rFonts w:ascii="宋体" w:hAnsi="宋体"/>
                <w:color w:val="auto"/>
              </w:rPr>
            </w:pPr>
            <w:r>
              <w:rPr>
                <w:rFonts w:hint="eastAsia" w:ascii="宋体" w:hAnsi="宋体"/>
                <w:color w:val="auto"/>
              </w:rPr>
              <w:t>五、其他</w:t>
            </w:r>
          </w:p>
          <w:p w14:paraId="565549CD">
            <w:pPr>
              <w:widowControl/>
              <w:shd w:val="clear" w:color="auto" w:fill="FFFFFF"/>
              <w:spacing w:line="570" w:lineRule="exact"/>
              <w:rPr>
                <w:rFonts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……（视项目情况而定是否加▲）</w:t>
            </w:r>
          </w:p>
          <w:p w14:paraId="0E6426DF">
            <w:pPr>
              <w:widowControl/>
              <w:shd w:val="clear" w:color="auto" w:fill="FFFFFF"/>
              <w:spacing w:line="570" w:lineRule="exact"/>
              <w:rPr>
                <w:rFonts w:ascii="宋体" w:hAnsi="宋体"/>
                <w:color w:val="auto"/>
              </w:rPr>
            </w:pPr>
            <w:r>
              <w:rPr>
                <w:rFonts w:hint="eastAsia" w:ascii="宋体" w:hAnsi="宋体" w:cs="宋体"/>
                <w:color w:val="auto"/>
                <w:szCs w:val="21"/>
                <w:lang w:eastAsia="zh-CN"/>
              </w:rPr>
              <w:t>2.</w:t>
            </w:r>
            <w:r>
              <w:rPr>
                <w:rFonts w:hint="eastAsia" w:ascii="宋体" w:hAnsi="宋体" w:cs="宋体"/>
                <w:color w:val="auto"/>
                <w:szCs w:val="21"/>
              </w:rPr>
              <w:t>本项目采购标的对应的中小企业划分标准所属行业</w:t>
            </w:r>
            <w:r>
              <w:rPr>
                <w:rFonts w:hint="eastAsia" w:ascii="宋体" w:hAnsi="宋体" w:cs="宋体"/>
                <w:color w:val="auto"/>
                <w:szCs w:val="21"/>
                <w:lang w:eastAsia="zh-CN"/>
              </w:rPr>
              <w:t>：</w:t>
            </w:r>
          </w:p>
        </w:tc>
      </w:tr>
    </w:tbl>
    <w:p w14:paraId="06A5101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221A"/>
    <w:rsid w:val="05505F68"/>
    <w:rsid w:val="06286F0D"/>
    <w:rsid w:val="3015666E"/>
    <w:rsid w:val="56252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5">
    <w:name w:val="heading 1"/>
    <w:basedOn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qFormat/>
    <w:uiPriority w:val="0"/>
    <w:pPr>
      <w:spacing w:line="200" w:lineRule="exact"/>
      <w:ind w:firstLine="301"/>
    </w:pPr>
    <w:rPr>
      <w:rFonts w:ascii="宋体" w:hAnsi="Courier New"/>
      <w:spacing w:val="-4"/>
      <w:sz w:val="18"/>
      <w:szCs w:val="20"/>
    </w:rPr>
  </w:style>
  <w:style w:type="paragraph" w:styleId="4">
    <w:name w:val="envelope return"/>
    <w:basedOn w:val="1"/>
    <w:qFormat/>
    <w:uiPriority w:val="0"/>
    <w:pPr>
      <w:snapToGrid w:val="0"/>
    </w:pPr>
    <w:rPr>
      <w:rFonts w:ascii="Arial" w:hAnsi="Arial"/>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489</Words>
  <Characters>563</Characters>
  <Lines>0</Lines>
  <Paragraphs>0</Paragraphs>
  <TotalTime>0</TotalTime>
  <ScaleCrop>false</ScaleCrop>
  <LinksUpToDate>false</LinksUpToDate>
  <CharactersWithSpaces>570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2026-06-12T07:56:00Z</dcterms:created>
  <dc:creator>王俪潼</dc:creator>
  <cp:lastModifiedBy>王俪潼</cp:lastModifiedBy>
  <dcterms:modified xsi:type="dcterms:W3CDTF">2026-06-16T02:29:52Z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9337D0F3CA30494D87972ADB69DAA61D_11</vt:lpwstr>
  </property>
  <property fmtid="{D5CDD505-2E9C-101B-9397-08002B2CF9AE}" pid="4" name="KSOTemplateDocerSaveRecord">
    <vt:lpwstr>eyJoZGlkIjoiOGM2ZTY0MDEyNjJhM2RhYWMwODNlZjM5N2ZmODFkYjEiLCJ1c2VySWQiOiIyMDk0MzY0MDgifQ==</vt:lpwstr>
  </property>
</Properties>
</file>