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86278">
      <w:pPr>
        <w:tabs>
          <w:tab w:val="left" w:pos="1050"/>
        </w:tabs>
        <w:ind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柳州市军队离休退休干部静兰休养所</w:t>
      </w:r>
    </w:p>
    <w:p w14:paraId="6674C342">
      <w:pPr>
        <w:tabs>
          <w:tab w:val="left" w:pos="1050"/>
        </w:tabs>
        <w:ind w:firstLine="0" w:firstLineChars="0"/>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物业采购需求</w:t>
      </w:r>
    </w:p>
    <w:p w14:paraId="7AE67E70">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 xml:space="preserve"> </w:t>
      </w:r>
    </w:p>
    <w:p w14:paraId="1A9D212D">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一、服务概况</w:t>
      </w:r>
    </w:p>
    <w:p w14:paraId="42EE4402">
      <w:pPr>
        <w:widowControl/>
        <w:snapToGrid w:val="0"/>
        <w:spacing w:line="400" w:lineRule="exact"/>
        <w:ind w:right="64" w:rightChars="20" w:firstLine="422"/>
        <w:rPr>
          <w:rFonts w:ascii="仿宋_GB2312" w:hAnsi="宋体" w:cs="宋体"/>
          <w:kern w:val="0"/>
          <w:sz w:val="24"/>
        </w:rPr>
      </w:pPr>
      <w:r>
        <w:rPr>
          <w:rFonts w:ascii="仿宋_GB2312" w:hAnsi="宋体"/>
          <w:b/>
          <w:bCs/>
          <w:sz w:val="21"/>
          <w:szCs w:val="21"/>
        </w:rPr>
        <w:t>（一）服务地址：</w:t>
      </w:r>
      <w:r>
        <w:rPr>
          <w:rFonts w:ascii="仿宋_GB2312" w:hAnsi="宋体"/>
          <w:sz w:val="21"/>
          <w:szCs w:val="21"/>
        </w:rPr>
        <w:t>柳州市军队离休退休干部静兰休养所（柳州市西江路57号）。</w:t>
      </w:r>
    </w:p>
    <w:p w14:paraId="5CB23106">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（二）服务范围 ：</w:t>
      </w:r>
      <w:r>
        <w:rPr>
          <w:rFonts w:ascii="仿宋_GB2312" w:hAnsi="宋体"/>
          <w:sz w:val="21"/>
          <w:szCs w:val="21"/>
        </w:rPr>
        <w:t>柳州市静兰军休所办公综合楼1栋（三层）、整个</w:t>
      </w:r>
      <w:r>
        <w:rPr>
          <w:rFonts w:hint="eastAsia" w:ascii="仿宋_GB2312" w:hAnsi="宋体"/>
          <w:sz w:val="21"/>
          <w:szCs w:val="21"/>
        </w:rPr>
        <w:t>军休所</w:t>
      </w:r>
      <w:r>
        <w:rPr>
          <w:rFonts w:ascii="仿宋_GB2312" w:hAnsi="宋体"/>
          <w:sz w:val="21"/>
          <w:szCs w:val="21"/>
        </w:rPr>
        <w:t>公共场所，总占地面积10121.20平方米。</w:t>
      </w:r>
    </w:p>
    <w:p w14:paraId="32A4401C">
      <w:pPr>
        <w:widowControl/>
        <w:snapToGrid w:val="0"/>
        <w:spacing w:line="400" w:lineRule="exact"/>
        <w:ind w:right="64" w:rightChars="20" w:firstLine="422"/>
        <w:rPr>
          <w:rFonts w:ascii="仿宋_GB2312" w:hAnsi="宋体" w:cs="宋体"/>
          <w:kern w:val="0"/>
          <w:sz w:val="24"/>
        </w:rPr>
      </w:pPr>
      <w:r>
        <w:rPr>
          <w:rFonts w:ascii="仿宋_GB2312" w:hAnsi="宋体"/>
          <w:b/>
          <w:bCs/>
          <w:sz w:val="21"/>
          <w:szCs w:val="21"/>
        </w:rPr>
        <w:t>二、岗位设置及人员素质要求：</w:t>
      </w:r>
      <w:r>
        <w:rPr>
          <w:rFonts w:ascii="仿宋_GB2312" w:hAnsi="宋体"/>
          <w:sz w:val="21"/>
          <w:szCs w:val="21"/>
        </w:rPr>
        <w:t>公共秩序维护服务、客服服务、保洁服务、绿化养护管理服务、收取物业管理费等物业服务工作。</w:t>
      </w:r>
    </w:p>
    <w:p w14:paraId="6C38E766">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（一）岗位设置</w:t>
      </w:r>
    </w:p>
    <w:tbl>
      <w:tblPr>
        <w:tblStyle w:val="2"/>
        <w:tblW w:w="4996"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887"/>
        <w:gridCol w:w="1685"/>
        <w:gridCol w:w="3366"/>
        <w:gridCol w:w="1039"/>
      </w:tblGrid>
      <w:tr w14:paraId="2845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6" w:type="pct"/>
            <w:tcBorders>
              <w:top w:val="single" w:color="auto" w:sz="4" w:space="0"/>
              <w:left w:val="single" w:color="auto" w:sz="4" w:space="0"/>
              <w:bottom w:val="single" w:color="auto" w:sz="4" w:space="0"/>
              <w:right w:val="single" w:color="auto" w:sz="4" w:space="0"/>
            </w:tcBorders>
            <w:noWrap w:val="0"/>
            <w:vAlign w:val="center"/>
          </w:tcPr>
          <w:p w14:paraId="0D57E308">
            <w:pPr>
              <w:widowControl/>
              <w:snapToGrid w:val="0"/>
              <w:spacing w:line="400" w:lineRule="exact"/>
              <w:ind w:left="1" w:firstLine="0" w:firstLineChars="0"/>
              <w:rPr>
                <w:rFonts w:ascii="仿宋_GB2312" w:hAnsi="宋体"/>
                <w:kern w:val="0"/>
                <w:sz w:val="24"/>
              </w:rPr>
            </w:pPr>
            <w:r>
              <w:rPr>
                <w:rFonts w:ascii="仿宋_GB2312" w:hAnsi="仿宋"/>
                <w:sz w:val="21"/>
                <w:szCs w:val="21"/>
              </w:rPr>
              <w:t>序号</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654B0AA6">
            <w:pPr>
              <w:widowControl/>
              <w:snapToGrid w:val="0"/>
              <w:spacing w:line="400" w:lineRule="exact"/>
              <w:ind w:left="1" w:firstLine="0" w:firstLineChars="0"/>
              <w:jc w:val="center"/>
              <w:rPr>
                <w:rFonts w:ascii="仿宋_GB2312" w:hAnsi="宋体"/>
                <w:kern w:val="0"/>
                <w:sz w:val="24"/>
              </w:rPr>
            </w:pPr>
            <w:r>
              <w:rPr>
                <w:rFonts w:ascii="仿宋_GB2312" w:hAnsi="仿宋"/>
                <w:sz w:val="21"/>
                <w:szCs w:val="21"/>
              </w:rPr>
              <w:t>工作岗位</w:t>
            </w:r>
          </w:p>
        </w:tc>
        <w:tc>
          <w:tcPr>
            <w:tcW w:w="988" w:type="pct"/>
            <w:tcBorders>
              <w:top w:val="single" w:color="auto" w:sz="4" w:space="0"/>
              <w:left w:val="single" w:color="auto" w:sz="4" w:space="0"/>
              <w:bottom w:val="single" w:color="auto" w:sz="4" w:space="0"/>
              <w:right w:val="single" w:color="auto" w:sz="4" w:space="0"/>
            </w:tcBorders>
            <w:noWrap w:val="0"/>
            <w:vAlign w:val="center"/>
          </w:tcPr>
          <w:p w14:paraId="0580BF16">
            <w:pPr>
              <w:widowControl/>
              <w:snapToGrid w:val="0"/>
              <w:spacing w:line="400" w:lineRule="exact"/>
              <w:ind w:firstLine="0" w:firstLineChars="0"/>
              <w:jc w:val="center"/>
              <w:rPr>
                <w:rFonts w:ascii="仿宋_GB2312" w:hAnsi="宋体"/>
                <w:kern w:val="0"/>
                <w:sz w:val="24"/>
              </w:rPr>
            </w:pPr>
            <w:r>
              <w:rPr>
                <w:rFonts w:ascii="仿宋_GB2312" w:hAnsi="仿宋"/>
                <w:sz w:val="21"/>
                <w:szCs w:val="21"/>
              </w:rPr>
              <w:t>岗位人数</w:t>
            </w:r>
          </w:p>
        </w:tc>
        <w:tc>
          <w:tcPr>
            <w:tcW w:w="1976" w:type="pct"/>
            <w:tcBorders>
              <w:top w:val="single" w:color="auto" w:sz="4" w:space="0"/>
              <w:left w:val="single" w:color="auto" w:sz="4" w:space="0"/>
              <w:bottom w:val="single" w:color="auto" w:sz="4" w:space="0"/>
              <w:right w:val="single" w:color="auto" w:sz="4" w:space="0"/>
            </w:tcBorders>
            <w:noWrap w:val="0"/>
            <w:vAlign w:val="center"/>
          </w:tcPr>
          <w:p w14:paraId="6DDB0020">
            <w:pPr>
              <w:widowControl/>
              <w:snapToGrid w:val="0"/>
              <w:spacing w:line="400" w:lineRule="exact"/>
              <w:ind w:firstLine="0" w:firstLineChars="0"/>
              <w:jc w:val="center"/>
              <w:rPr>
                <w:rFonts w:ascii="仿宋_GB2312" w:hAnsi="宋体"/>
                <w:kern w:val="0"/>
                <w:sz w:val="24"/>
              </w:rPr>
            </w:pPr>
            <w:r>
              <w:rPr>
                <w:rFonts w:ascii="仿宋_GB2312" w:hAnsi="宋体"/>
                <w:sz w:val="21"/>
                <w:szCs w:val="21"/>
              </w:rPr>
              <w:t>工作时间</w:t>
            </w:r>
          </w:p>
        </w:tc>
        <w:tc>
          <w:tcPr>
            <w:tcW w:w="610" w:type="pct"/>
            <w:tcBorders>
              <w:top w:val="single" w:color="auto" w:sz="4" w:space="0"/>
              <w:left w:val="single" w:color="auto" w:sz="4" w:space="0"/>
              <w:bottom w:val="single" w:color="auto" w:sz="4" w:space="0"/>
              <w:right w:val="single" w:color="auto" w:sz="4" w:space="0"/>
            </w:tcBorders>
            <w:noWrap w:val="0"/>
            <w:vAlign w:val="center"/>
          </w:tcPr>
          <w:p w14:paraId="16D5D7EA">
            <w:pPr>
              <w:widowControl/>
              <w:snapToGrid w:val="0"/>
              <w:spacing w:line="400" w:lineRule="exact"/>
              <w:ind w:firstLine="0" w:firstLineChars="0"/>
              <w:rPr>
                <w:rFonts w:ascii="仿宋_GB2312" w:hAnsi="宋体"/>
                <w:kern w:val="0"/>
                <w:sz w:val="24"/>
              </w:rPr>
            </w:pPr>
            <w:r>
              <w:rPr>
                <w:rFonts w:ascii="仿宋_GB2312" w:hAnsi="宋体"/>
                <w:sz w:val="21"/>
                <w:szCs w:val="21"/>
              </w:rPr>
              <w:t>备注</w:t>
            </w:r>
          </w:p>
        </w:tc>
      </w:tr>
      <w:tr w14:paraId="1D16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316" w:type="pct"/>
            <w:tcBorders>
              <w:top w:val="single" w:color="auto" w:sz="4" w:space="0"/>
              <w:left w:val="single" w:color="auto" w:sz="4" w:space="0"/>
              <w:bottom w:val="single" w:color="auto" w:sz="4" w:space="0"/>
              <w:right w:val="single" w:color="auto" w:sz="4" w:space="0"/>
            </w:tcBorders>
            <w:noWrap w:val="0"/>
            <w:vAlign w:val="center"/>
          </w:tcPr>
          <w:p w14:paraId="7C4953A7">
            <w:pPr>
              <w:widowControl/>
              <w:snapToGrid w:val="0"/>
              <w:spacing w:line="400" w:lineRule="exact"/>
              <w:ind w:firstLine="0" w:firstLineChars="0"/>
              <w:jc w:val="center"/>
              <w:rPr>
                <w:rFonts w:ascii="仿宋_GB2312" w:hAnsi="宋体"/>
                <w:kern w:val="0"/>
                <w:sz w:val="24"/>
              </w:rPr>
            </w:pPr>
            <w:r>
              <w:rPr>
                <w:rFonts w:ascii="仿宋_GB2312" w:hAnsi="宋体"/>
                <w:sz w:val="21"/>
                <w:szCs w:val="21"/>
              </w:rPr>
              <w:t>1</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59E95618">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秩序维护员</w:t>
            </w:r>
          </w:p>
        </w:tc>
        <w:tc>
          <w:tcPr>
            <w:tcW w:w="988" w:type="pct"/>
            <w:tcBorders>
              <w:top w:val="single" w:color="auto" w:sz="4" w:space="0"/>
              <w:left w:val="single" w:color="auto" w:sz="4" w:space="0"/>
              <w:bottom w:val="single" w:color="auto" w:sz="4" w:space="0"/>
              <w:right w:val="single" w:color="auto" w:sz="4" w:space="0"/>
            </w:tcBorders>
            <w:noWrap w:val="0"/>
            <w:vAlign w:val="center"/>
          </w:tcPr>
          <w:p w14:paraId="421962D0">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4人</w:t>
            </w:r>
          </w:p>
        </w:tc>
        <w:tc>
          <w:tcPr>
            <w:tcW w:w="1976" w:type="pct"/>
            <w:tcBorders>
              <w:top w:val="single" w:color="auto" w:sz="4" w:space="0"/>
              <w:left w:val="single" w:color="auto" w:sz="4" w:space="0"/>
              <w:bottom w:val="single" w:color="auto" w:sz="4" w:space="0"/>
              <w:right w:val="single" w:color="auto" w:sz="4" w:space="0"/>
            </w:tcBorders>
            <w:noWrap w:val="0"/>
            <w:vAlign w:val="center"/>
          </w:tcPr>
          <w:p w14:paraId="6E1C3CA7">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周一至周日，三班倒，四人轮流交换上班</w:t>
            </w:r>
          </w:p>
        </w:tc>
        <w:tc>
          <w:tcPr>
            <w:tcW w:w="610" w:type="pct"/>
            <w:tcBorders>
              <w:top w:val="single" w:color="auto" w:sz="4" w:space="0"/>
              <w:left w:val="single" w:color="auto" w:sz="4" w:space="0"/>
              <w:bottom w:val="single" w:color="auto" w:sz="4" w:space="0"/>
              <w:right w:val="single" w:color="auto" w:sz="4" w:space="0"/>
            </w:tcBorders>
            <w:noWrap w:val="0"/>
            <w:vAlign w:val="center"/>
          </w:tcPr>
          <w:p w14:paraId="4EBC6324">
            <w:pPr>
              <w:widowControl/>
              <w:snapToGrid w:val="0"/>
              <w:spacing w:line="400" w:lineRule="exact"/>
              <w:ind w:right="64" w:rightChars="20" w:firstLine="480"/>
              <w:jc w:val="center"/>
              <w:rPr>
                <w:rFonts w:ascii="仿宋_GB2312" w:hAnsi="宋体"/>
                <w:kern w:val="0"/>
                <w:sz w:val="24"/>
              </w:rPr>
            </w:pPr>
          </w:p>
        </w:tc>
      </w:tr>
      <w:tr w14:paraId="4F46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 w:type="pct"/>
            <w:tcBorders>
              <w:top w:val="single" w:color="auto" w:sz="4" w:space="0"/>
              <w:left w:val="single" w:color="auto" w:sz="4" w:space="0"/>
              <w:bottom w:val="single" w:color="auto" w:sz="4" w:space="0"/>
              <w:right w:val="single" w:color="auto" w:sz="4" w:space="0"/>
            </w:tcBorders>
            <w:noWrap w:val="0"/>
            <w:vAlign w:val="center"/>
          </w:tcPr>
          <w:p w14:paraId="62341266">
            <w:pPr>
              <w:widowControl/>
              <w:snapToGrid w:val="0"/>
              <w:spacing w:line="400" w:lineRule="exact"/>
              <w:ind w:firstLine="0" w:firstLineChars="0"/>
              <w:jc w:val="center"/>
              <w:rPr>
                <w:rFonts w:ascii="仿宋_GB2312" w:hAnsi="宋体"/>
                <w:kern w:val="0"/>
                <w:sz w:val="24"/>
              </w:rPr>
            </w:pPr>
            <w:r>
              <w:rPr>
                <w:rFonts w:ascii="仿宋_GB2312" w:hAnsi="宋体"/>
                <w:sz w:val="21"/>
                <w:szCs w:val="21"/>
              </w:rPr>
              <w:t>2</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477C98C0">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保洁员</w:t>
            </w:r>
          </w:p>
        </w:tc>
        <w:tc>
          <w:tcPr>
            <w:tcW w:w="988" w:type="pct"/>
            <w:tcBorders>
              <w:top w:val="single" w:color="auto" w:sz="4" w:space="0"/>
              <w:left w:val="single" w:color="auto" w:sz="4" w:space="0"/>
              <w:bottom w:val="single" w:color="auto" w:sz="4" w:space="0"/>
              <w:right w:val="single" w:color="auto" w:sz="4" w:space="0"/>
            </w:tcBorders>
            <w:noWrap w:val="0"/>
            <w:vAlign w:val="center"/>
          </w:tcPr>
          <w:p w14:paraId="2B44FB01">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1人</w:t>
            </w:r>
          </w:p>
        </w:tc>
        <w:tc>
          <w:tcPr>
            <w:tcW w:w="1976" w:type="pct"/>
            <w:tcBorders>
              <w:top w:val="single" w:color="auto" w:sz="4" w:space="0"/>
              <w:left w:val="single" w:color="auto" w:sz="4" w:space="0"/>
              <w:bottom w:val="single" w:color="auto" w:sz="4" w:space="0"/>
              <w:right w:val="single" w:color="auto" w:sz="4" w:space="0"/>
            </w:tcBorders>
            <w:noWrap w:val="0"/>
            <w:vAlign w:val="center"/>
          </w:tcPr>
          <w:p w14:paraId="556485DF">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上午8:00-12:00</w:t>
            </w:r>
          </w:p>
          <w:p w14:paraId="1401EE21">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下午15:00-18:00</w:t>
            </w:r>
          </w:p>
        </w:tc>
        <w:tc>
          <w:tcPr>
            <w:tcW w:w="610" w:type="pct"/>
            <w:tcBorders>
              <w:top w:val="single" w:color="auto" w:sz="4" w:space="0"/>
              <w:left w:val="single" w:color="auto" w:sz="4" w:space="0"/>
              <w:bottom w:val="single" w:color="auto" w:sz="4" w:space="0"/>
              <w:right w:val="single" w:color="auto" w:sz="4" w:space="0"/>
            </w:tcBorders>
            <w:noWrap w:val="0"/>
            <w:vAlign w:val="center"/>
          </w:tcPr>
          <w:p w14:paraId="6CEEE16A">
            <w:pPr>
              <w:widowControl/>
              <w:snapToGrid w:val="0"/>
              <w:spacing w:line="400" w:lineRule="exact"/>
              <w:ind w:right="64" w:rightChars="20" w:firstLine="480"/>
              <w:jc w:val="center"/>
              <w:rPr>
                <w:rFonts w:ascii="仿宋_GB2312" w:hAnsi="宋体"/>
                <w:kern w:val="0"/>
                <w:sz w:val="24"/>
              </w:rPr>
            </w:pPr>
          </w:p>
        </w:tc>
      </w:tr>
      <w:tr w14:paraId="0956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6" w:type="pct"/>
            <w:tcBorders>
              <w:top w:val="single" w:color="auto" w:sz="4" w:space="0"/>
              <w:left w:val="single" w:color="auto" w:sz="4" w:space="0"/>
              <w:bottom w:val="single" w:color="auto" w:sz="4" w:space="0"/>
              <w:right w:val="single" w:color="auto" w:sz="4" w:space="0"/>
            </w:tcBorders>
            <w:noWrap w:val="0"/>
            <w:vAlign w:val="center"/>
          </w:tcPr>
          <w:p w14:paraId="080E4085">
            <w:pPr>
              <w:widowControl/>
              <w:snapToGrid w:val="0"/>
              <w:spacing w:line="400" w:lineRule="exact"/>
              <w:ind w:firstLine="0" w:firstLineChars="0"/>
              <w:jc w:val="center"/>
              <w:rPr>
                <w:rFonts w:ascii="仿宋_GB2312" w:hAnsi="宋体"/>
                <w:kern w:val="0"/>
                <w:sz w:val="24"/>
              </w:rPr>
            </w:pPr>
            <w:r>
              <w:rPr>
                <w:rFonts w:ascii="仿宋_GB2312" w:hAnsi="宋体"/>
                <w:sz w:val="21"/>
                <w:szCs w:val="21"/>
              </w:rPr>
              <w:t>3</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37014758">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绿化员</w:t>
            </w:r>
          </w:p>
        </w:tc>
        <w:tc>
          <w:tcPr>
            <w:tcW w:w="988" w:type="pct"/>
            <w:tcBorders>
              <w:top w:val="single" w:color="auto" w:sz="4" w:space="0"/>
              <w:left w:val="single" w:color="auto" w:sz="4" w:space="0"/>
              <w:bottom w:val="single" w:color="auto" w:sz="4" w:space="0"/>
              <w:right w:val="single" w:color="auto" w:sz="4" w:space="0"/>
            </w:tcBorders>
            <w:noWrap w:val="0"/>
            <w:vAlign w:val="center"/>
          </w:tcPr>
          <w:p w14:paraId="3E164D29">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1人</w:t>
            </w:r>
          </w:p>
        </w:tc>
        <w:tc>
          <w:tcPr>
            <w:tcW w:w="1976" w:type="pct"/>
            <w:tcBorders>
              <w:top w:val="single" w:color="auto" w:sz="4" w:space="0"/>
              <w:left w:val="single" w:color="auto" w:sz="4" w:space="0"/>
              <w:bottom w:val="single" w:color="auto" w:sz="4" w:space="0"/>
              <w:right w:val="single" w:color="auto" w:sz="4" w:space="0"/>
            </w:tcBorders>
            <w:noWrap w:val="0"/>
            <w:vAlign w:val="center"/>
          </w:tcPr>
          <w:p w14:paraId="0BA8DE5A">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上午8:00-12:00</w:t>
            </w:r>
          </w:p>
          <w:p w14:paraId="44E47342">
            <w:pPr>
              <w:widowControl/>
              <w:snapToGrid w:val="0"/>
              <w:spacing w:line="400" w:lineRule="exact"/>
              <w:ind w:left="1" w:right="64" w:rightChars="20" w:firstLine="420"/>
              <w:jc w:val="center"/>
              <w:rPr>
                <w:rFonts w:ascii="仿宋_GB2312" w:hAnsi="仿宋"/>
                <w:kern w:val="0"/>
                <w:sz w:val="24"/>
              </w:rPr>
            </w:pPr>
            <w:r>
              <w:rPr>
                <w:rFonts w:ascii="仿宋_GB2312" w:hAnsi="仿宋"/>
                <w:sz w:val="21"/>
                <w:szCs w:val="21"/>
              </w:rPr>
              <w:t>下午15:00-18:00</w:t>
            </w:r>
          </w:p>
        </w:tc>
        <w:tc>
          <w:tcPr>
            <w:tcW w:w="610" w:type="pct"/>
            <w:tcBorders>
              <w:top w:val="single" w:color="auto" w:sz="4" w:space="0"/>
              <w:left w:val="single" w:color="auto" w:sz="4" w:space="0"/>
              <w:bottom w:val="single" w:color="auto" w:sz="4" w:space="0"/>
              <w:right w:val="single" w:color="auto" w:sz="4" w:space="0"/>
            </w:tcBorders>
            <w:noWrap w:val="0"/>
            <w:vAlign w:val="center"/>
          </w:tcPr>
          <w:p w14:paraId="0E5C17BC">
            <w:pPr>
              <w:widowControl/>
              <w:snapToGrid w:val="0"/>
              <w:spacing w:line="400" w:lineRule="exact"/>
              <w:ind w:right="64" w:rightChars="20" w:firstLine="480"/>
              <w:jc w:val="center"/>
              <w:rPr>
                <w:rFonts w:ascii="仿宋_GB2312" w:hAnsi="宋体"/>
                <w:kern w:val="0"/>
                <w:sz w:val="24"/>
              </w:rPr>
            </w:pPr>
          </w:p>
        </w:tc>
      </w:tr>
      <w:tr w14:paraId="0219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pct"/>
            <w:gridSpan w:val="3"/>
            <w:tcBorders>
              <w:top w:val="single" w:color="auto" w:sz="4" w:space="0"/>
              <w:left w:val="single" w:color="auto" w:sz="4" w:space="0"/>
              <w:bottom w:val="single" w:color="auto" w:sz="4" w:space="0"/>
              <w:right w:val="single" w:color="auto" w:sz="4" w:space="0"/>
            </w:tcBorders>
            <w:noWrap w:val="0"/>
            <w:vAlign w:val="center"/>
          </w:tcPr>
          <w:p w14:paraId="0B0C25E2">
            <w:pPr>
              <w:widowControl/>
              <w:snapToGrid w:val="0"/>
              <w:spacing w:line="400" w:lineRule="exact"/>
              <w:ind w:right="64" w:rightChars="20" w:firstLine="420"/>
              <w:jc w:val="center"/>
              <w:rPr>
                <w:rFonts w:ascii="仿宋_GB2312" w:hAnsi="仿宋" w:cs="宋体"/>
                <w:kern w:val="0"/>
                <w:sz w:val="24"/>
              </w:rPr>
            </w:pPr>
            <w:r>
              <w:rPr>
                <w:rFonts w:ascii="仿宋_GB2312" w:hAnsi="仿宋"/>
                <w:sz w:val="21"/>
                <w:szCs w:val="21"/>
              </w:rPr>
              <w:t>合计</w:t>
            </w:r>
          </w:p>
        </w:tc>
        <w:tc>
          <w:tcPr>
            <w:tcW w:w="2586" w:type="pct"/>
            <w:gridSpan w:val="2"/>
            <w:tcBorders>
              <w:top w:val="single" w:color="auto" w:sz="4" w:space="0"/>
              <w:left w:val="single" w:color="auto" w:sz="4" w:space="0"/>
              <w:bottom w:val="single" w:color="auto" w:sz="4" w:space="0"/>
              <w:right w:val="single" w:color="auto" w:sz="4" w:space="0"/>
            </w:tcBorders>
            <w:noWrap w:val="0"/>
            <w:vAlign w:val="center"/>
          </w:tcPr>
          <w:p w14:paraId="2EFE1F61">
            <w:pPr>
              <w:widowControl/>
              <w:snapToGrid w:val="0"/>
              <w:spacing w:line="400" w:lineRule="exact"/>
              <w:ind w:right="64" w:rightChars="20" w:firstLine="420"/>
              <w:jc w:val="center"/>
              <w:rPr>
                <w:rFonts w:ascii="仿宋_GB2312" w:hAnsi="仿宋" w:cs="宋体"/>
                <w:kern w:val="0"/>
                <w:sz w:val="24"/>
              </w:rPr>
            </w:pPr>
            <w:r>
              <w:rPr>
                <w:rFonts w:ascii="仿宋_GB2312" w:hAnsi="仿宋"/>
                <w:sz w:val="21"/>
                <w:szCs w:val="21"/>
              </w:rPr>
              <w:t>6人</w:t>
            </w:r>
          </w:p>
        </w:tc>
      </w:tr>
    </w:tbl>
    <w:p w14:paraId="1698D00F">
      <w:pPr>
        <w:widowControl/>
        <w:snapToGrid w:val="0"/>
        <w:spacing w:line="400" w:lineRule="exact"/>
        <w:ind w:right="64" w:rightChars="20" w:firstLine="422"/>
        <w:rPr>
          <w:rFonts w:hint="eastAsia" w:ascii="仿宋_GB2312" w:hAnsi="宋体" w:cs="Times New Roman"/>
          <w:b/>
          <w:bCs/>
          <w:sz w:val="21"/>
          <w:szCs w:val="21"/>
          <w:lang w:eastAsia="zh-CN"/>
        </w:rPr>
      </w:pPr>
      <w:r>
        <w:rPr>
          <w:rFonts w:hint="eastAsia" w:ascii="仿宋_GB2312" w:hAnsi="宋体" w:cs="Times New Roman"/>
          <w:b/>
          <w:bCs/>
          <w:sz w:val="21"/>
          <w:szCs w:val="21"/>
          <w:lang w:eastAsia="zh-CN"/>
        </w:rPr>
        <w:t>（二）收费支出要求</w:t>
      </w:r>
    </w:p>
    <w:p w14:paraId="711C177F">
      <w:pPr>
        <w:widowControl/>
        <w:snapToGrid w:val="0"/>
        <w:spacing w:line="400" w:lineRule="exact"/>
        <w:ind w:right="64" w:rightChars="20" w:firstLine="422"/>
        <w:rPr>
          <w:rFonts w:hint="default" w:ascii="仿宋_GB2312" w:hAnsi="宋体" w:cs="Times New Roman"/>
          <w:sz w:val="21"/>
          <w:szCs w:val="21"/>
        </w:rPr>
      </w:pPr>
      <w:r>
        <w:rPr>
          <w:rFonts w:ascii="仿宋_GB2312" w:hAnsi="宋体" w:cs="Times New Roman"/>
          <w:sz w:val="21"/>
          <w:szCs w:val="21"/>
        </w:rPr>
        <w:t>供应商代采购人设置收费规范及发布收费公告，并向院内业主收取每平方米0.4元的物业费（含公共水电费），按相关规定收取停车费(工作人员和军休干部车辆除外)，该费用由供应商支配</w:t>
      </w:r>
      <w:r>
        <w:rPr>
          <w:rFonts w:hint="eastAsia" w:ascii="仿宋_GB2312" w:hAnsi="宋体" w:cs="Times New Roman"/>
          <w:sz w:val="21"/>
          <w:szCs w:val="21"/>
        </w:rPr>
        <w:t>。</w:t>
      </w:r>
      <w:r>
        <w:rPr>
          <w:rFonts w:ascii="仿宋_GB2312" w:hAnsi="宋体" w:cs="Times New Roman"/>
          <w:sz w:val="21"/>
          <w:szCs w:val="21"/>
        </w:rPr>
        <w:t>供应商必须支付公共区域</w:t>
      </w:r>
      <w:r>
        <w:rPr>
          <w:rFonts w:hint="default" w:ascii="仿宋_GB2312" w:hAnsi="宋体" w:cs="Times New Roman"/>
          <w:sz w:val="21"/>
          <w:szCs w:val="21"/>
        </w:rPr>
        <w:t>用水用电费用</w:t>
      </w:r>
      <w:r>
        <w:rPr>
          <w:rFonts w:ascii="仿宋_GB2312" w:hAnsi="宋体" w:cs="Times New Roman"/>
          <w:sz w:val="21"/>
          <w:szCs w:val="21"/>
        </w:rPr>
        <w:t>；公共区域水电表后设施</w:t>
      </w:r>
      <w:r>
        <w:rPr>
          <w:rFonts w:hint="default" w:ascii="仿宋_GB2312" w:hAnsi="宋体" w:cs="Times New Roman"/>
          <w:sz w:val="21"/>
          <w:szCs w:val="21"/>
        </w:rPr>
        <w:t>检修费</w:t>
      </w:r>
      <w:r>
        <w:rPr>
          <w:rFonts w:ascii="仿宋_GB2312" w:hAnsi="宋体" w:cs="Times New Roman"/>
          <w:sz w:val="21"/>
          <w:szCs w:val="21"/>
        </w:rPr>
        <w:t>、</w:t>
      </w:r>
      <w:r>
        <w:rPr>
          <w:rFonts w:hint="eastAsia" w:ascii="仿宋_GB2312" w:hAnsi="宋体" w:cs="Times New Roman"/>
          <w:sz w:val="21"/>
          <w:szCs w:val="21"/>
        </w:rPr>
        <w:t>耗材费；</w:t>
      </w:r>
      <w:r>
        <w:rPr>
          <w:rFonts w:ascii="仿宋_GB2312" w:hAnsi="宋体" w:cs="Times New Roman"/>
          <w:sz w:val="21"/>
          <w:szCs w:val="21"/>
        </w:rPr>
        <w:t>电动车充电费及设施维护费；</w:t>
      </w:r>
      <w:r>
        <w:rPr>
          <w:rFonts w:hint="default" w:ascii="仿宋_GB2312" w:hAnsi="宋体" w:cs="Times New Roman"/>
          <w:sz w:val="21"/>
          <w:szCs w:val="21"/>
        </w:rPr>
        <w:t>节能管理</w:t>
      </w:r>
      <w:r>
        <w:rPr>
          <w:rFonts w:hint="eastAsia" w:ascii="仿宋_GB2312" w:hAnsi="宋体" w:cs="Times New Roman"/>
          <w:sz w:val="21"/>
          <w:szCs w:val="21"/>
          <w:lang w:eastAsia="zh-CN"/>
        </w:rPr>
        <w:t>；6栋军休干部住宅楼公共区域清洁维护费用（其中</w:t>
      </w:r>
      <w:r>
        <w:rPr>
          <w:rFonts w:hint="eastAsia" w:ascii="仿宋_GB2312" w:hAnsi="宋体" w:cs="Times New Roman"/>
          <w:sz w:val="21"/>
          <w:szCs w:val="21"/>
          <w:lang w:val="en-US" w:eastAsia="zh-CN"/>
        </w:rPr>
        <w:t>4</w:t>
      </w:r>
      <w:r>
        <w:rPr>
          <w:rFonts w:hint="eastAsia" w:ascii="仿宋_GB2312" w:hAnsi="宋体" w:cs="Times New Roman"/>
          <w:sz w:val="21"/>
          <w:szCs w:val="21"/>
          <w:lang w:eastAsia="zh-CN"/>
        </w:rPr>
        <w:t>栋为四层、</w:t>
      </w:r>
      <w:r>
        <w:rPr>
          <w:rFonts w:hint="eastAsia" w:ascii="仿宋_GB2312" w:hAnsi="宋体" w:cs="Times New Roman"/>
          <w:sz w:val="21"/>
          <w:szCs w:val="21"/>
          <w:lang w:val="en-US" w:eastAsia="zh-CN"/>
        </w:rPr>
        <w:t>1</w:t>
      </w:r>
      <w:r>
        <w:rPr>
          <w:rFonts w:hint="eastAsia" w:ascii="仿宋_GB2312" w:hAnsi="宋体" w:cs="Times New Roman"/>
          <w:sz w:val="21"/>
          <w:szCs w:val="21"/>
          <w:lang w:eastAsia="zh-CN"/>
        </w:rPr>
        <w:t>栋为三层、</w:t>
      </w:r>
      <w:r>
        <w:rPr>
          <w:rFonts w:hint="eastAsia" w:ascii="仿宋_GB2312" w:hAnsi="宋体" w:cs="Times New Roman"/>
          <w:sz w:val="21"/>
          <w:szCs w:val="21"/>
          <w:lang w:val="en-US" w:eastAsia="zh-CN"/>
        </w:rPr>
        <w:t>1</w:t>
      </w:r>
      <w:r>
        <w:rPr>
          <w:rFonts w:hint="eastAsia" w:ascii="仿宋_GB2312" w:hAnsi="宋体" w:cs="Times New Roman"/>
          <w:sz w:val="21"/>
          <w:szCs w:val="21"/>
          <w:lang w:eastAsia="zh-CN"/>
        </w:rPr>
        <w:t>栋为五层）</w:t>
      </w:r>
      <w:r>
        <w:rPr>
          <w:rFonts w:hint="default" w:ascii="仿宋_GB2312" w:hAnsi="宋体" w:cs="Times New Roman"/>
          <w:sz w:val="21"/>
          <w:szCs w:val="21"/>
        </w:rPr>
        <w:t>等，每半年向采购人汇报物业费收支情况。</w:t>
      </w:r>
    </w:p>
    <w:p w14:paraId="07D0133B">
      <w:pPr>
        <w:widowControl/>
        <w:snapToGrid w:val="0"/>
        <w:spacing w:line="400" w:lineRule="exact"/>
        <w:ind w:right="64" w:rightChars="20" w:firstLineChars="0"/>
        <w:rPr>
          <w:rStyle w:val="4"/>
          <w:rFonts w:hint="default" w:ascii="仿宋_GB2312" w:eastAsia="仿宋_GB2312"/>
          <w:b/>
          <w:sz w:val="24"/>
          <w:szCs w:val="24"/>
        </w:rPr>
      </w:pPr>
    </w:p>
    <w:p w14:paraId="3A131B1C">
      <w:pPr>
        <w:widowControl/>
        <w:snapToGrid w:val="0"/>
        <w:spacing w:line="400" w:lineRule="exact"/>
        <w:ind w:right="64" w:rightChars="20" w:firstLineChars="0"/>
        <w:rPr>
          <w:rStyle w:val="4"/>
          <w:rFonts w:hint="default" w:ascii="仿宋_GB2312" w:eastAsia="仿宋_GB2312"/>
          <w:b/>
          <w:sz w:val="24"/>
          <w:szCs w:val="24"/>
        </w:rPr>
      </w:pPr>
    </w:p>
    <w:p w14:paraId="2E87E859">
      <w:pPr>
        <w:widowControl/>
        <w:snapToGrid w:val="0"/>
        <w:spacing w:line="400" w:lineRule="exact"/>
        <w:ind w:right="64" w:rightChars="20" w:firstLineChars="0"/>
        <w:rPr>
          <w:rStyle w:val="4"/>
          <w:rFonts w:hint="default" w:ascii="仿宋_GB2312" w:eastAsia="仿宋_GB2312"/>
          <w:b/>
          <w:sz w:val="24"/>
          <w:szCs w:val="24"/>
        </w:rPr>
      </w:pPr>
    </w:p>
    <w:p w14:paraId="296171CD">
      <w:pPr>
        <w:snapToGrid w:val="0"/>
        <w:spacing w:line="400" w:lineRule="exact"/>
        <w:ind w:right="64" w:rightChars="20" w:firstLine="422"/>
        <w:rPr>
          <w:rFonts w:ascii="仿宋_GB2312" w:hAnsi="宋体" w:cs="宋体"/>
          <w:b/>
          <w:kern w:val="0"/>
          <w:sz w:val="24"/>
        </w:rPr>
      </w:pPr>
      <w:r>
        <w:rPr>
          <w:rFonts w:ascii="仿宋_GB2312" w:hAnsi="宋体"/>
          <w:b/>
          <w:sz w:val="21"/>
          <w:szCs w:val="21"/>
        </w:rPr>
        <w:t>（</w:t>
      </w:r>
      <w:r>
        <w:rPr>
          <w:rFonts w:hint="eastAsia" w:ascii="仿宋_GB2312" w:hAnsi="宋体"/>
          <w:b/>
          <w:sz w:val="21"/>
          <w:szCs w:val="21"/>
          <w:lang w:eastAsia="zh-CN"/>
        </w:rPr>
        <w:t>三</w:t>
      </w:r>
      <w:r>
        <w:rPr>
          <w:rFonts w:ascii="仿宋_GB2312" w:hAnsi="宋体"/>
          <w:b/>
          <w:sz w:val="21"/>
          <w:szCs w:val="21"/>
        </w:rPr>
        <w:t>）岗位人员素质</w:t>
      </w:r>
      <w:r>
        <w:rPr>
          <w:rFonts w:hint="eastAsia" w:ascii="仿宋_GB2312" w:hAnsi="宋体"/>
          <w:b/>
          <w:sz w:val="21"/>
          <w:szCs w:val="21"/>
          <w:lang w:eastAsia="zh-CN"/>
        </w:rPr>
        <w:t>及</w:t>
      </w:r>
      <w:r>
        <w:rPr>
          <w:rFonts w:ascii="仿宋_GB2312" w:hAnsi="宋体"/>
          <w:b/>
          <w:sz w:val="21"/>
          <w:szCs w:val="21"/>
        </w:rPr>
        <w:t>要求</w:t>
      </w:r>
    </w:p>
    <w:p w14:paraId="4C355208">
      <w:pPr>
        <w:snapToGrid w:val="0"/>
        <w:spacing w:line="400" w:lineRule="exact"/>
        <w:ind w:right="64" w:rightChars="20" w:firstLine="480"/>
        <w:rPr>
          <w:rFonts w:ascii="仿宋_GB2312"/>
          <w:kern w:val="0"/>
          <w:sz w:val="24"/>
        </w:rPr>
      </w:pPr>
      <w:r>
        <w:rPr>
          <w:rFonts w:ascii="仿宋_GB2312" w:hAnsi="宋体"/>
          <w:kern w:val="0"/>
          <w:sz w:val="24"/>
        </w:rPr>
        <w:t>1.秩序维护员：身高不限，年龄55周岁以下，身体健康，无不良嗜好。秩序维护员须具备有效的《保安员证》，进场时提供证件原件给采购人进行核验。</w:t>
      </w:r>
    </w:p>
    <w:p w14:paraId="39B37DD5">
      <w:pPr>
        <w:snapToGrid w:val="0"/>
        <w:spacing w:line="400" w:lineRule="exact"/>
        <w:ind w:right="64" w:rightChars="20" w:firstLine="480"/>
        <w:rPr>
          <w:rFonts w:ascii="仿宋_GB2312"/>
          <w:kern w:val="0"/>
          <w:sz w:val="24"/>
        </w:rPr>
      </w:pPr>
      <w:r>
        <w:rPr>
          <w:rFonts w:ascii="仿宋_GB2312" w:hAnsi="宋体"/>
          <w:kern w:val="0"/>
          <w:sz w:val="24"/>
        </w:rPr>
        <w:t>2.保洁员:身高不限，年龄55周岁以下，身体健康，无不良嗜好。</w:t>
      </w:r>
    </w:p>
    <w:p w14:paraId="18647CA1">
      <w:pPr>
        <w:snapToGrid w:val="0"/>
        <w:spacing w:line="400" w:lineRule="exact"/>
        <w:ind w:right="64" w:rightChars="20" w:firstLine="480"/>
        <w:rPr>
          <w:rFonts w:ascii="仿宋_GB2312"/>
          <w:kern w:val="0"/>
          <w:sz w:val="24"/>
        </w:rPr>
      </w:pPr>
      <w:r>
        <w:rPr>
          <w:rFonts w:ascii="仿宋_GB2312" w:hAnsi="宋体"/>
          <w:kern w:val="0"/>
          <w:sz w:val="24"/>
        </w:rPr>
        <w:t>3.绿化员：身高不限，年龄 55 周岁以下，身体健康，无不良嗜好。具有相关工作经验。</w:t>
      </w:r>
    </w:p>
    <w:p w14:paraId="13122B71">
      <w:pPr>
        <w:snapToGrid w:val="0"/>
        <w:spacing w:line="400" w:lineRule="exact"/>
        <w:ind w:right="64" w:rightChars="20" w:firstLine="482"/>
        <w:rPr>
          <w:rFonts w:ascii="仿宋_GB2312"/>
          <w:kern w:val="0"/>
          <w:sz w:val="24"/>
        </w:rPr>
      </w:pPr>
      <w:r>
        <w:rPr>
          <w:rFonts w:hint="eastAsia" w:ascii="仿宋_GB2312" w:hAnsi="宋体"/>
          <w:b/>
          <w:bCs/>
          <w:sz w:val="24"/>
          <w:lang w:val="en-US" w:eastAsia="zh-CN"/>
        </w:rPr>
        <w:t>4</w:t>
      </w:r>
      <w:r>
        <w:rPr>
          <w:rFonts w:ascii="仿宋_GB2312" w:hAnsi="宋体"/>
          <w:sz w:val="24"/>
        </w:rPr>
        <w:t>.</w:t>
      </w:r>
      <w:r>
        <w:rPr>
          <w:rFonts w:ascii="仿宋_GB2312" w:hAnsi="宋体"/>
          <w:kern w:val="0"/>
          <w:sz w:val="24"/>
        </w:rPr>
        <w:t>供应商必须按需求配备服务人员，所有服务人员上岗须统一着装。</w:t>
      </w:r>
    </w:p>
    <w:p w14:paraId="3A2606CC">
      <w:pPr>
        <w:snapToGrid w:val="0"/>
        <w:spacing w:line="400" w:lineRule="exact"/>
        <w:ind w:right="64" w:rightChars="20" w:firstLine="480"/>
        <w:rPr>
          <w:rFonts w:ascii="仿宋_GB2312"/>
          <w:kern w:val="0"/>
          <w:sz w:val="24"/>
        </w:rPr>
      </w:pPr>
      <w:r>
        <w:rPr>
          <w:rFonts w:hint="eastAsia" w:ascii="仿宋_GB2312" w:hAnsi="宋体"/>
          <w:kern w:val="0"/>
          <w:sz w:val="24"/>
          <w:lang w:val="en-US" w:eastAsia="zh-CN"/>
        </w:rPr>
        <w:t>5</w:t>
      </w:r>
      <w:r>
        <w:rPr>
          <w:rFonts w:ascii="仿宋_GB2312" w:hAnsi="宋体"/>
          <w:kern w:val="0"/>
          <w:sz w:val="24"/>
        </w:rPr>
        <w:t>.为保持队伍稳定性，服务人员每月的流动不得超过1人，未经采购人同意不得抽调人员从事本项目以外的其它任务。</w:t>
      </w:r>
    </w:p>
    <w:p w14:paraId="7C025EE8">
      <w:pPr>
        <w:snapToGrid w:val="0"/>
        <w:spacing w:line="400" w:lineRule="exact"/>
        <w:ind w:right="64" w:rightChars="20" w:firstLine="480"/>
        <w:rPr>
          <w:rFonts w:ascii="仿宋_GB2312"/>
          <w:kern w:val="0"/>
          <w:sz w:val="24"/>
        </w:rPr>
      </w:pPr>
      <w:r>
        <w:rPr>
          <w:rFonts w:hint="eastAsia" w:ascii="仿宋_GB2312" w:hAnsi="宋体"/>
          <w:kern w:val="0"/>
          <w:sz w:val="24"/>
          <w:lang w:val="en-US" w:eastAsia="zh-CN"/>
        </w:rPr>
        <w:t>6</w:t>
      </w:r>
      <w:r>
        <w:rPr>
          <w:rFonts w:ascii="仿宋_GB2312" w:hAnsi="宋体"/>
          <w:kern w:val="0"/>
          <w:sz w:val="24"/>
        </w:rPr>
        <w:t>.成交供应商就本项目所派驻的全部服务人员必须为专职服务人员。</w:t>
      </w:r>
    </w:p>
    <w:p w14:paraId="3AC11CF7">
      <w:pPr>
        <w:snapToGrid w:val="0"/>
        <w:spacing w:line="400" w:lineRule="exact"/>
        <w:ind w:right="64" w:rightChars="20" w:firstLine="480"/>
        <w:rPr>
          <w:rFonts w:ascii="仿宋_GB2312"/>
          <w:kern w:val="0"/>
          <w:sz w:val="24"/>
        </w:rPr>
      </w:pPr>
      <w:r>
        <w:rPr>
          <w:rFonts w:hint="eastAsia" w:ascii="仿宋_GB2312" w:hAnsi="宋体"/>
          <w:kern w:val="0"/>
          <w:sz w:val="24"/>
          <w:lang w:val="en-US" w:eastAsia="zh-CN"/>
        </w:rPr>
        <w:t>7</w:t>
      </w:r>
      <w:r>
        <w:rPr>
          <w:rFonts w:ascii="仿宋_GB2312" w:hAnsi="宋体"/>
          <w:kern w:val="0"/>
          <w:sz w:val="24"/>
        </w:rPr>
        <w:t>.进场时由采购人按采购需求和供应商响应文件对所有服务人员的相关证明材料原件(如工作证明材料、资格证书、身份证等)进行验证，达不到要求的将不予验收。</w:t>
      </w:r>
    </w:p>
    <w:p w14:paraId="5BB81F16">
      <w:pPr>
        <w:widowControl/>
        <w:snapToGrid w:val="0"/>
        <w:spacing w:line="400" w:lineRule="exact"/>
        <w:ind w:left="-1" w:right="64" w:rightChars="20" w:firstLine="422"/>
        <w:rPr>
          <w:rFonts w:ascii="仿宋_GB2312" w:hAnsi="宋体" w:cs="宋体"/>
          <w:b/>
          <w:kern w:val="0"/>
          <w:sz w:val="24"/>
        </w:rPr>
      </w:pPr>
      <w:r>
        <w:rPr>
          <w:rFonts w:ascii="仿宋_GB2312" w:hAnsi="宋体"/>
          <w:b/>
          <w:sz w:val="21"/>
          <w:szCs w:val="21"/>
        </w:rPr>
        <w:t>三、物业服务内容</w:t>
      </w:r>
    </w:p>
    <w:p w14:paraId="1A3A26B2">
      <w:pPr>
        <w:widowControl/>
        <w:snapToGrid w:val="0"/>
        <w:spacing w:line="400" w:lineRule="exact"/>
        <w:ind w:right="64" w:rightChars="20" w:firstLine="422"/>
        <w:rPr>
          <w:rFonts w:ascii="仿宋_GB2312" w:hAnsi="宋体" w:cs="宋体"/>
          <w:kern w:val="0"/>
          <w:sz w:val="24"/>
        </w:rPr>
      </w:pPr>
      <w:r>
        <w:rPr>
          <w:rFonts w:ascii="仿宋_GB2312" w:hAnsi="宋体"/>
          <w:b/>
          <w:bCs/>
          <w:sz w:val="21"/>
          <w:szCs w:val="21"/>
        </w:rPr>
        <w:t>（一）秩序维护员</w:t>
      </w:r>
    </w:p>
    <w:p w14:paraId="521B85D8">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1.工作职责及主要工作内容</w:t>
      </w:r>
    </w:p>
    <w:p w14:paraId="5DA711D9">
      <w:pPr>
        <w:snapToGrid w:val="0"/>
        <w:spacing w:line="400" w:lineRule="exact"/>
        <w:ind w:right="64" w:rightChars="20" w:firstLine="480"/>
        <w:rPr>
          <w:rFonts w:ascii="仿宋_GB2312"/>
          <w:kern w:val="0"/>
          <w:sz w:val="24"/>
        </w:rPr>
      </w:pPr>
      <w:r>
        <w:rPr>
          <w:rFonts w:ascii="仿宋_GB2312" w:hAnsi="宋体"/>
          <w:kern w:val="0"/>
          <w:sz w:val="24"/>
        </w:rPr>
        <w:t>（1）主出入口24小时站岗值勤，内部人员、职工进出不需要登记，自行刷卡进入，外来人员进出须登记。</w:t>
      </w:r>
    </w:p>
    <w:p w14:paraId="3D73874F">
      <w:pPr>
        <w:snapToGrid w:val="0"/>
        <w:spacing w:line="400" w:lineRule="exact"/>
        <w:ind w:right="64" w:rightChars="20" w:firstLine="480"/>
        <w:rPr>
          <w:rFonts w:ascii="仿宋_GB2312"/>
          <w:kern w:val="0"/>
          <w:sz w:val="24"/>
        </w:rPr>
      </w:pPr>
      <w:r>
        <w:rPr>
          <w:rFonts w:ascii="仿宋_GB2312" w:hAnsi="宋体"/>
          <w:kern w:val="0"/>
          <w:sz w:val="24"/>
        </w:rPr>
        <w:t>（2）每次换班前半个小时由交班人对重要区域、重点部位进行巡查再进行交接班；配有安全监控设施的，实施24小时监控。</w:t>
      </w:r>
    </w:p>
    <w:p w14:paraId="13D8623B">
      <w:pPr>
        <w:snapToGrid w:val="0"/>
        <w:spacing w:line="400" w:lineRule="exact"/>
        <w:ind w:right="64" w:rightChars="20" w:firstLine="480"/>
        <w:rPr>
          <w:rFonts w:ascii="仿宋_GB2312"/>
          <w:kern w:val="0"/>
          <w:sz w:val="24"/>
        </w:rPr>
      </w:pPr>
      <w:r>
        <w:rPr>
          <w:rFonts w:ascii="仿宋_GB2312" w:hAnsi="宋体"/>
          <w:kern w:val="0"/>
          <w:sz w:val="24"/>
        </w:rPr>
        <w:t>（3）对进出小区的车辆实施证、卡管理，引导车辆有序通行、停放。不允许外围人行道、路口停放车辆，对进入的车辆限距、限重、限速、禁止鸣笛。</w:t>
      </w:r>
    </w:p>
    <w:p w14:paraId="0C117EB2">
      <w:pPr>
        <w:snapToGrid w:val="0"/>
        <w:spacing w:line="400" w:lineRule="exact"/>
        <w:ind w:right="64" w:rightChars="20" w:firstLine="480"/>
        <w:rPr>
          <w:rFonts w:ascii="仿宋_GB2312"/>
          <w:kern w:val="0"/>
          <w:sz w:val="24"/>
        </w:rPr>
      </w:pPr>
      <w:r>
        <w:rPr>
          <w:rFonts w:ascii="仿宋_GB2312" w:hAnsi="宋体"/>
          <w:kern w:val="0"/>
          <w:sz w:val="24"/>
        </w:rPr>
        <w:t>（4）对院内停放车辆、电动自行车等交通工具实行统一管理。一律按照划线停车位规范停放，外来车辆必须按要求登记备案。</w:t>
      </w:r>
    </w:p>
    <w:p w14:paraId="361D3417">
      <w:pPr>
        <w:snapToGrid w:val="0"/>
        <w:spacing w:line="400" w:lineRule="exact"/>
        <w:ind w:right="64" w:rightChars="20" w:firstLine="480"/>
        <w:rPr>
          <w:rFonts w:ascii="仿宋_GB2312"/>
          <w:kern w:val="0"/>
          <w:sz w:val="24"/>
        </w:rPr>
      </w:pPr>
      <w:r>
        <w:rPr>
          <w:rFonts w:ascii="仿宋_GB2312" w:hAnsi="宋体"/>
          <w:kern w:val="0"/>
          <w:sz w:val="24"/>
        </w:rPr>
        <w:t>（5）对进出小区的装修、家政等劳务人员实行临时出入证管理。</w:t>
      </w:r>
    </w:p>
    <w:p w14:paraId="28BD10E2">
      <w:pPr>
        <w:snapToGrid w:val="0"/>
        <w:spacing w:line="400" w:lineRule="exact"/>
        <w:ind w:right="64" w:rightChars="20" w:firstLine="480"/>
        <w:rPr>
          <w:rFonts w:ascii="仿宋_GB2312"/>
          <w:kern w:val="0"/>
          <w:sz w:val="24"/>
        </w:rPr>
      </w:pPr>
      <w:r>
        <w:rPr>
          <w:rFonts w:ascii="仿宋_GB2312" w:hAnsi="宋体"/>
          <w:kern w:val="0"/>
          <w:sz w:val="24"/>
        </w:rPr>
        <w:t>（6）有应急预案，如遇火灾、公共安全、公共卫生等突发事件和紧急事故，应做出快速的反应，采取相应的措施，尽可能减少破坏和损失程度，同时向采购人办公室负责人报告，并协助采购人报案及填写报案记录。</w:t>
      </w:r>
    </w:p>
    <w:p w14:paraId="01FBFA69">
      <w:pPr>
        <w:snapToGrid w:val="0"/>
        <w:spacing w:line="400" w:lineRule="exact"/>
        <w:ind w:right="64" w:rightChars="20" w:firstLine="480"/>
        <w:rPr>
          <w:rFonts w:ascii="仿宋_GB2312"/>
          <w:kern w:val="0"/>
          <w:sz w:val="24"/>
        </w:rPr>
      </w:pPr>
      <w:r>
        <w:rPr>
          <w:rFonts w:ascii="仿宋_GB2312" w:hAnsi="宋体"/>
          <w:kern w:val="0"/>
          <w:sz w:val="24"/>
        </w:rPr>
        <w:t>（7）客服服务要求（采购人将在岗亭内设置物业客服电话）</w:t>
      </w:r>
    </w:p>
    <w:p w14:paraId="65D38A2B">
      <w:pPr>
        <w:snapToGrid w:val="0"/>
        <w:spacing w:line="400" w:lineRule="exact"/>
        <w:ind w:right="64" w:rightChars="20" w:firstLine="480"/>
        <w:rPr>
          <w:rFonts w:ascii="仿宋_GB2312"/>
          <w:kern w:val="0"/>
          <w:sz w:val="24"/>
        </w:rPr>
      </w:pPr>
      <w:r>
        <w:rPr>
          <w:rFonts w:ascii="仿宋_GB2312" w:hAnsi="宋体"/>
          <w:kern w:val="0"/>
          <w:sz w:val="24"/>
        </w:rPr>
        <w:t>1）向小区业主公示日常客服服务电话和24小时服务热线。</w:t>
      </w:r>
    </w:p>
    <w:p w14:paraId="61802E6B">
      <w:pPr>
        <w:snapToGrid w:val="0"/>
        <w:spacing w:line="400" w:lineRule="exact"/>
        <w:ind w:right="64" w:rightChars="20" w:firstLine="480"/>
        <w:rPr>
          <w:rFonts w:ascii="仿宋_GB2312"/>
          <w:kern w:val="0"/>
          <w:sz w:val="24"/>
        </w:rPr>
      </w:pPr>
      <w:r>
        <w:rPr>
          <w:rFonts w:ascii="仿宋_GB2312" w:hAnsi="宋体"/>
          <w:kern w:val="0"/>
          <w:sz w:val="24"/>
        </w:rPr>
        <w:t>2）报修处理服务时间：接到通知后15分钟内到现场，其它报修按双方约定的时间到达现场，负责完整的记录。每月5日前向采购人汇报情况。</w:t>
      </w:r>
    </w:p>
    <w:p w14:paraId="585834D7">
      <w:pPr>
        <w:snapToGrid w:val="0"/>
        <w:spacing w:line="400" w:lineRule="exact"/>
        <w:ind w:right="64" w:rightChars="20" w:firstLine="480"/>
        <w:rPr>
          <w:rFonts w:ascii="仿宋_GB2312"/>
          <w:kern w:val="0"/>
          <w:sz w:val="24"/>
        </w:rPr>
      </w:pPr>
      <w:r>
        <w:rPr>
          <w:rFonts w:ascii="仿宋_GB2312" w:hAnsi="宋体"/>
          <w:kern w:val="0"/>
          <w:sz w:val="24"/>
        </w:rPr>
        <w:t>3）小区业主投诉：接到投诉24小时内反馈处理意见。处理意见及时向院内投诉业主报告。</w:t>
      </w:r>
    </w:p>
    <w:p w14:paraId="16122B0C">
      <w:pPr>
        <w:snapToGrid w:val="0"/>
        <w:spacing w:line="400" w:lineRule="exact"/>
        <w:ind w:right="64" w:rightChars="20" w:firstLine="480"/>
        <w:rPr>
          <w:rFonts w:ascii="仿宋_GB2312"/>
          <w:kern w:val="0"/>
          <w:sz w:val="24"/>
        </w:rPr>
      </w:pPr>
      <w:r>
        <w:rPr>
          <w:rFonts w:ascii="仿宋_GB2312" w:hAnsi="宋体"/>
          <w:kern w:val="0"/>
          <w:sz w:val="24"/>
        </w:rPr>
        <w:t>4）每年至少征询小区业主的意见1次，并通过发放意见调查表形式做满意度调查（调查时间大概为服务期限过半时），满意率应达85%以上，满意率未达到85%，按照采购人要求进行整改。</w:t>
      </w:r>
    </w:p>
    <w:p w14:paraId="60C8382D">
      <w:pPr>
        <w:widowControl/>
        <w:snapToGrid w:val="0"/>
        <w:spacing w:line="400" w:lineRule="exact"/>
        <w:ind w:right="64" w:rightChars="20" w:firstLine="422"/>
        <w:rPr>
          <w:rFonts w:ascii="仿宋_GB2312" w:hAnsi="宋体" w:cs="宋体"/>
          <w:kern w:val="0"/>
          <w:sz w:val="24"/>
        </w:rPr>
      </w:pPr>
      <w:r>
        <w:rPr>
          <w:rFonts w:ascii="仿宋_GB2312" w:hAnsi="宋体"/>
          <w:b/>
          <w:bCs/>
          <w:sz w:val="21"/>
          <w:szCs w:val="21"/>
        </w:rPr>
        <w:t>（二）保洁员</w:t>
      </w:r>
    </w:p>
    <w:p w14:paraId="0C910745">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1.工作职责及主要工作内容</w:t>
      </w:r>
    </w:p>
    <w:p w14:paraId="4775A0DA">
      <w:pPr>
        <w:snapToGrid w:val="0"/>
        <w:spacing w:line="400" w:lineRule="exact"/>
        <w:ind w:right="64" w:rightChars="20" w:firstLine="480"/>
        <w:rPr>
          <w:rFonts w:ascii="仿宋_GB2312"/>
          <w:kern w:val="0"/>
          <w:sz w:val="24"/>
        </w:rPr>
      </w:pPr>
      <w:r>
        <w:rPr>
          <w:rFonts w:ascii="仿宋_GB2312" w:hAnsi="宋体"/>
          <w:kern w:val="0"/>
          <w:sz w:val="24"/>
        </w:rPr>
        <w:t>（1）生活垃圾清运：每天两次。</w:t>
      </w:r>
    </w:p>
    <w:p w14:paraId="601AD85F">
      <w:pPr>
        <w:snapToGrid w:val="0"/>
        <w:spacing w:line="400" w:lineRule="exact"/>
        <w:ind w:right="64" w:rightChars="20" w:firstLine="480"/>
        <w:rPr>
          <w:rFonts w:ascii="仿宋_GB2312"/>
          <w:kern w:val="0"/>
          <w:sz w:val="24"/>
        </w:rPr>
      </w:pPr>
      <w:r>
        <w:rPr>
          <w:rFonts w:ascii="仿宋_GB2312" w:hAnsi="宋体"/>
          <w:kern w:val="0"/>
          <w:sz w:val="24"/>
        </w:rPr>
        <w:t>（2）军休所道路、停车位、绿地，每日清扫2次；整栋办公楼（三层）每日清扫1次，每周拖洗1次，半年进行一次大扫除；扶手每日擦洗1次；路灯、楼道灯每月清洁1次；及时清除道路积水。</w:t>
      </w:r>
    </w:p>
    <w:p w14:paraId="500A3AE1">
      <w:pPr>
        <w:snapToGrid w:val="0"/>
        <w:spacing w:line="400" w:lineRule="exact"/>
        <w:ind w:right="64" w:rightChars="20" w:firstLine="480"/>
        <w:rPr>
          <w:rFonts w:ascii="仿宋_GB2312"/>
          <w:kern w:val="0"/>
          <w:sz w:val="24"/>
        </w:rPr>
      </w:pPr>
      <w:r>
        <w:rPr>
          <w:rFonts w:ascii="仿宋_GB2312" w:hAnsi="宋体"/>
          <w:kern w:val="0"/>
          <w:sz w:val="24"/>
        </w:rPr>
        <w:t>（3）化粪池每年疏通和清掏2次，发现异常及时清掏,小区业主下水管道、排污口堵塞需及时处理（费用从从成交供应商收取的物业费支出）。</w:t>
      </w:r>
    </w:p>
    <w:p w14:paraId="4E9D663D">
      <w:pPr>
        <w:snapToGrid w:val="0"/>
        <w:spacing w:line="400" w:lineRule="exact"/>
        <w:ind w:right="64" w:rightChars="20" w:firstLine="480"/>
        <w:rPr>
          <w:rFonts w:ascii="仿宋_GB2312"/>
          <w:kern w:val="0"/>
          <w:sz w:val="24"/>
        </w:rPr>
      </w:pPr>
      <w:r>
        <w:rPr>
          <w:rFonts w:ascii="仿宋_GB2312" w:hAnsi="宋体"/>
          <w:kern w:val="0"/>
          <w:sz w:val="24"/>
        </w:rPr>
        <w:t>（4）每季度进行一次消毒和灭虫除害。</w:t>
      </w:r>
    </w:p>
    <w:p w14:paraId="3F49ABDE">
      <w:pPr>
        <w:snapToGrid w:val="0"/>
        <w:spacing w:line="400" w:lineRule="exact"/>
        <w:ind w:right="64" w:rightChars="20" w:firstLine="480"/>
        <w:rPr>
          <w:rFonts w:ascii="仿宋_GB2312"/>
          <w:kern w:val="0"/>
          <w:sz w:val="24"/>
        </w:rPr>
      </w:pPr>
      <w:r>
        <w:rPr>
          <w:rFonts w:hint="eastAsia" w:ascii="仿宋_GB2312" w:hAnsi="宋体"/>
          <w:kern w:val="0"/>
          <w:sz w:val="24"/>
        </w:rPr>
        <w:t>（5）办公楼电梯每日清扫1次。</w:t>
      </w:r>
    </w:p>
    <w:p w14:paraId="59769F0A">
      <w:pPr>
        <w:widowControl/>
        <w:snapToGrid w:val="0"/>
        <w:spacing w:line="400" w:lineRule="exact"/>
        <w:ind w:right="64" w:rightChars="20" w:firstLine="422"/>
        <w:rPr>
          <w:rFonts w:ascii="仿宋_GB2312" w:hAnsi="宋体" w:cs="宋体"/>
          <w:kern w:val="0"/>
          <w:sz w:val="24"/>
        </w:rPr>
      </w:pPr>
      <w:r>
        <w:rPr>
          <w:rFonts w:ascii="仿宋_GB2312" w:hAnsi="宋体"/>
          <w:b/>
          <w:bCs/>
          <w:sz w:val="21"/>
          <w:szCs w:val="21"/>
        </w:rPr>
        <w:t>（三）绿化员</w:t>
      </w:r>
    </w:p>
    <w:p w14:paraId="745684D9">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1.工作职责及主要工作内容</w:t>
      </w:r>
    </w:p>
    <w:p w14:paraId="3608F03F">
      <w:pPr>
        <w:snapToGrid w:val="0"/>
        <w:spacing w:line="400" w:lineRule="exact"/>
        <w:ind w:right="64" w:rightChars="20" w:firstLine="480"/>
        <w:rPr>
          <w:rFonts w:ascii="仿宋_GB2312"/>
          <w:kern w:val="0"/>
          <w:sz w:val="24"/>
        </w:rPr>
      </w:pPr>
      <w:r>
        <w:rPr>
          <w:rFonts w:ascii="仿宋_GB2312" w:hAnsi="宋体"/>
          <w:kern w:val="0"/>
          <w:sz w:val="24"/>
        </w:rPr>
        <w:t>（1）保证草坪生长良好，及时修剪,对被破坏、枯萎、残败的草坪及植物及时购买并栽种，确保无杂草、杂物。</w:t>
      </w:r>
    </w:p>
    <w:p w14:paraId="7896DBC7">
      <w:pPr>
        <w:snapToGrid w:val="0"/>
        <w:spacing w:line="400" w:lineRule="exact"/>
        <w:ind w:right="64" w:rightChars="20" w:firstLine="480"/>
        <w:rPr>
          <w:rFonts w:ascii="仿宋_GB2312"/>
          <w:kern w:val="0"/>
          <w:sz w:val="24"/>
        </w:rPr>
      </w:pPr>
      <w:r>
        <w:rPr>
          <w:rFonts w:ascii="仿宋_GB2312" w:hAnsi="宋体"/>
          <w:kern w:val="0"/>
          <w:sz w:val="24"/>
        </w:rPr>
        <w:t>（2）花卉、绿植、树木应根据其品种和生长情况，及时修剪整形，保持观赏效果。</w:t>
      </w:r>
    </w:p>
    <w:p w14:paraId="5F3E157B">
      <w:pPr>
        <w:snapToGrid w:val="0"/>
        <w:spacing w:line="400" w:lineRule="exact"/>
        <w:ind w:right="64" w:rightChars="20" w:firstLine="480"/>
        <w:rPr>
          <w:rFonts w:ascii="仿宋_GB2312"/>
          <w:kern w:val="0"/>
          <w:sz w:val="24"/>
        </w:rPr>
      </w:pPr>
      <w:r>
        <w:rPr>
          <w:rFonts w:ascii="仿宋_GB2312" w:hAnsi="宋体"/>
          <w:kern w:val="0"/>
          <w:sz w:val="24"/>
        </w:rPr>
        <w:t>（3）进行绿化带修剪、室内外盆景维护工作时，当天的绿化垃圾当天清理，不允许留在现场过夜，采购人提供临时的绿化垃圾堆放点，短暂堆放后及时清运。</w:t>
      </w:r>
    </w:p>
    <w:p w14:paraId="4C9542D1">
      <w:pPr>
        <w:snapToGrid w:val="0"/>
        <w:spacing w:line="400" w:lineRule="exact"/>
        <w:ind w:right="64" w:rightChars="20" w:firstLine="480"/>
        <w:rPr>
          <w:rFonts w:ascii="仿宋_GB2312"/>
          <w:kern w:val="0"/>
          <w:sz w:val="24"/>
        </w:rPr>
      </w:pPr>
      <w:r>
        <w:rPr>
          <w:rFonts w:ascii="仿宋_GB2312" w:hAnsi="宋体"/>
          <w:kern w:val="0"/>
          <w:sz w:val="24"/>
        </w:rPr>
        <w:t>（4）每月不少于10次浇灌。</w:t>
      </w:r>
    </w:p>
    <w:p w14:paraId="694F2478">
      <w:pPr>
        <w:snapToGrid w:val="0"/>
        <w:spacing w:line="400" w:lineRule="exact"/>
        <w:ind w:right="64" w:rightChars="20" w:firstLine="480"/>
        <w:rPr>
          <w:rFonts w:ascii="仿宋_GB2312"/>
          <w:kern w:val="0"/>
          <w:sz w:val="24"/>
        </w:rPr>
      </w:pPr>
      <w:r>
        <w:rPr>
          <w:rFonts w:ascii="仿宋_GB2312" w:hAnsi="宋体"/>
          <w:kern w:val="0"/>
          <w:sz w:val="24"/>
        </w:rPr>
        <w:t>（5）针对长势不良的乔木、灌木，进行针对性施肥，一年不少于10次施肥和松土。</w:t>
      </w:r>
    </w:p>
    <w:p w14:paraId="0A3B878E">
      <w:pPr>
        <w:snapToGrid w:val="0"/>
        <w:spacing w:line="400" w:lineRule="exact"/>
        <w:ind w:right="64" w:rightChars="20" w:firstLine="480"/>
        <w:rPr>
          <w:rFonts w:ascii="仿宋_GB2312"/>
          <w:kern w:val="0"/>
          <w:sz w:val="24"/>
        </w:rPr>
      </w:pPr>
      <w:r>
        <w:rPr>
          <w:rFonts w:ascii="仿宋_GB2312" w:hAnsi="宋体"/>
          <w:kern w:val="0"/>
          <w:sz w:val="24"/>
        </w:rPr>
        <w:t>（6）一年不少于6次喷洒药物，预防病虫害</w:t>
      </w:r>
      <w:r>
        <w:rPr>
          <w:rFonts w:hint="eastAsia" w:ascii="仿宋_GB2312" w:hAnsi="宋体"/>
          <w:kern w:val="0"/>
          <w:sz w:val="24"/>
          <w:lang w:eastAsia="zh-CN"/>
        </w:rPr>
        <w:t>，防治</w:t>
      </w:r>
      <w:bookmarkStart w:id="0" w:name="_GoBack"/>
      <w:bookmarkEnd w:id="0"/>
      <w:r>
        <w:rPr>
          <w:rFonts w:hint="eastAsia" w:ascii="仿宋_GB2312" w:hAnsi="宋体"/>
          <w:kern w:val="0"/>
          <w:sz w:val="24"/>
          <w:lang w:eastAsia="zh-CN"/>
        </w:rPr>
        <w:t>白蚁</w:t>
      </w:r>
      <w:r>
        <w:rPr>
          <w:rFonts w:ascii="仿宋_GB2312" w:hAnsi="宋体"/>
          <w:kern w:val="0"/>
          <w:sz w:val="24"/>
        </w:rPr>
        <w:t>。</w:t>
      </w:r>
    </w:p>
    <w:p w14:paraId="7A87D89D">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四、违约责任</w:t>
      </w:r>
    </w:p>
    <w:p w14:paraId="19F924FE">
      <w:pPr>
        <w:snapToGrid w:val="0"/>
        <w:spacing w:line="400" w:lineRule="exact"/>
        <w:ind w:right="64" w:rightChars="20" w:firstLine="480"/>
        <w:rPr>
          <w:rFonts w:ascii="仿宋_GB2312"/>
          <w:kern w:val="0"/>
          <w:sz w:val="24"/>
        </w:rPr>
      </w:pPr>
      <w:r>
        <w:rPr>
          <w:rFonts w:ascii="仿宋_GB2312" w:hAnsi="宋体"/>
          <w:kern w:val="0"/>
          <w:sz w:val="24"/>
        </w:rPr>
        <w:t>（一）供应商必须管理约束好自己的员工，在服务区域内工作的员工所发生的违法乱纪、人员意外伤害等责任事故，一切责任由供应商承担。</w:t>
      </w:r>
    </w:p>
    <w:p w14:paraId="38B8D446">
      <w:pPr>
        <w:snapToGrid w:val="0"/>
        <w:spacing w:line="400" w:lineRule="exact"/>
        <w:ind w:right="64" w:rightChars="20" w:firstLine="480"/>
        <w:rPr>
          <w:rFonts w:ascii="仿宋_GB2312"/>
          <w:kern w:val="0"/>
          <w:sz w:val="24"/>
        </w:rPr>
      </w:pPr>
      <w:r>
        <w:rPr>
          <w:rFonts w:ascii="仿宋_GB2312" w:hAnsi="宋体"/>
          <w:kern w:val="0"/>
          <w:sz w:val="24"/>
        </w:rPr>
        <w:t>（二）因供应商责任造成财产损失、丢失及其它损失一切由供应商承担。</w:t>
      </w:r>
    </w:p>
    <w:p w14:paraId="2D001540">
      <w:pPr>
        <w:widowControl/>
        <w:snapToGrid w:val="0"/>
        <w:spacing w:line="400" w:lineRule="exact"/>
        <w:ind w:right="64" w:rightChars="20" w:firstLine="422"/>
        <w:rPr>
          <w:rFonts w:ascii="仿宋_GB2312" w:hAnsi="宋体" w:cs="宋体"/>
          <w:b/>
          <w:bCs/>
          <w:kern w:val="0"/>
          <w:sz w:val="24"/>
        </w:rPr>
      </w:pPr>
      <w:r>
        <w:rPr>
          <w:rFonts w:ascii="仿宋_GB2312" w:hAnsi="宋体"/>
          <w:b/>
          <w:bCs/>
          <w:sz w:val="21"/>
          <w:szCs w:val="21"/>
        </w:rPr>
        <w:t>五、保密要求</w:t>
      </w:r>
    </w:p>
    <w:p w14:paraId="317873A3">
      <w:pPr>
        <w:snapToGrid w:val="0"/>
        <w:spacing w:line="400" w:lineRule="exact"/>
        <w:ind w:right="64" w:rightChars="20" w:firstLine="480"/>
        <w:rPr>
          <w:rFonts w:ascii="仿宋_GB2312"/>
          <w:kern w:val="0"/>
          <w:sz w:val="24"/>
        </w:rPr>
      </w:pPr>
      <w:r>
        <w:rPr>
          <w:rFonts w:ascii="仿宋_GB2312" w:hAnsi="宋体"/>
          <w:kern w:val="0"/>
          <w:sz w:val="24"/>
        </w:rPr>
        <w:t>成交供应商严格执行国家有关的保密法律法规及规章制度，入驻后须与采购人签订保密协议，并定期对所有服务人员进行相关保密及法律法规教育。要求所有服务人员须做到不该问的不问，不该说的不说，不该看的不看，对在该项目服务时涉及的工作内容绝不外传。对采购人提供的物业管理资料，成交供应商应妥善保管，不得向第三方提供、转述该资料的任何部分，否则，造成严重后果的，采购人将追究其法律责任。</w:t>
      </w:r>
    </w:p>
    <w:p w14:paraId="78366C55">
      <w:pPr>
        <w:snapToGrid w:val="0"/>
        <w:spacing w:line="400" w:lineRule="exact"/>
        <w:ind w:right="64" w:rightChars="20" w:firstLine="482"/>
        <w:rPr>
          <w:rFonts w:ascii="仿宋_GB2312"/>
          <w:b/>
          <w:bCs/>
          <w:kern w:val="0"/>
          <w:sz w:val="24"/>
        </w:rPr>
      </w:pPr>
      <w:r>
        <w:rPr>
          <w:rFonts w:ascii="仿宋_GB2312" w:hAnsi="宋体"/>
          <w:b/>
          <w:bCs/>
          <w:kern w:val="0"/>
          <w:sz w:val="24"/>
        </w:rPr>
        <w:t>六、其他需要说明的事项</w:t>
      </w:r>
    </w:p>
    <w:p w14:paraId="4B92C13A">
      <w:pPr>
        <w:snapToGrid w:val="0"/>
        <w:spacing w:line="400" w:lineRule="exact"/>
        <w:ind w:right="64" w:rightChars="20" w:firstLine="480"/>
        <w:rPr>
          <w:rFonts w:ascii="仿宋_GB2312"/>
          <w:kern w:val="0"/>
          <w:sz w:val="24"/>
        </w:rPr>
      </w:pPr>
      <w:r>
        <w:rPr>
          <w:rFonts w:ascii="仿宋_GB2312" w:hAnsi="宋体"/>
          <w:kern w:val="0"/>
          <w:sz w:val="24"/>
        </w:rPr>
        <w:t>（一）采购人向供应商无偿办公值班场所，不向本项目服务人员提供住宿、工作餐。</w:t>
      </w:r>
    </w:p>
    <w:p w14:paraId="286ED057">
      <w:pPr>
        <w:snapToGrid w:val="0"/>
        <w:spacing w:line="400" w:lineRule="exact"/>
        <w:ind w:right="64" w:rightChars="20" w:firstLine="480"/>
        <w:rPr>
          <w:rFonts w:ascii="仿宋_GB2312"/>
          <w:kern w:val="0"/>
          <w:sz w:val="24"/>
        </w:rPr>
      </w:pPr>
      <w:r>
        <w:rPr>
          <w:rFonts w:ascii="仿宋_GB2312" w:hAnsi="宋体"/>
          <w:kern w:val="0"/>
          <w:sz w:val="24"/>
        </w:rPr>
        <w:t>（二）本合同期满前，采购人根据相关法律规定可以与供应商协商签订补充合同，适当延期，供应商应积极配合采购人完成延期的相关工作。</w:t>
      </w:r>
    </w:p>
    <w:p w14:paraId="19133E2F">
      <w:pPr>
        <w:snapToGrid w:val="0"/>
        <w:spacing w:line="400" w:lineRule="exact"/>
        <w:ind w:right="64" w:rightChars="20" w:firstLine="480"/>
        <w:rPr>
          <w:rFonts w:ascii="仿宋_GB2312"/>
          <w:kern w:val="0"/>
          <w:sz w:val="24"/>
        </w:rPr>
      </w:pPr>
      <w:r>
        <w:rPr>
          <w:rFonts w:ascii="仿宋_GB2312" w:hAnsi="宋体"/>
          <w:kern w:val="0"/>
          <w:sz w:val="24"/>
        </w:rPr>
        <w:t>（三）如供应商未及时足额为物业服务人员缴纳社保及支付加班等费用的，因此产生的纠纷由供应商负全责。</w:t>
      </w:r>
    </w:p>
    <w:p w14:paraId="0CAB9D33">
      <w:pPr>
        <w:snapToGrid w:val="0"/>
        <w:spacing w:line="400" w:lineRule="exact"/>
        <w:ind w:right="64" w:rightChars="20" w:firstLine="480"/>
        <w:rPr>
          <w:rFonts w:ascii="仿宋_GB2312"/>
          <w:kern w:val="0"/>
          <w:sz w:val="24"/>
        </w:rPr>
      </w:pPr>
      <w:r>
        <w:rPr>
          <w:rFonts w:ascii="仿宋_GB2312" w:hAnsi="宋体"/>
          <w:kern w:val="0"/>
          <w:sz w:val="24"/>
        </w:rPr>
        <w:t>（四）供应商在物业服务合同期间内，若管理混乱，缺人缺岗，服务质量差，影响采购人正常秩序或声誉，因此类问题三次接到有效投诉的，采购人有权提前解除物业服务合同。</w:t>
      </w:r>
    </w:p>
    <w:p w14:paraId="5ABD72D2">
      <w:pPr>
        <w:snapToGrid w:val="0"/>
        <w:spacing w:line="400" w:lineRule="exact"/>
        <w:ind w:right="64" w:rightChars="20" w:firstLine="480"/>
        <w:rPr>
          <w:rFonts w:ascii="仿宋_GB2312"/>
          <w:kern w:val="0"/>
          <w:sz w:val="24"/>
        </w:rPr>
      </w:pPr>
      <w:r>
        <w:rPr>
          <w:rFonts w:ascii="仿宋_GB2312" w:hAnsi="宋体"/>
          <w:kern w:val="0"/>
          <w:sz w:val="24"/>
        </w:rPr>
        <w:t>（五）成交供应商在物业服务合同期间内，违反双方所签订的保密协议产生法律责任的，成交供应商负全责，采购人有权提前解除物业服务合同。</w:t>
      </w:r>
    </w:p>
    <w:p w14:paraId="4DD856C5">
      <w:pPr>
        <w:widowControl/>
        <w:snapToGrid w:val="0"/>
        <w:spacing w:line="400" w:lineRule="exact"/>
        <w:ind w:right="64" w:rightChars="20" w:firstLine="420"/>
        <w:rPr>
          <w:rFonts w:ascii="仿宋_GB2312" w:hAnsi="宋体" w:cs="宋体"/>
          <w:b/>
          <w:bCs/>
          <w:kern w:val="0"/>
          <w:sz w:val="24"/>
        </w:rPr>
      </w:pPr>
      <w:r>
        <w:rPr>
          <w:rFonts w:ascii="仿宋_GB2312" w:hAnsi="宋体"/>
          <w:sz w:val="21"/>
          <w:szCs w:val="21"/>
        </w:rPr>
        <w:t>（六）节能管理</w:t>
      </w:r>
    </w:p>
    <w:p w14:paraId="2AC71BBA">
      <w:pPr>
        <w:snapToGrid w:val="0"/>
        <w:spacing w:line="400" w:lineRule="exact"/>
        <w:ind w:right="64" w:rightChars="20" w:firstLine="480"/>
        <w:rPr>
          <w:rFonts w:ascii="仿宋_GB2312"/>
          <w:kern w:val="0"/>
          <w:sz w:val="24"/>
        </w:rPr>
      </w:pPr>
      <w:r>
        <w:rPr>
          <w:rFonts w:ascii="仿宋_GB2312" w:hAnsi="宋体"/>
          <w:kern w:val="0"/>
          <w:sz w:val="24"/>
        </w:rPr>
        <w:t>（1）</w:t>
      </w:r>
      <w:r>
        <w:rPr>
          <w:rFonts w:ascii="仿宋_GB2312" w:hAnsi="仿宋"/>
          <w:sz w:val="24"/>
        </w:rPr>
        <w:t>秩序维护员</w:t>
      </w:r>
      <w:r>
        <w:rPr>
          <w:rFonts w:ascii="仿宋_GB2312" w:hAnsi="宋体"/>
          <w:kern w:val="0"/>
          <w:sz w:val="24"/>
        </w:rPr>
        <w:t>根据日照时间及时调整公共路灯控制器。</w:t>
      </w:r>
    </w:p>
    <w:p w14:paraId="058B937C">
      <w:pPr>
        <w:snapToGrid w:val="0"/>
        <w:spacing w:line="400" w:lineRule="exact"/>
        <w:ind w:right="64" w:rightChars="20" w:firstLine="480"/>
        <w:rPr>
          <w:rFonts w:ascii="仿宋_GB2312"/>
          <w:kern w:val="0"/>
          <w:sz w:val="24"/>
        </w:rPr>
      </w:pPr>
      <w:r>
        <w:rPr>
          <w:rFonts w:ascii="仿宋_GB2312" w:hAnsi="宋体"/>
          <w:kern w:val="0"/>
          <w:sz w:val="24"/>
        </w:rPr>
        <w:t>（2）</w:t>
      </w:r>
      <w:r>
        <w:rPr>
          <w:rFonts w:ascii="仿宋_GB2312" w:hAnsi="仿宋"/>
          <w:sz w:val="24"/>
        </w:rPr>
        <w:t>秩序维护员</w:t>
      </w:r>
      <w:r>
        <w:rPr>
          <w:rFonts w:ascii="仿宋_GB2312" w:hAnsi="宋体"/>
          <w:kern w:val="0"/>
          <w:sz w:val="24"/>
        </w:rPr>
        <w:t>需经常巡视、检查供水管网，发现问题及时向采购人汇报。</w:t>
      </w:r>
    </w:p>
    <w:p w14:paraId="26C99695">
      <w:pPr>
        <w:snapToGrid w:val="0"/>
        <w:spacing w:line="400" w:lineRule="exact"/>
        <w:ind w:right="64" w:rightChars="20" w:firstLine="480"/>
        <w:rPr>
          <w:rFonts w:ascii="仿宋_GB2312"/>
          <w:kern w:val="0"/>
          <w:sz w:val="24"/>
        </w:rPr>
      </w:pPr>
      <w:r>
        <w:rPr>
          <w:rFonts w:ascii="仿宋_GB2312" w:hAnsi="宋体"/>
          <w:kern w:val="0"/>
          <w:sz w:val="24"/>
        </w:rPr>
        <w:t>（3）负责垃圾分类的检查和监督，</w:t>
      </w:r>
      <w:r>
        <w:rPr>
          <w:rFonts w:ascii="仿宋_GB2312" w:hAnsi="宋体"/>
          <w:sz w:val="24"/>
        </w:rPr>
        <w:t>按生活垃圾分类工作相关要求做好垃圾分类工作并做好台账记录及</w:t>
      </w:r>
      <w:r>
        <w:rPr>
          <w:rFonts w:ascii="仿宋_GB2312" w:hAnsi="宋体"/>
          <w:kern w:val="0"/>
          <w:sz w:val="24"/>
        </w:rPr>
        <w:t>垃圾清运表。</w:t>
      </w:r>
    </w:p>
    <w:p w14:paraId="0871AC49">
      <w:pPr>
        <w:snapToGrid w:val="0"/>
        <w:spacing w:line="400" w:lineRule="exact"/>
        <w:ind w:right="64" w:rightChars="20" w:firstLine="480"/>
        <w:rPr>
          <w:rFonts w:ascii="仿宋_GB2312"/>
          <w:kern w:val="0"/>
          <w:sz w:val="24"/>
        </w:rPr>
      </w:pPr>
      <w:r>
        <w:rPr>
          <w:rFonts w:ascii="仿宋_GB2312" w:hAnsi="宋体"/>
          <w:kern w:val="0"/>
          <w:sz w:val="24"/>
        </w:rPr>
        <w:t>（4）将节能、节水、垃圾分类服务纳入对物业满意度考核。</w:t>
      </w:r>
    </w:p>
    <w:p w14:paraId="46373FD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230AF1"/>
    <w:rsid w:val="70AC2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640" w:firstLineChars="20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15"/>
    <w:basedOn w:val="3"/>
    <w:qFormat/>
    <w:uiPriority w:val="0"/>
    <w:rPr>
      <w:rFonts w:hint="eastAsia" w:ascii="宋体" w:hAnsi="宋体" w:eastAsia="宋体"/>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627</Words>
  <Characters>682</Characters>
  <Lines>0</Lines>
  <Paragraphs>0</Paragraphs>
  <TotalTime>17</TotalTime>
  <ScaleCrop>false</ScaleCrop>
  <LinksUpToDate>false</LinksUpToDate>
  <CharactersWithSpaces>686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2025-08-04T09:52:00Z</dcterms:created>
  <dc:creator>Administrator</dc:creator>
  <cp:lastModifiedBy>WPS_331235765</cp:lastModifiedBy>
  <dcterms:modified xsi:type="dcterms:W3CDTF">2026-10-27T02:11:47Z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eyJoZGlkIjoiNWZjZmYzZWQwOGM5YWQ5N2JkOTkzZmVlYzQ4YzkwYzYiLCJ1c2VySWQiOiIzMzEyMzU3NjUifQ==</vt:lpwstr>
  </property>
  <property fmtid="{D5CDD505-2E9C-101B-9397-08002B2CF9AE}" pid="4" name="ICV">
    <vt:lpwstr>A528EB3D392C42C596DC8538CD3FBC09_12</vt:lpwstr>
  </property>
</Properties>
</file>