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7"/>
        <w:tblW w:w="8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228"/>
        <w:gridCol w:w="4455"/>
        <w:gridCol w:w="708"/>
        <w:gridCol w:w="851"/>
      </w:tblGrid>
      <w:tr w14:paraId="7DCF1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014" w:type="dxa"/>
            <w:gridSpan w:val="5"/>
            <w:vAlign w:val="center"/>
          </w:tcPr>
          <w:p w14:paraId="33512D91">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Theme="minorEastAsia" w:hAnsiTheme="minorEastAsia" w:eastAsiaTheme="minorEastAsia"/>
                <w:kern w:val="0"/>
                <w:sz w:val="21"/>
                <w:szCs w:val="21"/>
              </w:rPr>
            </w:pPr>
            <w:bookmarkStart w:id="0" w:name="OLE_LINK3"/>
            <w:r>
              <w:rPr>
                <w:rFonts w:hint="eastAsia"/>
                <w:b/>
                <w:bCs/>
                <w:sz w:val="28"/>
                <w:szCs w:val="28"/>
                <w:lang w:val="en-US" w:eastAsia="zh-CN"/>
              </w:rPr>
              <w:t>教学新设备</w:t>
            </w:r>
            <w:r>
              <w:rPr>
                <w:rFonts w:hint="eastAsia"/>
                <w:b/>
                <w:bCs/>
                <w:sz w:val="28"/>
                <w:szCs w:val="28"/>
              </w:rPr>
              <w:t>采购需求表</w:t>
            </w:r>
          </w:p>
        </w:tc>
      </w:tr>
      <w:tr w14:paraId="6FDB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772" w:type="dxa"/>
            <w:vAlign w:val="center"/>
          </w:tcPr>
          <w:p w14:paraId="788D7ABE">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Theme="minorEastAsia" w:hAnsiTheme="minorEastAsia" w:eastAsiaTheme="minorEastAsia"/>
                <w:kern w:val="0"/>
                <w:sz w:val="21"/>
                <w:szCs w:val="21"/>
              </w:rPr>
            </w:pPr>
            <w:r>
              <w:rPr>
                <w:rFonts w:hint="eastAsia" w:asciiTheme="minorEastAsia" w:hAnsiTheme="minorEastAsia" w:eastAsiaTheme="minorEastAsia"/>
                <w:kern w:val="0"/>
                <w:sz w:val="21"/>
                <w:szCs w:val="21"/>
              </w:rPr>
              <w:t>序号</w:t>
            </w:r>
          </w:p>
        </w:tc>
        <w:tc>
          <w:tcPr>
            <w:tcW w:w="1228" w:type="dxa"/>
            <w:vAlign w:val="center"/>
          </w:tcPr>
          <w:p w14:paraId="66AACF92">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asciiTheme="minorEastAsia" w:hAnsiTheme="minorEastAsia" w:eastAsiaTheme="minorEastAsia"/>
                <w:kern w:val="0"/>
                <w:sz w:val="21"/>
                <w:szCs w:val="21"/>
              </w:rPr>
            </w:pPr>
            <w:r>
              <w:rPr>
                <w:rFonts w:hint="eastAsia" w:asciiTheme="minorEastAsia" w:hAnsiTheme="minorEastAsia" w:eastAsiaTheme="minorEastAsia"/>
                <w:kern w:val="0"/>
                <w:sz w:val="21"/>
                <w:szCs w:val="21"/>
              </w:rPr>
              <w:t>货物名称</w:t>
            </w:r>
          </w:p>
        </w:tc>
        <w:tc>
          <w:tcPr>
            <w:tcW w:w="4455" w:type="dxa"/>
            <w:vAlign w:val="center"/>
          </w:tcPr>
          <w:p w14:paraId="41E9FA51">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Theme="minorEastAsia" w:hAnsiTheme="minorEastAsia" w:eastAsiaTheme="minorEastAsia"/>
                <w:kern w:val="0"/>
                <w:sz w:val="21"/>
                <w:szCs w:val="21"/>
              </w:rPr>
            </w:pPr>
            <w:r>
              <w:rPr>
                <w:rFonts w:hint="eastAsia" w:asciiTheme="minorEastAsia" w:hAnsiTheme="minorEastAsia" w:eastAsiaTheme="minorEastAsia"/>
                <w:kern w:val="0"/>
                <w:sz w:val="21"/>
                <w:szCs w:val="21"/>
              </w:rPr>
              <w:t>规格参数</w:t>
            </w:r>
          </w:p>
        </w:tc>
        <w:tc>
          <w:tcPr>
            <w:tcW w:w="708" w:type="dxa"/>
            <w:vAlign w:val="center"/>
          </w:tcPr>
          <w:p w14:paraId="4834CCF1">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Theme="minorEastAsia" w:hAnsiTheme="minorEastAsia" w:eastAsiaTheme="minorEastAsia"/>
                <w:kern w:val="0"/>
                <w:sz w:val="21"/>
                <w:szCs w:val="21"/>
              </w:rPr>
            </w:pPr>
            <w:r>
              <w:rPr>
                <w:rFonts w:hint="eastAsia" w:asciiTheme="minorEastAsia" w:hAnsiTheme="minorEastAsia" w:eastAsiaTheme="minorEastAsia"/>
                <w:kern w:val="0"/>
                <w:sz w:val="21"/>
                <w:szCs w:val="21"/>
              </w:rPr>
              <w:t>单位</w:t>
            </w:r>
          </w:p>
        </w:tc>
        <w:tc>
          <w:tcPr>
            <w:tcW w:w="851" w:type="dxa"/>
            <w:vAlign w:val="center"/>
          </w:tcPr>
          <w:p w14:paraId="2CA71963">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Theme="minorEastAsia" w:hAnsiTheme="minorEastAsia" w:eastAsiaTheme="minorEastAsia"/>
                <w:kern w:val="0"/>
                <w:sz w:val="21"/>
                <w:szCs w:val="21"/>
              </w:rPr>
            </w:pPr>
            <w:r>
              <w:rPr>
                <w:rFonts w:hint="eastAsia" w:asciiTheme="minorEastAsia" w:hAnsiTheme="minorEastAsia" w:eastAsiaTheme="minorEastAsia"/>
                <w:kern w:val="0"/>
                <w:sz w:val="21"/>
                <w:szCs w:val="21"/>
              </w:rPr>
              <w:t>数量</w:t>
            </w:r>
          </w:p>
        </w:tc>
      </w:tr>
      <w:bookmarkEnd w:id="0"/>
      <w:tr w14:paraId="351A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14:paraId="7BCA96E5">
            <w:pPr>
              <w:keepNext w:val="0"/>
              <w:keepLines w:val="0"/>
              <w:pageBreakBefore w:val="0"/>
              <w:widowControl w:val="0"/>
              <w:kinsoku/>
              <w:wordWrap/>
              <w:overflowPunct/>
              <w:topLinePunct w:val="0"/>
              <w:autoSpaceDE/>
              <w:autoSpaceDN/>
              <w:bidi w:val="0"/>
              <w:adjustRightInd/>
              <w:snapToGrid/>
              <w:spacing w:line="320" w:lineRule="exact"/>
              <w:ind w:firstLine="105" w:firstLineChars="50"/>
              <w:jc w:val="left"/>
              <w:textAlignment w:val="auto"/>
              <w:rPr>
                <w:rFonts w:hint="eastAsia" w:eastAsia="宋体" w:asciiTheme="minorEastAsia" w:hAnsiTheme="minorEastAsia"/>
                <w:kern w:val="0"/>
                <w:sz w:val="21"/>
                <w:szCs w:val="21"/>
                <w:lang w:eastAsia="zh-CN"/>
              </w:rPr>
            </w:pPr>
            <w:r>
              <w:rPr>
                <w:rFonts w:hint="eastAsia" w:eastAsia="宋体" w:asciiTheme="minorEastAsia" w:hAnsiTheme="minorEastAsia"/>
                <w:kern w:val="0"/>
                <w:sz w:val="21"/>
                <w:szCs w:val="21"/>
                <w:lang w:val="en-US" w:eastAsia="zh-CN"/>
              </w:rPr>
              <w:t>1</w:t>
            </w:r>
          </w:p>
        </w:tc>
        <w:tc>
          <w:tcPr>
            <w:tcW w:w="1228" w:type="dxa"/>
            <w:vAlign w:val="center"/>
          </w:tcPr>
          <w:p w14:paraId="260BBF83">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eastAsia="宋体" w:asciiTheme="minorEastAsia" w:hAnsiTheme="minorEastAsia"/>
                <w:kern w:val="0"/>
                <w:sz w:val="21"/>
                <w:szCs w:val="21"/>
                <w:lang w:eastAsia="zh-CN"/>
              </w:rPr>
            </w:pPr>
            <w:r>
              <w:rPr>
                <w:rFonts w:hint="eastAsia" w:eastAsia="宋体" w:asciiTheme="minorEastAsia" w:hAnsiTheme="minorEastAsia"/>
                <w:kern w:val="0"/>
                <w:sz w:val="21"/>
                <w:szCs w:val="21"/>
                <w:lang w:eastAsia="zh-CN"/>
              </w:rPr>
              <w:t>班班通教学设备</w:t>
            </w:r>
          </w:p>
        </w:tc>
        <w:tc>
          <w:tcPr>
            <w:tcW w:w="4455" w:type="dxa"/>
            <w:vAlign w:val="center"/>
          </w:tcPr>
          <w:p w14:paraId="544401C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b/>
                <w:bCs/>
                <w:i w:val="0"/>
                <w:iCs w:val="0"/>
                <w:color w:val="000000"/>
                <w:kern w:val="2"/>
                <w:sz w:val="21"/>
                <w:szCs w:val="21"/>
                <w:u w:val="none"/>
                <w:lang w:val="en-US" w:eastAsia="zh-CN" w:bidi="ar-SA"/>
              </w:rPr>
              <w:t>触控一体机</w:t>
            </w:r>
          </w:p>
          <w:p w14:paraId="0B6030B2">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一、整机硬件及系统</w:t>
            </w:r>
          </w:p>
          <w:p w14:paraId="0162FB24">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（1）屏显设计</w:t>
            </w:r>
          </w:p>
          <w:p w14:paraId="3EE7A7D2">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1、整机采用一体设计，外部无任何可见内部功能模块连接线。边角采用弧形设计，表面无尖锐边缘或凸起。</w:t>
            </w:r>
          </w:p>
          <w:p w14:paraId="2EC1BEC0">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2、整机屏幕边缘采用金属圆角包边防护，整机背板采用金属材质，有效屏蔽内部电路器件辐射；防潮耐盐雾蚀锈，适应多种教学环境。</w:t>
            </w:r>
          </w:p>
          <w:p w14:paraId="7B37AE10">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★3、整机屏幕采用≥86英寸液晶显示器，整机采⽤超⾼清LED液晶屏，显示⽐例16:9，分辨率3840x2160，色域覆盖率（NTSC）≥72%，灰阶等级≥256级。</w:t>
            </w:r>
          </w:p>
          <w:p w14:paraId="345D3ED9">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4、采用全物理钢化玻璃，有效保护屏幕显示画面，采用防眩光玻璃，屏幕支持防眩光功能，钢化玻璃表面硬度≥9H。</w:t>
            </w:r>
          </w:p>
          <w:p w14:paraId="6D8CF125">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5、整机背光系统支持DC调光方式，多级亮度调节，支持白颜色背景下最暗亮度≤100nit，用于提升显示对比度。</w:t>
            </w:r>
          </w:p>
          <w:p w14:paraId="6D1B8D62">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★6、整机屏幕蓝光占比（有害蓝光415～455nm能量综合）/（整体蓝光400～500nm能量综合）＜50%。（投标时须提供国家认可的第三方检测机构出具的关于该功能检测报告复印件）</w:t>
            </w:r>
          </w:p>
          <w:p w14:paraId="216B34F3">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7、支持自定义图像设置，可对对比度、屏幕色温、图像亮度、亮度范围、色彩空间调节设置。</w:t>
            </w:r>
          </w:p>
          <w:p w14:paraId="27586D56">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★8、整机全通道支持纸质护眼模式，可实现画面纹理的实时调整；支持纸质纹理：牛皮纸、素描纸、宣纸、水彩纸、水纹纸；支持透明度调节；支持色温调节。</w:t>
            </w:r>
          </w:p>
          <w:p w14:paraId="42208BC5">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（2）按键与接口设计</w:t>
            </w:r>
          </w:p>
          <w:p w14:paraId="6F0F718A">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1、三合一电源按键，同一电源物理按键完成Android系统和Windows系统的开机、节能熄屏、关机操作；关机状态下按按键开机；开机状态下按按键实现节能熄屏/唤醒，长按按键实现关机。</w:t>
            </w:r>
          </w:p>
          <w:p w14:paraId="2D469022">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2、设备支持通过前置面板物理按键一键启动录屏功能，可将屏幕中显示的课件、音频内容与人声同时录制。</w:t>
            </w:r>
          </w:p>
          <w:p w14:paraId="3FC42713">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3、整机具备≥6前置按键，可实现开关机、音量＋－、护眼、录屏、设置功能。整机前置按键支持自定义设置，可通过自定义设置实现前置面板功能按键一键启用任一全局小工具（批注、截屏、计时、降半屏、放大镜、倒数日、日历）、快捷开关（节能模式、纸质护眼模式、经典护眼模式、自动亮度模式）。（投标时须提供国家认可的第三方检测机构出具的关于该功能检测报告复印件）</w:t>
            </w:r>
          </w:p>
          <w:p w14:paraId="3BC02CD5">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4、侧置输入接口具备≥2路HDMI、≥1路RS232（RJ45形态）、≥1路USB接口。</w:t>
            </w:r>
          </w:p>
          <w:p w14:paraId="2D319E0F">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5、侧置输出接口具备≥1路音频输出、≥1路触控USB输出。</w:t>
            </w:r>
          </w:p>
          <w:p w14:paraId="16B0343A">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6、前置输入接口≥3路USB接口（至少包含1路Type-C、2路USB），前置USB接口支持Android系统、Windows系统读取外接移动存储设备。</w:t>
            </w:r>
          </w:p>
          <w:p w14:paraId="00EF7600">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7、支持通过Type-C接口U盘进行文件传输，兼容Type-C接口手机充电。</w:t>
            </w:r>
          </w:p>
          <w:p w14:paraId="41EFAD4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（3）整机内置系统</w:t>
            </w:r>
          </w:p>
          <w:p w14:paraId="69CEA1B7">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★1、整机嵌入式系统版本≥Android 15，内存≥2GB，存储空间≥32GB。（投标时须提供国家认可的第三方检测机构出具的关于该功能检测报告复印件）</w:t>
            </w:r>
          </w:p>
          <w:p w14:paraId="54C40F30">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2、嵌入式Android操作系统下，白板支持对已经书写的笔迹和形状和颜色进行更换。</w:t>
            </w:r>
          </w:p>
          <w:p w14:paraId="6F109232">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3、在嵌入式系统下使用白板软件时，整机可自行调节屏幕亮度。</w:t>
            </w:r>
          </w:p>
          <w:p w14:paraId="3C6A3D33">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4、嵌入式Android操作系统下，互动白板支持不同背景颜色，同时提供学科背景，如：五线谱、信纸、田字格、英文格、篮球和足球场地平面图。</w:t>
            </w:r>
          </w:p>
          <w:p w14:paraId="24A14D1E">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★5、无 PC 模块状态下，嵌入式Android 系统内置白板软件支持十笔书写及手掌擦除（手掌擦除面积根据手掌与屏幕的接触面大小自动调整）， 白板书写内容可以 PDF 、IWB 和SVG 格式导出，支持 10 种以上平面图形工具，支持 8 种以上立体图形工具。（投标时须提供国家认可的第三方检测机构出具的关于该功能检测报告复印件）</w:t>
            </w:r>
          </w:p>
          <w:p w14:paraId="390DA9B6">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（4）电脑模块</w:t>
            </w:r>
          </w:p>
          <w:p w14:paraId="5FC79C23">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1、PC模块可抽拉式插入整机，可实现无单独接线的拔插，采用按压式卡扣，无需工具即可快速拆卸电脑模块。</w:t>
            </w:r>
          </w:p>
          <w:p w14:paraId="0593633A">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2、搭载Intel 12代酷睿i5或以上配置CPU，内存：8GB DDR4笔记本内存或以上配置。硬盘：512 GB SSD固态硬盘或以上配置。</w:t>
            </w:r>
          </w:p>
          <w:p w14:paraId="376C9D4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3、采用按压式卡扣，无需工具即可快速拆卸电脑模块。</w:t>
            </w:r>
          </w:p>
          <w:p w14:paraId="0C5ED0E9">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4、PC模块可抽拉式插入整机，可实现无单独接线的拔插。</w:t>
            </w:r>
          </w:p>
          <w:p w14:paraId="61CD8772">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5、具有独立非外拓展的视频输出接口：≥1路HDMI，具有独立非外拓展的电脑USB接口：至少具备3个USB3.0接口，3个USB2.0接口。</w:t>
            </w:r>
          </w:p>
          <w:p w14:paraId="6F994F99">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（5）触摸技术设计</w:t>
            </w:r>
          </w:p>
          <w:p w14:paraId="740DA072">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★1、采用红外触控技术，Windows系统和Android系统均支持≥50点触控及书写划线。（投标时须提供国家认可的第三方检测机构出具的关于该功能检测报告复印件）</w:t>
            </w:r>
          </w:p>
          <w:p w14:paraId="130EE371">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2、整机屏幕触摸有效识别高度不超过1.5mm，即触摸物体距离玻璃外表面高度不超过1.5mm时，触摸屏识别为点击操作。</w:t>
            </w:r>
          </w:p>
          <w:p w14:paraId="692E8221">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3、整机触控书写功能集成预测算法，支持多档预测速度可调节，在书写速度≥50cm/s，支持笔迹距离笔的距离小于20mm。</w:t>
            </w:r>
          </w:p>
          <w:p w14:paraId="6C5A68A9">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4、整机书写触控延迟≤25ms。</w:t>
            </w:r>
          </w:p>
          <w:p w14:paraId="73C9F3EC">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★5、整机支持提笔书写，在Windows系统下可实现无需点击任意功能入口，当检测到红外笔笔尖接触屏幕时，自动进入书写模式。（投标时须提供国家认可的第三方检测机构出具的关于该功能检测报告复印件）</w:t>
            </w:r>
          </w:p>
          <w:p w14:paraId="1EC491EC">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6、支持智能板擦功能，系统可根据触控物体的形状自动识别出实物板擦，可擦除电子白板中的内容，无需依赖外部电子设备。</w:t>
            </w:r>
          </w:p>
          <w:p w14:paraId="53111B3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7、支持Windows 7、Windows 8、Windows 10、Windows11、Linux、Mac Os、UOS和麒麟系统外置电脑操作系统接入时，无需安装触摸驱动。</w:t>
            </w:r>
          </w:p>
          <w:p w14:paraId="68C56811">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★8、整机触摸支持动态压力感应，支持无任何电子功能的普通书写笔在整机上书写或点压时，整机能感应压力变化，书写或点压过程笔迹呈现不同粗细。</w:t>
            </w:r>
          </w:p>
          <w:p w14:paraId="2F2038F3">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二、无线传输与互联</w:t>
            </w:r>
          </w:p>
          <w:p w14:paraId="4D9673B5">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1、整机无需外接无线网卡，在Windows系统下可实现Wi-Fi无线上网连接、AP无线热点发射和BT蓝牙连接功能。</w:t>
            </w:r>
          </w:p>
          <w:p w14:paraId="25B254AF">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2、Wi-Fi和AP热点工作距离≥12m。</w:t>
            </w:r>
          </w:p>
          <w:p w14:paraId="5FC3C6B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★3、整机支持蓝牙Bluetooth 5.4标准，固件版本号HCI13.0/LMP13.0。（投标时须提供国家认可的第三方检测机构出具的关于该功能检测报告复印件）</w:t>
            </w:r>
          </w:p>
          <w:p w14:paraId="53B11714">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4、整机支持发出频率为18kHz-22kHz超声波信号，智能手机和笔记本电脑接收超声波信号后可以自动识别附近投屏设备，点击对应设备即可完成投屏操作。（投标时须提供国家认可的第三方检测机构出具的关于该功能检测报告复印件）</w:t>
            </w:r>
          </w:p>
          <w:p w14:paraId="407AED95">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5、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p>
          <w:p w14:paraId="3399157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6、整机PC端支持主动发现蓝牙外设从而连接（无需整机进入发现模式），支持连接外部蓝牙音箱播放音频。</w:t>
            </w:r>
          </w:p>
          <w:p w14:paraId="7271DC97">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7、整机无需外接无线网卡，在Windows系统下接入无线网络，切换到嵌入式Android系统下可直接实现无线上网功能，不需手动重复设置。</w:t>
            </w:r>
          </w:p>
          <w:p w14:paraId="318D7945">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8、Wi-Fi及AP热点支持频段2.4GHz/5GHz 。</w:t>
            </w:r>
          </w:p>
          <w:p w14:paraId="1AEED7D3">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9、Wi-Fi制式支持IEEE 802.11 a/b/g/n/ac/ax；支持版本Wi-Fi6。</w:t>
            </w:r>
          </w:p>
          <w:p w14:paraId="325C2B3B">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★10、整机内置双WiFi6无线网卡（不接受外接），在Android和Windows系统下，可实现Wi-Fi无线上网连接、AP无线热点发射。（投标时须提供国家认可的第三方检测机构出具的关于该功能检测报告复印件）</w:t>
            </w:r>
          </w:p>
          <w:p w14:paraId="682B70D3">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11、整机内置双WiFi6无线网卡（不接受外接），在Android下支持无线设备同时连接数量≥32个，在Windows系统下支持无线设备同时连接≥8个。（投标时须提供国家认可的第三方检测机构出具的关于该功能检测报告复印件）</w:t>
            </w:r>
          </w:p>
          <w:p w14:paraId="232D5788">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三、音视频采集</w:t>
            </w:r>
          </w:p>
          <w:p w14:paraId="5D7F03CC">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★1、支持标准、听力、观影和AI空间感知音效模式，AI空间感知音效模式可通过内置麦克风采集教室物理环境声音，自动生成符合当前教室物理环境的频段、音量、音效。</w:t>
            </w:r>
          </w:p>
          <w:p w14:paraId="2CC103C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2、整机可选择高级音效设置，支持在左右声道平衡显示范围中进行更改。中低频段可选择调节范围125Hz～1kHz，高频段可选择调节范围 2kHz～16kHz，分贝可选择调节范围-12dB～12dB。（投标时须提供国家认可的第三方检测机构出具的关于该功能检测报告复印件）</w:t>
            </w:r>
          </w:p>
          <w:p w14:paraId="60E935F4">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3、整机上边框内置非独立式摄像头，摄像头数量≥5个。</w:t>
            </w:r>
          </w:p>
          <w:p w14:paraId="06A3C6D1">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4、整机上边框内置非独立式四个智能拼接摄像头，视场角≥151度且水平视场角≥132度，支持拍摄有效像素数≥5200万的照片，支持拍摄8192×2772分辨率的视频，支持畸变矫正功能。（投标时须提供国家认可的第三方检测机构出具的关于该功能检测报告复印件）</w:t>
            </w:r>
          </w:p>
          <w:p w14:paraId="48769581">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★5、整机上边框内置非独立式摄像头，摄像头数量≥5个，其中至少四个摄像头像素值均≥1300 万，同时输出至少3路视频流，同时支持课堂远程巡课、课堂教学数据采集、本地画面预览（拍照或视频录制）。（投标时须提供国家认可的第三方检测机构出具的关于该功能检测报告复印件）</w:t>
            </w:r>
          </w:p>
          <w:p w14:paraId="256A6E3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6、具备摄像头工作指示灯，摄像头运行时，有指示灯提示。</w:t>
            </w:r>
          </w:p>
          <w:p w14:paraId="365E5186">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7、整机扬声器在100%音量下，可做到1米处声压级≥92dB，10米处声压级≥82dB。</w:t>
            </w:r>
          </w:p>
          <w:p w14:paraId="4622019F">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8、整机内置2.2声道扬声器，位于设备上边框，顶置朝前发声，12W高音扬声器2个，上朝向30W中低音扬声器2个，最大功率≥84W。内置扬声器采用缝隙发声技术，喇叭采用槽式开口设计。（投标时须提供国家认可的第三方检测机构出具的关于该功能检测报告复印件）</w:t>
            </w:r>
          </w:p>
          <w:p w14:paraId="38A2EB4B">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★9、整机内置非独立外扩展的8阵列麦克风，拾音角度≥180°，可用于对教室环境音频进行采集，拾音距离≥12m。（投标时须提供国家认可的第三方检测机构出具的关于该功能检测报告复印件）</w:t>
            </w:r>
          </w:p>
          <w:p w14:paraId="03BA9D9F">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10、整机上边框内置非独立的广角高清摄像头，在距离整机1.7米情况下，且拍摄范围可以覆盖摄像头垂直法线左右距离大于等于4米，可以实现人脸识别。（投标时须提供国家认可的第三方检测机构出具的关于该功能检测报告复印件）</w:t>
            </w:r>
          </w:p>
          <w:p w14:paraId="2B34B905">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11、整机上边框内置非独立式广角摄像头和智能拼接摄像头， 均支持 3D 降噪算法和数字宽动态范围成像WDR 技术，支持输出 MJPG、 H.264 视频格式。</w:t>
            </w:r>
          </w:p>
          <w:p w14:paraId="15CC30CB">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12、整机摄像头支持人脸识别、清点人数、随机抽人；识别所有学生，显示标记，然后随机抽选，同时显示标记不少于60人。</w:t>
            </w:r>
          </w:p>
          <w:p w14:paraId="0F0F4655">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四、侧边栏工具</w:t>
            </w:r>
          </w:p>
          <w:p w14:paraId="4B55F40C">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1、整机全通道侧边栏快捷菜单包含如下小工具：批注、降半屏、截屏、放大镜、倒计时、日历、聚光灯、秒表、冻屏、倒数日、答题、节拍器。</w:t>
            </w:r>
          </w:p>
          <w:p w14:paraId="2074D228">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2、整机全通道侧边栏支持使用批注小工具进行批注讲解，可切换书写笔颜色、截屏保存批注内容、清屏，可根据手与屏幕的接触面积自动调整板擦工具的大小。</w:t>
            </w:r>
          </w:p>
          <w:p w14:paraId="1DCE310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3、整机全通道侧边栏快捷菜单支持快捷调节音量、亮度，支持自动亮度模式，支持点击静音按钮静音。</w:t>
            </w:r>
          </w:p>
          <w:p w14:paraId="07ECE252">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4、整机全通道侧边栏快捷菜单中可实时查看物联设备的连接情况，点击设备图标即可调出中控菜单进行管控。</w:t>
            </w:r>
          </w:p>
          <w:p w14:paraId="31BE26B1">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5、整机安卓和外接通道(2路HDMI)下侧边栏支持节拍器，支持设置节拍、轻重、节拍播放速度。全通道下可支持通过自定义按键调出该功能。</w:t>
            </w:r>
          </w:p>
          <w:p w14:paraId="4F23B9AB">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6、整机安卓和外接通道(2路HDMI)下侧边栏支持设置倒数日。</w:t>
            </w:r>
          </w:p>
          <w:p w14:paraId="72AAD172">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7、整机全通道侧边栏支持倒计时、正计时功能；倒计时，输入某特定时间值，可精确到秒，点击开始进入倒计时；正计时，点击开始计时便自动开始，并实时显示时间。</w:t>
            </w:r>
          </w:p>
          <w:p w14:paraId="09452EF5">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8、整机全通道侧边栏支持放大选中区域内容，并可支持对未选中区域关灯处理，实现聚光灯效果。</w:t>
            </w:r>
          </w:p>
          <w:p w14:paraId="78815A57">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9、整机安卓和外接通道(2路HDMI)下侧边栏支持通过扫描二维码加入班级，老师设置题型，学生回答后提交，教师查看正确率比例及详细讲解；支持随机抽选、实时弹幕；支持管理当前班级成员；支持导出学生报告，全通道下可支持通过自定义按键调出该功能。（投标时须提供国家认可的第三方检测机构出具的关于该功能检测报告复印件）</w:t>
            </w:r>
          </w:p>
          <w:p w14:paraId="779DA147">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五、教学互动与管理功能</w:t>
            </w:r>
          </w:p>
          <w:p w14:paraId="0EE559A3">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1、整机内置学生日历功能，支持全屏查看日历、显示法定节日；用户可以添加日历事件，设定特定时间并关联本机安卓应用，事件到期后，可以通过事件提醒打开关联的应用，如欢迎词、白板应用。</w:t>
            </w:r>
          </w:p>
          <w:p w14:paraId="46CB129E">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★2、整机内置AR授课工具，支持对视频展台所采集的画面中叠加动态的3D 模型。3D模型包括：动物、微生物、人体骨骼、乐器、星球、地形。（投标时须提供国家认可的第三方检测机构出具的关于该功能检测报告复印件）</w:t>
            </w:r>
          </w:p>
          <w:p w14:paraId="1F3F90A7">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★3、整机内置 AI 授课工具，支持对整机页面显示的题目或视频展台所采集的题目内容进行识别，支持手动框选题目范围，能够对题目进行详细的讲解，讲解内容包括解题步骤和注意事项。（投标时须提供国家认可的第三方检测机构出具的关于该功能检测报告复印件）</w:t>
            </w:r>
          </w:p>
          <w:p w14:paraId="2BAC53B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★4、整机内置AI授课工具，可根据题目所涉及的知识点和难度级别，可推荐相似题目，推荐题目数量可根据用户需求进行设置。（投标时须提供国家认可的第三方检测机构出具的关于该功能检测报告复印件）</w:t>
            </w:r>
          </w:p>
          <w:p w14:paraId="0A6B2780">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5、整机内置AI作文批改工具，支持对视频展台所采集的内容进行识别，识别到英文作文类型后，支持作文内容进行批改。可根据作文的整体表现给出一个综合评分，并提供详细的评分依据。</w:t>
            </w:r>
          </w:p>
          <w:p w14:paraId="59EF917E">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6、整机内置AI作文批改工具，能够从作文的词汇词组、语法句子、内容连贯性多个维度进行分析和评价。对于存在的语法错误和错别字，能够指出并提供修改建议。</w:t>
            </w:r>
          </w:p>
          <w:p w14:paraId="5B02AAF4">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7、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p>
          <w:p w14:paraId="62B3C022">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8、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p>
          <w:p w14:paraId="32EE2D48">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★9、整机自带AI书写美化能力，智能识别批注的书写轨迹，进行笔锋智能美化，模拟纸上书写的起笔、行笔和收笔效果。（投标时须提供国家认可的第三方检测机构出具的关于该功能检测报告复印件）</w:t>
            </w:r>
          </w:p>
          <w:p w14:paraId="56406A94">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10、整机内置微课制作工具，支持对全屏/区域的屏幕内容、整机声音、麦克风声音、摄像头内容进行录制，支持切换录制分辨率，支持录制过程中进行画笔标注与擦除；支持中途暂停录制和继续录制。（投标时须提供国家认可的第三方检测机构出具的关于该功能检测报告复印件）</w:t>
            </w:r>
          </w:p>
          <w:p w14:paraId="390B68E1">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★11、整机内置文字快剪功能，支持微课录制结束后提取视频中的文字，按照提取出的文字，对视频进行快速视频剪辑。（投标时须提供国家认可的第三方检测机构出具的关于该功能检测报告复印件）</w:t>
            </w:r>
          </w:p>
          <w:p w14:paraId="63D33205">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12、整机具备班级视力检测功能，学⽣站在距离屏幕前5m处，可通过⼿势识别方式来标识方向进行视力测试，测试完成后可直接⽣成视⼒检测结果，并建⽴学⽣视⼒档案，对学⽣视⼒情况进⾏管理。（投标时须提供国家认可的第三方检测机构出具的关于该功能检测报告复印件）</w:t>
            </w:r>
          </w:p>
          <w:p w14:paraId="3C2B0477">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13、支持智能书写功能，书写文字自动识别为标准印刷体，支持图形识别功能，可将多种手绘图形转化为矩形、三角形、圆形标准图形。</w:t>
            </w:r>
          </w:p>
          <w:p w14:paraId="1032232B">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14、整机白板软件支持智能图表绘制，可将手绘表格转化为智能表格，形成表格对象后表格中书写区域可根据书写内容自适应调整大小，支持将表格外书写内容一键拖动到表格。</w:t>
            </w:r>
          </w:p>
          <w:p w14:paraId="17347B99">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15、交互式白板软件支持手写笔迹的智能编辑，支持通过手绘置换符快速置换前后文字语序，支持手动涂抹笔迹对象进行快速删除，支持圈选笔迹对象进行手写笔迹缩放，支持文字间手绘竖线进行文字间距的快速调整。</w:t>
            </w:r>
          </w:p>
          <w:p w14:paraId="5866CB0E">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16、整机内置交互式白板软件支持课件多人在线协同编辑，支持以链接的形式进行课件分享、邀请协作，支持查看当前在线用户，针对邀请协同的用户可设置可编辑、可阅读权限，支持将PPT课件转化为交互式课件进行协同编辑。（投标时须提供国家认可的第三方检测机构出具的关于该功能检测报告复印件）</w:t>
            </w:r>
          </w:p>
          <w:p w14:paraId="653E1826">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17、整机教学桌面支持教学白板软件和文件管理软件；教学桌面首页支持自定义桌面应用，支持展示 8 个应用入口，并提供进入本机所有应用的入口。</w:t>
            </w:r>
          </w:p>
          <w:p w14:paraId="0A832A4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18、整机关机状态下，通过长按电源键进入设置界面后，可点击屏幕选择故障检测、系统还原功能，系统还原可单独还原PC系统，单独还原整机系统。（投标时须提供国家认可的第三方检测机构出具的关于该功能检测报告复印件）</w:t>
            </w:r>
          </w:p>
          <w:p w14:paraId="78CE92B6">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六、教学备授课软件设计</w:t>
            </w:r>
          </w:p>
          <w:p w14:paraId="7D087588">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★1、教学系统为全校教师提供可扩展，易于学校管理，安全可靠的云存储空间，根据每名教师使用时长与教学资料制作频率提供可扩展升级至不小于200G的个人云空间。</w:t>
            </w:r>
          </w:p>
          <w:p w14:paraId="2D1A86A0">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0BC5896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3、互动教学课件支持定向精准分享：分享者可将互动课件、课件组精准推送至指定接收方账号云空间，接收方可在云空间接收并打开分享课件。</w:t>
            </w:r>
          </w:p>
          <w:p w14:paraId="7B41C2DC">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7B372510">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5、语文工具：具备汉字生字卡，直观展示汉字部首、笔画数量，笔画书写支持分步展示和连续展示，教师可一次性生成多个汉字生字卡，同步生成数量不少于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2CF437A6">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6、支持软件联网自动静默升级，无需用户手动更新。</w:t>
            </w:r>
          </w:p>
          <w:p w14:paraId="72FA4411">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7、课件背景：提供不少于8种以上背景模板供老师选择，持自定义背景。</w:t>
            </w:r>
          </w:p>
          <w:p w14:paraId="35EE4099">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9种游戏模板，直接选择并输入相应内容即可轻松生成互动分类游戏，提升课堂趣味性。</w:t>
            </w:r>
          </w:p>
          <w:p w14:paraId="71AB1B38">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p>
          <w:p w14:paraId="7DBE4664">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★10、智能配对游戏：支持创建配对游戏，教师可随意将知识点进行配对。当开始配对游戏时，拖动知识点进行配对，系统将自动判断是否正确。系统至少提供7种游戏模版，且模版样式支持自定义修改。</w:t>
            </w:r>
          </w:p>
          <w:p w14:paraId="1F3D0E5A">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11、分组竞争游戏：支持创建分组竞争游戏，教师可设置正确项／干扰项，让两组学生开展竞争游戏。系统提供不少于 3 种难度、10种游戏模版选择，且模版样式支持自定义修改。</w:t>
            </w:r>
          </w:p>
          <w:p w14:paraId="45B052F2">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★12、数学公式编辑器：支持复杂数学公式输入，提供不少于 20 个数学符号及模板，输出的公式内容支持不同颜色标记及二次编辑。</w:t>
            </w:r>
          </w:p>
          <w:p w14:paraId="64775A24">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13、数学画板功能：</w:t>
            </w:r>
          </w:p>
          <w:p w14:paraId="18F83617">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a)能在白板中插入在线画板，授课时可以一键打开,方便老师配合课件内容进行讲解。</w:t>
            </w:r>
          </w:p>
          <w:p w14:paraId="41A24048">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b)提供不少于 500 个数学画板资源，覆盖小学、初中、高中学段数学学科主要知识点，并按照知识点分类，便于老师查找。</w:t>
            </w:r>
          </w:p>
          <w:p w14:paraId="685C3ACA">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1A2FEEDC">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0223B972">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6F8C38FA">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15、表格：</w:t>
            </w:r>
          </w:p>
          <w:p w14:paraId="5FC32636">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a)具有表格插入功能，并提供5种以上表格样式供老师选择。</w:t>
            </w:r>
          </w:p>
          <w:p w14:paraId="2E56F1CE">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b)表格能自适应，可一键将表格的行、列调整到最合适的大小。</w:t>
            </w:r>
          </w:p>
          <w:p w14:paraId="6B4B0EF6">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c)具有表格遮罩功能，可对表格中任意一格添加遮罩，在授课模式下通过点击可消除遮罩，方便老师设置互动活动。</w:t>
            </w:r>
          </w:p>
          <w:p w14:paraId="7AE9AEE0">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d)在授课模式下，支持表格克隆功能，可克隆出多个相同表格，</w:t>
            </w:r>
          </w:p>
          <w:p w14:paraId="346248DA">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方便老师请多位同学进行答题互动。</w:t>
            </w:r>
          </w:p>
          <w:p w14:paraId="7D4BCE11">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16、图表：</w:t>
            </w:r>
          </w:p>
          <w:p w14:paraId="004A4A2B">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a)具有图表插入功能，并提供柱状图、扇形图、折线图 3 种图表形式，且每种形式提供不少于5种样式供选择。</w:t>
            </w:r>
          </w:p>
          <w:p w14:paraId="1F07D912">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b)具有图表二维及三维展示形式任意切换，且三维图表支持旋转，方便多角度展示数据变化。</w:t>
            </w:r>
          </w:p>
          <w:p w14:paraId="2E6E952A">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c)具有图表添加超链接，可连接至课件其他页面、网页、软件自带小工具等地方。</w:t>
            </w:r>
          </w:p>
          <w:p w14:paraId="31060766">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d)在授课模式下，支持图表克隆功能，可克隆出多个相同图表，</w:t>
            </w:r>
          </w:p>
          <w:p w14:paraId="5DDFF897">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方便老师进行对比观察。</w:t>
            </w:r>
          </w:p>
          <w:p w14:paraId="1CE89AA9">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★17、古诗词资源：</w:t>
            </w:r>
          </w:p>
          <w:p w14:paraId="197A97A0">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a)提供覆盖多学段的古诗词、古文资源，包含原文、翻译、背景介绍、作者介绍、朗诵音频等。</w:t>
            </w:r>
          </w:p>
          <w:p w14:paraId="500B2BC1">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b)支持用户根据年级、朝代、诗人等进行分类查找，也可直接搜索诗词、古文名称或作者名查找。</w:t>
            </w:r>
          </w:p>
          <w:p w14:paraId="40A45675">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c)提供不少于9种古诗词专用背景模板，老师可贴合古诗词意境选择合适背景进行教学。</w:t>
            </w:r>
          </w:p>
          <w:p w14:paraId="4CDCF792">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d)每篇古诗词、古文均提供原文及翻译、背景介绍、作者介绍等，同时支持一键跳转打开网页，展示对应的背景或作者介绍。</w:t>
            </w:r>
          </w:p>
          <w:p w14:paraId="5E206102">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e)支持老师备课时对原文进行注释、标重点等操作，方便老师讲解重点字词。</w:t>
            </w:r>
          </w:p>
          <w:p w14:paraId="47BD26D9">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f)提供原文朗读功能，全部诗词、古文均配备专业朗读配音，且支持老师在备课时对朗读音频进行打点操作，上课时可播放提前选择好的片段。</w:t>
            </w:r>
          </w:p>
          <w:p w14:paraId="0453A275">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且支持三维、二维切换展示，方便地理学科教学。</w:t>
            </w:r>
          </w:p>
          <w:p w14:paraId="381ED635">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★19、美术画板：具有美术画板工具，提供铅笔、毛笔、油画笔，可实现模拟调色盘功能，老师可自由选择不同颜色进行混合调色，搭配出任意色彩。</w:t>
            </w:r>
          </w:p>
          <w:p w14:paraId="458080FE">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20、美术工具：具备图形自由创作工具，教师可自由绘制复杂的任意多边图形及曲边图形；教师自主创作的图形可存储至个人云空间便于后续使用。</w:t>
            </w:r>
          </w:p>
          <w:p w14:paraId="07CB9FCE">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七、教学辅助工具</w:t>
            </w:r>
          </w:p>
          <w:p w14:paraId="77C38550">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支持设备功能，支持展示当前设备的硬件信息和系统信息。支持查看硬件信息包括：CPU、主板、显卡、硬盘、显示器、网卡、声卡。支持查看系统信息，包括：操作系统、系统激活状态、连接ID、SN号、MAC地址、内外网IP。</w:t>
            </w:r>
          </w:p>
          <w:p w14:paraId="54CF455C">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2、支持查看设备运行状态，包含当前设备内存、CPU使用率、硬盘、系统盘和网速信息。</w:t>
            </w:r>
          </w:p>
          <w:p w14:paraId="661850C3">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3、学校管理员支持通过手机微信扫描接收端软件的二维码登录，支持选择学校并输入设备名称，接收端软件即可完成关联学校；支持学校管理员修改已关联的设备名称。普通老师加入该学校后可在发送端软件中看到该设备并可远程创建接收夹。（投标时须提供国家认可的第三方检测机构出具的关于该功能检测报告复印件）</w:t>
            </w:r>
          </w:p>
          <w:p w14:paraId="543EA854">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4、支持查看当前学校的电脑列表，包括电脑设备状态、归属用户、操作系统、IP地址、上线时间与最后在线时；支持对设备进行分组管理；支持通过设备名称与归属用户进行搜索。</w:t>
            </w:r>
          </w:p>
          <w:p w14:paraId="5DE0DFE8">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5、支持查看单个电脑的硬件信息与系统信息。</w:t>
            </w:r>
          </w:p>
          <w:p w14:paraId="406A906F">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6、支持对单个电脑或批量设备下发关机与重启指令、移动分组、移除设备。</w:t>
            </w:r>
          </w:p>
          <w:p w14:paraId="0965AA8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7、支持展示电脑实时的数据信息，包括CPU、内存、系统盘、总存储、实时网速数据信息，离线的设备展示最后的数据信息。</w:t>
            </w:r>
          </w:p>
          <w:p w14:paraId="04280C7F">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8、支持在统信系统与麒麟系统使用</w:t>
            </w:r>
          </w:p>
          <w:p w14:paraId="642B5B20">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9、支持使用文件快传功能，从发送端传送文件至接收端；支持一次发送20个文件；支持发送图片、视频、文档类型的文件；支持从文件夹或选择文件拖动至文件传输发送区域；支持查看待发送的文件列表；支持在待发送列表中删除文件。（投标时须提供国家认可的第三方检测机构出具的关于该功能检测报告复印件）</w:t>
            </w:r>
          </w:p>
          <w:p w14:paraId="13950DBE">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★10、支持一次发送文件给不同的接收端设备。接收端离线时文件能够暂存在云端，接收端设备在线后支持进行自动下载。（投标时须提供国家认可的第三方检测机构出具的关于该功能检测报告复印件）</w:t>
            </w:r>
          </w:p>
          <w:p w14:paraId="0409C1B2">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★11、支持发送端发的文件在windows、统信系统、麒麟系统的接收端接收文件。（投标时须提供国家认可的第三方检测机构出具的关于该功能检测报告复印件）</w:t>
            </w:r>
          </w:p>
          <w:p w14:paraId="255F8A61">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12、采用云端存储的方式，用户可在发送端软件查看上传的文件；列表展示方式包含列表视图和栅格视图；列表视图中，支持展示文件更新时间和大小。支持在栅格视图中展示小预览图，支持在列表视图中展示文件格式预览图；支持对资料夹文件进行排序，支持按照文件名称、更新时间和大小排序；支持对资料夹文件进行筛选，支持图片、音视频和文档筛选；上传的文件支持用户在手机的移动软件中查看；支持查看当前文件夹的路径，支持点击文件路径跳转至目标文件夹；文件支持根据窗口的显示大小会进行适配，一行显示不同的数量</w:t>
            </w:r>
          </w:p>
          <w:p w14:paraId="20C258D6">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13、支持助手栏添加并展示应用、网站和组件，可通过助手栏打开软件。支持在发送端软件内打开备课、课件库、校本资源、集体备课、作业本、快传、设备；助手栏打开多个软件时支持在窗口内部切换、关闭标签；支持对窗口进行最小化、最大化、关闭操作。（投标时须提供国家认可的第三方检测机构出具的关于该功能检测报告复印件）</w:t>
            </w:r>
          </w:p>
          <w:p w14:paraId="493DD01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14、拖动文件时，支持根据文件判定并展示需要的功能项，文件拖入功能项后打开对应的功能；功能包括PDF转格式、图片转格式、文字快剪、提取文字、发送到大屏、发送到班级；右键点击文件时，支持根据文件判定并展示需要的功能项，选择后打开对应的功能；功能包括PDF转格式、图片转格式、文字快剪、提取文字、发送到大屏、发送到资料夹。（投标时须提供国家认可的第三方检测机构出具的关于该功能检测报告复印件）</w:t>
            </w:r>
          </w:p>
          <w:p w14:paraId="66CA50C1">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15、支持在线对PDF的文件进行转换格式，支持转换格式为XLSX、DOCX、PPT；转换后文件内容的排布与源PDF保持一致；PDF文件转换后支持下载文件至电脑本地，支持对转换后的文件进行编辑，包括编辑文本、编辑表格、编辑图片。（投标时须提供国家认可的第三方检测机构出具的关于该功能检测报告复印件）</w:t>
            </w:r>
          </w:p>
          <w:p w14:paraId="6729524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★16、支持输入主题一键生成活动感想、发言稿、活动策划；支持选择生成的文字数量。（投标时须提供国家认可的第三方检测机构出具的关于该功能检测报告复印件）</w:t>
            </w:r>
          </w:p>
          <w:p w14:paraId="738A279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八、产品售后保障服务</w:t>
            </w:r>
          </w:p>
          <w:p w14:paraId="4D70E7BF">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1、微信售后报修服务：快速输入相关问题及所在区域进行在线保修，贴心服务人员实时在线提供客服专线报修，更好更快的解决售后故障问题带来的使用不便。</w:t>
            </w:r>
          </w:p>
          <w:p w14:paraId="4E95DF7A">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2、微信问题查询服务：提供八大模块的问题查询及解决方案，现场完成简单故障的快速修复指导。</w:t>
            </w:r>
          </w:p>
          <w:p w14:paraId="751A5681">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九、其他要求</w:t>
            </w:r>
          </w:p>
          <w:p w14:paraId="797CB4C2">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1、为确保货物质量及原厂品质，中标供应商在正式供货时必须提供生产厂家针对此项目的售后服务保证原件、供货证明原件，否则采购方将不予验收通过。</w:t>
            </w:r>
          </w:p>
          <w:p w14:paraId="4404A42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2、打“★”号条款为重要技术参数，投标人必须满足否则中标无效。中标公示期内若有其他投标人质疑情况下，中标单位必须提供与标书技术要求及功能符合的全部样品一套至用户处进行整体性能与标书文件核对，协助质疑答复。如出现所提供样品不符招标要求或无法提供所有样品，均视为虚假应标处理并根据招标法及标书要求追究法律责任。</w:t>
            </w:r>
          </w:p>
          <w:p w14:paraId="20CA940C">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b/>
                <w:bCs/>
                <w:i w:val="0"/>
                <w:iCs w:val="0"/>
                <w:color w:val="000000"/>
                <w:kern w:val="2"/>
                <w:sz w:val="21"/>
                <w:szCs w:val="21"/>
                <w:u w:val="none"/>
                <w:lang w:val="en-US" w:eastAsia="zh-CN" w:bidi="ar-SA"/>
              </w:rPr>
              <w:t>实物展台</w:t>
            </w:r>
          </w:p>
          <w:p w14:paraId="7B94B1E8">
            <w:pPr>
              <w:pStyle w:val="11"/>
              <w:keepNext w:val="0"/>
              <w:keepLines w:val="0"/>
              <w:pageBreakBefore w:val="0"/>
              <w:widowControl w:val="0"/>
              <w:numPr>
                <w:ilvl w:val="0"/>
                <w:numId w:val="1"/>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硬件部分：</w:t>
            </w:r>
            <w:r>
              <w:rPr>
                <w:rFonts w:hint="eastAsia" w:ascii="华文宋体" w:hAnsi="华文宋体" w:eastAsia="华文宋体" w:cs="华文宋体"/>
                <w:i w:val="0"/>
                <w:iCs w:val="0"/>
                <w:color w:val="000000"/>
                <w:kern w:val="2"/>
                <w:sz w:val="21"/>
                <w:szCs w:val="21"/>
                <w:u w:val="none"/>
                <w:lang w:val="en-US" w:eastAsia="zh-CN" w:bidi="ar-SA"/>
              </w:rPr>
              <w:br w:type="textWrapping"/>
            </w:r>
            <w:r>
              <w:rPr>
                <w:rFonts w:hint="eastAsia" w:ascii="华文宋体" w:hAnsi="华文宋体" w:eastAsia="华文宋体" w:cs="华文宋体"/>
                <w:i w:val="0"/>
                <w:iCs w:val="0"/>
                <w:color w:val="000000"/>
                <w:kern w:val="2"/>
                <w:sz w:val="21"/>
                <w:szCs w:val="21"/>
                <w:u w:val="none"/>
                <w:lang w:val="en-US" w:eastAsia="zh-CN" w:bidi="ar-SA"/>
              </w:rPr>
              <w:t>1、整机采用圆弧式设计，无锐角；同时托板采用磁吸吸附式机构，防止托板打落，方便打开及固定，避免机械式锁具故障率高的问题。</w:t>
            </w:r>
            <w:r>
              <w:rPr>
                <w:rFonts w:hint="eastAsia" w:ascii="华文宋体" w:hAnsi="华文宋体" w:eastAsia="华文宋体" w:cs="华文宋体"/>
                <w:i w:val="0"/>
                <w:iCs w:val="0"/>
                <w:color w:val="000000"/>
                <w:kern w:val="2"/>
                <w:sz w:val="21"/>
                <w:szCs w:val="21"/>
                <w:u w:val="none"/>
                <w:lang w:val="en-US" w:eastAsia="zh-CN" w:bidi="ar-SA"/>
              </w:rPr>
              <w:br w:type="textWrapping"/>
            </w:r>
            <w:r>
              <w:rPr>
                <w:rFonts w:hint="eastAsia" w:ascii="华文宋体" w:hAnsi="华文宋体" w:eastAsia="华文宋体" w:cs="华文宋体"/>
                <w:i w:val="0"/>
                <w:iCs w:val="0"/>
                <w:color w:val="000000"/>
                <w:kern w:val="2"/>
                <w:sz w:val="21"/>
                <w:szCs w:val="21"/>
                <w:u w:val="none"/>
                <w:lang w:val="en-US" w:eastAsia="zh-CN" w:bidi="ar-SA"/>
              </w:rPr>
              <w:t>2、采用≥800万像素摄像头；采用 USB五伏电源直接供电，无需额外配置电源适配器，环保无辐射；箱内USB连线采用隐藏式设计，箱内无可见连线且USB口下出，有效防止积尘，且方便布线和返修。</w:t>
            </w:r>
            <w:r>
              <w:rPr>
                <w:rFonts w:hint="eastAsia" w:ascii="华文宋体" w:hAnsi="华文宋体" w:eastAsia="华文宋体" w:cs="华文宋体"/>
                <w:i w:val="0"/>
                <w:iCs w:val="0"/>
                <w:color w:val="000000"/>
                <w:kern w:val="2"/>
                <w:sz w:val="21"/>
                <w:szCs w:val="21"/>
                <w:u w:val="none"/>
                <w:lang w:val="en-US" w:eastAsia="zh-CN" w:bidi="ar-SA"/>
              </w:rPr>
              <w:br w:type="textWrapping"/>
            </w:r>
            <w:r>
              <w:rPr>
                <w:rFonts w:hint="eastAsia" w:ascii="华文宋体" w:hAnsi="华文宋体" w:eastAsia="华文宋体" w:cs="华文宋体"/>
                <w:i w:val="0"/>
                <w:iCs w:val="0"/>
                <w:color w:val="000000"/>
                <w:kern w:val="2"/>
                <w:sz w:val="21"/>
                <w:szCs w:val="21"/>
                <w:u w:val="none"/>
                <w:lang w:val="en-US" w:eastAsia="zh-CN" w:bidi="ar-SA"/>
              </w:rPr>
              <w:t>3、A4大小拍摄幅面，1080P动态视频预览达到30帧/秒；托板及挂墙部分采用金属加强，托板可承重3kg，整机壁挂式安装。</w:t>
            </w:r>
            <w:r>
              <w:rPr>
                <w:rFonts w:hint="eastAsia" w:ascii="华文宋体" w:hAnsi="华文宋体" w:eastAsia="华文宋体" w:cs="华文宋体"/>
                <w:i w:val="0"/>
                <w:iCs w:val="0"/>
                <w:color w:val="000000"/>
                <w:kern w:val="2"/>
                <w:sz w:val="21"/>
                <w:szCs w:val="21"/>
                <w:u w:val="none"/>
                <w:lang w:val="en-US" w:eastAsia="zh-CN" w:bidi="ar-SA"/>
              </w:rPr>
              <w:br w:type="textWrapping"/>
            </w:r>
            <w:r>
              <w:rPr>
                <w:rFonts w:hint="eastAsia" w:ascii="华文宋体" w:hAnsi="华文宋体" w:eastAsia="华文宋体" w:cs="华文宋体"/>
                <w:i w:val="0"/>
                <w:iCs w:val="0"/>
                <w:color w:val="000000"/>
                <w:kern w:val="2"/>
                <w:sz w:val="21"/>
                <w:szCs w:val="21"/>
                <w:u w:val="none"/>
                <w:lang w:val="en-US" w:eastAsia="zh-CN" w:bidi="ar-SA"/>
              </w:rPr>
              <w:t>4、支持展台成像画面实时批注，预设多种笔划粗细及颜色供选择，且支持对展台成像画面联同批注内容进行同步缩放、移动。</w:t>
            </w:r>
            <w:r>
              <w:rPr>
                <w:rFonts w:hint="eastAsia" w:ascii="华文宋体" w:hAnsi="华文宋体" w:eastAsia="华文宋体" w:cs="华文宋体"/>
                <w:i w:val="0"/>
                <w:iCs w:val="0"/>
                <w:color w:val="000000"/>
                <w:kern w:val="2"/>
                <w:sz w:val="21"/>
                <w:szCs w:val="21"/>
                <w:u w:val="none"/>
                <w:lang w:val="en-US" w:eastAsia="zh-CN" w:bidi="ar-SA"/>
              </w:rPr>
              <w:br w:type="textWrapping"/>
            </w:r>
            <w:r>
              <w:rPr>
                <w:rFonts w:hint="eastAsia" w:ascii="华文宋体" w:hAnsi="华文宋体" w:eastAsia="华文宋体" w:cs="华文宋体"/>
                <w:i w:val="0"/>
                <w:iCs w:val="0"/>
                <w:color w:val="000000"/>
                <w:kern w:val="2"/>
                <w:sz w:val="21"/>
                <w:szCs w:val="21"/>
                <w:u w:val="none"/>
                <w:lang w:val="en-US" w:eastAsia="zh-CN" w:bidi="ar-SA"/>
              </w:rPr>
              <w:t>5、展示托板正上方具备LED补光灯，保证展示区域的亮度及展示效果，补光灯开关采用触摸按键设计，同时可通过交互智能平板中的软件直接控制开关。</w:t>
            </w:r>
            <w:r>
              <w:rPr>
                <w:rFonts w:hint="eastAsia" w:ascii="华文宋体" w:hAnsi="华文宋体" w:eastAsia="华文宋体" w:cs="华文宋体"/>
                <w:i w:val="0"/>
                <w:iCs w:val="0"/>
                <w:color w:val="000000"/>
                <w:kern w:val="2"/>
                <w:sz w:val="21"/>
                <w:szCs w:val="21"/>
                <w:u w:val="none"/>
                <w:lang w:val="en-US" w:eastAsia="zh-CN" w:bidi="ar-SA"/>
              </w:rPr>
              <w:br w:type="textWrapping"/>
            </w:r>
            <w:r>
              <w:rPr>
                <w:rFonts w:hint="eastAsia" w:ascii="华文宋体" w:hAnsi="华文宋体" w:eastAsia="华文宋体" w:cs="华文宋体"/>
                <w:i w:val="0"/>
                <w:iCs w:val="0"/>
                <w:color w:val="000000"/>
                <w:kern w:val="2"/>
                <w:sz w:val="21"/>
                <w:szCs w:val="21"/>
                <w:u w:val="none"/>
                <w:lang w:val="en-US" w:eastAsia="zh-CN" w:bidi="ar-SA"/>
              </w:rPr>
              <w:t>6、带自动对焦摄像头；外壳在摄像头部分带保护镜片密封，防止灰尘沾染摄像头，防护等级达到IP4X级别。</w:t>
            </w:r>
            <w:r>
              <w:rPr>
                <w:rFonts w:hint="eastAsia" w:ascii="华文宋体" w:hAnsi="华文宋体" w:eastAsia="华文宋体" w:cs="华文宋体"/>
                <w:i w:val="0"/>
                <w:iCs w:val="0"/>
                <w:color w:val="000000"/>
                <w:kern w:val="2"/>
                <w:sz w:val="21"/>
                <w:szCs w:val="21"/>
                <w:u w:val="none"/>
                <w:lang w:val="en-US" w:eastAsia="zh-CN" w:bidi="ar-SA"/>
              </w:rPr>
              <w:br w:type="textWrapping"/>
            </w:r>
            <w:r>
              <w:rPr>
                <w:rFonts w:hint="eastAsia" w:ascii="华文宋体" w:hAnsi="华文宋体" w:eastAsia="华文宋体" w:cs="华文宋体"/>
                <w:i w:val="0"/>
                <w:iCs w:val="0"/>
                <w:color w:val="000000"/>
                <w:kern w:val="2"/>
                <w:sz w:val="21"/>
                <w:szCs w:val="21"/>
                <w:u w:val="none"/>
                <w:lang w:val="en-US" w:eastAsia="zh-CN" w:bidi="ar-SA"/>
              </w:rPr>
              <w:t>7、具有故障自动检测功能：在调用展台却无法出现镜头采集画面信号时，可自动出现检测链接，并给出导致性原因（如硬件连接、摄像头占用、配套软件版本等问题）。</w:t>
            </w:r>
            <w:r>
              <w:rPr>
                <w:rFonts w:hint="eastAsia" w:ascii="华文宋体" w:hAnsi="华文宋体" w:eastAsia="华文宋体" w:cs="华文宋体"/>
                <w:i w:val="0"/>
                <w:iCs w:val="0"/>
                <w:color w:val="000000"/>
                <w:kern w:val="2"/>
                <w:sz w:val="21"/>
                <w:szCs w:val="21"/>
                <w:u w:val="none"/>
                <w:lang w:val="en-US" w:eastAsia="zh-CN" w:bidi="ar-SA"/>
              </w:rPr>
              <w:br w:type="textWrapping"/>
            </w:r>
            <w:r>
              <w:rPr>
                <w:rFonts w:hint="eastAsia" w:ascii="华文宋体" w:hAnsi="华文宋体" w:eastAsia="华文宋体" w:cs="华文宋体"/>
                <w:i w:val="0"/>
                <w:iCs w:val="0"/>
                <w:color w:val="000000"/>
                <w:kern w:val="2"/>
                <w:sz w:val="21"/>
                <w:szCs w:val="21"/>
                <w:u w:val="none"/>
                <w:lang w:val="en-US" w:eastAsia="zh-CN" w:bidi="ar-SA"/>
              </w:rPr>
              <w:t>（二）软件部分：</w:t>
            </w:r>
            <w:r>
              <w:rPr>
                <w:rFonts w:hint="eastAsia" w:ascii="华文宋体" w:hAnsi="华文宋体" w:eastAsia="华文宋体" w:cs="华文宋体"/>
                <w:i w:val="0"/>
                <w:iCs w:val="0"/>
                <w:color w:val="000000"/>
                <w:kern w:val="2"/>
                <w:sz w:val="21"/>
                <w:szCs w:val="21"/>
                <w:u w:val="none"/>
                <w:lang w:val="en-US" w:eastAsia="zh-CN" w:bidi="ar-SA"/>
              </w:rPr>
              <w:br w:type="textWrapping"/>
            </w:r>
            <w:r>
              <w:rPr>
                <w:rFonts w:hint="eastAsia" w:ascii="华文宋体" w:hAnsi="华文宋体" w:eastAsia="华文宋体" w:cs="华文宋体"/>
                <w:i w:val="0"/>
                <w:iCs w:val="0"/>
                <w:color w:val="000000"/>
                <w:kern w:val="2"/>
                <w:sz w:val="21"/>
                <w:szCs w:val="21"/>
                <w:u w:val="none"/>
                <w:lang w:val="en-US" w:eastAsia="zh-CN" w:bidi="ar-SA"/>
              </w:rPr>
              <w:t>1、支持对展台实时画面进行放大、缩小、旋转、自适应、冻结画面等操作。</w:t>
            </w:r>
            <w:r>
              <w:rPr>
                <w:rFonts w:hint="eastAsia" w:ascii="华文宋体" w:hAnsi="华文宋体" w:eastAsia="华文宋体" w:cs="华文宋体"/>
                <w:i w:val="0"/>
                <w:iCs w:val="0"/>
                <w:color w:val="000000"/>
                <w:kern w:val="2"/>
                <w:sz w:val="21"/>
                <w:szCs w:val="21"/>
                <w:u w:val="none"/>
                <w:lang w:val="en-US" w:eastAsia="zh-CN" w:bidi="ar-SA"/>
              </w:rPr>
              <w:br w:type="textWrapping"/>
            </w:r>
            <w:r>
              <w:rPr>
                <w:rFonts w:hint="eastAsia" w:ascii="华文宋体" w:hAnsi="华文宋体" w:eastAsia="华文宋体" w:cs="华文宋体"/>
                <w:i w:val="0"/>
                <w:iCs w:val="0"/>
                <w:color w:val="000000"/>
                <w:kern w:val="2"/>
                <w:sz w:val="21"/>
                <w:szCs w:val="21"/>
                <w:u w:val="none"/>
                <w:lang w:val="en-US" w:eastAsia="zh-CN" w:bidi="ar-SA"/>
              </w:rPr>
              <w:t>2、支持展台画面实时批注，预设多种笔划粗细及颜色供选择，且支持对展台画面联同批注内容进行同步缩放、移动。</w:t>
            </w:r>
            <w:r>
              <w:rPr>
                <w:rFonts w:hint="eastAsia" w:ascii="华文宋体" w:hAnsi="华文宋体" w:eastAsia="华文宋体" w:cs="华文宋体"/>
                <w:i w:val="0"/>
                <w:iCs w:val="0"/>
                <w:color w:val="000000"/>
                <w:kern w:val="2"/>
                <w:sz w:val="21"/>
                <w:szCs w:val="21"/>
                <w:u w:val="none"/>
                <w:lang w:val="en-US" w:eastAsia="zh-CN" w:bidi="ar-SA"/>
              </w:rPr>
              <w:br w:type="textWrapping"/>
            </w:r>
            <w:r>
              <w:rPr>
                <w:rFonts w:hint="eastAsia" w:ascii="华文宋体" w:hAnsi="华文宋体" w:eastAsia="华文宋体" w:cs="华文宋体"/>
                <w:i w:val="0"/>
                <w:iCs w:val="0"/>
                <w:color w:val="000000"/>
                <w:kern w:val="2"/>
                <w:sz w:val="21"/>
                <w:szCs w:val="21"/>
                <w:u w:val="none"/>
                <w:lang w:val="en-US" w:eastAsia="zh-CN" w:bidi="ar-SA"/>
              </w:rPr>
              <w:t>3、支持展台画面拍照截图并进行多图预览，可对任一图片进行全屏显示。</w:t>
            </w:r>
            <w:r>
              <w:rPr>
                <w:rFonts w:hint="eastAsia" w:ascii="华文宋体" w:hAnsi="华文宋体" w:eastAsia="华文宋体" w:cs="华文宋体"/>
                <w:i w:val="0"/>
                <w:iCs w:val="0"/>
                <w:color w:val="000000"/>
                <w:kern w:val="2"/>
                <w:sz w:val="21"/>
                <w:szCs w:val="21"/>
                <w:u w:val="none"/>
                <w:lang w:val="en-US" w:eastAsia="zh-CN" w:bidi="ar-SA"/>
              </w:rPr>
              <w:br w:type="textWrapping"/>
            </w:r>
            <w:r>
              <w:rPr>
                <w:rFonts w:hint="eastAsia" w:ascii="华文宋体" w:hAnsi="华文宋体" w:eastAsia="华文宋体" w:cs="华文宋体"/>
                <w:i w:val="0"/>
                <w:iCs w:val="0"/>
                <w:color w:val="000000"/>
                <w:kern w:val="2"/>
                <w:sz w:val="21"/>
                <w:szCs w:val="21"/>
                <w:u w:val="none"/>
                <w:lang w:val="en-US" w:eastAsia="zh-CN" w:bidi="ar-SA"/>
              </w:rPr>
              <w:t>4、老师可在一体机或电脑上选择延时拍照功能，支持5秒或10秒延时模式，预留充足时间以便调整拍摄内容。</w:t>
            </w:r>
            <w:r>
              <w:rPr>
                <w:rFonts w:hint="eastAsia" w:ascii="华文宋体" w:hAnsi="华文宋体" w:eastAsia="华文宋体" w:cs="华文宋体"/>
                <w:i w:val="0"/>
                <w:iCs w:val="0"/>
                <w:color w:val="000000"/>
                <w:kern w:val="2"/>
                <w:sz w:val="21"/>
                <w:szCs w:val="21"/>
                <w:u w:val="none"/>
                <w:lang w:val="en-US" w:eastAsia="zh-CN" w:bidi="ar-SA"/>
              </w:rPr>
              <w:br w:type="textWrapping"/>
            </w:r>
            <w:r>
              <w:rPr>
                <w:rFonts w:hint="eastAsia" w:ascii="华文宋体" w:hAnsi="华文宋体" w:eastAsia="华文宋体" w:cs="华文宋体"/>
                <w:i w:val="0"/>
                <w:iCs w:val="0"/>
                <w:color w:val="000000"/>
                <w:kern w:val="2"/>
                <w:sz w:val="21"/>
                <w:szCs w:val="21"/>
                <w:u w:val="none"/>
                <w:lang w:val="en-US" w:eastAsia="zh-CN" w:bidi="ar-SA"/>
              </w:rPr>
              <w:t>5、可选择图像、文本或动态三种情景模式，适应不同展示内容。</w:t>
            </w:r>
            <w:r>
              <w:rPr>
                <w:rFonts w:hint="eastAsia" w:ascii="华文宋体" w:hAnsi="华文宋体" w:eastAsia="华文宋体" w:cs="华文宋体"/>
                <w:i w:val="0"/>
                <w:iCs w:val="0"/>
                <w:color w:val="000000"/>
                <w:kern w:val="2"/>
                <w:sz w:val="21"/>
                <w:szCs w:val="21"/>
                <w:u w:val="none"/>
                <w:lang w:val="en-US" w:eastAsia="zh-CN" w:bidi="ar-SA"/>
              </w:rPr>
              <w:br w:type="textWrapping"/>
            </w:r>
            <w:r>
              <w:rPr>
                <w:rFonts w:hint="eastAsia" w:ascii="华文宋体" w:hAnsi="华文宋体" w:eastAsia="华文宋体" w:cs="华文宋体"/>
                <w:i w:val="0"/>
                <w:iCs w:val="0"/>
                <w:color w:val="000000"/>
                <w:kern w:val="2"/>
                <w:sz w:val="21"/>
                <w:szCs w:val="21"/>
                <w:u w:val="none"/>
                <w:lang w:val="en-US" w:eastAsia="zh-CN" w:bidi="ar-SA"/>
              </w:rPr>
              <w:t>6、具备图像增强功能，可自动裁剪背景并增强文字显示，使文档画面更清晰。</w:t>
            </w:r>
            <w:r>
              <w:rPr>
                <w:rFonts w:hint="eastAsia" w:ascii="华文宋体" w:hAnsi="华文宋体" w:eastAsia="华文宋体" w:cs="华文宋体"/>
                <w:i w:val="0"/>
                <w:iCs w:val="0"/>
                <w:color w:val="000000"/>
                <w:kern w:val="2"/>
                <w:sz w:val="21"/>
                <w:szCs w:val="21"/>
                <w:u w:val="none"/>
                <w:lang w:val="en-US" w:eastAsia="zh-CN" w:bidi="ar-SA"/>
              </w:rPr>
              <w:br w:type="textWrapping"/>
            </w:r>
            <w:r>
              <w:rPr>
                <w:rFonts w:hint="eastAsia" w:ascii="华文宋体" w:hAnsi="华文宋体" w:eastAsia="华文宋体" w:cs="华文宋体"/>
                <w:i w:val="0"/>
                <w:iCs w:val="0"/>
                <w:color w:val="000000"/>
                <w:kern w:val="2"/>
                <w:sz w:val="21"/>
                <w:szCs w:val="21"/>
                <w:u w:val="none"/>
                <w:lang w:val="en-US" w:eastAsia="zh-CN" w:bidi="ar-SA"/>
              </w:rPr>
              <w:t>7、支持故障自动检测，在软件无法出现展台拍摄画面时，自动出现检测链接，帮助用户检测“无画面”的原因，并给出引导性解决方案。可判断硬件连接、显卡驱动、摄像头占用、软件版本等问题。</w:t>
            </w:r>
            <w:r>
              <w:rPr>
                <w:rFonts w:hint="eastAsia" w:ascii="华文宋体" w:hAnsi="华文宋体" w:eastAsia="华文宋体" w:cs="华文宋体"/>
                <w:i w:val="0"/>
                <w:iCs w:val="0"/>
                <w:color w:val="000000"/>
                <w:kern w:val="2"/>
                <w:sz w:val="21"/>
                <w:szCs w:val="21"/>
                <w:u w:val="none"/>
                <w:lang w:val="en-US" w:eastAsia="zh-CN" w:bidi="ar-SA"/>
              </w:rPr>
              <w:br w:type="textWrapping"/>
            </w:r>
            <w:r>
              <w:rPr>
                <w:rFonts w:hint="eastAsia" w:ascii="华文宋体" w:hAnsi="华文宋体" w:eastAsia="华文宋体" w:cs="华文宋体"/>
                <w:i w:val="0"/>
                <w:iCs w:val="0"/>
                <w:color w:val="000000"/>
                <w:kern w:val="2"/>
                <w:sz w:val="21"/>
                <w:szCs w:val="21"/>
                <w:u w:val="none"/>
                <w:lang w:val="en-US" w:eastAsia="zh-CN" w:bidi="ar-SA"/>
              </w:rPr>
              <w:t>8、支持二维码扫码功能：打开扫一扫功能后，将书本上的二维码放入扫描框内即可自动扫描，并进入系统浏览器获取二维码的链接内容，帮助老师快速获取电子教学资源。</w:t>
            </w:r>
          </w:p>
          <w:p w14:paraId="4B0D0C19">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华文宋体" w:hAnsi="华文宋体" w:eastAsia="华文宋体" w:cs="华文宋体"/>
                <w:b/>
                <w:bCs/>
                <w:i w:val="0"/>
                <w:iCs w:val="0"/>
                <w:color w:val="000000"/>
                <w:kern w:val="2"/>
                <w:sz w:val="21"/>
                <w:szCs w:val="21"/>
                <w:u w:val="none"/>
                <w:lang w:val="en-US" w:eastAsia="zh-CN" w:bidi="ar-SA"/>
              </w:rPr>
            </w:pPr>
            <w:r>
              <w:rPr>
                <w:rFonts w:hint="eastAsia" w:ascii="华文宋体" w:hAnsi="华文宋体" w:eastAsia="华文宋体" w:cs="华文宋体"/>
                <w:b/>
                <w:bCs/>
                <w:i w:val="0"/>
                <w:iCs w:val="0"/>
                <w:color w:val="000000"/>
                <w:kern w:val="2"/>
                <w:sz w:val="21"/>
                <w:szCs w:val="21"/>
                <w:u w:val="none"/>
                <w:lang w:val="en-US" w:eastAsia="zh-CN" w:bidi="ar-SA"/>
              </w:rPr>
              <w:t>推拉黑板</w:t>
            </w:r>
          </w:p>
          <w:p w14:paraId="08901613">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1、整体外观尺寸：宽≥4200mm，高≥1243mm，厚≤149mm。</w:t>
            </w:r>
          </w:p>
          <w:p w14:paraId="571A0BA1">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2、书写板为左右推拉结构，由活动板、固定板、大框（轨道）、滑动系统构成，支持多媒体设备居中安装；书写板左右去竖框化设计。</w:t>
            </w:r>
          </w:p>
          <w:p w14:paraId="10EFEB68">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3、书写板分内外双层，内层为固定书写板，采用无固定件安装，与多媒体设备正面平齐；外层为滑动书写板，可左右推拉，两块活动板闭合后，无边框障碍，可连续书写。</w:t>
            </w:r>
          </w:p>
          <w:p w14:paraId="7348A62A">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4、面板、背板四边折边，流水线作业，保证产品一致性，尺寸误差≤0.2mm，对角线误差≤0.3mm；活动板、固定板四边无铝合金边框。</w:t>
            </w:r>
          </w:p>
          <w:p w14:paraId="7339467D">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5、包角采用ABS工程塑料，模具注塑一次成型，银灰色，长≤150mm，不接受拼接，采用内插式设计。</w:t>
            </w:r>
          </w:p>
          <w:p w14:paraId="1A1987AA">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华文宋体" w:hAnsi="华文宋体" w:eastAsia="华文宋体" w:cs="华文宋体"/>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6、每块活动板上、下安装四个≥50mm增强改性尼龙滑块模组；上T型正向吊装，厚度≥5mm滑动设计；下滑块模组采用单轨限位设计，活动板晃动≤0.5mm、无噪音。</w:t>
            </w:r>
          </w:p>
          <w:p w14:paraId="5CFBF81A">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华文宋体" w:hAnsi="华文宋体" w:eastAsia="华文宋体" w:cs="华文宋体"/>
                <w:b w:val="0"/>
                <w:bCs w:val="0"/>
                <w:i w:val="0"/>
                <w:iCs w:val="0"/>
                <w:color w:val="000000"/>
                <w:kern w:val="2"/>
                <w:sz w:val="21"/>
                <w:szCs w:val="21"/>
                <w:u w:val="none"/>
                <w:lang w:val="en-US" w:eastAsia="zh-CN" w:bidi="ar-SA"/>
              </w:rPr>
            </w:pPr>
            <w:r>
              <w:rPr>
                <w:rFonts w:hint="eastAsia" w:ascii="华文宋体" w:hAnsi="华文宋体" w:eastAsia="华文宋体" w:cs="华文宋体"/>
                <w:i w:val="0"/>
                <w:iCs w:val="0"/>
                <w:color w:val="000000"/>
                <w:kern w:val="2"/>
                <w:sz w:val="21"/>
                <w:szCs w:val="21"/>
                <w:u w:val="none"/>
                <w:lang w:val="en-US" w:eastAsia="zh-CN" w:bidi="ar-SA"/>
              </w:rPr>
              <w:t>7、硬度：涂层硬度≥5H；光泽度：光泽度＜6%，没有明显眩光；板面书写流畅，笔记均匀，字迹清晰，易擦拭。</w:t>
            </w:r>
          </w:p>
          <w:p w14:paraId="334447F6">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华文宋体" w:hAnsi="华文宋体" w:eastAsia="华文宋体" w:cs="华文宋体"/>
                <w:b w:val="0"/>
                <w:bCs w:val="0"/>
                <w:i w:val="0"/>
                <w:iCs w:val="0"/>
                <w:color w:val="000000"/>
                <w:kern w:val="2"/>
                <w:sz w:val="21"/>
                <w:szCs w:val="21"/>
                <w:u w:val="none"/>
                <w:lang w:val="en-US" w:eastAsia="zh-CN" w:bidi="ar-SA"/>
              </w:rPr>
            </w:pPr>
            <w:r>
              <w:rPr>
                <w:rFonts w:hint="eastAsia" w:ascii="华文宋体" w:hAnsi="华文宋体" w:eastAsia="华文宋体" w:cs="华文宋体"/>
                <w:b/>
                <w:bCs/>
                <w:i w:val="0"/>
                <w:iCs w:val="0"/>
                <w:color w:val="000000"/>
                <w:kern w:val="2"/>
                <w:sz w:val="21"/>
                <w:szCs w:val="21"/>
                <w:u w:val="none"/>
                <w:lang w:val="en-US" w:eastAsia="zh-CN" w:bidi="ar-SA"/>
              </w:rPr>
              <w:t>讲台</w:t>
            </w:r>
          </w:p>
          <w:p w14:paraId="2C15F23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1"/>
                <w:szCs w:val="21"/>
              </w:rPr>
            </w:pPr>
            <w:r>
              <w:rPr>
                <w:rFonts w:hint="eastAsia" w:ascii="华文宋体" w:hAnsi="华文宋体" w:eastAsia="华文宋体" w:cs="华文宋体"/>
                <w:sz w:val="21"/>
                <w:szCs w:val="21"/>
              </w:rPr>
              <w:t>1.采用分体式结构，长770mm、宽565mm、高930mm。</w:t>
            </w:r>
          </w:p>
          <w:p w14:paraId="20A53E4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1"/>
                <w:szCs w:val="21"/>
              </w:rPr>
            </w:pPr>
            <w:r>
              <w:rPr>
                <w:rFonts w:hint="eastAsia" w:ascii="华文宋体" w:hAnsi="华文宋体" w:eastAsia="华文宋体" w:cs="华文宋体"/>
                <w:sz w:val="21"/>
                <w:szCs w:val="21"/>
              </w:rPr>
              <w:t>2.讲台颜色为灰白色与木纹色相间，美观大方。讲台表面经磷化处理后静电喷塑、高温固化处理而成，静电喷塑选用优质塑粉，不含溶剂，安全环保，能够避免污染教室空气，保护师生身体健康。</w:t>
            </w:r>
          </w:p>
          <w:p w14:paraId="16B5147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1"/>
                <w:szCs w:val="21"/>
              </w:rPr>
            </w:pPr>
            <w:r>
              <w:rPr>
                <w:rFonts w:hint="eastAsia" w:ascii="华文宋体" w:hAnsi="华文宋体" w:eastAsia="华文宋体" w:cs="华文宋体"/>
                <w:sz w:val="21"/>
                <w:szCs w:val="21"/>
              </w:rPr>
              <w:t>3.讲台材料为优质冷轧钢板，材料壁厚≥1.</w:t>
            </w:r>
            <w:r>
              <w:rPr>
                <w:rFonts w:hint="eastAsia" w:ascii="华文宋体" w:hAnsi="华文宋体" w:eastAsia="华文宋体" w:cs="华文宋体"/>
                <w:sz w:val="21"/>
                <w:szCs w:val="21"/>
                <w:lang w:eastAsia="zh-CN"/>
              </w:rPr>
              <w:t>0m</w:t>
            </w:r>
            <w:r>
              <w:rPr>
                <w:rFonts w:hint="eastAsia" w:ascii="华文宋体" w:hAnsi="华文宋体" w:eastAsia="华文宋体" w:cs="华文宋体"/>
                <w:sz w:val="21"/>
                <w:szCs w:val="21"/>
              </w:rPr>
              <w:t>m。上箱体造型美观，前端面由3块面板组成，外边两块面板采用先进的静电转印技术，配有木纹色。</w:t>
            </w:r>
          </w:p>
          <w:p w14:paraId="4DFD9C7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1"/>
                <w:szCs w:val="21"/>
              </w:rPr>
            </w:pPr>
            <w:r>
              <w:rPr>
                <w:rFonts w:hint="eastAsia" w:ascii="华文宋体" w:hAnsi="华文宋体" w:eastAsia="华文宋体" w:cs="华文宋体"/>
                <w:sz w:val="21"/>
                <w:szCs w:val="21"/>
              </w:rPr>
              <w:t>4.上箱体前端面板高出桌面40mm，可有效防止教学器材滑落，两侧配有木扶手，可方便教师抓扶。上箱体为中空结构，上面配有方便开启的小门，可以放置高拍仪及教学器材，小门上配有邮箱锁，可随时锁上关闭，确保教具安全。</w:t>
            </w:r>
          </w:p>
          <w:p w14:paraId="70169F6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1"/>
                <w:szCs w:val="21"/>
              </w:rPr>
            </w:pPr>
            <w:r>
              <w:rPr>
                <w:rFonts w:hint="eastAsia" w:ascii="华文宋体" w:hAnsi="华文宋体" w:eastAsia="华文宋体" w:cs="华文宋体"/>
                <w:sz w:val="21"/>
                <w:szCs w:val="21"/>
              </w:rPr>
              <w:t>5.上箱体底板配有敲落孔，方便外接教学仪器。下箱体结构简洁美观，后面配有柜门可单独锁定，两侧开有通风百叶窗，底台配有敲落穿线孔，所有开孔部位均采用橡胶保护套保护，并配有安全保护提示警告标记。</w:t>
            </w:r>
          </w:p>
          <w:p w14:paraId="71468E94">
            <w:pPr>
              <w:pStyle w:val="11"/>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华文宋体" w:hAnsi="华文宋体" w:eastAsia="华文宋体" w:cs="华文宋体"/>
                <w:b w:val="0"/>
                <w:bCs w:val="0"/>
                <w:i w:val="0"/>
                <w:iCs w:val="0"/>
                <w:color w:val="000000"/>
                <w:kern w:val="2"/>
                <w:sz w:val="21"/>
                <w:szCs w:val="21"/>
                <w:u w:val="none"/>
                <w:lang w:val="en-US" w:eastAsia="zh-CN" w:bidi="ar-SA"/>
              </w:rPr>
            </w:pPr>
            <w:r>
              <w:rPr>
                <w:rFonts w:hint="eastAsia" w:ascii="华文宋体" w:hAnsi="华文宋体" w:eastAsia="华文宋体" w:cs="华文宋体"/>
                <w:sz w:val="21"/>
                <w:szCs w:val="21"/>
              </w:rPr>
              <w:t>6.产品设计合理，空间紧凑新颖，边缘及拐角均采用圆弧设计，无棱角，不反光不遮挡学生视线，有效保护学生安全健康。</w:t>
            </w:r>
          </w:p>
        </w:tc>
        <w:tc>
          <w:tcPr>
            <w:tcW w:w="708" w:type="dxa"/>
            <w:vAlign w:val="center"/>
          </w:tcPr>
          <w:p w14:paraId="75727A52">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asciiTheme="minorEastAsia" w:hAnsiTheme="minorEastAsia" w:eastAsiaTheme="minorEastAsia"/>
                <w:kern w:val="0"/>
                <w:sz w:val="21"/>
                <w:szCs w:val="21"/>
              </w:rPr>
            </w:pPr>
            <w:r>
              <w:rPr>
                <w:rFonts w:hint="eastAsia" w:asciiTheme="minorEastAsia" w:hAnsiTheme="minorEastAsia" w:eastAsiaTheme="minorEastAsia"/>
                <w:kern w:val="0"/>
                <w:sz w:val="21"/>
                <w:szCs w:val="21"/>
              </w:rPr>
              <w:t>套</w:t>
            </w:r>
          </w:p>
        </w:tc>
        <w:tc>
          <w:tcPr>
            <w:tcW w:w="851" w:type="dxa"/>
            <w:vAlign w:val="center"/>
          </w:tcPr>
          <w:p w14:paraId="43CB8237">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eastAsia="宋体" w:asciiTheme="minorEastAsia" w:hAnsiTheme="minorEastAsia"/>
                <w:kern w:val="0"/>
                <w:sz w:val="21"/>
                <w:szCs w:val="21"/>
                <w:lang w:eastAsia="zh-CN"/>
              </w:rPr>
            </w:pPr>
            <w:r>
              <w:rPr>
                <w:rFonts w:hint="eastAsia" w:eastAsia="宋体" w:asciiTheme="minorEastAsia" w:hAnsiTheme="minorEastAsia"/>
                <w:kern w:val="0"/>
                <w:sz w:val="21"/>
                <w:szCs w:val="21"/>
                <w:lang w:val="en-US" w:eastAsia="zh-CN"/>
              </w:rPr>
              <w:t>6</w:t>
            </w:r>
          </w:p>
        </w:tc>
      </w:tr>
      <w:tr w14:paraId="0EC4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14:paraId="4F428413">
            <w:pPr>
              <w:keepNext w:val="0"/>
              <w:keepLines w:val="0"/>
              <w:pageBreakBefore w:val="0"/>
              <w:widowControl w:val="0"/>
              <w:kinsoku/>
              <w:wordWrap/>
              <w:overflowPunct/>
              <w:topLinePunct w:val="0"/>
              <w:autoSpaceDE/>
              <w:autoSpaceDN/>
              <w:bidi w:val="0"/>
              <w:adjustRightInd/>
              <w:snapToGrid/>
              <w:spacing w:line="320" w:lineRule="exact"/>
              <w:ind w:firstLine="105" w:firstLineChars="50"/>
              <w:jc w:val="left"/>
              <w:textAlignment w:val="auto"/>
              <w:rPr>
                <w:rFonts w:hint="eastAsia" w:eastAsia="宋体" w:asciiTheme="minorEastAsia" w:hAnsiTheme="minorEastAsia"/>
                <w:kern w:val="0"/>
                <w:sz w:val="21"/>
                <w:szCs w:val="21"/>
                <w:lang w:eastAsia="zh-CN"/>
              </w:rPr>
            </w:pPr>
            <w:r>
              <w:rPr>
                <w:rFonts w:hint="eastAsia" w:eastAsia="宋体" w:asciiTheme="minorEastAsia" w:hAnsiTheme="minorEastAsia"/>
                <w:kern w:val="0"/>
                <w:sz w:val="21"/>
                <w:szCs w:val="21"/>
                <w:lang w:val="en-US" w:eastAsia="zh-CN"/>
              </w:rPr>
              <w:t>2</w:t>
            </w:r>
          </w:p>
        </w:tc>
        <w:tc>
          <w:tcPr>
            <w:tcW w:w="1228" w:type="dxa"/>
            <w:vAlign w:val="center"/>
          </w:tcPr>
          <w:p w14:paraId="45D1AA7D">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eastAsia="宋体" w:asciiTheme="minorEastAsia" w:hAnsiTheme="minorEastAsia"/>
                <w:kern w:val="0"/>
                <w:sz w:val="21"/>
                <w:szCs w:val="21"/>
                <w:lang w:eastAsia="zh-CN"/>
              </w:rPr>
            </w:pPr>
            <w:r>
              <w:rPr>
                <w:rFonts w:hint="eastAsia" w:eastAsia="宋体" w:asciiTheme="minorEastAsia" w:hAnsiTheme="minorEastAsia"/>
                <w:kern w:val="0"/>
                <w:sz w:val="21"/>
                <w:szCs w:val="21"/>
                <w:lang w:eastAsia="zh-CN"/>
              </w:rPr>
              <w:t>课桌椅</w:t>
            </w:r>
          </w:p>
        </w:tc>
        <w:tc>
          <w:tcPr>
            <w:tcW w:w="4455" w:type="dxa"/>
            <w:vAlign w:val="center"/>
          </w:tcPr>
          <w:p w14:paraId="2B07FC25">
            <w:pPr>
              <w:pStyle w:val="11"/>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kern w:val="0"/>
                <w:sz w:val="21"/>
                <w:szCs w:val="21"/>
              </w:rPr>
            </w:pPr>
            <w:r>
              <w:rPr>
                <w:rFonts w:hint="eastAsia" w:ascii="华文宋体" w:hAnsi="华文宋体" w:eastAsia="华文宋体" w:cs="华文宋体"/>
                <w:kern w:val="0"/>
                <w:sz w:val="21"/>
                <w:szCs w:val="21"/>
              </w:rPr>
              <w:t>桌面尺寸</w:t>
            </w:r>
            <w:r>
              <w:rPr>
                <w:rFonts w:hint="eastAsia" w:ascii="华文宋体" w:hAnsi="华文宋体" w:eastAsia="华文宋体" w:cs="华文宋体"/>
                <w:kern w:val="0"/>
                <w:sz w:val="21"/>
                <w:szCs w:val="21"/>
                <w:lang w:eastAsia="zh-CN"/>
              </w:rPr>
              <w:t>：</w:t>
            </w:r>
            <w:r>
              <w:rPr>
                <w:rFonts w:hint="eastAsia" w:ascii="华文宋体" w:hAnsi="华文宋体" w:eastAsia="华文宋体" w:cs="华文宋体"/>
                <w:kern w:val="0"/>
                <w:sz w:val="21"/>
                <w:szCs w:val="21"/>
              </w:rPr>
              <w:t>60cm*40cm*15mm:</w:t>
            </w:r>
          </w:p>
          <w:p w14:paraId="2EABCD06">
            <w:pPr>
              <w:pStyle w:val="11"/>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kern w:val="0"/>
                <w:sz w:val="21"/>
                <w:szCs w:val="21"/>
              </w:rPr>
            </w:pPr>
            <w:r>
              <w:rPr>
                <w:rFonts w:hint="eastAsia" w:ascii="华文宋体" w:hAnsi="华文宋体" w:eastAsia="华文宋体" w:cs="华文宋体"/>
                <w:kern w:val="0"/>
                <w:sz w:val="21"/>
                <w:szCs w:val="21"/>
              </w:rPr>
              <w:t>椅面尺寸</w:t>
            </w:r>
            <w:r>
              <w:rPr>
                <w:rFonts w:hint="eastAsia" w:ascii="华文宋体" w:hAnsi="华文宋体" w:eastAsia="华文宋体" w:cs="华文宋体"/>
                <w:kern w:val="0"/>
                <w:sz w:val="21"/>
                <w:szCs w:val="21"/>
                <w:lang w:eastAsia="zh-CN"/>
              </w:rPr>
              <w:t>：</w:t>
            </w:r>
            <w:r>
              <w:rPr>
                <w:rFonts w:hint="eastAsia" w:ascii="华文宋体" w:hAnsi="华文宋体" w:eastAsia="华文宋体" w:cs="华文宋体"/>
                <w:kern w:val="0"/>
                <w:sz w:val="21"/>
                <w:szCs w:val="21"/>
              </w:rPr>
              <w:t>36cm*40cm*15mm:</w:t>
            </w:r>
          </w:p>
          <w:p w14:paraId="559BFCB1">
            <w:pPr>
              <w:pStyle w:val="11"/>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kern w:val="0"/>
                <w:sz w:val="21"/>
                <w:szCs w:val="21"/>
              </w:rPr>
            </w:pPr>
            <w:r>
              <w:rPr>
                <w:rFonts w:hint="eastAsia" w:ascii="华文宋体" w:hAnsi="华文宋体" w:eastAsia="华文宋体" w:cs="华文宋体"/>
                <w:kern w:val="0"/>
                <w:sz w:val="21"/>
                <w:szCs w:val="21"/>
              </w:rPr>
              <w:t>课桌可调节高度</w:t>
            </w:r>
            <w:r>
              <w:rPr>
                <w:rFonts w:hint="eastAsia" w:ascii="华文宋体" w:hAnsi="华文宋体" w:eastAsia="华文宋体" w:cs="华文宋体"/>
                <w:kern w:val="0"/>
                <w:sz w:val="21"/>
                <w:szCs w:val="21"/>
                <w:lang w:eastAsia="zh-CN"/>
              </w:rPr>
              <w:t>：</w:t>
            </w:r>
            <w:r>
              <w:rPr>
                <w:rFonts w:hint="eastAsia" w:ascii="华文宋体" w:hAnsi="华文宋体" w:eastAsia="华文宋体" w:cs="华文宋体"/>
                <w:kern w:val="0"/>
                <w:sz w:val="21"/>
                <w:szCs w:val="21"/>
              </w:rPr>
              <w:t>64cm-76cm:</w:t>
            </w:r>
          </w:p>
          <w:p w14:paraId="0B293A47">
            <w:pPr>
              <w:pStyle w:val="11"/>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kern w:val="0"/>
                <w:sz w:val="21"/>
                <w:szCs w:val="21"/>
              </w:rPr>
            </w:pPr>
            <w:r>
              <w:rPr>
                <w:rFonts w:hint="eastAsia" w:ascii="华文宋体" w:hAnsi="华文宋体" w:eastAsia="华文宋体" w:cs="华文宋体"/>
                <w:kern w:val="0"/>
                <w:sz w:val="21"/>
                <w:szCs w:val="21"/>
              </w:rPr>
              <w:t>椅子可调节高度</w:t>
            </w:r>
            <w:r>
              <w:rPr>
                <w:rFonts w:hint="eastAsia" w:ascii="华文宋体" w:hAnsi="华文宋体" w:eastAsia="华文宋体" w:cs="华文宋体"/>
                <w:kern w:val="0"/>
                <w:sz w:val="21"/>
                <w:szCs w:val="21"/>
                <w:lang w:eastAsia="zh-CN"/>
              </w:rPr>
              <w:t>：</w:t>
            </w:r>
            <w:r>
              <w:rPr>
                <w:rFonts w:hint="eastAsia" w:ascii="华文宋体" w:hAnsi="华文宋体" w:eastAsia="华文宋体" w:cs="华文宋体"/>
                <w:kern w:val="0"/>
                <w:sz w:val="21"/>
                <w:szCs w:val="21"/>
              </w:rPr>
              <w:t>36cm-42cm:</w:t>
            </w:r>
          </w:p>
          <w:p w14:paraId="2AEDAD0A">
            <w:pPr>
              <w:pStyle w:val="11"/>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kern w:val="0"/>
                <w:sz w:val="21"/>
                <w:szCs w:val="21"/>
              </w:rPr>
            </w:pPr>
            <w:r>
              <w:rPr>
                <w:rFonts w:hint="eastAsia" w:ascii="华文宋体" w:hAnsi="华文宋体" w:eastAsia="华文宋体" w:cs="华文宋体"/>
                <w:kern w:val="0"/>
                <w:sz w:val="21"/>
                <w:szCs w:val="21"/>
              </w:rPr>
              <w:t>材质</w:t>
            </w:r>
            <w:r>
              <w:rPr>
                <w:rFonts w:hint="eastAsia" w:ascii="华文宋体" w:hAnsi="华文宋体" w:eastAsia="华文宋体" w:cs="华文宋体"/>
                <w:kern w:val="0"/>
                <w:sz w:val="21"/>
                <w:szCs w:val="21"/>
                <w:lang w:eastAsia="zh-CN"/>
              </w:rPr>
              <w:t>：</w:t>
            </w:r>
            <w:r>
              <w:rPr>
                <w:rFonts w:hint="eastAsia" w:ascii="华文宋体" w:hAnsi="华文宋体" w:eastAsia="华文宋体" w:cs="华文宋体"/>
                <w:kern w:val="0"/>
                <w:sz w:val="21"/>
                <w:szCs w:val="21"/>
              </w:rPr>
              <w:t>桌面，椅面，椅靠背采用环保高密度板材</w:t>
            </w:r>
            <w:r>
              <w:rPr>
                <w:rFonts w:hint="eastAsia" w:ascii="华文宋体" w:hAnsi="华文宋体" w:eastAsia="华文宋体" w:cs="华文宋体"/>
                <w:kern w:val="0"/>
                <w:sz w:val="21"/>
                <w:szCs w:val="21"/>
                <w:lang w:eastAsia="zh-CN"/>
              </w:rPr>
              <w:t>（天蓝色）</w:t>
            </w:r>
            <w:r>
              <w:rPr>
                <w:rFonts w:hint="eastAsia" w:ascii="华文宋体" w:hAnsi="华文宋体" w:eastAsia="华文宋体" w:cs="华文宋体"/>
                <w:kern w:val="0"/>
                <w:sz w:val="21"/>
                <w:szCs w:val="21"/>
              </w:rPr>
              <w:t>,  钢管采用50mm*20mm*0.8mm椭圆形钢管， 升降片采用0.7mm优质冷轧钢板一次冲压成型，斗板采用0.5mm优质冷轧钢板一次冲压成型，钢材表面采用环保（灰色）塑粉喷塑经高温烘烤而成。</w:t>
            </w:r>
          </w:p>
        </w:tc>
        <w:tc>
          <w:tcPr>
            <w:tcW w:w="708" w:type="dxa"/>
            <w:vAlign w:val="center"/>
          </w:tcPr>
          <w:p w14:paraId="7B142402">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eastAsia="宋体" w:asciiTheme="minorEastAsia" w:hAnsiTheme="minorEastAsia"/>
                <w:kern w:val="0"/>
                <w:sz w:val="21"/>
                <w:szCs w:val="21"/>
                <w:lang w:eastAsia="zh-CN"/>
              </w:rPr>
            </w:pPr>
            <w:r>
              <w:rPr>
                <w:rFonts w:hint="eastAsia" w:eastAsia="宋体" w:asciiTheme="minorEastAsia" w:hAnsiTheme="minorEastAsia"/>
                <w:kern w:val="0"/>
                <w:sz w:val="21"/>
                <w:szCs w:val="21"/>
                <w:lang w:eastAsia="zh-CN"/>
              </w:rPr>
              <w:t>套</w:t>
            </w:r>
          </w:p>
        </w:tc>
        <w:tc>
          <w:tcPr>
            <w:tcW w:w="851" w:type="dxa"/>
            <w:vAlign w:val="center"/>
          </w:tcPr>
          <w:p w14:paraId="4EB65697">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default" w:eastAsia="宋体" w:asciiTheme="minorEastAsia" w:hAnsiTheme="minorEastAsia"/>
                <w:kern w:val="0"/>
                <w:sz w:val="21"/>
                <w:szCs w:val="21"/>
                <w:lang w:val="en-US" w:eastAsia="zh-CN"/>
              </w:rPr>
            </w:pPr>
            <w:r>
              <w:rPr>
                <w:rFonts w:hint="eastAsia" w:eastAsia="宋体" w:asciiTheme="minorEastAsia" w:hAnsiTheme="minorEastAsia"/>
                <w:kern w:val="0"/>
                <w:sz w:val="21"/>
                <w:szCs w:val="21"/>
                <w:lang w:val="en-US" w:eastAsia="zh-CN"/>
              </w:rPr>
              <w:t>312</w:t>
            </w:r>
          </w:p>
        </w:tc>
      </w:tr>
      <w:tr w14:paraId="6908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14:paraId="19916A49">
            <w:pPr>
              <w:keepNext w:val="0"/>
              <w:keepLines w:val="0"/>
              <w:pageBreakBefore w:val="0"/>
              <w:widowControl w:val="0"/>
              <w:kinsoku/>
              <w:wordWrap/>
              <w:overflowPunct/>
              <w:topLinePunct w:val="0"/>
              <w:autoSpaceDE/>
              <w:autoSpaceDN/>
              <w:bidi w:val="0"/>
              <w:adjustRightInd/>
              <w:snapToGrid/>
              <w:spacing w:line="320" w:lineRule="exact"/>
              <w:ind w:firstLine="105" w:firstLineChars="50"/>
              <w:jc w:val="left"/>
              <w:textAlignment w:val="auto"/>
              <w:rPr>
                <w:rFonts w:hint="eastAsia" w:eastAsia="宋体" w:asciiTheme="minorEastAsia" w:hAnsiTheme="minorEastAsia"/>
                <w:kern w:val="0"/>
                <w:sz w:val="21"/>
                <w:szCs w:val="21"/>
                <w:lang w:eastAsia="zh-CN"/>
              </w:rPr>
            </w:pPr>
            <w:r>
              <w:rPr>
                <w:rFonts w:hint="eastAsia" w:eastAsia="宋体" w:asciiTheme="minorEastAsia" w:hAnsiTheme="minorEastAsia"/>
                <w:kern w:val="0"/>
                <w:sz w:val="21"/>
                <w:szCs w:val="21"/>
                <w:lang w:val="en-US" w:eastAsia="zh-CN"/>
              </w:rPr>
              <w:t>3</w:t>
            </w:r>
          </w:p>
        </w:tc>
        <w:tc>
          <w:tcPr>
            <w:tcW w:w="1228" w:type="dxa"/>
            <w:vAlign w:val="center"/>
          </w:tcPr>
          <w:p w14:paraId="7AA73F9E">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eastAsia="宋体" w:asciiTheme="minorEastAsia" w:hAnsiTheme="minorEastAsia"/>
                <w:kern w:val="0"/>
                <w:sz w:val="21"/>
                <w:szCs w:val="21"/>
                <w:lang w:eastAsia="zh-CN"/>
              </w:rPr>
            </w:pPr>
            <w:r>
              <w:rPr>
                <w:rFonts w:hint="eastAsia" w:eastAsia="宋体" w:asciiTheme="minorEastAsia" w:hAnsiTheme="minorEastAsia"/>
                <w:kern w:val="0"/>
                <w:sz w:val="21"/>
                <w:szCs w:val="21"/>
                <w:lang w:eastAsia="zh-CN"/>
              </w:rPr>
              <w:t>教师桌椅</w:t>
            </w:r>
            <w:bookmarkStart w:id="1" w:name="_GoBack"/>
            <w:bookmarkEnd w:id="1"/>
          </w:p>
        </w:tc>
        <w:tc>
          <w:tcPr>
            <w:tcW w:w="4455" w:type="dxa"/>
            <w:vAlign w:val="center"/>
          </w:tcPr>
          <w:p w14:paraId="6EC4F192">
            <w:pPr>
              <w:pStyle w:val="11"/>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kern w:val="0"/>
                <w:sz w:val="21"/>
                <w:szCs w:val="21"/>
                <w:lang w:eastAsia="zh-CN"/>
              </w:rPr>
            </w:pPr>
            <w:r>
              <w:rPr>
                <w:rFonts w:hint="eastAsia" w:ascii="华文宋体" w:hAnsi="华文宋体" w:eastAsia="华文宋体" w:cs="华文宋体"/>
                <w:kern w:val="0"/>
                <w:sz w:val="21"/>
                <w:szCs w:val="21"/>
                <w:lang w:eastAsia="zh-CN"/>
              </w:rPr>
              <w:t>规格：约1100*650*1000mm（按学校实际情况定制）材质：材料采用一级三聚氰胺密度板，桌面面板厚度不小于25mm，其余板材厚度不小于15mm，配三个抽屉，键盘托盘，电脑主机位；优质五金配件，不小于1mm厚PVC封边条。颜色可选。配办公椅一张。</w:t>
            </w:r>
          </w:p>
        </w:tc>
        <w:tc>
          <w:tcPr>
            <w:tcW w:w="708" w:type="dxa"/>
            <w:vAlign w:val="center"/>
          </w:tcPr>
          <w:p w14:paraId="147462B5">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eastAsia="宋体" w:asciiTheme="minorEastAsia" w:hAnsiTheme="minorEastAsia"/>
                <w:kern w:val="0"/>
                <w:sz w:val="21"/>
                <w:szCs w:val="21"/>
                <w:lang w:eastAsia="zh-CN"/>
              </w:rPr>
            </w:pPr>
            <w:r>
              <w:rPr>
                <w:rFonts w:hint="eastAsia" w:eastAsia="宋体" w:asciiTheme="minorEastAsia" w:hAnsiTheme="minorEastAsia"/>
                <w:kern w:val="0"/>
                <w:sz w:val="21"/>
                <w:szCs w:val="21"/>
                <w:lang w:eastAsia="zh-CN"/>
              </w:rPr>
              <w:t>套</w:t>
            </w:r>
          </w:p>
        </w:tc>
        <w:tc>
          <w:tcPr>
            <w:tcW w:w="851" w:type="dxa"/>
            <w:vAlign w:val="center"/>
          </w:tcPr>
          <w:p w14:paraId="4FFB6630">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eastAsia="宋体" w:asciiTheme="minorEastAsia" w:hAnsiTheme="minorEastAsia"/>
                <w:kern w:val="0"/>
                <w:sz w:val="21"/>
                <w:szCs w:val="21"/>
                <w:lang w:eastAsia="zh-CN"/>
              </w:rPr>
            </w:pPr>
            <w:r>
              <w:rPr>
                <w:rFonts w:hint="eastAsia" w:asciiTheme="minorEastAsia" w:hAnsiTheme="minorEastAsia" w:eastAsiaTheme="minorEastAsia"/>
                <w:kern w:val="0"/>
                <w:sz w:val="21"/>
                <w:szCs w:val="21"/>
              </w:rPr>
              <w:t>1</w:t>
            </w:r>
            <w:r>
              <w:rPr>
                <w:rFonts w:hint="eastAsia" w:eastAsia="宋体" w:asciiTheme="minorEastAsia" w:hAnsiTheme="minorEastAsia"/>
                <w:kern w:val="0"/>
                <w:sz w:val="21"/>
                <w:szCs w:val="21"/>
                <w:lang w:val="en-US" w:eastAsia="zh-CN"/>
              </w:rPr>
              <w:t>6</w:t>
            </w:r>
          </w:p>
        </w:tc>
      </w:tr>
      <w:tr w14:paraId="68A1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14:paraId="735F040C">
            <w:pPr>
              <w:keepNext w:val="0"/>
              <w:keepLines w:val="0"/>
              <w:pageBreakBefore w:val="0"/>
              <w:widowControl w:val="0"/>
              <w:kinsoku/>
              <w:wordWrap/>
              <w:overflowPunct/>
              <w:topLinePunct w:val="0"/>
              <w:autoSpaceDE/>
              <w:autoSpaceDN/>
              <w:bidi w:val="0"/>
              <w:adjustRightInd/>
              <w:snapToGrid/>
              <w:spacing w:line="320" w:lineRule="exact"/>
              <w:ind w:firstLine="105" w:firstLineChars="50"/>
              <w:jc w:val="left"/>
              <w:textAlignment w:val="auto"/>
              <w:rPr>
                <w:rFonts w:hint="eastAsia" w:eastAsia="宋体" w:asciiTheme="minorEastAsia" w:hAnsiTheme="minorEastAsia"/>
                <w:kern w:val="0"/>
                <w:sz w:val="21"/>
                <w:szCs w:val="21"/>
                <w:lang w:eastAsia="zh-CN"/>
              </w:rPr>
            </w:pPr>
            <w:r>
              <w:rPr>
                <w:rFonts w:hint="eastAsia" w:eastAsia="宋体" w:asciiTheme="minorEastAsia" w:hAnsiTheme="minorEastAsia"/>
                <w:kern w:val="0"/>
                <w:sz w:val="21"/>
                <w:szCs w:val="21"/>
                <w:lang w:val="en-US" w:eastAsia="zh-CN"/>
              </w:rPr>
              <w:t>4</w:t>
            </w:r>
          </w:p>
        </w:tc>
        <w:tc>
          <w:tcPr>
            <w:tcW w:w="1228" w:type="dxa"/>
            <w:vAlign w:val="center"/>
          </w:tcPr>
          <w:p w14:paraId="1F2B4150">
            <w:pPr>
              <w:keepNext w:val="0"/>
              <w:keepLines w:val="0"/>
              <w:pageBreakBefore w:val="0"/>
              <w:widowControl w:val="0"/>
              <w:kinsoku/>
              <w:wordWrap/>
              <w:overflowPunct/>
              <w:topLinePunct w:val="0"/>
              <w:autoSpaceDE/>
              <w:autoSpaceDN/>
              <w:bidi w:val="0"/>
              <w:adjustRightInd/>
              <w:snapToGrid/>
              <w:spacing w:line="320" w:lineRule="exact"/>
              <w:ind w:firstLine="0" w:firstLineChars="0"/>
              <w:jc w:val="left"/>
              <w:textAlignment w:val="auto"/>
              <w:rPr>
                <w:rFonts w:hint="eastAsia" w:eastAsia="宋体" w:asciiTheme="minorEastAsia" w:hAnsiTheme="minorEastAsia"/>
                <w:kern w:val="0"/>
                <w:sz w:val="21"/>
                <w:szCs w:val="21"/>
                <w:lang w:eastAsia="zh-CN"/>
              </w:rPr>
            </w:pPr>
            <w:r>
              <w:rPr>
                <w:rFonts w:hint="eastAsia" w:eastAsia="宋体" w:asciiTheme="minorEastAsia" w:hAnsiTheme="minorEastAsia"/>
                <w:kern w:val="0"/>
                <w:sz w:val="21"/>
                <w:szCs w:val="21"/>
                <w:lang w:eastAsia="zh-CN"/>
              </w:rPr>
              <w:t>打印机</w:t>
            </w:r>
          </w:p>
        </w:tc>
        <w:tc>
          <w:tcPr>
            <w:tcW w:w="4455" w:type="dxa"/>
            <w:vAlign w:val="center"/>
          </w:tcPr>
          <w:p w14:paraId="16D488B0">
            <w:pPr>
              <w:pStyle w:val="11"/>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kern w:val="0"/>
                <w:sz w:val="21"/>
                <w:szCs w:val="21"/>
              </w:rPr>
            </w:pPr>
            <w:r>
              <w:rPr>
                <w:rFonts w:hint="eastAsia" w:ascii="华文宋体" w:hAnsi="华文宋体" w:eastAsia="华文宋体" w:cs="华文宋体"/>
                <w:kern w:val="0"/>
                <w:sz w:val="21"/>
                <w:szCs w:val="21"/>
              </w:rPr>
              <w:t>1、打印速度(A4) 单面打印：33ppm、双面打印速度：15spm；</w:t>
            </w:r>
          </w:p>
          <w:p w14:paraId="6F617B57">
            <w:pPr>
              <w:pStyle w:val="11"/>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kern w:val="0"/>
                <w:sz w:val="21"/>
                <w:szCs w:val="21"/>
              </w:rPr>
            </w:pPr>
            <w:r>
              <w:rPr>
                <w:rFonts w:hint="eastAsia" w:ascii="华文宋体" w:hAnsi="华文宋体" w:eastAsia="华文宋体" w:cs="华文宋体"/>
                <w:kern w:val="0"/>
                <w:sz w:val="21"/>
                <w:szCs w:val="21"/>
              </w:rPr>
              <w:t>2、首页打印时间 ≤5.5s（基于17540测试标准）</w:t>
            </w:r>
          </w:p>
          <w:p w14:paraId="63C10C1B">
            <w:pPr>
              <w:pStyle w:val="11"/>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kern w:val="0"/>
                <w:sz w:val="21"/>
                <w:szCs w:val="21"/>
              </w:rPr>
            </w:pPr>
            <w:r>
              <w:rPr>
                <w:rFonts w:hint="eastAsia" w:ascii="华文宋体" w:hAnsi="华文宋体" w:eastAsia="华文宋体" w:cs="华文宋体"/>
                <w:kern w:val="0"/>
                <w:sz w:val="21"/>
                <w:szCs w:val="21"/>
              </w:rPr>
              <w:t>3、打印分辨率：最大1200x600 dpi；</w:t>
            </w:r>
          </w:p>
          <w:p w14:paraId="2C6892BC">
            <w:pPr>
              <w:pStyle w:val="11"/>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kern w:val="0"/>
                <w:sz w:val="21"/>
                <w:szCs w:val="21"/>
              </w:rPr>
            </w:pPr>
            <w:r>
              <w:rPr>
                <w:rFonts w:hint="eastAsia" w:ascii="华文宋体" w:hAnsi="华文宋体" w:eastAsia="华文宋体" w:cs="华文宋体"/>
                <w:kern w:val="0"/>
                <w:sz w:val="21"/>
                <w:szCs w:val="21"/>
              </w:rPr>
              <w:t>4、处理器 600MHz；内存 512MB；</w:t>
            </w:r>
          </w:p>
          <w:p w14:paraId="23EE208F">
            <w:pPr>
              <w:pStyle w:val="11"/>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kern w:val="0"/>
                <w:sz w:val="21"/>
                <w:szCs w:val="21"/>
              </w:rPr>
            </w:pPr>
            <w:r>
              <w:rPr>
                <w:rFonts w:hint="eastAsia" w:ascii="华文宋体" w:hAnsi="华文宋体" w:eastAsia="华文宋体" w:cs="华文宋体"/>
                <w:kern w:val="0"/>
                <w:sz w:val="21"/>
                <w:szCs w:val="21"/>
              </w:rPr>
              <w:t>5、双面打印： 支持自动双面打印；</w:t>
            </w:r>
          </w:p>
          <w:p w14:paraId="5F3B503F">
            <w:pPr>
              <w:pStyle w:val="11"/>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kern w:val="0"/>
                <w:sz w:val="21"/>
                <w:szCs w:val="21"/>
              </w:rPr>
            </w:pPr>
            <w:r>
              <w:rPr>
                <w:rFonts w:hint="eastAsia" w:ascii="华文宋体" w:hAnsi="华文宋体" w:eastAsia="华文宋体" w:cs="华文宋体"/>
                <w:kern w:val="0"/>
                <w:sz w:val="21"/>
                <w:szCs w:val="21"/>
              </w:rPr>
              <w:t>6、设备接口：USB、RJ45；</w:t>
            </w:r>
          </w:p>
          <w:p w14:paraId="2F22FCB0">
            <w:pPr>
              <w:pStyle w:val="11"/>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kern w:val="0"/>
                <w:sz w:val="21"/>
                <w:szCs w:val="21"/>
              </w:rPr>
            </w:pPr>
            <w:r>
              <w:rPr>
                <w:rFonts w:hint="eastAsia" w:ascii="华文宋体" w:hAnsi="华文宋体" w:eastAsia="华文宋体" w:cs="华文宋体"/>
                <w:kern w:val="0"/>
                <w:sz w:val="21"/>
                <w:szCs w:val="21"/>
              </w:rPr>
              <w:t>7、月打印负荷 60000；</w:t>
            </w:r>
          </w:p>
          <w:p w14:paraId="7824F940">
            <w:pPr>
              <w:pStyle w:val="11"/>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kern w:val="0"/>
                <w:sz w:val="21"/>
                <w:szCs w:val="21"/>
              </w:rPr>
            </w:pPr>
            <w:r>
              <w:rPr>
                <w:rFonts w:hint="eastAsia" w:ascii="华文宋体" w:hAnsi="华文宋体" w:eastAsia="华文宋体" w:cs="华文宋体"/>
                <w:kern w:val="0"/>
                <w:sz w:val="21"/>
                <w:szCs w:val="21"/>
              </w:rPr>
              <w:t>8、纸张容量：纸张输入容量 250页，纸张输出容量 150页；</w:t>
            </w:r>
          </w:p>
          <w:p w14:paraId="700A37F8">
            <w:pPr>
              <w:pStyle w:val="11"/>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kern w:val="0"/>
                <w:sz w:val="21"/>
                <w:szCs w:val="21"/>
              </w:rPr>
            </w:pPr>
            <w:r>
              <w:rPr>
                <w:rFonts w:hint="eastAsia" w:ascii="华文宋体" w:hAnsi="华文宋体" w:eastAsia="华文宋体" w:cs="华文宋体"/>
                <w:kern w:val="0"/>
                <w:sz w:val="21"/>
                <w:szCs w:val="21"/>
              </w:rPr>
              <w:t>9、操作系统 Windows Server 2008/Server 2012 /Server 2016/XP/Vista/Win7/Win8/Win8.1/Win10/win11（32/64bit）</w:t>
            </w:r>
          </w:p>
          <w:p w14:paraId="55B53D8B">
            <w:pPr>
              <w:pStyle w:val="11"/>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kern w:val="0"/>
                <w:sz w:val="21"/>
                <w:szCs w:val="21"/>
              </w:rPr>
            </w:pPr>
            <w:r>
              <w:rPr>
                <w:rFonts w:hint="eastAsia" w:ascii="华文宋体" w:hAnsi="华文宋体" w:eastAsia="华文宋体" w:cs="华文宋体"/>
                <w:kern w:val="0"/>
                <w:sz w:val="21"/>
                <w:szCs w:val="21"/>
              </w:rPr>
              <w:t>银河麒麟+飞腾、银河麒麟+龙芯、银河麒麟+兆芯、银河麒麟+海光、银河麒麟+鲲鹏；UOS+飞腾、UOS+兆芯、UOS+海光、UOS+鲲鹏、UOS+龙芯；</w:t>
            </w:r>
          </w:p>
        </w:tc>
        <w:tc>
          <w:tcPr>
            <w:tcW w:w="708" w:type="dxa"/>
            <w:vAlign w:val="center"/>
          </w:tcPr>
          <w:p w14:paraId="2506D371">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eastAsia="宋体" w:asciiTheme="minorEastAsia" w:hAnsiTheme="minorEastAsia"/>
                <w:kern w:val="0"/>
                <w:sz w:val="21"/>
                <w:szCs w:val="21"/>
                <w:lang w:eastAsia="zh-CN"/>
              </w:rPr>
            </w:pPr>
            <w:r>
              <w:rPr>
                <w:rFonts w:hint="eastAsia" w:eastAsia="宋体" w:asciiTheme="minorEastAsia" w:hAnsiTheme="minorEastAsia"/>
                <w:kern w:val="0"/>
                <w:sz w:val="21"/>
                <w:szCs w:val="21"/>
                <w:lang w:eastAsia="zh-CN"/>
              </w:rPr>
              <w:t>台</w:t>
            </w:r>
          </w:p>
        </w:tc>
        <w:tc>
          <w:tcPr>
            <w:tcW w:w="851" w:type="dxa"/>
            <w:vAlign w:val="center"/>
          </w:tcPr>
          <w:p w14:paraId="11EA56A4">
            <w:pPr>
              <w:keepNext w:val="0"/>
              <w:keepLines w:val="0"/>
              <w:pageBreakBefore w:val="0"/>
              <w:widowControl w:val="0"/>
              <w:kinsoku/>
              <w:wordWrap/>
              <w:overflowPunct/>
              <w:topLinePunct w:val="0"/>
              <w:autoSpaceDE/>
              <w:autoSpaceDN/>
              <w:bidi w:val="0"/>
              <w:adjustRightInd/>
              <w:snapToGrid/>
              <w:spacing w:line="320" w:lineRule="exact"/>
              <w:ind w:firstLine="0" w:firstLineChars="0"/>
              <w:jc w:val="center"/>
              <w:textAlignment w:val="auto"/>
              <w:rPr>
                <w:rFonts w:hint="eastAsia" w:eastAsia="宋体" w:asciiTheme="minorEastAsia" w:hAnsiTheme="minorEastAsia"/>
                <w:kern w:val="0"/>
                <w:sz w:val="21"/>
                <w:szCs w:val="21"/>
                <w:lang w:eastAsia="zh-CN"/>
              </w:rPr>
            </w:pPr>
            <w:r>
              <w:rPr>
                <w:rFonts w:hint="eastAsia" w:eastAsia="宋体" w:asciiTheme="minorEastAsia" w:hAnsiTheme="minorEastAsia"/>
                <w:kern w:val="0"/>
                <w:sz w:val="21"/>
                <w:szCs w:val="21"/>
                <w:lang w:val="en-US" w:eastAsia="zh-CN"/>
              </w:rPr>
              <w:t>8</w:t>
            </w:r>
          </w:p>
        </w:tc>
      </w:tr>
      <w:tr w14:paraId="47596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4" w:type="dxa"/>
            <w:gridSpan w:val="5"/>
            <w:vAlign w:val="center"/>
          </w:tcPr>
          <w:p w14:paraId="67F502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华文宋体" w:hAnsi="华文宋体" w:eastAsia="华文宋体" w:cs="华文宋体"/>
                <w:sz w:val="21"/>
                <w:szCs w:val="21"/>
                <w:lang w:val="en-US" w:eastAsia="zh-CN"/>
              </w:rPr>
            </w:pPr>
            <w:r>
              <w:rPr>
                <w:rFonts w:hint="eastAsia" w:ascii="华文宋体" w:hAnsi="华文宋体" w:eastAsia="华文宋体" w:cs="华文宋体"/>
                <w:sz w:val="21"/>
                <w:szCs w:val="21"/>
                <w:lang w:val="en-US" w:eastAsia="zh-CN"/>
              </w:rPr>
              <w:t>商务要求</w:t>
            </w:r>
          </w:p>
        </w:tc>
      </w:tr>
      <w:tr w14:paraId="7D0D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gridSpan w:val="2"/>
            <w:vAlign w:val="center"/>
          </w:tcPr>
          <w:p w14:paraId="437B58AB">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售后服务要求及免费保修期</w:t>
            </w:r>
          </w:p>
        </w:tc>
        <w:tc>
          <w:tcPr>
            <w:tcW w:w="6014" w:type="dxa"/>
            <w:gridSpan w:val="3"/>
            <w:vAlign w:val="center"/>
          </w:tcPr>
          <w:p w14:paraId="6E056AE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1"/>
                <w:szCs w:val="21"/>
              </w:rPr>
            </w:pPr>
            <w:r>
              <w:rPr>
                <w:rFonts w:hint="eastAsia" w:ascii="华文宋体" w:hAnsi="华文宋体" w:eastAsia="华文宋体" w:cs="华文宋体"/>
                <w:sz w:val="21"/>
                <w:szCs w:val="21"/>
              </w:rPr>
              <w:t>免费送货上门，免费安装调试合格，按国家有关规定实行产品“三包”。免费保修期最短不得少于一年(“采购需求表”中有特殊要求的，按其要求执行），在质保期内设备运行发生故障，中标人必须免费提供维修服务。投标人投标时必须承诺对本项目设备提供终身服务，保修期外的服务费用由采购人和中标人另行商议。</w:t>
            </w:r>
          </w:p>
        </w:tc>
      </w:tr>
      <w:tr w14:paraId="25BB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gridSpan w:val="2"/>
            <w:vAlign w:val="center"/>
          </w:tcPr>
          <w:p w14:paraId="7E513DD8">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交付使用时间及地点</w:t>
            </w:r>
          </w:p>
        </w:tc>
        <w:tc>
          <w:tcPr>
            <w:tcW w:w="6014" w:type="dxa"/>
            <w:gridSpan w:val="3"/>
            <w:vAlign w:val="center"/>
          </w:tcPr>
          <w:p w14:paraId="0DBE8C9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1"/>
                <w:szCs w:val="21"/>
              </w:rPr>
            </w:pPr>
            <w:r>
              <w:rPr>
                <w:rFonts w:hint="eastAsia" w:ascii="华文宋体" w:hAnsi="华文宋体" w:eastAsia="华文宋体" w:cs="华文宋体"/>
                <w:sz w:val="21"/>
                <w:szCs w:val="21"/>
              </w:rPr>
              <w:t>交付时间：自合同签订后</w:t>
            </w:r>
            <w:r>
              <w:rPr>
                <w:rFonts w:hint="eastAsia" w:ascii="华文宋体" w:hAnsi="华文宋体" w:eastAsia="华文宋体" w:cs="华文宋体"/>
                <w:sz w:val="21"/>
                <w:szCs w:val="21"/>
                <w:lang w:val="en-US" w:eastAsia="zh-CN"/>
              </w:rPr>
              <w:t>7</w:t>
            </w:r>
            <w:r>
              <w:rPr>
                <w:rFonts w:hint="eastAsia" w:ascii="华文宋体" w:hAnsi="华文宋体" w:eastAsia="华文宋体" w:cs="华文宋体"/>
                <w:sz w:val="21"/>
                <w:szCs w:val="21"/>
              </w:rPr>
              <w:t>日内完成安装与调试完毕并验证合格。</w:t>
            </w:r>
          </w:p>
          <w:p w14:paraId="62255AB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1"/>
                <w:szCs w:val="21"/>
              </w:rPr>
            </w:pPr>
            <w:r>
              <w:rPr>
                <w:rFonts w:hint="eastAsia" w:ascii="华文宋体" w:hAnsi="华文宋体" w:eastAsia="华文宋体" w:cs="华文宋体"/>
                <w:sz w:val="21"/>
                <w:szCs w:val="21"/>
              </w:rPr>
              <w:t>交付地点：广西桂林市采购人指定地点。</w:t>
            </w:r>
          </w:p>
        </w:tc>
      </w:tr>
      <w:tr w14:paraId="3D205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gridSpan w:val="2"/>
            <w:vAlign w:val="center"/>
          </w:tcPr>
          <w:p w14:paraId="1647F670">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付款方式</w:t>
            </w:r>
          </w:p>
        </w:tc>
        <w:tc>
          <w:tcPr>
            <w:tcW w:w="6014" w:type="dxa"/>
            <w:gridSpan w:val="3"/>
            <w:vAlign w:val="center"/>
          </w:tcPr>
          <w:p w14:paraId="61C5D52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1"/>
                <w:szCs w:val="21"/>
              </w:rPr>
            </w:pPr>
            <w:r>
              <w:rPr>
                <w:rFonts w:hint="eastAsia" w:ascii="华文宋体" w:hAnsi="华文宋体" w:eastAsia="华文宋体" w:cs="华文宋体"/>
                <w:sz w:val="21"/>
                <w:szCs w:val="21"/>
              </w:rPr>
              <w:t>本项目无预付款，</w:t>
            </w:r>
            <w:r>
              <w:rPr>
                <w:rFonts w:hint="eastAsia" w:ascii="华文宋体" w:hAnsi="华文宋体" w:eastAsia="华文宋体" w:cs="华文宋体"/>
                <w:sz w:val="21"/>
                <w:szCs w:val="21"/>
                <w:lang w:val="zh-CN"/>
              </w:rPr>
              <w:t>本项目的资金拨付根据项目资金的到账情况及财政部门的付款流程、付款期限执行，采购人不承担延期付款的责任。专项资金到帐且项目验收合格后，向采购人提交合同全款发票，采购人在收到全款发票之日起 15 个工作日内支付合同款的100%给成交人。</w:t>
            </w:r>
          </w:p>
        </w:tc>
      </w:tr>
      <w:tr w14:paraId="71B2A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gridSpan w:val="2"/>
            <w:vAlign w:val="center"/>
          </w:tcPr>
          <w:p w14:paraId="1BCFB302">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其他要求</w:t>
            </w:r>
          </w:p>
        </w:tc>
        <w:tc>
          <w:tcPr>
            <w:tcW w:w="6014" w:type="dxa"/>
            <w:gridSpan w:val="3"/>
            <w:vAlign w:val="center"/>
          </w:tcPr>
          <w:p w14:paraId="0A1316F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1"/>
                <w:szCs w:val="21"/>
              </w:rPr>
            </w:pPr>
            <w:r>
              <w:rPr>
                <w:rFonts w:hint="eastAsia" w:ascii="华文宋体" w:hAnsi="华文宋体" w:eastAsia="华文宋体" w:cs="华文宋体"/>
                <w:sz w:val="21"/>
                <w:szCs w:val="21"/>
              </w:rPr>
              <w:t>1.投标人应根据采购需求中的各项需求并提交相关资料，上传加盖供应商公章的项目报价表、供应商为法人或者其他组织的提供其营业执照等证明文件、售后服务承诺、技术规格偏离表、商务条款提供的其他文件资料等，不符合将按无效响应处理。</w:t>
            </w:r>
          </w:p>
          <w:p w14:paraId="1963CC6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1"/>
                <w:szCs w:val="21"/>
              </w:rPr>
            </w:pPr>
            <w:r>
              <w:rPr>
                <w:rFonts w:hint="eastAsia" w:ascii="华文宋体" w:hAnsi="华文宋体" w:eastAsia="华文宋体" w:cs="华文宋体"/>
                <w:sz w:val="21"/>
                <w:szCs w:val="21"/>
              </w:rPr>
              <w:t>2.为方便教学以及后期的硬件、软件升级与维护， 供货时须提供生产厂家针对此项目的售后服务承诺函原件并加盖投标人公章。</w:t>
            </w:r>
          </w:p>
          <w:p w14:paraId="24A575B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1"/>
                <w:szCs w:val="21"/>
              </w:rPr>
            </w:pPr>
            <w:r>
              <w:rPr>
                <w:rFonts w:hint="eastAsia" w:ascii="华文宋体" w:hAnsi="华文宋体" w:eastAsia="华文宋体" w:cs="华文宋体"/>
                <w:sz w:val="21"/>
                <w:szCs w:val="21"/>
              </w:rPr>
              <w:t>3. 成交供应商须在供货时提供货物需求表中要求提供的检验报告原件以备核查，验收时功能与参数一一核对，一旦查出有虚假应标谋取中标行为的，将按政府采购法的相关规定报同级财政监管部门，按相关规定予以处罚。</w:t>
            </w:r>
          </w:p>
          <w:p w14:paraId="7AA2CA3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1"/>
                <w:szCs w:val="21"/>
              </w:rPr>
            </w:pPr>
            <w:r>
              <w:rPr>
                <w:rFonts w:hint="eastAsia" w:ascii="华文宋体" w:hAnsi="华文宋体" w:eastAsia="华文宋体" w:cs="华文宋体"/>
                <w:sz w:val="21"/>
                <w:szCs w:val="21"/>
              </w:rPr>
              <w:t>4.验收要求：学校在接受验收申请5个工作日内完成验收工作。成交供应商将《验收单》提供给学校验收小组，验收小组按配备至学校的中标货物，数量、型号及技术参数；按设备安装与调试情况进行整体验收。验收产生的一切相关费用由成交供应商承担。如验收不合格，中标供应商应在3日内进行更换、调试，未按要求进行更换、调试或再次验收不合格的，采购人有权解除合同，由此造成的损失由中标供应商自行承担。</w:t>
            </w:r>
          </w:p>
          <w:p w14:paraId="5233C7A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1"/>
                <w:szCs w:val="21"/>
              </w:rPr>
            </w:pPr>
            <w:r>
              <w:rPr>
                <w:rFonts w:hint="eastAsia" w:ascii="华文宋体" w:hAnsi="华文宋体" w:eastAsia="华文宋体" w:cs="华文宋体"/>
                <w:sz w:val="21"/>
                <w:szCs w:val="21"/>
              </w:rPr>
              <w:t>5.本项目采购预算金额为人民币：</w:t>
            </w:r>
            <w:r>
              <w:rPr>
                <w:rFonts w:hint="eastAsia" w:ascii="华文宋体" w:hAnsi="华文宋体" w:eastAsia="华文宋体" w:cs="华文宋体"/>
                <w:sz w:val="21"/>
                <w:szCs w:val="21"/>
                <w:lang w:eastAsia="zh-CN"/>
              </w:rPr>
              <w:t>贰</w:t>
            </w:r>
            <w:r>
              <w:rPr>
                <w:rFonts w:hint="eastAsia" w:ascii="华文宋体" w:hAnsi="华文宋体" w:eastAsia="华文宋体" w:cs="华文宋体"/>
                <w:sz w:val="21"/>
                <w:szCs w:val="21"/>
              </w:rPr>
              <w:t>拾</w:t>
            </w:r>
            <w:r>
              <w:rPr>
                <w:rFonts w:hint="eastAsia" w:ascii="华文宋体" w:hAnsi="华文宋体" w:eastAsia="华文宋体" w:cs="华文宋体"/>
                <w:sz w:val="21"/>
                <w:szCs w:val="21"/>
                <w:lang w:eastAsia="zh-CN"/>
              </w:rPr>
              <w:t>肆</w:t>
            </w:r>
            <w:r>
              <w:rPr>
                <w:rFonts w:hint="eastAsia" w:ascii="华文宋体" w:hAnsi="华文宋体" w:eastAsia="华文宋体" w:cs="华文宋体"/>
                <w:sz w:val="21"/>
                <w:szCs w:val="21"/>
              </w:rPr>
              <w:t>万</w:t>
            </w:r>
            <w:r>
              <w:rPr>
                <w:rFonts w:hint="eastAsia" w:ascii="华文宋体" w:hAnsi="华文宋体" w:eastAsia="华文宋体" w:cs="华文宋体"/>
                <w:sz w:val="21"/>
                <w:szCs w:val="21"/>
                <w:lang w:eastAsia="zh-CN"/>
              </w:rPr>
              <w:t>玖仟</w:t>
            </w:r>
            <w:r>
              <w:rPr>
                <w:rFonts w:hint="eastAsia" w:ascii="华文宋体" w:hAnsi="华文宋体" w:eastAsia="华文宋体" w:cs="华文宋体"/>
                <w:sz w:val="21"/>
                <w:szCs w:val="21"/>
              </w:rPr>
              <w:t>元整（￥</w:t>
            </w:r>
            <w:r>
              <w:rPr>
                <w:rFonts w:hint="eastAsia" w:ascii="华文宋体" w:hAnsi="华文宋体" w:eastAsia="华文宋体" w:cs="华文宋体"/>
                <w:sz w:val="21"/>
                <w:szCs w:val="21"/>
                <w:lang w:val="en-US" w:eastAsia="zh-CN"/>
              </w:rPr>
              <w:t>249000</w:t>
            </w:r>
            <w:r>
              <w:rPr>
                <w:rFonts w:hint="eastAsia" w:ascii="华文宋体" w:hAnsi="华文宋体" w:eastAsia="华文宋体" w:cs="华文宋体"/>
                <w:sz w:val="21"/>
                <w:szCs w:val="21"/>
              </w:rPr>
              <w:t>.00），报价超出采购预算金额的，其响应文件按无效处理。</w:t>
            </w:r>
          </w:p>
          <w:p w14:paraId="277EB29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1"/>
                <w:szCs w:val="21"/>
              </w:rPr>
            </w:pPr>
            <w:r>
              <w:rPr>
                <w:rFonts w:hint="eastAsia" w:ascii="华文宋体" w:hAnsi="华文宋体" w:eastAsia="华文宋体" w:cs="华文宋体"/>
                <w:sz w:val="21"/>
                <w:szCs w:val="21"/>
              </w:rPr>
              <w:t>6.本项目货物不接受进口产品（即通过中国海关报关验放进入中国境内且产自关境外的产品）参与竞标，如有此类产品参与竞标的，其响应文件作无效处理。</w:t>
            </w:r>
          </w:p>
          <w:p w14:paraId="42957CA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1"/>
                <w:szCs w:val="21"/>
              </w:rPr>
            </w:pPr>
            <w:r>
              <w:rPr>
                <w:rFonts w:hint="eastAsia" w:ascii="华文宋体" w:hAnsi="华文宋体" w:eastAsia="华文宋体" w:cs="华文宋体"/>
                <w:sz w:val="21"/>
                <w:szCs w:val="21"/>
              </w:rPr>
              <w:t>7.对于故障处理，要求中标人在质保期内提供7x24小时提供免费提供维护服务。接到故障通知后中标供应商应在30分钟内电话服务应答，售后到场时间需在1个小时以内，并提供解决方案，保证设备正常运行。不具备上述条件的供应商报价无效。</w:t>
            </w:r>
          </w:p>
          <w:p w14:paraId="7BDB146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华文宋体" w:hAnsi="华文宋体" w:eastAsia="华文宋体" w:cs="华文宋体"/>
                <w:sz w:val="21"/>
                <w:szCs w:val="21"/>
              </w:rPr>
            </w:pPr>
            <w:r>
              <w:rPr>
                <w:rFonts w:hint="eastAsia" w:ascii="华文宋体" w:hAnsi="华文宋体" w:eastAsia="华文宋体" w:cs="华文宋体"/>
                <w:sz w:val="21"/>
                <w:szCs w:val="21"/>
              </w:rPr>
              <w:t>8.本次报价须为人民币报价，包含：包括软件（开发）、硬件、服务、安装、调试、检验、技术培训及技术资料、包装、运输、保险、一切税金、售后服务及其它与本项目有关的未列明的一切费用。对于本文件中未列明，而供应商认为必需的费用也需列入总报价。在合同实施时，采购人将不予支付成交供应商没有列入的项目费用，并认为此项目的费用已包括在响应总报价中。</w:t>
            </w:r>
          </w:p>
        </w:tc>
      </w:tr>
    </w:tbl>
    <w:p w14:paraId="00907964">
      <w:pPr>
        <w:spacing w:line="240" w:lineRule="auto"/>
        <w:ind w:firstLine="0" w:firstLineChars="0"/>
      </w:pPr>
    </w:p>
    <w:p w14:paraId="6B798D40">
      <w:pPr>
        <w:ind w:firstLine="48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宋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6D2B6">
    <w:pPr>
      <w:pStyle w:val="12"/>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A2C6C">
    <w:pPr>
      <w:pStyle w:val="12"/>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14077">
    <w:pPr>
      <w:pStyle w:val="1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74E60">
    <w:pPr>
      <w:pStyle w:val="13"/>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F130F">
    <w:pPr>
      <w:pStyle w:val="13"/>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3388B">
    <w:pPr>
      <w:pStyle w:val="13"/>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3F2887"/>
    <w:multiLevelType w:val="singleLevel"/>
    <w:tmpl w:val="FD3F288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8B4"/>
    <w:rsid w:val="000000E3"/>
    <w:rsid w:val="000052F1"/>
    <w:rsid w:val="003A38B4"/>
    <w:rsid w:val="00461141"/>
    <w:rsid w:val="004618AE"/>
    <w:rsid w:val="006F4041"/>
    <w:rsid w:val="008746EB"/>
    <w:rsid w:val="00965461"/>
    <w:rsid w:val="00A67867"/>
    <w:rsid w:val="00DA18DD"/>
    <w:rsid w:val="00F32B4F"/>
    <w:rsid w:val="159D2D4F"/>
    <w:rsid w:val="1A397062"/>
    <w:rsid w:val="675EF0A8"/>
    <w:rsid w:val="6C2D49D8"/>
    <w:rsid w:val="EEDE6BD9"/>
    <w:rsid w:val="FDFD4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360" w:lineRule="auto"/>
      <w:ind w:firstLine="200" w:firstLineChars="200"/>
      <w:jc w:val="both"/>
    </w:pPr>
    <w:rPr>
      <w:rFonts w:ascii="Arial" w:hAnsi="Arial" w:eastAsia="宋体" w:cs="宋体"/>
      <w:kern w:val="2"/>
      <w:sz w:val="24"/>
      <w:szCs w:val="20"/>
      <w:lang w:val="en-US" w:eastAsia="zh-CN" w:bidi="ar-SA"/>
      <w14:ligatures w14:val="none"/>
    </w:rPr>
  </w:style>
  <w:style w:type="paragraph" w:styleId="2">
    <w:name w:val="heading 1"/>
    <w:basedOn w:val="1"/>
    <w:next w:val="1"/>
    <w:link w:val="19"/>
    <w:qFormat/>
    <w:uiPriority w:val="9"/>
    <w:pPr>
      <w:keepNext/>
      <w:keepLines/>
      <w:spacing w:before="480" w:after="80" w:line="278" w:lineRule="auto"/>
      <w:ind w:firstLine="0" w:firstLineChars="0"/>
      <w:jc w:val="left"/>
      <w:outlineLvl w:val="0"/>
    </w:pPr>
    <w:rPr>
      <w:rFonts w:asciiTheme="majorHAnsi" w:hAnsiTheme="majorHAnsi" w:eastAsiaTheme="majorEastAsia" w:cstheme="majorBidi"/>
      <w:color w:val="2F5597" w:themeColor="accent1" w:themeShade="BF"/>
      <w:sz w:val="48"/>
      <w:szCs w:val="48"/>
      <w14:ligatures w14:val="standardContextual"/>
    </w:rPr>
  </w:style>
  <w:style w:type="paragraph" w:styleId="3">
    <w:name w:val="heading 2"/>
    <w:basedOn w:val="1"/>
    <w:next w:val="1"/>
    <w:link w:val="20"/>
    <w:semiHidden/>
    <w:unhideWhenUsed/>
    <w:qFormat/>
    <w:uiPriority w:val="9"/>
    <w:pPr>
      <w:keepNext/>
      <w:keepLines/>
      <w:spacing w:before="160" w:after="80" w:line="278" w:lineRule="auto"/>
      <w:ind w:firstLine="0" w:firstLineChars="0"/>
      <w:jc w:val="left"/>
      <w:outlineLvl w:val="1"/>
    </w:pPr>
    <w:rPr>
      <w:rFonts w:asciiTheme="majorHAnsi" w:hAnsiTheme="majorHAnsi" w:eastAsiaTheme="majorEastAsia" w:cstheme="majorBidi"/>
      <w:color w:val="2F5597" w:themeColor="accent1" w:themeShade="BF"/>
      <w:sz w:val="40"/>
      <w:szCs w:val="40"/>
      <w14:ligatures w14:val="standardContextual"/>
    </w:rPr>
  </w:style>
  <w:style w:type="paragraph" w:styleId="4">
    <w:name w:val="heading 3"/>
    <w:basedOn w:val="1"/>
    <w:next w:val="1"/>
    <w:link w:val="21"/>
    <w:semiHidden/>
    <w:unhideWhenUsed/>
    <w:qFormat/>
    <w:uiPriority w:val="9"/>
    <w:pPr>
      <w:keepNext/>
      <w:keepLines/>
      <w:spacing w:before="160" w:after="80" w:line="278" w:lineRule="auto"/>
      <w:ind w:firstLine="0" w:firstLineChars="0"/>
      <w:jc w:val="left"/>
      <w:outlineLvl w:val="2"/>
    </w:pPr>
    <w:rPr>
      <w:rFonts w:asciiTheme="majorHAnsi" w:hAnsiTheme="majorHAnsi" w:eastAsiaTheme="majorEastAsia" w:cstheme="majorBidi"/>
      <w:color w:val="2F5597" w:themeColor="accent1" w:themeShade="BF"/>
      <w:sz w:val="32"/>
      <w:szCs w:val="32"/>
      <w14:ligatures w14:val="standardContextual"/>
    </w:rPr>
  </w:style>
  <w:style w:type="paragraph" w:styleId="5">
    <w:name w:val="heading 4"/>
    <w:basedOn w:val="1"/>
    <w:next w:val="1"/>
    <w:link w:val="22"/>
    <w:semiHidden/>
    <w:unhideWhenUsed/>
    <w:qFormat/>
    <w:uiPriority w:val="9"/>
    <w:pPr>
      <w:keepNext/>
      <w:keepLines/>
      <w:spacing w:before="80" w:after="40" w:line="278" w:lineRule="auto"/>
      <w:ind w:firstLine="0" w:firstLineChars="0"/>
      <w:jc w:val="left"/>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6">
    <w:name w:val="heading 5"/>
    <w:basedOn w:val="1"/>
    <w:next w:val="1"/>
    <w:link w:val="23"/>
    <w:semiHidden/>
    <w:unhideWhenUsed/>
    <w:qFormat/>
    <w:uiPriority w:val="9"/>
    <w:pPr>
      <w:keepNext/>
      <w:keepLines/>
      <w:spacing w:before="80" w:after="40" w:line="278" w:lineRule="auto"/>
      <w:ind w:firstLine="0" w:firstLineChars="0"/>
      <w:jc w:val="left"/>
      <w:outlineLvl w:val="4"/>
    </w:pPr>
    <w:rPr>
      <w:rFonts w:asciiTheme="minorHAnsi" w:hAnsiTheme="minorHAnsi" w:eastAsiaTheme="minorEastAsia" w:cstheme="majorBidi"/>
      <w:color w:val="2F5597" w:themeColor="accent1" w:themeShade="BF"/>
      <w:szCs w:val="24"/>
      <w14:ligatures w14:val="standardContextual"/>
    </w:rPr>
  </w:style>
  <w:style w:type="paragraph" w:styleId="7">
    <w:name w:val="heading 6"/>
    <w:basedOn w:val="1"/>
    <w:next w:val="1"/>
    <w:link w:val="24"/>
    <w:semiHidden/>
    <w:unhideWhenUsed/>
    <w:qFormat/>
    <w:uiPriority w:val="9"/>
    <w:pPr>
      <w:keepNext/>
      <w:keepLines/>
      <w:spacing w:before="40" w:line="278" w:lineRule="auto"/>
      <w:ind w:firstLine="0" w:firstLineChars="0"/>
      <w:jc w:val="left"/>
      <w:outlineLvl w:val="5"/>
    </w:pPr>
    <w:rPr>
      <w:rFonts w:asciiTheme="minorHAnsi" w:hAnsiTheme="minorHAnsi" w:eastAsiaTheme="minorEastAsia" w:cstheme="majorBidi"/>
      <w:b/>
      <w:bCs/>
      <w:color w:val="2F5597" w:themeColor="accent1" w:themeShade="BF"/>
      <w:sz w:val="22"/>
      <w:szCs w:val="24"/>
      <w14:ligatures w14:val="standardContextual"/>
    </w:rPr>
  </w:style>
  <w:style w:type="paragraph" w:styleId="8">
    <w:name w:val="heading 7"/>
    <w:basedOn w:val="1"/>
    <w:next w:val="1"/>
    <w:link w:val="25"/>
    <w:semiHidden/>
    <w:unhideWhenUsed/>
    <w:qFormat/>
    <w:uiPriority w:val="9"/>
    <w:pPr>
      <w:keepNext/>
      <w:keepLines/>
      <w:spacing w:before="40" w:line="278" w:lineRule="auto"/>
      <w:ind w:firstLine="0" w:firstLineChars="0"/>
      <w:jc w:val="left"/>
      <w:outlineLvl w:val="6"/>
    </w:pPr>
    <w:rPr>
      <w:rFonts w:asciiTheme="minorHAnsi" w:hAnsiTheme="minorHAnsi" w:eastAsiaTheme="minorEastAsia" w:cstheme="majorBidi"/>
      <w:b/>
      <w:bCs/>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9">
    <w:name w:val="heading 8"/>
    <w:basedOn w:val="1"/>
    <w:next w:val="1"/>
    <w:link w:val="26"/>
    <w:semiHidden/>
    <w:unhideWhenUsed/>
    <w:qFormat/>
    <w:uiPriority w:val="9"/>
    <w:pPr>
      <w:keepNext/>
      <w:keepLines/>
      <w:spacing w:line="278" w:lineRule="auto"/>
      <w:ind w:firstLine="0" w:firstLineChars="0"/>
      <w:jc w:val="left"/>
      <w:outlineLvl w:val="7"/>
    </w:pPr>
    <w:rPr>
      <w:rFonts w:asciiTheme="minorHAnsi" w:hAnsiTheme="minorHAnsi" w:eastAsiaTheme="minorEastAsia"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paragraph" w:styleId="10">
    <w:name w:val="heading 9"/>
    <w:basedOn w:val="1"/>
    <w:next w:val="1"/>
    <w:link w:val="27"/>
    <w:semiHidden/>
    <w:unhideWhenUsed/>
    <w:qFormat/>
    <w:uiPriority w:val="9"/>
    <w:pPr>
      <w:keepNext/>
      <w:keepLines/>
      <w:spacing w:line="278" w:lineRule="auto"/>
      <w:ind w:firstLine="0" w:firstLineChars="0"/>
      <w:jc w:val="left"/>
      <w:outlineLvl w:val="8"/>
    </w:pPr>
    <w:rPr>
      <w:rFonts w:asciiTheme="minorHAnsi" w:hAnsiTheme="minorHAnsi" w:eastAsiaTheme="majorEastAsia" w:cstheme="majorBidi"/>
      <w:color w:val="595959" w:themeColor="text1" w:themeTint="A6"/>
      <w:sz w:val="22"/>
      <w:szCs w:val="24"/>
      <w14:textFill>
        <w14:solidFill>
          <w14:schemeClr w14:val="tx1">
            <w14:lumMod w14:val="65000"/>
            <w14:lumOff w14:val="35000"/>
          </w14:schemeClr>
        </w14:solidFill>
      </w14:textFill>
      <w14:ligatures w14:val="standardContextua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Plain Text"/>
    <w:basedOn w:val="1"/>
    <w:link w:val="43"/>
    <w:qFormat/>
    <w:uiPriority w:val="0"/>
    <w:pPr>
      <w:spacing w:line="240" w:lineRule="auto"/>
      <w:ind w:firstLine="0" w:firstLineChars="0"/>
    </w:pPr>
    <w:rPr>
      <w:rFonts w:ascii="宋体" w:hAnsi="Courier New" w:cs="Times New Roman"/>
      <w:sz w:val="21"/>
    </w:rPr>
  </w:style>
  <w:style w:type="paragraph" w:styleId="12">
    <w:name w:val="footer"/>
    <w:basedOn w:val="1"/>
    <w:link w:val="38"/>
    <w:unhideWhenUsed/>
    <w:qFormat/>
    <w:uiPriority w:val="99"/>
    <w:pPr>
      <w:tabs>
        <w:tab w:val="center" w:pos="4153"/>
        <w:tab w:val="right" w:pos="8306"/>
      </w:tabs>
      <w:snapToGrid w:val="0"/>
      <w:spacing w:after="160" w:line="240" w:lineRule="auto"/>
      <w:ind w:firstLine="0" w:firstLineChars="0"/>
      <w:jc w:val="left"/>
    </w:pPr>
    <w:rPr>
      <w:rFonts w:asciiTheme="minorHAnsi" w:hAnsiTheme="minorHAnsi" w:eastAsiaTheme="minorEastAsia" w:cstheme="minorBidi"/>
      <w:sz w:val="18"/>
      <w:szCs w:val="18"/>
      <w14:ligatures w14:val="standardContextual"/>
    </w:rPr>
  </w:style>
  <w:style w:type="paragraph" w:styleId="13">
    <w:name w:val="header"/>
    <w:basedOn w:val="1"/>
    <w:link w:val="37"/>
    <w:unhideWhenUsed/>
    <w:qFormat/>
    <w:uiPriority w:val="99"/>
    <w:pPr>
      <w:tabs>
        <w:tab w:val="center" w:pos="4153"/>
        <w:tab w:val="right" w:pos="8306"/>
      </w:tabs>
      <w:snapToGrid w:val="0"/>
      <w:spacing w:after="160" w:line="240" w:lineRule="auto"/>
      <w:ind w:firstLine="0" w:firstLineChars="0"/>
      <w:jc w:val="center"/>
    </w:pPr>
    <w:rPr>
      <w:rFonts w:asciiTheme="minorHAnsi" w:hAnsiTheme="minorHAnsi" w:eastAsiaTheme="minorEastAsia" w:cstheme="minorBidi"/>
      <w:sz w:val="18"/>
      <w:szCs w:val="18"/>
      <w14:ligatures w14:val="standardContextual"/>
    </w:rPr>
  </w:style>
  <w:style w:type="paragraph" w:styleId="14">
    <w:name w:val="Subtitle"/>
    <w:basedOn w:val="1"/>
    <w:next w:val="1"/>
    <w:link w:val="29"/>
    <w:qFormat/>
    <w:uiPriority w:val="11"/>
    <w:pPr>
      <w:spacing w:after="160" w:line="278" w:lineRule="auto"/>
      <w:ind w:firstLine="200" w:firstLineChars="20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5">
    <w:name w:val="Title"/>
    <w:basedOn w:val="1"/>
    <w:next w:val="1"/>
    <w:link w:val="28"/>
    <w:qFormat/>
    <w:uiPriority w:val="10"/>
    <w:pPr>
      <w:spacing w:after="80" w:line="240" w:lineRule="auto"/>
      <w:ind w:firstLine="0" w:firstLineChars="0"/>
      <w:contextualSpacing/>
      <w:jc w:val="center"/>
    </w:pPr>
    <w:rPr>
      <w:rFonts w:asciiTheme="majorHAnsi" w:hAnsiTheme="majorHAnsi" w:eastAsiaTheme="majorEastAsia" w:cstheme="majorBidi"/>
      <w:spacing w:val="-10"/>
      <w:kern w:val="28"/>
      <w:sz w:val="56"/>
      <w:szCs w:val="56"/>
      <w14:ligatures w14:val="standardContextual"/>
    </w:rPr>
  </w:style>
  <w:style w:type="table" w:styleId="17">
    <w:name w:val="Table Grid"/>
    <w:basedOn w:val="16"/>
    <w:qFormat/>
    <w:uiPriority w:val="59"/>
    <w:pPr>
      <w:spacing w:after="0" w:line="240" w:lineRule="auto"/>
    </w:pPr>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0">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2">
    <w:name w:val="标题 4 字符"/>
    <w:basedOn w:val="18"/>
    <w:link w:val="5"/>
    <w:semiHidden/>
    <w:qFormat/>
    <w:uiPriority w:val="9"/>
    <w:rPr>
      <w:rFonts w:cstheme="majorBidi"/>
      <w:color w:val="2F5597" w:themeColor="accent1" w:themeShade="BF"/>
      <w:sz w:val="28"/>
      <w:szCs w:val="28"/>
    </w:rPr>
  </w:style>
  <w:style w:type="character" w:customStyle="1" w:styleId="23">
    <w:name w:val="标题 5 字符"/>
    <w:basedOn w:val="18"/>
    <w:link w:val="6"/>
    <w:semiHidden/>
    <w:qFormat/>
    <w:uiPriority w:val="9"/>
    <w:rPr>
      <w:rFonts w:cstheme="majorBidi"/>
      <w:color w:val="2F5597" w:themeColor="accent1" w:themeShade="BF"/>
      <w:sz w:val="24"/>
    </w:rPr>
  </w:style>
  <w:style w:type="character" w:customStyle="1" w:styleId="24">
    <w:name w:val="标题 6 字符"/>
    <w:basedOn w:val="18"/>
    <w:link w:val="7"/>
    <w:semiHidden/>
    <w:qFormat/>
    <w:uiPriority w:val="9"/>
    <w:rPr>
      <w:rFonts w:cstheme="majorBidi"/>
      <w:b/>
      <w:bCs/>
      <w:color w:val="2F5597"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line="278" w:lineRule="auto"/>
      <w:ind w:firstLine="0" w:firstLineChars="0"/>
      <w:jc w:val="center"/>
    </w:pPr>
    <w:rPr>
      <w:rFonts w:asciiTheme="minorHAnsi" w:hAnsiTheme="minorHAnsi" w:eastAsiaTheme="minorEastAsia" w:cstheme="minorBidi"/>
      <w:i/>
      <w:iCs/>
      <w:color w:val="404040" w:themeColor="text1" w:themeTint="BF"/>
      <w:sz w:val="22"/>
      <w:szCs w:val="24"/>
      <w14:textFill>
        <w14:solidFill>
          <w14:schemeClr w14:val="tx1">
            <w14:lumMod w14:val="75000"/>
            <w14:lumOff w14:val="25000"/>
          </w14:schemeClr>
        </w14:solidFill>
      </w14:textFill>
      <w14:ligatures w14:val="standardContextua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spacing w:after="160" w:line="278" w:lineRule="auto"/>
      <w:ind w:left="720" w:firstLine="0" w:firstLineChars="0"/>
      <w:contextualSpacing/>
      <w:jc w:val="left"/>
    </w:pPr>
    <w:rPr>
      <w:rFonts w:asciiTheme="minorHAnsi" w:hAnsiTheme="minorHAnsi" w:eastAsiaTheme="minorEastAsia" w:cstheme="minorBidi"/>
      <w:sz w:val="22"/>
      <w:szCs w:val="24"/>
      <w14:ligatures w14:val="standardContextual"/>
    </w:rPr>
  </w:style>
  <w:style w:type="character" w:customStyle="1" w:styleId="33">
    <w:name w:val="Intense Emphasis"/>
    <w:basedOn w:val="18"/>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line="278" w:lineRule="auto"/>
      <w:ind w:left="864" w:right="864" w:firstLine="0" w:firstLineChars="0"/>
      <w:jc w:val="center"/>
    </w:pPr>
    <w:rPr>
      <w:rFonts w:asciiTheme="minorHAnsi" w:hAnsiTheme="minorHAnsi" w:eastAsiaTheme="minorEastAsia" w:cstheme="minorBidi"/>
      <w:i/>
      <w:iCs/>
      <w:color w:val="2F5597" w:themeColor="accent1" w:themeShade="BF"/>
      <w:sz w:val="22"/>
      <w:szCs w:val="24"/>
      <w14:ligatures w14:val="standardContextual"/>
    </w:rPr>
  </w:style>
  <w:style w:type="character" w:customStyle="1" w:styleId="35">
    <w:name w:val="明显引用 字符"/>
    <w:basedOn w:val="18"/>
    <w:link w:val="34"/>
    <w:qFormat/>
    <w:uiPriority w:val="30"/>
    <w:rPr>
      <w:i/>
      <w:iCs/>
      <w:color w:val="2F5597" w:themeColor="accent1" w:themeShade="BF"/>
    </w:rPr>
  </w:style>
  <w:style w:type="character" w:customStyle="1" w:styleId="36">
    <w:name w:val="Intense Reference"/>
    <w:basedOn w:val="18"/>
    <w:qFormat/>
    <w:uiPriority w:val="32"/>
    <w:rPr>
      <w:b/>
      <w:bCs/>
      <w:smallCaps/>
      <w:color w:val="2F5597" w:themeColor="accent1" w:themeShade="BF"/>
      <w:spacing w:val="5"/>
    </w:rPr>
  </w:style>
  <w:style w:type="character" w:customStyle="1" w:styleId="37">
    <w:name w:val="页眉 字符"/>
    <w:basedOn w:val="18"/>
    <w:link w:val="13"/>
    <w:qFormat/>
    <w:uiPriority w:val="99"/>
    <w:rPr>
      <w:sz w:val="18"/>
      <w:szCs w:val="18"/>
    </w:rPr>
  </w:style>
  <w:style w:type="character" w:customStyle="1" w:styleId="38">
    <w:name w:val="页脚 字符"/>
    <w:basedOn w:val="18"/>
    <w:link w:val="12"/>
    <w:qFormat/>
    <w:uiPriority w:val="99"/>
    <w:rPr>
      <w:sz w:val="18"/>
      <w:szCs w:val="18"/>
    </w:rPr>
  </w:style>
  <w:style w:type="paragraph" w:styleId="39">
    <w:name w:val="No Spacing"/>
    <w:link w:val="40"/>
    <w:qFormat/>
    <w:uiPriority w:val="1"/>
    <w:pPr>
      <w:widowControl w:val="0"/>
      <w:spacing w:after="0" w:line="240" w:lineRule="auto"/>
      <w:jc w:val="both"/>
    </w:pPr>
    <w:rPr>
      <w:rFonts w:ascii="Calibri" w:hAnsi="Calibri" w:eastAsia="宋体" w:cs="Times New Roman"/>
      <w:kern w:val="0"/>
      <w:sz w:val="20"/>
      <w:szCs w:val="20"/>
      <w:lang w:val="en-US" w:eastAsia="zh-CN" w:bidi="ar-SA"/>
      <w14:ligatures w14:val="none"/>
    </w:rPr>
  </w:style>
  <w:style w:type="character" w:customStyle="1" w:styleId="40">
    <w:name w:val="无间隔 字符"/>
    <w:link w:val="39"/>
    <w:qFormat/>
    <w:uiPriority w:val="1"/>
    <w:rPr>
      <w:rFonts w:ascii="Calibri" w:hAnsi="Calibri" w:eastAsia="宋体" w:cs="Times New Roman"/>
      <w:kern w:val="0"/>
      <w:sz w:val="20"/>
      <w:szCs w:val="20"/>
      <w14:ligatures w14:val="none"/>
    </w:rPr>
  </w:style>
  <w:style w:type="character" w:customStyle="1" w:styleId="41">
    <w:name w:val="NormalCharacter"/>
    <w:qFormat/>
    <w:uiPriority w:val="0"/>
  </w:style>
  <w:style w:type="paragraph" w:customStyle="1" w:styleId="42">
    <w:name w:val="列出段落2"/>
    <w:basedOn w:val="1"/>
    <w:qFormat/>
    <w:uiPriority w:val="99"/>
    <w:pPr>
      <w:ind w:firstLine="420"/>
    </w:pPr>
  </w:style>
  <w:style w:type="character" w:customStyle="1" w:styleId="43">
    <w:name w:val="纯文本 字符"/>
    <w:basedOn w:val="18"/>
    <w:link w:val="11"/>
    <w:qFormat/>
    <w:uiPriority w:val="0"/>
    <w:rPr>
      <w:rFonts w:ascii="宋体" w:hAnsi="Courier New" w:eastAsia="宋体" w:cs="Times New Roman"/>
      <w:sz w:val="21"/>
      <w:szCs w:val="20"/>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13587</Words>
  <Characters>14533</Characters>
  <Lines>435</Lines>
  <Paragraphs>386</Paragraphs>
  <TotalTime>3</TotalTime>
  <ScaleCrop>false</ScaleCrop>
  <LinksUpToDate>false</LinksUpToDate>
  <CharactersWithSpaces>14609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2025-06-21T07:35:00Z</dcterms:created>
  <dc:creator>liaojiangtao@greatwall.com.cn</dc:creator>
  <cp:lastModifiedBy>WPS_1559571553</cp:lastModifiedBy>
  <dcterms:modified xsi:type="dcterms:W3CDTF">2026-08-18T03:36:12Z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3B4B2BF20D8C46488CC6DB0E82FB0611_13</vt:lpwstr>
  </property>
  <property fmtid="{D5CDD505-2E9C-101B-9397-08002B2CF9AE}" pid="4" name="KSOTemplateDocerSaveRecord">
    <vt:lpwstr>eyJoZGlkIjoiOWYxZTlhZDBlYTY2MWU5YTNhZjQ5YmYxZmNiOWQ3ZGQiLCJ1c2VySWQiOiI1NzA5NTM3NTgifQ==</vt:lpwstr>
  </property>
</Properties>
</file>