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AEA7B">
      <w:pPr>
        <w:spacing w:line="600" w:lineRule="exact"/>
        <w:jc w:val="center"/>
        <w:rPr>
          <w:rFonts w:ascii="仿宋" w:hAnsi="仿宋" w:eastAsia="仿宋" w:cs="仿宋"/>
          <w:b/>
          <w:bCs/>
          <w:sz w:val="28"/>
          <w:szCs w:val="28"/>
        </w:rPr>
      </w:pPr>
      <w:r>
        <w:rPr>
          <w:rFonts w:hint="eastAsia" w:ascii="仿宋" w:hAnsi="仿宋" w:eastAsia="仿宋" w:cs="仿宋"/>
          <w:b/>
          <w:bCs/>
          <w:sz w:val="52"/>
          <w:szCs w:val="52"/>
          <w:lang w:val="en-US" w:eastAsia="zh-CN"/>
        </w:rPr>
        <w:t>桂林市叠彩实验小学空调反向竞价采购需求文件</w:t>
      </w:r>
    </w:p>
    <w:p w14:paraId="2C943ADF">
      <w:pPr>
        <w:pStyle w:val="7"/>
        <w:spacing w:before="81" w:line="219" w:lineRule="auto"/>
        <w:ind w:left="139"/>
        <w:jc w:val="center"/>
        <w:rPr>
          <w:b/>
          <w:bCs/>
          <w:spacing w:val="-6"/>
        </w:rPr>
      </w:pPr>
    </w:p>
    <w:tbl>
      <w:tblPr>
        <w:tblStyle w:val="8"/>
        <w:tblW w:w="22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5"/>
        <w:gridCol w:w="1813"/>
        <w:gridCol w:w="244"/>
        <w:gridCol w:w="4843"/>
        <w:gridCol w:w="3724"/>
        <w:gridCol w:w="2447"/>
        <w:gridCol w:w="1372"/>
        <w:gridCol w:w="1028"/>
        <w:gridCol w:w="2079"/>
        <w:gridCol w:w="3536"/>
      </w:tblGrid>
      <w:tr w14:paraId="1A6F2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265" w:type="dxa"/>
            <w:shd w:val="clear" w:color="auto" w:fill="8CB3E0"/>
            <w:vAlign w:val="center"/>
          </w:tcPr>
          <w:p w14:paraId="1830F7F3">
            <w:pPr>
              <w:pStyle w:val="7"/>
              <w:spacing w:before="81" w:line="219" w:lineRule="auto"/>
              <w:ind w:left="139"/>
              <w:jc w:val="center"/>
              <w:rPr>
                <w:rFonts w:hint="eastAsia"/>
                <w:b/>
                <w:bCs/>
                <w:spacing w:val="-6"/>
                <w:lang w:val="en-US" w:eastAsia="zh-CN"/>
              </w:rPr>
            </w:pPr>
            <w:r>
              <w:rPr>
                <w:rFonts w:hint="eastAsia"/>
                <w:b/>
                <w:bCs/>
                <w:spacing w:val="-6"/>
                <w:lang w:val="en-US" w:eastAsia="zh-CN"/>
              </w:rPr>
              <w:t>项 号</w:t>
            </w:r>
          </w:p>
        </w:tc>
        <w:tc>
          <w:tcPr>
            <w:tcW w:w="2057" w:type="dxa"/>
            <w:gridSpan w:val="2"/>
            <w:shd w:val="clear" w:color="auto" w:fill="8BB3E1"/>
            <w:vAlign w:val="center"/>
          </w:tcPr>
          <w:p w14:paraId="4F1690E7">
            <w:pPr>
              <w:pStyle w:val="7"/>
              <w:spacing w:before="81" w:line="219" w:lineRule="auto"/>
              <w:jc w:val="center"/>
              <w:rPr>
                <w:rFonts w:hint="eastAsia"/>
                <w:b/>
                <w:bCs/>
                <w:spacing w:val="-6"/>
                <w:lang w:val="en-US" w:eastAsia="zh-CN"/>
              </w:rPr>
            </w:pPr>
            <w:r>
              <w:rPr>
                <w:rFonts w:hint="eastAsia"/>
                <w:b/>
                <w:bCs/>
                <w:spacing w:val="-6"/>
                <w:lang w:val="en-US" w:eastAsia="zh-CN"/>
              </w:rPr>
              <w:t>货物名称</w:t>
            </w:r>
          </w:p>
        </w:tc>
        <w:tc>
          <w:tcPr>
            <w:tcW w:w="4843" w:type="dxa"/>
            <w:shd w:val="clear" w:color="auto" w:fill="8CB3E2"/>
            <w:vAlign w:val="center"/>
          </w:tcPr>
          <w:p w14:paraId="3A0D4CBA">
            <w:pPr>
              <w:pStyle w:val="7"/>
              <w:spacing w:before="81" w:line="219" w:lineRule="auto"/>
              <w:jc w:val="center"/>
              <w:rPr>
                <w:rFonts w:hint="eastAsia"/>
                <w:b/>
                <w:bCs/>
                <w:spacing w:val="-6"/>
                <w:lang w:val="en-US" w:eastAsia="zh-CN"/>
              </w:rPr>
            </w:pPr>
            <w:r>
              <w:rPr>
                <w:rFonts w:hint="eastAsia"/>
                <w:b/>
                <w:bCs/>
                <w:spacing w:val="-6"/>
                <w:lang w:val="en-US" w:eastAsia="zh-CN"/>
              </w:rPr>
              <w:t>生产厂家、品牌、规格型号</w:t>
            </w:r>
          </w:p>
        </w:tc>
        <w:tc>
          <w:tcPr>
            <w:tcW w:w="3724" w:type="dxa"/>
            <w:shd w:val="clear" w:color="auto" w:fill="8EB3E0"/>
            <w:vAlign w:val="center"/>
          </w:tcPr>
          <w:p w14:paraId="2F8CB6C1">
            <w:pPr>
              <w:pStyle w:val="7"/>
              <w:spacing w:before="81" w:line="219" w:lineRule="auto"/>
              <w:jc w:val="center"/>
              <w:rPr>
                <w:rFonts w:hint="eastAsia"/>
                <w:b/>
                <w:bCs/>
                <w:spacing w:val="-6"/>
                <w:lang w:val="en-US" w:eastAsia="zh-CN"/>
              </w:rPr>
            </w:pPr>
            <w:r>
              <w:rPr>
                <w:rFonts w:hint="eastAsia"/>
                <w:b/>
                <w:bCs/>
                <w:spacing w:val="-6"/>
                <w:lang w:val="en-US" w:eastAsia="zh-CN"/>
              </w:rPr>
              <w:t>技术参数</w:t>
            </w:r>
          </w:p>
        </w:tc>
        <w:tc>
          <w:tcPr>
            <w:tcW w:w="2447" w:type="dxa"/>
            <w:shd w:val="clear" w:color="auto" w:fill="8BB3E0"/>
            <w:vAlign w:val="center"/>
          </w:tcPr>
          <w:p w14:paraId="3E7CE896">
            <w:pPr>
              <w:pStyle w:val="7"/>
              <w:spacing w:before="81" w:line="219" w:lineRule="auto"/>
              <w:ind w:left="139"/>
              <w:jc w:val="center"/>
              <w:rPr>
                <w:rFonts w:hint="eastAsia"/>
                <w:b/>
                <w:bCs/>
                <w:spacing w:val="-6"/>
                <w:lang w:val="en-US" w:eastAsia="zh-CN"/>
              </w:rPr>
            </w:pPr>
            <w:r>
              <w:rPr>
                <w:rFonts w:hint="eastAsia"/>
                <w:b/>
                <w:bCs/>
                <w:spacing w:val="-6"/>
                <w:lang w:val="en-US" w:eastAsia="zh-CN"/>
              </w:rPr>
              <w:t>图片</w:t>
            </w:r>
          </w:p>
        </w:tc>
        <w:tc>
          <w:tcPr>
            <w:tcW w:w="1372" w:type="dxa"/>
            <w:shd w:val="clear" w:color="auto" w:fill="8BB3E0"/>
            <w:vAlign w:val="center"/>
          </w:tcPr>
          <w:p w14:paraId="31DC1274">
            <w:pPr>
              <w:pStyle w:val="7"/>
              <w:spacing w:before="81" w:line="219" w:lineRule="auto"/>
              <w:jc w:val="center"/>
              <w:rPr>
                <w:rFonts w:hint="eastAsia"/>
                <w:b/>
                <w:bCs/>
                <w:spacing w:val="-6"/>
                <w:lang w:val="en-US" w:eastAsia="zh-CN"/>
              </w:rPr>
            </w:pPr>
            <w:r>
              <w:rPr>
                <w:rFonts w:hint="eastAsia"/>
                <w:b/>
                <w:bCs/>
                <w:spacing w:val="-6"/>
                <w:lang w:val="en-US" w:eastAsia="zh-CN"/>
              </w:rPr>
              <w:t>数量 ①</w:t>
            </w:r>
          </w:p>
        </w:tc>
        <w:tc>
          <w:tcPr>
            <w:tcW w:w="1028" w:type="dxa"/>
            <w:shd w:val="clear" w:color="auto" w:fill="8BB3E1"/>
            <w:vAlign w:val="center"/>
          </w:tcPr>
          <w:p w14:paraId="24F9F2A9">
            <w:pPr>
              <w:pStyle w:val="7"/>
              <w:spacing w:before="81" w:line="219" w:lineRule="auto"/>
              <w:jc w:val="center"/>
              <w:rPr>
                <w:rFonts w:hint="eastAsia"/>
                <w:b/>
                <w:bCs/>
                <w:spacing w:val="-6"/>
                <w:lang w:val="en-US" w:eastAsia="zh-CN"/>
              </w:rPr>
            </w:pPr>
            <w:r>
              <w:rPr>
                <w:rFonts w:hint="eastAsia"/>
                <w:b/>
                <w:bCs/>
                <w:spacing w:val="-6"/>
                <w:lang w:val="en-US" w:eastAsia="zh-CN"/>
              </w:rPr>
              <w:t>单位</w:t>
            </w:r>
          </w:p>
        </w:tc>
        <w:tc>
          <w:tcPr>
            <w:tcW w:w="2079" w:type="dxa"/>
            <w:shd w:val="clear" w:color="auto" w:fill="8DB2E0"/>
            <w:vAlign w:val="center"/>
          </w:tcPr>
          <w:p w14:paraId="57E94D75">
            <w:pPr>
              <w:pStyle w:val="7"/>
              <w:spacing w:before="81" w:line="219" w:lineRule="auto"/>
              <w:ind w:left="139"/>
              <w:jc w:val="center"/>
              <w:rPr>
                <w:rFonts w:hint="eastAsia"/>
                <w:b/>
                <w:bCs/>
                <w:spacing w:val="-6"/>
                <w:lang w:val="en-US" w:eastAsia="zh-CN"/>
              </w:rPr>
            </w:pPr>
            <w:r>
              <w:rPr>
                <w:rFonts w:hint="eastAsia"/>
                <w:b/>
                <w:bCs/>
                <w:spacing w:val="-6"/>
                <w:lang w:val="en-US" w:eastAsia="zh-CN"/>
              </w:rPr>
              <w:t>单价 (元) ②</w:t>
            </w:r>
          </w:p>
        </w:tc>
        <w:tc>
          <w:tcPr>
            <w:tcW w:w="3536" w:type="dxa"/>
            <w:shd w:val="clear" w:color="auto" w:fill="8DB2E2"/>
            <w:vAlign w:val="center"/>
          </w:tcPr>
          <w:p w14:paraId="6C8CC319">
            <w:pPr>
              <w:pStyle w:val="7"/>
              <w:spacing w:before="81" w:line="219" w:lineRule="auto"/>
              <w:ind w:left="139"/>
              <w:jc w:val="center"/>
              <w:rPr>
                <w:rFonts w:hint="eastAsia"/>
                <w:b/>
                <w:bCs/>
                <w:spacing w:val="-6"/>
                <w:lang w:val="en-US" w:eastAsia="zh-CN"/>
              </w:rPr>
            </w:pPr>
            <w:r>
              <w:rPr>
                <w:rFonts w:hint="eastAsia"/>
                <w:b/>
                <w:bCs/>
                <w:spacing w:val="-6"/>
                <w:lang w:val="en-US" w:eastAsia="zh-CN"/>
              </w:rPr>
              <w:t>单项合计金额(元)③=①×②</w:t>
            </w:r>
          </w:p>
        </w:tc>
      </w:tr>
      <w:tr w14:paraId="5285E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1265" w:type="dxa"/>
            <w:vAlign w:val="center"/>
          </w:tcPr>
          <w:p w14:paraId="07DD829A">
            <w:pPr>
              <w:pStyle w:val="7"/>
              <w:spacing w:before="81" w:line="241" w:lineRule="auto"/>
              <w:ind w:left="274"/>
              <w:jc w:val="center"/>
              <w:rPr>
                <w:rFonts w:hint="default"/>
                <w:sz w:val="20"/>
                <w:szCs w:val="20"/>
                <w:lang w:val="en-US" w:eastAsia="zh-CN"/>
              </w:rPr>
            </w:pPr>
            <w:r>
              <w:rPr>
                <w:rFonts w:hint="eastAsia"/>
                <w:sz w:val="20"/>
                <w:szCs w:val="20"/>
                <w:lang w:val="en-US" w:eastAsia="zh-CN"/>
              </w:rPr>
              <w:t>1</w:t>
            </w:r>
          </w:p>
        </w:tc>
        <w:tc>
          <w:tcPr>
            <w:tcW w:w="2057" w:type="dxa"/>
            <w:gridSpan w:val="2"/>
            <w:vAlign w:val="top"/>
          </w:tcPr>
          <w:p w14:paraId="7D9C3C0A">
            <w:pPr>
              <w:pStyle w:val="7"/>
              <w:spacing w:before="141" w:line="287" w:lineRule="auto"/>
              <w:ind w:left="350" w:right="167" w:hanging="190"/>
              <w:jc w:val="left"/>
              <w:rPr>
                <w:spacing w:val="3"/>
                <w:sz w:val="20"/>
                <w:szCs w:val="20"/>
              </w:rPr>
            </w:pPr>
            <w:r>
              <w:rPr>
                <w:rFonts w:hint="eastAsia" w:ascii="宋体" w:hAnsi="宋体" w:eastAsia="宋体" w:cs="宋体"/>
                <w:b w:val="0"/>
                <w:bCs w:val="0"/>
                <w:i w:val="0"/>
                <w:iCs w:val="0"/>
                <w:color w:val="auto"/>
                <w:kern w:val="0"/>
                <w:sz w:val="20"/>
                <w:szCs w:val="20"/>
                <w:u w:val="none"/>
                <w:lang w:val="en-US" w:eastAsia="zh-CN" w:bidi="ar"/>
              </w:rPr>
              <w:t>格力5匹变频冷暖天井机</w:t>
            </w:r>
          </w:p>
        </w:tc>
        <w:tc>
          <w:tcPr>
            <w:tcW w:w="4843" w:type="dxa"/>
            <w:vAlign w:val="top"/>
          </w:tcPr>
          <w:p w14:paraId="7FCDD31D">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品牌：格力</w:t>
            </w:r>
          </w:p>
          <w:p w14:paraId="2A41F12A">
            <w:pPr>
              <w:pStyle w:val="7"/>
              <w:spacing w:before="152" w:line="283" w:lineRule="auto"/>
              <w:ind w:right="144"/>
              <w:jc w:val="left"/>
              <w:rPr>
                <w:rFonts w:hint="default"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型号：KFR-120TW/(12550S)FNhCaf-B</w:t>
            </w:r>
            <w:r>
              <w:rPr>
                <w:rFonts w:hint="eastAsia" w:cs="宋体"/>
                <w:b w:val="0"/>
                <w:bCs w:val="0"/>
                <w:i w:val="0"/>
                <w:iCs w:val="0"/>
                <w:color w:val="auto"/>
                <w:kern w:val="0"/>
                <w:sz w:val="20"/>
                <w:szCs w:val="20"/>
                <w:u w:val="none"/>
                <w:lang w:val="en-US" w:eastAsia="zh-CN" w:bidi="ar"/>
              </w:rPr>
              <w:t>1</w:t>
            </w:r>
          </w:p>
        </w:tc>
        <w:tc>
          <w:tcPr>
            <w:tcW w:w="3724" w:type="dxa"/>
            <w:vAlign w:val="top"/>
          </w:tcPr>
          <w:p w14:paraId="17B253B9">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1.能效等级：1级</w:t>
            </w:r>
          </w:p>
          <w:p w14:paraId="44A3126A">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2.能效比：4.00；</w:t>
            </w:r>
          </w:p>
          <w:p w14:paraId="455807A8">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3.额定制冷量：12000W；</w:t>
            </w:r>
          </w:p>
          <w:p w14:paraId="371EB5D4">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4.额定制热量：13500W；</w:t>
            </w:r>
          </w:p>
          <w:p w14:paraId="2B14E800">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5.电辅助加热功率：1250W；</w:t>
            </w:r>
          </w:p>
          <w:p w14:paraId="4CEA40E2">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6.制冷功率：4200 W；</w:t>
            </w:r>
          </w:p>
          <w:p w14:paraId="78AD14ED">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7.制热功率：4100 W；</w:t>
            </w:r>
          </w:p>
          <w:p w14:paraId="52BB56B0">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8.室内机噪音高风dB(A）：≤48</w:t>
            </w:r>
          </w:p>
          <w:p w14:paraId="00C7C975">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9.室外机噪音高风dB(A）：≤60</w:t>
            </w:r>
          </w:p>
          <w:p w14:paraId="7C2C19D1">
            <w:pPr>
              <w:keepNext w:val="0"/>
              <w:keepLines w:val="0"/>
              <w:widowControl/>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10.循环风量（m³/h)：2000m³/h；</w:t>
            </w:r>
          </w:p>
          <w:p w14:paraId="5BD20822">
            <w:pPr>
              <w:jc w:val="left"/>
              <w:rPr>
                <w:rFonts w:ascii="Arial"/>
                <w:sz w:val="20"/>
                <w:szCs w:val="20"/>
              </w:rPr>
            </w:pPr>
            <w:r>
              <w:rPr>
                <w:rFonts w:hint="eastAsia" w:ascii="宋体" w:hAnsi="宋体" w:eastAsia="宋体" w:cs="宋体"/>
                <w:b w:val="0"/>
                <w:bCs w:val="0"/>
                <w:i w:val="0"/>
                <w:iCs w:val="0"/>
                <w:color w:val="auto"/>
                <w:kern w:val="0"/>
                <w:sz w:val="20"/>
                <w:szCs w:val="20"/>
                <w:u w:val="none"/>
                <w:lang w:val="en-US" w:eastAsia="zh-CN" w:bidi="ar"/>
              </w:rPr>
              <w:t>11.电压/频率（V/HZ）：380V/50HZ</w:t>
            </w:r>
          </w:p>
        </w:tc>
        <w:tc>
          <w:tcPr>
            <w:tcW w:w="2447" w:type="dxa"/>
            <w:vAlign w:val="top"/>
          </w:tcPr>
          <w:p w14:paraId="2E1E7A1F">
            <w:pPr>
              <w:pStyle w:val="7"/>
              <w:spacing w:before="81"/>
              <w:jc w:val="left"/>
              <w:rPr>
                <w:rFonts w:hint="eastAsia"/>
                <w:sz w:val="20"/>
                <w:szCs w:val="20"/>
                <w:lang w:val="en-US" w:eastAsia="zh-CN"/>
              </w:rPr>
            </w:pPr>
            <w:r>
              <w:drawing>
                <wp:anchor distT="0" distB="0" distL="114300" distR="114300" simplePos="0" relativeHeight="251659264" behindDoc="0" locked="0" layoutInCell="1" allowOverlap="1">
                  <wp:simplePos x="0" y="0"/>
                  <wp:positionH relativeFrom="column">
                    <wp:posOffset>67945</wp:posOffset>
                  </wp:positionH>
                  <wp:positionV relativeFrom="paragraph">
                    <wp:posOffset>160655</wp:posOffset>
                  </wp:positionV>
                  <wp:extent cx="1390650" cy="1552575"/>
                  <wp:effectExtent l="0" t="0" r="0"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390650" cy="1552575"/>
                          </a:xfrm>
                          <a:prstGeom prst="rect">
                            <a:avLst/>
                          </a:prstGeom>
                          <a:noFill/>
                          <a:ln>
                            <a:noFill/>
                          </a:ln>
                        </pic:spPr>
                      </pic:pic>
                    </a:graphicData>
                  </a:graphic>
                </wp:anchor>
              </w:drawing>
            </w:r>
          </w:p>
        </w:tc>
        <w:tc>
          <w:tcPr>
            <w:tcW w:w="1372" w:type="dxa"/>
            <w:vAlign w:val="center"/>
          </w:tcPr>
          <w:p w14:paraId="501345CF">
            <w:pPr>
              <w:pStyle w:val="7"/>
              <w:spacing w:before="81"/>
              <w:jc w:val="center"/>
              <w:rPr>
                <w:rFonts w:hint="default"/>
                <w:sz w:val="20"/>
                <w:szCs w:val="20"/>
                <w:lang w:val="en-US" w:eastAsia="zh-CN"/>
              </w:rPr>
            </w:pPr>
            <w:r>
              <w:rPr>
                <w:rFonts w:hint="eastAsia"/>
                <w:sz w:val="20"/>
                <w:szCs w:val="20"/>
                <w:lang w:val="en-US" w:eastAsia="zh-CN"/>
              </w:rPr>
              <w:t>6</w:t>
            </w:r>
          </w:p>
        </w:tc>
        <w:tc>
          <w:tcPr>
            <w:tcW w:w="1028" w:type="dxa"/>
            <w:vAlign w:val="center"/>
          </w:tcPr>
          <w:p w14:paraId="572D5FE6">
            <w:pPr>
              <w:pStyle w:val="7"/>
              <w:spacing w:before="81"/>
              <w:jc w:val="center"/>
              <w:rPr>
                <w:rFonts w:hint="eastAsia"/>
                <w:sz w:val="20"/>
                <w:szCs w:val="20"/>
                <w:lang w:val="en-US" w:eastAsia="zh-CN"/>
              </w:rPr>
            </w:pPr>
            <w:r>
              <w:rPr>
                <w:rFonts w:hint="eastAsia"/>
                <w:sz w:val="20"/>
                <w:szCs w:val="20"/>
                <w:lang w:val="en-US" w:eastAsia="zh-CN"/>
              </w:rPr>
              <w:t>套</w:t>
            </w:r>
          </w:p>
        </w:tc>
        <w:tc>
          <w:tcPr>
            <w:tcW w:w="2079" w:type="dxa"/>
            <w:vAlign w:val="center"/>
          </w:tcPr>
          <w:p w14:paraId="01C305AE">
            <w:pPr>
              <w:pStyle w:val="7"/>
              <w:spacing w:before="81"/>
              <w:jc w:val="center"/>
              <w:rPr>
                <w:rFonts w:hint="default"/>
                <w:sz w:val="20"/>
                <w:szCs w:val="20"/>
                <w:lang w:val="en-US" w:eastAsia="zh-CN"/>
              </w:rPr>
            </w:pPr>
            <w:r>
              <w:rPr>
                <w:rFonts w:hint="eastAsia"/>
                <w:sz w:val="20"/>
                <w:szCs w:val="20"/>
                <w:lang w:val="en-US" w:eastAsia="zh-CN"/>
              </w:rPr>
              <w:t>13000</w:t>
            </w:r>
          </w:p>
        </w:tc>
        <w:tc>
          <w:tcPr>
            <w:tcW w:w="3536" w:type="dxa"/>
            <w:vAlign w:val="center"/>
          </w:tcPr>
          <w:p w14:paraId="14AFABDC">
            <w:pPr>
              <w:pStyle w:val="7"/>
              <w:spacing w:before="81"/>
              <w:jc w:val="center"/>
              <w:rPr>
                <w:rFonts w:hint="default"/>
                <w:sz w:val="20"/>
                <w:szCs w:val="20"/>
                <w:lang w:val="en-US" w:eastAsia="zh-CN"/>
              </w:rPr>
            </w:pPr>
            <w:r>
              <w:rPr>
                <w:rFonts w:hint="eastAsia"/>
                <w:sz w:val="20"/>
                <w:szCs w:val="20"/>
                <w:lang w:val="en-US" w:eastAsia="zh-CN"/>
              </w:rPr>
              <w:t>78000</w:t>
            </w:r>
          </w:p>
        </w:tc>
      </w:tr>
      <w:tr w14:paraId="5DED6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6736" w:type="dxa"/>
            <w:gridSpan w:val="8"/>
            <w:vAlign w:val="center"/>
          </w:tcPr>
          <w:p w14:paraId="5EAED7FD">
            <w:pPr>
              <w:pStyle w:val="7"/>
              <w:spacing w:before="81" w:line="208" w:lineRule="auto"/>
              <w:ind w:left="104" w:firstLine="3400" w:firstLineChars="1700"/>
              <w:jc w:val="left"/>
              <w:rPr>
                <w:rFonts w:hint="eastAsia" w:eastAsia="宋体"/>
                <w:sz w:val="20"/>
                <w:szCs w:val="20"/>
                <w:lang w:val="en-US" w:eastAsia="zh-CN"/>
              </w:rPr>
            </w:pPr>
            <w:r>
              <w:rPr>
                <w:rFonts w:hint="eastAsia"/>
                <w:sz w:val="20"/>
                <w:szCs w:val="20"/>
                <w:lang w:val="en-US" w:eastAsia="zh-CN"/>
              </w:rPr>
              <w:t>合计</w:t>
            </w:r>
          </w:p>
        </w:tc>
        <w:tc>
          <w:tcPr>
            <w:tcW w:w="2079" w:type="dxa"/>
            <w:tcBorders>
              <w:right w:val="single" w:color="auto" w:sz="4" w:space="0"/>
            </w:tcBorders>
            <w:vAlign w:val="center"/>
          </w:tcPr>
          <w:p w14:paraId="25DA9135">
            <w:pPr>
              <w:pStyle w:val="7"/>
              <w:spacing w:before="81"/>
              <w:ind w:left="108"/>
              <w:jc w:val="center"/>
              <w:rPr>
                <w:rFonts w:hint="default" w:eastAsia="宋体"/>
                <w:sz w:val="20"/>
                <w:szCs w:val="20"/>
                <w:lang w:val="en-US" w:eastAsia="zh-CN"/>
              </w:rPr>
            </w:pPr>
          </w:p>
        </w:tc>
        <w:tc>
          <w:tcPr>
            <w:tcW w:w="3536" w:type="dxa"/>
            <w:tcBorders>
              <w:left w:val="single" w:color="auto" w:sz="4" w:space="0"/>
            </w:tcBorders>
            <w:vAlign w:val="center"/>
          </w:tcPr>
          <w:p w14:paraId="0A98DC2E">
            <w:pPr>
              <w:pStyle w:val="7"/>
              <w:spacing w:before="81"/>
              <w:ind w:left="108"/>
              <w:jc w:val="center"/>
              <w:rPr>
                <w:rFonts w:hint="default"/>
                <w:sz w:val="20"/>
                <w:szCs w:val="20"/>
                <w:lang w:val="en-US" w:eastAsia="zh-CN"/>
              </w:rPr>
            </w:pPr>
            <w:r>
              <w:rPr>
                <w:rFonts w:hint="eastAsia"/>
                <w:sz w:val="20"/>
                <w:szCs w:val="20"/>
                <w:lang w:val="en-US" w:eastAsia="zh-CN"/>
              </w:rPr>
              <w:t>78000</w:t>
            </w:r>
          </w:p>
        </w:tc>
      </w:tr>
      <w:tr w14:paraId="46642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22351" w:type="dxa"/>
            <w:gridSpan w:val="10"/>
            <w:vAlign w:val="center"/>
          </w:tcPr>
          <w:p w14:paraId="4D95E617">
            <w:pPr>
              <w:pStyle w:val="7"/>
              <w:spacing w:before="81"/>
              <w:ind w:left="108"/>
              <w:jc w:val="center"/>
              <w:rPr>
                <w:rFonts w:hint="default"/>
                <w:sz w:val="20"/>
                <w:szCs w:val="20"/>
                <w:lang w:val="en-US" w:eastAsia="zh-CN"/>
              </w:rPr>
            </w:pPr>
            <w:r>
              <w:rPr>
                <w:rFonts w:hint="eastAsia"/>
                <w:b/>
                <w:bCs/>
                <w:sz w:val="36"/>
                <w:szCs w:val="36"/>
                <w:lang w:val="en-US" w:eastAsia="zh-CN"/>
              </w:rPr>
              <w:t>商务条款</w:t>
            </w:r>
          </w:p>
        </w:tc>
      </w:tr>
      <w:tr w14:paraId="65AAD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 w:hRule="atLeast"/>
        </w:trPr>
        <w:tc>
          <w:tcPr>
            <w:tcW w:w="3078" w:type="dxa"/>
            <w:gridSpan w:val="2"/>
            <w:vAlign w:val="center"/>
          </w:tcPr>
          <w:p w14:paraId="2EB7C1F2">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bCs/>
                <w:color w:val="auto"/>
                <w:sz w:val="22"/>
                <w:szCs w:val="22"/>
              </w:rPr>
              <w:t>合同签订时间</w:t>
            </w:r>
          </w:p>
        </w:tc>
        <w:tc>
          <w:tcPr>
            <w:tcW w:w="19273" w:type="dxa"/>
            <w:gridSpan w:val="8"/>
            <w:vAlign w:val="center"/>
          </w:tcPr>
          <w:p w14:paraId="0631639A">
            <w:pPr>
              <w:keepNext w:val="0"/>
              <w:keepLines w:val="0"/>
              <w:pageBreakBefore w:val="0"/>
              <w:numPr>
                <w:ilvl w:val="0"/>
                <w:numId w:val="1"/>
              </w:numPr>
              <w:kinsoku/>
              <w:wordWrap/>
              <w:overflowPunct/>
              <w:topLinePunct w:val="0"/>
              <w:autoSpaceDE/>
              <w:autoSpaceDN/>
              <w:bidi w:val="0"/>
              <w:adjustRightInd/>
              <w:snapToGrid/>
              <w:spacing w:line="400" w:lineRule="exact"/>
              <w:jc w:val="left"/>
              <w:rPr>
                <w:rFonts w:hint="eastAsia" w:ascii="宋体" w:hAnsi="宋体" w:eastAsia="宋体" w:cs="宋体"/>
                <w:bCs/>
                <w:color w:val="auto"/>
                <w:sz w:val="22"/>
                <w:szCs w:val="22"/>
              </w:rPr>
            </w:pPr>
            <w:r>
              <w:rPr>
                <w:rFonts w:hint="eastAsia" w:ascii="宋体" w:hAnsi="宋体" w:eastAsia="宋体" w:cs="宋体"/>
                <w:bCs/>
                <w:color w:val="auto"/>
                <w:sz w:val="22"/>
                <w:szCs w:val="22"/>
              </w:rPr>
              <w:t>成交供应商应当在成交结果确定之日起</w:t>
            </w:r>
            <w:r>
              <w:rPr>
                <w:rFonts w:hint="eastAsia" w:ascii="宋体" w:hAnsi="宋体" w:eastAsia="宋体" w:cs="宋体"/>
                <w:bCs/>
                <w:color w:val="auto"/>
                <w:sz w:val="22"/>
                <w:szCs w:val="22"/>
                <w:u w:val="single"/>
                <w:lang w:val="en-US" w:eastAsia="zh-CN"/>
              </w:rPr>
              <w:t>2</w:t>
            </w:r>
            <w:r>
              <w:rPr>
                <w:rFonts w:hint="eastAsia" w:ascii="宋体" w:hAnsi="宋体" w:eastAsia="宋体" w:cs="宋体"/>
                <w:bCs/>
                <w:color w:val="auto"/>
                <w:sz w:val="22"/>
                <w:szCs w:val="22"/>
              </w:rPr>
              <w:t>个工作日内，按照确定的采购标的、规格型号、成交金额、成交数量、技术和服务等事项，与采购人签订采购合同。</w:t>
            </w:r>
          </w:p>
          <w:p w14:paraId="3B3AE4C4">
            <w:pPr>
              <w:keepNext w:val="0"/>
              <w:keepLines w:val="0"/>
              <w:pageBreakBefore w:val="0"/>
              <w:numPr>
                <w:ilvl w:val="0"/>
                <w:numId w:val="1"/>
              </w:numPr>
              <w:kinsoku/>
              <w:wordWrap/>
              <w:overflowPunct/>
              <w:topLinePunct w:val="0"/>
              <w:autoSpaceDE/>
              <w:autoSpaceDN/>
              <w:bidi w:val="0"/>
              <w:adjustRightInd/>
              <w:snapToGrid/>
              <w:spacing w:line="400" w:lineRule="exact"/>
              <w:jc w:val="left"/>
              <w:rPr>
                <w:rFonts w:hint="eastAsia" w:ascii="宋体" w:hAnsi="宋体" w:eastAsia="宋体" w:cs="宋体"/>
                <w:color w:val="auto"/>
                <w:sz w:val="22"/>
                <w:szCs w:val="22"/>
                <w:lang w:val="en-US" w:eastAsia="zh-CN"/>
              </w:rPr>
            </w:pPr>
            <w:r>
              <w:rPr>
                <w:rFonts w:hint="eastAsia" w:ascii="宋体" w:hAnsi="宋体" w:eastAsia="宋体" w:cs="宋体"/>
                <w:bCs/>
                <w:color w:val="auto"/>
                <w:sz w:val="22"/>
                <w:szCs w:val="22"/>
              </w:rPr>
              <w:t>成交供应商超期不与采购人签订合同的，采购人有权取消其成交资格，并按规定追究其责任。</w:t>
            </w:r>
          </w:p>
        </w:tc>
      </w:tr>
      <w:tr w14:paraId="0645F6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3078" w:type="dxa"/>
            <w:gridSpan w:val="2"/>
            <w:vAlign w:val="center"/>
          </w:tcPr>
          <w:p w14:paraId="6150130D">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bCs/>
                <w:color w:val="auto"/>
                <w:sz w:val="22"/>
                <w:szCs w:val="22"/>
                <w:lang w:val="en-US" w:eastAsia="zh-CN"/>
              </w:rPr>
              <w:t>交货时间</w:t>
            </w:r>
          </w:p>
        </w:tc>
        <w:tc>
          <w:tcPr>
            <w:tcW w:w="19273" w:type="dxa"/>
            <w:gridSpan w:val="8"/>
            <w:vAlign w:val="center"/>
          </w:tcPr>
          <w:p w14:paraId="3E081D4A">
            <w:pPr>
              <w:keepNext w:val="0"/>
              <w:keepLines w:val="0"/>
              <w:pageBreakBefore w:val="0"/>
              <w:numPr>
                <w:ilvl w:val="0"/>
                <w:numId w:val="0"/>
              </w:numPr>
              <w:kinsoku/>
              <w:wordWrap/>
              <w:overflowPunct/>
              <w:topLinePunct w:val="0"/>
              <w:autoSpaceDE/>
              <w:autoSpaceDN/>
              <w:bidi w:val="0"/>
              <w:adjustRightInd/>
              <w:snapToGrid/>
              <w:spacing w:line="400" w:lineRule="exact"/>
              <w:jc w:val="left"/>
              <w:rPr>
                <w:rFonts w:hint="eastAsia" w:ascii="宋体" w:hAnsi="宋体" w:eastAsia="宋体" w:cs="宋体"/>
                <w:bCs/>
                <w:color w:val="auto"/>
                <w:sz w:val="22"/>
                <w:szCs w:val="22"/>
              </w:rPr>
            </w:pPr>
            <w:r>
              <w:rPr>
                <w:rFonts w:hint="eastAsia" w:ascii="宋体" w:hAnsi="宋体" w:eastAsia="宋体" w:cs="宋体"/>
                <w:bCs/>
                <w:color w:val="auto"/>
                <w:sz w:val="22"/>
                <w:szCs w:val="22"/>
              </w:rPr>
              <w:t>1、供货安装时间：货物应在合同签订后2个工作日内到达客户指定地点</w:t>
            </w:r>
            <w:r>
              <w:rPr>
                <w:rFonts w:hint="eastAsia" w:ascii="宋体" w:hAnsi="宋体" w:eastAsia="宋体" w:cs="宋体"/>
                <w:bCs/>
                <w:color w:val="auto"/>
                <w:sz w:val="22"/>
                <w:szCs w:val="22"/>
                <w:lang w:eastAsia="zh-CN"/>
              </w:rPr>
              <w:t>，否则合同作废。</w:t>
            </w:r>
            <w:r>
              <w:rPr>
                <w:rFonts w:hint="eastAsia" w:ascii="宋体" w:hAnsi="宋体" w:eastAsia="宋体" w:cs="宋体"/>
                <w:bCs/>
                <w:color w:val="auto"/>
                <w:sz w:val="22"/>
                <w:szCs w:val="22"/>
                <w:lang w:val="en-US" w:eastAsia="zh-CN"/>
              </w:rPr>
              <w:t>且在</w:t>
            </w:r>
            <w:r>
              <w:rPr>
                <w:rFonts w:hint="eastAsia" w:ascii="宋体" w:hAnsi="宋体" w:eastAsia="宋体" w:cs="宋体"/>
                <w:bCs/>
                <w:color w:val="auto"/>
                <w:sz w:val="22"/>
                <w:szCs w:val="22"/>
                <w:u w:val="single"/>
                <w:lang w:val="en-US" w:eastAsia="zh-CN"/>
              </w:rPr>
              <w:t>3</w:t>
            </w:r>
            <w:r>
              <w:rPr>
                <w:rFonts w:hint="eastAsia" w:ascii="宋体" w:hAnsi="宋体" w:eastAsia="宋体" w:cs="宋体"/>
                <w:bCs/>
                <w:color w:val="auto"/>
                <w:sz w:val="22"/>
                <w:szCs w:val="22"/>
              </w:rPr>
              <w:t>日内，供应商须按采购人的要求全部</w:t>
            </w:r>
            <w:r>
              <w:rPr>
                <w:rFonts w:hint="eastAsia" w:ascii="宋体" w:hAnsi="宋体" w:eastAsia="宋体" w:cs="宋体"/>
                <w:bCs/>
                <w:color w:val="auto"/>
                <w:sz w:val="22"/>
                <w:szCs w:val="22"/>
                <w:lang w:val="en-US" w:eastAsia="zh-CN"/>
              </w:rPr>
              <w:t>安装</w:t>
            </w:r>
            <w:r>
              <w:rPr>
                <w:rFonts w:hint="eastAsia" w:ascii="宋体" w:hAnsi="宋体" w:eastAsia="宋体" w:cs="宋体"/>
                <w:bCs/>
                <w:color w:val="auto"/>
                <w:sz w:val="22"/>
                <w:szCs w:val="22"/>
              </w:rPr>
              <w:t>调试完毕。如果出现不能按时供货，则视为成交供应商违约，采购人有权终止合同，并追究成交供应商的违约责任。</w:t>
            </w:r>
          </w:p>
          <w:p w14:paraId="680BBB4E">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left"/>
              <w:rPr>
                <w:rFonts w:hint="eastAsia" w:ascii="宋体" w:hAnsi="宋体" w:eastAsia="宋体" w:cs="宋体"/>
                <w:color w:val="auto"/>
                <w:sz w:val="22"/>
                <w:szCs w:val="22"/>
                <w:lang w:val="en-US" w:eastAsia="zh-CN"/>
              </w:rPr>
            </w:pPr>
            <w:r>
              <w:rPr>
                <w:rFonts w:hint="eastAsia" w:ascii="宋体" w:hAnsi="宋体" w:eastAsia="宋体" w:cs="宋体"/>
                <w:bCs/>
                <w:color w:val="auto"/>
                <w:sz w:val="22"/>
                <w:szCs w:val="22"/>
              </w:rPr>
              <w:t>2、交货地点：</w:t>
            </w:r>
            <w:r>
              <w:rPr>
                <w:rFonts w:hint="eastAsia" w:ascii="宋体" w:hAnsi="宋体" w:eastAsia="宋体" w:cs="宋体"/>
                <w:bCs/>
                <w:color w:val="auto"/>
                <w:sz w:val="22"/>
                <w:szCs w:val="22"/>
                <w:lang w:val="en-US" w:eastAsia="zh-CN"/>
              </w:rPr>
              <w:t>桂林市叠彩实验小学</w:t>
            </w:r>
            <w:r>
              <w:rPr>
                <w:rFonts w:hint="eastAsia" w:ascii="宋体" w:hAnsi="宋体" w:eastAsia="宋体" w:cs="宋体"/>
                <w:bCs/>
                <w:color w:val="auto"/>
                <w:sz w:val="22"/>
                <w:szCs w:val="22"/>
              </w:rPr>
              <w:t>采购人指定地点。</w:t>
            </w:r>
          </w:p>
        </w:tc>
      </w:tr>
      <w:tr w14:paraId="6ADA2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3078" w:type="dxa"/>
            <w:gridSpan w:val="2"/>
            <w:vAlign w:val="center"/>
          </w:tcPr>
          <w:p w14:paraId="449D8160">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bCs/>
                <w:color w:val="auto"/>
                <w:sz w:val="22"/>
                <w:szCs w:val="22"/>
                <w:lang w:val="en-US" w:eastAsia="zh-CN"/>
              </w:rPr>
              <w:t>报价要求</w:t>
            </w:r>
          </w:p>
        </w:tc>
        <w:tc>
          <w:tcPr>
            <w:tcW w:w="19273" w:type="dxa"/>
            <w:gridSpan w:val="8"/>
            <w:vAlign w:val="center"/>
          </w:tcPr>
          <w:p w14:paraId="3F4081F8">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Cs/>
                <w:color w:val="auto"/>
                <w:sz w:val="22"/>
                <w:szCs w:val="22"/>
              </w:rPr>
            </w:pPr>
            <w:r>
              <w:rPr>
                <w:rFonts w:hint="eastAsia" w:ascii="宋体" w:hAnsi="宋体" w:eastAsia="宋体" w:cs="宋体"/>
                <w:bCs/>
                <w:color w:val="auto"/>
                <w:sz w:val="22"/>
                <w:szCs w:val="22"/>
                <w:lang w:val="en-US" w:eastAsia="zh-CN"/>
              </w:rPr>
              <w:t>1、</w:t>
            </w:r>
            <w:r>
              <w:rPr>
                <w:rFonts w:hint="eastAsia" w:ascii="宋体" w:hAnsi="宋体" w:eastAsia="宋体" w:cs="宋体"/>
                <w:bCs/>
                <w:color w:val="auto"/>
                <w:sz w:val="22"/>
                <w:szCs w:val="22"/>
              </w:rPr>
              <w:t>报价包括货物采购、运输、劳务、管理、利润、协调、安装、调试、培训、售后服务、以及所有的不定因素的风险等所有成本费用的总和。</w:t>
            </w:r>
          </w:p>
          <w:p w14:paraId="06ED8A94">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Cs/>
                <w:color w:val="auto"/>
                <w:sz w:val="22"/>
                <w:szCs w:val="22"/>
              </w:rPr>
            </w:pPr>
            <w:r>
              <w:rPr>
                <w:rFonts w:hint="eastAsia" w:ascii="宋体" w:hAnsi="宋体" w:eastAsia="宋体" w:cs="宋体"/>
                <w:bCs/>
                <w:color w:val="auto"/>
                <w:sz w:val="22"/>
                <w:szCs w:val="22"/>
                <w:lang w:val="en-US" w:eastAsia="zh-CN"/>
              </w:rPr>
              <w:t>2、</w:t>
            </w:r>
            <w:r>
              <w:rPr>
                <w:rFonts w:hint="eastAsia" w:ascii="宋体" w:hAnsi="宋体" w:eastAsia="宋体" w:cs="宋体"/>
                <w:bCs/>
                <w:color w:val="auto"/>
                <w:sz w:val="22"/>
                <w:szCs w:val="22"/>
              </w:rPr>
              <w:t>★投标产品必须是具备厂家合法渠道的全新正品，必须按厂家承诺实行“三包”，报价时必须提交检测报告，3C认证等产品材料。</w:t>
            </w:r>
          </w:p>
          <w:p w14:paraId="5690E874">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color w:val="auto"/>
                <w:sz w:val="22"/>
                <w:szCs w:val="22"/>
                <w:lang w:val="en-US" w:eastAsia="zh-CN"/>
              </w:rPr>
            </w:pPr>
            <w:r>
              <w:rPr>
                <w:rFonts w:hint="eastAsia" w:ascii="宋体" w:hAnsi="宋体" w:eastAsia="宋体" w:cs="宋体"/>
                <w:bCs/>
                <w:color w:val="auto"/>
                <w:sz w:val="22"/>
                <w:szCs w:val="22"/>
                <w:lang w:val="en-US" w:eastAsia="zh-CN"/>
              </w:rPr>
              <w:t>3、</w:t>
            </w:r>
            <w:r>
              <w:rPr>
                <w:rFonts w:hint="eastAsia" w:ascii="宋体" w:hAnsi="宋体" w:eastAsia="宋体" w:cs="宋体"/>
                <w:bCs/>
                <w:color w:val="auto"/>
                <w:sz w:val="22"/>
                <w:szCs w:val="22"/>
              </w:rPr>
              <w:t>★</w:t>
            </w:r>
            <w:r>
              <w:rPr>
                <w:rFonts w:hint="eastAsia" w:ascii="宋体" w:hAnsi="宋体" w:eastAsia="宋体" w:cs="宋体"/>
                <w:bCs/>
                <w:color w:val="auto"/>
                <w:sz w:val="22"/>
                <w:szCs w:val="22"/>
                <w:lang w:val="en-US" w:eastAsia="zh-CN"/>
              </w:rPr>
              <w:t>除超出厂家标准配置长度的铜管外，本次报价应包含空调达到正常使用条件所需的全部安装人工、辅材及其他相关费用</w:t>
            </w:r>
            <w:r>
              <w:rPr>
                <w:rFonts w:hint="eastAsia" w:ascii="宋体" w:hAnsi="宋体" w:eastAsia="宋体" w:cs="宋体"/>
                <w:bCs/>
                <w:color w:val="auto"/>
                <w:sz w:val="22"/>
                <w:szCs w:val="22"/>
              </w:rPr>
              <w:t>。</w:t>
            </w:r>
            <w:bookmarkStart w:id="0" w:name="_GoBack"/>
            <w:bookmarkEnd w:id="0"/>
          </w:p>
        </w:tc>
      </w:tr>
      <w:tr w14:paraId="44B68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 w:hRule="atLeast"/>
        </w:trPr>
        <w:tc>
          <w:tcPr>
            <w:tcW w:w="3078" w:type="dxa"/>
            <w:gridSpan w:val="2"/>
            <w:vAlign w:val="center"/>
          </w:tcPr>
          <w:p w14:paraId="4A68942A">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bCs/>
                <w:color w:val="auto"/>
                <w:sz w:val="22"/>
                <w:szCs w:val="22"/>
              </w:rPr>
              <w:t>质保期</w:t>
            </w:r>
          </w:p>
        </w:tc>
        <w:tc>
          <w:tcPr>
            <w:tcW w:w="19273" w:type="dxa"/>
            <w:gridSpan w:val="8"/>
            <w:vAlign w:val="center"/>
          </w:tcPr>
          <w:p w14:paraId="71B43BC9">
            <w:pPr>
              <w:keepNext w:val="0"/>
              <w:keepLines w:val="0"/>
              <w:pageBreakBefore w:val="0"/>
              <w:numPr>
                <w:ilvl w:val="0"/>
                <w:numId w:val="2"/>
              </w:numPr>
              <w:kinsoku/>
              <w:wordWrap/>
              <w:overflowPunct/>
              <w:topLinePunct w:val="0"/>
              <w:autoSpaceDE/>
              <w:autoSpaceDN/>
              <w:bidi w:val="0"/>
              <w:adjustRightInd/>
              <w:snapToGrid/>
              <w:spacing w:line="400" w:lineRule="exact"/>
              <w:jc w:val="left"/>
              <w:rPr>
                <w:rFonts w:hint="eastAsia" w:ascii="宋体" w:hAnsi="宋体" w:eastAsia="宋体" w:cs="宋体"/>
                <w:color w:val="auto"/>
                <w:sz w:val="22"/>
                <w:szCs w:val="22"/>
              </w:rPr>
            </w:pPr>
            <w:r>
              <w:rPr>
                <w:rFonts w:hint="eastAsia" w:ascii="宋体" w:hAnsi="宋体" w:eastAsia="宋体" w:cs="宋体"/>
                <w:color w:val="auto"/>
                <w:sz w:val="22"/>
                <w:szCs w:val="22"/>
                <w:u w:val="single"/>
              </w:rPr>
              <w:t>质保期为6年</w:t>
            </w:r>
            <w:r>
              <w:rPr>
                <w:rFonts w:hint="eastAsia" w:ascii="宋体" w:hAnsi="宋体" w:eastAsia="宋体" w:cs="宋体"/>
                <w:color w:val="auto"/>
                <w:sz w:val="22"/>
                <w:szCs w:val="22"/>
              </w:rPr>
              <w:t>（分项货物有要求按分项要求，具体以报价文件承诺为准。若产品生产厂家免费质保期超过此年限的，合同履行过程中按厂家规定执行），自通过验收合格之日起至质保期届满且经采购人确认无任何质量问题时止。</w:t>
            </w:r>
          </w:p>
          <w:p w14:paraId="356EE86A">
            <w:pPr>
              <w:keepNext w:val="0"/>
              <w:keepLines w:val="0"/>
              <w:pageBreakBefore w:val="0"/>
              <w:numPr>
                <w:ilvl w:val="0"/>
                <w:numId w:val="2"/>
              </w:numPr>
              <w:kinsoku/>
              <w:wordWrap/>
              <w:overflowPunct/>
              <w:topLinePunct w:val="0"/>
              <w:autoSpaceDE/>
              <w:autoSpaceDN/>
              <w:bidi w:val="0"/>
              <w:adjustRightInd/>
              <w:snapToGrid/>
              <w:spacing w:line="400" w:lineRule="exact"/>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质保期内，提供免费上门维修服务，免收维修费和配件费，保障正常运行并提供终身技术支持。</w:t>
            </w:r>
          </w:p>
        </w:tc>
      </w:tr>
      <w:tr w14:paraId="519FC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00" w:hRule="atLeast"/>
        </w:trPr>
        <w:tc>
          <w:tcPr>
            <w:tcW w:w="3078" w:type="dxa"/>
            <w:gridSpan w:val="2"/>
            <w:vAlign w:val="center"/>
          </w:tcPr>
          <w:p w14:paraId="703AB0BF">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bCs/>
                <w:color w:val="auto"/>
                <w:sz w:val="22"/>
                <w:szCs w:val="22"/>
              </w:rPr>
              <w:t>售后服务及要求</w:t>
            </w:r>
          </w:p>
        </w:tc>
        <w:tc>
          <w:tcPr>
            <w:tcW w:w="19273" w:type="dxa"/>
            <w:gridSpan w:val="8"/>
            <w:vAlign w:val="center"/>
          </w:tcPr>
          <w:p w14:paraId="0FE282FD">
            <w:pPr>
              <w:keepNext w:val="0"/>
              <w:keepLines w:val="0"/>
              <w:pageBreakBefore w:val="0"/>
              <w:numPr>
                <w:ilvl w:val="0"/>
                <w:numId w:val="3"/>
              </w:numPr>
              <w:kinsoku/>
              <w:wordWrap/>
              <w:overflowPunct/>
              <w:topLinePunct w:val="0"/>
              <w:autoSpaceDE/>
              <w:autoSpaceDN/>
              <w:bidi w:val="0"/>
              <w:adjustRightInd/>
              <w:snapToGrid/>
              <w:spacing w:line="400" w:lineRule="exact"/>
              <w:jc w:val="left"/>
              <w:rPr>
                <w:rFonts w:hint="eastAsia" w:ascii="宋体" w:hAnsi="宋体" w:eastAsia="宋体" w:cs="宋体"/>
                <w:color w:val="auto"/>
                <w:sz w:val="22"/>
                <w:szCs w:val="22"/>
              </w:rPr>
            </w:pPr>
            <w:r>
              <w:rPr>
                <w:rFonts w:hint="eastAsia" w:ascii="宋体" w:hAnsi="宋体" w:eastAsia="宋体" w:cs="宋体"/>
                <w:color w:val="auto"/>
                <w:sz w:val="22"/>
                <w:szCs w:val="22"/>
              </w:rPr>
              <w:t>售后服务要求质保期内免费维修免费更换零部件，在保修期内，对由于产品设计、制造及安装的缺陷造成的任何产品质量问题或故障提供免费维修，对产品使用寿命期内实行终身维修。中标人提供7*24小时维修服务</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rPr>
              <w:t>用户呼叫后2小时内电话响应，接到故障通知后在8小时内到达采购人指定现场；提供不间断维修直到故障解除。须对合同中各种型号规格的空调设备提供足够的备品、配件，并保证是原厂生产的产品，在保修期内免费更换。</w:t>
            </w:r>
          </w:p>
          <w:p w14:paraId="22807ECB">
            <w:pPr>
              <w:keepNext w:val="0"/>
              <w:keepLines w:val="0"/>
              <w:pageBreakBefore w:val="0"/>
              <w:numPr>
                <w:ilvl w:val="0"/>
                <w:numId w:val="3"/>
              </w:numPr>
              <w:kinsoku/>
              <w:wordWrap/>
              <w:overflowPunct/>
              <w:topLinePunct w:val="0"/>
              <w:autoSpaceDE/>
              <w:autoSpaceDN/>
              <w:bidi w:val="0"/>
              <w:adjustRightInd/>
              <w:snapToGrid/>
              <w:spacing w:line="400" w:lineRule="exact"/>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安装要求：设备到货后，由中标人指派专业安装调试技术人员到现场进行安装调试，做到设备运转正常，演示设备的所有功能并培训采购人技术人员直到采购人能全部掌握设备的使用及日常维护</w:t>
            </w:r>
          </w:p>
        </w:tc>
      </w:tr>
      <w:tr w14:paraId="0EC83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5" w:hRule="atLeast"/>
        </w:trPr>
        <w:tc>
          <w:tcPr>
            <w:tcW w:w="3078" w:type="dxa"/>
            <w:gridSpan w:val="2"/>
            <w:vAlign w:val="center"/>
          </w:tcPr>
          <w:p w14:paraId="47611BC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bCs/>
                <w:color w:val="auto"/>
                <w:sz w:val="22"/>
                <w:szCs w:val="22"/>
              </w:rPr>
              <w:t>验收标准、规范</w:t>
            </w:r>
          </w:p>
        </w:tc>
        <w:tc>
          <w:tcPr>
            <w:tcW w:w="19273" w:type="dxa"/>
            <w:gridSpan w:val="8"/>
            <w:vAlign w:val="center"/>
          </w:tcPr>
          <w:p w14:paraId="6DD39C30">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bCs/>
                <w:color w:val="auto"/>
                <w:sz w:val="22"/>
                <w:szCs w:val="22"/>
              </w:rPr>
            </w:pPr>
            <w:r>
              <w:rPr>
                <w:rFonts w:hint="eastAsia" w:ascii="宋体" w:hAnsi="宋体" w:eastAsia="宋体" w:cs="宋体"/>
                <w:bCs/>
                <w:color w:val="auto"/>
                <w:sz w:val="22"/>
                <w:szCs w:val="22"/>
              </w:rPr>
              <w:t>1、免费送货上门，免费安装、免费调试，免费提供现场技术培训，保证使用人员正常使用货物；其余按报价人承诺进行。</w:t>
            </w:r>
          </w:p>
          <w:p w14:paraId="072F676D">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color w:val="auto"/>
                <w:sz w:val="22"/>
                <w:szCs w:val="22"/>
                <w:lang w:val="en-US" w:eastAsia="zh-CN"/>
              </w:rPr>
            </w:pPr>
            <w:r>
              <w:rPr>
                <w:rFonts w:hint="eastAsia" w:ascii="宋体" w:hAnsi="宋体" w:eastAsia="宋体" w:cs="宋体"/>
                <w:bCs/>
                <w:color w:val="auto"/>
                <w:sz w:val="22"/>
                <w:szCs w:val="22"/>
              </w:rPr>
              <w:t>2、验收：按照《项目要求及技术需求》的各项指标和国家有关质量标准进行最终验收。如发生所供货物不相符，采购人有权退货或要求成交供货商进行更换、补齐，因此造成逾期交货的，则视为成交供应商违约，采购人有权终止合同，所造成的损失由成交供应商承担。</w:t>
            </w:r>
          </w:p>
        </w:tc>
      </w:tr>
      <w:tr w14:paraId="675FD9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3078" w:type="dxa"/>
            <w:gridSpan w:val="2"/>
            <w:vAlign w:val="center"/>
          </w:tcPr>
          <w:p w14:paraId="060BE369">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付款方式</w:t>
            </w:r>
          </w:p>
        </w:tc>
        <w:tc>
          <w:tcPr>
            <w:tcW w:w="19273" w:type="dxa"/>
            <w:gridSpan w:val="8"/>
            <w:vAlign w:val="top"/>
          </w:tcPr>
          <w:p w14:paraId="3556DEB7">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本项目的资金拨付根据财政部门的付款流程执行，采购人不承担延期付款的责任。专项资金到帐且项目验收合格后，成交供应商开具全额增值税普通发票给采购人，采购人收到发票后付至合同价款的100%。</w:t>
            </w:r>
          </w:p>
        </w:tc>
      </w:tr>
      <w:tr w14:paraId="013617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5" w:hRule="atLeast"/>
        </w:trPr>
        <w:tc>
          <w:tcPr>
            <w:tcW w:w="3078" w:type="dxa"/>
            <w:gridSpan w:val="2"/>
            <w:vAlign w:val="center"/>
          </w:tcPr>
          <w:p w14:paraId="1A312AE5">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rPr>
              <w:t>其他要求</w:t>
            </w:r>
          </w:p>
        </w:tc>
        <w:tc>
          <w:tcPr>
            <w:tcW w:w="19273" w:type="dxa"/>
            <w:gridSpan w:val="8"/>
            <w:vAlign w:val="top"/>
          </w:tcPr>
          <w:p w14:paraId="4E68273C">
            <w:pPr>
              <w:keepNext w:val="0"/>
              <w:keepLines w:val="0"/>
              <w:pageBreakBefore w:val="0"/>
              <w:kinsoku/>
              <w:wordWrap/>
              <w:overflowPunct/>
              <w:topLinePunct w:val="0"/>
              <w:autoSpaceDE/>
              <w:autoSpaceDN/>
              <w:bidi w:val="0"/>
              <w:adjustRightInd/>
              <w:snapToGrid/>
              <w:spacing w:line="400" w:lineRule="exact"/>
              <w:jc w:val="left"/>
              <w:rPr>
                <w:rFonts w:hint="eastAsia" w:ascii="宋体" w:hAnsi="宋体" w:eastAsia="宋体" w:cs="宋体"/>
                <w:color w:val="auto"/>
                <w:sz w:val="22"/>
                <w:szCs w:val="22"/>
              </w:rPr>
            </w:pPr>
            <w:r>
              <w:rPr>
                <w:rFonts w:hint="eastAsia" w:ascii="宋体" w:hAnsi="宋体" w:eastAsia="宋体" w:cs="宋体"/>
                <w:color w:val="auto"/>
                <w:sz w:val="22"/>
                <w:szCs w:val="22"/>
                <w:lang w:val="en-US" w:eastAsia="zh-CN"/>
              </w:rPr>
              <w:t>1.</w:t>
            </w:r>
            <w:r>
              <w:rPr>
                <w:rFonts w:hint="eastAsia" w:ascii="宋体" w:hAnsi="宋体" w:eastAsia="宋体" w:cs="宋体"/>
                <w:i w:val="0"/>
                <w:iCs w:val="0"/>
                <w:color w:val="auto"/>
                <w:kern w:val="0"/>
                <w:sz w:val="22"/>
                <w:szCs w:val="22"/>
                <w:u w:val="none"/>
                <w:lang w:val="en-US" w:eastAsia="zh-CN" w:bidi="ar"/>
              </w:rPr>
              <w:t>本项目的货物必须是原装正品行货、全新未开封的、符合国家标准的产品，为保证正品行货，中标后签定合同签中标人必须提供本项目货物的生产厂家开具的销售证明文件。中标供应商按采购人的要求地址进行送货到位，由采购方验收合格后才进行安装调试或交付，集中验收时货物有不响应采购需求的，不予验收，采购人将报同级财政监督管理部门进行处理，由此导致整批货物被拒收或索赔而引发的所有损失由中标供应商承担。</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color w:val="auto"/>
                <w:sz w:val="22"/>
                <w:szCs w:val="22"/>
                <w:lang w:val="en-US" w:eastAsia="zh-CN"/>
              </w:rPr>
              <w:t>2.所有空调品牌型号为实质性，报价人</w:t>
            </w:r>
            <w:r>
              <w:rPr>
                <w:rFonts w:hint="eastAsia" w:ascii="宋体" w:hAnsi="宋体" w:eastAsia="宋体" w:cs="宋体"/>
                <w:color w:val="auto"/>
                <w:sz w:val="22"/>
                <w:szCs w:val="22"/>
              </w:rPr>
              <w:t>不得以任何理由</w:t>
            </w:r>
            <w:r>
              <w:rPr>
                <w:rFonts w:hint="eastAsia" w:ascii="宋体" w:hAnsi="宋体" w:eastAsia="宋体" w:cs="宋体"/>
                <w:color w:val="auto"/>
                <w:sz w:val="22"/>
                <w:szCs w:val="22"/>
                <w:lang w:val="en-US" w:eastAsia="zh-CN"/>
              </w:rPr>
              <w:t>使用其他品牌型号作为代替报价</w:t>
            </w:r>
            <w:r>
              <w:rPr>
                <w:rFonts w:hint="eastAsia" w:ascii="宋体" w:hAnsi="宋体" w:eastAsia="宋体" w:cs="宋体"/>
                <w:color w:val="auto"/>
                <w:sz w:val="22"/>
                <w:szCs w:val="22"/>
              </w:rPr>
              <w:t>，否则报价将无效。</w:t>
            </w:r>
          </w:p>
          <w:p w14:paraId="610C3B6F">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jc w:val="lef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3.标注“</w:t>
            </w:r>
            <w:r>
              <w:rPr>
                <w:rFonts w:hint="eastAsia" w:ascii="宋体" w:hAnsi="宋体" w:eastAsia="宋体" w:cs="宋体"/>
                <w:bCs/>
                <w:color w:val="auto"/>
                <w:sz w:val="22"/>
                <w:szCs w:val="22"/>
              </w:rPr>
              <w:t>★</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为实质性要求条款，报价人应如实响应，对</w:t>
            </w:r>
            <w:r>
              <w:rPr>
                <w:rFonts w:hint="eastAsia" w:ascii="宋体" w:hAnsi="宋体" w:eastAsia="宋体" w:cs="宋体"/>
                <w:color w:val="auto"/>
                <w:sz w:val="22"/>
                <w:szCs w:val="22"/>
              </w:rPr>
              <w:t>不</w:t>
            </w:r>
            <w:r>
              <w:rPr>
                <w:rFonts w:hint="eastAsia" w:ascii="宋体" w:hAnsi="宋体" w:eastAsia="宋体" w:cs="宋体"/>
                <w:color w:val="auto"/>
                <w:sz w:val="22"/>
                <w:szCs w:val="22"/>
                <w:lang w:val="en-US" w:eastAsia="zh-CN"/>
              </w:rPr>
              <w:t>能满足</w:t>
            </w:r>
            <w:r>
              <w:rPr>
                <w:rFonts w:hint="eastAsia" w:ascii="宋体" w:hAnsi="宋体" w:eastAsia="宋体" w:cs="宋体"/>
                <w:color w:val="auto"/>
                <w:sz w:val="22"/>
                <w:szCs w:val="22"/>
              </w:rPr>
              <w:t>虚假</w:t>
            </w:r>
            <w:r>
              <w:rPr>
                <w:rFonts w:hint="eastAsia" w:ascii="宋体" w:hAnsi="宋体" w:eastAsia="宋体" w:cs="宋体"/>
                <w:color w:val="auto"/>
                <w:sz w:val="22"/>
                <w:szCs w:val="22"/>
                <w:lang w:val="en-US" w:eastAsia="zh-CN"/>
              </w:rPr>
              <w:t>响应、中标后不能提供产品及提供相关证明文件</w:t>
            </w:r>
            <w:r>
              <w:rPr>
                <w:rFonts w:hint="eastAsia" w:ascii="宋体" w:hAnsi="宋体" w:eastAsia="宋体" w:cs="宋体"/>
                <w:color w:val="auto"/>
                <w:sz w:val="22"/>
                <w:szCs w:val="22"/>
              </w:rPr>
              <w:t>或者无法正常交货影响使用的，可作为废标处理，视为虚假应标，</w:t>
            </w:r>
            <w:r>
              <w:rPr>
                <w:rFonts w:hint="eastAsia" w:ascii="宋体" w:hAnsi="宋体" w:eastAsia="宋体" w:cs="宋体"/>
                <w:color w:val="auto"/>
                <w:sz w:val="22"/>
                <w:szCs w:val="22"/>
                <w:lang w:val="en-US" w:eastAsia="zh-CN"/>
              </w:rPr>
              <w:t>并</w:t>
            </w:r>
            <w:r>
              <w:rPr>
                <w:rFonts w:hint="eastAsia" w:ascii="宋体" w:hAnsi="宋体" w:eastAsia="宋体" w:cs="宋体"/>
                <w:color w:val="auto"/>
                <w:sz w:val="22"/>
                <w:szCs w:val="22"/>
              </w:rPr>
              <w:t>按</w:t>
            </w:r>
            <w:r>
              <w:rPr>
                <w:rFonts w:hint="eastAsia" w:ascii="宋体" w:hAnsi="宋体" w:eastAsia="宋体" w:cs="宋体"/>
                <w:color w:val="auto"/>
                <w:sz w:val="22"/>
                <w:szCs w:val="22"/>
                <w:lang w:eastAsia="zh-CN"/>
              </w:rPr>
              <w:t>《政府采购法》</w:t>
            </w:r>
            <w:r>
              <w:rPr>
                <w:rFonts w:hint="eastAsia" w:ascii="宋体" w:hAnsi="宋体" w:eastAsia="宋体" w:cs="宋体"/>
                <w:color w:val="auto"/>
                <w:sz w:val="22"/>
                <w:szCs w:val="22"/>
                <w:lang w:val="en-US" w:eastAsia="zh-CN"/>
              </w:rPr>
              <w:t>第七十七条</w:t>
            </w:r>
            <w:r>
              <w:rPr>
                <w:rFonts w:hint="eastAsia" w:ascii="宋体" w:hAnsi="宋体" w:eastAsia="宋体" w:cs="宋体"/>
                <w:color w:val="auto"/>
                <w:sz w:val="22"/>
                <w:szCs w:val="22"/>
              </w:rPr>
              <w:t>有关规定处理</w:t>
            </w:r>
            <w:r>
              <w:rPr>
                <w:rFonts w:hint="eastAsia" w:ascii="宋体" w:hAnsi="宋体" w:eastAsia="宋体" w:cs="宋体"/>
                <w:color w:val="auto"/>
                <w:sz w:val="22"/>
                <w:szCs w:val="22"/>
                <w:lang w:eastAsia="zh-CN"/>
              </w:rPr>
              <w:t>（处以采购金额千分之五以上千分之十以下的罚款， 列入不良行为记录名单， 在一至三年内禁止参加政府采购活动。</w:t>
            </w:r>
          </w:p>
        </w:tc>
      </w:tr>
    </w:tbl>
    <w:p w14:paraId="7D226A8B">
      <w:pPr>
        <w:jc w:val="left"/>
        <w:rPr>
          <w:rFonts w:hint="eastAsia" w:ascii="宋体" w:hAnsi="宋体" w:eastAsia="宋体" w:cs="宋体"/>
          <w:color w:val="auto"/>
          <w:sz w:val="22"/>
          <w:szCs w:val="22"/>
        </w:rPr>
      </w:pPr>
    </w:p>
    <w:p w14:paraId="7ACB3520">
      <w:pPr>
        <w:rPr>
          <w:rFonts w:ascii="Arial"/>
          <w:sz w:val="21"/>
        </w:rPr>
      </w:pPr>
    </w:p>
    <w:p w14:paraId="706BFFAB">
      <w:pPr>
        <w:spacing w:line="360" w:lineRule="auto"/>
        <w:ind w:firstLine="2310" w:firstLineChars="1100"/>
      </w:pPr>
    </w:p>
    <w:sectPr>
      <w:pgSz w:w="23811" w:h="16838" w:orient="landscape"/>
      <w:pgMar w:top="720" w:right="720" w:bottom="720" w:left="720"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74C725"/>
    <w:multiLevelType w:val="singleLevel"/>
    <w:tmpl w:val="FC74C725"/>
    <w:lvl w:ilvl="0" w:tentative="0">
      <w:start w:val="1"/>
      <w:numFmt w:val="decimal"/>
      <w:suff w:val="nothing"/>
      <w:lvlText w:val="%1、"/>
      <w:lvlJc w:val="left"/>
    </w:lvl>
  </w:abstractNum>
  <w:abstractNum w:abstractNumId="1">
    <w:nsid w:val="FEC4A8E9"/>
    <w:multiLevelType w:val="singleLevel"/>
    <w:tmpl w:val="FEC4A8E9"/>
    <w:lvl w:ilvl="0" w:tentative="0">
      <w:start w:val="1"/>
      <w:numFmt w:val="decimal"/>
      <w:suff w:val="nothing"/>
      <w:lvlText w:val="%1、"/>
      <w:lvlJc w:val="left"/>
    </w:lvl>
  </w:abstractNum>
  <w:abstractNum w:abstractNumId="2">
    <w:nsid w:val="137657A4"/>
    <w:multiLevelType w:val="singleLevel"/>
    <w:tmpl w:val="137657A4"/>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DB1182"/>
    <w:rsid w:val="0D4F0B68"/>
    <w:rsid w:val="13306FAB"/>
    <w:rsid w:val="18DB1182"/>
    <w:rsid w:val="1C025D09"/>
    <w:rsid w:val="25820BE4"/>
    <w:rsid w:val="280F69B5"/>
    <w:rsid w:val="2E053332"/>
    <w:rsid w:val="2E1C51B6"/>
    <w:rsid w:val="38A10829"/>
    <w:rsid w:val="3D164631"/>
    <w:rsid w:val="5EA93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line="360" w:lineRule="auto"/>
      <w:ind w:firstLine="200" w:firstLineChars="200"/>
    </w:pPr>
    <w:rPr>
      <w:rFonts w:ascii="宋体"/>
      <w:szCs w:val="20"/>
    </w:rPr>
  </w:style>
  <w:style w:type="paragraph" w:styleId="3">
    <w:name w:val="Body Text Indent"/>
    <w:basedOn w:val="1"/>
    <w:next w:val="4"/>
    <w:qFormat/>
    <w:uiPriority w:val="0"/>
    <w:pPr>
      <w:ind w:firstLine="352" w:firstLineChars="352"/>
    </w:pPr>
    <w:rPr>
      <w:rFonts w:ascii="仿宋_GB2312" w:eastAsia="仿宋_GB2312"/>
      <w:sz w:val="32"/>
      <w:szCs w:val="20"/>
    </w:rPr>
  </w:style>
  <w:style w:type="paragraph" w:styleId="4">
    <w:name w:val="envelope return"/>
    <w:basedOn w:val="1"/>
    <w:qFormat/>
    <w:uiPriority w:val="0"/>
    <w:pPr>
      <w:snapToGrid w:val="0"/>
    </w:pPr>
    <w:rPr>
      <w:rFonts w:ascii="Arial" w:hAnsi="Arial"/>
    </w:rPr>
  </w:style>
  <w:style w:type="paragraph" w:customStyle="1" w:styleId="7">
    <w:name w:val="Table Text"/>
    <w:basedOn w:val="1"/>
    <w:semiHidden/>
    <w:qFormat/>
    <w:uiPriority w:val="0"/>
    <w:rPr>
      <w:rFonts w:ascii="宋体" w:hAnsi="宋体" w:eastAsia="宋体" w:cs="宋体"/>
      <w:sz w:val="25"/>
      <w:szCs w:val="25"/>
      <w:lang w:val="en-US" w:eastAsia="en-US" w:bidi="ar-SA"/>
    </w:r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1728</Words>
  <Characters>1842</Characters>
  <Lines>0</Lines>
  <Paragraphs>0</Paragraphs>
  <TotalTime>24</TotalTime>
  <ScaleCrop>false</ScaleCrop>
  <LinksUpToDate>false</LinksUpToDate>
  <CharactersWithSpaces>1850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2025-07-04T03:10:00Z</dcterms:created>
  <dc:creator>A-headache</dc:creator>
  <cp:lastModifiedBy>AA正源电脑电视机批发欧琴</cp:lastModifiedBy>
  <dcterms:modified xsi:type="dcterms:W3CDTF">2026-08-21T04:11:58Z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D51E66830A5B4814B248EB5813FE4680_13</vt:lpwstr>
  </property>
  <property fmtid="{D5CDD505-2E9C-101B-9397-08002B2CF9AE}" pid="4" name="KSOTemplateDocerSaveRecord">
    <vt:lpwstr>eyJoZGlkIjoiN2Y1YTU5ZWE4MTcxYzQyMzBkNjUwYjYzOWJkNTRlYzEiLCJ1c2VySWQiOiI0MzE1ODkzOTQifQ==</vt:lpwstr>
  </property>
</Properties>
</file>