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98818">
      <w:pPr>
        <w:jc w:val="center"/>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2026</w:t>
      </w:r>
      <w:r>
        <w:rPr>
          <w:rFonts w:hint="eastAsia" w:ascii="方正小标宋_GBK" w:hAnsi="方正小标宋_GBK" w:eastAsia="方正小标宋_GBK" w:cs="方正小标宋_GBK"/>
          <w:sz w:val="40"/>
          <w:szCs w:val="48"/>
          <w:lang w:val="en-US" w:eastAsia="zh-CN"/>
        </w:rPr>
        <w:t>年</w:t>
      </w:r>
      <w:r>
        <w:rPr>
          <w:rFonts w:hint="eastAsia" w:ascii="方正小标宋_GBK" w:hAnsi="方正小标宋_GBK" w:eastAsia="方正小标宋_GBK" w:cs="方正小标宋_GBK"/>
          <w:sz w:val="40"/>
          <w:szCs w:val="48"/>
        </w:rPr>
        <w:t>象山区公办幼儿园柜子+玩具采购清单</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840"/>
        <w:gridCol w:w="1410"/>
        <w:gridCol w:w="1621"/>
        <w:gridCol w:w="4814"/>
        <w:gridCol w:w="885"/>
        <w:gridCol w:w="810"/>
        <w:gridCol w:w="900"/>
        <w:gridCol w:w="1331"/>
        <w:gridCol w:w="34"/>
      </w:tblGrid>
      <w:tr w14:paraId="1626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94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540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7C5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0BE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材质规格</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0035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技术参数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26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A2F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867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单价</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10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总价</w:t>
            </w:r>
          </w:p>
        </w:tc>
      </w:tr>
      <w:tr w14:paraId="19F4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105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2B6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2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教室阶梯展示柜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100*30*75带轮子</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52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1.规格：L1000*300*700mm,规格误差值： ≤10mm；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2.材料：橡胶木，板材厚度≥17mm；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橡胶木”：产品有害物质（家具涂层可迁元素）：镉、铅、铬、汞、锑、钡、硒、砷均未检出，产品有害物质可接触的实木部件中五氯苯酚（PCP）未检出。（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3.工艺要求：采用三合一连接件连接。油漆用料应无毒无味，透明、环保亮光底漆、面漆，技术质量应符合国家合格要求标准。颜色为原木色，木料需经过干燥处理，含水率不超过 12%。</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三合一”：金属表面耐腐蚀：中性盐雾≥1100小时【镀层本身耐腐蚀等级为10级，镀层对基体的保护等级为10级】；抗细菌性能：对两种或以上菌类抗菌率＞99%。（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底漆”：VOC含量≤100g/L，总铅（Pb）含量、可溶性重金属含量（镉、铬、汞）、苯含量、甲苯与二甲苯（含乙苯）总和含量、卤代烃总和含量、游离二异氰酸酯总和含量均未检出。（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面漆”：VOC含量≤100g/L，总铅（Pb）含量、可溶性重金属含量（镉、铬、汞）、苯含量、甲苯与二甲苯（含乙苯）总和含量、卤代烃总和含量、游离二异氰酸酯总和含量均未检出。（提供第三方检测报告佐证，并提供官网查询内容截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6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D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1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4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6380</w:t>
            </w:r>
          </w:p>
        </w:tc>
      </w:tr>
      <w:tr w14:paraId="6FB8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9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9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教室大号转角柜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80*30*60带轮子</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6E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1.规格：L800*300*600mm,规格误差值： ≤10mm；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2.材料：橡胶木，板材厚度≥17mm；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橡胶木”：产品有害物质（家具涂层可迁元素）：镉、铅、铬、汞、锑、钡、硒、砷均未检出，产品有害物质可接触的实木部件中五氯苯酚（PCP）未检出。（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3.工艺要求：采用三合一连接件连接。油漆用料应无毒无味，透明、环保亮光底漆、面漆，技术质量应符合国家合格要求标准。颜色为原木色，木料需经过干燥处理，含水率不超过 12%。</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三合一”：金属表面耐腐蚀：中性盐雾≥1100小时【镀层本身耐腐蚀等级为10级，镀层对基体的保护等级为10级】；抗细菌性能：对两种或以上菌类抗菌率＞99%。（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底漆”：VOC含量≤100g/L，总铅（Pb）含量、可溶性重金属含量（镉、铬、汞）、苯含量、甲苯与二甲苯（含乙苯）总和含量、卤代烃总和含量、游离二异氰酸酯总和含量均未检出。（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面漆”：VOC含量≤100g/L，总铅（Pb）含量、可溶性重金属含量（镉、铬、汞）、苯含量、甲苯与二甲苯（含乙苯）总和含量、卤代烃总和含量、游离二异氰酸酯总和含量均未检出。（提供第三方检测报告佐证，并提供官网查询内容截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9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0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4785</w:t>
            </w:r>
          </w:p>
        </w:tc>
      </w:tr>
      <w:tr w14:paraId="66CA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10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1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美工室旗舰版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E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柜子，桌子，展示架、置物架等（不需要美术操作材料）</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AB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桌面：/新西兰松实木/E0级多层实木板，厚度≥2.5cm，表面打磨光滑，边角全圆角处理，无毛刺、无倒刺。</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1、桌腿：实木方腿/圆腿，截面≥5×5cm，结构稳固，承重≥200kg，幼儿推拉不晃动。</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2、表面处理：喷涂儿童专用水性底漆、面漆，防刮耐磨、防污易清洁，无甲醛、无异味，符合幼儿接触级安全标准。</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底漆”：VOC含量≤100g/L，总铅（Pb）含量、可溶性重金属含量（镉、铬、汞）、苯含量、甲苯与二甲苯（含乙苯）总和含量、卤代烃总和含量、游离二异氰酸酯总和含量均未检出。（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面漆”：VOC含量≤100g/L，总铅（Pb）含量、可溶性重金属含量（镉、铬、汞）、苯含量、甲苯与二甲苯（含乙苯）总和含量、卤代烃总和含量、游离二异氰酸酯总和含量均未检出。（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3、附加设计：部分款式带下方开放式置物层，可存放编织工具、半成品材料；桌面边缘做防撞软包/倒圆处理，防止磕碰受伤。</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4、实木花瓣造型矮凳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5、规格尺寸：座面直径约30cm，高度约25-30cm，适配幼儿坐姿，单凳承重≥50kg。</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材质工艺：座面：实木多层板/实木，花瓣造型，边缘全圆角打磨，无尖锐棱角，无毛刺划伤风险。凳腿：实木圆腿，截面≥3×3cm，结构稳固，四腿防滑脚垫设计，防止滑动、刮花地板</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6、采用榫卯加止退防松螺丝连接。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▲止退防松螺丝”：外观性能要求合格；中性盐雾试验≥1000h，镀（涂）层对基体的保护等级≥9 级，镀（涂）层本身耐腐蚀等级≥9 级；抗菌性能：至少对 8 种菌的抑菌率达到 99%以上；耐霉菌性：至少对 8 种霉的耐霉菌性等级（防霉等级）为 0 级。（提供第三方检测报告佐证，并提供官网查询内容截图）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套（30名幼儿使用）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A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132</w:t>
            </w:r>
            <w:r>
              <w:rPr>
                <w:rFonts w:hint="eastAsia" w:ascii="宋体" w:hAnsi="宋体" w:cs="宋体"/>
                <w:i w:val="0"/>
                <w:iCs w:val="0"/>
                <w:color w:val="000000"/>
                <w:kern w:val="0"/>
                <w:sz w:val="22"/>
                <w:szCs w:val="22"/>
                <w:u w:val="none"/>
                <w:lang w:val="en-US" w:eastAsia="zh-CN"/>
              </w:rPr>
              <w:t>35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AC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132</w:t>
            </w:r>
            <w:r>
              <w:rPr>
                <w:rFonts w:hint="eastAsia" w:ascii="宋体" w:hAnsi="宋体" w:cs="宋体"/>
                <w:i w:val="0"/>
                <w:iCs w:val="0"/>
                <w:color w:val="000000"/>
                <w:kern w:val="0"/>
                <w:sz w:val="22"/>
                <w:szCs w:val="22"/>
                <w:u w:val="none"/>
                <w:lang w:val="en-US" w:eastAsia="zh-CN"/>
              </w:rPr>
              <w:t>35</w:t>
            </w:r>
          </w:p>
        </w:tc>
      </w:tr>
      <w:tr w14:paraId="267B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9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8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4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编织教室标准版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C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柜子，桌子，展示架、置物架等（不需要操作材料）</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44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桌面：/新西兰松实木/E0级多层实木板，厚度≥2.5cm，表面打磨光滑，边角全圆角处理，无毛刺、无倒刺。</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1、桌腿：实木方腿/圆腿，截面≥5×5cm，结构稳固，承重≥200kg，幼儿推拉不晃动。</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2、表面处理：喷涂儿童专用水性底漆、面漆，防刮耐磨、防污易清洁，无甲醛、无异味，符合幼儿接触级安全标准。</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底漆”：VOC含量≤100g/L，总铅（Pb）含量、可溶性重金属含量（镉、铬、汞）、苯含量、甲苯与二甲苯（含乙苯）总和含量、卤代烃总和含量、游离二异氰酸酯总和含量均未检出。（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面漆”：VOC含量≤100g/L，总铅（Pb）含量、可溶性重金属含量（镉、铬、汞）、苯含量、甲苯与二甲苯（含乙苯）总和含量、卤代烃总和含量、游离二异氰酸酯总和含量均未检出。（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3、附加设计：部分款式带下方开放式置物层，可存放编织工具、半成品材料；桌面边缘做防撞软包/倒圆处理，防止磕碰受伤。</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4、实木花瓣造型矮凳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5、规格尺寸：座面直径约30cm，高度约25-30cm，适配幼儿坐姿，单凳承重≥50kg。</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材质工艺：座面：实木多层板/实木，花瓣造型，边缘全圆角打磨，无尖锐棱角，无毛刺划伤风险。凳腿：实木圆腿，截面≥3×3cm，结构稳固，四腿防滑脚垫设计，防止滑动、刮花地板</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6、采用榫卯加止退防松螺丝连接。</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▲止退防松螺丝”：外观性能要求合格；中性盐雾试验≥1000h，镀（涂）层对基体的保护等级≥9 级，镀（涂）层本身耐腐蚀等级≥9 级；抗菌性能：至少对 8 种菌的抑菌率达到 99%以上；耐霉菌性：至少对 8 种霉的耐霉菌性等级（防霉等级）为 0 级。（提供第三方检测报告佐证，并提供官网查询内容截图）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6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套（30名幼儿使用）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3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14600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E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14600</w:t>
            </w:r>
          </w:p>
        </w:tc>
      </w:tr>
      <w:tr w14:paraId="07AB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366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B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3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绘本馆坐凳书柜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F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定制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C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整体尺寸：约80×30×60cm（长×宽×高，可按场地调整），适配幼儿园绘本尺寸，可收纳约30-50本绘本。</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造型设计：卡通卡车造型，车头带“Book Car”标识、卡通车窗，车尾带圆形装饰，整体圆润可爱，适配幼儿园阅读区氛围，可作为互动教具，培养幼儿收纳习惯。</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结构设计：车头+车尾双收纳区，车头为斜插式绘本位，车尾为开放式储物区，也可搭配车轮造型底座，部分款式带万向轮，可移动。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9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C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0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18900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18900</w:t>
            </w:r>
          </w:p>
        </w:tc>
      </w:tr>
      <w:tr w14:paraId="2BB1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343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A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户外玩具收纳柜1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2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定制</w:t>
            </w:r>
          </w:p>
          <w:p w14:paraId="5A48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sz w:val="22"/>
                <w:szCs w:val="22"/>
                <w:lang w:val="en-US" w:eastAsia="zh-CN"/>
              </w:rPr>
              <w:t xml:space="preserve">6.2*90      </w:t>
            </w:r>
            <w:r>
              <w:rPr>
                <w:rStyle w:val="5"/>
                <w:sz w:val="22"/>
                <w:szCs w:val="22"/>
                <w:lang w:val="en-US" w:eastAsia="zh-CN"/>
              </w:rPr>
              <w:br w:type="textWrapping"/>
            </w:r>
            <w:r>
              <w:rPr>
                <w:rStyle w:val="5"/>
                <w:sz w:val="22"/>
                <w:szCs w:val="22"/>
                <w:lang w:val="en-US" w:eastAsia="zh-CN"/>
              </w:rPr>
              <w:t>7.2*90</w:t>
            </w:r>
            <w:r>
              <w:rPr>
                <w:rStyle w:val="5"/>
                <w:sz w:val="22"/>
                <w:szCs w:val="22"/>
                <w:lang w:val="en-US" w:eastAsia="zh-CN"/>
              </w:rPr>
              <w:br w:type="textWrapping"/>
            </w:r>
            <w:r>
              <w:rPr>
                <w:rStyle w:val="5"/>
                <w:sz w:val="22"/>
                <w:szCs w:val="22"/>
                <w:lang w:val="en-US" w:eastAsia="zh-CN"/>
              </w:rPr>
              <w:t>6.4*90</w:t>
            </w:r>
            <w:r>
              <w:rPr>
                <w:rStyle w:val="5"/>
                <w:sz w:val="22"/>
                <w:szCs w:val="22"/>
                <w:lang w:val="en-US" w:eastAsia="zh-CN"/>
              </w:rPr>
              <w:br w:type="textWrapping"/>
            </w:r>
            <w:r>
              <w:rPr>
                <w:rStyle w:val="5"/>
                <w:sz w:val="22"/>
                <w:szCs w:val="22"/>
                <w:lang w:val="en-US" w:eastAsia="zh-CN"/>
              </w:rPr>
              <w:t>4.2*90</w:t>
            </w:r>
            <w:r>
              <w:rPr>
                <w:rStyle w:val="5"/>
                <w:sz w:val="22"/>
                <w:szCs w:val="22"/>
                <w:lang w:val="en-US" w:eastAsia="zh-CN"/>
              </w:rPr>
              <w:br w:type="textWrapping"/>
            </w:r>
            <w:r>
              <w:rPr>
                <w:rStyle w:val="6"/>
                <w:sz w:val="22"/>
                <w:szCs w:val="22"/>
                <w:lang w:val="en-US" w:eastAsia="zh-CN"/>
              </w:rPr>
              <w:t>7.5*90</w:t>
            </w:r>
            <w:r>
              <w:rPr>
                <w:rStyle w:val="5"/>
                <w:sz w:val="22"/>
                <w:szCs w:val="22"/>
                <w:lang w:val="en-US" w:eastAsia="zh-CN"/>
              </w:rPr>
              <w:t xml:space="preserve"> </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6C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优质进口芬兰松/樟子松实木，无结疤、无虫蛀、无开裂，经过高温碳化+ACQ防腐双重处理，提升抗腐蚀、抗紫外线性能，长期户外使用不霉变、不开裂。</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表面处理：打磨至180目以上，边角全圆角打磨处理，无毛刺、无倒刺；表面喷涂环保户外木油/水性清漆，防水防污，无甲醛、无异味，符合幼儿接触级安全标准，长期户外使用不褪色、不起皮。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0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55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2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46800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0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46800</w:t>
            </w:r>
          </w:p>
        </w:tc>
      </w:tr>
      <w:tr w14:paraId="02E6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9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2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户外玩具收纳柜2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75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9米5</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0B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1、定制食品级PP工程塑料，加厚材质，承重≥20kg，防摔耐冲击，无异味；带把手设计，方便幼儿搬运分类收纳。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▲“PP工程塑料”：邻苯二甲酸脂（DBP、BBP、DEHP、DNOP、DINP、DIDP）均未检出，重金属（可溶性铅、可溶性镉、可溶性铬、可溶性汞）均未检出， 有害物质限量多环芳烃：苯并[a]芘未检出,16 种多环芳烃（PAH)总量未检出； 公共场所阻燃家具及组件的燃烧性能阻燃 2 级：5min 内放出的总能量≤40MJ，热释放速度率峰值≤240KW；防霉性能：至少对8种或以上霉类的防霉等级检测结果为 0 级；塑料表面抗菌性能：至少对8种或以上菌类检测结果达到 99%以上。（提供第三方检测报告佐证，并提供官网查询内容截图）</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2、功能：可分类存放小型积木配件，箱体可堆叠，也可直接放置在柜体下层，方便取用和整理。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2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8F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6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10800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10800</w:t>
            </w:r>
          </w:p>
        </w:tc>
      </w:tr>
      <w:tr w14:paraId="045B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389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7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0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木质户外攀爬架组合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0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1.高中低架各 3 个，平衡板 10 条，楼梯 9 条；</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2.楼梯：宽 40cm，长 180cm，8 条踏木，楼梯边方宽不低于 5cm,厚不低于 7cm；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3.平衡板：长 180cm，宽 18cm，厚 4cm；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4.低架：底宽 55cm，底长 55cm，高 80cm，架柱方宽厚均不低于 5.5cm；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5.中架：底宽 55cm，底长 55cm，高 100cm，架柱方宽厚均不低于 5.5cm；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6.高架：底宽 55cm，底长 55cm，高 120cm，架柱方宽厚均不低于 5.5cm；</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7.材质为炭烧木，产品符合安全质量标准和环保要求。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2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E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14460</w:t>
            </w:r>
          </w:p>
        </w:tc>
      </w:tr>
      <w:tr w14:paraId="0802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9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1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E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跑酷运动组合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1E10">
            <w:pPr>
              <w:jc w:val="center"/>
              <w:rPr>
                <w:rFonts w:hint="eastAsia" w:ascii="宋体" w:hAnsi="宋体" w:eastAsia="宋体" w:cs="宋体"/>
                <w:i w:val="0"/>
                <w:iCs w:val="0"/>
                <w:color w:val="000000"/>
                <w:sz w:val="22"/>
                <w:szCs w:val="22"/>
                <w:u w:val="none"/>
              </w:rPr>
            </w:pP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2D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材质：PVC软包+海绵填充，底部防滑皮，宽度适配幼儿脚掌；</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功能：平衡感训练、走步协调，高度无安全隐患。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A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40000</w:t>
            </w:r>
          </w:p>
        </w:tc>
      </w:tr>
      <w:tr w14:paraId="7646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178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B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6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升降移动篮球架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4B9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1套2个</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52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可调节高度：1.2m - 2.2m（或1.35m-1.8m/1.6m-2.7m，根不同年龄段需求选择），多档调节，适配小、中、大班幼儿身高，满足不同阶段投篮训练需求。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7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2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B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6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2940</w:t>
            </w:r>
          </w:p>
        </w:tc>
      </w:tr>
      <w:tr w14:paraId="22B5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19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8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0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户外大型碳化积木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CAE">
            <w:pPr>
              <w:jc w:val="center"/>
              <w:rPr>
                <w:rFonts w:hint="eastAsia" w:ascii="宋体" w:hAnsi="宋体" w:eastAsia="宋体" w:cs="宋体"/>
                <w:i w:val="0"/>
                <w:iCs w:val="0"/>
                <w:color w:val="000000"/>
                <w:sz w:val="22"/>
                <w:szCs w:val="22"/>
                <w:u w:val="none"/>
              </w:rPr>
            </w:pP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52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温碳化处理后，木材抗腐蚀、抗紫外线能力提升，长期户外使用不霉变、不开裂、不变形。</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表面涂层耐磨、耐刮擦，长期使用不脱落、不起皮，易清洁打理。</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套装中的特殊件（拱形、圆柱、插孔件）结构稳固，反复搭建不易损坏。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B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E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C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13600</w:t>
            </w:r>
          </w:p>
        </w:tc>
      </w:tr>
      <w:tr w14:paraId="7FD9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256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9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6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空调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C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1.5P</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C0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制冷量 3510W(200W~4000W）</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制热量 5010W(200W~5590W)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循环风量 700m/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噪声：室内侧21-35dB(A)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室 外 侧 ≤51dB(A)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功 率(标准工况) (制冷) 980W(85W~1700W </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 xml:space="preserve"> (制热) 1250W(85W~1960W)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E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A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1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0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3500</w:t>
            </w:r>
          </w:p>
        </w:tc>
      </w:tr>
      <w:tr w14:paraId="03B7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1160" w:hRule="atLeast"/>
        </w:trPr>
        <w:tc>
          <w:tcPr>
            <w:tcW w:w="95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E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共计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0DC2">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D96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E74">
            <w:pPr>
              <w:jc w:val="center"/>
              <w:rPr>
                <w:rFonts w:hint="eastAsia" w:ascii="宋体" w:hAnsi="宋体" w:eastAsia="宋体" w:cs="宋体"/>
                <w:i w:val="0"/>
                <w:iCs w:val="0"/>
                <w:color w:val="000000"/>
                <w:sz w:val="22"/>
                <w:szCs w:val="22"/>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DD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90000</w:t>
            </w:r>
            <w:bookmarkStart w:id="0" w:name="_GoBack"/>
            <w:bookmarkEnd w:id="0"/>
          </w:p>
        </w:tc>
      </w:tr>
      <w:tr w14:paraId="1878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583" w:hRule="atLeast"/>
        </w:trPr>
        <w:tc>
          <w:tcPr>
            <w:tcW w:w="134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D477ED">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4"/>
                <w:szCs w:val="24"/>
                <w:u w:val="none"/>
                <w:lang w:val="en-US" w:eastAsia="zh-CN"/>
              </w:rPr>
              <w:t>商务条款</w:t>
            </w:r>
          </w:p>
        </w:tc>
      </w:tr>
      <w:tr w14:paraId="0D95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73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AC9E59F">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rPr>
              <w:t>★售后服务要求及免费保修期</w:t>
            </w:r>
          </w:p>
        </w:tc>
        <w:tc>
          <w:tcPr>
            <w:tcW w:w="8774"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59499E94">
            <w:pPr>
              <w:spacing w:line="360" w:lineRule="exact"/>
              <w:jc w:val="left"/>
            </w:pPr>
            <w:r>
              <w:rPr>
                <w:rFonts w:hint="eastAsia"/>
                <w:szCs w:val="24"/>
              </w:rPr>
              <w:t>1、所有竞标产品必须是厂家合法渠道的全新正品，符合规定的质量、规格、性能，并按照相关国际、国家及专业标准检验的合格产品，其产品须符合国家有关规定及厂家承诺实行“三包”。</w:t>
            </w:r>
          </w:p>
          <w:p w14:paraId="6ECBD69B">
            <w:pPr>
              <w:spacing w:line="360" w:lineRule="exact"/>
              <w:jc w:val="left"/>
            </w:pPr>
            <w:r>
              <w:rPr>
                <w:rFonts w:hint="eastAsia"/>
                <w:szCs w:val="24"/>
              </w:rPr>
              <w:t>2、保修年限：各项货物免费保修期最短不得少于一年。</w:t>
            </w:r>
          </w:p>
          <w:p w14:paraId="103EE4F9">
            <w:pPr>
              <w:spacing w:line="360" w:lineRule="exact"/>
              <w:jc w:val="left"/>
            </w:pPr>
            <w:r>
              <w:rPr>
                <w:rFonts w:hint="eastAsia"/>
                <w:szCs w:val="24"/>
              </w:rPr>
              <w:t>3、免费送货上门，免费安装调试合格。</w:t>
            </w:r>
          </w:p>
          <w:p w14:paraId="23BE779D">
            <w:pPr>
              <w:spacing w:line="360" w:lineRule="exact"/>
              <w:jc w:val="left"/>
            </w:pPr>
            <w:r>
              <w:rPr>
                <w:rFonts w:hint="eastAsia"/>
                <w:szCs w:val="24"/>
              </w:rPr>
              <w:t>4、服务响应时间：接到用户故障通知后2小时内给予答复，4小时内给出解决方案，24小时内解决故障。未能在规定时间内排除故障的，必须在48小时内提供同档次的备用机并提交故障解决处理方案。</w:t>
            </w:r>
          </w:p>
          <w:p w14:paraId="6CAF1B71">
            <w:pPr>
              <w:spacing w:line="360" w:lineRule="exact"/>
              <w:jc w:val="left"/>
              <w:rPr>
                <w:rFonts w:hint="eastAsia"/>
              </w:rPr>
            </w:pPr>
            <w:r>
              <w:rPr>
                <w:rFonts w:hint="eastAsia"/>
                <w:szCs w:val="24"/>
              </w:rPr>
              <w:t>5、质保期内所有货物免费上门维修服务、免费更换零部件；质保期过后提供免费电话咨询服务，并应承诺提供产品终身上门维护；其余按厂家承诺进行。</w:t>
            </w:r>
          </w:p>
          <w:p w14:paraId="39DDE0FC">
            <w:pPr>
              <w:spacing w:line="360" w:lineRule="exact"/>
              <w:jc w:val="left"/>
              <w:rPr>
                <w:rFonts w:hint="eastAsia" w:ascii="Calibri" w:hAnsi="Calibri" w:eastAsia="宋体" w:cs="宋体"/>
                <w:kern w:val="2"/>
                <w:sz w:val="21"/>
                <w:szCs w:val="24"/>
                <w:lang w:val="en-US" w:eastAsia="zh-CN" w:bidi="ar-SA"/>
              </w:rPr>
            </w:pPr>
            <w:r>
              <w:rPr>
                <w:rFonts w:hint="eastAsia"/>
                <w:szCs w:val="24"/>
              </w:rPr>
              <w:t>6、在质保期内，如果成交人和制造商的产品技术升级，供应商应及时通知采购人，如采购人有相应要求，成交人和制造商应对采购人购买的产品进行升级服务。</w:t>
            </w:r>
          </w:p>
        </w:tc>
      </w:tr>
      <w:tr w14:paraId="3CD7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73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382E594">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cs="宋体"/>
              </w:rPr>
              <w:t>核心产品</w:t>
            </w:r>
          </w:p>
        </w:tc>
        <w:tc>
          <w:tcPr>
            <w:tcW w:w="8774"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F24560BA">
            <w:pPr>
              <w:spacing w:line="280" w:lineRule="exact"/>
              <w:rPr>
                <w:rFonts w:hint="eastAsia" w:ascii="宋体" w:hAnsi="宋体" w:eastAsia="宋体" w:cs="宋体"/>
                <w:kern w:val="2"/>
                <w:sz w:val="21"/>
                <w:szCs w:val="24"/>
                <w:lang w:val="en-US" w:eastAsia="zh-CN" w:bidi="ar-SA"/>
              </w:rPr>
            </w:pPr>
            <w:r>
              <w:rPr>
                <w:rFonts w:hint="eastAsia" w:ascii="宋体" w:hAnsi="宋体" w:cs="宋体"/>
                <w:szCs w:val="24"/>
              </w:rPr>
              <w:t>“</w:t>
            </w:r>
            <w:r>
              <w:rPr>
                <w:rFonts w:hint="default" w:ascii="宋体" w:hAnsi="宋体" w:cs="宋体"/>
                <w:szCs w:val="24"/>
                <w:lang w:val="en-US"/>
              </w:rPr>
              <w:t>教室阶梯展示柜</w:t>
            </w:r>
            <w:r>
              <w:rPr>
                <w:rFonts w:hint="eastAsia" w:hAnsi="宋体" w:cs="宋体"/>
                <w:kern w:val="0"/>
                <w:szCs w:val="24"/>
              </w:rPr>
              <w:t>”</w:t>
            </w:r>
          </w:p>
        </w:tc>
      </w:tr>
      <w:tr w14:paraId="1908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73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5FE266A1">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rPr>
              <w:t>★验收方式</w:t>
            </w:r>
          </w:p>
        </w:tc>
        <w:tc>
          <w:tcPr>
            <w:tcW w:w="8774"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638F6CA0">
            <w:pPr>
              <w:spacing w:line="360" w:lineRule="exact"/>
              <w:jc w:val="left"/>
            </w:pPr>
            <w:r>
              <w:rPr>
                <w:rFonts w:hint="eastAsia"/>
                <w:szCs w:val="24"/>
              </w:rPr>
              <w:t>1、采购人将组织相关人员及专家对采购项目进行验收，验收意见作为验收书的参考资料存档备查，验收将严格按照招标文件的规定和投标文件的响应及承诺执行，验收不合格的将根据合同有关条款进行处理。</w:t>
            </w:r>
          </w:p>
          <w:p w14:paraId="249F4D75">
            <w:pPr>
              <w:spacing w:line="360" w:lineRule="exact"/>
              <w:jc w:val="left"/>
            </w:pPr>
            <w:r>
              <w:rPr>
                <w:rFonts w:hint="eastAsia"/>
                <w:szCs w:val="24"/>
              </w:rPr>
              <w:t>2、验收依据：按照招标文件要求及成交人的响应文件。</w:t>
            </w:r>
          </w:p>
          <w:p w14:paraId="1ED30471">
            <w:pPr>
              <w:spacing w:line="360" w:lineRule="exact"/>
              <w:jc w:val="left"/>
              <w:rPr>
                <w:rFonts w:hint="eastAsia" w:ascii="Calibri" w:hAnsi="Calibri" w:eastAsia="宋体" w:cs="宋体"/>
                <w:kern w:val="2"/>
                <w:sz w:val="21"/>
                <w:szCs w:val="24"/>
                <w:lang w:val="en-US" w:eastAsia="zh-CN" w:bidi="ar-SA"/>
              </w:rPr>
            </w:pPr>
            <w:r>
              <w:rPr>
                <w:rFonts w:hint="eastAsia"/>
                <w:szCs w:val="24"/>
              </w:rPr>
              <w:t>3、成交供应商必须提供原装正品的、全新的、符合有关质量标准的产品和按要求提供资料。交货时，采购人现场根据采购文件要求及响应文件承诺逐条对应进行核验，若发现产品不符合采购文件和响应文件承诺要求的，采购人不予验收，同时报相关监督管理部门处理，由此造成采购人经济损失的由成交供应商负责承担全部赔偿责任。</w:t>
            </w:r>
          </w:p>
        </w:tc>
      </w:tr>
      <w:tr w14:paraId="3A9C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73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69B28A1">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rPr>
              <w:t>★交付使用时间及地点</w:t>
            </w:r>
          </w:p>
        </w:tc>
        <w:tc>
          <w:tcPr>
            <w:tcW w:w="8774"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22F6A479">
            <w:pPr>
              <w:spacing w:line="360" w:lineRule="exact"/>
              <w:jc w:val="left"/>
            </w:pPr>
            <w:r>
              <w:rPr>
                <w:rFonts w:hint="eastAsia"/>
                <w:szCs w:val="24"/>
              </w:rPr>
              <w:t>1.交付使用期：自签订合同之日起</w:t>
            </w:r>
            <w:r>
              <w:rPr>
                <w:rFonts w:hint="eastAsia"/>
                <w:szCs w:val="24"/>
                <w:lang w:val="en-US" w:eastAsia="zh-CN"/>
              </w:rPr>
              <w:t>30</w:t>
            </w:r>
            <w:r>
              <w:rPr>
                <w:rFonts w:hint="eastAsia"/>
                <w:szCs w:val="24"/>
              </w:rPr>
              <w:t>日历天内全部安装调试合格完毕并交付使用，超期未安装调试完毕则视为违约。</w:t>
            </w:r>
          </w:p>
          <w:p w14:paraId="7AA4C4FE">
            <w:pPr>
              <w:spacing w:line="360" w:lineRule="exact"/>
              <w:jc w:val="left"/>
              <w:rPr>
                <w:rFonts w:hint="eastAsia" w:ascii="Calibri" w:hAnsi="Calibri" w:eastAsia="宋体" w:cs="宋体"/>
                <w:kern w:val="2"/>
                <w:sz w:val="21"/>
                <w:szCs w:val="24"/>
                <w:lang w:val="en-US" w:eastAsia="zh-CN" w:bidi="ar-SA"/>
              </w:rPr>
            </w:pPr>
            <w:r>
              <w:rPr>
                <w:rFonts w:hint="eastAsia"/>
                <w:szCs w:val="24"/>
              </w:rPr>
              <w:t>2.交货地点：采购人指定地点。</w:t>
            </w:r>
          </w:p>
        </w:tc>
      </w:tr>
      <w:tr w14:paraId="7ED0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73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9A776FE">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rPr>
              <w:t>★其他要求</w:t>
            </w:r>
          </w:p>
        </w:tc>
        <w:tc>
          <w:tcPr>
            <w:tcW w:w="8774"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08ED5814">
            <w:pPr>
              <w:spacing w:line="360" w:lineRule="exact"/>
              <w:jc w:val="left"/>
            </w:pPr>
            <w:r>
              <w:rPr>
                <w:rFonts w:hint="eastAsia"/>
                <w:szCs w:val="24"/>
              </w:rPr>
              <w:t>1、确定成交人后，成交后的各型号单价不随时间、市场价格等因素的变动而改变，直至采购人完成采购任务为止，否则按成交人违约处理并取消中标资格。</w:t>
            </w:r>
          </w:p>
          <w:p w14:paraId="4A3E6DBA">
            <w:pPr>
              <w:spacing w:line="360" w:lineRule="exact"/>
              <w:jc w:val="left"/>
            </w:pPr>
            <w:r>
              <w:rPr>
                <w:rFonts w:hint="eastAsia"/>
                <w:szCs w:val="24"/>
              </w:rPr>
              <w:t>2、《采购需求》中商务要求及带“</w:t>
            </w:r>
            <w:r>
              <w:rPr>
                <w:rFonts w:hint="default" w:ascii="宋体" w:hAnsi="宋体" w:eastAsia="宋体" w:cs="宋体"/>
                <w:b w:val="0"/>
                <w:bCs w:val="0"/>
                <w:i w:val="0"/>
                <w:iCs w:val="0"/>
                <w:color w:val="000000"/>
                <w:kern w:val="0"/>
                <w:sz w:val="22"/>
                <w:szCs w:val="22"/>
                <w:highlight w:val="none"/>
                <w:vertAlign w:val="baseline"/>
                <w:lang w:val="en-US" w:eastAsia="zh-CN" w:bidi="ar-SA"/>
              </w:rPr>
              <w:t>▲</w:t>
            </w:r>
            <w:r>
              <w:rPr>
                <w:rFonts w:hint="eastAsia"/>
                <w:szCs w:val="24"/>
              </w:rPr>
              <w:t>”号项条款的要求均为实质性要求，竞标产品必须满足或优于此要求，否则竞标无效。</w:t>
            </w:r>
          </w:p>
          <w:p w14:paraId="3F81EBF3">
            <w:pPr>
              <w:spacing w:line="360" w:lineRule="exact"/>
              <w:jc w:val="left"/>
            </w:pPr>
            <w:r>
              <w:rPr>
                <w:rFonts w:hint="eastAsia"/>
                <w:szCs w:val="24"/>
              </w:rPr>
              <w:t>3、为确保货物质量，成交供应商必须在供货时提供生产厂家针对此项目的售后服务保证函原件、供货证明原件并加盖生产厂家公章，否则不予验收。</w:t>
            </w:r>
          </w:p>
          <w:p w14:paraId="5068A184">
            <w:pPr>
              <w:spacing w:line="360" w:lineRule="exact"/>
              <w:jc w:val="left"/>
            </w:pPr>
            <w:r>
              <w:rPr>
                <w:rFonts w:hint="eastAsia"/>
                <w:szCs w:val="24"/>
              </w:rPr>
              <w:t>4、供应商响应时，必须满足采购需求的全部功能，供应商须对附件中的参数要求及商务要求进行全部响应，并提供所投产品</w:t>
            </w:r>
            <w:r>
              <w:rPr>
                <w:rFonts w:hint="default"/>
                <w:szCs w:val="24"/>
                <w:lang w:val="en-US"/>
              </w:rPr>
              <w:t>带</w:t>
            </w:r>
            <w:r>
              <w:rPr>
                <w:rFonts w:hint="default" w:ascii="Calibri" w:hAnsi="Calibri" w:eastAsia="宋体" w:cs="宋体"/>
                <w:b w:val="0"/>
                <w:bCs w:val="0"/>
                <w:i w:val="0"/>
                <w:iCs w:val="0"/>
                <w:color w:val="auto"/>
                <w:kern w:val="2"/>
                <w:sz w:val="21"/>
                <w:szCs w:val="24"/>
                <w:highlight w:val="none"/>
                <w:vertAlign w:val="baseline"/>
                <w:lang w:val="en-US" w:eastAsia="zh-CN" w:bidi="ar-SA"/>
              </w:rPr>
              <w:t>“</w:t>
            </w:r>
            <w:r>
              <w:rPr>
                <w:rFonts w:hint="default" w:ascii="宋体" w:hAnsi="宋体" w:eastAsia="宋体" w:cs="宋体"/>
                <w:b w:val="0"/>
                <w:bCs w:val="0"/>
                <w:i w:val="0"/>
                <w:iCs w:val="0"/>
                <w:color w:val="000000"/>
                <w:kern w:val="0"/>
                <w:sz w:val="22"/>
                <w:szCs w:val="22"/>
                <w:highlight w:val="none"/>
                <w:vertAlign w:val="baseline"/>
                <w:lang w:val="en-US" w:eastAsia="zh-CN" w:bidi="ar-SA"/>
              </w:rPr>
              <w:t>▲</w:t>
            </w:r>
            <w:r>
              <w:rPr>
                <w:rFonts w:hint="default" w:ascii="Calibri" w:hAnsi="Calibri" w:eastAsia="宋体" w:cs="宋体"/>
                <w:b w:val="0"/>
                <w:bCs w:val="0"/>
                <w:i w:val="0"/>
                <w:iCs w:val="0"/>
                <w:color w:val="auto"/>
                <w:kern w:val="2"/>
                <w:sz w:val="21"/>
                <w:szCs w:val="24"/>
                <w:highlight w:val="none"/>
                <w:vertAlign w:val="baseline"/>
                <w:lang w:val="en-US" w:eastAsia="zh-CN" w:bidi="ar-SA"/>
              </w:rPr>
              <w:t>”封面带有CMA及CNAS标志的</w:t>
            </w:r>
            <w:r>
              <w:rPr>
                <w:rFonts w:hint="eastAsia"/>
                <w:szCs w:val="24"/>
              </w:rPr>
              <w:t xml:space="preserve">第三方检测机构出具认可的检测报告复印件等证明材料。(竞价时投标人必须上传扫描件，否则采购人有权利取消预成交供应商的中标资格；报价结束后24小时内对预成交供应商核查原件，核查无误后方能确定成交供应商) </w:t>
            </w:r>
          </w:p>
          <w:p w14:paraId="15FB06B9">
            <w:pPr>
              <w:spacing w:line="360" w:lineRule="exact"/>
              <w:jc w:val="left"/>
              <w:rPr>
                <w:rFonts w:hint="eastAsia" w:ascii="Calibri" w:hAnsi="Calibri" w:eastAsia="宋体" w:cs="宋体"/>
                <w:kern w:val="2"/>
                <w:sz w:val="21"/>
                <w:szCs w:val="24"/>
                <w:lang w:val="en-US" w:eastAsia="zh-CN" w:bidi="ar-SA"/>
              </w:rPr>
            </w:pPr>
            <w:r>
              <w:rPr>
                <w:szCs w:val="24"/>
              </w:rPr>
              <w:t>5、供应商应充分考虑供货成本，如供应商低价恶意竞价、未按参数要求提供并上传相应证明文件、且中标后无法按要求提供货物或者所供货物及资质要求无法满足参数要求的，采购人将按虚假竞标处理，并保留因耽误采购人使用时间造成的损失进行赔偿的权利，并通过报备政采云平台及财政厅监管部分后，移送司法机关诉诸法律手段，追究投标人的法律责任，由此引发的一切后果由投标人承担。</w:t>
            </w:r>
          </w:p>
        </w:tc>
      </w:tr>
    </w:tbl>
    <w:p w14:paraId="268CBD90"/>
    <w:p w14:paraId="62B6CB3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C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uiPriority w:val="0"/>
  </w:style>
  <w:style w:type="table" w:default="1" w:styleId="3">
    <w:name w:val="Normal Table"/>
    <w:uiPriority w:val="0"/>
    <w:tblPr>
      <w:tblCellMar>
        <w:top w:w="0" w:type="dxa"/>
        <w:left w:w="108" w:type="dxa"/>
        <w:bottom w:w="0" w:type="dxa"/>
        <w:right w:w="108" w:type="dxa"/>
      </w:tblCellMar>
    </w:tblPr>
  </w:style>
  <w:style w:type="character" w:customStyle="1" w:styleId="5">
    <w:name w:val="font61"/>
    <w:basedOn w:val="4"/>
    <w:uiPriority w:val="0"/>
    <w:rPr>
      <w:rFonts w:hint="eastAsia" w:ascii="宋体" w:hAnsi="宋体" w:eastAsia="宋体" w:cs="宋体"/>
      <w:color w:val="000000"/>
      <w:sz w:val="48"/>
      <w:szCs w:val="48"/>
      <w:u w:val="none"/>
    </w:rPr>
  </w:style>
  <w:style w:type="character" w:customStyle="1" w:styleId="6">
    <w:name w:val="font81"/>
    <w:basedOn w:val="4"/>
    <w:uiPriority w:val="0"/>
    <w:rPr>
      <w:rFonts w:hint="eastAsia" w:ascii="宋体" w:hAnsi="宋体" w:eastAsia="宋体" w:cs="宋体"/>
      <w:color w:val="000000"/>
      <w:sz w:val="48"/>
      <w:szCs w:val="48"/>
      <w:u w:val="non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4984</Words>
  <Characters>5572</Characters>
  <Paragraphs>156</Paragraphs>
  <TotalTime>3</TotalTime>
  <ScaleCrop>false</ScaleCrop>
  <LinksUpToDate>false</LinksUpToDate>
  <CharactersWithSpaces>5664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2026-05-20T01:55:00Z</dcterms:created>
  <dc:creator>德育股</dc:creator>
  <cp:lastModifiedBy>小黄。</cp:lastModifiedBy>
  <dcterms:modified xsi:type="dcterms:W3CDTF">2026-05-20T02:59:29Z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eyJoZGlkIjoiZjEyOTgyODMwYTQyNmNlNzA0MmU4NDhiYmU3ZDk1YjMiLCJ1c2VySWQiOiIzODUzNzE0MDYifQ==</vt:lpwstr>
  </property>
  <property fmtid="{D5CDD505-2E9C-101B-9397-08002B2CF9AE}" pid="4" name="ICV">
    <vt:lpwstr>3BD4630C2D7D4D089E44B60D941A9FA6_12</vt:lpwstr>
  </property>
</Properties>
</file>