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0C1CF">
      <w:pPr>
        <w:jc w:val="center"/>
        <w:rPr>
          <w:b/>
          <w:bCs/>
          <w:sz w:val="28"/>
          <w:szCs w:val="28"/>
        </w:rPr>
      </w:pPr>
      <w:r>
        <w:rPr>
          <w:rFonts w:hint="eastAsia" w:ascii="微软雅黑" w:hAnsi="微软雅黑" w:eastAsia="微软雅黑"/>
          <w:b/>
          <w:bCs/>
          <w:sz w:val="28"/>
          <w:szCs w:val="28"/>
        </w:rPr>
        <w:t>采购需求清单</w:t>
      </w:r>
      <w:bookmarkStart w:id="0" w:name="_GoBack"/>
      <w:bookmarkEnd w:id="0"/>
    </w:p>
    <w:tbl>
      <w:tblPr>
        <w:tblStyle w:val="8"/>
        <w:tblpPr w:leftFromText="180" w:rightFromText="180" w:vertAnchor="text" w:horzAnchor="page" w:tblpX="493" w:tblpY="146"/>
        <w:tblOverlap w:val="never"/>
        <w:tblW w:w="11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25"/>
        <w:gridCol w:w="3200"/>
        <w:gridCol w:w="1541"/>
        <w:gridCol w:w="924"/>
        <w:gridCol w:w="802"/>
        <w:gridCol w:w="1212"/>
        <w:gridCol w:w="1338"/>
        <w:gridCol w:w="647"/>
      </w:tblGrid>
      <w:tr w14:paraId="351A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2" w:type="dxa"/>
            <w:vAlign w:val="center"/>
          </w:tcPr>
          <w:p w14:paraId="23449EE0">
            <w:pPr>
              <w:jc w:val="center"/>
              <w:rPr>
                <w:rFonts w:ascii="黑体" w:hAnsi="黑体" w:eastAsia="黑体" w:cs="黑体"/>
                <w:sz w:val="22"/>
                <w:szCs w:val="22"/>
              </w:rPr>
            </w:pPr>
            <w:r>
              <w:rPr>
                <w:rFonts w:hint="eastAsia" w:ascii="黑体" w:hAnsi="黑体" w:eastAsia="黑体" w:cs="黑体"/>
                <w:sz w:val="22"/>
                <w:szCs w:val="22"/>
              </w:rPr>
              <w:t>序号</w:t>
            </w:r>
          </w:p>
        </w:tc>
        <w:tc>
          <w:tcPr>
            <w:tcW w:w="725" w:type="dxa"/>
            <w:vAlign w:val="center"/>
          </w:tcPr>
          <w:p w14:paraId="0E05DEE8">
            <w:pPr>
              <w:jc w:val="center"/>
              <w:rPr>
                <w:rFonts w:ascii="黑体" w:hAnsi="黑体" w:eastAsia="黑体" w:cs="黑体"/>
                <w:sz w:val="22"/>
                <w:szCs w:val="22"/>
              </w:rPr>
            </w:pPr>
            <w:r>
              <w:rPr>
                <w:rFonts w:hint="eastAsia" w:ascii="黑体" w:hAnsi="黑体" w:eastAsia="黑体" w:cs="黑体"/>
                <w:sz w:val="22"/>
                <w:szCs w:val="22"/>
              </w:rPr>
              <w:t>货物及名称</w:t>
            </w:r>
          </w:p>
        </w:tc>
        <w:tc>
          <w:tcPr>
            <w:tcW w:w="3200" w:type="dxa"/>
            <w:vAlign w:val="center"/>
          </w:tcPr>
          <w:p w14:paraId="176F57AC">
            <w:pPr>
              <w:jc w:val="center"/>
              <w:rPr>
                <w:rFonts w:ascii="黑体" w:hAnsi="黑体" w:eastAsia="黑体" w:cs="黑体"/>
                <w:sz w:val="22"/>
                <w:szCs w:val="22"/>
              </w:rPr>
            </w:pPr>
            <w:r>
              <w:rPr>
                <w:rFonts w:hint="eastAsia" w:ascii="黑体" w:hAnsi="黑体" w:eastAsia="黑体" w:cs="黑体"/>
                <w:sz w:val="22"/>
                <w:szCs w:val="22"/>
              </w:rPr>
              <w:t>规格/参数</w:t>
            </w:r>
          </w:p>
        </w:tc>
        <w:tc>
          <w:tcPr>
            <w:tcW w:w="1541" w:type="dxa"/>
            <w:vAlign w:val="center"/>
          </w:tcPr>
          <w:p w14:paraId="2B37399B">
            <w:pPr>
              <w:ind w:firstLine="220" w:firstLineChars="100"/>
              <w:rPr>
                <w:rFonts w:ascii="黑体" w:hAnsi="黑体" w:eastAsia="黑体" w:cs="黑体"/>
                <w:sz w:val="22"/>
                <w:szCs w:val="22"/>
              </w:rPr>
            </w:pPr>
            <w:r>
              <w:rPr>
                <w:rFonts w:hint="eastAsia" w:ascii="黑体" w:hAnsi="黑体" w:eastAsia="黑体" w:cs="黑体"/>
                <w:sz w:val="22"/>
                <w:szCs w:val="22"/>
              </w:rPr>
              <w:t>效 果 图</w:t>
            </w:r>
          </w:p>
        </w:tc>
        <w:tc>
          <w:tcPr>
            <w:tcW w:w="924" w:type="dxa"/>
            <w:vAlign w:val="center"/>
          </w:tcPr>
          <w:p w14:paraId="2B60A82B">
            <w:pPr>
              <w:jc w:val="center"/>
              <w:rPr>
                <w:rFonts w:ascii="黑体" w:hAnsi="黑体" w:eastAsia="黑体" w:cs="黑体"/>
                <w:sz w:val="22"/>
                <w:szCs w:val="22"/>
              </w:rPr>
            </w:pPr>
            <w:r>
              <w:rPr>
                <w:rFonts w:hint="eastAsia" w:ascii="黑体" w:hAnsi="黑体" w:eastAsia="黑体" w:cs="黑体"/>
                <w:sz w:val="22"/>
                <w:szCs w:val="22"/>
              </w:rPr>
              <w:t>数量</w:t>
            </w:r>
          </w:p>
        </w:tc>
        <w:tc>
          <w:tcPr>
            <w:tcW w:w="802" w:type="dxa"/>
            <w:vAlign w:val="center"/>
          </w:tcPr>
          <w:p w14:paraId="3E75D06D">
            <w:pPr>
              <w:rPr>
                <w:rFonts w:ascii="黑体" w:hAnsi="黑体" w:eastAsia="黑体" w:cs="黑体"/>
                <w:sz w:val="22"/>
                <w:szCs w:val="22"/>
              </w:rPr>
            </w:pPr>
            <w:r>
              <w:rPr>
                <w:rFonts w:hint="eastAsia" w:ascii="黑体" w:hAnsi="黑体" w:eastAsia="黑体" w:cs="黑体"/>
                <w:sz w:val="22"/>
                <w:szCs w:val="22"/>
              </w:rPr>
              <w:t>单位</w:t>
            </w:r>
          </w:p>
        </w:tc>
        <w:tc>
          <w:tcPr>
            <w:tcW w:w="1212" w:type="dxa"/>
            <w:vAlign w:val="center"/>
          </w:tcPr>
          <w:p w14:paraId="752BD4EE">
            <w:pPr>
              <w:rPr>
                <w:rFonts w:ascii="黑体" w:hAnsi="黑体" w:eastAsia="黑体" w:cs="黑体"/>
                <w:sz w:val="22"/>
                <w:szCs w:val="22"/>
              </w:rPr>
            </w:pPr>
            <w:r>
              <w:rPr>
                <w:rFonts w:hint="eastAsia" w:ascii="黑体" w:hAnsi="黑体" w:eastAsia="黑体" w:cs="黑体"/>
                <w:sz w:val="22"/>
                <w:szCs w:val="22"/>
              </w:rPr>
              <w:t>单价（元）</w:t>
            </w:r>
          </w:p>
        </w:tc>
        <w:tc>
          <w:tcPr>
            <w:tcW w:w="1338" w:type="dxa"/>
            <w:vAlign w:val="center"/>
          </w:tcPr>
          <w:p w14:paraId="2055CFDE">
            <w:pPr>
              <w:rPr>
                <w:rFonts w:ascii="黑体" w:hAnsi="黑体" w:eastAsia="黑体" w:cs="黑体"/>
                <w:sz w:val="22"/>
                <w:szCs w:val="22"/>
              </w:rPr>
            </w:pPr>
            <w:r>
              <w:rPr>
                <w:rFonts w:hint="eastAsia" w:ascii="黑体" w:hAnsi="黑体" w:eastAsia="黑体" w:cs="黑体"/>
                <w:sz w:val="22"/>
                <w:szCs w:val="22"/>
              </w:rPr>
              <w:t>总金额（元）</w:t>
            </w:r>
          </w:p>
        </w:tc>
        <w:tc>
          <w:tcPr>
            <w:tcW w:w="647" w:type="dxa"/>
            <w:vAlign w:val="center"/>
          </w:tcPr>
          <w:p w14:paraId="587A73CF">
            <w:pPr>
              <w:rPr>
                <w:rFonts w:ascii="黑体" w:hAnsi="黑体" w:eastAsia="黑体" w:cs="黑体"/>
                <w:sz w:val="22"/>
                <w:szCs w:val="22"/>
              </w:rPr>
            </w:pPr>
            <w:r>
              <w:rPr>
                <w:rFonts w:hint="eastAsia" w:ascii="黑体" w:hAnsi="黑体" w:eastAsia="黑体" w:cs="黑体"/>
                <w:sz w:val="22"/>
                <w:szCs w:val="22"/>
              </w:rPr>
              <w:t>意向品牌</w:t>
            </w:r>
          </w:p>
        </w:tc>
      </w:tr>
      <w:tr w14:paraId="622D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9" w:hRule="atLeast"/>
        </w:trPr>
        <w:tc>
          <w:tcPr>
            <w:tcW w:w="732" w:type="dxa"/>
            <w:vAlign w:val="center"/>
          </w:tcPr>
          <w:p w14:paraId="11E810C2">
            <w:pPr>
              <w:jc w:val="center"/>
              <w:rPr>
                <w:rFonts w:ascii="黑体" w:hAnsi="黑体" w:eastAsia="黑体" w:cs="黑体"/>
                <w:sz w:val="28"/>
                <w:szCs w:val="36"/>
              </w:rPr>
            </w:pPr>
            <w:r>
              <w:rPr>
                <w:rFonts w:hint="eastAsia" w:ascii="黑体" w:hAnsi="黑体" w:eastAsia="黑体" w:cs="黑体"/>
                <w:sz w:val="28"/>
                <w:szCs w:val="36"/>
              </w:rPr>
              <w:t>1</w:t>
            </w:r>
          </w:p>
        </w:tc>
        <w:tc>
          <w:tcPr>
            <w:tcW w:w="725" w:type="dxa"/>
            <w:vAlign w:val="center"/>
          </w:tcPr>
          <w:p w14:paraId="3E7A8393">
            <w:pPr>
              <w:rPr>
                <w:rFonts w:ascii="黑体" w:hAnsi="黑体" w:eastAsia="黑体" w:cs="黑体"/>
                <w:sz w:val="24"/>
                <w:szCs w:val="32"/>
              </w:rPr>
            </w:pPr>
            <w:r>
              <w:rPr>
                <w:rFonts w:hint="eastAsia" w:ascii="黑体" w:hAnsi="黑体" w:eastAsia="黑体" w:cs="黑体"/>
                <w:sz w:val="24"/>
                <w:szCs w:val="32"/>
              </w:rPr>
              <w:t>双腿双柱</w:t>
            </w:r>
          </w:p>
          <w:p w14:paraId="3990CEFF">
            <w:pPr>
              <w:rPr>
                <w:rFonts w:ascii="黑体" w:hAnsi="黑体" w:eastAsia="黑体" w:cs="黑体"/>
                <w:sz w:val="28"/>
                <w:szCs w:val="36"/>
              </w:rPr>
            </w:pPr>
            <w:r>
              <w:rPr>
                <w:rFonts w:hint="eastAsia" w:ascii="黑体" w:hAnsi="黑体" w:eastAsia="黑体" w:cs="黑体"/>
                <w:sz w:val="24"/>
                <w:szCs w:val="32"/>
              </w:rPr>
              <w:t>课桌椅</w:t>
            </w:r>
          </w:p>
        </w:tc>
        <w:tc>
          <w:tcPr>
            <w:tcW w:w="3200" w:type="dxa"/>
            <w:vAlign w:val="center"/>
          </w:tcPr>
          <w:p w14:paraId="152E46AD">
            <w:pPr>
              <w:widowControl/>
              <w:spacing w:line="360" w:lineRule="auto"/>
              <w:jc w:val="left"/>
              <w:rPr>
                <w:rFonts w:ascii="黑体" w:hAnsi="黑体" w:eastAsia="黑体" w:cs="黑体"/>
                <w:sz w:val="22"/>
                <w:szCs w:val="22"/>
              </w:rPr>
            </w:pPr>
            <w:r>
              <w:rPr>
                <w:rFonts w:hint="eastAsia" w:ascii="黑体" w:hAnsi="黑体" w:eastAsia="黑体" w:cs="黑体"/>
                <w:color w:val="000000"/>
                <w:kern w:val="0"/>
                <w:sz w:val="22"/>
                <w:szCs w:val="22"/>
                <w:lang w:bidi="ar"/>
              </w:rPr>
              <w:t xml:space="preserve">课桌规格：600mm*400mm*780mm </w:t>
            </w:r>
          </w:p>
          <w:p w14:paraId="1E9BA389">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1.学生桌尺寸：600mm×400mm×780mm ；</w:t>
            </w:r>
          </w:p>
          <w:p w14:paraId="1CA200AC">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 xml:space="preserve">2.桌面规格：尺寸：长 600mm× 宽 400mm，厚度 18mm，为 E1 级高密度板，封边四周带加强护角塑料与封边一体成型，PP 塑料不得采用卡扣和黏附方式沾粘，桌面为淡黄色，桌面正前方设 有一内空长度为 200mm，宽 20mm 笔槽，护角塑料对角深度直径 R40mm 防止 学生磕碰受伤； </w:t>
            </w:r>
          </w:p>
          <w:p w14:paraId="7EBC6017">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3.升降片：1.2mm 厚冷轧板，桌斗板：1.2mm厚冷轧板，升降片开口处需要卷边处理，升降片设计为学生提供一个储物的空间增大，卷边处理以防孩子在玩耍中带来的安全保护，并且符合高，中，小学生人体学的标准。（外观尺寸偏差范围允许±0.5mm, 材料厚度不允许负偏离）两侧带有挂钩。</w:t>
            </w:r>
          </w:p>
          <w:p w14:paraId="1B93DDB5">
            <w:pPr>
              <w:widowControl/>
              <w:spacing w:line="360" w:lineRule="auto"/>
              <w:jc w:val="left"/>
              <w:rPr>
                <w:rFonts w:ascii="黑体" w:hAnsi="黑体" w:eastAsia="黑体" w:cs="黑体"/>
                <w:sz w:val="22"/>
                <w:szCs w:val="22"/>
              </w:rPr>
            </w:pPr>
            <w:r>
              <w:rPr>
                <w:rFonts w:hint="eastAsia" w:ascii="黑体" w:hAnsi="黑体" w:eastAsia="黑体" w:cs="黑体"/>
                <w:kern w:val="0"/>
                <w:sz w:val="22"/>
                <w:szCs w:val="22"/>
                <w:lang w:bidi="ar"/>
              </w:rPr>
              <w:t>4.双层桌斗</w:t>
            </w:r>
            <w:r>
              <w:rPr>
                <w:rFonts w:hint="eastAsia" w:ascii="黑体" w:hAnsi="黑体" w:eastAsia="黑体" w:cs="黑体"/>
                <w:color w:val="000000"/>
                <w:kern w:val="0"/>
                <w:sz w:val="22"/>
                <w:szCs w:val="22"/>
                <w:lang w:bidi="ar"/>
              </w:rPr>
              <w:t xml:space="preserve">板均折边加强筋，总高 400mm，上宽 340 mm，书斗开口高度为 170mm， 下宽 230mm，升降片必须具有两列调节方孔，两列孔间距 150mm，具有凹升降凸状，不得修补与拼接，无任何焊点，一次冲压成型。 </w:t>
            </w:r>
          </w:p>
          <w:p w14:paraId="622BFDF1">
            <w:pPr>
              <w:widowControl/>
              <w:spacing w:line="360" w:lineRule="auto"/>
              <w:jc w:val="left"/>
              <w:rPr>
                <w:rFonts w:ascii="黑体" w:hAnsi="黑体" w:eastAsia="黑体" w:cs="黑体"/>
                <w:sz w:val="22"/>
                <w:szCs w:val="22"/>
              </w:rPr>
            </w:pPr>
            <w:r>
              <w:rPr>
                <w:rFonts w:hint="eastAsia" w:ascii="黑体" w:hAnsi="黑体" w:eastAsia="黑体" w:cs="黑体"/>
                <w:color w:val="000000"/>
                <w:kern w:val="0"/>
                <w:sz w:val="22"/>
                <w:szCs w:val="22"/>
                <w:lang w:bidi="ar"/>
              </w:rPr>
              <w:t xml:space="preserve">5.桌腿:桌底底腿采用 20×50×1.2mm 厚的优质扁圆管，底腿立柱采用 20×50× 1.2mm 厚的优质扁圆管焊接而成； </w:t>
            </w:r>
          </w:p>
          <w:p w14:paraId="7CC547A1">
            <w:pPr>
              <w:widowControl/>
              <w:spacing w:line="360" w:lineRule="auto"/>
              <w:jc w:val="left"/>
              <w:rPr>
                <w:rFonts w:ascii="黑体" w:hAnsi="黑体" w:eastAsia="黑体" w:cs="黑体"/>
                <w:sz w:val="22"/>
                <w:szCs w:val="22"/>
              </w:rPr>
            </w:pPr>
            <w:r>
              <w:rPr>
                <w:rFonts w:hint="eastAsia" w:ascii="黑体" w:hAnsi="黑体" w:eastAsia="黑体" w:cs="黑体"/>
                <w:color w:val="000000"/>
                <w:kern w:val="0"/>
                <w:sz w:val="22"/>
                <w:szCs w:val="22"/>
                <w:lang w:bidi="ar"/>
              </w:rPr>
              <w:t xml:space="preserve">6.方凳规格：340*240*420mm </w:t>
            </w:r>
          </w:p>
          <w:p w14:paraId="34E8A9B3">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7.凳面板基材采用厚度为 18mmE1级高密度板，四周封边采用带加强护角塑料封边一体成型，防水性能经水滴试验无渗透；</w:t>
            </w:r>
          </w:p>
          <w:p w14:paraId="78DCD2C9">
            <w:pPr>
              <w:widowControl/>
              <w:spacing w:line="360" w:lineRule="auto"/>
              <w:jc w:val="left"/>
              <w:rPr>
                <w:rFonts w:ascii="黑体" w:hAnsi="黑体" w:eastAsia="黑体" w:cs="黑体"/>
                <w:sz w:val="22"/>
                <w:szCs w:val="22"/>
              </w:rPr>
            </w:pPr>
            <w:r>
              <w:rPr>
                <w:rFonts w:hint="eastAsia" w:ascii="黑体" w:hAnsi="黑体" w:eastAsia="黑体" w:cs="黑体"/>
                <w:color w:val="000000"/>
                <w:kern w:val="0"/>
                <w:sz w:val="22"/>
                <w:szCs w:val="22"/>
                <w:lang w:bidi="ar"/>
              </w:rPr>
              <w:t xml:space="preserve">8.凳脚钢材采用 20mm*50mm*1.2mm厚的优质扁圆管，厚度为 1.2mm。 </w:t>
            </w:r>
          </w:p>
          <w:p w14:paraId="59A2A24B">
            <w:pPr>
              <w:widowControl/>
              <w:spacing w:line="360" w:lineRule="auto"/>
              <w:jc w:val="left"/>
              <w:rPr>
                <w:rFonts w:ascii="黑体" w:hAnsi="黑体" w:eastAsia="黑体" w:cs="黑体"/>
                <w:sz w:val="28"/>
                <w:szCs w:val="36"/>
              </w:rPr>
            </w:pPr>
            <w:r>
              <w:rPr>
                <w:rFonts w:hint="eastAsia" w:ascii="黑体" w:hAnsi="黑体" w:eastAsia="黑体" w:cs="黑体"/>
                <w:color w:val="000000"/>
                <w:kern w:val="0"/>
                <w:sz w:val="22"/>
                <w:szCs w:val="22"/>
                <w:lang w:bidi="ar"/>
              </w:rPr>
              <w:t>9.钢材表层经除锈、酸洗、磷化附膜、烘干、静电喷涂及高温固化处理。外层采用热固性优质环保塑粉喷涂，涂层均匀牢固、平整光滑、色泽均匀一致，无流挂、起粒、皱皮、露底、剥落、伤痕等外观缺陷。</w:t>
            </w:r>
          </w:p>
        </w:tc>
        <w:tc>
          <w:tcPr>
            <w:tcW w:w="1541" w:type="dxa"/>
            <w:vAlign w:val="center"/>
          </w:tcPr>
          <w:p w14:paraId="14F8D771">
            <w:pPr>
              <w:rPr>
                <w:rFonts w:ascii="黑体" w:hAnsi="黑体" w:eastAsia="黑体" w:cs="黑体"/>
                <w:sz w:val="28"/>
                <w:szCs w:val="36"/>
              </w:rPr>
            </w:pPr>
            <w:r>
              <w:rPr>
                <w:rFonts w:hint="eastAsia" w:ascii="黑体" w:hAnsi="黑体" w:eastAsia="黑体" w:cs="黑体"/>
                <w:sz w:val="28"/>
                <w:szCs w:val="36"/>
              </w:rPr>
              <w:drawing>
                <wp:inline distT="0" distB="0" distL="114300" distR="114300">
                  <wp:extent cx="869950" cy="1188085"/>
                  <wp:effectExtent l="0" t="0" r="6350" b="12065"/>
                  <wp:docPr id="1" name="图片 1" descr="4ced4a4493b53402b5ef4bfcde66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ed4a4493b53402b5ef4bfcde66be2"/>
                          <pic:cNvPicPr>
                            <a:picLocks noChangeAspect="1"/>
                          </pic:cNvPicPr>
                        </pic:nvPicPr>
                        <pic:blipFill>
                          <a:blip r:embed="rId4"/>
                          <a:stretch>
                            <a:fillRect/>
                          </a:stretch>
                        </pic:blipFill>
                        <pic:spPr>
                          <a:xfrm>
                            <a:off x="0" y="0"/>
                            <a:ext cx="869950" cy="1188085"/>
                          </a:xfrm>
                          <a:prstGeom prst="rect">
                            <a:avLst/>
                          </a:prstGeom>
                        </pic:spPr>
                      </pic:pic>
                    </a:graphicData>
                  </a:graphic>
                </wp:inline>
              </w:drawing>
            </w:r>
          </w:p>
        </w:tc>
        <w:tc>
          <w:tcPr>
            <w:tcW w:w="924" w:type="dxa"/>
            <w:vAlign w:val="center"/>
          </w:tcPr>
          <w:p w14:paraId="24ED1AB5">
            <w:pPr>
              <w:rPr>
                <w:rFonts w:ascii="黑体" w:hAnsi="黑体" w:eastAsia="黑体" w:cs="黑体"/>
                <w:sz w:val="28"/>
                <w:szCs w:val="36"/>
              </w:rPr>
            </w:pPr>
          </w:p>
        </w:tc>
        <w:tc>
          <w:tcPr>
            <w:tcW w:w="802" w:type="dxa"/>
            <w:vAlign w:val="center"/>
          </w:tcPr>
          <w:p w14:paraId="2C8F631E">
            <w:pPr>
              <w:rPr>
                <w:rFonts w:ascii="黑体" w:hAnsi="黑体" w:eastAsia="黑体" w:cs="黑体"/>
                <w:sz w:val="28"/>
                <w:szCs w:val="36"/>
              </w:rPr>
            </w:pPr>
            <w:r>
              <w:rPr>
                <w:rFonts w:hint="eastAsia" w:ascii="黑体" w:hAnsi="黑体" w:eastAsia="黑体" w:cs="黑体"/>
                <w:sz w:val="28"/>
                <w:szCs w:val="36"/>
              </w:rPr>
              <w:t>套</w:t>
            </w:r>
          </w:p>
        </w:tc>
        <w:tc>
          <w:tcPr>
            <w:tcW w:w="1212" w:type="dxa"/>
            <w:vAlign w:val="center"/>
          </w:tcPr>
          <w:p w14:paraId="471A0875">
            <w:pPr>
              <w:rPr>
                <w:rFonts w:ascii="黑体" w:hAnsi="黑体" w:eastAsia="黑体" w:cs="黑体"/>
                <w:sz w:val="28"/>
                <w:szCs w:val="36"/>
              </w:rPr>
            </w:pPr>
          </w:p>
        </w:tc>
        <w:tc>
          <w:tcPr>
            <w:tcW w:w="1338" w:type="dxa"/>
            <w:vAlign w:val="center"/>
          </w:tcPr>
          <w:p w14:paraId="763C14A9">
            <w:pPr>
              <w:rPr>
                <w:rFonts w:ascii="黑体" w:hAnsi="黑体" w:eastAsia="黑体" w:cs="黑体"/>
                <w:sz w:val="28"/>
                <w:szCs w:val="36"/>
              </w:rPr>
            </w:pPr>
          </w:p>
        </w:tc>
        <w:tc>
          <w:tcPr>
            <w:tcW w:w="647" w:type="dxa"/>
            <w:vAlign w:val="center"/>
          </w:tcPr>
          <w:p w14:paraId="69595EF9">
            <w:pPr>
              <w:rPr>
                <w:rFonts w:ascii="黑体" w:hAnsi="黑体" w:eastAsia="黑体" w:cs="黑体"/>
                <w:sz w:val="28"/>
                <w:szCs w:val="36"/>
              </w:rPr>
            </w:pPr>
          </w:p>
        </w:tc>
      </w:tr>
    </w:tbl>
    <w:p w14:paraId="56980E5B">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买家留言：本项目供应商报价仅限于《“龙乐”》品牌，不接受《“龙乐”》品牌外的产品供应商报价时请给于品牌报价及提供相关文件要求。</w:t>
      </w:r>
    </w:p>
    <w:p w14:paraId="3AFB67F6">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一.质量检测报告：</w:t>
      </w:r>
    </w:p>
    <w:p w14:paraId="34ED753D">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（1）供应商必须提供（竞价上传）近一年内由具备CMA/CNAS资质的第三方检测机构出具的检测报告，检测结果应符合本技术要求。检测报告须同时提供全国认证认可信息公共服务平台。</w:t>
      </w:r>
    </w:p>
    <w:p w14:paraId="70C63196">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（2）检测报告如下：否者报价无效。</w:t>
      </w:r>
    </w:p>
    <w:p w14:paraId="2F0C08A5">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《课桌椅》（QB/T 4071-2021）</w:t>
      </w:r>
    </w:p>
    <w:p w14:paraId="0E0EB4BC">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《家具中有害物质限量》（GB 18584-2024）</w:t>
      </w:r>
    </w:p>
    <w:p w14:paraId="4F21660C">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《玩具安全 第4部分：特定元素的迁移》（GB 6675.4-2014）（同批送检，交货验收时需有此项）</w:t>
      </w:r>
    </w:p>
    <w:p w14:paraId="78C7FF98">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（3）检测报告应至少包含但不限于以下检测项目：</w:t>
      </w:r>
    </w:p>
    <w:p w14:paraId="60AF1D2F">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桌面高、座面高偏差，桌面垂直静载荷、桌面垂直冲击、座面静载荷、座面冲击、椅腿跌落，金属件喷涂层抗盐雾（24h）、金属件喷涂层附着力，甲醛释放量，涂层可迁移元素（8种重金属：锑、砷、钡、镉、铬、铅、汞、硒，）1、课桌面板（密度板）：检测依据为GB/T15102-2017和GB 18580-2017，检测内容至少包含：密度、板内密度偏差、含水率、吸水厚度膨胀率、表面结合强度、甲醛释放量≤0.031。</w:t>
      </w:r>
    </w:p>
    <w:p w14:paraId="53D914EE">
      <w:pPr>
        <w:widowControl/>
        <w:spacing w:line="360" w:lineRule="auto"/>
        <w:jc w:val="left"/>
        <w:rPr>
          <w:rFonts w:ascii="黑体" w:hAnsi="黑体" w:eastAsia="黑体" w:cs="黑体"/>
          <w:color w:val="000000"/>
          <w:kern w:val="0"/>
          <w:sz w:val="22"/>
          <w:szCs w:val="22"/>
          <w:lang w:bidi="ar"/>
        </w:rPr>
      </w:pPr>
    </w:p>
    <w:p w14:paraId="65D98E33">
      <w:pPr>
        <w:widowControl/>
        <w:numPr>
          <w:ilvl w:val="0"/>
          <w:numId w:val="1"/>
        </w:numPr>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钢管原料：检测依据为GB/T228.1-2010、QB/T3832-1999、QB/T3827-1999、,检测内容至少包含：试样类型、拉伸试验（抗拉强度≥420Mpa、,规定塑性延伸强度≥300Mpa、断后伸长率28%）、乙酸盐雾试验≥1200h、判定等级10级。</w:t>
      </w:r>
    </w:p>
    <w:p w14:paraId="5F08C6FB">
      <w:pPr>
        <w:widowControl/>
        <w:spacing w:line="360" w:lineRule="auto"/>
        <w:jc w:val="left"/>
        <w:rPr>
          <w:rFonts w:ascii="黑体" w:hAnsi="黑体" w:eastAsia="黑体" w:cs="黑体"/>
          <w:color w:val="000000"/>
          <w:kern w:val="0"/>
          <w:sz w:val="22"/>
          <w:szCs w:val="22"/>
          <w:lang w:bidi="ar"/>
        </w:rPr>
      </w:pPr>
    </w:p>
    <w:p w14:paraId="364BA370">
      <w:pPr>
        <w:widowControl/>
        <w:numPr>
          <w:ilvl w:val="0"/>
          <w:numId w:val="1"/>
        </w:numPr>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脚套：符合国家标准GB28481-2012《塑料家具中有害物质限量》、GB/T22048-2015《玩具及儿童用品中特定邻苯二甲酸酯增塑剂的测定》检测项目包含：邻苯二甲酸酯，重金属（铅＜5mg/kg，镉＜5mg/kg，铬＜5mg/kg，汞＜5mg/kg）。</w:t>
      </w:r>
    </w:p>
    <w:p w14:paraId="2D69E536">
      <w:pPr>
        <w:widowControl/>
        <w:spacing w:line="360" w:lineRule="auto"/>
        <w:jc w:val="left"/>
        <w:rPr>
          <w:rFonts w:ascii="黑体" w:hAnsi="黑体" w:eastAsia="黑体" w:cs="黑体"/>
          <w:color w:val="000000"/>
          <w:kern w:val="0"/>
          <w:sz w:val="22"/>
          <w:szCs w:val="22"/>
          <w:lang w:bidi="ar"/>
        </w:rPr>
      </w:pPr>
    </w:p>
    <w:p w14:paraId="35DF5C9F">
      <w:pPr>
        <w:widowControl/>
        <w:numPr>
          <w:ilvl w:val="0"/>
          <w:numId w:val="1"/>
        </w:numPr>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塑粉：至少符合 HG/T 3950-2007 和 HG/T 2006-2022 的</w:t>
      </w:r>
    </w:p>
    <w:p w14:paraId="4C60A713">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标准，检测项目至少包含：①附着力（干附着力）不低于 1 级（0 级最优）；</w:t>
      </w:r>
    </w:p>
    <w:p w14:paraId="2FF4A1A3">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②铅笔硬度（内聚破坏中擦伤）≥2H；③耐冲击性（正向冲击）；④光泽；</w:t>
      </w:r>
    </w:p>
    <w:p w14:paraId="2487BDAD">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⑤耐碱性(168h)；⑥耐酸性(240h)；⑦耐湿性（500h）；⑧耐盐雾性（中性</w:t>
      </w:r>
    </w:p>
    <w:p w14:paraId="6E7749A2">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盐雾 500h）；⑨抗霉菌性能：对黑曲霉、宛氏拟青霉、绳状青霉、产黄青霉、</w:t>
      </w:r>
    </w:p>
    <w:p w14:paraId="65550F0A">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绿粘帚霉、链格孢、出芽短梗霉、光孢短柄帚霉长霉等级均为 0 级；⑩抗细</w:t>
      </w:r>
    </w:p>
    <w:p w14:paraId="19B820B2">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菌性能：对金黄色葡萄球菌、乙型副伤寒沙门氏菌、枯草芽孢杆菌，大肠埃</w:t>
      </w:r>
    </w:p>
    <w:p w14:paraId="02C9DA46">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希氏菌、宋内志贺氏菌、痤疮丙酸杆菌、洋葱伯克霍尔德氏菌、肺炎克雷伯</w:t>
      </w:r>
    </w:p>
    <w:p w14:paraId="53F5CFBF">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氏菌抗细菌率均不小于 90%；</w:t>
      </w:r>
    </w:p>
    <w:p w14:paraId="5DF0B417">
      <w:pPr>
        <w:widowControl/>
        <w:spacing w:line="360" w:lineRule="auto"/>
        <w:jc w:val="left"/>
        <w:rPr>
          <w:rFonts w:ascii="黑体" w:hAnsi="黑体" w:eastAsia="黑体" w:cs="黑体"/>
          <w:color w:val="000000"/>
          <w:kern w:val="0"/>
          <w:sz w:val="22"/>
          <w:szCs w:val="22"/>
          <w:lang w:bidi="ar"/>
        </w:rPr>
      </w:pPr>
      <w:r>
        <w:rPr>
          <w:rFonts w:hint="eastAsia" w:ascii="黑体" w:hAnsi="黑体" w:eastAsia="黑体" w:cs="黑体"/>
          <w:color w:val="000000"/>
          <w:kern w:val="0"/>
          <w:sz w:val="22"/>
          <w:szCs w:val="22"/>
          <w:lang w:bidi="ar"/>
        </w:rPr>
        <w:t>二.供货和安装要求，提供产品合格证（写明产品型号，生产日期），中标人供货时需多提供 1套同型号课桌椅（费用包含在总报价中），用于采购人作为验收时可能开展的随机抽样破坏性第三方检测。若检测结果不符合本技术要求，视为整批货物不合格，采购人有权拒收并追究违约责任。</w:t>
      </w:r>
    </w:p>
    <w:p w14:paraId="64B7F0A0">
      <w:pPr>
        <w:widowControl/>
        <w:spacing w:line="360" w:lineRule="auto"/>
        <w:ind w:firstLine="220" w:firstLineChars="100"/>
        <w:jc w:val="left"/>
        <w:rPr>
          <w:rFonts w:ascii="黑体" w:hAnsi="黑体" w:eastAsia="黑体" w:cs="黑体"/>
          <w:sz w:val="22"/>
          <w:szCs w:val="22"/>
        </w:rPr>
      </w:pPr>
      <w:r>
        <w:rPr>
          <w:rFonts w:hint="eastAsia" w:ascii="黑体" w:hAnsi="黑体" w:eastAsia="黑体" w:cs="黑体"/>
          <w:color w:val="000000"/>
          <w:kern w:val="0"/>
          <w:sz w:val="22"/>
          <w:szCs w:val="22"/>
          <w:lang w:bidi="ar"/>
        </w:rPr>
        <w:t>三.安装时应结合学校学生身高范围对照《学校课桌椅功能尺寸及技术要求》（GB/T 3976-2014）组装相应高度的课桌。</w:t>
      </w:r>
    </w:p>
    <w:p w14:paraId="04EF4059">
      <w:pPr>
        <w:spacing w:line="360" w:lineRule="auto"/>
        <w:rPr>
          <w:rFonts w:ascii="黑体" w:hAnsi="黑体" w:eastAsia="黑体" w:cs="黑体"/>
          <w:sz w:val="22"/>
          <w:szCs w:val="22"/>
        </w:rPr>
      </w:pPr>
      <w:r>
        <w:rPr>
          <w:rFonts w:hint="eastAsia" w:ascii="黑体" w:hAnsi="黑体" w:eastAsia="黑体" w:cs="黑体"/>
          <w:sz w:val="22"/>
          <w:szCs w:val="22"/>
        </w:rPr>
        <w:t>备注：</w:t>
      </w:r>
    </w:p>
    <w:p w14:paraId="26E9E0DF">
      <w:pPr>
        <w:spacing w:line="360" w:lineRule="auto"/>
        <w:rPr>
          <w:rFonts w:ascii="黑体" w:hAnsi="黑体" w:eastAsia="黑体" w:cs="黑体"/>
          <w:sz w:val="22"/>
          <w:szCs w:val="22"/>
        </w:rPr>
      </w:pPr>
      <w:r>
        <w:rPr>
          <w:rFonts w:hint="eastAsia" w:ascii="黑体" w:hAnsi="黑体" w:eastAsia="黑体" w:cs="黑体"/>
          <w:sz w:val="22"/>
          <w:szCs w:val="22"/>
        </w:rPr>
        <w:t>1.签订合同时提供此项目的生产厂家授权委托书，供应商承诺书，授权法人身份证。营业执照生产厂家参数确认函和质保售后服务承诺函加盖厂家鲜章，参数确认函需写明所提供参与竞标产品完全满足本项目规格及技术参数。</w:t>
      </w:r>
    </w:p>
    <w:p w14:paraId="598C26CA">
      <w:pPr>
        <w:spacing w:line="360" w:lineRule="auto"/>
        <w:rPr>
          <w:rFonts w:ascii="黑体" w:hAnsi="黑体" w:eastAsia="黑体" w:cs="黑体"/>
          <w:sz w:val="22"/>
          <w:szCs w:val="22"/>
        </w:rPr>
      </w:pPr>
      <w:r>
        <w:rPr>
          <w:rFonts w:hint="eastAsia" w:ascii="黑体" w:hAnsi="黑体" w:eastAsia="黑体" w:cs="黑体"/>
          <w:sz w:val="22"/>
          <w:szCs w:val="22"/>
        </w:rPr>
        <w:t>2.供应商报价时请按照品牌要求，不接受非意向品牌，否则报价无效。如供应商恶意竞价，中标后不能按要求提供货物或用其他品牌.型号替代.影响我单位使用的情况，我单位将终止合同，并向政府采购管理部门投诉。</w:t>
      </w:r>
    </w:p>
    <w:p w14:paraId="0EF52552">
      <w:pPr>
        <w:spacing w:line="360" w:lineRule="auto"/>
        <w:rPr>
          <w:rFonts w:ascii="黑体" w:hAnsi="黑体" w:eastAsia="黑体" w:cs="黑体"/>
          <w:sz w:val="22"/>
          <w:szCs w:val="22"/>
        </w:rPr>
      </w:pPr>
      <w:r>
        <w:rPr>
          <w:rFonts w:hint="eastAsia" w:ascii="黑体" w:hAnsi="黑体" w:eastAsia="黑体" w:cs="黑体"/>
          <w:sz w:val="22"/>
          <w:szCs w:val="22"/>
        </w:rPr>
        <w:t>3.本项目专门面向中小企业，需上传制造商中小企业声明函，格式参照《政府采购促进中小企业发展管理办法》模板。</w:t>
      </w:r>
    </w:p>
    <w:p w14:paraId="6AF67C2E">
      <w:pPr>
        <w:spacing w:line="360" w:lineRule="auto"/>
        <w:rPr>
          <w:rFonts w:ascii="黑体" w:hAnsi="黑体" w:eastAsia="黑体" w:cs="黑体"/>
          <w:sz w:val="22"/>
          <w:szCs w:val="22"/>
        </w:rPr>
      </w:pPr>
      <w:r>
        <w:rPr>
          <w:rFonts w:hint="eastAsia" w:ascii="黑体" w:hAnsi="黑体" w:eastAsia="黑体" w:cs="黑体"/>
          <w:sz w:val="22"/>
          <w:szCs w:val="22"/>
        </w:rPr>
        <w:t>4.须在成交公示之日起5日内完成供货，请潜在供应商确定能按需求清单要求如期交货后再投标，每逾期一天扣除成交价的5%结算，参与投标视为认可本条。</w:t>
      </w:r>
    </w:p>
    <w:p w14:paraId="572D8A39">
      <w:pPr>
        <w:spacing w:line="360" w:lineRule="auto"/>
        <w:rPr>
          <w:rFonts w:ascii="黑体" w:hAnsi="黑体" w:eastAsia="黑体" w:cs="黑体"/>
          <w:sz w:val="22"/>
          <w:szCs w:val="22"/>
        </w:rPr>
      </w:pPr>
      <w:r>
        <w:rPr>
          <w:rFonts w:hint="eastAsia" w:ascii="黑体" w:hAnsi="黑体" w:eastAsia="黑体" w:cs="黑体"/>
          <w:sz w:val="22"/>
          <w:szCs w:val="22"/>
        </w:rPr>
        <w:t>脚套检验检测报告进行审查。</w:t>
      </w:r>
    </w:p>
    <w:p w14:paraId="0B4D1713">
      <w:pPr>
        <w:spacing w:line="360" w:lineRule="auto"/>
        <w:rPr>
          <w:sz w:val="22"/>
        </w:rPr>
      </w:pPr>
      <w:r>
        <w:rPr>
          <w:rFonts w:hint="eastAsia" w:ascii="黑体" w:hAnsi="黑体" w:eastAsia="黑体" w:cs="黑体"/>
          <w:sz w:val="22"/>
          <w:szCs w:val="22"/>
        </w:rPr>
        <w:t>四.</w:t>
      </w:r>
      <w:r>
        <w:rPr>
          <w:rFonts w:hint="eastAsia"/>
          <w:sz w:val="22"/>
        </w:rPr>
        <w:t>收货信息：</w:t>
      </w:r>
    </w:p>
    <w:p w14:paraId="66D14EFD">
      <w:pPr>
        <w:ind w:firstLine="440" w:firstLineChars="200"/>
        <w:rPr>
          <w:sz w:val="22"/>
        </w:rPr>
      </w:pPr>
      <w:r>
        <w:rPr>
          <w:rFonts w:hint="eastAsia"/>
          <w:sz w:val="22"/>
        </w:rPr>
        <w:t>1.送货方式：送货上门</w:t>
      </w:r>
    </w:p>
    <w:p w14:paraId="1DF28EFE">
      <w:pPr>
        <w:ind w:firstLine="440"/>
        <w:rPr>
          <w:sz w:val="22"/>
        </w:rPr>
      </w:pPr>
      <w:r>
        <w:rPr>
          <w:rFonts w:hint="eastAsia"/>
          <w:sz w:val="22"/>
        </w:rPr>
        <w:t>2.送货时间：工作日09:00至17:00</w:t>
      </w:r>
    </w:p>
    <w:p w14:paraId="4A7065E8">
      <w:pPr>
        <w:ind w:firstLine="440"/>
        <w:rPr>
          <w:sz w:val="22"/>
        </w:rPr>
      </w:pPr>
      <w:r>
        <w:rPr>
          <w:rFonts w:hint="eastAsia"/>
          <w:sz w:val="22"/>
        </w:rPr>
        <w:t>3.送货要求：竞价成交起5个工作日内到货及组装完毕</w:t>
      </w:r>
    </w:p>
    <w:p w14:paraId="6DE40563">
      <w:pPr>
        <w:ind w:firstLine="440"/>
        <w:rPr>
          <w:sz w:val="22"/>
        </w:rPr>
      </w:pPr>
      <w:r>
        <w:rPr>
          <w:rFonts w:hint="eastAsia"/>
          <w:sz w:val="22"/>
        </w:rPr>
        <w:t>4.送货地址：采购单位指定地点</w:t>
      </w:r>
    </w:p>
    <w:p w14:paraId="07354DDF">
      <w:pPr>
        <w:rPr>
          <w:sz w:val="22"/>
        </w:rPr>
      </w:pPr>
      <w:r>
        <w:rPr>
          <w:rFonts w:hint="eastAsia"/>
          <w:sz w:val="22"/>
        </w:rPr>
        <w:t>五.商务要求：</w:t>
      </w:r>
    </w:p>
    <w:tbl>
      <w:tblPr>
        <w:tblStyle w:val="8"/>
        <w:tblpPr w:leftFromText="180" w:rightFromText="180" w:vertAnchor="text" w:horzAnchor="page" w:tblpX="998" w:tblpY="196"/>
        <w:tblOverlap w:val="never"/>
        <w:tblW w:w="10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7984"/>
      </w:tblGrid>
      <w:tr w14:paraId="777D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2154" w:type="dxa"/>
          </w:tcPr>
          <w:p w14:paraId="55EE0C65">
            <w:pPr>
              <w:ind w:firstLine="440" w:firstLineChars="200"/>
              <w:rPr>
                <w:sz w:val="22"/>
              </w:rPr>
            </w:pPr>
            <w:r>
              <w:rPr>
                <w:rFonts w:hint="eastAsia"/>
                <w:sz w:val="22"/>
              </w:rPr>
              <w:t>商务项目</w:t>
            </w:r>
          </w:p>
        </w:tc>
        <w:tc>
          <w:tcPr>
            <w:tcW w:w="7984" w:type="dxa"/>
          </w:tcPr>
          <w:p w14:paraId="79306F56">
            <w:pPr>
              <w:ind w:firstLine="1540" w:firstLineChars="700"/>
              <w:rPr>
                <w:sz w:val="22"/>
              </w:rPr>
            </w:pPr>
          </w:p>
        </w:tc>
      </w:tr>
      <w:tr w14:paraId="4E98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2154" w:type="dxa"/>
          </w:tcPr>
          <w:p w14:paraId="6608C7EA">
            <w:pPr>
              <w:ind w:firstLine="440" w:firstLineChars="200"/>
              <w:rPr>
                <w:sz w:val="22"/>
              </w:rPr>
            </w:pPr>
            <w:r>
              <w:rPr>
                <w:rFonts w:hint="eastAsia"/>
                <w:sz w:val="22"/>
              </w:rPr>
              <w:t>付款方式</w:t>
            </w:r>
          </w:p>
        </w:tc>
        <w:tc>
          <w:tcPr>
            <w:tcW w:w="7984" w:type="dxa"/>
          </w:tcPr>
          <w:p w14:paraId="3711A914">
            <w:pPr>
              <w:rPr>
                <w:sz w:val="22"/>
              </w:rPr>
            </w:pPr>
            <w:r>
              <w:rPr>
                <w:rFonts w:hint="eastAsia" w:ascii="黑体" w:hAnsi="黑体" w:eastAsia="黑体" w:cs="黑体"/>
                <w:sz w:val="22"/>
                <w:szCs w:val="22"/>
              </w:rPr>
              <w:t>1、本项目全部货物安装调试完毕验收合格，采购人收到全额发票后交付与地方财政，付款期限以地方财政付款时间为主。</w:t>
            </w:r>
          </w:p>
        </w:tc>
      </w:tr>
      <w:tr w14:paraId="0E5E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2154" w:type="dxa"/>
            <w:vAlign w:val="center"/>
          </w:tcPr>
          <w:p w14:paraId="3DE787AA">
            <w:pPr>
              <w:jc w:val="center"/>
              <w:rPr>
                <w:sz w:val="22"/>
              </w:rPr>
            </w:pPr>
            <w:r>
              <w:rPr>
                <w:rFonts w:hint="eastAsia"/>
                <w:sz w:val="22"/>
              </w:rPr>
              <w:t>响应</w:t>
            </w:r>
            <w:r>
              <w:rPr>
                <w:sz w:val="22"/>
              </w:rPr>
              <w:t>基本要求</w:t>
            </w:r>
          </w:p>
        </w:tc>
        <w:tc>
          <w:tcPr>
            <w:tcW w:w="7984" w:type="dxa"/>
            <w:vAlign w:val="center"/>
          </w:tcPr>
          <w:p w14:paraId="478B1261">
            <w:pPr>
              <w:spacing w:line="360" w:lineRule="auto"/>
              <w:rPr>
                <w:rFonts w:ascii="黑体" w:hAnsi="黑体" w:eastAsia="黑体" w:cs="黑体"/>
                <w:sz w:val="22"/>
                <w:szCs w:val="22"/>
              </w:rPr>
            </w:pPr>
            <w:r>
              <w:rPr>
                <w:rFonts w:hint="eastAsia" w:ascii="黑体" w:hAnsi="黑体" w:eastAsia="黑体" w:cs="黑体"/>
                <w:sz w:val="22"/>
                <w:szCs w:val="22"/>
              </w:rPr>
              <w:t>1、参与竞价供应商报价费用含桌椅费、搬运费、安装费、五年免费售后服务费、税费。</w:t>
            </w:r>
          </w:p>
          <w:p w14:paraId="4F55A443">
            <w:pPr>
              <w:spacing w:line="360" w:lineRule="auto"/>
              <w:rPr>
                <w:rFonts w:ascii="黑体" w:hAnsi="黑体" w:eastAsia="黑体" w:cs="黑体"/>
                <w:sz w:val="22"/>
                <w:szCs w:val="22"/>
              </w:rPr>
            </w:pPr>
            <w:r>
              <w:rPr>
                <w:rFonts w:hint="eastAsia" w:ascii="黑体" w:hAnsi="黑体" w:eastAsia="黑体" w:cs="黑体"/>
                <w:sz w:val="22"/>
                <w:szCs w:val="22"/>
              </w:rPr>
              <w:t>2、竞价物品必须符合规格参数及实物样品相符，如有不符，供货商自行承担所有后果。</w:t>
            </w:r>
          </w:p>
          <w:p w14:paraId="41AA892F">
            <w:pPr>
              <w:spacing w:line="360" w:lineRule="auto"/>
              <w:ind w:right="-92" w:rightChars="-44"/>
              <w:rPr>
                <w:rFonts w:ascii="黑体" w:hAnsi="黑体" w:eastAsia="黑体" w:cs="黑体"/>
                <w:sz w:val="22"/>
                <w:szCs w:val="22"/>
              </w:rPr>
            </w:pPr>
            <w:r>
              <w:rPr>
                <w:rFonts w:hint="eastAsia" w:ascii="黑体" w:hAnsi="黑体" w:eastAsia="黑体" w:cs="黑体"/>
                <w:sz w:val="22"/>
                <w:szCs w:val="22"/>
              </w:rPr>
              <w:t>3、竞价商家资格审查必须符合政府采购第二十二条规定，具有履行合同所必须的设备和专业技术能力的承诺函，具有依法缴纳税收和社会保障资金的良好记录的相关证明，参加政府采购前三年内，在经营活动中没有重大违法记录承诺，具有良好的商业信誉（竞价商家在本项目报价上传竞价文件提交截止时间前，在“中国政府采购网”（www.ccgp.gov.cn）“政府采购严重违法失信行为记录名单”及“信用中国”网站（www.creditchina.gov.cn）“信用服务”查询栏中查询的信息记录（包括失信被执行人、重大税收违法案件当事人名单、政府采购严重违法失信行为记录名单）未出现不良信用信息查询记录提供详细截图。</w:t>
            </w:r>
          </w:p>
          <w:p w14:paraId="27CF581F">
            <w:pPr>
              <w:spacing w:line="360" w:lineRule="auto"/>
              <w:rPr>
                <w:sz w:val="22"/>
              </w:rPr>
            </w:pPr>
            <w:r>
              <w:rPr>
                <w:rFonts w:hint="eastAsia" w:ascii="黑体" w:hAnsi="黑体" w:eastAsia="黑体" w:cs="黑体"/>
                <w:sz w:val="22"/>
                <w:szCs w:val="22"/>
              </w:rPr>
              <w:t>4、竞价供应商报价前需提供样品1套给采购单位确认，如报价前没有提供样品视报价无效或提供样品不合格者参与报价也视为报价无效，上传符合本次采购商品的钢木课桌椅、高密度板、钢管、塑粉、塑料脚套检验检测报告进行审查。</w:t>
            </w:r>
          </w:p>
        </w:tc>
      </w:tr>
      <w:tr w14:paraId="19BA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2154" w:type="dxa"/>
            <w:vAlign w:val="center"/>
          </w:tcPr>
          <w:p w14:paraId="66FC870F">
            <w:pPr>
              <w:jc w:val="center"/>
              <w:rPr>
                <w:sz w:val="22"/>
              </w:rPr>
            </w:pPr>
            <w:r>
              <w:rPr>
                <w:sz w:val="22"/>
              </w:rPr>
              <w:t>交付使用期及地点</w:t>
            </w:r>
          </w:p>
        </w:tc>
        <w:tc>
          <w:tcPr>
            <w:tcW w:w="7984" w:type="dxa"/>
            <w:vAlign w:val="center"/>
          </w:tcPr>
          <w:p w14:paraId="62AC7191">
            <w:pPr>
              <w:rPr>
                <w:sz w:val="22"/>
              </w:rPr>
            </w:pPr>
            <w:r>
              <w:rPr>
                <w:rFonts w:hint="eastAsia"/>
                <w:sz w:val="22"/>
              </w:rPr>
              <w:t>1、成交公告结束后：1个工作日内签订合同，自签订合同之日起5个工作日内到货并全部组装完毕并且每套课桌椅必须有中标方提供产品的标志否者视为不合格产品予以退还，如不能按照相关交付时间履约，视为不能履约采购方有权单方面解除此次采购合同，并赔偿采购方损失 2、交货地点:采购单位指定地点。</w:t>
            </w:r>
          </w:p>
        </w:tc>
      </w:tr>
      <w:tr w14:paraId="3C54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2" w:hRule="atLeast"/>
        </w:trPr>
        <w:tc>
          <w:tcPr>
            <w:tcW w:w="2154" w:type="dxa"/>
            <w:vAlign w:val="center"/>
          </w:tcPr>
          <w:p w14:paraId="53F9B275">
            <w:pPr>
              <w:jc w:val="center"/>
              <w:rPr>
                <w:sz w:val="22"/>
              </w:rPr>
            </w:pPr>
            <w:r>
              <w:rPr>
                <w:rFonts w:hint="eastAsia"/>
                <w:sz w:val="22"/>
              </w:rPr>
              <w:t>售后服务</w:t>
            </w:r>
          </w:p>
        </w:tc>
        <w:tc>
          <w:tcPr>
            <w:tcW w:w="7984" w:type="dxa"/>
            <w:vAlign w:val="center"/>
          </w:tcPr>
          <w:p w14:paraId="784315AD">
            <w:pPr>
              <w:ind w:left="220" w:hanging="220" w:hangingChars="100"/>
              <w:rPr>
                <w:rFonts w:ascii="宋体" w:hAnsi="宋体" w:eastAsia="宋体" w:cs="宋体"/>
                <w:sz w:val="22"/>
                <w:szCs w:val="22"/>
              </w:rPr>
            </w:pPr>
            <w:r>
              <w:rPr>
                <w:rFonts w:hint="eastAsia" w:ascii="宋体" w:hAnsi="宋体" w:eastAsia="宋体" w:cs="宋体"/>
                <w:sz w:val="22"/>
                <w:szCs w:val="22"/>
              </w:rPr>
              <w:t xml:space="preserve">1、货物验收合格后，按国家有关产品“三包”规定执行“三包”,提供不少于3年的免费质保期，提供终身维护服务。 </w:t>
            </w:r>
          </w:p>
          <w:p w14:paraId="6D5D8C22">
            <w:pPr>
              <w:ind w:left="220" w:hanging="220" w:hangingChars="100"/>
              <w:rPr>
                <w:rFonts w:ascii="宋体" w:hAnsi="宋体" w:eastAsia="宋体" w:cs="宋体"/>
                <w:sz w:val="22"/>
                <w:szCs w:val="22"/>
              </w:rPr>
            </w:pPr>
            <w:r>
              <w:rPr>
                <w:rFonts w:hint="eastAsia" w:ascii="宋体" w:hAnsi="宋体" w:cs="宋体"/>
                <w:sz w:val="22"/>
                <w:szCs w:val="22"/>
              </w:rPr>
              <w:t>2</w:t>
            </w:r>
            <w:r>
              <w:rPr>
                <w:rFonts w:hint="eastAsia" w:ascii="宋体" w:hAnsi="宋体" w:eastAsia="宋体" w:cs="宋体"/>
                <w:sz w:val="22"/>
                <w:szCs w:val="22"/>
              </w:rPr>
              <w:t>、质保期内提供免费服务（含部件、人力、上门等），保修期自双方代表在</w:t>
            </w:r>
            <w:r>
              <w:rPr>
                <w:rFonts w:hint="eastAsia" w:ascii="宋体" w:hAnsi="宋体" w:cs="宋体"/>
                <w:sz w:val="22"/>
                <w:szCs w:val="22"/>
              </w:rPr>
              <w:t>货物</w:t>
            </w:r>
            <w:r>
              <w:rPr>
                <w:rFonts w:hint="eastAsia" w:ascii="宋体" w:hAnsi="宋体" w:eastAsia="宋体" w:cs="宋体"/>
                <w:sz w:val="22"/>
                <w:szCs w:val="22"/>
              </w:rPr>
              <w:t xml:space="preserve">安装调试后的验收证明文件上签字之日起计算，质保期满后，乙方仍应提供维修服务，按维修件成本收费。 </w:t>
            </w:r>
          </w:p>
          <w:p w14:paraId="31254242">
            <w:pPr>
              <w:ind w:left="220" w:hanging="220" w:hangingChars="100"/>
              <w:rPr>
                <w:rFonts w:ascii="宋体" w:hAnsi="宋体" w:eastAsia="宋体" w:cs="宋体"/>
                <w:sz w:val="22"/>
                <w:szCs w:val="22"/>
              </w:rPr>
            </w:pPr>
            <w:r>
              <w:rPr>
                <w:rFonts w:hint="eastAsia" w:ascii="宋体" w:hAnsi="宋体" w:cs="宋体"/>
                <w:sz w:val="22"/>
                <w:szCs w:val="22"/>
              </w:rPr>
              <w:t>3</w:t>
            </w:r>
            <w:r>
              <w:rPr>
                <w:rFonts w:hint="eastAsia" w:ascii="宋体" w:hAnsi="宋体" w:eastAsia="宋体" w:cs="宋体"/>
                <w:sz w:val="22"/>
                <w:szCs w:val="22"/>
              </w:rPr>
              <w:t>、免费质保期内，接到采购人故障报修后，30分钟内响应，2小时内到位。12小时内不能解决问题的产品应在24小时内提供等同档次产品给采购人使用。</w:t>
            </w:r>
          </w:p>
          <w:p w14:paraId="06DF6A0C">
            <w:pPr>
              <w:rPr>
                <w:sz w:val="22"/>
              </w:rPr>
            </w:pPr>
            <w:r>
              <w:rPr>
                <w:rFonts w:hint="eastAsia" w:ascii="宋体" w:hAnsi="宋体" w:cs="宋体"/>
                <w:sz w:val="22"/>
                <w:szCs w:val="22"/>
              </w:rPr>
              <w:t>4</w:t>
            </w:r>
            <w:r>
              <w:rPr>
                <w:rFonts w:hint="eastAsia" w:ascii="宋体" w:hAnsi="宋体" w:eastAsia="宋体" w:cs="宋体"/>
                <w:kern w:val="0"/>
                <w:sz w:val="22"/>
                <w:szCs w:val="22"/>
              </w:rPr>
              <w:t>、考虑到售后服务方便，非桂林市注册供应商须在桂林市设立经厂家授权的售后服务点（以营业执照注册地为准），并提供授权证</w:t>
            </w:r>
            <w:r>
              <w:rPr>
                <w:rFonts w:hint="eastAsia" w:ascii="宋体" w:hAnsi="宋体" w:eastAsia="宋体" w:cs="宋体"/>
                <w:kern w:val="0"/>
                <w:szCs w:val="21"/>
              </w:rPr>
              <w:t>书。</w:t>
            </w:r>
          </w:p>
        </w:tc>
      </w:tr>
    </w:tbl>
    <w:p w14:paraId="7826596D">
      <w:pPr>
        <w:rPr>
          <w:sz w:val="28"/>
          <w:szCs w:val="32"/>
        </w:rPr>
      </w:pPr>
    </w:p>
    <w:p w14:paraId="68A7EEBD">
      <w:pPr>
        <w:rPr>
          <w:sz w:val="28"/>
          <w:szCs w:val="32"/>
        </w:rPr>
      </w:pPr>
      <w:r>
        <w:rPr>
          <w:rFonts w:hint="eastAsia"/>
          <w:sz w:val="28"/>
          <w:szCs w:val="32"/>
        </w:rPr>
        <w:t xml:space="preserve">                                     </w:t>
      </w:r>
    </w:p>
    <w:sectPr>
      <w:pgSz w:w="11906" w:h="16838"/>
      <w:pgMar w:top="1134" w:right="1797"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644606"/>
    <w:multiLevelType w:val="singleLevel"/>
    <w:tmpl w:val="2E644606"/>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1095D"/>
    <w:rsid w:val="00004D90"/>
    <w:rsid w:val="00013851"/>
    <w:rsid w:val="00043177"/>
    <w:rsid w:val="000B356F"/>
    <w:rsid w:val="000B51D5"/>
    <w:rsid w:val="000C0A50"/>
    <w:rsid w:val="001039CA"/>
    <w:rsid w:val="00116904"/>
    <w:rsid w:val="001D6BDC"/>
    <w:rsid w:val="00206FBA"/>
    <w:rsid w:val="002209A5"/>
    <w:rsid w:val="0023211E"/>
    <w:rsid w:val="00235098"/>
    <w:rsid w:val="0027793C"/>
    <w:rsid w:val="00287E1D"/>
    <w:rsid w:val="002A6123"/>
    <w:rsid w:val="003B3839"/>
    <w:rsid w:val="00402423"/>
    <w:rsid w:val="00431BD5"/>
    <w:rsid w:val="00485C91"/>
    <w:rsid w:val="00496211"/>
    <w:rsid w:val="004B0A66"/>
    <w:rsid w:val="00513D1A"/>
    <w:rsid w:val="00566979"/>
    <w:rsid w:val="0058760C"/>
    <w:rsid w:val="005B13C6"/>
    <w:rsid w:val="005D0CED"/>
    <w:rsid w:val="006206F8"/>
    <w:rsid w:val="006613E6"/>
    <w:rsid w:val="00715BB3"/>
    <w:rsid w:val="00776680"/>
    <w:rsid w:val="007C59F3"/>
    <w:rsid w:val="007D3CA0"/>
    <w:rsid w:val="008101F2"/>
    <w:rsid w:val="008C706B"/>
    <w:rsid w:val="008D6609"/>
    <w:rsid w:val="0091376A"/>
    <w:rsid w:val="00963097"/>
    <w:rsid w:val="00972976"/>
    <w:rsid w:val="00994F97"/>
    <w:rsid w:val="009F398F"/>
    <w:rsid w:val="00A47FA4"/>
    <w:rsid w:val="00A6786A"/>
    <w:rsid w:val="00A737CF"/>
    <w:rsid w:val="00AB55DD"/>
    <w:rsid w:val="00AE5243"/>
    <w:rsid w:val="00AF7574"/>
    <w:rsid w:val="00B0056E"/>
    <w:rsid w:val="00B2633B"/>
    <w:rsid w:val="00B95650"/>
    <w:rsid w:val="00C5120B"/>
    <w:rsid w:val="00C70977"/>
    <w:rsid w:val="00C96E4D"/>
    <w:rsid w:val="00CF6E7A"/>
    <w:rsid w:val="00D05B28"/>
    <w:rsid w:val="00D866FB"/>
    <w:rsid w:val="00DA50E0"/>
    <w:rsid w:val="00E8365C"/>
    <w:rsid w:val="00E9262F"/>
    <w:rsid w:val="00EA119B"/>
    <w:rsid w:val="00F46885"/>
    <w:rsid w:val="00FB0665"/>
    <w:rsid w:val="06735B09"/>
    <w:rsid w:val="071B0830"/>
    <w:rsid w:val="076D5B00"/>
    <w:rsid w:val="092C6764"/>
    <w:rsid w:val="0A4227FB"/>
    <w:rsid w:val="0FC730CC"/>
    <w:rsid w:val="142E0ACA"/>
    <w:rsid w:val="18A12DCC"/>
    <w:rsid w:val="216C4C0A"/>
    <w:rsid w:val="239B7B48"/>
    <w:rsid w:val="279D1509"/>
    <w:rsid w:val="2E527B54"/>
    <w:rsid w:val="32884AD6"/>
    <w:rsid w:val="33734B0C"/>
    <w:rsid w:val="4252241A"/>
    <w:rsid w:val="43A56FDC"/>
    <w:rsid w:val="4C7C73E1"/>
    <w:rsid w:val="4D47613A"/>
    <w:rsid w:val="4D886C17"/>
    <w:rsid w:val="4FB67F39"/>
    <w:rsid w:val="58A14095"/>
    <w:rsid w:val="591A7002"/>
    <w:rsid w:val="5AE00CB1"/>
    <w:rsid w:val="5BA11C5E"/>
    <w:rsid w:val="60391C9C"/>
    <w:rsid w:val="60F77A66"/>
    <w:rsid w:val="610C5CC5"/>
    <w:rsid w:val="62440C56"/>
    <w:rsid w:val="6375663D"/>
    <w:rsid w:val="69A668E3"/>
    <w:rsid w:val="6A8D6594"/>
    <w:rsid w:val="6BAE58E0"/>
    <w:rsid w:val="6C7F2654"/>
    <w:rsid w:val="6D8A305E"/>
    <w:rsid w:val="716D6D05"/>
    <w:rsid w:val="73D85126"/>
    <w:rsid w:val="741714B0"/>
    <w:rsid w:val="798155AD"/>
    <w:rsid w:val="7B380CF5"/>
    <w:rsid w:val="7BB1095D"/>
    <w:rsid w:val="7F1959FF"/>
  </w:rsids>
  <m:mathPr>
    <m:mathFont m:val="Cambria Math"/>
    <m:brkBin m:val="before"/>
    <m:brkBinSub m:val="--"/>
    <m:smallFrac m:val="0"/>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qFormat="1" w:unhideWhenUsed="0" w:uiPriority="0"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Date"/>
    <w:link w:val="25"/>
    <w:qFormat/>
    <w:uiPriority w:val="0"/>
    <w:pPr>
      <w:ind w:left="100" w:leftChars="2500"/>
    </w:pPr>
    <w:rPr>
      <w:rFonts w:ascii="Times New Roman" w:hAnsi="Times New Roman" w:eastAsia="宋体" w:cs="Times New Roman"/>
      <w:lang w:val="en-US" w:eastAsia="zh-CN" w:bidi="ar-SA"/>
    </w:rPr>
  </w:style>
  <w:style w:type="paragraph" w:styleId="4">
    <w:name w:val="Balloon Text"/>
    <w:link w:val="26"/>
    <w:qFormat/>
    <w:uiPriority w:val="99"/>
    <w:rPr>
      <w:rFonts w:ascii="Times New Roman" w:hAnsi="Times New Roman" w:eastAsia="宋体" w:cs="Times New Roman"/>
      <w:sz w:val="18"/>
      <w:szCs w:val="18"/>
      <w:lang w:val="en-US" w:eastAsia="zh-CN" w:bidi="ar-SA"/>
    </w:rPr>
  </w:style>
  <w:style w:type="paragraph" w:styleId="5">
    <w:name w:val="footer"/>
    <w:link w:val="24"/>
    <w:qFormat/>
    <w:uiPriority w:val="0"/>
    <w:pPr>
      <w:snapToGrid w:val="0"/>
    </w:pPr>
    <w:rPr>
      <w:rFonts w:ascii="Times New Roman" w:hAnsi="Times New Roman" w:eastAsia="宋体" w:cs="Times New Roman"/>
      <w:sz w:val="18"/>
      <w:szCs w:val="18"/>
      <w:lang w:val="en-US" w:eastAsia="zh-CN" w:bidi="ar-SA"/>
    </w:rPr>
  </w:style>
  <w:style w:type="paragraph" w:styleId="6">
    <w:name w:val="header"/>
    <w:link w:val="23"/>
    <w:qFormat/>
    <w:uiPriority w:val="0"/>
    <w:pPr>
      <w:pBdr>
        <w:bottom w:val="single" w:color="auto" w:sz="6" w:space="1"/>
      </w:pBdr>
      <w:snapToGrid w:val="0"/>
      <w:jc w:val="center"/>
    </w:pPr>
    <w:rPr>
      <w:rFonts w:ascii="Times New Roman" w:hAnsi="Times New Roman" w:eastAsia="宋体" w:cs="Times New Roman"/>
      <w:sz w:val="18"/>
      <w:szCs w:val="18"/>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qFormat/>
    <w:uiPriority w:val="0"/>
    <w:rPr>
      <w:kern w:val="2"/>
      <w:sz w:val="18"/>
      <w:szCs w:val="18"/>
    </w:rPr>
  </w:style>
  <w:style w:type="character" w:customStyle="1" w:styleId="11">
    <w:name w:val="页脚 Char"/>
    <w:basedOn w:val="9"/>
    <w:qFormat/>
    <w:uiPriority w:val="0"/>
    <w:rPr>
      <w:kern w:val="2"/>
      <w:sz w:val="18"/>
      <w:szCs w:val="18"/>
    </w:rPr>
  </w:style>
  <w:style w:type="paragraph" w:styleId="12">
    <w:name w:val="List Paragraph"/>
    <w:unhideWhenUsed/>
    <w:qFormat/>
    <w:uiPriority w:val="99"/>
    <w:pPr>
      <w:ind w:firstLine="420" w:firstLineChars="200"/>
    </w:pPr>
    <w:rPr>
      <w:rFonts w:ascii="Times New Roman" w:hAnsi="Times New Roman" w:eastAsia="宋体" w:cs="Times New Roman"/>
      <w:lang w:val="en-US" w:eastAsia="zh-CN" w:bidi="ar-SA"/>
    </w:rPr>
  </w:style>
  <w:style w:type="character" w:customStyle="1" w:styleId="13">
    <w:name w:val="日期 Char"/>
    <w:basedOn w:val="9"/>
    <w:qFormat/>
    <w:uiPriority w:val="0"/>
    <w:rPr>
      <w:kern w:val="2"/>
      <w:sz w:val="21"/>
      <w:szCs w:val="24"/>
    </w:rPr>
  </w:style>
  <w:style w:type="character" w:customStyle="1" w:styleId="14">
    <w:name w:val="批注框文本 Char"/>
    <w:basedOn w:val="9"/>
    <w:qFormat/>
    <w:uiPriority w:val="99"/>
    <w:rPr>
      <w:rFonts w:asciiTheme="minorHAnsi" w:hAnsiTheme="minorHAnsi" w:eastAsiaTheme="minorEastAsia" w:cstheme="minorBidi"/>
      <w:kern w:val="2"/>
      <w:sz w:val="18"/>
      <w:szCs w:val="18"/>
    </w:rPr>
  </w:style>
  <w:style w:type="character" w:customStyle="1" w:styleId="15">
    <w:name w:val="页眉 Char1"/>
    <w:basedOn w:val="9"/>
    <w:qFormat/>
    <w:uiPriority w:val="0"/>
    <w:rPr>
      <w:kern w:val="2"/>
      <w:sz w:val="18"/>
      <w:szCs w:val="18"/>
    </w:rPr>
  </w:style>
  <w:style w:type="character" w:customStyle="1" w:styleId="16">
    <w:name w:val="页脚 Char1"/>
    <w:basedOn w:val="9"/>
    <w:qFormat/>
    <w:uiPriority w:val="0"/>
    <w:rPr>
      <w:kern w:val="2"/>
      <w:sz w:val="18"/>
      <w:szCs w:val="18"/>
    </w:rPr>
  </w:style>
  <w:style w:type="character" w:customStyle="1" w:styleId="17">
    <w:name w:val="日期 Char1"/>
    <w:basedOn w:val="9"/>
    <w:qFormat/>
    <w:uiPriority w:val="0"/>
    <w:rPr>
      <w:kern w:val="2"/>
      <w:sz w:val="21"/>
      <w:szCs w:val="24"/>
    </w:rPr>
  </w:style>
  <w:style w:type="character" w:customStyle="1" w:styleId="18">
    <w:name w:val="批注框文本 Char1"/>
    <w:basedOn w:val="9"/>
    <w:qFormat/>
    <w:uiPriority w:val="99"/>
    <w:rPr>
      <w:rFonts w:asciiTheme="minorHAnsi" w:hAnsiTheme="minorHAnsi" w:eastAsiaTheme="minorEastAsia" w:cstheme="minorBidi"/>
      <w:kern w:val="2"/>
      <w:sz w:val="18"/>
      <w:szCs w:val="18"/>
    </w:rPr>
  </w:style>
  <w:style w:type="character" w:customStyle="1" w:styleId="19">
    <w:name w:val="页眉 Char2"/>
    <w:qFormat/>
    <w:uiPriority w:val="0"/>
    <w:rPr>
      <w:kern w:val="2"/>
      <w:sz w:val="18"/>
      <w:szCs w:val="18"/>
    </w:rPr>
  </w:style>
  <w:style w:type="character" w:customStyle="1" w:styleId="20">
    <w:name w:val="页脚 Char2"/>
    <w:qFormat/>
    <w:uiPriority w:val="0"/>
    <w:rPr>
      <w:kern w:val="2"/>
      <w:sz w:val="18"/>
      <w:szCs w:val="18"/>
    </w:rPr>
  </w:style>
  <w:style w:type="character" w:customStyle="1" w:styleId="21">
    <w:name w:val="日期 Char2"/>
    <w:qFormat/>
    <w:uiPriority w:val="0"/>
    <w:rPr>
      <w:kern w:val="2"/>
      <w:sz w:val="21"/>
      <w:szCs w:val="24"/>
    </w:rPr>
  </w:style>
  <w:style w:type="character" w:customStyle="1" w:styleId="22">
    <w:name w:val="批注框文本 Char2"/>
    <w:qFormat/>
    <w:uiPriority w:val="99"/>
    <w:rPr>
      <w:rFonts w:asciiTheme="minorHAnsi" w:hAnsiTheme="minorHAnsi" w:eastAsiaTheme="minorEastAsia" w:cstheme="minorBidi"/>
      <w:kern w:val="2"/>
      <w:sz w:val="18"/>
      <w:szCs w:val="18"/>
    </w:rPr>
  </w:style>
  <w:style w:type="character" w:customStyle="1" w:styleId="23">
    <w:name w:val="页眉 Char3"/>
    <w:link w:val="6"/>
    <w:qFormat/>
    <w:uiPriority w:val="0"/>
    <w:rPr>
      <w:kern w:val="2"/>
      <w:sz w:val="18"/>
      <w:szCs w:val="18"/>
    </w:rPr>
  </w:style>
  <w:style w:type="character" w:customStyle="1" w:styleId="24">
    <w:name w:val="页脚 Char3"/>
    <w:link w:val="5"/>
    <w:qFormat/>
    <w:uiPriority w:val="0"/>
    <w:rPr>
      <w:kern w:val="2"/>
      <w:sz w:val="18"/>
      <w:szCs w:val="18"/>
    </w:rPr>
  </w:style>
  <w:style w:type="character" w:customStyle="1" w:styleId="25">
    <w:name w:val="日期 Char3"/>
    <w:link w:val="3"/>
    <w:qFormat/>
    <w:uiPriority w:val="0"/>
    <w:rPr>
      <w:kern w:val="2"/>
      <w:sz w:val="21"/>
      <w:szCs w:val="24"/>
    </w:rPr>
  </w:style>
  <w:style w:type="character" w:customStyle="1" w:styleId="26">
    <w:name w:val="批注框文本 Char3"/>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3137</Words>
  <Characters>3584</Characters>
  <Lines>26</Lines>
  <Paragraphs>7</Paragraphs>
  <TotalTime>3</TotalTime>
  <ScaleCrop>false</ScaleCrop>
  <LinksUpToDate>false</LinksUpToDate>
  <CharactersWithSpaces>3691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2026-07-22T16:55:00Z</dcterms:created>
  <dc:creator>杨茂 彩奕文印 意隆印刷</dc:creator>
  <cp:lastModifiedBy>感觉</cp:lastModifiedBy>
  <cp:lastPrinted>2026-06-03T11:29:00Z</cp:lastPrinted>
  <dcterms:modified xsi:type="dcterms:W3CDTF">2026-07-27T00:28:26Z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AE63DB4AA59C4D7FAF18775E6346751C_13</vt:lpwstr>
  </property>
  <property fmtid="{D5CDD505-2E9C-101B-9397-08002B2CF9AE}" pid="4" name="KSOTemplateDocerSaveRecord">
    <vt:lpwstr>eyJoZGlkIjoiMWFhNWM0ZDU4MjdjYTEyODgyNzFmYzBlZmQ4M2NkNmMiLCJ1c2VySWQiOiI1MjQ5MzA5MzAifQ==</vt:lpwstr>
  </property>
</Properties>
</file>