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7CA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资源县教育局智慧体育系统采购需求表（在线询价）</w:t>
      </w:r>
    </w:p>
    <w:tbl>
      <w:tblPr>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09"/>
        <w:gridCol w:w="910"/>
        <w:gridCol w:w="129"/>
        <w:gridCol w:w="5359"/>
        <w:gridCol w:w="585"/>
        <w:gridCol w:w="615"/>
        <w:gridCol w:w="1056"/>
        <w:gridCol w:w="1056"/>
      </w:tblGrid>
      <w:tr w14:paraId="2B321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jc w:val="center"/>
        </w:trPr>
        <w:tc>
          <w:tcPr>
            <w:tcW w:w="509" w:type="dxa"/>
            <w:tcBorders>
              <w:top w:val="single" w:color="000000" w:sz="8" w:space="0"/>
              <w:left w:val="single" w:color="000000" w:sz="8" w:space="0"/>
              <w:bottom w:val="single" w:color="000000" w:sz="8" w:space="0"/>
              <w:right w:val="single" w:color="000000" w:sz="8" w:space="0"/>
            </w:tcBorders>
            <w:shd w:val="clear"/>
            <w:noWrap/>
            <w:tcMar>
              <w:left w:w="108" w:type="dxa"/>
              <w:right w:w="108" w:type="dxa"/>
            </w:tcMar>
            <w:vAlign w:val="center"/>
          </w:tcPr>
          <w:p w14:paraId="03BA3D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序号</w:t>
            </w:r>
          </w:p>
        </w:tc>
        <w:tc>
          <w:tcPr>
            <w:tcW w:w="1039" w:type="dxa"/>
            <w:gridSpan w:val="2"/>
            <w:tcBorders>
              <w:top w:val="single" w:color="000000" w:sz="8" w:space="0"/>
              <w:left w:val="nil"/>
              <w:bottom w:val="single" w:color="000000" w:sz="8" w:space="0"/>
              <w:right w:val="single" w:color="000000" w:sz="8" w:space="0"/>
            </w:tcBorders>
            <w:shd w:val="clear"/>
            <w:tcMar>
              <w:left w:w="108" w:type="dxa"/>
              <w:right w:w="108" w:type="dxa"/>
            </w:tcMar>
            <w:vAlign w:val="center"/>
          </w:tcPr>
          <w:p w14:paraId="7FB0B3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产品</w:t>
            </w:r>
          </w:p>
          <w:p w14:paraId="098666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名称</w:t>
            </w:r>
          </w:p>
        </w:tc>
        <w:tc>
          <w:tcPr>
            <w:tcW w:w="5547"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77BA6A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top"/>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技术参数</w:t>
            </w:r>
          </w:p>
        </w:tc>
        <w:tc>
          <w:tcPr>
            <w:tcW w:w="585" w:type="dxa"/>
            <w:tcBorders>
              <w:top w:val="single" w:color="000000" w:sz="8" w:space="0"/>
              <w:left w:val="nil"/>
              <w:bottom w:val="single" w:color="000000" w:sz="8" w:space="0"/>
              <w:right w:val="single" w:color="000000" w:sz="8" w:space="0"/>
            </w:tcBorders>
            <w:shd w:val="clear"/>
            <w:noWrap/>
            <w:tcMar>
              <w:left w:w="108" w:type="dxa"/>
              <w:right w:w="108" w:type="dxa"/>
            </w:tcMar>
            <w:vAlign w:val="center"/>
          </w:tcPr>
          <w:p w14:paraId="548FEC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数量</w:t>
            </w:r>
          </w:p>
        </w:tc>
        <w:tc>
          <w:tcPr>
            <w:tcW w:w="615" w:type="dxa"/>
            <w:tcBorders>
              <w:top w:val="single" w:color="000000" w:sz="8" w:space="0"/>
              <w:left w:val="nil"/>
              <w:bottom w:val="single" w:color="000000" w:sz="8" w:space="0"/>
              <w:right w:val="single" w:color="000000" w:sz="8" w:space="0"/>
            </w:tcBorders>
            <w:shd w:val="clear"/>
            <w:noWrap/>
            <w:tcMar>
              <w:left w:w="108" w:type="dxa"/>
              <w:right w:w="108" w:type="dxa"/>
            </w:tcMar>
            <w:vAlign w:val="center"/>
          </w:tcPr>
          <w:p w14:paraId="1D8796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单位</w:t>
            </w:r>
          </w:p>
        </w:tc>
        <w:tc>
          <w:tcPr>
            <w:tcW w:w="949" w:type="dxa"/>
            <w:tcBorders>
              <w:top w:val="single" w:color="000000" w:sz="8" w:space="0"/>
              <w:left w:val="nil"/>
              <w:bottom w:val="single" w:color="000000" w:sz="8" w:space="0"/>
              <w:right w:val="single" w:color="000000" w:sz="8" w:space="0"/>
            </w:tcBorders>
            <w:shd w:val="clear"/>
            <w:noWrap/>
            <w:tcMar>
              <w:left w:w="108" w:type="dxa"/>
              <w:right w:w="108" w:type="dxa"/>
            </w:tcMar>
            <w:vAlign w:val="center"/>
          </w:tcPr>
          <w:p w14:paraId="0D5E7C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单价（元）</w:t>
            </w:r>
          </w:p>
        </w:tc>
        <w:tc>
          <w:tcPr>
            <w:tcW w:w="975" w:type="dxa"/>
            <w:tcBorders>
              <w:top w:val="single" w:color="000000" w:sz="8" w:space="0"/>
              <w:left w:val="nil"/>
              <w:bottom w:val="single" w:color="000000" w:sz="8" w:space="0"/>
              <w:right w:val="single" w:color="000000" w:sz="8" w:space="0"/>
            </w:tcBorders>
            <w:shd w:val="clear"/>
            <w:noWrap/>
            <w:tcMar>
              <w:left w:w="108" w:type="dxa"/>
              <w:right w:w="108" w:type="dxa"/>
            </w:tcMar>
            <w:vAlign w:val="center"/>
          </w:tcPr>
          <w:p w14:paraId="4019AC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金额（元）</w:t>
            </w:r>
          </w:p>
        </w:tc>
      </w:tr>
      <w:tr w14:paraId="031D0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05" w:hRule="atLeast"/>
          <w:jc w:val="center"/>
        </w:trPr>
        <w:tc>
          <w:tcPr>
            <w:tcW w:w="509" w:type="dxa"/>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2E6156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1039" w:type="dxa"/>
            <w:gridSpan w:val="2"/>
            <w:tcBorders>
              <w:top w:val="nil"/>
              <w:left w:val="nil"/>
              <w:bottom w:val="single" w:color="000000" w:sz="8" w:space="0"/>
              <w:right w:val="single" w:color="000000" w:sz="8" w:space="0"/>
            </w:tcBorders>
            <w:shd w:val="clear"/>
            <w:tcMar>
              <w:left w:w="108" w:type="dxa"/>
              <w:right w:w="108" w:type="dxa"/>
            </w:tcMar>
            <w:vAlign w:val="center"/>
          </w:tcPr>
          <w:p w14:paraId="11891D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电子发令系统</w:t>
            </w:r>
          </w:p>
        </w:tc>
        <w:tc>
          <w:tcPr>
            <w:tcW w:w="5547" w:type="dxa"/>
            <w:tcBorders>
              <w:top w:val="nil"/>
              <w:left w:val="nil"/>
              <w:bottom w:val="single" w:color="000000" w:sz="8" w:space="0"/>
              <w:right w:val="single" w:color="000000" w:sz="8" w:space="0"/>
            </w:tcBorders>
            <w:shd w:val="clear"/>
            <w:tcMar>
              <w:left w:w="108" w:type="dxa"/>
              <w:right w:w="108" w:type="dxa"/>
            </w:tcMar>
            <w:vAlign w:val="top"/>
          </w:tcPr>
          <w:p w14:paraId="7F84CB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 无线发令距离：无遮挡时≥250米。</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0CFAAB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 支持有线、无线两种触发输出方式，可应对现场的无线信号干扰。</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688180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 发令主机内置GPS天线，支持GPS 和北斗卫星系统授时服务，并记录每次发令的时间，为比赛争议提供权威依据。</w:t>
            </w:r>
          </w:p>
          <w:p w14:paraId="0992CD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 支持语音、发令枪声两种触发内容，具备发令耳麦语音输入功能，发令耳麦设置独立的输出频段，发令员可以使用发令耳麦将口令传输至发令音箱，避免与发令信道串频。</w:t>
            </w:r>
          </w:p>
          <w:p w14:paraId="519AF9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 可与其他配套系统采用加密传输，相互绑定唯一启动装置，保障运行安全性。</w:t>
            </w:r>
          </w:p>
          <w:p w14:paraId="4855E8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 支持根据需求调节多种无线加密信道，在同一场地上的多台设备可同时使用且互不干扰，保障计时设备的稳定触发。</w:t>
            </w:r>
          </w:p>
          <w:p w14:paraId="4B3429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 发令主机具备按键触发发令功能，同时支持外接电子发令枪，提供双重发令保障。</w:t>
            </w:r>
          </w:p>
          <w:p w14:paraId="1DBA9B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 电子发令枪具备高亮指示灯，声光同步显示触发情况。</w:t>
            </w:r>
          </w:p>
          <w:p w14:paraId="0EFD94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 支持同时外接多个发令音箱，可与发令主机无线连接，发令信道可调节，支持与发令主机一键配对。</w:t>
            </w:r>
          </w:p>
          <w:p w14:paraId="1080FE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 发令音箱机身具备显示屏，可显示信号状态、信道与电量等信息，可独立调节枪声与话筒音量。</w:t>
            </w:r>
          </w:p>
          <w:p w14:paraId="6EB94D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11. 发令音箱机身具备触发指示灯，可通过指示灯区分待机与发令状态。</w:t>
            </w:r>
          </w:p>
          <w:p w14:paraId="44F68B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 发令音箱内置语音芯片，自动播报“各就位/预备/枪声”，支持实时无线高分贝喊话，传输距离不小于120米。</w:t>
            </w:r>
          </w:p>
          <w:p w14:paraId="2A82D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 发令音箱具备单机、联机两种操作模式，单机模式下支持外接发令手柄单独完成发令指令，联机模式下可无缝接入发令系统，支持多设备协同控制。</w:t>
            </w:r>
          </w:p>
          <w:p w14:paraId="7E3CD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14. 发令音箱为全金属机身，配备可伸缩拉杆，底部安装静音轮，方便转场移动。</w:t>
            </w:r>
          </w:p>
          <w:p w14:paraId="399B7C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▲15. 符合国际田联竞赛规则要求，获得国际田联地区发展中心认可证书</w:t>
            </w:r>
            <w:r>
              <w:rPr>
                <w:rFonts w:hint="eastAsia" w:ascii="宋体" w:hAnsi="宋体" w:eastAsia="宋体" w:cs="宋体"/>
                <w:b/>
                <w:bCs/>
                <w:kern w:val="0"/>
                <w:sz w:val="21"/>
                <w:szCs w:val="21"/>
                <w:bdr w:val="none" w:color="auto" w:sz="0" w:space="0"/>
                <w:lang w:val="en-US" w:eastAsia="zh-CN" w:bidi="ar"/>
              </w:rPr>
              <w:t>。（报价时需提供证明文件复印件并加盖投标人公章)</w:t>
            </w:r>
          </w:p>
          <w:p w14:paraId="140CFE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16. 可与运动影像计时系统无缝对接，同步启动终点计时设备，保证发令信号的实时传输，确保了测试的准确性。</w:t>
            </w:r>
          </w:p>
        </w:tc>
        <w:tc>
          <w:tcPr>
            <w:tcW w:w="585" w:type="dxa"/>
            <w:tcBorders>
              <w:top w:val="nil"/>
              <w:left w:val="nil"/>
              <w:bottom w:val="single" w:color="000000" w:sz="8" w:space="0"/>
              <w:right w:val="single" w:color="000000" w:sz="8" w:space="0"/>
            </w:tcBorders>
            <w:shd w:val="clear"/>
            <w:noWrap/>
            <w:tcMar>
              <w:left w:w="108" w:type="dxa"/>
              <w:right w:w="108" w:type="dxa"/>
            </w:tcMar>
            <w:vAlign w:val="center"/>
          </w:tcPr>
          <w:p w14:paraId="3B3A7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615" w:type="dxa"/>
            <w:tcBorders>
              <w:top w:val="nil"/>
              <w:left w:val="nil"/>
              <w:bottom w:val="single" w:color="000000" w:sz="8" w:space="0"/>
              <w:right w:val="single" w:color="000000" w:sz="8" w:space="0"/>
            </w:tcBorders>
            <w:shd w:val="clear"/>
            <w:noWrap/>
            <w:tcMar>
              <w:left w:w="108" w:type="dxa"/>
              <w:right w:w="108" w:type="dxa"/>
            </w:tcMar>
            <w:vAlign w:val="center"/>
          </w:tcPr>
          <w:p w14:paraId="23767C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949" w:type="dxa"/>
            <w:tcBorders>
              <w:top w:val="nil"/>
              <w:left w:val="nil"/>
              <w:bottom w:val="single" w:color="000000" w:sz="8" w:space="0"/>
              <w:right w:val="single" w:color="000000" w:sz="8" w:space="0"/>
            </w:tcBorders>
            <w:shd w:val="clear"/>
            <w:noWrap/>
            <w:tcMar>
              <w:left w:w="108" w:type="dxa"/>
              <w:right w:w="108" w:type="dxa"/>
            </w:tcMar>
            <w:vAlign w:val="center"/>
          </w:tcPr>
          <w:p w14:paraId="09C4A3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75396.57</w:t>
            </w:r>
          </w:p>
        </w:tc>
        <w:tc>
          <w:tcPr>
            <w:tcW w:w="975" w:type="dxa"/>
            <w:tcBorders>
              <w:top w:val="nil"/>
              <w:left w:val="nil"/>
              <w:bottom w:val="single" w:color="000000" w:sz="8" w:space="0"/>
              <w:right w:val="single" w:color="000000" w:sz="8" w:space="0"/>
            </w:tcBorders>
            <w:shd w:val="clear"/>
            <w:noWrap/>
            <w:tcMar>
              <w:left w:w="108" w:type="dxa"/>
              <w:right w:w="108" w:type="dxa"/>
            </w:tcMar>
            <w:vAlign w:val="center"/>
          </w:tcPr>
          <w:p w14:paraId="7D1C6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75396.57</w:t>
            </w:r>
          </w:p>
        </w:tc>
      </w:tr>
      <w:tr w14:paraId="4B0E1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600" w:hRule="atLeast"/>
          <w:jc w:val="center"/>
        </w:trPr>
        <w:tc>
          <w:tcPr>
            <w:tcW w:w="509" w:type="dxa"/>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09B23E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w:t>
            </w:r>
          </w:p>
        </w:tc>
        <w:tc>
          <w:tcPr>
            <w:tcW w:w="1039" w:type="dxa"/>
            <w:gridSpan w:val="2"/>
            <w:tcBorders>
              <w:top w:val="nil"/>
              <w:left w:val="nil"/>
              <w:bottom w:val="single" w:color="000000" w:sz="8" w:space="0"/>
              <w:right w:val="single" w:color="000000" w:sz="8" w:space="0"/>
            </w:tcBorders>
            <w:shd w:val="clear"/>
            <w:tcMar>
              <w:left w:w="108" w:type="dxa"/>
              <w:right w:w="108" w:type="dxa"/>
            </w:tcMar>
            <w:vAlign w:val="center"/>
          </w:tcPr>
          <w:p w14:paraId="47161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运动影像计时系统</w:t>
            </w:r>
          </w:p>
        </w:tc>
        <w:tc>
          <w:tcPr>
            <w:tcW w:w="5547" w:type="dxa"/>
            <w:tcBorders>
              <w:top w:val="nil"/>
              <w:left w:val="nil"/>
              <w:bottom w:val="single" w:color="000000" w:sz="8" w:space="0"/>
              <w:right w:val="single" w:color="000000" w:sz="8" w:space="0"/>
            </w:tcBorders>
            <w:shd w:val="clear"/>
            <w:tcMar>
              <w:left w:w="108" w:type="dxa"/>
              <w:right w:w="108" w:type="dxa"/>
            </w:tcMar>
            <w:vAlign w:val="top"/>
          </w:tcPr>
          <w:p w14:paraId="59FC34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 量程：0-36000秒。</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6176CC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 分度值：0.001秒。</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2CC317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 误差：不大于±0.01秒。</w:t>
            </w:r>
          </w:p>
          <w:p w14:paraId="25BAB7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 分辨率：≥1200×600。</w:t>
            </w:r>
          </w:p>
          <w:p w14:paraId="57424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 一体化机身，手提式设计，方便安装架设，适用于室内外多场景灵活部署。</w:t>
            </w:r>
          </w:p>
          <w:p w14:paraId="0372C0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 采用无线发令传感，开阔地可靠作用距离不小于250米。</w:t>
            </w:r>
          </w:p>
          <w:p w14:paraId="0366FF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 集成GPS模块，与北斗卫星系统同步授时。</w:t>
            </w:r>
          </w:p>
          <w:p w14:paraId="517DFC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 机身集成OLED屏幕，实时显示电量、信号、工作时间、系统版本等关键参数，屏幕尺寸≥2.4寸。</w:t>
            </w:r>
          </w:p>
          <w:p w14:paraId="05AD31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 内置语音芯片，设备低电量、信令中断、系统异常时可发出语音警报。</w:t>
            </w:r>
          </w:p>
          <w:p w14:paraId="4FD518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 支持计时中止后仍可触发图像采集，并可通过软件重新启动拍摄流程。</w:t>
            </w:r>
          </w:p>
          <w:p w14:paraId="680779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11. 内置加密接收模块，具备强抗干扰能力，无需外接天线即可稳定接收发令信号。</w:t>
            </w:r>
          </w:p>
          <w:p w14:paraId="76F039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 内置发令信号接收模块，支持多次发令事件记录与零时刻标定，确保发令与计时起始点的毫秒级同步。</w:t>
            </w:r>
          </w:p>
          <w:p w14:paraId="410DDD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 配备标准外置镜头卡口，可兼容多款EF镜头，可根据赛事距离和场地条件灵活选择不同焦段，扩展性强。</w:t>
            </w:r>
          </w:p>
          <w:p w14:paraId="4C539F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14. 镜头光圈可通过软件控制自动对焦，动态调节清晰度与曝光参数。</w:t>
            </w:r>
          </w:p>
          <w:p w14:paraId="27D730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15. 实时监控发令信号，支持多次接收发令时间。</w:t>
            </w:r>
          </w:p>
          <w:p w14:paraId="222FD3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16. 设备具备零点校验功能，校对发令时刻误差，满足正规赛事及考试的使用要求。</w:t>
            </w:r>
          </w:p>
          <w:p w14:paraId="2B1579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17. 设备通过高速拍摄获取终点冲线图像，并可通过图像自动获取成绩。</w:t>
            </w:r>
          </w:p>
          <w:p w14:paraId="469962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18. 具备停表拍摄功能，在停止计时后实现软件自动计时，可再次启动拍摄。</w:t>
            </w:r>
          </w:p>
          <w:p w14:paraId="68686B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19. 软件界面集成实时预览窗口，方便曝光、对焦及清晰度调节。</w:t>
            </w:r>
          </w:p>
          <w:p w14:paraId="6F2F8D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20. 具备图像后处理功能，能够自动识别并裁切图像无效区域，支持局部放大、对比度增强和多点对焦等功能。</w:t>
            </w:r>
          </w:p>
          <w:p w14:paraId="2391EB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21. 能够在判读结束时立即打印输出成绩和终点摄影图像。</w:t>
            </w:r>
          </w:p>
          <w:p w14:paraId="7A9EF0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22. 系统自动联网并实时发布成绩，确保数据一致性与权威性。</w:t>
            </w:r>
          </w:p>
          <w:p w14:paraId="4835D4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23. 支持高速图像与数据上传，结合终端系统实现大容量赛事数据的实时存储与备份，配套终端系统1套，应用考试系统及运动影像计时系统，运行性能不小于I5性能cpu，运行内存不小于16g，显示系统性能不低于1920x1080分辨率，自带千兆网络传输接口及wifi网络双模式数据交互运输，满足计时系统考试及赛事应用需求。可固态存储数据不小于1000g。</w:t>
            </w:r>
          </w:p>
          <w:p w14:paraId="5D6030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24. 所有图像文件与成绩记录均保存于本地，结构化管理，支持按测试名称、日期、项目快速检索与重判。</w:t>
            </w:r>
          </w:p>
          <w:p w14:paraId="6C5401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25. 支持创建与管理多个测试项目，具备报名、分组、道次编排功能。</w:t>
            </w:r>
          </w:p>
          <w:p w14:paraId="44F334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▲26. 系统支持与采购人现有的体育考试管理系统深度对接，无需二次开发即可实现成绩自动上传、发布的全流程数字化管理。</w:t>
            </w:r>
            <w:r>
              <w:rPr>
                <w:rFonts w:hint="eastAsia" w:ascii="宋体" w:hAnsi="宋体" w:eastAsia="宋体" w:cs="宋体"/>
                <w:b/>
                <w:bCs/>
                <w:kern w:val="0"/>
                <w:sz w:val="21"/>
                <w:szCs w:val="21"/>
                <w:bdr w:val="none" w:color="auto" w:sz="0" w:space="0"/>
                <w:lang w:val="en-US" w:eastAsia="zh-CN" w:bidi="ar"/>
              </w:rPr>
              <w:t>（报价时需提供供应商承诺函并加盖投标人公章）</w:t>
            </w:r>
          </w:p>
          <w:p w14:paraId="002C3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▲27. 系统符合国家相关体质测试器材标准，具有NSCC产品认证证书。</w:t>
            </w:r>
            <w:r>
              <w:rPr>
                <w:rFonts w:hint="eastAsia" w:ascii="宋体" w:hAnsi="宋体" w:eastAsia="宋体" w:cs="宋体"/>
                <w:b/>
                <w:bCs/>
                <w:kern w:val="0"/>
                <w:sz w:val="21"/>
                <w:szCs w:val="21"/>
                <w:bdr w:val="none" w:color="auto" w:sz="0" w:space="0"/>
                <w:lang w:val="en-US" w:eastAsia="zh-CN" w:bidi="ar"/>
              </w:rPr>
              <w:t>(报价时需提供证明文件复印件并加盖投标人公章）</w:t>
            </w:r>
          </w:p>
          <w:p w14:paraId="60B9AE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▲28.  符合国际田联竞赛规则要求，获得国际田联地区发展中心认可证书。</w:t>
            </w:r>
            <w:r>
              <w:rPr>
                <w:rFonts w:hint="eastAsia" w:ascii="宋体" w:hAnsi="宋体" w:eastAsia="宋体" w:cs="宋体"/>
                <w:b/>
                <w:bCs/>
                <w:kern w:val="0"/>
                <w:sz w:val="21"/>
                <w:szCs w:val="21"/>
                <w:bdr w:val="none" w:color="auto" w:sz="0" w:space="0"/>
                <w:lang w:val="en-US" w:eastAsia="zh-CN" w:bidi="ar"/>
              </w:rPr>
              <w:t>（报价时需提供证明文件复印件并加盖投标人公章)</w:t>
            </w:r>
            <w:r>
              <w:rPr>
                <w:rFonts w:hint="eastAsia" w:ascii="宋体" w:hAnsi="宋体" w:eastAsia="宋体" w:cs="宋体"/>
                <w:kern w:val="0"/>
                <w:sz w:val="21"/>
                <w:szCs w:val="21"/>
                <w:bdr w:val="none" w:color="auto" w:sz="0" w:space="0"/>
                <w:lang w:val="en-US" w:eastAsia="zh-CN" w:bidi="ar"/>
              </w:rPr>
              <w:t> </w:t>
            </w:r>
          </w:p>
        </w:tc>
        <w:tc>
          <w:tcPr>
            <w:tcW w:w="585" w:type="dxa"/>
            <w:tcBorders>
              <w:top w:val="nil"/>
              <w:left w:val="nil"/>
              <w:bottom w:val="single" w:color="000000" w:sz="8" w:space="0"/>
              <w:right w:val="single" w:color="000000" w:sz="8" w:space="0"/>
            </w:tcBorders>
            <w:shd w:val="clear"/>
            <w:noWrap/>
            <w:tcMar>
              <w:left w:w="108" w:type="dxa"/>
              <w:right w:w="108" w:type="dxa"/>
            </w:tcMar>
            <w:vAlign w:val="center"/>
          </w:tcPr>
          <w:p w14:paraId="6E5DC5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615" w:type="dxa"/>
            <w:tcBorders>
              <w:top w:val="nil"/>
              <w:left w:val="nil"/>
              <w:bottom w:val="single" w:color="000000" w:sz="8" w:space="0"/>
              <w:right w:val="single" w:color="000000" w:sz="8" w:space="0"/>
            </w:tcBorders>
            <w:shd w:val="clear"/>
            <w:noWrap/>
            <w:tcMar>
              <w:left w:w="108" w:type="dxa"/>
              <w:right w:w="108" w:type="dxa"/>
            </w:tcMar>
            <w:vAlign w:val="center"/>
          </w:tcPr>
          <w:p w14:paraId="531612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949" w:type="dxa"/>
            <w:tcBorders>
              <w:top w:val="nil"/>
              <w:left w:val="nil"/>
              <w:bottom w:val="single" w:color="000000" w:sz="8" w:space="0"/>
              <w:right w:val="single" w:color="000000" w:sz="8" w:space="0"/>
            </w:tcBorders>
            <w:shd w:val="clear"/>
            <w:noWrap/>
            <w:tcMar>
              <w:left w:w="108" w:type="dxa"/>
              <w:right w:w="108" w:type="dxa"/>
            </w:tcMar>
            <w:vAlign w:val="center"/>
          </w:tcPr>
          <w:p w14:paraId="6C828C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179124</w:t>
            </w:r>
          </w:p>
        </w:tc>
        <w:tc>
          <w:tcPr>
            <w:tcW w:w="975" w:type="dxa"/>
            <w:tcBorders>
              <w:top w:val="nil"/>
              <w:left w:val="nil"/>
              <w:bottom w:val="single" w:color="000000" w:sz="8" w:space="0"/>
              <w:right w:val="single" w:color="000000" w:sz="8" w:space="0"/>
            </w:tcBorders>
            <w:shd w:val="clear"/>
            <w:noWrap/>
            <w:tcMar>
              <w:left w:w="108" w:type="dxa"/>
              <w:right w:w="108" w:type="dxa"/>
            </w:tcMar>
            <w:vAlign w:val="center"/>
          </w:tcPr>
          <w:p w14:paraId="4EBA43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179124</w:t>
            </w:r>
          </w:p>
        </w:tc>
      </w:tr>
      <w:tr w14:paraId="310AD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600" w:hRule="atLeast"/>
          <w:jc w:val="center"/>
        </w:trPr>
        <w:tc>
          <w:tcPr>
            <w:tcW w:w="509" w:type="dxa"/>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1AC79F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w:t>
            </w:r>
          </w:p>
        </w:tc>
        <w:tc>
          <w:tcPr>
            <w:tcW w:w="1039" w:type="dxa"/>
            <w:gridSpan w:val="2"/>
            <w:tcBorders>
              <w:top w:val="nil"/>
              <w:left w:val="nil"/>
              <w:bottom w:val="single" w:color="000000" w:sz="8" w:space="0"/>
              <w:right w:val="single" w:color="000000" w:sz="8" w:space="0"/>
            </w:tcBorders>
            <w:shd w:val="clear"/>
            <w:tcMar>
              <w:left w:w="108" w:type="dxa"/>
              <w:right w:w="108" w:type="dxa"/>
            </w:tcMar>
            <w:vAlign w:val="center"/>
          </w:tcPr>
          <w:p w14:paraId="7063BC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立定跳远测量系统</w:t>
            </w:r>
          </w:p>
        </w:tc>
        <w:tc>
          <w:tcPr>
            <w:tcW w:w="5547" w:type="dxa"/>
            <w:tcBorders>
              <w:top w:val="nil"/>
              <w:left w:val="nil"/>
              <w:bottom w:val="single" w:color="000000" w:sz="8" w:space="0"/>
              <w:right w:val="single" w:color="000000" w:sz="8" w:space="0"/>
            </w:tcBorders>
            <w:shd w:val="clear"/>
            <w:tcMar>
              <w:left w:w="108" w:type="dxa"/>
              <w:right w:w="108" w:type="dxa"/>
            </w:tcMar>
            <w:vAlign w:val="top"/>
          </w:tcPr>
          <w:p w14:paraId="482BEC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 智能主机采用触控式真彩液晶显示器，显示屏尺寸≥10英寸，显示分辨率≥1280×800。</w:t>
            </w:r>
          </w:p>
          <w:p w14:paraId="4FFD35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 智能主机具备RS232串行通讯接口≥1个、USB通用串行总线接口≥2个、Type-C接口≥1个、3.5mm音频接口≥1个。</w:t>
            </w:r>
          </w:p>
          <w:p w14:paraId="3A1AE3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 智能主机采用无线通讯技术和有线网卡两种采集接收模式，支持长距离数据传输及多台主机高速批量实时传输。</w:t>
            </w:r>
          </w:p>
          <w:p w14:paraId="749114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 智能主机具有电池双供电模式，可热切换。内置充电锂电池，续航时间不低于8小时，电池可智能断电、防过充。</w:t>
            </w:r>
          </w:p>
          <w:p w14:paraId="4439A2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 智能主机为通用主机，采用多核处理器，内置安卓操作系统，预装专用测试软件，无需额外安装程序即可切换测试项目，同一主机能与不同测试项目的测试终端进行互联互通，实现测试项目的无缝切换。智能主机可在测试过程中展示测试终端与主机的连接状态，未连接时有明显的提示标示。</w:t>
            </w:r>
          </w:p>
          <w:p w14:paraId="107D14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 智能主机操作界面可显示测试人身份信息、照片、编号、成绩、测试成绩等信息。</w:t>
            </w:r>
          </w:p>
          <w:p w14:paraId="058E62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 智能主机可通过扩展接口，支持各种身份识别方式的扩展输入（包括身份证识别、本地化人脸识别输入、扫码输入、U盘/数据线批量导入等输入方式）。</w:t>
            </w:r>
          </w:p>
          <w:p w14:paraId="636B2C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 智能主机内置大容量存储芯片，具备数据备份功能，防止数据丢失。单机测试数据存储量≥100000条。</w:t>
            </w:r>
          </w:p>
          <w:p w14:paraId="51E32B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 智能主机自带中文语音提示功能，播报内容包含但不限于测试人姓名、准备、开始、测试时间、成绩播报等，引导测试人完成测试流程。</w:t>
            </w:r>
          </w:p>
          <w:p w14:paraId="3840AC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 智能主机联网后可自动同步北京时间，主机与管理系统联机可进行主机测试数据上传与下载等操作，测试成绩实时无线传输至管理系统，构成完整的考试信息系统解决方案。</w:t>
            </w:r>
          </w:p>
          <w:p w14:paraId="66EFBE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11. 智能主机具有操作权限设置功能，根据权限进行密码设置与修改。</w:t>
            </w:r>
          </w:p>
          <w:p w14:paraId="6E4C77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 可实现从人脸识别、自动检录到数据处理、云端同步的自动化流程，减少人工干预。</w:t>
            </w:r>
          </w:p>
          <w:p w14:paraId="1D8B95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 测量范围：0～350厘米。</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3F86C2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14. 分度值：不大于1厘米。</w:t>
            </w:r>
          </w:p>
          <w:p w14:paraId="5C73BF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15. 测量误差：±1厘米。</w:t>
            </w:r>
          </w:p>
          <w:p w14:paraId="13C001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16. 采用AI视觉识别技术，基于深度学习算法动态捕捉并分析测试者的动作，实现动作规范性的实时量化评估。</w:t>
            </w:r>
          </w:p>
          <w:p w14:paraId="23EE2D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17. 可针对测试者脚部进行检测，出现犯规行为（踩线）时会实时弹窗提示。</w:t>
            </w:r>
          </w:p>
          <w:p w14:paraId="5AE69E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18. 配备高清摄像机，分辨率不低于1920×1080，支持PoE供电。</w:t>
            </w:r>
          </w:p>
          <w:p w14:paraId="15F990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19. 借助图像识别与深度学习算法，系统可进行测试区域标定与实时调整，标定完成后，智能生成模拟实际测试场景的虚拟环境，实时呈现测试者信息。</w:t>
            </w:r>
          </w:p>
          <w:p w14:paraId="73EF4F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20. 可根据考试需要灵活设置满分值、测试次数、限时模式，满足不同考试场景的需求。</w:t>
            </w:r>
          </w:p>
          <w:p w14:paraId="3F76CB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21. 采用有线/无线双连接模式，兼容分组与个人考试模式，支持补考、重测功能，云端数据可无缝交互。</w:t>
            </w:r>
          </w:p>
          <w:p w14:paraId="6DB8AB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22. 配备视频回放功能，视觉分析过程可视化，视频可作为仲裁依据辅助人工复核，测试记录能完整地保留在测试终端。</w:t>
            </w:r>
          </w:p>
          <w:p w14:paraId="7DDEB2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23. 支持本地与云端算法灵活切换，测试过程中实时进行语音判罚，测试完成后自动生成判罚文档。</w:t>
            </w:r>
          </w:p>
          <w:p w14:paraId="0B9137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24. 可选配外接LED全彩通用显示屏，显示分辨率≥128×64，显示面积≥600mm×300mm。</w:t>
            </w:r>
          </w:p>
          <w:p w14:paraId="0CFD4F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25. 通用显示屏与智能主机无线连接，可实时显示项目名称、主机信息、人员信息、测试成绩、计时时钟、电池电量（开机显示，缺电提示）等内容，具有设置显示内容颜色的功能。</w:t>
            </w:r>
          </w:p>
          <w:p w14:paraId="329C9C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26. 通用显示屏材质采用滤光高透面板，铝合金边框，时尚外观设计，轻薄屏体。</w:t>
            </w:r>
          </w:p>
          <w:p w14:paraId="7C0ECB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27. 通用显示屏亮度高，能耗低，可用于室内外各种环境的测试，为考生和监考人员提供清晰明亮的测试感受和视觉体验。</w:t>
            </w:r>
          </w:p>
          <w:p w14:paraId="4122AE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28. 通用显示屏内置环保可充电锂电池，充电时间≤3小时，续航时间≥10小时。</w:t>
            </w:r>
          </w:p>
          <w:p w14:paraId="3977F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29. 通用显示屏支架采用三脚架，可任意调整高度。</w:t>
            </w:r>
          </w:p>
          <w:p w14:paraId="2AD654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▲30. 系统支持与采购人现有的体育考试管理系统深度对接，无需二次开发即可实现成绩自动上传、发布的全流程数字化管理。</w:t>
            </w:r>
            <w:r>
              <w:rPr>
                <w:rFonts w:hint="eastAsia" w:ascii="宋体" w:hAnsi="宋体" w:eastAsia="宋体" w:cs="宋体"/>
                <w:b/>
                <w:bCs/>
                <w:kern w:val="0"/>
                <w:sz w:val="21"/>
                <w:szCs w:val="21"/>
                <w:bdr w:val="none" w:color="auto" w:sz="0" w:space="0"/>
                <w:lang w:val="en-US" w:eastAsia="zh-CN" w:bidi="ar"/>
              </w:rPr>
              <w:t>（报价时需提供供应商承诺函并加盖投标人公章）</w:t>
            </w:r>
          </w:p>
          <w:p w14:paraId="35F9E3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▲31. 系统符合国家相关体质测试器材标准，具有NSCC产品认证证书。</w:t>
            </w:r>
            <w:r>
              <w:rPr>
                <w:rFonts w:hint="eastAsia" w:ascii="宋体" w:hAnsi="宋体" w:eastAsia="宋体" w:cs="宋体"/>
                <w:b/>
                <w:bCs/>
                <w:kern w:val="0"/>
                <w:sz w:val="21"/>
                <w:szCs w:val="21"/>
                <w:bdr w:val="none" w:color="auto" w:sz="0" w:space="0"/>
                <w:lang w:val="en-US" w:eastAsia="zh-CN" w:bidi="ar"/>
              </w:rPr>
              <w:t>(报价时需提供证明文件复印件并加盖投标人公章）</w:t>
            </w:r>
          </w:p>
        </w:tc>
        <w:tc>
          <w:tcPr>
            <w:tcW w:w="585" w:type="dxa"/>
            <w:tcBorders>
              <w:top w:val="nil"/>
              <w:left w:val="nil"/>
              <w:bottom w:val="single" w:color="000000" w:sz="8" w:space="0"/>
              <w:right w:val="single" w:color="000000" w:sz="8" w:space="0"/>
            </w:tcBorders>
            <w:shd w:val="clear"/>
            <w:noWrap/>
            <w:tcMar>
              <w:left w:w="108" w:type="dxa"/>
              <w:right w:w="108" w:type="dxa"/>
            </w:tcMar>
            <w:vAlign w:val="center"/>
          </w:tcPr>
          <w:p w14:paraId="69F13D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615" w:type="dxa"/>
            <w:tcBorders>
              <w:top w:val="nil"/>
              <w:left w:val="nil"/>
              <w:bottom w:val="single" w:color="000000" w:sz="8" w:space="0"/>
              <w:right w:val="single" w:color="000000" w:sz="8" w:space="0"/>
            </w:tcBorders>
            <w:shd w:val="clear"/>
            <w:noWrap/>
            <w:tcMar>
              <w:left w:w="108" w:type="dxa"/>
              <w:right w:w="108" w:type="dxa"/>
            </w:tcMar>
            <w:vAlign w:val="center"/>
          </w:tcPr>
          <w:p w14:paraId="6F106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949" w:type="dxa"/>
            <w:tcBorders>
              <w:top w:val="nil"/>
              <w:left w:val="nil"/>
              <w:bottom w:val="single" w:color="000000" w:sz="8" w:space="0"/>
              <w:right w:val="single" w:color="000000" w:sz="8" w:space="0"/>
            </w:tcBorders>
            <w:shd w:val="clear"/>
            <w:noWrap/>
            <w:tcMar>
              <w:left w:w="108" w:type="dxa"/>
              <w:right w:w="108" w:type="dxa"/>
            </w:tcMar>
            <w:vAlign w:val="center"/>
          </w:tcPr>
          <w:p w14:paraId="1ADD12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54705.71</w:t>
            </w:r>
          </w:p>
        </w:tc>
        <w:tc>
          <w:tcPr>
            <w:tcW w:w="975" w:type="dxa"/>
            <w:tcBorders>
              <w:top w:val="nil"/>
              <w:left w:val="nil"/>
              <w:bottom w:val="single" w:color="000000" w:sz="8" w:space="0"/>
              <w:right w:val="single" w:color="000000" w:sz="8" w:space="0"/>
            </w:tcBorders>
            <w:shd w:val="clear"/>
            <w:noWrap/>
            <w:tcMar>
              <w:left w:w="108" w:type="dxa"/>
              <w:right w:w="108" w:type="dxa"/>
            </w:tcMar>
            <w:vAlign w:val="center"/>
          </w:tcPr>
          <w:p w14:paraId="2A73A0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54705.71</w:t>
            </w:r>
          </w:p>
        </w:tc>
      </w:tr>
      <w:tr w14:paraId="3C641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600" w:hRule="atLeast"/>
          <w:jc w:val="center"/>
        </w:trPr>
        <w:tc>
          <w:tcPr>
            <w:tcW w:w="509" w:type="dxa"/>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261932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w:t>
            </w:r>
          </w:p>
        </w:tc>
        <w:tc>
          <w:tcPr>
            <w:tcW w:w="1039" w:type="dxa"/>
            <w:gridSpan w:val="2"/>
            <w:tcBorders>
              <w:top w:val="nil"/>
              <w:left w:val="nil"/>
              <w:bottom w:val="single" w:color="000000" w:sz="8" w:space="0"/>
              <w:right w:val="single" w:color="000000" w:sz="8" w:space="0"/>
            </w:tcBorders>
            <w:shd w:val="clear"/>
            <w:tcMar>
              <w:left w:w="108" w:type="dxa"/>
              <w:right w:w="108" w:type="dxa"/>
            </w:tcMar>
            <w:vAlign w:val="center"/>
          </w:tcPr>
          <w:p w14:paraId="05BAA3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实心球测量系统</w:t>
            </w:r>
          </w:p>
        </w:tc>
        <w:tc>
          <w:tcPr>
            <w:tcW w:w="5547" w:type="dxa"/>
            <w:tcBorders>
              <w:top w:val="nil"/>
              <w:left w:val="nil"/>
              <w:bottom w:val="single" w:color="000000" w:sz="8" w:space="0"/>
              <w:right w:val="single" w:color="000000" w:sz="8" w:space="0"/>
            </w:tcBorders>
            <w:shd w:val="clear"/>
            <w:tcMar>
              <w:left w:w="108" w:type="dxa"/>
              <w:right w:w="108" w:type="dxa"/>
            </w:tcMar>
            <w:vAlign w:val="top"/>
          </w:tcPr>
          <w:p w14:paraId="0D171B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 智能主机采用触控式真彩液晶显示器，显示屏尺寸≥10英寸，显示分辨率≥1280×800。</w:t>
            </w:r>
          </w:p>
          <w:p w14:paraId="7ADF0D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 智能主机具备RS232串行通讯接口≥1个、USB通用串行总线接口≥2个、Type-C接口≥1个、3.5mm音频接口≥1个。</w:t>
            </w:r>
          </w:p>
          <w:p w14:paraId="2683DD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 智能主机采用无线通讯技术和有线网卡两种采集接收模式，支持长距离数据传输及多台主机高速批量实时传输。</w:t>
            </w:r>
          </w:p>
          <w:p w14:paraId="26AD5B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 智能主机具有电池双供电模式，可热切换。内置充电锂电池，续航时间不低于8小时，电池可智能断电、防过充。</w:t>
            </w:r>
          </w:p>
          <w:p w14:paraId="75FE6B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 智能主机为通用主机，采用多核处理器，内置安卓操作系统，预装专用测试软件，无需额外安装程序即可切换测试项目，同一主机能与不同测试项目的测试终端进行互联互通，实现测试项目的无缝切换。智能主机可在测试过程中展示测试终端与主机的连接状态，未连接时有明显的提示标示。</w:t>
            </w:r>
          </w:p>
          <w:p w14:paraId="4F56E0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 智能主机操作界面可显示测试人身份信息、照片、编号、成绩、测试成绩等信息。</w:t>
            </w:r>
          </w:p>
          <w:p w14:paraId="493CCB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 智能主机可通过扩展接口，支持各种身份识别方式的扩展输入（包括身份证识别、本地化人脸识别输入、扫码输入、U盘/数据线批量导入等输入方式）。</w:t>
            </w:r>
          </w:p>
          <w:p w14:paraId="254B57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 智能主机内置大容量存储芯片，具备数据备份功能，防止数据丢失。单机测试数据存储量≥100000条。</w:t>
            </w:r>
          </w:p>
          <w:p w14:paraId="65B690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 智能主机自带中文语音提示功能，播报内容包含但不限于测试人姓名、准备、开始、测试时间、成绩播报等，引导测试人完成测试流程。</w:t>
            </w:r>
          </w:p>
          <w:p w14:paraId="7ACFA3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 智能主机联网后可自动同步北京时间，主机与管理系统联机可进行主机测试数据上传与下载等操作，测试成绩实时无线传输至管理系统，构成完整的考试信息系统解决方案。</w:t>
            </w:r>
          </w:p>
          <w:p w14:paraId="49BF0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11. 智能主机具有操作权限设置功能，根据权限进行密码设置与修改。</w:t>
            </w:r>
          </w:p>
          <w:p w14:paraId="14A0D8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 可实现从人脸识别、自动检录到数据处理、云端同步的自动化流程，减少人工干预。</w:t>
            </w:r>
          </w:p>
          <w:p w14:paraId="060A46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 测量范围：0～2000厘米。</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2E57FA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14. 分度值：不大于10厘米。</w:t>
            </w:r>
          </w:p>
          <w:p w14:paraId="5AA356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15. 测量误差：±10厘米。</w:t>
            </w:r>
          </w:p>
          <w:p w14:paraId="286FAD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16. 采用AI视觉识别技术，基于深度学习算法动态捕捉并分析测试者的动作，实现动作规范性的实时量化评估。</w:t>
            </w:r>
          </w:p>
          <w:p w14:paraId="3D80D2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17. 可针对测试者脚部进行检测，出现犯规行为（踩线/跨线）时会实时弹窗提示。</w:t>
            </w:r>
          </w:p>
          <w:p w14:paraId="2901F9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18. 可针对实心球球体进行检测，当测量区域有多个实心球时，可抗干扰的执行其监控和评判任务。</w:t>
            </w:r>
          </w:p>
          <w:p w14:paraId="4CB85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19. 配备高清摄像机，分辨率不低于1920×1080，支持PoE供电。</w:t>
            </w:r>
          </w:p>
          <w:p w14:paraId="248DE2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20. 借助图像识别与深度学习算法，系统可进行测试区域标定与实时调整，标定完成后，智能生成模拟实际测试场景的虚拟环境，实时呈现测试者信息。</w:t>
            </w:r>
          </w:p>
          <w:p w14:paraId="21A52D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21. 可根据考试需要灵活设置满分值、测试次数、限时模式，满足不同考试场景的需求。</w:t>
            </w:r>
          </w:p>
          <w:p w14:paraId="55953E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22. 采用有线/无线双连接模式，兼容分组与个人考试模式，支持补考、重测功能，云端数据可无缝交互。</w:t>
            </w:r>
          </w:p>
          <w:p w14:paraId="1C44A5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23. 配备视频回放功能，视觉分析过程可视化，视频可作为仲裁依据辅助人工复核，测试记录能完整地保留在测试终端。</w:t>
            </w:r>
          </w:p>
          <w:p w14:paraId="52AD0F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24. 支持本地与云端算法灵活切换，测试过程中实时进行语音判罚，测试完成后自动生成判罚文档。</w:t>
            </w:r>
          </w:p>
          <w:p w14:paraId="6FB9EF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25. 可选配外接LED全彩通用显示屏，显示分辨率≥128×64，显示面积≥600mm×300mm。</w:t>
            </w:r>
          </w:p>
          <w:p w14:paraId="40CAF1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26. 通用显示屏与智能主机无线连接，可实时显示项目名称、主机信息、人员信息、测试成绩、计时时钟、电池电量（开机显示，缺电提示）等内容，具有设置显示内容颜色的功能。</w:t>
            </w:r>
          </w:p>
          <w:p w14:paraId="527E75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27. 通用显示屏材质采用茶色滤光高透面板，铝合金边框，时尚外观设计，轻薄屏体。</w:t>
            </w:r>
          </w:p>
          <w:p w14:paraId="2AB94C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28. 通用显示屏亮度高，能耗低，可用于室内外各种环境的测试，为考生和监考人员提供清晰明亮的测试感受和视觉体验。</w:t>
            </w:r>
          </w:p>
          <w:p w14:paraId="14E471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29. 通用显示屏内置环保可充电锂电池，充电时间≤3小时，续航时间≥10小时。</w:t>
            </w:r>
          </w:p>
          <w:p w14:paraId="332463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30. 通用显示屏支架采用三脚架，可任意调整高度。</w:t>
            </w:r>
          </w:p>
          <w:p w14:paraId="06AFD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▲31. 系统支持与采购人现有的体育考试管理系统深度对接，无需二次开发即可实现成绩自动上传、发布的全流程数字化管理。</w:t>
            </w:r>
            <w:r>
              <w:rPr>
                <w:rFonts w:hint="eastAsia" w:ascii="宋体" w:hAnsi="宋体" w:eastAsia="宋体" w:cs="宋体"/>
                <w:b/>
                <w:bCs/>
                <w:kern w:val="0"/>
                <w:sz w:val="21"/>
                <w:szCs w:val="21"/>
                <w:bdr w:val="none" w:color="auto" w:sz="0" w:space="0"/>
                <w:lang w:val="en-US" w:eastAsia="zh-CN" w:bidi="ar"/>
              </w:rPr>
              <w:t>（报价时需提供供应商承诺函并加盖投标人公章）</w:t>
            </w:r>
          </w:p>
          <w:p w14:paraId="7B657C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▲32. 系统符合国家相关体质测试器材标准，具有NSCC产品认证证书。</w:t>
            </w:r>
            <w:r>
              <w:rPr>
                <w:rFonts w:hint="eastAsia" w:ascii="宋体" w:hAnsi="宋体" w:eastAsia="宋体" w:cs="宋体"/>
                <w:b/>
                <w:bCs/>
                <w:kern w:val="0"/>
                <w:sz w:val="21"/>
                <w:szCs w:val="21"/>
                <w:bdr w:val="none" w:color="auto" w:sz="0" w:space="0"/>
                <w:lang w:val="en-US" w:eastAsia="zh-CN" w:bidi="ar"/>
              </w:rPr>
              <w:t>(报价时需提供证明文件复印件并加盖投标人公章）</w:t>
            </w:r>
          </w:p>
        </w:tc>
        <w:tc>
          <w:tcPr>
            <w:tcW w:w="585" w:type="dxa"/>
            <w:tcBorders>
              <w:top w:val="nil"/>
              <w:left w:val="nil"/>
              <w:bottom w:val="single" w:color="000000" w:sz="8" w:space="0"/>
              <w:right w:val="single" w:color="000000" w:sz="8" w:space="0"/>
            </w:tcBorders>
            <w:shd w:val="clear"/>
            <w:noWrap/>
            <w:tcMar>
              <w:left w:w="108" w:type="dxa"/>
              <w:right w:w="108" w:type="dxa"/>
            </w:tcMar>
            <w:vAlign w:val="center"/>
          </w:tcPr>
          <w:p w14:paraId="2B167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615" w:type="dxa"/>
            <w:tcBorders>
              <w:top w:val="nil"/>
              <w:left w:val="nil"/>
              <w:bottom w:val="single" w:color="000000" w:sz="8" w:space="0"/>
              <w:right w:val="single" w:color="000000" w:sz="8" w:space="0"/>
            </w:tcBorders>
            <w:shd w:val="clear"/>
            <w:noWrap/>
            <w:tcMar>
              <w:left w:w="108" w:type="dxa"/>
              <w:right w:w="108" w:type="dxa"/>
            </w:tcMar>
            <w:vAlign w:val="center"/>
          </w:tcPr>
          <w:p w14:paraId="624ECD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949" w:type="dxa"/>
            <w:tcBorders>
              <w:top w:val="nil"/>
              <w:left w:val="nil"/>
              <w:bottom w:val="single" w:color="000000" w:sz="8" w:space="0"/>
              <w:right w:val="single" w:color="000000" w:sz="8" w:space="0"/>
            </w:tcBorders>
            <w:shd w:val="clear"/>
            <w:noWrap/>
            <w:tcMar>
              <w:left w:w="108" w:type="dxa"/>
              <w:right w:w="108" w:type="dxa"/>
            </w:tcMar>
            <w:vAlign w:val="center"/>
          </w:tcPr>
          <w:p w14:paraId="37DE7A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58731.71</w:t>
            </w:r>
          </w:p>
        </w:tc>
        <w:tc>
          <w:tcPr>
            <w:tcW w:w="975" w:type="dxa"/>
            <w:tcBorders>
              <w:top w:val="nil"/>
              <w:left w:val="nil"/>
              <w:bottom w:val="single" w:color="000000" w:sz="8" w:space="0"/>
              <w:right w:val="single" w:color="000000" w:sz="8" w:space="0"/>
            </w:tcBorders>
            <w:shd w:val="clear"/>
            <w:noWrap/>
            <w:tcMar>
              <w:left w:w="108" w:type="dxa"/>
              <w:right w:w="108" w:type="dxa"/>
            </w:tcMar>
            <w:vAlign w:val="center"/>
          </w:tcPr>
          <w:p w14:paraId="7485ED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58731.71</w:t>
            </w:r>
          </w:p>
        </w:tc>
      </w:tr>
      <w:tr w14:paraId="2569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16" w:hRule="atLeast"/>
          <w:jc w:val="center"/>
        </w:trPr>
        <w:tc>
          <w:tcPr>
            <w:tcW w:w="509" w:type="dxa"/>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326E8B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w:t>
            </w:r>
          </w:p>
        </w:tc>
        <w:tc>
          <w:tcPr>
            <w:tcW w:w="1039" w:type="dxa"/>
            <w:gridSpan w:val="2"/>
            <w:tcBorders>
              <w:top w:val="nil"/>
              <w:left w:val="nil"/>
              <w:bottom w:val="single" w:color="000000" w:sz="8" w:space="0"/>
              <w:right w:val="single" w:color="000000" w:sz="8" w:space="0"/>
            </w:tcBorders>
            <w:shd w:val="clear"/>
            <w:tcMar>
              <w:left w:w="108" w:type="dxa"/>
              <w:right w:w="108" w:type="dxa"/>
            </w:tcMar>
            <w:vAlign w:val="center"/>
          </w:tcPr>
          <w:p w14:paraId="7EEF1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引体向上测量系统</w:t>
            </w:r>
          </w:p>
        </w:tc>
        <w:tc>
          <w:tcPr>
            <w:tcW w:w="5547" w:type="dxa"/>
            <w:tcBorders>
              <w:top w:val="nil"/>
              <w:left w:val="nil"/>
              <w:bottom w:val="single" w:color="000000" w:sz="8" w:space="0"/>
              <w:right w:val="single" w:color="000000" w:sz="8" w:space="0"/>
            </w:tcBorders>
            <w:shd w:val="clear"/>
            <w:tcMar>
              <w:left w:w="108" w:type="dxa"/>
              <w:right w:w="108" w:type="dxa"/>
            </w:tcMar>
            <w:vAlign w:val="top"/>
          </w:tcPr>
          <w:p w14:paraId="20CE5D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 智能主机采用触控式真彩液晶显示器，显示屏尺寸≥10英寸，显示分辨率≥1280×800。</w:t>
            </w:r>
          </w:p>
          <w:p w14:paraId="550E70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 智能主机具备RS232串行通讯接口≥1个、USB通用串行总线接口≥2个、Type-C接口≥1个、3.5mm音频接口≥1个。</w:t>
            </w:r>
          </w:p>
          <w:p w14:paraId="5D1C7A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 智能主机采用无线通讯技术和有线网卡两种采集接收模式，支持长距离数据传输及多台主机高速批量实时传输。</w:t>
            </w:r>
          </w:p>
          <w:p w14:paraId="422360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 智能主机具有电池双供电模式，可热切换。内置充电锂电池，续航时间不低于8小时，电池可智能断电、防过充。</w:t>
            </w:r>
          </w:p>
          <w:p w14:paraId="100B0F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 智能主机为通用主机，采用多核处理器，内置安卓操作系统，预装专用测试软件，无需额外安装程序即可切换测试项目，同一主机能与不同测试项目的测试终端进行互联互通，实现测试项目的无缝切换。智能主机可在测试过程中展示测试终端与主机的连接状态，未连接时有明显的提示标示。</w:t>
            </w:r>
          </w:p>
          <w:p w14:paraId="5DFC75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 智能主机操作界面可显示测试人身份信息、照片、编号、成绩、测试成绩等信息。</w:t>
            </w:r>
          </w:p>
          <w:p w14:paraId="67B1B1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 智能主机可通过扩展接口，支持各种身份识别方式的扩展输入（包括身份证识别、本地化人脸识别输入、扫码输入、U盘/数据线批量导入等输入方式）。</w:t>
            </w:r>
          </w:p>
          <w:p w14:paraId="51AAC3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 智能主机内置大容量存储芯片，具备数据备份功能，防止数据丢失。单机测试数据存储量≥100000条。</w:t>
            </w:r>
          </w:p>
          <w:p w14:paraId="555FE7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 智能主机自带中文语音提示功能，播报内容包含但不限于测试人姓名、准备、开始、测试时间、成绩播报等，引导测试人完成测试流程。</w:t>
            </w:r>
          </w:p>
          <w:p w14:paraId="3F8572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 智能主机联网后可自动同步北京时间，主机与管理系统联机可进行主机测试数据上传与下载等操作，测试成绩实时无线传输至管理系统，构成完整的考试信息系统解决方案。</w:t>
            </w:r>
          </w:p>
          <w:p w14:paraId="312AE5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11. 智能主机具有操作权限设置功能，根据权限进行密码设置与修改。</w:t>
            </w:r>
          </w:p>
          <w:p w14:paraId="047E14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 可实现从人脸识别、自动检录到数据处理、云端同步的自动化流程，减少人工干预。</w:t>
            </w:r>
          </w:p>
          <w:p w14:paraId="6A7BF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 测量范围：计数0～99999个，计时0～3599.0秒。</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377E28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14. 分度值：计数不大于1个，计时不大于0.1秒。</w:t>
            </w:r>
          </w:p>
          <w:p w14:paraId="26432A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15. 测量误差：计数±1个，计时±0.1秒。</w:t>
            </w:r>
          </w:p>
          <w:p w14:paraId="59D3F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16. 采用AI视觉识别技术，基于深度学习算法动态捕捉并分析测试者的下颌过杆垂直位移、肘关节弯曲角度等关键生物力学参数，实现动作规范性的实时量化评估。</w:t>
            </w:r>
          </w:p>
          <w:p w14:paraId="309D28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17. 具备测试难度等级设置功能，提供简单、标准、困难、自定义等多种难度选项，可根据实际测试要求灵活调整，出现不达标的动作会实时语音播报，智能主机文字提示不达标原因。</w:t>
            </w:r>
          </w:p>
          <w:p w14:paraId="646991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18. 配备高清摄像机，分辨率不低于2560×1440，拍摄帧率不低于30FPS，支持PoE供电。</w:t>
            </w:r>
          </w:p>
          <w:p w14:paraId="13AC97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19. 借助图像识别与深度学习算法，系统可进行测试区域标定与实时调整，标定完成后，智能生成模拟实际测试场景的虚拟环境，实时呈现测试者信息。</w:t>
            </w:r>
          </w:p>
          <w:p w14:paraId="0A8F33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20. 可根据考试需要灵活设置满分值、测试次数、限时模式，满足不同考试场景的需求。</w:t>
            </w:r>
          </w:p>
          <w:p w14:paraId="3310B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21. 采用有线/无线双连接模式，兼容分组与个人考试模式，支持补考、重测功能，云端数据可无缝交互。</w:t>
            </w:r>
          </w:p>
          <w:p w14:paraId="613DD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22. 配备视频回放功能，视觉分析过程可视化，视频可作为仲裁依据辅助人工复核，测试记录能完整地保留在测试终端。</w:t>
            </w:r>
          </w:p>
          <w:p w14:paraId="0C0B21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23. 支持本地与云端算法灵活切换，测试过程中实时进行语音判罚，测试完成后自动生成判罚文档。</w:t>
            </w:r>
          </w:p>
          <w:p w14:paraId="2AB3F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24. 可选配外接LED全彩通用显示屏，显示分辨率≥128×64，显示面积≥600mm×300mm。</w:t>
            </w:r>
          </w:p>
          <w:p w14:paraId="06DDAB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25. 通用显示屏与智能主机无线连接，可实时显示项目名称、主机信息、人员信息、测试成绩、计时时钟、电池电量（开机显示，缺电提示）等内容，具有设置显示内容颜色的功能。</w:t>
            </w:r>
          </w:p>
          <w:p w14:paraId="08A52E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26. 通用显示屏材质采用茶色滤光高透面板，铝合金边框，时尚外观设计，轻薄屏体。</w:t>
            </w:r>
          </w:p>
          <w:p w14:paraId="55114A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27. 通用显示屏亮度高，能耗低，可用于室内外各种环境的测试，为考生和监考人员提供清晰明亮的测试感受和视觉体验。</w:t>
            </w:r>
          </w:p>
          <w:p w14:paraId="253931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28. 通用显示屏内置环保可充电锂电池，充电时间≤3小时，续航时间≥10小时。</w:t>
            </w:r>
          </w:p>
          <w:p w14:paraId="3BB495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29. 通用显示屏支架采用三脚架，可任意调整高度。</w:t>
            </w:r>
          </w:p>
          <w:p w14:paraId="4A0B3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▲30. 系统支持与采购人现有的体育考试管理系统深度对接，无需二次开发即可实现成绩自动上传、发布的全流程数字化管理。</w:t>
            </w:r>
            <w:r>
              <w:rPr>
                <w:rFonts w:hint="eastAsia" w:ascii="宋体" w:hAnsi="宋体" w:eastAsia="宋体" w:cs="宋体"/>
                <w:b/>
                <w:bCs/>
                <w:kern w:val="0"/>
                <w:sz w:val="21"/>
                <w:szCs w:val="21"/>
                <w:bdr w:val="none" w:color="auto" w:sz="0" w:space="0"/>
                <w:lang w:val="en-US" w:eastAsia="zh-CN" w:bidi="ar"/>
              </w:rPr>
              <w:t>（报价时需提供供应商承诺函并加盖投标人公章）</w:t>
            </w:r>
          </w:p>
          <w:p w14:paraId="21151A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▲31. 系统符合国家相关体质测试器材标准，具有NSCC产品认证证书。</w:t>
            </w:r>
            <w:r>
              <w:rPr>
                <w:rFonts w:hint="eastAsia" w:ascii="宋体" w:hAnsi="宋体" w:eastAsia="宋体" w:cs="宋体"/>
                <w:b/>
                <w:bCs/>
                <w:kern w:val="0"/>
                <w:sz w:val="21"/>
                <w:szCs w:val="21"/>
                <w:bdr w:val="none" w:color="auto" w:sz="0" w:space="0"/>
                <w:lang w:val="en-US" w:eastAsia="zh-CN" w:bidi="ar"/>
              </w:rPr>
              <w:t>(报价时需提供证明文件复印件并加盖投标人公章）</w:t>
            </w:r>
          </w:p>
        </w:tc>
        <w:tc>
          <w:tcPr>
            <w:tcW w:w="585" w:type="dxa"/>
            <w:tcBorders>
              <w:top w:val="nil"/>
              <w:left w:val="nil"/>
              <w:bottom w:val="single" w:color="000000" w:sz="8" w:space="0"/>
              <w:right w:val="single" w:color="000000" w:sz="8" w:space="0"/>
            </w:tcBorders>
            <w:shd w:val="clear"/>
            <w:noWrap/>
            <w:tcMar>
              <w:left w:w="108" w:type="dxa"/>
              <w:right w:w="108" w:type="dxa"/>
            </w:tcMar>
            <w:vAlign w:val="center"/>
          </w:tcPr>
          <w:p w14:paraId="61F923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615" w:type="dxa"/>
            <w:tcBorders>
              <w:top w:val="nil"/>
              <w:left w:val="nil"/>
              <w:bottom w:val="single" w:color="000000" w:sz="8" w:space="0"/>
              <w:right w:val="single" w:color="000000" w:sz="8" w:space="0"/>
            </w:tcBorders>
            <w:shd w:val="clear"/>
            <w:noWrap/>
            <w:tcMar>
              <w:left w:w="108" w:type="dxa"/>
              <w:right w:w="108" w:type="dxa"/>
            </w:tcMar>
            <w:vAlign w:val="center"/>
          </w:tcPr>
          <w:p w14:paraId="2141B4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949" w:type="dxa"/>
            <w:tcBorders>
              <w:top w:val="nil"/>
              <w:left w:val="nil"/>
              <w:bottom w:val="single" w:color="000000" w:sz="8" w:space="0"/>
              <w:right w:val="single" w:color="000000" w:sz="8" w:space="0"/>
            </w:tcBorders>
            <w:shd w:val="clear"/>
            <w:noWrap/>
            <w:tcMar>
              <w:left w:w="108" w:type="dxa"/>
              <w:right w:w="108" w:type="dxa"/>
            </w:tcMar>
            <w:vAlign w:val="center"/>
          </w:tcPr>
          <w:p w14:paraId="17C4F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46521.43</w:t>
            </w:r>
          </w:p>
        </w:tc>
        <w:tc>
          <w:tcPr>
            <w:tcW w:w="975" w:type="dxa"/>
            <w:tcBorders>
              <w:top w:val="nil"/>
              <w:left w:val="nil"/>
              <w:bottom w:val="single" w:color="000000" w:sz="8" w:space="0"/>
              <w:right w:val="single" w:color="000000" w:sz="8" w:space="0"/>
            </w:tcBorders>
            <w:shd w:val="clear"/>
            <w:noWrap/>
            <w:tcMar>
              <w:left w:w="108" w:type="dxa"/>
              <w:right w:w="108" w:type="dxa"/>
            </w:tcMar>
            <w:vAlign w:val="center"/>
          </w:tcPr>
          <w:p w14:paraId="5E2CD0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46521.43</w:t>
            </w:r>
          </w:p>
        </w:tc>
      </w:tr>
      <w:tr w14:paraId="1E1E6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600" w:hRule="atLeast"/>
          <w:jc w:val="center"/>
        </w:trPr>
        <w:tc>
          <w:tcPr>
            <w:tcW w:w="509" w:type="dxa"/>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501498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w:t>
            </w:r>
          </w:p>
        </w:tc>
        <w:tc>
          <w:tcPr>
            <w:tcW w:w="1039" w:type="dxa"/>
            <w:gridSpan w:val="2"/>
            <w:tcBorders>
              <w:top w:val="nil"/>
              <w:left w:val="nil"/>
              <w:bottom w:val="single" w:color="000000" w:sz="8" w:space="0"/>
              <w:right w:val="single" w:color="000000" w:sz="8" w:space="0"/>
            </w:tcBorders>
            <w:shd w:val="clear"/>
            <w:tcMar>
              <w:left w:w="108" w:type="dxa"/>
              <w:right w:w="108" w:type="dxa"/>
            </w:tcMar>
            <w:vAlign w:val="center"/>
          </w:tcPr>
          <w:p w14:paraId="209093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仰卧起坐测量系统</w:t>
            </w:r>
          </w:p>
        </w:tc>
        <w:tc>
          <w:tcPr>
            <w:tcW w:w="5547" w:type="dxa"/>
            <w:tcBorders>
              <w:top w:val="nil"/>
              <w:left w:val="nil"/>
              <w:bottom w:val="single" w:color="000000" w:sz="8" w:space="0"/>
              <w:right w:val="single" w:color="000000" w:sz="8" w:space="0"/>
            </w:tcBorders>
            <w:shd w:val="clear"/>
            <w:tcMar>
              <w:left w:w="108" w:type="dxa"/>
              <w:right w:w="108" w:type="dxa"/>
            </w:tcMar>
            <w:vAlign w:val="center"/>
          </w:tcPr>
          <w:p w14:paraId="724C81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 智能主机采用触控式真彩液晶显示器，显示屏尺寸≥10英寸，显示分辨率≥1280×800。</w:t>
            </w:r>
          </w:p>
          <w:p w14:paraId="015C17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 智能主机具备RS232串行通讯接口≥1个、USB通用串行总线接口≥2个、Type-C接口≥1个、3.5mm音频接口≥1个。</w:t>
            </w:r>
          </w:p>
          <w:p w14:paraId="13FCE1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 智能主机采用无线通讯技术和有线网卡两种采集接收模式，支持长距离数据传输及多台主机高速批量实时传输。</w:t>
            </w:r>
          </w:p>
          <w:p w14:paraId="38BC03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 智能主机具有电池双供电模式，可热切换。内置充电锂电池，续航时间不低于8小时，电池可智能断电、防过充。</w:t>
            </w:r>
          </w:p>
          <w:p w14:paraId="7BBC49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 智能主机为通用主机，采用多核处理器，内置安卓操作系统，预装专用测试软件，无需额外安装程序即可切换测试项目，同一主机能与不同测试项目的测试终端进行互联互通，实现测试项目的无缝切换。智能主机可在测试过程中展示测试终端与主机的连接状态，未连接时有明显的提示标示。</w:t>
            </w:r>
          </w:p>
          <w:p w14:paraId="6D0DCD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 智能主机操作界面可显示测试人身份信息、照片、编号、成绩、测试成绩等信息。</w:t>
            </w:r>
          </w:p>
          <w:p w14:paraId="5A3C03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 智能主机可通过扩展接口，支持各种身份识别方式的扩展输入（包括身份证识别、本地化人脸识别输入、扫码输入、U盘/数据线批量导入等输入方式）。</w:t>
            </w:r>
          </w:p>
          <w:p w14:paraId="4F77BA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 智能主机内置大容量存储芯片，具备数据备份功能，防止数据丢失。单机测试数据存储量≥100000条。</w:t>
            </w:r>
          </w:p>
          <w:p w14:paraId="2219D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 智能主机自带中文语音提示功能，播报内容包含但不限于测试人姓名、准备、开始、测试时间、成绩播报等，引导测试人完成测试流程。</w:t>
            </w:r>
          </w:p>
          <w:p w14:paraId="0938EA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 智能主机联网后可自动同步北京时间，主机与管理系统联机可进行主机测试数据上传与下载等操作，测试成绩实时无线传输至管理系统，构成完整的考试信息系统解决方案。</w:t>
            </w:r>
          </w:p>
          <w:p w14:paraId="6602E2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11. 智能主机具有操作权限设置功能，根据权限进行密码设置与修改。</w:t>
            </w:r>
          </w:p>
          <w:p w14:paraId="393151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 可实现从人脸识别、自动检录到数据处理、云端同步的自动化流程，减少人工干预。</w:t>
            </w:r>
          </w:p>
          <w:p w14:paraId="73C4ED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 测量范围：计数0～99999个，计时0～3599.0秒。</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213D1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14. 分度值：计数不大于1个，计时不大于0.1秒。</w:t>
            </w:r>
          </w:p>
          <w:p w14:paraId="278715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15. 测量误差：计数±1个，计时±0.1秒。</w:t>
            </w:r>
          </w:p>
          <w:p w14:paraId="57CA71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16. 采用AI视觉识别技术，基于深度学习算法动态捕捉并分析测试者的双手抱头、双膝角度、肩胛骨着地等关键生物力学参数，实现动作规范性的实时量化评估。</w:t>
            </w:r>
          </w:p>
          <w:p w14:paraId="6A4698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17. 具备测试难度等级设置功能，提供简单、标准、困难、自定义等多种难度选项，可根据实际测试要求灵活调整，出现不达标的动作会实时语音播报，智能主机文字提示不达标原因。</w:t>
            </w:r>
          </w:p>
          <w:p w14:paraId="3AB3D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18. 配备高清摄像机，分辨率不低于2560×1440，拍摄帧率不低于30FPS，支持PoE供电。</w:t>
            </w:r>
          </w:p>
          <w:p w14:paraId="41FEC1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19. 借助图像识别与深度学习算法，系统可进行测试区域标定与实时调整，标定完成后，智能生成模拟实际测试场景的虚拟环境，实时呈现测试者信息。</w:t>
            </w:r>
          </w:p>
          <w:p w14:paraId="454EC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20. 可根据考试需要灵活设置满分值、测试次数、限时模式，满足不同考试场景的需求。</w:t>
            </w:r>
          </w:p>
          <w:p w14:paraId="3CBA5A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21. 采用有线/无线双连接模式，兼容分组与个人考试模式，支持补考、重测功能，云端数据可无缝交互。</w:t>
            </w:r>
          </w:p>
          <w:p w14:paraId="2C8A3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22. 配备视频回放功能，视觉分析过程可视化，视频可作为仲裁依据辅助人工复核，测试记录能完整地保留在测试终端。</w:t>
            </w:r>
          </w:p>
          <w:p w14:paraId="62AFF8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23. 支持本地与云端算法灵活切换，测试过程中实时进行语音判罚，测试完成后自动生成判罚文档。</w:t>
            </w:r>
          </w:p>
          <w:p w14:paraId="3F4FC9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24. 测试垫安装有脚步固定可调节高度支架，测试垫整体可调平衡度，适用于不同场地地面。</w:t>
            </w:r>
          </w:p>
          <w:p w14:paraId="30AD29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25. 配备4台AI摄像机联机测试，可扩展至4人同时测试；AI摄像机与智能主机无线连接，可自动或手动识别摄像机。</w:t>
            </w:r>
          </w:p>
          <w:p w14:paraId="4927E7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26. 可选配外接LED全彩通用显示屏，显示分辨率≥128×64，显示面积≥600mm×300mm。</w:t>
            </w:r>
          </w:p>
          <w:p w14:paraId="53EF7A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27. 通用显示屏与智能主机无线连接，可实时显示项目名称、主机信息、人员信息、测试成绩、计时时钟、电池电量（开机显示，缺电提示）等内容，具有设置显示内容颜色的功能。</w:t>
            </w:r>
          </w:p>
          <w:p w14:paraId="7191A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28. 通用显示屏材质采用茶色滤光高透面板，铝合金边框，时尚外观设计，轻薄屏体。</w:t>
            </w:r>
          </w:p>
          <w:p w14:paraId="5E7FC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29. 通用显示屏亮度高，能耗低，可用于室内外各种环境的测试，为考生和监考人员提供清晰明亮的测试感受和视觉体验。</w:t>
            </w:r>
          </w:p>
          <w:p w14:paraId="315FD5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30. 通用显示屏内置环保可充电锂电池，充电时间≤3小时，续航时间≥10小时。</w:t>
            </w:r>
          </w:p>
          <w:p w14:paraId="2139F1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31. 通用显示屏支架采用三脚架，可任意调整高度。</w:t>
            </w:r>
          </w:p>
          <w:p w14:paraId="25B95A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▲32. 系统支持与采购人现有的体育考试管理系统深度对接，无需二次开发即可实现成绩自动上传、发布的全流程数字化管理。</w:t>
            </w:r>
            <w:r>
              <w:rPr>
                <w:rFonts w:hint="eastAsia" w:ascii="宋体" w:hAnsi="宋体" w:eastAsia="宋体" w:cs="宋体"/>
                <w:b/>
                <w:bCs/>
                <w:kern w:val="0"/>
                <w:sz w:val="21"/>
                <w:szCs w:val="21"/>
                <w:bdr w:val="none" w:color="auto" w:sz="0" w:space="0"/>
                <w:lang w:val="en-US" w:eastAsia="zh-CN" w:bidi="ar"/>
              </w:rPr>
              <w:t>（报价时需提供供应商承诺函并加盖投标人公章）</w:t>
            </w:r>
          </w:p>
          <w:p w14:paraId="66BD91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▲33. 系统符合国家相关体质测试器材标准，具有NSCC产品认证证书。</w:t>
            </w:r>
            <w:r>
              <w:rPr>
                <w:rFonts w:hint="eastAsia" w:ascii="宋体" w:hAnsi="宋体" w:eastAsia="宋体" w:cs="宋体"/>
                <w:b/>
                <w:bCs/>
                <w:kern w:val="0"/>
                <w:sz w:val="21"/>
                <w:szCs w:val="21"/>
                <w:bdr w:val="none" w:color="auto" w:sz="0" w:space="0"/>
                <w:lang w:val="en-US" w:eastAsia="zh-CN" w:bidi="ar"/>
              </w:rPr>
              <w:t>(报价时需提供证明文件复印件并加盖投标人公章）</w:t>
            </w:r>
          </w:p>
        </w:tc>
        <w:tc>
          <w:tcPr>
            <w:tcW w:w="585" w:type="dxa"/>
            <w:tcBorders>
              <w:top w:val="nil"/>
              <w:left w:val="nil"/>
              <w:bottom w:val="single" w:color="000000" w:sz="8" w:space="0"/>
              <w:right w:val="single" w:color="000000" w:sz="8" w:space="0"/>
            </w:tcBorders>
            <w:shd w:val="clear"/>
            <w:noWrap/>
            <w:tcMar>
              <w:left w:w="108" w:type="dxa"/>
              <w:right w:w="108" w:type="dxa"/>
            </w:tcMar>
            <w:vAlign w:val="center"/>
          </w:tcPr>
          <w:p w14:paraId="66A73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615" w:type="dxa"/>
            <w:tcBorders>
              <w:top w:val="nil"/>
              <w:left w:val="nil"/>
              <w:bottom w:val="single" w:color="000000" w:sz="8" w:space="0"/>
              <w:right w:val="single" w:color="000000" w:sz="8" w:space="0"/>
            </w:tcBorders>
            <w:shd w:val="clear"/>
            <w:noWrap/>
            <w:tcMar>
              <w:left w:w="108" w:type="dxa"/>
              <w:right w:w="108" w:type="dxa"/>
            </w:tcMar>
            <w:vAlign w:val="center"/>
          </w:tcPr>
          <w:p w14:paraId="1D3A6C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949" w:type="dxa"/>
            <w:tcBorders>
              <w:top w:val="nil"/>
              <w:left w:val="nil"/>
              <w:bottom w:val="single" w:color="000000" w:sz="8" w:space="0"/>
              <w:right w:val="single" w:color="000000" w:sz="8" w:space="0"/>
            </w:tcBorders>
            <w:shd w:val="clear"/>
            <w:noWrap/>
            <w:tcMar>
              <w:left w:w="108" w:type="dxa"/>
              <w:right w:w="108" w:type="dxa"/>
            </w:tcMar>
            <w:vAlign w:val="center"/>
          </w:tcPr>
          <w:p w14:paraId="2644EC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62764.57</w:t>
            </w:r>
          </w:p>
        </w:tc>
        <w:tc>
          <w:tcPr>
            <w:tcW w:w="975" w:type="dxa"/>
            <w:tcBorders>
              <w:top w:val="nil"/>
              <w:left w:val="nil"/>
              <w:bottom w:val="single" w:color="000000" w:sz="8" w:space="0"/>
              <w:right w:val="single" w:color="000000" w:sz="8" w:space="0"/>
            </w:tcBorders>
            <w:shd w:val="clear"/>
            <w:noWrap/>
            <w:tcMar>
              <w:left w:w="108" w:type="dxa"/>
              <w:right w:w="108" w:type="dxa"/>
            </w:tcMar>
            <w:vAlign w:val="center"/>
          </w:tcPr>
          <w:p w14:paraId="27B4C2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62764.57</w:t>
            </w:r>
          </w:p>
        </w:tc>
      </w:tr>
      <w:tr w14:paraId="27A1C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jc w:val="center"/>
        </w:trPr>
        <w:tc>
          <w:tcPr>
            <w:tcW w:w="509" w:type="dxa"/>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4077D0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w:t>
            </w:r>
          </w:p>
        </w:tc>
        <w:tc>
          <w:tcPr>
            <w:tcW w:w="1039" w:type="dxa"/>
            <w:gridSpan w:val="2"/>
            <w:tcBorders>
              <w:top w:val="nil"/>
              <w:left w:val="nil"/>
              <w:bottom w:val="single" w:color="000000" w:sz="8" w:space="0"/>
              <w:right w:val="single" w:color="000000" w:sz="8" w:space="0"/>
            </w:tcBorders>
            <w:shd w:val="clear"/>
            <w:tcMar>
              <w:left w:w="108" w:type="dxa"/>
              <w:right w:w="108" w:type="dxa"/>
            </w:tcMar>
            <w:vAlign w:val="center"/>
          </w:tcPr>
          <w:p w14:paraId="2435CF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跳绳计数测量系统</w:t>
            </w:r>
          </w:p>
        </w:tc>
        <w:tc>
          <w:tcPr>
            <w:tcW w:w="5547" w:type="dxa"/>
            <w:tcBorders>
              <w:top w:val="nil"/>
              <w:left w:val="nil"/>
              <w:bottom w:val="single" w:color="000000" w:sz="8" w:space="0"/>
              <w:right w:val="single" w:color="000000" w:sz="8" w:space="0"/>
            </w:tcBorders>
            <w:shd w:val="clear"/>
            <w:tcMar>
              <w:left w:w="108" w:type="dxa"/>
              <w:right w:w="108" w:type="dxa"/>
            </w:tcMar>
            <w:vAlign w:val="center"/>
          </w:tcPr>
          <w:p w14:paraId="7260EB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 智能主机采用触控式真彩液晶显示器，显示屏尺寸≥10英寸，显示分辨率≥1280×800。</w:t>
            </w:r>
          </w:p>
          <w:p w14:paraId="62FCCC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 智能主机具备RS232串行通讯接口≥1个、USB通用串行总线接口≥2个、Type-C接口≥1个、3.5mm音频接口≥1个。</w:t>
            </w:r>
          </w:p>
          <w:p w14:paraId="54BB79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 智能主机采用无线通讯技术和有线网卡两种采集接收模式，支持长距离数据传输及多台主机高速批量实时传输。</w:t>
            </w:r>
          </w:p>
          <w:p w14:paraId="304ACC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 智能主机具有电池双供电模式，可热切换。内置充电锂电池，续航时间不低于8小时，电池可智能断电、防过充。</w:t>
            </w:r>
          </w:p>
          <w:p w14:paraId="270513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 智能主机为通用主机，采用多核处理器，内置安卓操作系统，预装专用测试软件，无需额外安装程序即可切换测试项目，同一主机能与不同测试项目的测试终端进行互联互通，实现测试项目的无缝切换。智能主机可在测试过程中展示测试终端与主机的连接状态，未连接时有明显的提示标示。</w:t>
            </w:r>
          </w:p>
          <w:p w14:paraId="0C060A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 智能主机操作界面可显示测试人身份信息、照片、编号、成绩、测试成绩等信息。</w:t>
            </w:r>
          </w:p>
          <w:p w14:paraId="0C5B4B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 智能主机可通过扩展接口，支持各种身份识别方式的扩展输入（包括身份证识别、本地化人脸识别输入、扫码输入、U盘/数据线批量导入等输入方式）。</w:t>
            </w:r>
          </w:p>
          <w:p w14:paraId="116205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 智能主机内置大容量存储芯片，具备数据备份功能，防止数据丢失。单机测试数据存储量≥100000条。</w:t>
            </w:r>
          </w:p>
          <w:p w14:paraId="2702F4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 智能主机自带中文语音提示功能，播报内容包含但不限于测试人姓名、准备、开始、测试时间、成绩播报等，引导测试人完成测试流程。</w:t>
            </w:r>
          </w:p>
          <w:p w14:paraId="3146A9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 智能主机联网后可自动同步北京时间，主机与管理系统联机可进行主机测试数据上传与下载等操作，测试成绩实时无线传输至管理系统，构成完整的考试信息系统解决方案。</w:t>
            </w:r>
          </w:p>
          <w:p w14:paraId="14846B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11. 智能主机具有操作权限设置功能，根据权限进行密码设置与修改。</w:t>
            </w:r>
          </w:p>
          <w:p w14:paraId="66D50E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 计数范围：0～999个。</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5B51B2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 分度值：1个。</w:t>
            </w:r>
          </w:p>
          <w:p w14:paraId="6B1116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14. 测量误差：±2个。</w:t>
            </w:r>
          </w:p>
          <w:p w14:paraId="1A4BA8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15. 内置环保充电电池，充电3小时，15小时以上超长续航时间。</w:t>
            </w:r>
          </w:p>
          <w:p w14:paraId="267D98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16. 手柄采用ABS材质，人体自适应握力弧度防滑设计，使手柄握感更加舒适。</w:t>
            </w:r>
          </w:p>
          <w:p w14:paraId="4A81B0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17. 柄头的简易卡线结构操作便捷，稳固牢靠，具有防脱落绳扣设计，可适用于直径4-5mm的绳材。</w:t>
            </w:r>
          </w:p>
          <w:p w14:paraId="025633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18. 自动测量测试人一分钟倒计时跳绳个数，通过一分钟跳绳测试，反映测试人的下肢爆发力和身体协调能力。</w:t>
            </w:r>
          </w:p>
          <w:p w14:paraId="2AC34E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19. 手柄内置充电电池，使用Micro-usb充电口。超长待机时间，可显示剩余电量及低电量提醒。</w:t>
            </w:r>
          </w:p>
          <w:p w14:paraId="298BE2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20. 手柄配置液晶显示屏,可显示主机号、手柄号、计数结果、拌绳次数统计、计时秒表等信息。</w:t>
            </w:r>
          </w:p>
          <w:p w14:paraId="62BE32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21. 手柄内置60秒倒计时计数模式和不限时计数模式。</w:t>
            </w:r>
          </w:p>
          <w:p w14:paraId="168177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22. 跳绳手柄具有准确检测、判别和记录测试人的有效跳绳个次数，结束后自动锁定、保存成绩。</w:t>
            </w:r>
          </w:p>
          <w:p w14:paraId="7A264C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23. 跳绳手柄具有防止测试人抢跳和延跳功能。</w:t>
            </w:r>
          </w:p>
          <w:p w14:paraId="2E4727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24. 跳绳手柄与智能主机无线连接，可同时测试1～50人，自动识别犯规，可自主设置测试时间与测试人数。</w:t>
            </w:r>
          </w:p>
          <w:p w14:paraId="668A31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25. 可选配外接LED全彩通用显示屏，显示分辨率≥128×64，显示面积≥600mm×300mm。</w:t>
            </w:r>
          </w:p>
          <w:p w14:paraId="3307A2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26. 通用显示屏与智能主机无线连接，可实时显示项目名称、主机信息、人员信息、测试成绩、计时时钟、电池电量（开机显示，缺电提示）等内容，具有设置显示内容颜色的功能。</w:t>
            </w:r>
          </w:p>
          <w:p w14:paraId="585108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27. 通用显示屏材质采用茶色滤光高透面板，铝合金边框，时尚外观设计，轻薄屏体。</w:t>
            </w:r>
          </w:p>
          <w:p w14:paraId="2C12D3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28. 通用显示屏亮度高，能耗低，可用于室内外各种环境的测试，为考生和监考人员提供清晰明亮的测试感受和视觉体验。</w:t>
            </w:r>
          </w:p>
          <w:p w14:paraId="7496FB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29. 通用显示屏内置环保可充电锂电池，充电时间≤3小时，续航时间≥10小时。</w:t>
            </w:r>
          </w:p>
          <w:p w14:paraId="06F8CF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30. 通用显示屏支架采用三脚架，可任意调整高度。</w:t>
            </w:r>
          </w:p>
          <w:p w14:paraId="08A68E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▲31. 系统支持与采购人现有的体育考试管理系统深度对接，无需二次开发即可实现成绩自动上传、发布的全流程数字化管理。</w:t>
            </w:r>
            <w:r>
              <w:rPr>
                <w:rFonts w:hint="eastAsia" w:ascii="宋体" w:hAnsi="宋体" w:eastAsia="宋体" w:cs="宋体"/>
                <w:b/>
                <w:bCs/>
                <w:kern w:val="0"/>
                <w:sz w:val="21"/>
                <w:szCs w:val="21"/>
                <w:bdr w:val="none" w:color="auto" w:sz="0" w:space="0"/>
                <w:lang w:val="en-US" w:eastAsia="zh-CN" w:bidi="ar"/>
              </w:rPr>
              <w:t>（报价时需提供供应商承诺函并加盖投标人公章）</w:t>
            </w:r>
          </w:p>
          <w:p w14:paraId="21DDD9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▲32. 系统符合国家相关体质测试器材标准，具有NSCC产品认证证书。</w:t>
            </w:r>
            <w:r>
              <w:rPr>
                <w:rFonts w:hint="eastAsia" w:ascii="宋体" w:hAnsi="宋体" w:eastAsia="宋体" w:cs="宋体"/>
                <w:b/>
                <w:bCs/>
                <w:kern w:val="0"/>
                <w:sz w:val="21"/>
                <w:szCs w:val="21"/>
                <w:bdr w:val="none" w:color="auto" w:sz="0" w:space="0"/>
                <w:lang w:val="en-US" w:eastAsia="zh-CN" w:bidi="ar"/>
              </w:rPr>
              <w:t>(报价时需提供证明文件复印件并加盖投标人公章）</w:t>
            </w:r>
          </w:p>
        </w:tc>
        <w:tc>
          <w:tcPr>
            <w:tcW w:w="585" w:type="dxa"/>
            <w:tcBorders>
              <w:top w:val="nil"/>
              <w:left w:val="nil"/>
              <w:bottom w:val="single" w:color="000000" w:sz="8" w:space="0"/>
              <w:right w:val="single" w:color="000000" w:sz="8" w:space="0"/>
            </w:tcBorders>
            <w:shd w:val="clear"/>
            <w:noWrap/>
            <w:tcMar>
              <w:left w:w="108" w:type="dxa"/>
              <w:right w:w="108" w:type="dxa"/>
            </w:tcMar>
            <w:vAlign w:val="center"/>
          </w:tcPr>
          <w:p w14:paraId="2026F2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615" w:type="dxa"/>
            <w:tcBorders>
              <w:top w:val="nil"/>
              <w:left w:val="nil"/>
              <w:bottom w:val="single" w:color="000000" w:sz="8" w:space="0"/>
              <w:right w:val="single" w:color="000000" w:sz="8" w:space="0"/>
            </w:tcBorders>
            <w:shd w:val="clear"/>
            <w:noWrap/>
            <w:tcMar>
              <w:left w:w="108" w:type="dxa"/>
              <w:right w:w="108" w:type="dxa"/>
            </w:tcMar>
            <w:vAlign w:val="center"/>
          </w:tcPr>
          <w:p w14:paraId="2A771D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949" w:type="dxa"/>
            <w:tcBorders>
              <w:top w:val="nil"/>
              <w:left w:val="nil"/>
              <w:bottom w:val="single" w:color="000000" w:sz="8" w:space="0"/>
              <w:right w:val="single" w:color="000000" w:sz="8" w:space="0"/>
            </w:tcBorders>
            <w:shd w:val="clear"/>
            <w:noWrap/>
            <w:tcMar>
              <w:left w:w="108" w:type="dxa"/>
              <w:right w:w="108" w:type="dxa"/>
            </w:tcMar>
            <w:vAlign w:val="center"/>
          </w:tcPr>
          <w:p w14:paraId="657508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39822.57</w:t>
            </w:r>
          </w:p>
        </w:tc>
        <w:tc>
          <w:tcPr>
            <w:tcW w:w="975" w:type="dxa"/>
            <w:tcBorders>
              <w:top w:val="nil"/>
              <w:left w:val="nil"/>
              <w:bottom w:val="single" w:color="000000" w:sz="8" w:space="0"/>
              <w:right w:val="single" w:color="000000" w:sz="8" w:space="0"/>
            </w:tcBorders>
            <w:shd w:val="clear"/>
            <w:noWrap/>
            <w:tcMar>
              <w:left w:w="108" w:type="dxa"/>
              <w:right w:w="108" w:type="dxa"/>
            </w:tcMar>
            <w:vAlign w:val="center"/>
          </w:tcPr>
          <w:p w14:paraId="5E20E7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39822.57</w:t>
            </w:r>
          </w:p>
        </w:tc>
      </w:tr>
      <w:tr w14:paraId="5FD3A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0" w:hRule="atLeast"/>
          <w:jc w:val="center"/>
        </w:trPr>
        <w:tc>
          <w:tcPr>
            <w:tcW w:w="509" w:type="dxa"/>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6E22ED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w:t>
            </w:r>
          </w:p>
        </w:tc>
        <w:tc>
          <w:tcPr>
            <w:tcW w:w="1039" w:type="dxa"/>
            <w:gridSpan w:val="2"/>
            <w:tcBorders>
              <w:top w:val="nil"/>
              <w:left w:val="nil"/>
              <w:bottom w:val="single" w:color="000000" w:sz="8" w:space="0"/>
              <w:right w:val="single" w:color="000000" w:sz="8" w:space="0"/>
            </w:tcBorders>
            <w:shd w:val="clear"/>
            <w:tcMar>
              <w:left w:w="108" w:type="dxa"/>
              <w:right w:w="108" w:type="dxa"/>
            </w:tcMar>
            <w:vAlign w:val="center"/>
          </w:tcPr>
          <w:p w14:paraId="32571E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系统终端</w:t>
            </w:r>
          </w:p>
        </w:tc>
        <w:tc>
          <w:tcPr>
            <w:tcW w:w="5547" w:type="dxa"/>
            <w:tcBorders>
              <w:top w:val="nil"/>
              <w:left w:val="nil"/>
              <w:bottom w:val="single" w:color="000000" w:sz="8" w:space="0"/>
              <w:right w:val="single" w:color="000000" w:sz="8" w:space="0"/>
            </w:tcBorders>
            <w:shd w:val="clear"/>
            <w:tcMar>
              <w:left w:w="108" w:type="dxa"/>
              <w:right w:w="108" w:type="dxa"/>
            </w:tcMar>
            <w:vAlign w:val="center"/>
          </w:tcPr>
          <w:p w14:paraId="08D6EF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 主机采用触控式真彩液晶显示器，显示屏尺寸≥10英寸，显示分辨率≥1280×800。</w:t>
            </w:r>
          </w:p>
          <w:p w14:paraId="3E8B10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 主机具备RS232串行通讯接口≥1个、USB通用串行总线接口≥2个、Type-C接口≥1个、3.5mm音频接口≥1个。</w:t>
            </w:r>
          </w:p>
          <w:p w14:paraId="234BF5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 主机采用无线通讯技术和有线网卡两种采集接收模式，支持长距离数据传输及多台主机高速批量实时传输。</w:t>
            </w:r>
          </w:p>
          <w:p w14:paraId="5BD6E3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 主机具有电池双供电模式，可热切换。内置充电锂电池，续航时间不低于8小时，电池可智能断电、防过充。</w:t>
            </w:r>
          </w:p>
          <w:p w14:paraId="5C0E70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 主机为通用主机，采用多核处理器，内置安卓操作系统，预装专用检录软件。</w:t>
            </w:r>
          </w:p>
          <w:p w14:paraId="77F94A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 主机操作界面可显示测试人身份信息、照片、编号等信息。</w:t>
            </w:r>
          </w:p>
          <w:p w14:paraId="2199C4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 主机内置大容量存储芯片，具备数据备份功能，防止数据丢失。单机测试数据存储量≥100000条。</w:t>
            </w:r>
          </w:p>
          <w:p w14:paraId="41ED76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 主机联网后可自动同步北京时间，主机与管理系统联机可进行主机测试数据上传与下载等操作，测试成绩实时无线传输至管理系统，构成完整的考试信息系统解决方案。</w:t>
            </w:r>
          </w:p>
          <w:p w14:paraId="32DEA1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 具备人证检录、参数设置、数据管理、头像采集、系统设置等多种功能，适用于各种赛事和考试、体测场景。</w:t>
            </w:r>
          </w:p>
          <w:p w14:paraId="5BC0E3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 系统具备多种数据来源：从注册网站下载数据或通过Excel文件批量导入数据。</w:t>
            </w:r>
          </w:p>
          <w:p w14:paraId="50C67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11. 系统具备多种头像来源：从注册网站下载头像图片或手动导入本地头像图片，支持jpg或png两种图片格式。</w:t>
            </w:r>
          </w:p>
          <w:p w14:paraId="2508E9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 支持检录数据备份、数据清空和数据恢复功能。</w:t>
            </w:r>
          </w:p>
          <w:p w14:paraId="280F60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 支持人脸识别、二维码、条形码、手动检录等多种检录方式。</w:t>
            </w:r>
            <w:r>
              <w:rPr>
                <w:rFonts w:hint="eastAsia" w:ascii="宋体" w:hAnsi="宋体" w:eastAsia="宋体" w:cs="宋体"/>
                <w:b/>
                <w:bCs/>
                <w:kern w:val="0"/>
                <w:sz w:val="21"/>
                <w:szCs w:val="21"/>
                <w:bdr w:val="none" w:color="auto" w:sz="0" w:space="0"/>
                <w:lang w:val="en-US" w:eastAsia="zh-CN" w:bidi="ar"/>
              </w:rPr>
              <w:t>（报价时需提供具有CMA资质的第三方检测机构出具的检验检测报告复印件并加盖投标人公章）</w:t>
            </w:r>
          </w:p>
          <w:p w14:paraId="55E477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14. 支持系统读取导入照片的人脸信息，并与现场拍摄的人脸进行比对。</w:t>
            </w:r>
          </w:p>
          <w:p w14:paraId="1E2618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15. 可以进行现场头像采集，并调出检录人员的身份证信息与现场拍摄的人脸照片进行对比。</w:t>
            </w:r>
          </w:p>
          <w:p w14:paraId="541E9C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16. 系统提供多种摄像头角度选择（0度、180度、全方向等），用户可以根据现场环境选择合适的角度，确保人脸识别界面能正常显示人脸框。</w:t>
            </w:r>
          </w:p>
          <w:p w14:paraId="76E0B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17. 用户可以选择不同的模式，如考试模式、比赛模式、无身份证人脸识别模式等，以适应不同的应用场景。</w:t>
            </w:r>
          </w:p>
          <w:p w14:paraId="678A1F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18. 系统支持人工比对，在特殊情况下可通过人工比对的形式确保检录的准确性。</w:t>
            </w:r>
          </w:p>
          <w:p w14:paraId="5A02B4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19. 支持对下载或导入的数据进行检录信息统计、查询，可统计检录状态信息。</w:t>
            </w:r>
          </w:p>
          <w:p w14:paraId="4137D5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20. 可根据日程、项目、检录状态等查询相关检录信息。</w:t>
            </w:r>
          </w:p>
          <w:p w14:paraId="52C902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21. 能实时存储检录时现场比对的人脸照片信息、比对时间、检录基础信息等，便于后续排查和溯源。</w:t>
            </w:r>
          </w:p>
          <w:p w14:paraId="23491F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22. 敏感数据存储传输协议采用加密传输，保障考生数据的传输安全。</w:t>
            </w:r>
          </w:p>
          <w:p w14:paraId="30B1AE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23. 配套考生综合数据汇总终端系统2套，终端系统运行性能不小于I5性能cpu，运行内存不小于16g，显示系统性能不低于1920x1080分辨率，自带千兆网络传输端口及wifi网络双模式数据交互运输，满足系统数据汇总及得分实时汇总输出。可固态存储数据不小于1000g。</w:t>
            </w:r>
          </w:p>
        </w:tc>
        <w:tc>
          <w:tcPr>
            <w:tcW w:w="585" w:type="dxa"/>
            <w:tcBorders>
              <w:top w:val="nil"/>
              <w:left w:val="nil"/>
              <w:bottom w:val="single" w:color="000000" w:sz="8" w:space="0"/>
              <w:right w:val="single" w:color="000000" w:sz="8" w:space="0"/>
            </w:tcBorders>
            <w:shd w:val="clear"/>
            <w:noWrap/>
            <w:tcMar>
              <w:left w:w="108" w:type="dxa"/>
              <w:right w:w="108" w:type="dxa"/>
            </w:tcMar>
            <w:vAlign w:val="center"/>
          </w:tcPr>
          <w:p w14:paraId="066EB0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615" w:type="dxa"/>
            <w:tcBorders>
              <w:top w:val="nil"/>
              <w:left w:val="nil"/>
              <w:bottom w:val="single" w:color="000000" w:sz="8" w:space="0"/>
              <w:right w:val="single" w:color="000000" w:sz="8" w:space="0"/>
            </w:tcBorders>
            <w:shd w:val="clear"/>
            <w:noWrap/>
            <w:tcMar>
              <w:left w:w="108" w:type="dxa"/>
              <w:right w:w="108" w:type="dxa"/>
            </w:tcMar>
            <w:vAlign w:val="center"/>
          </w:tcPr>
          <w:p w14:paraId="511055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949" w:type="dxa"/>
            <w:tcBorders>
              <w:top w:val="nil"/>
              <w:left w:val="nil"/>
              <w:bottom w:val="single" w:color="000000" w:sz="8" w:space="0"/>
              <w:right w:val="single" w:color="000000" w:sz="8" w:space="0"/>
            </w:tcBorders>
            <w:shd w:val="clear"/>
            <w:noWrap/>
            <w:tcMar>
              <w:left w:w="108" w:type="dxa"/>
              <w:right w:w="108" w:type="dxa"/>
            </w:tcMar>
            <w:vAlign w:val="center"/>
          </w:tcPr>
          <w:p w14:paraId="33C46B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53814.29</w:t>
            </w:r>
          </w:p>
        </w:tc>
        <w:tc>
          <w:tcPr>
            <w:tcW w:w="975" w:type="dxa"/>
            <w:tcBorders>
              <w:top w:val="nil"/>
              <w:left w:val="nil"/>
              <w:bottom w:val="single" w:color="000000" w:sz="8" w:space="0"/>
              <w:right w:val="single" w:color="000000" w:sz="8" w:space="0"/>
            </w:tcBorders>
            <w:shd w:val="clear"/>
            <w:noWrap/>
            <w:tcMar>
              <w:left w:w="108" w:type="dxa"/>
              <w:right w:w="108" w:type="dxa"/>
            </w:tcMar>
            <w:vAlign w:val="center"/>
          </w:tcPr>
          <w:p w14:paraId="23B07E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lang w:val="en-US"/>
              </w:rPr>
            </w:pPr>
            <w:r>
              <w:rPr>
                <w:rFonts w:hint="eastAsia" w:ascii="宋体" w:hAnsi="宋体" w:eastAsia="宋体" w:cs="宋体"/>
                <w:kern w:val="0"/>
                <w:sz w:val="21"/>
                <w:szCs w:val="21"/>
                <w:bdr w:val="none" w:color="auto" w:sz="0" w:space="0"/>
                <w:lang w:val="en-US" w:eastAsia="zh-CN" w:bidi="ar"/>
              </w:rPr>
              <w:t>53814.29</w:t>
            </w:r>
          </w:p>
        </w:tc>
      </w:tr>
      <w:tr w14:paraId="7B0E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jc w:val="center"/>
        </w:trPr>
        <w:tc>
          <w:tcPr>
            <w:tcW w:w="1548" w:type="dxa"/>
            <w:gridSpan w:val="3"/>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211417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textAlignment w:val="center"/>
              <w:rPr>
                <w:rFonts w:hint="default" w:ascii="Calibri" w:hAnsi="Calibri" w:cs="Calibri"/>
                <w:sz w:val="21"/>
                <w:szCs w:val="21"/>
              </w:rPr>
            </w:pPr>
            <w:r>
              <w:rPr>
                <w:rFonts w:hint="eastAsia" w:ascii="宋体" w:hAnsi="宋体" w:eastAsia="宋体" w:cs="宋体"/>
                <w:b/>
                <w:bCs/>
                <w:kern w:val="0"/>
                <w:sz w:val="21"/>
                <w:szCs w:val="21"/>
                <w:bdr w:val="none" w:color="auto" w:sz="0" w:space="0"/>
                <w:lang w:val="en-US" w:eastAsia="zh-CN" w:bidi="ar"/>
              </w:rPr>
              <w:t>合计人民币</w:t>
            </w:r>
          </w:p>
        </w:tc>
        <w:tc>
          <w:tcPr>
            <w:tcW w:w="6747" w:type="dxa"/>
            <w:gridSpan w:val="3"/>
            <w:tcBorders>
              <w:top w:val="nil"/>
              <w:left w:val="nil"/>
              <w:bottom w:val="single" w:color="000000" w:sz="8" w:space="0"/>
              <w:right w:val="single" w:color="000000" w:sz="8" w:space="0"/>
            </w:tcBorders>
            <w:shd w:val="clear"/>
            <w:tcMar>
              <w:left w:w="108" w:type="dxa"/>
              <w:right w:w="108" w:type="dxa"/>
            </w:tcMar>
            <w:vAlign w:val="center"/>
          </w:tcPr>
          <w:p w14:paraId="5D1C34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1"/>
                <w:szCs w:val="21"/>
              </w:rPr>
            </w:pPr>
            <w:r>
              <w:rPr>
                <w:rFonts w:hint="eastAsia" w:ascii="宋体" w:hAnsi="宋体" w:eastAsia="宋体" w:cs="宋体"/>
                <w:b/>
                <w:bCs/>
                <w:kern w:val="0"/>
                <w:sz w:val="21"/>
                <w:szCs w:val="21"/>
                <w:bdr w:val="none" w:color="auto" w:sz="0" w:space="0"/>
                <w:lang w:val="en-US" w:eastAsia="zh-CN" w:bidi="ar"/>
              </w:rPr>
              <w:t>大写：伍拾柒万零捌佰捌拾元捌角陆分</w:t>
            </w:r>
            <w:bookmarkStart w:id="0" w:name="_GoBack"/>
            <w:bookmarkEnd w:id="0"/>
            <w:r>
              <w:rPr>
                <w:rFonts w:hint="eastAsia" w:ascii="宋体" w:hAnsi="宋体" w:eastAsia="宋体" w:cs="宋体"/>
                <w:b/>
                <w:bCs/>
                <w:kern w:val="0"/>
                <w:sz w:val="21"/>
                <w:szCs w:val="21"/>
                <w:bdr w:val="none" w:color="auto" w:sz="0" w:space="0"/>
                <w:lang w:val="en-US" w:eastAsia="zh-CN" w:bidi="ar"/>
              </w:rPr>
              <w:t>整</w:t>
            </w:r>
          </w:p>
        </w:tc>
        <w:tc>
          <w:tcPr>
            <w:tcW w:w="1924" w:type="dxa"/>
            <w:gridSpan w:val="2"/>
            <w:tcBorders>
              <w:top w:val="nil"/>
              <w:left w:val="nil"/>
              <w:bottom w:val="single" w:color="000000" w:sz="8" w:space="0"/>
              <w:right w:val="single" w:color="000000" w:sz="8" w:space="0"/>
            </w:tcBorders>
            <w:shd w:val="clear"/>
            <w:noWrap/>
            <w:tcMar>
              <w:left w:w="108" w:type="dxa"/>
              <w:right w:w="108" w:type="dxa"/>
            </w:tcMar>
            <w:vAlign w:val="center"/>
          </w:tcPr>
          <w:p w14:paraId="3F76E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lang w:val="en-US"/>
              </w:rPr>
            </w:pPr>
            <w:r>
              <w:rPr>
                <w:rFonts w:hint="eastAsia" w:ascii="宋体" w:hAnsi="宋体" w:eastAsia="宋体" w:cs="宋体"/>
                <w:b/>
                <w:bCs/>
                <w:kern w:val="0"/>
                <w:sz w:val="21"/>
                <w:szCs w:val="21"/>
                <w:bdr w:val="none" w:color="auto" w:sz="0" w:space="0"/>
                <w:lang w:val="en-US" w:eastAsia="zh-CN" w:bidi="ar"/>
              </w:rPr>
              <w:t>570880.86</w:t>
            </w:r>
          </w:p>
        </w:tc>
      </w:tr>
      <w:tr w14:paraId="0E34C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69" w:hRule="atLeast"/>
          <w:jc w:val="center"/>
        </w:trPr>
        <w:tc>
          <w:tcPr>
            <w:tcW w:w="10219" w:type="dxa"/>
            <w:gridSpan w:val="8"/>
            <w:tcBorders>
              <w:top w:val="nil"/>
              <w:left w:val="single" w:color="000000" w:sz="8" w:space="0"/>
              <w:bottom w:val="single" w:color="000000" w:sz="8" w:space="0"/>
              <w:right w:val="single" w:color="000000" w:sz="8" w:space="0"/>
            </w:tcBorders>
            <w:shd w:val="clear"/>
            <w:noWrap/>
            <w:tcMar>
              <w:left w:w="108" w:type="dxa"/>
              <w:right w:w="108" w:type="dxa"/>
            </w:tcMar>
            <w:vAlign w:val="center"/>
          </w:tcPr>
          <w:p w14:paraId="3D2F42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rPr>
                <w:rFonts w:hint="default" w:ascii="Calibri" w:hAnsi="Calibri" w:cs="Calibri"/>
                <w:sz w:val="21"/>
                <w:szCs w:val="21"/>
              </w:rPr>
            </w:pPr>
            <w:r>
              <w:rPr>
                <w:rFonts w:hint="eastAsia" w:ascii="宋体" w:hAnsi="宋体" w:eastAsia="宋体" w:cs="宋体"/>
                <w:b/>
                <w:bCs/>
                <w:kern w:val="0"/>
                <w:sz w:val="21"/>
                <w:szCs w:val="21"/>
                <w:bdr w:val="none" w:color="auto" w:sz="0" w:space="0"/>
                <w:lang w:val="en-US" w:eastAsia="zh-CN" w:bidi="ar"/>
              </w:rPr>
              <w:t>商务要求</w:t>
            </w:r>
          </w:p>
        </w:tc>
      </w:tr>
      <w:tr w14:paraId="66C1D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85" w:hRule="atLeast"/>
          <w:jc w:val="center"/>
        </w:trPr>
        <w:tc>
          <w:tcPr>
            <w:tcW w:w="1419" w:type="dxa"/>
            <w:gridSpan w:val="2"/>
            <w:tcBorders>
              <w:top w:val="nil"/>
              <w:left w:val="single" w:color="000000" w:sz="8" w:space="0"/>
              <w:bottom w:val="single" w:color="000000" w:sz="8" w:space="0"/>
              <w:right w:val="single" w:color="auto" w:sz="8" w:space="0"/>
            </w:tcBorders>
            <w:shd w:val="clear"/>
            <w:noWrap/>
            <w:tcMar>
              <w:left w:w="108" w:type="dxa"/>
              <w:right w:w="108" w:type="dxa"/>
            </w:tcMar>
            <w:vAlign w:val="center"/>
          </w:tcPr>
          <w:p w14:paraId="5AAD46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★售后服务要求及免费保修期</w:t>
            </w:r>
          </w:p>
        </w:tc>
        <w:tc>
          <w:tcPr>
            <w:tcW w:w="8800" w:type="dxa"/>
            <w:gridSpan w:val="6"/>
            <w:tcBorders>
              <w:top w:val="single" w:color="000000" w:sz="8" w:space="0"/>
              <w:left w:val="nil"/>
              <w:bottom w:val="single" w:color="000000" w:sz="8" w:space="0"/>
              <w:right w:val="single" w:color="000000" w:sz="8" w:space="0"/>
            </w:tcBorders>
            <w:shd w:val="clear"/>
            <w:noWrap/>
            <w:tcMar>
              <w:left w:w="108" w:type="dxa"/>
              <w:right w:w="108" w:type="dxa"/>
            </w:tcMar>
            <w:vAlign w:val="center"/>
          </w:tcPr>
          <w:p w14:paraId="625655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1、所有报价产品必须是厂家合法渠道的全新正品，符合规定的质量、规格、性能，并按照相关国际、国家及专业标准检验的合格产品，其产品须符合国家有关规定及厂家承诺实行“三包”。</w:t>
            </w:r>
          </w:p>
          <w:p w14:paraId="6843B7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2、保修年限：免费保修期不少于1年。</w:t>
            </w:r>
          </w:p>
          <w:p w14:paraId="7DB191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3、按要求做好运输、安装和调试。</w:t>
            </w:r>
          </w:p>
          <w:p w14:paraId="68B963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4、服务响应时间：接到用户故障通知后2小时内给予答复，4小时内给出解决方案，24小时内解决故障。未能在规定时间内排除故障的，必须在48小时内提供同档次的备用机并提交故障解决处理方案。</w:t>
            </w:r>
          </w:p>
          <w:p w14:paraId="6EBFDB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5、质保期内所有货物免费上门维修服务、免费更换零部件；质保期过后提供免费电话咨询服务，并应承诺提供产品终身上门维护；其余按厂家承诺进行。</w:t>
            </w:r>
          </w:p>
          <w:p w14:paraId="1A92D0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6、在质保期内，如果制造商的产品技术升级，成交人应及时通知采购人，如采购人有相应要求，成交人和制造商应对采购人购买的产品进行升级服务。</w:t>
            </w:r>
          </w:p>
        </w:tc>
      </w:tr>
      <w:tr w14:paraId="3FA46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10" w:hRule="atLeast"/>
          <w:jc w:val="center"/>
        </w:trPr>
        <w:tc>
          <w:tcPr>
            <w:tcW w:w="1419" w:type="dxa"/>
            <w:gridSpan w:val="2"/>
            <w:tcBorders>
              <w:top w:val="nil"/>
              <w:left w:val="single" w:color="000000" w:sz="8" w:space="0"/>
              <w:bottom w:val="single" w:color="000000" w:sz="8" w:space="0"/>
              <w:right w:val="single" w:color="auto" w:sz="8" w:space="0"/>
            </w:tcBorders>
            <w:shd w:val="clear"/>
            <w:noWrap/>
            <w:tcMar>
              <w:left w:w="108" w:type="dxa"/>
              <w:right w:w="108" w:type="dxa"/>
            </w:tcMar>
            <w:vAlign w:val="center"/>
          </w:tcPr>
          <w:p w14:paraId="697F2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★验收方式</w:t>
            </w:r>
          </w:p>
        </w:tc>
        <w:tc>
          <w:tcPr>
            <w:tcW w:w="8800" w:type="dxa"/>
            <w:gridSpan w:val="6"/>
            <w:tcBorders>
              <w:top w:val="nil"/>
              <w:left w:val="nil"/>
              <w:bottom w:val="single" w:color="000000" w:sz="8" w:space="0"/>
              <w:right w:val="single" w:color="000000" w:sz="8" w:space="0"/>
            </w:tcBorders>
            <w:shd w:val="clear"/>
            <w:noWrap/>
            <w:tcMar>
              <w:left w:w="108" w:type="dxa"/>
              <w:right w:w="108" w:type="dxa"/>
            </w:tcMar>
            <w:vAlign w:val="center"/>
          </w:tcPr>
          <w:p w14:paraId="5736A0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采购人将组织相关人员及专家对采购项目进行验收，验收意见作为验收书的参考资料存档备查，验收将严格按照在线询价文件的规定和响应文件的响应及承诺执行，验收不合格的将根据合同有关条款进行处理。</w:t>
            </w:r>
          </w:p>
          <w:p w14:paraId="6B054E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2、验收依据：按照在线询价文件要求及成交人的响应文件。</w:t>
            </w:r>
          </w:p>
          <w:p w14:paraId="647413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成交供应商必须提供原装正品的、全新的、符合有关质量标准的产品和按要求提供资料。交货时，采购人现场根据采购文件要求及响应文件承诺逐条对应进行核验，若发现产品不符合采购文件和响应文件承诺要求的，采购人不予验收，同时报相关监督管理部门处理，由此造成采购人经济损失的由成交供应商负责承担全部赔偿责任。</w:t>
            </w:r>
          </w:p>
        </w:tc>
      </w:tr>
      <w:tr w14:paraId="40A6E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85" w:hRule="atLeast"/>
          <w:jc w:val="center"/>
        </w:trPr>
        <w:tc>
          <w:tcPr>
            <w:tcW w:w="1419" w:type="dxa"/>
            <w:gridSpan w:val="2"/>
            <w:tcBorders>
              <w:top w:val="nil"/>
              <w:left w:val="single" w:color="000000" w:sz="8" w:space="0"/>
              <w:bottom w:val="single" w:color="000000" w:sz="8" w:space="0"/>
              <w:right w:val="single" w:color="auto" w:sz="8" w:space="0"/>
            </w:tcBorders>
            <w:shd w:val="clear"/>
            <w:noWrap/>
            <w:tcMar>
              <w:left w:w="108" w:type="dxa"/>
              <w:right w:w="108" w:type="dxa"/>
            </w:tcMar>
            <w:vAlign w:val="center"/>
          </w:tcPr>
          <w:p w14:paraId="45D7B5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★交付使用时间及地点</w:t>
            </w:r>
          </w:p>
        </w:tc>
        <w:tc>
          <w:tcPr>
            <w:tcW w:w="8800" w:type="dxa"/>
            <w:gridSpan w:val="6"/>
            <w:tcBorders>
              <w:top w:val="nil"/>
              <w:left w:val="nil"/>
              <w:bottom w:val="single" w:color="000000" w:sz="8" w:space="0"/>
              <w:right w:val="single" w:color="000000" w:sz="8" w:space="0"/>
            </w:tcBorders>
            <w:shd w:val="clear"/>
            <w:noWrap/>
            <w:tcMar>
              <w:left w:w="108" w:type="dxa"/>
              <w:right w:w="108" w:type="dxa"/>
            </w:tcMar>
            <w:vAlign w:val="center"/>
          </w:tcPr>
          <w:p w14:paraId="1CD73A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1.合同签订：自成交公告发出之日起3日内签订合同。</w:t>
            </w:r>
          </w:p>
          <w:p w14:paraId="135F86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2.交付使用期：自签订合同之日起20个工作日内全部安装调试合格完毕并交付使用。</w:t>
            </w:r>
          </w:p>
          <w:p w14:paraId="31301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3.交货地点：资源县内采购人指定地点。</w:t>
            </w:r>
          </w:p>
        </w:tc>
      </w:tr>
      <w:tr w14:paraId="122B5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5" w:hRule="atLeast"/>
          <w:jc w:val="center"/>
        </w:trPr>
        <w:tc>
          <w:tcPr>
            <w:tcW w:w="1419" w:type="dxa"/>
            <w:gridSpan w:val="2"/>
            <w:tcBorders>
              <w:top w:val="nil"/>
              <w:left w:val="single" w:color="000000" w:sz="8" w:space="0"/>
              <w:bottom w:val="single" w:color="000000" w:sz="8" w:space="0"/>
              <w:right w:val="single" w:color="auto" w:sz="8" w:space="0"/>
            </w:tcBorders>
            <w:shd w:val="clear"/>
            <w:noWrap/>
            <w:tcMar>
              <w:left w:w="108" w:type="dxa"/>
              <w:right w:w="108" w:type="dxa"/>
            </w:tcMar>
            <w:vAlign w:val="center"/>
          </w:tcPr>
          <w:p w14:paraId="722AD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付款方式</w:t>
            </w:r>
          </w:p>
        </w:tc>
        <w:tc>
          <w:tcPr>
            <w:tcW w:w="8800" w:type="dxa"/>
            <w:gridSpan w:val="6"/>
            <w:tcBorders>
              <w:top w:val="nil"/>
              <w:left w:val="nil"/>
              <w:bottom w:val="single" w:color="000000" w:sz="8" w:space="0"/>
              <w:right w:val="single" w:color="000000" w:sz="8" w:space="0"/>
            </w:tcBorders>
            <w:shd w:val="clear"/>
            <w:noWrap/>
            <w:tcMar>
              <w:left w:w="108" w:type="dxa"/>
              <w:right w:w="108" w:type="dxa"/>
            </w:tcMar>
            <w:vAlign w:val="center"/>
          </w:tcPr>
          <w:p w14:paraId="54B721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货物验收完成后90个工作日内付清全部货款。</w:t>
            </w:r>
          </w:p>
        </w:tc>
      </w:tr>
      <w:tr w14:paraId="322CE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jc w:val="center"/>
        </w:trPr>
        <w:tc>
          <w:tcPr>
            <w:tcW w:w="1419" w:type="dxa"/>
            <w:gridSpan w:val="2"/>
            <w:tcBorders>
              <w:top w:val="nil"/>
              <w:left w:val="single" w:color="000000" w:sz="8" w:space="0"/>
              <w:bottom w:val="single" w:color="000000" w:sz="8" w:space="0"/>
              <w:right w:val="single" w:color="auto" w:sz="8" w:space="0"/>
            </w:tcBorders>
            <w:shd w:val="clear"/>
            <w:noWrap/>
            <w:tcMar>
              <w:left w:w="108" w:type="dxa"/>
              <w:right w:w="108" w:type="dxa"/>
            </w:tcMar>
            <w:vAlign w:val="center"/>
          </w:tcPr>
          <w:p w14:paraId="003366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★其他要求</w:t>
            </w:r>
          </w:p>
        </w:tc>
        <w:tc>
          <w:tcPr>
            <w:tcW w:w="8800" w:type="dxa"/>
            <w:gridSpan w:val="6"/>
            <w:tcBorders>
              <w:top w:val="nil"/>
              <w:left w:val="nil"/>
              <w:bottom w:val="single" w:color="000000" w:sz="8" w:space="0"/>
              <w:right w:val="single" w:color="000000" w:sz="8" w:space="0"/>
            </w:tcBorders>
            <w:shd w:val="clear"/>
            <w:noWrap/>
            <w:tcMar>
              <w:left w:w="108" w:type="dxa"/>
              <w:right w:w="108" w:type="dxa"/>
            </w:tcMar>
            <w:vAlign w:val="center"/>
          </w:tcPr>
          <w:p w14:paraId="6D1D50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1、确定成交人后，成交后的各型号单价不随时间、市场价格等因素的变动而改变，直至采购人完成采购任务为止，否则按成交人违约处理并取消中标资格。</w:t>
            </w:r>
          </w:p>
          <w:p w14:paraId="707B46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2、为确保货物质量，成交供应商必须在签订合同时提供生产厂家针对此项目的售后服务保证函原件、供货证明原件并加盖生产厂家公章，如不能提供，视为“虚假竞标”，将上报财政监管部门按有关规定处理。</w:t>
            </w:r>
          </w:p>
          <w:p w14:paraId="0D9927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供应商应充分考虑供货成本，如供应商低价恶意竞价、未按参数要求提供并上传相应证明文件、且中标后无法按要求提供货物或者所供货物及资质要求无法满足参数要求的，采购人将按虚假竞标处理，并保留因耽误采购人使用时间造成的损失进行赔偿的权利，并通过报备政采云平台及财政厅监管部分后，移送司法机关诉诸法律手段，追究报价人的法律责任，由此引发的一切后果由报价人承担。</w:t>
            </w:r>
          </w:p>
          <w:p w14:paraId="7A6BA6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210"/>
              <w:jc w:val="both"/>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注：标★的条款为实质性条款，负偏离或不响应则投标无效；标▲的条款为重要条款，负偏离或不响应则按照评分要求进行评审。</w:t>
            </w:r>
          </w:p>
        </w:tc>
      </w:tr>
    </w:tbl>
    <w:p w14:paraId="05F3EF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0"/>
        <w:jc w:val="both"/>
        <w:rPr>
          <w:rFonts w:hint="default" w:ascii="Calibri" w:hAnsi="Calibri" w:cs="Calibri"/>
          <w:i w:val="0"/>
          <w:iCs w:val="0"/>
          <w:caps w:val="0"/>
          <w:color w:val="000000"/>
          <w:spacing w:val="0"/>
          <w:sz w:val="21"/>
          <w:szCs w:val="21"/>
        </w:rPr>
      </w:pPr>
      <w:r>
        <w:rPr>
          <w:rFonts w:hint="default" w:ascii="Calibri" w:hAnsi="Calibri" w:cs="Calibri" w:eastAsiaTheme="minorEastAsia"/>
          <w:i w:val="0"/>
          <w:iCs w:val="0"/>
          <w:caps w:val="0"/>
          <w:color w:val="000000"/>
          <w:spacing w:val="0"/>
          <w:kern w:val="0"/>
          <w:sz w:val="21"/>
          <w:szCs w:val="21"/>
          <w:bdr w:val="none" w:color="auto" w:sz="0" w:space="0"/>
          <w:shd w:val="clear" w:fill="FFFFFF"/>
          <w:lang w:val="en-US" w:eastAsia="zh-CN" w:bidi="ar"/>
        </w:rPr>
        <w:t> </w:t>
      </w:r>
    </w:p>
    <w:p w14:paraId="69CC06A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A740BC"/>
    <w:rsid w:val="63A74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10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2026-07-13T09:50:00Z</dcterms:created>
  <dc:creator>感觉</dc:creator>
  <cp:lastModifiedBy>感觉</cp:lastModifiedBy>
  <dcterms:modified xsi:type="dcterms:W3CDTF">2026-07-13T10:01:27Z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F1DD571F3F5A47089BAE1380526809BE_11</vt:lpwstr>
  </property>
  <property fmtid="{D5CDD505-2E9C-101B-9397-08002B2CF9AE}" pid="4" name="KSOTemplateDocerSaveRecord">
    <vt:lpwstr>eyJoZGlkIjoiMWFhNWM0ZDU4MjdjYTEyODgyNzFmYzBlZmQ4M2NkNmMiLCJ1c2VySWQiOiI1MjQ5MzA5MzAifQ==</vt:lpwstr>
  </property>
</Properties>
</file>