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FF7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Calibri" w:hAnsi="Calibri" w:cs="Calibri"/>
          <w:i w:val="0"/>
          <w:iCs w:val="0"/>
          <w:caps w:val="0"/>
          <w:color w:val="000000"/>
          <w:spacing w:val="0"/>
          <w:sz w:val="21"/>
          <w:szCs w:val="21"/>
        </w:rPr>
      </w:pPr>
      <w:r>
        <w:rPr>
          <w:rFonts w:hint="eastAsia" w:ascii="宋体" w:hAnsi="宋体" w:eastAsia="宋体" w:cs="宋体"/>
          <w:b/>
          <w:bCs/>
          <w:i w:val="0"/>
          <w:iCs w:val="0"/>
          <w:caps w:val="0"/>
          <w:color w:val="000000"/>
          <w:spacing w:val="0"/>
          <w:kern w:val="0"/>
          <w:sz w:val="40"/>
          <w:szCs w:val="40"/>
          <w:bdr w:val="none" w:color="auto" w:sz="0" w:space="0"/>
          <w:shd w:val="clear" w:fill="FFFFFF"/>
          <w:lang w:val="en-US" w:eastAsia="zh-CN" w:bidi="ar"/>
        </w:rPr>
        <w:t>资源县教育局学生高低床采购需求表</w:t>
      </w:r>
    </w:p>
    <w:tbl>
      <w:tblPr>
        <w:tblW w:w="10658"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99"/>
        <w:gridCol w:w="693"/>
        <w:gridCol w:w="484"/>
        <w:gridCol w:w="5763"/>
        <w:gridCol w:w="615"/>
        <w:gridCol w:w="630"/>
        <w:gridCol w:w="846"/>
        <w:gridCol w:w="1028"/>
      </w:tblGrid>
      <w:tr w14:paraId="49A4ADA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EE87B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序号</w:t>
            </w:r>
          </w:p>
        </w:tc>
        <w:tc>
          <w:tcPr>
            <w:tcW w:w="1178"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5548F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货物名称</w:t>
            </w:r>
          </w:p>
        </w:tc>
        <w:tc>
          <w:tcPr>
            <w:tcW w:w="576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31DD87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技术参数</w:t>
            </w:r>
          </w:p>
        </w:tc>
        <w:tc>
          <w:tcPr>
            <w:tcW w:w="6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0DBC42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数量</w:t>
            </w:r>
          </w:p>
        </w:tc>
        <w:tc>
          <w:tcPr>
            <w:tcW w:w="63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497EE6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单位</w:t>
            </w:r>
          </w:p>
        </w:tc>
        <w:tc>
          <w:tcPr>
            <w:tcW w:w="84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0210D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单价（元）</w:t>
            </w:r>
          </w:p>
        </w:tc>
        <w:tc>
          <w:tcPr>
            <w:tcW w:w="1028"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570C43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金额（元）</w:t>
            </w:r>
          </w:p>
        </w:tc>
      </w:tr>
      <w:tr w14:paraId="0B05739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78F9D4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w:t>
            </w:r>
          </w:p>
        </w:tc>
        <w:tc>
          <w:tcPr>
            <w:tcW w:w="1178"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63D1CA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双层床</w:t>
            </w:r>
          </w:p>
        </w:tc>
        <w:tc>
          <w:tcPr>
            <w:tcW w:w="5767"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0B294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1.规格：1900mm×800mm×1800mm（长×宽×高），上下床铺净空间距离约1000mm。（允许偏离±5mm）</w:t>
            </w:r>
          </w:p>
          <w:p w14:paraId="6185B7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★2.边立柱：采用40mm×40mm×1.2mm优质冷轧钢管；边立柱符合QB/T 3832-1999《轻工产品金属镀层腐蚀试验结果的评价》、QB/T 3827-1999《轻工产品金属镀层和化学处理层的耐腐蚀试验方法乙酸盐雾试验(ASS)法》：乙酸盐雾试验(ASS)法24h，涂层对基体的保护等级10级，涂层本身的耐腐蚀等级10级，</w:t>
            </w:r>
            <w:r>
              <w:rPr>
                <w:rFonts w:hint="eastAsia" w:ascii="宋体" w:hAnsi="宋体" w:eastAsia="宋体" w:cs="宋体"/>
                <w:b/>
                <w:bCs/>
                <w:kern w:val="0"/>
                <w:sz w:val="21"/>
                <w:szCs w:val="21"/>
                <w:bdr w:val="none" w:color="auto" w:sz="0" w:space="0"/>
                <w:lang w:val="en-US" w:eastAsia="zh-CN" w:bidi="ar"/>
              </w:rPr>
              <w:t>（报价文件中须提供检验结果符合或者优于此条技术参数的经国家认可的第三方检验（检测）机构出具的带有CMA或CNAS标志的检验/检测报告复印件并加盖投标人公章）</w:t>
            </w:r>
          </w:p>
          <w:p w14:paraId="6AB58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★3.床立柱横担：采用30mm×40mm×1.2mm优质冷轧钢管；</w:t>
            </w:r>
          </w:p>
          <w:p w14:paraId="3D3DCE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★4.床梴（床母）：采用25mm×50mm×1.2mm优质冷轧钢管；</w:t>
            </w:r>
          </w:p>
          <w:p w14:paraId="35FDCC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★5.床梴（床母）横担：采用20mm×30mm×1.2mm优质冷轧方管，上床铺床梴（床母）不少于4根，下床铺床梴（床母）横担不少于4根。</w:t>
            </w:r>
          </w:p>
          <w:p w14:paraId="7CE34A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6.安全栏板：安全栏板规格：≥1200mm×300mm（长×高），安全栏竖管不少于3根，钢管直径19mm×1.2mm。安全栏板与主柱距离（缺口长度）为≤500mm。</w:t>
            </w:r>
          </w:p>
          <w:p w14:paraId="5972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7.爬梯：金属方管25mm×25mm×1.2mm，床梯宽度≥300mm，脚踏数量不少于3根。</w:t>
            </w:r>
          </w:p>
          <w:p w14:paraId="3FD07B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8.脚套：床脚和床立柱顶端的脚套为内嵌式黑色脚套，采用超高分子量PE材料制作，壁厚不小于2mm，底厚不小于5mm；进深不小于25mm，加强筋不少于3圈，加强筋厚度不小于1mm。</w:t>
            </w:r>
          </w:p>
          <w:p w14:paraId="61E799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9.床板：采用13mm厚杉木实木铺板，双面抛光，带加强筋，干燥处理，背部固定横条不少于3根，规格为30mm×30mm的实木方料；含水率：双层床加工所用木板含水率应不高于15%；</w:t>
            </w:r>
          </w:p>
          <w:p w14:paraId="7D8E5B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10.金属件表面处理：床体焊接采用二氧化碳气体保护焊，焊痕打磨光滑平整；表面经过严格除油-水洗-除锈-水洗-表调-磷化-环氧处理，铁架床四脚配防滑胶套，铁床结构组合牢固，使用不会出现松动；</w:t>
            </w:r>
          </w:p>
          <w:p w14:paraId="5CA148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★11.安装：</w:t>
            </w:r>
          </w:p>
          <w:p w14:paraId="1991DA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①整床全部采用卡式连接紧固，整床床体组装好后结实、牢固、安全和耐用；</w:t>
            </w:r>
          </w:p>
          <w:p w14:paraId="564F49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②床表面处理工艺：表面采用亚光静电喷塑工艺，经预脱脂-脱脂-水洗-酸洗-水洗-中和-磷化-水洗-钝化十工位表面前处理工序；塑粉为表面喷涂飞亚环氧聚酯粉，颜色为皱灰白色。塑粉需符合HG/T 2006-2022《热固性和热塑性粉末涂料》、GB 18581-2020《木器涂料中有害物质限量》、GB/T 35602-2017《绿色产品评价 涂料》、HG/T 3950-2007《抗菌涂料》、HJ 2537-2014《环境标志产品技术要求 水性涂料》：外观；筛余物（125μm）全部通过；密度；涂膜外观正常；附着力：干附着力≤1级；铅笔硬度≥H；耐冲击性：50cm，无裂纹、皱纹及剥落现象；杯突试验≥4mm；弯曲试验≤4mm；光泽；耐磨性；耐酸性；耐碱性；耐沸水性；耐盐雾性；耐湿性；胶化时间；粒径分布；流动性；重金属元素含量：铅（Pb），镉（Cd），六价铬（Cr⁶⁺），汞（Hg），砷（As），钡（Ba），硒（Se），锑（Sb），钴（Co）；游离甲醛；抗细菌性能：金黄色葡萄球菌，抗细菌率≥99%；总铅含量；均检测合格，</w:t>
            </w:r>
            <w:r>
              <w:rPr>
                <w:rFonts w:hint="eastAsia" w:ascii="宋体" w:hAnsi="宋体" w:eastAsia="宋体" w:cs="宋体"/>
                <w:b/>
                <w:bCs/>
                <w:kern w:val="0"/>
                <w:sz w:val="21"/>
                <w:szCs w:val="21"/>
                <w:bdr w:val="none" w:color="auto" w:sz="0" w:space="0"/>
                <w:lang w:val="en-US" w:eastAsia="zh-CN" w:bidi="ar"/>
              </w:rPr>
              <w:t>（报价文件中须提供检验结果符合或者优于此条技术参数的经国家认可的第三方检验（检测）机构出具的带有CMA或CNAS标志的检验/检测报告复印件并加盖投标人公章）</w:t>
            </w:r>
          </w:p>
          <w:p w14:paraId="5E2BC3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★12.铁架床应符合QB/T2741-2013《学生公寓多功能家具》、GB/T 3325-2024《金属家具通用技术条件》、GB/T 35607-2024《绿色产品评价 家具》：外观；形状和位置公差；木制件表面涂层理化性能：耐液性；金属件表面理化性能：附着力；力学性能（床铺垂直向上和向下静载荷试验、床铺面冲击试验、安全栏的静载荷试验、床铺耐久性试验 10000次）；苯、甲苯、二 甲苯、总挥发性有机化合物（TVOC）、家具涂层可迁移元素，均检测合格，</w:t>
            </w:r>
            <w:r>
              <w:rPr>
                <w:rFonts w:hint="eastAsia" w:ascii="宋体" w:hAnsi="宋体" w:eastAsia="宋体" w:cs="宋体"/>
                <w:b/>
                <w:bCs/>
                <w:kern w:val="0"/>
                <w:sz w:val="21"/>
                <w:szCs w:val="21"/>
                <w:bdr w:val="none" w:color="auto" w:sz="0" w:space="0"/>
                <w:lang w:val="en-US" w:eastAsia="zh-CN" w:bidi="ar"/>
              </w:rPr>
              <w:t>（报价文件中须提供检验结果符合或者优于此条技术参数的经国家认可的第三方检验（检测）机构出具的带有CMA或CNAS标志的检验/检测报告复印件并加盖投标人公章）</w:t>
            </w:r>
          </w:p>
        </w:tc>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F61DB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130</w:t>
            </w:r>
          </w:p>
        </w:tc>
        <w:tc>
          <w:tcPr>
            <w:tcW w:w="63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1ADDD3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84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3DABC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960</w:t>
            </w:r>
          </w:p>
        </w:tc>
        <w:tc>
          <w:tcPr>
            <w:tcW w:w="102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F656A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124800</w:t>
            </w:r>
          </w:p>
        </w:tc>
      </w:tr>
      <w:tr w14:paraId="520EFC5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60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2B1C4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w:t>
            </w:r>
          </w:p>
        </w:tc>
        <w:tc>
          <w:tcPr>
            <w:tcW w:w="1178"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42E8A1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双层床安装费</w:t>
            </w:r>
          </w:p>
        </w:tc>
        <w:tc>
          <w:tcPr>
            <w:tcW w:w="5767"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6FDFAF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双层床的运输、安装费。</w:t>
            </w:r>
          </w:p>
        </w:tc>
        <w:tc>
          <w:tcPr>
            <w:tcW w:w="615"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30B75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130</w:t>
            </w:r>
          </w:p>
        </w:tc>
        <w:tc>
          <w:tcPr>
            <w:tcW w:w="63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36B83C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套</w:t>
            </w:r>
          </w:p>
        </w:tc>
        <w:tc>
          <w:tcPr>
            <w:tcW w:w="840"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0CF2AA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100</w:t>
            </w:r>
          </w:p>
        </w:tc>
        <w:tc>
          <w:tcPr>
            <w:tcW w:w="102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20EE6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13000</w:t>
            </w:r>
          </w:p>
        </w:tc>
      </w:tr>
      <w:tr w14:paraId="08AAA54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97" w:hRule="atLeast"/>
          <w:jc w:val="center"/>
        </w:trPr>
        <w:tc>
          <w:tcPr>
            <w:tcW w:w="9630" w:type="dxa"/>
            <w:gridSpan w:val="7"/>
            <w:tcBorders>
              <w:top w:val="nil"/>
              <w:left w:val="single" w:color="auto" w:sz="8" w:space="0"/>
              <w:bottom w:val="single" w:color="auto" w:sz="8" w:space="0"/>
              <w:right w:val="single" w:color="auto" w:sz="8" w:space="0"/>
            </w:tcBorders>
            <w:shd w:val="clear"/>
            <w:tcMar>
              <w:left w:w="108" w:type="dxa"/>
              <w:right w:w="108" w:type="dxa"/>
            </w:tcMar>
            <w:vAlign w:val="center"/>
          </w:tcPr>
          <w:p w14:paraId="355370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合计金额：人民币壹拾叁万柒仟捌佰元整</w:t>
            </w:r>
          </w:p>
        </w:tc>
        <w:tc>
          <w:tcPr>
            <w:tcW w:w="1028" w:type="dxa"/>
            <w:tcBorders>
              <w:top w:val="nil"/>
              <w:left w:val="single" w:color="auto" w:sz="8" w:space="0"/>
              <w:bottom w:val="single" w:color="auto" w:sz="8" w:space="0"/>
              <w:right w:val="single" w:color="auto" w:sz="8" w:space="0"/>
            </w:tcBorders>
            <w:shd w:val="clear"/>
            <w:tcMar>
              <w:left w:w="108" w:type="dxa"/>
              <w:right w:w="108" w:type="dxa"/>
            </w:tcMar>
            <w:vAlign w:val="center"/>
          </w:tcPr>
          <w:p w14:paraId="5CDDAE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textAlignment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137800</w:t>
            </w:r>
          </w:p>
        </w:tc>
      </w:tr>
      <w:tr w14:paraId="5775FB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0658" w:type="dxa"/>
            <w:gridSpan w:val="8"/>
            <w:tcBorders>
              <w:top w:val="nil"/>
              <w:left w:val="single" w:color="auto" w:sz="8" w:space="0"/>
              <w:bottom w:val="single" w:color="auto" w:sz="8" w:space="0"/>
              <w:right w:val="single" w:color="auto" w:sz="8" w:space="0"/>
            </w:tcBorders>
            <w:shd w:val="clear"/>
            <w:tcMar>
              <w:left w:w="108" w:type="dxa"/>
              <w:right w:w="108" w:type="dxa"/>
            </w:tcMar>
            <w:vAlign w:val="center"/>
          </w:tcPr>
          <w:p w14:paraId="083856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center"/>
              <w:rPr>
                <w:rFonts w:hint="default" w:ascii="Calibri" w:hAnsi="Calibri" w:cs="Calibri"/>
                <w:sz w:val="21"/>
                <w:szCs w:val="21"/>
              </w:rPr>
            </w:pPr>
            <w:r>
              <w:rPr>
                <w:rFonts w:hint="eastAsia" w:ascii="宋体" w:hAnsi="宋体" w:eastAsia="宋体" w:cs="宋体"/>
                <w:b/>
                <w:bCs/>
                <w:kern w:val="0"/>
                <w:sz w:val="21"/>
                <w:szCs w:val="21"/>
                <w:bdr w:val="none" w:color="auto" w:sz="0" w:space="0"/>
                <w:lang w:val="en-US" w:eastAsia="zh-CN" w:bidi="ar"/>
              </w:rPr>
              <w:t>商务条款</w:t>
            </w:r>
            <w:bookmarkStart w:id="0" w:name="_GoBack"/>
            <w:bookmarkEnd w:id="0"/>
          </w:p>
        </w:tc>
      </w:tr>
      <w:tr w14:paraId="0F95F4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90" w:hRule="atLeast"/>
          <w:jc w:val="center"/>
        </w:trPr>
        <w:tc>
          <w:tcPr>
            <w:tcW w:w="1294"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48D2B5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（一）</w:t>
            </w:r>
          </w:p>
          <w:p w14:paraId="3FD9CF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保修期要求</w:t>
            </w:r>
          </w:p>
        </w:tc>
        <w:tc>
          <w:tcPr>
            <w:tcW w:w="9364"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14:paraId="2FB8AF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按国家有关产品“三包”规定执行“三包”，提供不得少于3年免费保修。</w:t>
            </w:r>
          </w:p>
        </w:tc>
      </w:tr>
      <w:tr w14:paraId="2700A72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294"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3ED124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（二）售后服务要求</w:t>
            </w:r>
          </w:p>
        </w:tc>
        <w:tc>
          <w:tcPr>
            <w:tcW w:w="9364" w:type="dxa"/>
            <w:gridSpan w:val="6"/>
            <w:tcBorders>
              <w:top w:val="nil"/>
              <w:left w:val="single" w:color="auto" w:sz="8" w:space="0"/>
              <w:bottom w:val="single" w:color="auto" w:sz="8" w:space="0"/>
              <w:right w:val="single" w:color="auto" w:sz="8" w:space="0"/>
            </w:tcBorders>
            <w:shd w:val="clear"/>
            <w:tcMar>
              <w:left w:w="108" w:type="dxa"/>
              <w:right w:w="108" w:type="dxa"/>
            </w:tcMar>
            <w:vAlign w:val="center"/>
          </w:tcPr>
          <w:p w14:paraId="03FDDB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维修响应：中标供应商在接到用户维修电话后2小时内响应，6小时内到达现场修理解决，并免费更换有缺陷的货物或零部件，一般故障在到达现场后4小时内恢复正常使用。如果出现特殊情况在12小时内不能解决，提供与原技术参数相同或高于原技术参数的备品、备件，以保证采购方的正常使用。</w:t>
            </w:r>
          </w:p>
          <w:p w14:paraId="64097B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2、本项目报价包含采购范围内货物、货物标准附件、备品配件、专用工具、包装、运输、装卸、货到就位、保险、税金及保修等费用的总和。</w:t>
            </w:r>
          </w:p>
        </w:tc>
      </w:tr>
      <w:tr w14:paraId="5B44F8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294"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0DB82A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（三）交货时间及地点</w:t>
            </w:r>
          </w:p>
        </w:tc>
        <w:tc>
          <w:tcPr>
            <w:tcW w:w="9364" w:type="dxa"/>
            <w:gridSpan w:val="6"/>
            <w:tcBorders>
              <w:top w:val="nil"/>
              <w:left w:val="single" w:color="auto" w:sz="8" w:space="0"/>
              <w:bottom w:val="single" w:color="auto" w:sz="8" w:space="0"/>
              <w:right w:val="single" w:color="auto" w:sz="8" w:space="0"/>
            </w:tcBorders>
            <w:shd w:val="clear"/>
            <w:tcMar>
              <w:left w:w="108" w:type="dxa"/>
              <w:right w:w="108" w:type="dxa"/>
            </w:tcMar>
            <w:vAlign w:val="center"/>
          </w:tcPr>
          <w:p w14:paraId="15FC7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1、合同签订期：自成交通知发出之日起3日内。</w:t>
            </w:r>
          </w:p>
          <w:p w14:paraId="52088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2、交货期：自签订合同之日起25个工作日内供货完成。</w:t>
            </w:r>
          </w:p>
          <w:p w14:paraId="25A385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3、交货地点：资源县内采购方指定地点。</w:t>
            </w:r>
          </w:p>
        </w:tc>
      </w:tr>
      <w:tr w14:paraId="5CA551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294"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667631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（四）付款条件</w:t>
            </w:r>
          </w:p>
        </w:tc>
        <w:tc>
          <w:tcPr>
            <w:tcW w:w="9364" w:type="dxa"/>
            <w:gridSpan w:val="6"/>
            <w:tcBorders>
              <w:top w:val="nil"/>
              <w:left w:val="single" w:color="auto" w:sz="8" w:space="0"/>
              <w:bottom w:val="single" w:color="auto" w:sz="8" w:space="0"/>
              <w:right w:val="single" w:color="auto" w:sz="8" w:space="0"/>
            </w:tcBorders>
            <w:shd w:val="clear"/>
            <w:tcMar>
              <w:left w:w="108" w:type="dxa"/>
              <w:right w:w="108" w:type="dxa"/>
            </w:tcMar>
            <w:vAlign w:val="center"/>
          </w:tcPr>
          <w:p w14:paraId="25AC67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本项目无预付款，中标供应商交货完毕并经验收合格后，30日内一次性支付完合同款。</w:t>
            </w:r>
          </w:p>
        </w:tc>
      </w:tr>
      <w:tr w14:paraId="447FEC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1294" w:type="dxa"/>
            <w:gridSpan w:val="2"/>
            <w:tcBorders>
              <w:top w:val="nil"/>
              <w:left w:val="single" w:color="auto" w:sz="8" w:space="0"/>
              <w:bottom w:val="single" w:color="auto" w:sz="8" w:space="0"/>
              <w:right w:val="single" w:color="auto" w:sz="8" w:space="0"/>
            </w:tcBorders>
            <w:shd w:val="clear"/>
            <w:tcMar>
              <w:left w:w="108" w:type="dxa"/>
              <w:right w:w="108" w:type="dxa"/>
            </w:tcMar>
            <w:vAlign w:val="center"/>
          </w:tcPr>
          <w:p w14:paraId="611DCD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（五）</w:t>
            </w:r>
          </w:p>
          <w:p w14:paraId="612E0F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其他商务要求</w:t>
            </w:r>
          </w:p>
        </w:tc>
        <w:tc>
          <w:tcPr>
            <w:tcW w:w="9364" w:type="dxa"/>
            <w:gridSpan w:val="6"/>
            <w:tcBorders>
              <w:top w:val="nil"/>
              <w:left w:val="single" w:color="auto" w:sz="8" w:space="0"/>
              <w:bottom w:val="single" w:color="auto" w:sz="8" w:space="0"/>
              <w:right w:val="single" w:color="auto" w:sz="8" w:space="0"/>
            </w:tcBorders>
            <w:shd w:val="clear"/>
            <w:tcMar>
              <w:left w:w="108" w:type="dxa"/>
              <w:right w:w="108" w:type="dxa"/>
            </w:tcMar>
            <w:vAlign w:val="center"/>
          </w:tcPr>
          <w:p w14:paraId="59B175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▲1、标注★号的内容为实质性要求和条件，必须满足或优于。</w:t>
            </w:r>
          </w:p>
          <w:p w14:paraId="49940C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▲2、 为了保障采购人的正常使用，保障高效的售后服务，考虑到项目施工及售后服务方便，本项目只接受广西区内供应商，不接受广西区以外的供应商；为确保货物质量，报价时需上传生产厂家针对此项目售后服务保证函复印件及供货证明复印件，签订合同前中标供应商须提供生产厂家针对此项目售后服务保证函原件及供货证明原件，否则不予签订合同。</w:t>
            </w:r>
          </w:p>
          <w:p w14:paraId="0053C7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▲3、对无法按时交货的中标供应商，视为虚假应标，将按照有关规定追究中标供应商的责任。</w:t>
            </w:r>
          </w:p>
          <w:p w14:paraId="7C8892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4、成交供应商提供的产品必须是原厂生产的正品全新、完整、未使用过的合格产品，产品质量符合国家相关标准和规范，具备正规合法经销渠道。成交供应商提供的产品品牌、型号、规格、技术参数、质量不符合合同规定及采购需求规定标准的，采购人有权拒收该货物。</w:t>
            </w:r>
          </w:p>
          <w:p w14:paraId="59839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▲5、供应商响应报价时，必须满足采购需求的全部功能，供应商须对参数要求及商务要求进行全部响应。</w:t>
            </w:r>
          </w:p>
          <w:p w14:paraId="37FCCA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6、供应商应充分考虑供货成本，如供应商低价恶意竞价、未按要求提供并上传相应证明文件、且中标后无法按要求提供货物或者所供货物及资质要求无法满足参数要求的，采购人将按虚假竞标处理，并保留因耽误采购人使用时间造成的损失进行赔偿的权利，并通过报备政采云平台及财政厅监管部分后，移送司法机关诉诸法律手段，追究投标人的法律责任，由此引发的一切后果由投标人承担。</w:t>
            </w:r>
          </w:p>
          <w:p w14:paraId="7282C1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7、验收标准 ：成交供应商须针对商务条款要求及技术参数逐条响应，若无法满足招标文件需求则按照虚假应标处理，造成的一切后果及损失由成交供应商承担；验收过程中，如采购人觉得有必要，可以邀请有资质的第三方检测机构对中标人提供的产品进行检测，费用由中标人负担。</w:t>
            </w:r>
          </w:p>
          <w:p w14:paraId="40F08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3" w:lineRule="atLeast"/>
              <w:ind w:left="0" w:right="0"/>
              <w:jc w:val="left"/>
              <w:rPr>
                <w:rFonts w:hint="default" w:ascii="Calibri" w:hAnsi="Calibri" w:cs="Calibri"/>
                <w:sz w:val="21"/>
                <w:szCs w:val="21"/>
              </w:rPr>
            </w:pPr>
            <w:r>
              <w:rPr>
                <w:rFonts w:hint="eastAsia" w:ascii="宋体" w:hAnsi="宋体" w:eastAsia="宋体" w:cs="宋体"/>
                <w:kern w:val="0"/>
                <w:sz w:val="21"/>
                <w:szCs w:val="21"/>
                <w:bdr w:val="none" w:color="auto" w:sz="0" w:space="0"/>
                <w:lang w:val="en-US" w:eastAsia="zh-CN" w:bidi="ar"/>
              </w:rPr>
              <w:t>注：标★的条款为实质性条款，负偏离或不响应则投标无效；标▲的条款为重要条款，负偏离或不响应则按照评分要求进行评审。</w:t>
            </w:r>
          </w:p>
        </w:tc>
      </w:tr>
    </w:tbl>
    <w:p w14:paraId="4F90F1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773A31"/>
    <w:rsid w:val="47773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2026-07-22T00:25:00Z</dcterms:created>
  <dc:creator>感觉</dc:creator>
  <cp:lastModifiedBy>感觉</cp:lastModifiedBy>
  <dcterms:modified xsi:type="dcterms:W3CDTF">2026-07-22T00:31:13Z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849A5E0159E44D77B944C40B22E02C42_11</vt:lpwstr>
  </property>
  <property fmtid="{D5CDD505-2E9C-101B-9397-08002B2CF9AE}" pid="4" name="KSOTemplateDocerSaveRecord">
    <vt:lpwstr>eyJoZGlkIjoiMWFhNWM0ZDU4MjdjYTEyODgyNzFmYzBlZmQ4M2NkNmMiLCJ1c2VySWQiOiI1MjQ5MzA5MzAifQ==</vt:lpwstr>
  </property>
</Properties>
</file>