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page" w:horzAnchor="page" w:tblpXSpec="center" w:tblpY="1886"/>
        <w:tblOverlap w:val="never"/>
        <w:tblW w:w="16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23"/>
        <w:gridCol w:w="1270"/>
        <w:gridCol w:w="5065"/>
        <w:gridCol w:w="632"/>
        <w:gridCol w:w="646"/>
        <w:gridCol w:w="1091"/>
        <w:gridCol w:w="1120"/>
        <w:gridCol w:w="4542"/>
      </w:tblGrid>
      <w:tr w14:paraId="508C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5" w:type="dxa"/>
            <w:vAlign w:val="center"/>
          </w:tcPr>
          <w:p w14:paraId="170BA4C2">
            <w:pPr>
              <w:jc w:val="center"/>
            </w:pPr>
            <w:r>
              <w:rPr>
                <w:rFonts w:hint="eastAsia"/>
              </w:rPr>
              <w:t>序号</w:t>
            </w:r>
          </w:p>
        </w:tc>
        <w:tc>
          <w:tcPr>
            <w:tcW w:w="1323" w:type="dxa"/>
            <w:vAlign w:val="center"/>
          </w:tcPr>
          <w:p w14:paraId="318EC188">
            <w:pPr>
              <w:jc w:val="center"/>
              <w:rPr>
                <w:rFonts w:hint="eastAsia" w:eastAsiaTheme="minorEastAsia"/>
                <w:sz w:val="21"/>
                <w:lang w:val="en-US" w:eastAsia="zh-CN"/>
              </w:rPr>
            </w:pPr>
            <w:r>
              <w:rPr>
                <w:rFonts w:hint="eastAsia"/>
                <w:sz w:val="21"/>
                <w:lang w:val="en-US" w:eastAsia="zh-CN"/>
              </w:rPr>
              <w:t>意向品牌</w:t>
            </w:r>
          </w:p>
        </w:tc>
        <w:tc>
          <w:tcPr>
            <w:tcW w:w="1270" w:type="dxa"/>
            <w:vAlign w:val="center"/>
          </w:tcPr>
          <w:p w14:paraId="27925C32">
            <w:pPr>
              <w:jc w:val="center"/>
            </w:pPr>
            <w:r>
              <w:rPr>
                <w:sz w:val="21"/>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-828675</wp:posOffset>
                      </wp:positionV>
                      <wp:extent cx="9372600" cy="5670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372600" cy="567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641E2">
                                  <w:pPr>
                                    <w:jc w:val="center"/>
                                    <w:rPr>
                                      <w:rFonts w:hint="eastAsia" w:eastAsiaTheme="minorEastAsia"/>
                                      <w:b/>
                                      <w:color w:val="000000" w:themeColor="text1"/>
                                      <w:sz w:val="32"/>
                                      <w:szCs w:val="3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color w:val="000000" w:themeColor="text1"/>
                                      <w:sz w:val="32"/>
                                      <w:szCs w:val="32"/>
                                      <w:lang w:val="en-US" w:eastAsia="zh-CN"/>
                                      <w14:shadow w14:blurRad="38100" w14:dist="19050" w14:dir="2700000" w14:sx="100000" w14:sy="100000" w14:kx="0" w14:ky="0" w14:algn="tl">
                                        <w14:schemeClr w14:val="dk1">
                                          <w14:alpha w14:val="60000"/>
                                        </w14:schemeClr>
                                      </w14:shadow>
                                      <w14:textFill>
                                        <w14:solidFill>
                                          <w14:schemeClr w14:val="tx1"/>
                                        </w14:solidFill>
                                      </w14:textFill>
                                    </w:rPr>
                                    <w:t>塑钢课桌椅需求表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pt;margin-top:-65.25pt;height:44.65pt;width:738pt;z-index:251659264;mso-width-relative:page;mso-height-relative:page;" filled="f" stroked="f" coordsize="21600,21600" o:gfxdata="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9oFeLcAAAADAEAAA8AAAAAAAAAAQAgAAAAIgAA&#10;AGRycy9kb3ducmV2LnhtbFBLAQIUABQAAAAIAIdO4kCZ1XnIPQIAAGYEAAAOAAAAAAAAAAEAIAAA&#10;ACsBAABkcnMvZTJvRG9jLnhtbFBLBQYAAAAABgAGAFkBAADaBQAAAAA=&#10;">
                      <v:fill on="f" focussize="0,0"/>
                      <v:stroke on="f" weight="0.5pt"/>
                      <v:imagedata o:title=""/>
                      <o:lock v:ext="edit" aspectratio="f"/>
                      <v:textbox>
                        <w:txbxContent>
                          <w:p w14:paraId="279641E2">
                            <w:pPr>
                              <w:jc w:val="center"/>
                              <w:rPr>
                                <w:rFonts w:hint="eastAsia" w:eastAsiaTheme="minorEastAsia"/>
                                <w:b/>
                                <w:color w:val="000000" w:themeColor="text1"/>
                                <w:sz w:val="32"/>
                                <w:szCs w:val="32"/>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color w:val="000000" w:themeColor="text1"/>
                                <w:sz w:val="32"/>
                                <w:szCs w:val="32"/>
                                <w:lang w:val="en-US" w:eastAsia="zh-CN"/>
                                <w14:shadow w14:blurRad="38100" w14:dist="19050" w14:dir="2700000" w14:sx="100000" w14:sy="100000" w14:kx="0" w14:ky="0" w14:algn="tl">
                                  <w14:schemeClr w14:val="dk1">
                                    <w14:alpha w14:val="60000"/>
                                  </w14:schemeClr>
                                </w14:shadow>
                                <w14:textFill>
                                  <w14:solidFill>
                                    <w14:schemeClr w14:val="tx1"/>
                                  </w14:solidFill>
                                </w14:textFill>
                              </w:rPr>
                              <w:t>塑钢课桌椅需求表</w:t>
                            </w:r>
                          </w:p>
                        </w:txbxContent>
                      </v:textbox>
                    </v:shape>
                  </w:pict>
                </mc:Fallback>
              </mc:AlternateContent>
            </w:r>
            <w:r>
              <w:rPr>
                <w:rFonts w:hint="eastAsia"/>
              </w:rPr>
              <w:t>产品名称</w:t>
            </w:r>
          </w:p>
        </w:tc>
        <w:tc>
          <w:tcPr>
            <w:tcW w:w="5065" w:type="dxa"/>
            <w:vAlign w:val="center"/>
          </w:tcPr>
          <w:p w14:paraId="4F2B2E50">
            <w:pPr>
              <w:jc w:val="center"/>
              <w:rPr>
                <w:rFonts w:ascii="宋体" w:hAnsi="宋体" w:eastAsia="宋体" w:cs="宋体"/>
                <w:szCs w:val="21"/>
              </w:rPr>
            </w:pPr>
            <w:r>
              <w:rPr>
                <w:rFonts w:hint="eastAsia" w:ascii="宋体" w:hAnsi="宋体" w:eastAsia="宋体" w:cs="宋体"/>
                <w:szCs w:val="21"/>
              </w:rPr>
              <w:t>参数、规格</w:t>
            </w:r>
          </w:p>
        </w:tc>
        <w:tc>
          <w:tcPr>
            <w:tcW w:w="632" w:type="dxa"/>
            <w:vAlign w:val="center"/>
          </w:tcPr>
          <w:p w14:paraId="0CDCDFA0">
            <w:pPr>
              <w:jc w:val="center"/>
            </w:pPr>
            <w:r>
              <w:rPr>
                <w:rFonts w:hint="eastAsia"/>
              </w:rPr>
              <w:t>数量</w:t>
            </w:r>
          </w:p>
        </w:tc>
        <w:tc>
          <w:tcPr>
            <w:tcW w:w="646" w:type="dxa"/>
            <w:vAlign w:val="center"/>
          </w:tcPr>
          <w:p w14:paraId="1C090E5D">
            <w:pPr>
              <w:jc w:val="center"/>
            </w:pPr>
            <w:r>
              <w:rPr>
                <w:rFonts w:hint="eastAsia"/>
              </w:rPr>
              <w:t>单位</w:t>
            </w:r>
          </w:p>
        </w:tc>
        <w:tc>
          <w:tcPr>
            <w:tcW w:w="1091" w:type="dxa"/>
            <w:vAlign w:val="center"/>
          </w:tcPr>
          <w:p w14:paraId="6EEFA031">
            <w:pPr>
              <w:jc w:val="center"/>
            </w:pPr>
            <w:r>
              <w:rPr>
                <w:rFonts w:hint="eastAsia"/>
              </w:rPr>
              <w:t>单价（元）</w:t>
            </w:r>
          </w:p>
        </w:tc>
        <w:tc>
          <w:tcPr>
            <w:tcW w:w="1120" w:type="dxa"/>
            <w:vAlign w:val="center"/>
          </w:tcPr>
          <w:p w14:paraId="61061579">
            <w:pPr>
              <w:jc w:val="center"/>
            </w:pPr>
            <w:r>
              <w:rPr>
                <w:rFonts w:hint="eastAsia"/>
              </w:rPr>
              <w:t>小计（元）</w:t>
            </w:r>
          </w:p>
        </w:tc>
        <w:tc>
          <w:tcPr>
            <w:tcW w:w="4542" w:type="dxa"/>
            <w:vAlign w:val="center"/>
          </w:tcPr>
          <w:p w14:paraId="393CA4A6">
            <w:pPr>
              <w:jc w:val="center"/>
              <w:rPr>
                <w:rFonts w:hint="eastAsia" w:eastAsiaTheme="minorEastAsia"/>
                <w:lang w:val="en-US" w:eastAsia="zh-CN"/>
              </w:rPr>
            </w:pPr>
            <w:r>
              <w:rPr>
                <w:rFonts w:hint="eastAsia"/>
                <w:lang w:val="en-US" w:eastAsia="zh-CN"/>
              </w:rPr>
              <w:t>参考图片</w:t>
            </w:r>
          </w:p>
        </w:tc>
      </w:tr>
      <w:tr w14:paraId="3391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4" w:hRule="atLeast"/>
          <w:jc w:val="center"/>
        </w:trPr>
        <w:tc>
          <w:tcPr>
            <w:tcW w:w="765" w:type="dxa"/>
            <w:vAlign w:val="center"/>
          </w:tcPr>
          <w:p w14:paraId="3519BC1E">
            <w:pPr>
              <w:widowControl/>
              <w:jc w:val="center"/>
              <w:textAlignment w:val="center"/>
            </w:pPr>
            <w:r>
              <w:rPr>
                <w:rFonts w:hint="eastAsia" w:ascii="宋体" w:hAnsi="宋体" w:eastAsia="宋体" w:cs="宋体"/>
                <w:color w:val="000000"/>
                <w:kern w:val="0"/>
                <w:sz w:val="22"/>
                <w:szCs w:val="22"/>
              </w:rPr>
              <w:t>1</w:t>
            </w:r>
          </w:p>
        </w:tc>
        <w:tc>
          <w:tcPr>
            <w:tcW w:w="1323" w:type="dxa"/>
            <w:vAlign w:val="center"/>
          </w:tcPr>
          <w:p w14:paraId="54254245">
            <w:pPr>
              <w:widowControl/>
              <w:ind w:firstLine="220" w:firstLineChars="100"/>
              <w:jc w:val="both"/>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真淳</w:t>
            </w:r>
          </w:p>
          <w:p w14:paraId="6DA76E5D">
            <w:pPr>
              <w:widowControl/>
              <w:ind w:firstLine="220" w:firstLineChars="100"/>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永亨</w:t>
            </w:r>
          </w:p>
          <w:p w14:paraId="670A7CB6">
            <w:pPr>
              <w:widowControl/>
              <w:ind w:firstLine="220" w:firstLineChars="100"/>
              <w:jc w:val="both"/>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百盛</w:t>
            </w:r>
          </w:p>
          <w:p w14:paraId="5D9A2FD7">
            <w:pPr>
              <w:widowControl/>
              <w:ind w:firstLine="220" w:firstLineChars="100"/>
              <w:jc w:val="both"/>
              <w:textAlignment w:val="center"/>
              <w:rPr>
                <w:rFonts w:hint="default" w:ascii="宋体" w:hAnsi="宋体" w:eastAsia="宋体" w:cs="宋体"/>
                <w:color w:val="000000"/>
                <w:kern w:val="0"/>
                <w:sz w:val="22"/>
                <w:szCs w:val="22"/>
                <w:lang w:val="en-US" w:eastAsia="zh-CN"/>
              </w:rPr>
            </w:pPr>
          </w:p>
        </w:tc>
        <w:tc>
          <w:tcPr>
            <w:tcW w:w="1270" w:type="dxa"/>
            <w:vAlign w:val="center"/>
          </w:tcPr>
          <w:p w14:paraId="4AD87286">
            <w:pPr>
              <w:widowControl/>
              <w:jc w:val="center"/>
              <w:textAlignment w:val="center"/>
            </w:pPr>
            <w:r>
              <w:rPr>
                <w:rFonts w:hint="eastAsia" w:ascii="宋体" w:hAnsi="宋体" w:eastAsia="宋体" w:cs="宋体"/>
                <w:color w:val="000000"/>
                <w:kern w:val="0"/>
                <w:sz w:val="22"/>
                <w:szCs w:val="22"/>
                <w:lang w:eastAsia="zh-CN"/>
              </w:rPr>
              <w:t>塑钢</w:t>
            </w:r>
            <w:bookmarkStart w:id="0" w:name="_GoBack"/>
            <w:bookmarkEnd w:id="0"/>
            <w:r>
              <w:rPr>
                <w:rFonts w:hint="eastAsia" w:ascii="宋体" w:hAnsi="宋体" w:eastAsia="宋体" w:cs="宋体"/>
                <w:color w:val="000000"/>
                <w:kern w:val="0"/>
                <w:sz w:val="22"/>
                <w:szCs w:val="22"/>
              </w:rPr>
              <w:t>课桌椅</w:t>
            </w:r>
          </w:p>
        </w:tc>
        <w:tc>
          <w:tcPr>
            <w:tcW w:w="5065" w:type="dxa"/>
            <w:vAlign w:val="center"/>
          </w:tcPr>
          <w:p w14:paraId="6C4C0737">
            <w:pPr>
              <w:rPr>
                <w:rFonts w:hint="eastAsia"/>
              </w:rPr>
            </w:pPr>
            <w:r>
              <w:rPr>
                <w:rFonts w:hint="eastAsia"/>
              </w:rPr>
              <w:t>规格：6</w:t>
            </w:r>
            <w:r>
              <w:rPr>
                <w:rFonts w:hint="eastAsia"/>
                <w:lang w:val="en-US" w:eastAsia="zh-CN"/>
              </w:rPr>
              <w:t>75</w:t>
            </w:r>
            <w:r>
              <w:rPr>
                <w:rFonts w:hint="eastAsia"/>
              </w:rPr>
              <w:t>*4</w:t>
            </w:r>
            <w:r>
              <w:rPr>
                <w:rFonts w:hint="eastAsia"/>
                <w:lang w:val="en-US" w:eastAsia="zh-CN"/>
              </w:rPr>
              <w:t>75</w:t>
            </w:r>
            <w:r>
              <w:rPr>
                <w:rFonts w:hint="eastAsia"/>
              </w:rPr>
              <w:t>*780mm。</w:t>
            </w:r>
          </w:p>
          <w:p w14:paraId="556BB3C9">
            <w:pPr>
              <w:rPr>
                <w:rFonts w:hint="eastAsia"/>
              </w:rPr>
            </w:pPr>
            <w:r>
              <w:rPr>
                <w:rFonts w:hint="eastAsia"/>
              </w:rPr>
              <w:t>技术参数：</w:t>
            </w:r>
          </w:p>
          <w:p w14:paraId="528F9E28">
            <w:pPr>
              <w:rPr>
                <w:rFonts w:hint="eastAsia"/>
              </w:rPr>
            </w:pPr>
            <w:r>
              <w:rPr>
                <w:rFonts w:hint="eastAsia"/>
                <w:lang w:val="en-US" w:eastAsia="zh-CN"/>
              </w:rPr>
              <w:t>★</w:t>
            </w:r>
            <w:r>
              <w:rPr>
                <w:rFonts w:hint="eastAsia"/>
              </w:rPr>
              <w:t>1：桌面</w:t>
            </w:r>
            <w:r>
              <w:rPr>
                <w:rFonts w:hint="eastAsia"/>
                <w:lang w:eastAsia="zh-CN"/>
              </w:rPr>
              <w:t>：</w:t>
            </w:r>
            <w:r>
              <w:rPr>
                <w:rFonts w:hint="eastAsia"/>
              </w:rPr>
              <w:t>采用规格长675mm±5mm*宽475mm±5mm*厚25mm，材质采用环保ABS塑料一次性注塑成型；桌面左右两边及后方边缘设有凸起挡条，可以有效防止书本从桌面滑落；桌面上端设有一个梯形笔槽，规格上端长460mm±2mm*下端长415mm±2mm*宽20mm±2mm*深4mm±1mm，笔槽下方设有一段0-45cm的刻度尺，便于学生测量物品；桌面靠胸前有处有内凹弧形设计，贴合人体，防止挤压胸腔，方便书写流畅。</w:t>
            </w:r>
          </w:p>
          <w:p w14:paraId="6C4DB227">
            <w:pPr>
              <w:rPr>
                <w:rFonts w:hint="eastAsia"/>
              </w:rPr>
            </w:pPr>
            <w:r>
              <w:rPr>
                <w:rFonts w:hint="eastAsia"/>
                <w:lang w:val="en-US" w:eastAsia="zh-CN"/>
              </w:rPr>
              <w:t>★</w:t>
            </w:r>
            <w:r>
              <w:rPr>
                <w:rFonts w:hint="eastAsia"/>
              </w:rPr>
              <w:t>2：桌斗</w:t>
            </w:r>
            <w:r>
              <w:rPr>
                <w:rFonts w:hint="eastAsia"/>
                <w:lang w:eastAsia="zh-CN"/>
              </w:rPr>
              <w:t>：</w:t>
            </w:r>
            <w:r>
              <w:rPr>
                <w:rFonts w:hint="eastAsia"/>
              </w:rPr>
              <w:t>采用外径规格长605mm±2mm*宽405mm±2mm*高155mm±2mm，内径规格450mm±2mm*370mm±2mm*150mm±2mm，材质采用环保PP塑料一次性注塑成型；桌斗底部设有不少于42个排水孔便于排水，桌斗左右斗壁外侧带有凸出字母形状加强筋，增加强度及美观性；桌斗左右斗壁外侧各带有一个书包挂钩，挂钩和桌斗一次性一体注塑成型，书包挂钩规格宽58mm±2mm*深26mm±2mm*高33mm±2mm，挂钩底部设有一个直径26mm±2mm半圆形孔洞，可以悬挂水瓶；桌斗前方设有长415mm±2mm*宽50mm±2mm*深10mm±2mm的内凹笔槽用以放置文具。</w:t>
            </w:r>
          </w:p>
          <w:p w14:paraId="0B91AD05">
            <w:pPr>
              <w:rPr>
                <w:rFonts w:hint="eastAsia" w:eastAsia="宋体"/>
                <w:lang w:val="en-US" w:eastAsia="zh-CN"/>
              </w:rPr>
            </w:pPr>
            <w:r>
              <w:rPr>
                <w:rFonts w:hint="eastAsia"/>
              </w:rPr>
              <w:t>3：桌底脚</w:t>
            </w:r>
            <w:r>
              <w:rPr>
                <w:rFonts w:hint="eastAsia"/>
                <w:lang w:eastAsia="zh-CN"/>
              </w:rPr>
              <w:t>：</w:t>
            </w:r>
            <w:r>
              <w:rPr>
                <w:rFonts w:hint="eastAsia"/>
              </w:rPr>
              <w:t>桌底脚采用60*30mm椭圆钢管</w:t>
            </w:r>
            <w:r>
              <w:rPr>
                <w:rFonts w:hint="eastAsia"/>
                <w:lang w:eastAsia="zh-CN"/>
              </w:rPr>
              <w:t>，</w:t>
            </w:r>
            <w:r>
              <w:rPr>
                <w:rFonts w:hint="eastAsia"/>
              </w:rPr>
              <w:t>钢材壁厚</w:t>
            </w:r>
            <w:r>
              <w:rPr>
                <w:rFonts w:hint="eastAsia"/>
                <w:lang w:val="en-US" w:eastAsia="zh-CN"/>
              </w:rPr>
              <w:t>≥</w:t>
            </w:r>
            <w:r>
              <w:rPr>
                <w:rFonts w:hint="eastAsia"/>
              </w:rPr>
              <w:t>1.2mm</w:t>
            </w:r>
            <w:r>
              <w:rPr>
                <w:rFonts w:hint="eastAsia"/>
                <w:lang w:val="en-US" w:eastAsia="zh-CN"/>
              </w:rPr>
              <w:t>.</w:t>
            </w:r>
          </w:p>
          <w:p w14:paraId="3069D747">
            <w:pPr>
              <w:rPr>
                <w:rFonts w:hint="eastAsia"/>
              </w:rPr>
            </w:pPr>
            <w:r>
              <w:rPr>
                <w:rFonts w:hint="eastAsia"/>
              </w:rPr>
              <w:t>4：桌下立柱</w:t>
            </w:r>
            <w:r>
              <w:rPr>
                <w:rFonts w:hint="eastAsia"/>
                <w:lang w:eastAsia="zh-CN"/>
              </w:rPr>
              <w:t>：</w:t>
            </w:r>
            <w:r>
              <w:rPr>
                <w:rFonts w:hint="eastAsia"/>
              </w:rPr>
              <w:t>采用60*30mm椭圆钢管，钢材壁厚</w:t>
            </w:r>
            <w:r>
              <w:rPr>
                <w:rFonts w:hint="eastAsia"/>
                <w:lang w:val="en-US" w:eastAsia="zh-CN"/>
              </w:rPr>
              <w:t>≥</w:t>
            </w:r>
            <w:r>
              <w:rPr>
                <w:rFonts w:hint="eastAsia"/>
              </w:rPr>
              <w:t>1.2mm</w:t>
            </w:r>
            <w:r>
              <w:rPr>
                <w:rFonts w:hint="eastAsia"/>
                <w:lang w:eastAsia="zh-CN"/>
              </w:rPr>
              <w:t>，</w:t>
            </w:r>
            <w:r>
              <w:rPr>
                <w:rFonts w:hint="eastAsia"/>
              </w:rPr>
              <w:t>左右立柱之间设有书包网斗，网斗采用直径16mm钢管，钢管壁厚大于1mm，网斗辅材采用直径5mm钢筋焊接而成。</w:t>
            </w:r>
          </w:p>
          <w:p w14:paraId="29BA41F7">
            <w:pPr>
              <w:rPr>
                <w:rFonts w:hint="eastAsia"/>
              </w:rPr>
            </w:pPr>
            <w:r>
              <w:rPr>
                <w:rFonts w:hint="eastAsia"/>
              </w:rPr>
              <w:t>5：桌上立柱</w:t>
            </w:r>
            <w:r>
              <w:rPr>
                <w:rFonts w:hint="eastAsia"/>
                <w:lang w:eastAsia="zh-CN"/>
              </w:rPr>
              <w:t>：</w:t>
            </w:r>
            <w:r>
              <w:rPr>
                <w:rFonts w:hint="eastAsia"/>
              </w:rPr>
              <w:t>采用50*20mm椭圆钢管，壁厚</w:t>
            </w:r>
            <w:r>
              <w:rPr>
                <w:rFonts w:hint="eastAsia"/>
                <w:lang w:val="en-US" w:eastAsia="zh-CN"/>
              </w:rPr>
              <w:t>≥</w:t>
            </w:r>
            <w:r>
              <w:rPr>
                <w:rFonts w:hint="eastAsia"/>
              </w:rPr>
              <w:t>1.2mm。上立柱与下立柱采用塑料外套连接。</w:t>
            </w:r>
          </w:p>
          <w:p w14:paraId="4355CB47">
            <w:pPr>
              <w:rPr>
                <w:rFonts w:hint="eastAsia"/>
              </w:rPr>
            </w:pPr>
            <w:r>
              <w:rPr>
                <w:rFonts w:hint="eastAsia"/>
                <w:lang w:val="en-US" w:eastAsia="zh-CN"/>
              </w:rPr>
              <w:t>★</w:t>
            </w:r>
            <w:r>
              <w:rPr>
                <w:rFonts w:hint="eastAsia"/>
              </w:rPr>
              <w:t>6：靠背板：规格宽405mm±5mm*高345mm±5mm，材质采用环保PP塑料一次性注塑成型；</w:t>
            </w:r>
          </w:p>
          <w:p w14:paraId="3B749663">
            <w:pPr>
              <w:rPr>
                <w:rFonts w:hint="default" w:eastAsia="宋体"/>
                <w:lang w:val="en-US" w:eastAsia="zh-CN"/>
              </w:rPr>
            </w:pPr>
            <w:r>
              <w:rPr>
                <w:rFonts w:hint="eastAsia"/>
                <w:lang w:val="en-US" w:eastAsia="zh-CN"/>
              </w:rPr>
              <w:t>★7：坐板：规格宽405mm±5mm*深375mm±5mm，材质采用环保PP塑料一次性注塑成型；</w:t>
            </w:r>
          </w:p>
          <w:p w14:paraId="0F0D631D">
            <w:pPr>
              <w:rPr>
                <w:rFonts w:hint="eastAsia"/>
              </w:rPr>
            </w:pPr>
            <w:r>
              <w:rPr>
                <w:rFonts w:hint="eastAsia"/>
                <w:lang w:val="en-US" w:eastAsia="zh-CN"/>
              </w:rPr>
              <w:t>8</w:t>
            </w:r>
            <w:r>
              <w:rPr>
                <w:rFonts w:hint="eastAsia"/>
              </w:rPr>
              <w:t>：椅</w:t>
            </w:r>
            <w:r>
              <w:rPr>
                <w:rFonts w:hint="eastAsia"/>
                <w:lang w:val="en-US" w:eastAsia="zh-CN"/>
              </w:rPr>
              <w:t>子</w:t>
            </w:r>
            <w:r>
              <w:rPr>
                <w:rFonts w:hint="eastAsia"/>
              </w:rPr>
              <w:t>底脚采用60*30mm椭圆钢管。壁厚</w:t>
            </w:r>
            <w:r>
              <w:rPr>
                <w:rFonts w:hint="eastAsia"/>
                <w:lang w:val="en-US" w:eastAsia="zh-CN"/>
              </w:rPr>
              <w:t>≥</w:t>
            </w:r>
            <w:r>
              <w:rPr>
                <w:rFonts w:hint="eastAsia"/>
              </w:rPr>
              <w:t>1.2mm。</w:t>
            </w:r>
          </w:p>
          <w:p w14:paraId="11192ECF">
            <w:pPr>
              <w:rPr>
                <w:rFonts w:hint="eastAsia"/>
              </w:rPr>
            </w:pPr>
            <w:r>
              <w:rPr>
                <w:rFonts w:hint="eastAsia"/>
                <w:lang w:val="en-US" w:eastAsia="zh-CN"/>
              </w:rPr>
              <w:t>9</w:t>
            </w:r>
            <w:r>
              <w:rPr>
                <w:rFonts w:hint="eastAsia"/>
              </w:rPr>
              <w:t>：</w:t>
            </w:r>
            <w:r>
              <w:rPr>
                <w:rFonts w:hint="eastAsia"/>
                <w:lang w:val="en-US" w:eastAsia="zh-CN"/>
              </w:rPr>
              <w:t>椅子</w:t>
            </w:r>
            <w:r>
              <w:rPr>
                <w:rFonts w:hint="eastAsia"/>
              </w:rPr>
              <w:t>下立柱采用60*30mm椭圆钢管，壁厚</w:t>
            </w:r>
            <w:r>
              <w:rPr>
                <w:rFonts w:hint="eastAsia"/>
                <w:lang w:val="en-US" w:eastAsia="zh-CN"/>
              </w:rPr>
              <w:t>≥</w:t>
            </w:r>
            <w:r>
              <w:rPr>
                <w:rFonts w:hint="eastAsia"/>
              </w:rPr>
              <w:t>1.2mm。左右立柱之间设有书包网斗。</w:t>
            </w:r>
          </w:p>
          <w:p w14:paraId="3962C3D9">
            <w:pPr>
              <w:rPr>
                <w:rFonts w:hint="eastAsia"/>
              </w:rPr>
            </w:pPr>
            <w:r>
              <w:rPr>
                <w:rFonts w:hint="eastAsia"/>
                <w:lang w:val="en-US" w:eastAsia="zh-CN"/>
              </w:rPr>
              <w:t>10</w:t>
            </w:r>
            <w:r>
              <w:rPr>
                <w:rFonts w:hint="eastAsia"/>
              </w:rPr>
              <w:t>：椅</w:t>
            </w:r>
            <w:r>
              <w:rPr>
                <w:rFonts w:hint="eastAsia"/>
                <w:lang w:val="en-US" w:eastAsia="zh-CN"/>
              </w:rPr>
              <w:t>子</w:t>
            </w:r>
            <w:r>
              <w:rPr>
                <w:rFonts w:hint="eastAsia"/>
              </w:rPr>
              <w:t>上立柱采用49*20mm椭圆钢管，壁厚</w:t>
            </w:r>
            <w:r>
              <w:rPr>
                <w:rFonts w:hint="eastAsia"/>
                <w:lang w:val="en-US" w:eastAsia="zh-CN"/>
              </w:rPr>
              <w:t>≥</w:t>
            </w:r>
            <w:r>
              <w:rPr>
                <w:rFonts w:hint="eastAsia"/>
              </w:rPr>
              <w:t>1.2mm。上立柱与下立柱采用塑料外套连接。</w:t>
            </w:r>
          </w:p>
          <w:p w14:paraId="701FA24E">
            <w:pPr>
              <w:rPr>
                <w:rFonts w:hint="eastAsia"/>
              </w:rPr>
            </w:pPr>
            <w:r>
              <w:rPr>
                <w:rFonts w:hint="eastAsia"/>
              </w:rPr>
              <w:t>1</w:t>
            </w:r>
            <w:r>
              <w:rPr>
                <w:rFonts w:hint="eastAsia"/>
                <w:lang w:val="en-US" w:eastAsia="zh-CN"/>
              </w:rPr>
              <w:t>1</w:t>
            </w:r>
            <w:r>
              <w:rPr>
                <w:rFonts w:hint="eastAsia"/>
              </w:rPr>
              <w:t>：课椅脚垫：优质防滑脚垫，材质为优质ABS塑胶。</w:t>
            </w:r>
          </w:p>
          <w:p w14:paraId="7275412F">
            <w:pPr>
              <w:rPr>
                <w:rFonts w:hint="eastAsia"/>
              </w:rPr>
            </w:pPr>
            <w:r>
              <w:rPr>
                <w:rFonts w:hint="eastAsia"/>
              </w:rPr>
              <w:t>1</w:t>
            </w:r>
            <w:r>
              <w:rPr>
                <w:rFonts w:hint="eastAsia"/>
                <w:lang w:val="en-US" w:eastAsia="zh-CN"/>
              </w:rPr>
              <w:t>2</w:t>
            </w:r>
            <w:r>
              <w:rPr>
                <w:rFonts w:hint="eastAsia"/>
              </w:rPr>
              <w:t>：产品钢质部分表面处理：</w:t>
            </w:r>
            <w:r>
              <w:rPr>
                <w:rFonts w:hint="eastAsia"/>
                <w:lang w:val="en-US" w:eastAsia="zh-CN"/>
              </w:rPr>
              <w:t>采用抗菌防霉环氧树脂静电粉末</w:t>
            </w:r>
            <w:r>
              <w:rPr>
                <w:rFonts w:hint="eastAsia"/>
              </w:rPr>
              <w:t>、专业全自动流水线高压静电喷塑</w:t>
            </w:r>
            <w:r>
              <w:rPr>
                <w:rFonts w:hint="eastAsia"/>
                <w:lang w:val="en-US" w:eastAsia="zh-CN"/>
              </w:rPr>
              <w:t>处理</w:t>
            </w:r>
            <w:r>
              <w:rPr>
                <w:rFonts w:hint="eastAsia"/>
              </w:rPr>
              <w:t>。</w:t>
            </w:r>
          </w:p>
          <w:p w14:paraId="1E91F011">
            <w:pPr>
              <w:rPr>
                <w:rFonts w:hint="eastAsia"/>
                <w:lang w:val="en-US" w:eastAsia="zh-CN"/>
              </w:rPr>
            </w:pPr>
            <w:r>
              <w:rPr>
                <w:rFonts w:hint="eastAsia"/>
                <w:lang w:val="en-US" w:eastAsia="zh-CN"/>
              </w:rPr>
              <w:t>▲13：课桌椅符合GB/T3325-2024、GB/T35607-2024、GB/T711-2017、GB/T6394-2017、JB/T 7901-2023、GB/T1633-2000、GB/T13448-2019、GB/T3682.1-2018标准要求且产品表面理化性能-金属喷漆（塑）涂层硬度；甲醛释放量≤0.04mg/m³；冷弯实验（弯曲实验）；平均晶粒度-无孪晶晶粒度（浅腐蚀）100倍≥9级；均匀腐蚀性能-0.9%氯化钠溶液，常温，均匀腐蚀24h检测结果≥0.25mm/a；维卡软化温度（VST）≥102℃；表面电阻率试验；划格试验；杯突试验；耐水浸泡试验；溶体质量流动速率（MFR）≤4.87g/10min。</w:t>
            </w:r>
          </w:p>
          <w:p w14:paraId="2FBFA13D">
            <w:pPr>
              <w:rPr>
                <w:rFonts w:hint="eastAsia"/>
                <w:lang w:val="en-US" w:eastAsia="zh-CN"/>
              </w:rPr>
            </w:pPr>
            <w:r>
              <w:rPr>
                <w:rFonts w:hint="eastAsia"/>
                <w:lang w:val="en-US" w:eastAsia="zh-CN"/>
              </w:rPr>
              <w:t>▲14：冷轧钢板符合GB/T 3325-2024、QB/T 3826-1999、QB/T 3827-1999、GB/T 10125-2021、GB/T 36021-2018、GB/T 228.1-2021、GB/T 1741-2020标准要求且抗拉强度≥459MPa、下屈服强度(屈服强度)≥323MPa、断后伸长率≥37%、家具中可溶性重金属（锑、砷、钡、硒）未检出、家具中六价铬未检出、铜盐加速乙酸盐雾试验400h、中性盐雾试验400h、乙酸盐雾试验400h、化学成分（C(碳)、Si(硅)、Mn(锰)、P(磷)、S(硫)）、耐霉菌性等级（黄曲霉0级、宛氏拟青霉0级、出芽短梗霉0级、绳状青霉0级、大毛霉0级、产黄青霉0级、变幻青霉0级、赭绿青霉0级、短柄帚霉0级、长枝木霉0级）、产品外观性能-金属件-喷漆(塑)涂层检测合格、产品表面理化性能-金属喷漆(塑)涂层-硬度5H(未见塑性变形、内聚破坏）、耐盐浴100h检测合格、附着力检测合格。</w:t>
            </w:r>
          </w:p>
          <w:p w14:paraId="6016FDA1">
            <w:pPr>
              <w:rPr>
                <w:rFonts w:hint="eastAsia"/>
                <w:lang w:val="en-US" w:eastAsia="zh-CN"/>
              </w:rPr>
            </w:pPr>
            <w:r>
              <w:rPr>
                <w:rFonts w:hint="eastAsia"/>
                <w:lang w:val="en-US" w:eastAsia="zh-CN"/>
              </w:rPr>
              <w:t>▲15：抗菌防霉环氧树脂静电粉末符合HG/T 2006-2022、GB 18581-2020、HG/T 3950-2007、GB/T 16995-1997、GB/T 21782.13-2009、GB/T 21782.5-2010、GB/T 21782.3-2008、JT/T 600.1-2004、GB 12441-2018标准要求且筛余物检测合格、附着力检测合格、总铅(Pb)含量未检出、抗菌涂料的抗 菌性能：变幻青霉≥0级、在给定温度下胶化时间≤26S、粒径分布、流动性、密度、涂层附着性能、技术要求（燃烧时间检测合格、质量损失检测合格、炭化体积检测合格）。</w:t>
            </w:r>
          </w:p>
          <w:p w14:paraId="4732DF32">
            <w:pPr>
              <w:rPr>
                <w:rFonts w:hint="default"/>
                <w:lang w:val="en-US" w:eastAsia="zh-CN"/>
              </w:rPr>
            </w:pPr>
            <w:r>
              <w:rPr>
                <w:rFonts w:hint="eastAsia"/>
                <w:lang w:val="en-US" w:eastAsia="zh-CN"/>
              </w:rPr>
              <w:t>▲16：防霉脚套符合GB/T 32487-2016、GB/T 11547-2008、GB/T 1633-2000、GB/T 3854-2017、GB/T 24128-2018、SN/T  2249-2023、GB/T 1033.1-2008、标准要求且塑料件外观检测合格、邵氏D硬度≥HD85、5%乙酸溶液，温度70℃,浸泡48h外观无变化、维卡软化温度(VST)、巴柯尔硬度、防霉性能：康宁木霉防霉等级≥0级、34种增塑剂均未检出、密度≥0.9g/cm³。</w:t>
            </w:r>
          </w:p>
          <w:p w14:paraId="7367A089">
            <w:pPr>
              <w:pStyle w:val="6"/>
            </w:pPr>
          </w:p>
          <w:p w14:paraId="0EF17AE0">
            <w:pPr>
              <w:pStyle w:val="6"/>
              <w:rPr>
                <w:rFonts w:hint="eastAsia"/>
                <w:lang w:val="en-US" w:eastAsia="zh-CN"/>
              </w:rPr>
            </w:pPr>
          </w:p>
        </w:tc>
        <w:tc>
          <w:tcPr>
            <w:tcW w:w="632" w:type="dxa"/>
            <w:vAlign w:val="center"/>
          </w:tcPr>
          <w:p w14:paraId="47F84A99">
            <w:pPr>
              <w:rPr>
                <w:rFonts w:hint="default"/>
                <w:lang w:val="en-US" w:eastAsia="zh-CN"/>
              </w:rPr>
            </w:pPr>
            <w:r>
              <w:rPr>
                <w:rFonts w:hint="eastAsia"/>
                <w:lang w:val="en-US" w:eastAsia="zh-CN"/>
              </w:rPr>
              <w:t>660</w:t>
            </w:r>
          </w:p>
        </w:tc>
        <w:tc>
          <w:tcPr>
            <w:tcW w:w="646" w:type="dxa"/>
            <w:vAlign w:val="center"/>
          </w:tcPr>
          <w:p w14:paraId="0E62F983">
            <w:pPr>
              <w:rPr>
                <w:rFonts w:hint="eastAsia"/>
                <w:lang w:val="en-US" w:eastAsia="zh-CN"/>
              </w:rPr>
            </w:pPr>
            <w:r>
              <w:rPr>
                <w:rFonts w:hint="eastAsia"/>
                <w:lang w:val="en-US" w:eastAsia="zh-CN"/>
              </w:rPr>
              <w:t>套</w:t>
            </w:r>
          </w:p>
        </w:tc>
        <w:tc>
          <w:tcPr>
            <w:tcW w:w="1091" w:type="dxa"/>
            <w:vAlign w:val="center"/>
          </w:tcPr>
          <w:p w14:paraId="6219C832">
            <w:pPr>
              <w:rPr>
                <w:rFonts w:hint="default"/>
                <w:lang w:val="en-US" w:eastAsia="zh-CN"/>
              </w:rPr>
            </w:pPr>
            <w:r>
              <w:rPr>
                <w:rFonts w:hint="eastAsia"/>
                <w:lang w:val="en-US" w:eastAsia="zh-CN"/>
              </w:rPr>
              <w:t>240</w:t>
            </w:r>
          </w:p>
        </w:tc>
        <w:tc>
          <w:tcPr>
            <w:tcW w:w="1120" w:type="dxa"/>
            <w:vAlign w:val="center"/>
          </w:tcPr>
          <w:p w14:paraId="6273EB25">
            <w:pPr>
              <w:rPr>
                <w:rFonts w:hint="default"/>
                <w:lang w:val="en-US" w:eastAsia="zh-CN"/>
              </w:rPr>
            </w:pPr>
            <w:r>
              <w:rPr>
                <w:rFonts w:hint="eastAsia"/>
                <w:lang w:val="en-US" w:eastAsia="zh-CN"/>
              </w:rPr>
              <w:t>158400</w:t>
            </w:r>
          </w:p>
        </w:tc>
        <w:tc>
          <w:tcPr>
            <w:tcW w:w="4542" w:type="dxa"/>
            <w:vAlign w:val="center"/>
          </w:tcPr>
          <w:p w14:paraId="50B714E4">
            <w:pPr>
              <w:jc w:val="center"/>
            </w:pPr>
            <w:r>
              <w:rPr>
                <w:rFonts w:hint="eastAsia" w:eastAsia="宋体"/>
                <w:lang w:val="en-US" w:eastAsia="zh-CN"/>
              </w:rPr>
              <w:drawing>
                <wp:inline distT="0" distB="0" distL="114300" distR="114300">
                  <wp:extent cx="2621915" cy="2472055"/>
                  <wp:effectExtent l="0" t="0" r="6985" b="4445"/>
                  <wp:docPr id="1" name="图片 1" descr="f8240855-1eb4-4bdb-9953-415a8db9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240855-1eb4-4bdb-9953-415a8db97006"/>
                          <pic:cNvPicPr>
                            <a:picLocks noChangeAspect="1"/>
                          </pic:cNvPicPr>
                        </pic:nvPicPr>
                        <pic:blipFill>
                          <a:blip r:embed="rId4"/>
                          <a:stretch>
                            <a:fillRect/>
                          </a:stretch>
                        </pic:blipFill>
                        <pic:spPr>
                          <a:xfrm>
                            <a:off x="0" y="0"/>
                            <a:ext cx="2621915" cy="2472055"/>
                          </a:xfrm>
                          <a:prstGeom prst="rect">
                            <a:avLst/>
                          </a:prstGeom>
                          <a:noFill/>
                          <a:ln>
                            <a:noFill/>
                          </a:ln>
                        </pic:spPr>
                      </pic:pic>
                    </a:graphicData>
                  </a:graphic>
                </wp:inline>
              </w:drawing>
            </w:r>
          </w:p>
        </w:tc>
      </w:tr>
      <w:tr w14:paraId="48F2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454" w:type="dxa"/>
            <w:gridSpan w:val="9"/>
            <w:vAlign w:val="center"/>
          </w:tcPr>
          <w:p w14:paraId="4BD6E558">
            <w:pPr>
              <w:jc w:val="center"/>
              <w:rPr>
                <w:rFonts w:ascii="宋体" w:hAnsi="宋体" w:eastAsia="宋体" w:cs="宋体"/>
                <w:szCs w:val="21"/>
              </w:rPr>
            </w:pPr>
            <w:r>
              <w:rPr>
                <w:rFonts w:hint="eastAsia" w:ascii="宋体" w:hAnsi="宋体" w:eastAsia="宋体" w:cs="宋体"/>
                <w:szCs w:val="21"/>
              </w:rPr>
              <w:t>合计：</w:t>
            </w:r>
            <w:r>
              <w:rPr>
                <w:rFonts w:hint="default" w:ascii="Arial" w:hAnsi="Arial" w:eastAsia="宋体" w:cs="Arial"/>
                <w:szCs w:val="21"/>
                <w:u w:val="single"/>
              </w:rPr>
              <w:t>¥</w:t>
            </w:r>
            <w:r>
              <w:rPr>
                <w:rFonts w:hint="eastAsia"/>
                <w:u w:val="single"/>
                <w:lang w:val="en-US" w:eastAsia="zh-CN"/>
              </w:rPr>
              <w:t>158400（壹拾伍万捌仟肆佰元整）</w:t>
            </w:r>
          </w:p>
        </w:tc>
      </w:tr>
      <w:tr w14:paraId="658D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16454" w:type="dxa"/>
            <w:gridSpan w:val="9"/>
            <w:vAlign w:val="center"/>
          </w:tcPr>
          <w:p w14:paraId="671486A0">
            <w:pPr>
              <w:rPr>
                <w:rFonts w:hint="eastAsia" w:ascii="宋体" w:hAnsi="宋体" w:eastAsia="宋体" w:cs="宋体"/>
                <w:szCs w:val="21"/>
              </w:rPr>
            </w:pPr>
            <w:r>
              <w:rPr>
                <w:rFonts w:hint="eastAsia" w:ascii="宋体" w:hAnsi="宋体" w:eastAsia="宋体" w:cs="宋体"/>
                <w:szCs w:val="21"/>
              </w:rPr>
              <w:t>商务要求</w:t>
            </w:r>
          </w:p>
          <w:p w14:paraId="6F16C979">
            <w:pPr>
              <w:rPr>
                <w:rFonts w:hint="eastAsia" w:ascii="宋体" w:hAnsi="宋体" w:eastAsia="宋体" w:cs="宋体"/>
                <w:szCs w:val="21"/>
                <w:lang w:val="en-US" w:eastAsia="zh-CN"/>
              </w:rPr>
            </w:pPr>
            <w:r>
              <w:rPr>
                <w:rFonts w:hint="eastAsia" w:ascii="宋体" w:hAnsi="宋体" w:eastAsia="宋体" w:cs="宋体"/>
                <w:szCs w:val="21"/>
                <w:lang w:val="en-US" w:eastAsia="zh-CN"/>
              </w:rPr>
              <w:t>★供应商竞价时必须上传符合参数要求的检测报告或证明，不得上传空白的文档、空白的表格或者与本项目无关的文件滥学充数，否则即使竞价成功采购人也有权取消其成交,提供虚假材料谋取成交者将依法向政采云平台及政府采购管理部门进行举报并予以禁止报价、拉入黑名单、扣除诚信分等处罚，政采云全平台各区划联动生效。</w:t>
            </w:r>
          </w:p>
          <w:p w14:paraId="2CCE64A0">
            <w:pPr>
              <w:numPr>
                <w:ilvl w:val="0"/>
                <w:numId w:val="1"/>
              </w:numPr>
              <w:rPr>
                <w:rFonts w:hint="eastAsia" w:ascii="宋体" w:hAnsi="宋体" w:eastAsia="宋体" w:cs="宋体"/>
                <w:szCs w:val="21"/>
              </w:rPr>
            </w:pPr>
            <w:r>
              <w:rPr>
                <w:rFonts w:hint="eastAsia" w:ascii="宋体" w:hAnsi="宋体" w:eastAsia="宋体" w:cs="宋体"/>
                <w:szCs w:val="21"/>
              </w:rPr>
              <w:t>考虑到项目紧迫及售后服务方便，本项目只接受</w:t>
            </w:r>
            <w:r>
              <w:rPr>
                <w:rFonts w:hint="eastAsia" w:ascii="宋体" w:hAnsi="宋体" w:eastAsia="宋体" w:cs="宋体"/>
                <w:szCs w:val="21"/>
                <w:lang w:val="en-US" w:eastAsia="zh-CN"/>
              </w:rPr>
              <w:t>桂林</w:t>
            </w:r>
            <w:r>
              <w:rPr>
                <w:rFonts w:hint="eastAsia" w:ascii="宋体" w:hAnsi="宋体" w:eastAsia="宋体" w:cs="宋体"/>
                <w:szCs w:val="21"/>
              </w:rPr>
              <w:t>市本级供应商作为成交供应商且成交</w:t>
            </w:r>
            <w:r>
              <w:rPr>
                <w:rFonts w:hint="eastAsia" w:ascii="宋体" w:hAnsi="宋体" w:eastAsia="宋体" w:cs="宋体"/>
                <w:szCs w:val="21"/>
                <w:lang w:val="en-US" w:eastAsia="zh-CN"/>
              </w:rPr>
              <w:t>供</w:t>
            </w:r>
            <w:r>
              <w:rPr>
                <w:rFonts w:hint="eastAsia" w:ascii="宋体" w:hAnsi="宋体" w:eastAsia="宋体" w:cs="宋体"/>
                <w:szCs w:val="21"/>
              </w:rPr>
              <w:t>应商售后服务点距离采购单位不得超过5公里，非本地供应商一律不接受、不验收</w:t>
            </w:r>
            <w:r>
              <w:rPr>
                <w:rFonts w:hint="eastAsia" w:ascii="宋体" w:hAnsi="宋体" w:eastAsia="宋体" w:cs="宋体"/>
                <w:szCs w:val="21"/>
                <w:lang w:eastAsia="zh-CN"/>
              </w:rPr>
              <w:t>、</w:t>
            </w:r>
            <w:r>
              <w:rPr>
                <w:rFonts w:hint="eastAsia" w:ascii="宋体" w:hAnsi="宋体" w:eastAsia="宋体" w:cs="宋体"/>
                <w:szCs w:val="21"/>
              </w:rPr>
              <w:t>不签</w:t>
            </w:r>
            <w:r>
              <w:rPr>
                <w:rFonts w:hint="eastAsia" w:ascii="宋体" w:hAnsi="宋体" w:eastAsia="宋体" w:cs="宋体"/>
                <w:szCs w:val="21"/>
                <w:lang w:val="en-US" w:eastAsia="zh-CN"/>
              </w:rPr>
              <w:t>合同</w:t>
            </w:r>
            <w:r>
              <w:rPr>
                <w:rFonts w:hint="eastAsia" w:ascii="宋体" w:hAnsi="宋体" w:eastAsia="宋体" w:cs="宋体"/>
                <w:szCs w:val="21"/>
              </w:rPr>
              <w:t>。签订合同时需提供样品检查，如达不到要求不予签合同</w:t>
            </w:r>
            <w:r>
              <w:rPr>
                <w:rFonts w:hint="eastAsia" w:ascii="宋体" w:hAnsi="宋体" w:eastAsia="宋体" w:cs="宋体"/>
                <w:szCs w:val="21"/>
                <w:lang w:eastAsia="zh-CN"/>
              </w:rPr>
              <w:t>。</w:t>
            </w:r>
            <w:r>
              <w:rPr>
                <w:rFonts w:hint="eastAsia" w:ascii="宋体" w:hAnsi="宋体" w:eastAsia="宋体" w:cs="宋体"/>
                <w:szCs w:val="21"/>
              </w:rPr>
              <w:t>对不能满足参数要求虚假响应，或者无法正常交货影响采购人办公使用的采购人可取消本次竞价结果，并按规定对竞价供应商予以处罚和进行网上通报处理上报政府采购监管部门。并追究相关责任。</w:t>
            </w:r>
          </w:p>
          <w:p w14:paraId="52AC71B3">
            <w:pPr>
              <w:numPr>
                <w:ilvl w:val="0"/>
                <w:numId w:val="0"/>
              </w:numPr>
              <w:rPr>
                <w:rFonts w:hint="eastAsia" w:ascii="宋体" w:hAnsi="宋体" w:eastAsia="宋体" w:cs="宋体"/>
                <w:szCs w:val="21"/>
              </w:rPr>
            </w:pPr>
            <w:r>
              <w:rPr>
                <w:rFonts w:hint="eastAsia" w:ascii="宋体" w:hAnsi="宋体" w:eastAsia="宋体" w:cs="宋体"/>
                <w:szCs w:val="21"/>
              </w:rPr>
              <w:t>★2、售后服务</w:t>
            </w:r>
            <w:r>
              <w:rPr>
                <w:rFonts w:hint="eastAsia" w:ascii="宋体" w:hAnsi="宋体" w:eastAsia="宋体" w:cs="宋体"/>
                <w:szCs w:val="21"/>
                <w:lang w:val="en-US" w:eastAsia="zh-CN"/>
              </w:rPr>
              <w:t>及验收</w:t>
            </w:r>
            <w:r>
              <w:rPr>
                <w:rFonts w:hint="eastAsia" w:ascii="宋体" w:hAnsi="宋体" w:eastAsia="宋体" w:cs="宋体"/>
                <w:szCs w:val="21"/>
              </w:rPr>
              <w:t>要求:</w:t>
            </w:r>
          </w:p>
          <w:p w14:paraId="61D37BD7">
            <w:pPr>
              <w:rPr>
                <w:rFonts w:hint="eastAsia" w:ascii="宋体" w:hAnsi="宋体" w:eastAsia="宋体" w:cs="宋体"/>
                <w:szCs w:val="21"/>
              </w:rPr>
            </w:pPr>
            <w:r>
              <w:rPr>
                <w:rFonts w:hint="eastAsia" w:ascii="宋体" w:hAnsi="宋体" w:eastAsia="宋体" w:cs="宋体"/>
                <w:szCs w:val="21"/>
              </w:rPr>
              <w:t>(1)按国家标准有关规定实行“三包”，质保期</w:t>
            </w:r>
            <w:r>
              <w:rPr>
                <w:rFonts w:hint="eastAsia" w:ascii="宋体" w:hAnsi="宋体" w:eastAsia="宋体" w:cs="宋体"/>
                <w:szCs w:val="21"/>
                <w:lang w:val="en-US" w:eastAsia="zh-CN"/>
              </w:rPr>
              <w:t>五</w:t>
            </w:r>
            <w:r>
              <w:rPr>
                <w:rFonts w:hint="eastAsia" w:ascii="宋体" w:hAnsi="宋体" w:eastAsia="宋体" w:cs="宋体"/>
                <w:szCs w:val="21"/>
              </w:rPr>
              <w:t>年，自交货并验收合格之日起</w:t>
            </w:r>
            <w:r>
              <w:rPr>
                <w:rFonts w:hint="eastAsia" w:ascii="宋体" w:hAnsi="宋体" w:eastAsia="宋体" w:cs="宋体"/>
                <w:szCs w:val="21"/>
                <w:lang w:val="en-US" w:eastAsia="zh-CN"/>
              </w:rPr>
              <w:t>五</w:t>
            </w:r>
            <w:r>
              <w:rPr>
                <w:rFonts w:hint="eastAsia" w:ascii="宋体" w:hAnsi="宋体" w:eastAsia="宋体" w:cs="宋体"/>
                <w:szCs w:val="21"/>
              </w:rPr>
              <w:t>年内所有设备免费维护。</w:t>
            </w:r>
          </w:p>
          <w:p w14:paraId="76D5D1C5">
            <w:pPr>
              <w:rPr>
                <w:rFonts w:hint="eastAsia" w:ascii="宋体" w:hAnsi="宋体" w:eastAsia="宋体" w:cs="宋体"/>
                <w:szCs w:val="21"/>
              </w:rPr>
            </w:pPr>
            <w:r>
              <w:rPr>
                <w:rFonts w:hint="eastAsia" w:ascii="宋体" w:hAnsi="宋体" w:eastAsia="宋体" w:cs="宋体"/>
                <w:szCs w:val="21"/>
              </w:rPr>
              <w:t>(2)免费送货上门，安装调试。</w:t>
            </w:r>
          </w:p>
          <w:p w14:paraId="535FA490">
            <w:pPr>
              <w:rPr>
                <w:rFonts w:hint="eastAsia" w:ascii="宋体" w:hAnsi="宋体" w:eastAsia="宋体" w:cs="宋体"/>
                <w:szCs w:val="21"/>
              </w:rPr>
            </w:pPr>
            <w:r>
              <w:rPr>
                <w:rFonts w:hint="eastAsia" w:ascii="宋体" w:hAnsi="宋体" w:eastAsia="宋体" w:cs="宋体"/>
                <w:szCs w:val="21"/>
              </w:rPr>
              <w:t>(3)投标人于报价文件中对所投本项目产品的技术参数要求作出真实、有效的响应和承诺。所提供的产品(含零部件、配件等)必须为制造商原装出厂的、全新、无损伤、无变形、油漆喷涂均匀、表面无划伤、无脱落等质量问题或缺陷的产品。</w:t>
            </w:r>
          </w:p>
          <w:p w14:paraId="246DCA2E">
            <w:pPr>
              <w:rPr>
                <w:rFonts w:hint="eastAsia" w:ascii="宋体" w:hAnsi="宋体" w:eastAsia="宋体" w:cs="宋体"/>
                <w:szCs w:val="21"/>
              </w:rPr>
            </w:pPr>
            <w:r>
              <w:rPr>
                <w:rFonts w:hint="eastAsia" w:ascii="宋体" w:hAnsi="宋体" w:eastAsia="宋体" w:cs="宋体"/>
                <w:szCs w:val="21"/>
              </w:rPr>
              <w:t>★3、交付使用期:成交公告发布后</w:t>
            </w:r>
            <w:r>
              <w:rPr>
                <w:rFonts w:hint="eastAsia" w:ascii="宋体" w:hAnsi="宋体" w:eastAsia="宋体" w:cs="宋体"/>
                <w:szCs w:val="21"/>
                <w:lang w:val="en-US" w:eastAsia="zh-CN"/>
              </w:rPr>
              <w:t>1</w:t>
            </w:r>
            <w:r>
              <w:rPr>
                <w:rFonts w:hint="eastAsia" w:ascii="宋体" w:hAnsi="宋体" w:eastAsia="宋体" w:cs="宋体"/>
                <w:szCs w:val="21"/>
              </w:rPr>
              <w:t>个工作日内签订合同，签订合同后</w:t>
            </w:r>
            <w:r>
              <w:rPr>
                <w:rFonts w:hint="eastAsia" w:ascii="宋体" w:hAnsi="宋体" w:eastAsia="宋体" w:cs="宋体"/>
                <w:szCs w:val="21"/>
                <w:lang w:val="en-US" w:eastAsia="zh-CN"/>
              </w:rPr>
              <w:t>7</w:t>
            </w:r>
            <w:r>
              <w:rPr>
                <w:rFonts w:hint="eastAsia" w:ascii="宋体" w:hAnsi="宋体" w:eastAsia="宋体" w:cs="宋体"/>
                <w:szCs w:val="21"/>
              </w:rPr>
              <w:t>个工作日内完成交货。必须严格按照所列明的品牌型号规格来报价供货，成交后无法供货的按照电子卖场管理办法进行处罚。</w:t>
            </w:r>
          </w:p>
          <w:p w14:paraId="6E9B9708">
            <w:pPr>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交货地点:采购单位指定地点。</w:t>
            </w:r>
          </w:p>
          <w:p w14:paraId="3E2835BA">
            <w:pPr>
              <w:rPr>
                <w:rFonts w:ascii="宋体" w:hAnsi="宋体" w:eastAsia="宋体" w:cs="宋体"/>
                <w:szCs w:val="21"/>
              </w:rPr>
            </w:pPr>
            <w:r>
              <w:rPr>
                <w:rFonts w:hint="eastAsia" w:ascii="宋体" w:hAnsi="宋体" w:eastAsia="宋体" w:cs="宋体"/>
                <w:szCs w:val="21"/>
              </w:rPr>
              <w:t>5、其它要求:为保证项目质量，报价明显低于成本价的，采购人有权拒绝该</w:t>
            </w:r>
            <w:r>
              <w:rPr>
                <w:rFonts w:hint="eastAsia" w:ascii="宋体" w:hAnsi="宋体" w:eastAsia="宋体" w:cs="宋体"/>
                <w:szCs w:val="21"/>
                <w:lang w:val="en-US" w:eastAsia="zh-CN"/>
              </w:rPr>
              <w:t>报价。</w:t>
            </w:r>
          </w:p>
        </w:tc>
      </w:tr>
    </w:tbl>
    <w:p w14:paraId="089DFEF2">
      <w:pPr>
        <w:ind w:firstLine="400"/>
        <w:jc w:val="left"/>
      </w:pPr>
    </w:p>
    <w:sectPr>
      <w:pgSz w:w="16838" w:h="11906" w:orient="landscape"/>
      <w:pgMar w:top="958" w:right="1043" w:bottom="1066" w:left="104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A4029"/>
    <w:multiLevelType w:val="singleLevel"/>
    <w:tmpl w:val="667A40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jZhNjhlODhhNzkwY2ZiMTIzMWExZWQ0OTc2MTkifQ=="/>
    <w:docVar w:name="KSO_WPS_MARK_KEY" w:val="4d1b7062-3153-4329-9c5e-f2e943d3f9b4"/>
  </w:docVars>
  <w:rsids>
    <w:rsidRoot w:val="7C6E449F"/>
    <w:rsid w:val="00354CF6"/>
    <w:rsid w:val="004E5293"/>
    <w:rsid w:val="009F0894"/>
    <w:rsid w:val="00A566D5"/>
    <w:rsid w:val="00C36B5A"/>
    <w:rsid w:val="00DE7C79"/>
    <w:rsid w:val="01431A4A"/>
    <w:rsid w:val="01E61C2A"/>
    <w:rsid w:val="0215624C"/>
    <w:rsid w:val="02B76BEC"/>
    <w:rsid w:val="034B5C67"/>
    <w:rsid w:val="035C6DF3"/>
    <w:rsid w:val="047B1658"/>
    <w:rsid w:val="04A66578"/>
    <w:rsid w:val="062E4A77"/>
    <w:rsid w:val="064A73D7"/>
    <w:rsid w:val="06DB44D3"/>
    <w:rsid w:val="070954E4"/>
    <w:rsid w:val="07222102"/>
    <w:rsid w:val="07442078"/>
    <w:rsid w:val="07FF4EC7"/>
    <w:rsid w:val="08964B56"/>
    <w:rsid w:val="08EC29C7"/>
    <w:rsid w:val="0AAC0660"/>
    <w:rsid w:val="0B502959"/>
    <w:rsid w:val="0CE75980"/>
    <w:rsid w:val="0CFA4BCE"/>
    <w:rsid w:val="0D9B5297"/>
    <w:rsid w:val="0FC015C9"/>
    <w:rsid w:val="0FD146C5"/>
    <w:rsid w:val="10CD78AB"/>
    <w:rsid w:val="10F4634E"/>
    <w:rsid w:val="1140279F"/>
    <w:rsid w:val="11A41E98"/>
    <w:rsid w:val="12A85BB1"/>
    <w:rsid w:val="139C1734"/>
    <w:rsid w:val="13B77C29"/>
    <w:rsid w:val="14114FCE"/>
    <w:rsid w:val="151E453E"/>
    <w:rsid w:val="159D5775"/>
    <w:rsid w:val="15D12590"/>
    <w:rsid w:val="16C425FC"/>
    <w:rsid w:val="17737BAC"/>
    <w:rsid w:val="17AF793D"/>
    <w:rsid w:val="192C17FE"/>
    <w:rsid w:val="1CEC2B3E"/>
    <w:rsid w:val="1D1F4CC2"/>
    <w:rsid w:val="1D28001A"/>
    <w:rsid w:val="1F4629DA"/>
    <w:rsid w:val="1FB2006F"/>
    <w:rsid w:val="2021602E"/>
    <w:rsid w:val="20781C1C"/>
    <w:rsid w:val="228F4698"/>
    <w:rsid w:val="23887A65"/>
    <w:rsid w:val="24BC54EC"/>
    <w:rsid w:val="24D10F97"/>
    <w:rsid w:val="2580651A"/>
    <w:rsid w:val="26217764"/>
    <w:rsid w:val="2785755C"/>
    <w:rsid w:val="2A954815"/>
    <w:rsid w:val="2B364E46"/>
    <w:rsid w:val="2B6F572A"/>
    <w:rsid w:val="2BE9306B"/>
    <w:rsid w:val="2C092B4F"/>
    <w:rsid w:val="2DF337D8"/>
    <w:rsid w:val="2ED75B73"/>
    <w:rsid w:val="2EE02D95"/>
    <w:rsid w:val="2FE222AB"/>
    <w:rsid w:val="30816902"/>
    <w:rsid w:val="309061AB"/>
    <w:rsid w:val="310A7634"/>
    <w:rsid w:val="323D1918"/>
    <w:rsid w:val="34060532"/>
    <w:rsid w:val="345B262C"/>
    <w:rsid w:val="356C2617"/>
    <w:rsid w:val="359804C3"/>
    <w:rsid w:val="35FF348B"/>
    <w:rsid w:val="36F50835"/>
    <w:rsid w:val="37616F7B"/>
    <w:rsid w:val="37831BB2"/>
    <w:rsid w:val="3784633D"/>
    <w:rsid w:val="38C12F97"/>
    <w:rsid w:val="390C0398"/>
    <w:rsid w:val="39AC60EB"/>
    <w:rsid w:val="3A30455A"/>
    <w:rsid w:val="3BC44F5A"/>
    <w:rsid w:val="3D0B3B85"/>
    <w:rsid w:val="3DDE585C"/>
    <w:rsid w:val="3FE03829"/>
    <w:rsid w:val="401F224C"/>
    <w:rsid w:val="403C5D92"/>
    <w:rsid w:val="43C44B0E"/>
    <w:rsid w:val="44AF3E1D"/>
    <w:rsid w:val="45E06E35"/>
    <w:rsid w:val="4690175A"/>
    <w:rsid w:val="46DA3884"/>
    <w:rsid w:val="471F573B"/>
    <w:rsid w:val="498D2E30"/>
    <w:rsid w:val="499820CA"/>
    <w:rsid w:val="4A513E5D"/>
    <w:rsid w:val="4B0D4303"/>
    <w:rsid w:val="4B1C45C9"/>
    <w:rsid w:val="4C4A325A"/>
    <w:rsid w:val="4D1473C4"/>
    <w:rsid w:val="4D67596C"/>
    <w:rsid w:val="4D950505"/>
    <w:rsid w:val="4DA62712"/>
    <w:rsid w:val="4DAE7818"/>
    <w:rsid w:val="4E076BF8"/>
    <w:rsid w:val="4E3A10AC"/>
    <w:rsid w:val="4F0B12C8"/>
    <w:rsid w:val="4F537409"/>
    <w:rsid w:val="4FAC0B58"/>
    <w:rsid w:val="50016DC8"/>
    <w:rsid w:val="501341EF"/>
    <w:rsid w:val="506C65CD"/>
    <w:rsid w:val="50E143DE"/>
    <w:rsid w:val="512C4DA3"/>
    <w:rsid w:val="51CF2780"/>
    <w:rsid w:val="51F80808"/>
    <w:rsid w:val="53883BE1"/>
    <w:rsid w:val="53A60C78"/>
    <w:rsid w:val="54D81EAA"/>
    <w:rsid w:val="55C6638D"/>
    <w:rsid w:val="55D71179"/>
    <w:rsid w:val="574D6CAF"/>
    <w:rsid w:val="57993A07"/>
    <w:rsid w:val="58A75590"/>
    <w:rsid w:val="5A3F1F24"/>
    <w:rsid w:val="5B647768"/>
    <w:rsid w:val="5C5123E2"/>
    <w:rsid w:val="5C6B4908"/>
    <w:rsid w:val="5C9B0108"/>
    <w:rsid w:val="5D284EF1"/>
    <w:rsid w:val="5D4446A5"/>
    <w:rsid w:val="5DC15C40"/>
    <w:rsid w:val="5E4162A8"/>
    <w:rsid w:val="5E483371"/>
    <w:rsid w:val="5EA95F2E"/>
    <w:rsid w:val="5FB75A78"/>
    <w:rsid w:val="5FE64BF0"/>
    <w:rsid w:val="601D4954"/>
    <w:rsid w:val="60234096"/>
    <w:rsid w:val="6025396A"/>
    <w:rsid w:val="603B40F7"/>
    <w:rsid w:val="6162474A"/>
    <w:rsid w:val="618F6AE3"/>
    <w:rsid w:val="61F15D4B"/>
    <w:rsid w:val="62166039"/>
    <w:rsid w:val="62600C89"/>
    <w:rsid w:val="627634E0"/>
    <w:rsid w:val="62C10ED3"/>
    <w:rsid w:val="63D850F5"/>
    <w:rsid w:val="63FA21D1"/>
    <w:rsid w:val="64F31F24"/>
    <w:rsid w:val="65670581"/>
    <w:rsid w:val="659F5F6D"/>
    <w:rsid w:val="65E73470"/>
    <w:rsid w:val="67236729"/>
    <w:rsid w:val="679272FE"/>
    <w:rsid w:val="6802164F"/>
    <w:rsid w:val="69B74F25"/>
    <w:rsid w:val="6A6E5F0E"/>
    <w:rsid w:val="6ACD0E86"/>
    <w:rsid w:val="6AFC5C0F"/>
    <w:rsid w:val="6B471C00"/>
    <w:rsid w:val="6C8C2283"/>
    <w:rsid w:val="6E2C2368"/>
    <w:rsid w:val="6E645FA5"/>
    <w:rsid w:val="6EAE61CB"/>
    <w:rsid w:val="6F7F7E66"/>
    <w:rsid w:val="6F954251"/>
    <w:rsid w:val="6FC1272B"/>
    <w:rsid w:val="701B08E6"/>
    <w:rsid w:val="704716DB"/>
    <w:rsid w:val="709541F4"/>
    <w:rsid w:val="709F5073"/>
    <w:rsid w:val="71AA3CCF"/>
    <w:rsid w:val="72ED7838"/>
    <w:rsid w:val="73FE6554"/>
    <w:rsid w:val="753A6D21"/>
    <w:rsid w:val="758B02BC"/>
    <w:rsid w:val="766D176F"/>
    <w:rsid w:val="7722255A"/>
    <w:rsid w:val="77515C0F"/>
    <w:rsid w:val="775871DA"/>
    <w:rsid w:val="778D20C9"/>
    <w:rsid w:val="78314504"/>
    <w:rsid w:val="799C1322"/>
    <w:rsid w:val="7B5608F1"/>
    <w:rsid w:val="7B614BBB"/>
    <w:rsid w:val="7C09018C"/>
    <w:rsid w:val="7C6B0381"/>
    <w:rsid w:val="7C6E449F"/>
    <w:rsid w:val="7CCF6CE0"/>
    <w:rsid w:val="7D2F0F59"/>
    <w:rsid w:val="7D3F517D"/>
    <w:rsid w:val="7D4C0330"/>
    <w:rsid w:val="7D666341"/>
    <w:rsid w:val="7DE95B7F"/>
    <w:rsid w:val="7EF96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1"/>
    <w:pPr>
      <w:spacing w:before="75"/>
      <w:ind w:left="144"/>
      <w:outlineLvl w:val="1"/>
    </w:pPr>
    <w:rPr>
      <w:rFonts w:ascii="宋体" w:hAnsi="宋体" w:eastAsia="宋体" w:cs="宋体"/>
      <w:sz w:val="28"/>
      <w:szCs w:val="28"/>
      <w:lang w:val="zh-CN" w:bidi="zh-CN"/>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qFormat/>
    <w:uiPriority w:val="0"/>
    <w:pPr>
      <w:jc w:val="left"/>
    </w:pPr>
  </w:style>
  <w:style w:type="paragraph" w:styleId="6">
    <w:name w:val="Body Text"/>
    <w:basedOn w:val="1"/>
    <w:next w:val="1"/>
    <w:qFormat/>
    <w:uiPriority w:val="0"/>
    <w:pPr>
      <w:spacing w:line="380" w:lineRule="exact"/>
    </w:pPr>
    <w:rPr>
      <w:sz w:val="24"/>
    </w:rPr>
  </w:style>
  <w:style w:type="paragraph" w:styleId="7">
    <w:name w:val="Body Text Indent"/>
    <w:basedOn w:val="1"/>
    <w:next w:val="8"/>
    <w:qFormat/>
    <w:uiPriority w:val="0"/>
    <w:pPr>
      <w:spacing w:after="120"/>
      <w:ind w:left="420" w:leftChars="200"/>
    </w:pPr>
    <w:rPr>
      <w:rFonts w:ascii="Tahoma" w:hAnsi="Tahoma"/>
    </w:rPr>
  </w:style>
  <w:style w:type="paragraph" w:styleId="8">
    <w:name w:val="toc 1"/>
    <w:basedOn w:val="1"/>
    <w:next w:val="1"/>
    <w:qFormat/>
    <w:uiPriority w:val="0"/>
  </w:style>
  <w:style w:type="paragraph" w:styleId="9">
    <w:name w:val="Balloon Text"/>
    <w:basedOn w:val="1"/>
    <w:link w:val="31"/>
    <w:qFormat/>
    <w:uiPriority w:val="0"/>
    <w:rPr>
      <w:sz w:val="18"/>
      <w:szCs w:val="18"/>
    </w:rPr>
  </w:style>
  <w:style w:type="paragraph" w:styleId="10">
    <w:name w:val="footer"/>
    <w:basedOn w:val="1"/>
    <w:link w:val="33"/>
    <w:qFormat/>
    <w:uiPriority w:val="0"/>
    <w:pPr>
      <w:tabs>
        <w:tab w:val="center" w:pos="4153"/>
        <w:tab w:val="right" w:pos="8306"/>
      </w:tabs>
      <w:snapToGrid w:val="0"/>
      <w:jc w:val="left"/>
    </w:pPr>
    <w:rPr>
      <w:sz w:val="18"/>
      <w:szCs w:val="18"/>
    </w:rPr>
  </w:style>
  <w:style w:type="paragraph" w:styleId="11">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Body Text First Indent 2"/>
    <w:basedOn w:val="7"/>
    <w:next w:val="1"/>
    <w:qFormat/>
    <w:uiPriority w:val="0"/>
    <w:pPr>
      <w:tabs>
        <w:tab w:val="left" w:pos="0"/>
        <w:tab w:val="left" w:pos="993"/>
        <w:tab w:val="left" w:pos="1134"/>
      </w:tabs>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Table Paragraph"/>
    <w:basedOn w:val="1"/>
    <w:qFormat/>
    <w:uiPriority w:val="1"/>
  </w:style>
  <w:style w:type="paragraph" w:customStyle="1" w:styleId="1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19">
    <w:name w:val="font31"/>
    <w:basedOn w:val="16"/>
    <w:qFormat/>
    <w:uiPriority w:val="0"/>
    <w:rPr>
      <w:rFonts w:hint="eastAsia" w:ascii="宋体" w:hAnsi="宋体" w:eastAsia="宋体" w:cs="宋体"/>
      <w:color w:val="000000"/>
      <w:sz w:val="22"/>
      <w:szCs w:val="22"/>
      <w:u w:val="none"/>
    </w:rPr>
  </w:style>
  <w:style w:type="character" w:customStyle="1" w:styleId="20">
    <w:name w:val="font41"/>
    <w:basedOn w:val="16"/>
    <w:qFormat/>
    <w:uiPriority w:val="0"/>
    <w:rPr>
      <w:rFonts w:hint="eastAsia" w:ascii="宋体" w:hAnsi="宋体" w:eastAsia="宋体" w:cs="宋体"/>
      <w:color w:val="FF0000"/>
      <w:sz w:val="22"/>
      <w:szCs w:val="22"/>
      <w:u w:val="none"/>
    </w:rPr>
  </w:style>
  <w:style w:type="character" w:customStyle="1" w:styleId="21">
    <w:name w:val="font11"/>
    <w:basedOn w:val="16"/>
    <w:qFormat/>
    <w:uiPriority w:val="0"/>
    <w:rPr>
      <w:rFonts w:hint="eastAsia" w:ascii="宋体" w:hAnsi="宋体" w:eastAsia="宋体" w:cs="宋体"/>
      <w:b/>
      <w:bCs/>
      <w:color w:val="FF0000"/>
      <w:sz w:val="22"/>
      <w:szCs w:val="22"/>
      <w:u w:val="none"/>
    </w:rPr>
  </w:style>
  <w:style w:type="character" w:customStyle="1" w:styleId="22">
    <w:name w:val="font01"/>
    <w:basedOn w:val="16"/>
    <w:qFormat/>
    <w:uiPriority w:val="0"/>
    <w:rPr>
      <w:rFonts w:hint="eastAsia" w:ascii="宋体" w:hAnsi="宋体" w:eastAsia="宋体" w:cs="宋体"/>
      <w:color w:val="000000"/>
      <w:sz w:val="21"/>
      <w:szCs w:val="21"/>
      <w:u w:val="none"/>
    </w:rPr>
  </w:style>
  <w:style w:type="character" w:customStyle="1" w:styleId="23">
    <w:name w:val="font141"/>
    <w:basedOn w:val="16"/>
    <w:qFormat/>
    <w:uiPriority w:val="0"/>
    <w:rPr>
      <w:rFonts w:hint="eastAsia" w:ascii="宋体" w:hAnsi="宋体" w:eastAsia="宋体" w:cs="宋体"/>
      <w:color w:val="00B050"/>
      <w:sz w:val="22"/>
      <w:szCs w:val="22"/>
      <w:u w:val="none"/>
    </w:rPr>
  </w:style>
  <w:style w:type="character" w:customStyle="1" w:styleId="24">
    <w:name w:val="font151"/>
    <w:basedOn w:val="16"/>
    <w:qFormat/>
    <w:uiPriority w:val="0"/>
    <w:rPr>
      <w:rFonts w:hint="eastAsia" w:ascii="宋体" w:hAnsi="宋体" w:eastAsia="宋体" w:cs="宋体"/>
      <w:color w:val="FFC000"/>
      <w:sz w:val="22"/>
      <w:szCs w:val="22"/>
      <w:u w:val="none"/>
    </w:rPr>
  </w:style>
  <w:style w:type="character" w:customStyle="1" w:styleId="25">
    <w:name w:val="font101"/>
    <w:basedOn w:val="16"/>
    <w:qFormat/>
    <w:uiPriority w:val="0"/>
    <w:rPr>
      <w:rFonts w:hint="eastAsia" w:ascii="宋体" w:hAnsi="宋体" w:eastAsia="宋体" w:cs="宋体"/>
      <w:color w:val="FF0000"/>
      <w:sz w:val="22"/>
      <w:szCs w:val="22"/>
      <w:u w:val="none"/>
    </w:rPr>
  </w:style>
  <w:style w:type="character" w:customStyle="1" w:styleId="26">
    <w:name w:val="font181"/>
    <w:basedOn w:val="16"/>
    <w:qFormat/>
    <w:uiPriority w:val="0"/>
    <w:rPr>
      <w:rFonts w:hint="eastAsia" w:ascii="宋体" w:hAnsi="宋体" w:eastAsia="宋体" w:cs="宋体"/>
      <w:b/>
      <w:bCs/>
      <w:color w:val="FF0000"/>
      <w:sz w:val="22"/>
      <w:szCs w:val="22"/>
      <w:u w:val="none"/>
    </w:rPr>
  </w:style>
  <w:style w:type="character" w:customStyle="1" w:styleId="27">
    <w:name w:val="font221"/>
    <w:basedOn w:val="16"/>
    <w:qFormat/>
    <w:uiPriority w:val="0"/>
    <w:rPr>
      <w:rFonts w:hint="eastAsia" w:ascii="宋体" w:hAnsi="宋体" w:eastAsia="宋体" w:cs="宋体"/>
      <w:b/>
      <w:bCs/>
      <w:color w:val="4F81BD"/>
      <w:sz w:val="22"/>
      <w:szCs w:val="22"/>
      <w:u w:val="none"/>
    </w:rPr>
  </w:style>
  <w:style w:type="character" w:customStyle="1" w:styleId="28">
    <w:name w:val="font241"/>
    <w:basedOn w:val="16"/>
    <w:qFormat/>
    <w:uiPriority w:val="0"/>
    <w:rPr>
      <w:rFonts w:hint="eastAsia" w:ascii="宋体" w:hAnsi="宋体" w:eastAsia="宋体" w:cs="宋体"/>
      <w:b/>
      <w:bCs/>
      <w:color w:val="000000"/>
      <w:sz w:val="22"/>
      <w:szCs w:val="22"/>
      <w:u w:val="none"/>
    </w:rPr>
  </w:style>
  <w:style w:type="character" w:customStyle="1" w:styleId="29">
    <w:name w:val="font51"/>
    <w:basedOn w:val="16"/>
    <w:qFormat/>
    <w:uiPriority w:val="0"/>
    <w:rPr>
      <w:rFonts w:hint="eastAsia" w:ascii="宋体" w:hAnsi="宋体" w:eastAsia="宋体" w:cs="宋体"/>
      <w:color w:val="C00000"/>
      <w:sz w:val="32"/>
      <w:szCs w:val="32"/>
      <w:u w:val="none"/>
    </w:rPr>
  </w:style>
  <w:style w:type="character" w:customStyle="1" w:styleId="30">
    <w:name w:val="font131"/>
    <w:basedOn w:val="16"/>
    <w:qFormat/>
    <w:uiPriority w:val="0"/>
    <w:rPr>
      <w:rFonts w:hint="eastAsia" w:ascii="宋体" w:hAnsi="宋体" w:eastAsia="宋体" w:cs="宋体"/>
      <w:b/>
      <w:bCs/>
      <w:color w:val="FF0000"/>
      <w:sz w:val="18"/>
      <w:szCs w:val="18"/>
      <w:u w:val="none"/>
    </w:rPr>
  </w:style>
  <w:style w:type="character" w:customStyle="1" w:styleId="31">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32">
    <w:name w:val="页眉 Char"/>
    <w:basedOn w:val="16"/>
    <w:link w:val="11"/>
    <w:qFormat/>
    <w:uiPriority w:val="0"/>
    <w:rPr>
      <w:rFonts w:asciiTheme="minorHAnsi" w:hAnsiTheme="minorHAnsi" w:eastAsiaTheme="minorEastAsia" w:cstheme="minorBidi"/>
      <w:kern w:val="2"/>
      <w:sz w:val="18"/>
      <w:szCs w:val="18"/>
    </w:rPr>
  </w:style>
  <w:style w:type="character" w:customStyle="1" w:styleId="33">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2214</Words>
  <Characters>2949</Characters>
  <Lines>84</Lines>
  <Paragraphs>23</Paragraphs>
  <TotalTime>9</TotalTime>
  <ScaleCrop>false</ScaleCrop>
  <LinksUpToDate>false</LinksUpToDate>
  <CharactersWithSpaces>2975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2023-02-23T02:18:00Z</dcterms:created>
  <dc:creator>qq</dc:creator>
  <cp:lastModifiedBy>自由飞行</cp:lastModifiedBy>
  <cp:lastPrinted>2023-04-20T09:33:00Z</cp:lastPrinted>
  <dcterms:modified xsi:type="dcterms:W3CDTF">2026-07-24T03:37:44Z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A9636288F3964D4FAE346C3DEBEDA8A5_13</vt:lpwstr>
  </property>
  <property fmtid="{D5CDD505-2E9C-101B-9397-08002B2CF9AE}" pid="4" name="KSOTemplateDocerSaveRecord">
    <vt:lpwstr>eyJoZGlkIjoiN2UwNTI2ZDMxZDBmMDAxNDBmMTg3Y2Y5YjQ5ZmYzNTQiLCJ1c2VySWQiOiIxMDI0ODU5NDMyIn0=</vt:lpwstr>
  </property>
</Properties>
</file>