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CA68C">
      <w:pPr>
        <w:jc w:val="center"/>
        <w:rPr>
          <w:rFonts w:hint="eastAsia"/>
          <w:b/>
          <w:bCs/>
          <w:color w:val="auto"/>
          <w:sz w:val="28"/>
          <w:szCs w:val="28"/>
          <w:highlight w:val="none"/>
          <w:shd w:val="clear" w:color="auto" w:fill="auto"/>
          <w:lang w:val="en-US" w:eastAsia="zh-CN"/>
        </w:rPr>
      </w:pPr>
      <w:bookmarkStart w:id="0" w:name="_GoBack"/>
      <w:bookmarkEnd w:id="0"/>
      <w:r>
        <w:rPr>
          <w:rFonts w:hint="eastAsia"/>
          <w:b/>
          <w:bCs/>
          <w:color w:val="auto"/>
          <w:sz w:val="28"/>
          <w:szCs w:val="28"/>
          <w:highlight w:val="none"/>
          <w:shd w:val="clear" w:color="auto" w:fill="auto"/>
          <w:lang w:val="en-US" w:eastAsia="zh-CN"/>
        </w:rPr>
        <w:t>桂林市第八中学教学设备采购需求表</w:t>
      </w:r>
    </w:p>
    <w:tbl>
      <w:tblPr>
        <w:tblStyle w:val="9"/>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15"/>
        <w:gridCol w:w="6322"/>
        <w:gridCol w:w="483"/>
        <w:gridCol w:w="553"/>
        <w:gridCol w:w="1064"/>
        <w:gridCol w:w="1064"/>
      </w:tblGrid>
      <w:tr w14:paraId="5B57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99" w:type="dxa"/>
            <w:vAlign w:val="center"/>
          </w:tcPr>
          <w:p w14:paraId="7995A514">
            <w:pPr>
              <w:spacing w:line="276" w:lineRule="auto"/>
              <w:jc w:val="center"/>
              <w:rPr>
                <w:rFonts w:hint="default" w:hAnsi="宋体" w:cs="宋体"/>
                <w:b/>
                <w:bCs/>
                <w:color w:val="auto"/>
                <w:sz w:val="18"/>
                <w:szCs w:val="18"/>
                <w:highlight w:val="none"/>
                <w:shd w:val="clear" w:color="auto" w:fill="auto"/>
                <w:lang w:val="en-US" w:eastAsia="zh-CN"/>
              </w:rPr>
            </w:pPr>
            <w:r>
              <w:rPr>
                <w:rFonts w:hint="eastAsia" w:ascii="宋体" w:hAnsi="宋体" w:eastAsia="宋体"/>
                <w:b/>
                <w:bCs/>
                <w:color w:val="auto"/>
                <w:szCs w:val="21"/>
                <w:highlight w:val="none"/>
                <w:shd w:val="clear" w:color="auto" w:fill="auto"/>
              </w:rPr>
              <w:t>序号</w:t>
            </w:r>
          </w:p>
        </w:tc>
        <w:tc>
          <w:tcPr>
            <w:tcW w:w="815" w:type="dxa"/>
            <w:vAlign w:val="center"/>
          </w:tcPr>
          <w:p w14:paraId="4B5E9A95">
            <w:pPr>
              <w:spacing w:line="276" w:lineRule="auto"/>
              <w:jc w:val="center"/>
              <w:rPr>
                <w:rFonts w:hint="default" w:hAnsi="宋体" w:cs="宋体"/>
                <w:b/>
                <w:bCs/>
                <w:color w:val="auto"/>
                <w:sz w:val="18"/>
                <w:szCs w:val="18"/>
                <w:highlight w:val="none"/>
                <w:shd w:val="clear" w:color="auto" w:fill="auto"/>
                <w:lang w:val="en-US" w:eastAsia="zh-CN"/>
              </w:rPr>
            </w:pPr>
            <w:r>
              <w:rPr>
                <w:rFonts w:hint="eastAsia" w:ascii="宋体" w:hAnsi="宋体" w:eastAsia="宋体"/>
                <w:b/>
                <w:bCs/>
                <w:color w:val="auto"/>
                <w:szCs w:val="21"/>
                <w:highlight w:val="none"/>
                <w:shd w:val="clear" w:color="auto" w:fill="auto"/>
              </w:rPr>
              <w:t>产品名称</w:t>
            </w:r>
          </w:p>
        </w:tc>
        <w:tc>
          <w:tcPr>
            <w:tcW w:w="6322" w:type="dxa"/>
            <w:vAlign w:val="center"/>
          </w:tcPr>
          <w:p w14:paraId="40DD46F6">
            <w:pPr>
              <w:spacing w:line="276" w:lineRule="auto"/>
              <w:jc w:val="center"/>
              <w:rPr>
                <w:rFonts w:hint="default" w:hAnsi="宋体" w:cs="宋体"/>
                <w:b/>
                <w:bCs/>
                <w:color w:val="auto"/>
                <w:sz w:val="18"/>
                <w:szCs w:val="18"/>
                <w:highlight w:val="none"/>
                <w:shd w:val="clear" w:color="auto" w:fill="auto"/>
                <w:lang w:val="en-US" w:eastAsia="zh-CN"/>
              </w:rPr>
            </w:pPr>
            <w:r>
              <w:rPr>
                <w:rFonts w:hint="eastAsia" w:ascii="宋体" w:hAnsi="宋体" w:eastAsia="宋体"/>
                <w:b/>
                <w:bCs/>
                <w:color w:val="auto"/>
                <w:szCs w:val="21"/>
                <w:highlight w:val="none"/>
                <w:shd w:val="clear" w:color="auto" w:fill="auto"/>
              </w:rPr>
              <w:t>技术参数及要求</w:t>
            </w:r>
          </w:p>
        </w:tc>
        <w:tc>
          <w:tcPr>
            <w:tcW w:w="483" w:type="dxa"/>
            <w:vAlign w:val="center"/>
          </w:tcPr>
          <w:p w14:paraId="09C1EF77">
            <w:pPr>
              <w:spacing w:line="276" w:lineRule="auto"/>
              <w:jc w:val="center"/>
              <w:rPr>
                <w:rFonts w:hint="default" w:hAnsi="宋体" w:cs="宋体"/>
                <w:b/>
                <w:bCs/>
                <w:color w:val="auto"/>
                <w:sz w:val="18"/>
                <w:szCs w:val="18"/>
                <w:highlight w:val="none"/>
                <w:shd w:val="clear" w:color="auto" w:fill="auto"/>
                <w:lang w:val="en-US" w:eastAsia="zh-CN"/>
              </w:rPr>
            </w:pPr>
            <w:r>
              <w:rPr>
                <w:rFonts w:hint="eastAsia" w:ascii="宋体" w:hAnsi="宋体" w:eastAsia="宋体"/>
                <w:b/>
                <w:bCs/>
                <w:color w:val="auto"/>
                <w:szCs w:val="21"/>
                <w:highlight w:val="none"/>
                <w:shd w:val="clear" w:color="auto" w:fill="auto"/>
              </w:rPr>
              <w:t>数量</w:t>
            </w:r>
          </w:p>
        </w:tc>
        <w:tc>
          <w:tcPr>
            <w:tcW w:w="553" w:type="dxa"/>
            <w:vAlign w:val="center"/>
          </w:tcPr>
          <w:p w14:paraId="74A38918">
            <w:pPr>
              <w:spacing w:line="276" w:lineRule="auto"/>
              <w:jc w:val="center"/>
              <w:rPr>
                <w:rFonts w:hint="eastAsia" w:hAnsi="宋体" w:cs="宋体"/>
                <w:b/>
                <w:bCs/>
                <w:color w:val="auto"/>
                <w:sz w:val="18"/>
                <w:szCs w:val="18"/>
                <w:highlight w:val="none"/>
                <w:shd w:val="clear" w:color="auto" w:fill="auto"/>
                <w:lang w:val="en-US" w:eastAsia="zh-CN"/>
              </w:rPr>
            </w:pPr>
            <w:r>
              <w:rPr>
                <w:rFonts w:hint="eastAsia" w:ascii="宋体" w:hAnsi="宋体" w:eastAsia="宋体"/>
                <w:b/>
                <w:bCs/>
                <w:color w:val="auto"/>
                <w:szCs w:val="21"/>
                <w:highlight w:val="none"/>
                <w:shd w:val="clear" w:color="auto" w:fill="auto"/>
              </w:rPr>
              <w:t>单位</w:t>
            </w:r>
          </w:p>
        </w:tc>
        <w:tc>
          <w:tcPr>
            <w:tcW w:w="1064" w:type="dxa"/>
            <w:vAlign w:val="center"/>
          </w:tcPr>
          <w:p w14:paraId="297E291E">
            <w:pPr>
              <w:spacing w:line="276" w:lineRule="auto"/>
              <w:jc w:val="center"/>
              <w:rPr>
                <w:rFonts w:hint="eastAsia" w:hAnsi="宋体" w:cs="宋体"/>
                <w:b/>
                <w:bCs/>
                <w:color w:val="auto"/>
                <w:sz w:val="18"/>
                <w:szCs w:val="18"/>
                <w:highlight w:val="none"/>
                <w:shd w:val="clear" w:color="auto" w:fill="auto"/>
                <w:lang w:val="en-US" w:eastAsia="zh-CN"/>
              </w:rPr>
            </w:pPr>
            <w:r>
              <w:rPr>
                <w:rFonts w:hint="eastAsia" w:ascii="宋体" w:hAnsi="宋体" w:eastAsia="宋体"/>
                <w:b/>
                <w:bCs/>
                <w:color w:val="auto"/>
                <w:szCs w:val="21"/>
                <w:highlight w:val="none"/>
                <w:shd w:val="clear" w:color="auto" w:fill="auto"/>
              </w:rPr>
              <w:t>单价（单位：元）</w:t>
            </w:r>
          </w:p>
        </w:tc>
        <w:tc>
          <w:tcPr>
            <w:tcW w:w="1064" w:type="dxa"/>
            <w:vAlign w:val="center"/>
          </w:tcPr>
          <w:p w14:paraId="4DFAFEFF">
            <w:pPr>
              <w:spacing w:line="276" w:lineRule="auto"/>
              <w:jc w:val="center"/>
              <w:rPr>
                <w:rFonts w:hint="default" w:hAnsi="宋体" w:cs="宋体"/>
                <w:b/>
                <w:bCs/>
                <w:color w:val="auto"/>
                <w:sz w:val="18"/>
                <w:szCs w:val="18"/>
                <w:highlight w:val="none"/>
                <w:shd w:val="clear" w:color="auto" w:fill="auto"/>
                <w:lang w:val="en-US" w:eastAsia="zh-CN"/>
              </w:rPr>
            </w:pPr>
            <w:r>
              <w:rPr>
                <w:rFonts w:hint="eastAsia" w:ascii="宋体" w:hAnsi="宋体" w:eastAsia="宋体"/>
                <w:b/>
                <w:bCs/>
                <w:color w:val="auto"/>
                <w:szCs w:val="21"/>
                <w:highlight w:val="none"/>
                <w:shd w:val="clear" w:color="auto" w:fill="auto"/>
              </w:rPr>
              <w:t>总价（单位：元）</w:t>
            </w:r>
          </w:p>
        </w:tc>
      </w:tr>
      <w:tr w14:paraId="44D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99" w:type="dxa"/>
            <w:vAlign w:val="center"/>
          </w:tcPr>
          <w:p w14:paraId="2CA3D92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r>
              <w:rPr>
                <w:rFonts w:hint="eastAsia" w:hAnsi="宋体" w:cs="宋体"/>
                <w:b w:val="0"/>
                <w:bCs w:val="0"/>
                <w:color w:val="auto"/>
                <w:sz w:val="18"/>
                <w:szCs w:val="18"/>
                <w:highlight w:val="none"/>
                <w:shd w:val="clear" w:color="auto" w:fill="auto"/>
                <w:lang w:val="en-US" w:eastAsia="zh-CN"/>
              </w:rPr>
              <w:t>2</w:t>
            </w:r>
          </w:p>
        </w:tc>
        <w:tc>
          <w:tcPr>
            <w:tcW w:w="815" w:type="dxa"/>
            <w:shd w:val="clear" w:color="auto" w:fill="auto"/>
            <w:vAlign w:val="center"/>
          </w:tcPr>
          <w:p w14:paraId="6A2A11A1">
            <w:pPr>
              <w:pStyle w:val="12"/>
              <w:spacing w:line="360" w:lineRule="auto"/>
              <w:jc w:val="center"/>
              <w:rPr>
                <w:rFonts w:hint="eastAsia" w:ascii="宋体" w:hAnsi="宋体" w:eastAsia="宋体" w:cs="Times New Roman"/>
                <w:color w:val="auto"/>
                <w:kern w:val="2"/>
                <w:sz w:val="21"/>
                <w:szCs w:val="20"/>
                <w:highlight w:val="none"/>
                <w:shd w:val="clear" w:color="auto" w:fill="auto"/>
                <w:lang w:val="en-US" w:eastAsia="zh-CN" w:bidi="ar-SA"/>
              </w:rPr>
            </w:pPr>
            <w:r>
              <w:rPr>
                <w:rFonts w:hint="eastAsia" w:ascii="宋体" w:hAnsi="宋体" w:eastAsia="宋体"/>
                <w:color w:val="auto"/>
                <w:szCs w:val="21"/>
                <w:highlight w:val="none"/>
                <w:shd w:val="clear" w:color="auto" w:fill="auto"/>
                <w:lang w:val="en-US" w:eastAsia="zh-CN"/>
              </w:rPr>
              <w:t>教学电脑</w:t>
            </w:r>
          </w:p>
        </w:tc>
        <w:tc>
          <w:tcPr>
            <w:tcW w:w="6322" w:type="dxa"/>
            <w:shd w:val="clear" w:color="auto" w:fill="auto"/>
            <w:vAlign w:val="center"/>
          </w:tcPr>
          <w:p w14:paraId="3AC22837">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一、教学备课平台</w:t>
            </w:r>
          </w:p>
          <w:p w14:paraId="13CCA4CF">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1、支持PPT的原生解析，教师可将pptx课件转化为互动教学课件，支持单份导入和批量文件夹导入两种导入方式，保留pptx原文件中的文字、图片、表格等对象及动画的可编辑性，并可为课件增加互动教学元素。（投标时须提供国家认可的第三方检测机构出具的关于该功能的检测报告复印件）</w:t>
            </w:r>
          </w:p>
          <w:p w14:paraId="113D1221">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2、为使用方全体教师配备个人账号，形成一体的信息化教学账号体系；根据教师账号信息将教师云空间匹配至对应学校、学科校本资源库。支持通过数字账号、微信二维码、硬件密钥方式登录教师个人账号。</w:t>
            </w:r>
          </w:p>
          <w:p w14:paraId="71C4868E">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3、支持在课件中通过快捷键(Ctrl+F)调用搜索控件，输入文本即可查找课件内文本框、形状、表格中对应的文本匹配项。</w:t>
            </w:r>
          </w:p>
          <w:p w14:paraId="4FAD737F">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4、支持为教师提供可扩展至100TB的云存储空间，教师可在个人云空间上传存储互动课件、云教案和其他教学资源。支持上传的资源格式有：文档：ppt、pptx、word、pdf、excel；图片：bmp、png、jpg、jpeg、gif；音视频：mp3、wav、wma、ogg、aac、mp4、rmvb、wmv、avi、rm、3gp、mkv、flv、mov、svg、swf。支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p>
          <w:p w14:paraId="489FBD96">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5、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478B155A">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6、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170CA78E">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7、云教案支持插入表格、图片、音视频、文档附件。支持的音视频格式：mp3、mp4、ogg、wav、webm；支持的文档格式：pdf、doc、docx、xls、xlsx。</w:t>
            </w:r>
          </w:p>
          <w:p w14:paraId="742C0E7C">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8、提供教案模板以供老师撰写教案，预置模板包含表格式、提纲式、集备式、多课时式、单元设计式不少于7个。支持校本模板，管理员在教研管理后台设置校本模板后，老师可在云教案模板调用。</w:t>
            </w:r>
          </w:p>
          <w:p w14:paraId="0EF76320">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★9、云教案与云课件可一对多关联绑定，产生绑定后，在课件页和教案页均支持在同一面板打开关联的云课件或云教案预览，便于老师备课时相互对照。</w:t>
            </w:r>
          </w:p>
          <w:p w14:paraId="163CF9C7">
            <w:pPr>
              <w:pStyle w:val="12"/>
              <w:spacing w:line="360" w:lineRule="auto"/>
              <w:rPr>
                <w:rFonts w:hint="eastAsia" w:ascii="宋体" w:hAnsi="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10、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教师调用美化课件。</w:t>
            </w:r>
          </w:p>
          <w:p w14:paraId="3718C7C0">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11、兼容传统课件制作工具的组合快捷按键，支持如加粗（Ctrl+B）、文字居中（Ctrl+E）等教师熟悉的组合按键，鼠标悬停至功能按键时自动提示组合快捷键，内置组合快捷键数量不少于50个。</w:t>
            </w:r>
          </w:p>
          <w:p w14:paraId="65038B70">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二</w:t>
            </w:r>
            <w:r>
              <w:rPr>
                <w:rFonts w:hint="eastAsia" w:ascii="宋体" w:hAnsi="宋体" w:eastAsia="宋体" w:cs="宋体"/>
                <w:i w:val="0"/>
                <w:iCs w:val="0"/>
                <w:color w:val="auto"/>
                <w:kern w:val="0"/>
                <w:sz w:val="20"/>
                <w:szCs w:val="20"/>
                <w:highlight w:val="none"/>
                <w:u w:val="none"/>
                <w:shd w:val="clear" w:color="auto" w:fill="auto"/>
                <w:lang w:val="en-US" w:eastAsia="zh-CN" w:bidi="ar"/>
              </w:rPr>
              <w:t>、终端硬件参数</w:t>
            </w:r>
          </w:p>
          <w:p w14:paraId="6FC80D69">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1.CPU：要求国产系列CPU，主频≥3.0GHz ，≥8核处理器，≥16线程，三级缓存≥16MB。</w:t>
            </w:r>
          </w:p>
          <w:p w14:paraId="7C9EFFF2">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 内存：8GB DDR4 3200MT/s 内存或以上。</w:t>
            </w:r>
          </w:p>
          <w:p w14:paraId="139DA3BF">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 硬盘：≥512GB M.2 NVMe SSD硬盘，支持拓展机械硬盘。</w:t>
            </w:r>
          </w:p>
          <w:p w14:paraId="43937A57">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4.支持拓展9.5mm标准光驱。</w:t>
            </w:r>
          </w:p>
          <w:p w14:paraId="20D6777C">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5.支持1000Mbps。网口支持wake on LAN。</w:t>
            </w:r>
          </w:p>
          <w:p w14:paraId="1BA0D6BF">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6. 集成标准声卡。</w:t>
            </w:r>
          </w:p>
          <w:p w14:paraId="0D5ED083">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7. USB有线键盘、鼠标。</w:t>
            </w:r>
          </w:p>
          <w:p w14:paraId="41AD1913">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8.前置面板：USB3.0≥2个；USB2.0≥4个；TypeC≥1个；四段式耳麦接口≥1个（支持耳机麦克风二合一）；三段式麦克风接口≥1</w:t>
            </w:r>
          </w:p>
          <w:p w14:paraId="7984CCCE">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9.后置面板：USB3.0≥7个；音频输入≥2个；音频输出≥1个；RJ45≥1个；串口≥1个。</w:t>
            </w:r>
          </w:p>
          <w:p w14:paraId="058CBF64">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10.独立显卡：≥2G。</w:t>
            </w:r>
          </w:p>
          <w:p w14:paraId="0DFB0790">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11.内部插槽：PCIEX16≥2个（支持拓展独立显卡）；PCIEX8≥1个；PCIEX1≥1个；M.2≥1个；SATA≥4个。</w:t>
            </w:r>
          </w:p>
          <w:p w14:paraId="145E1D6E">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12.机箱体积：≤15L。</w:t>
            </w:r>
          </w:p>
          <w:p w14:paraId="19A11C4E">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13.电源功率：≤300W。</w:t>
            </w:r>
          </w:p>
          <w:p w14:paraId="0F2A578C">
            <w:pPr>
              <w:pStyle w:val="12"/>
              <w:spacing w:line="360" w:lineRule="auto"/>
              <w:rPr>
                <w:rFonts w:hint="default"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14.操作系统：配备正版国产操作系统。</w:t>
            </w:r>
          </w:p>
          <w:p w14:paraId="57D01AB4">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三、</w:t>
            </w:r>
            <w:r>
              <w:rPr>
                <w:rFonts w:hint="eastAsia" w:ascii="宋体" w:hAnsi="宋体" w:eastAsia="宋体" w:cs="宋体"/>
                <w:i w:val="0"/>
                <w:iCs w:val="0"/>
                <w:color w:val="auto"/>
                <w:kern w:val="0"/>
                <w:sz w:val="20"/>
                <w:szCs w:val="20"/>
                <w:highlight w:val="none"/>
                <w:u w:val="none"/>
                <w:shd w:val="clear" w:color="auto" w:fill="auto"/>
                <w:lang w:val="en-US" w:eastAsia="zh-CN" w:bidi="ar"/>
              </w:rPr>
              <w:t>配套专属显示器：</w:t>
            </w:r>
          </w:p>
          <w:p w14:paraId="214969A1">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1.显示器≥23.8英寸显示屏幕，分辨率≥1920*1080。</w:t>
            </w:r>
          </w:p>
          <w:p w14:paraId="724C0D9D">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★2.屏幕亮度≥250nit，IPS屏。</w:t>
            </w:r>
          </w:p>
          <w:p w14:paraId="0EFBB0AD">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3.支持VGA≥1，HDMI≥1。</w:t>
            </w:r>
          </w:p>
          <w:p w14:paraId="55ED8A75">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★4.为保证屏幕色彩显示真实度，显示屏幕DCI-P3色域覆盖率≥ 90%。（投标时须提供国家认可的第三方检测机构出具的关于该功能的检测报告复印件）</w:t>
            </w:r>
          </w:p>
          <w:p w14:paraId="1E6340AD">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5.对比度达到1000:1，屏幕刷新率达到75Hz，响应时间≤7ms，可视角度178/178。</w:t>
            </w:r>
          </w:p>
          <w:p w14:paraId="403165EC">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6.电源能效转换效率≥86%</w:t>
            </w:r>
          </w:p>
          <w:p w14:paraId="455121A9">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★7.为了适应日常使用和更好的视频播放体验，显示屏分别提供标准模式和炫彩模式选项。（投标时须提供国家认可的第三方检测机构出具的关于该功能的检测报告复印件）</w:t>
            </w:r>
          </w:p>
          <w:p w14:paraId="033587EA">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★8.为保证教师、学生的用眼舒适，显示屏幕提供护眼模式，护眼模式下，蓝光比例≤20%。（投标时须提供国家认可的第三方检测机构出具的关于该功能的检测报告复印件）</w:t>
            </w:r>
          </w:p>
          <w:p w14:paraId="5074E6EF">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★9.显示器提供阅读模式，为长时间阅读提供舒适的用眼体验。（投标时须提供国家认可的第三方检测机构出具的关于该功能的检测报告复印件）</w:t>
            </w:r>
          </w:p>
          <w:p w14:paraId="50B1CBB2">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10.显示屏幕采用窄边设计，上左右边框≤3.6mm，下边框≤16.5mm，屏占比≥92%。</w:t>
            </w:r>
          </w:p>
          <w:p w14:paraId="2C714276">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11.为保护教师、学生视力健康，硬件具备硬件低蓝光，获得TUV硬件低蓝光认证。</w:t>
            </w:r>
          </w:p>
          <w:p w14:paraId="76EB6D1F">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12.为保护教师、学生视力健康，硬件具备无频闪，获得TUV无频闪认证。</w:t>
            </w:r>
          </w:p>
          <w:p w14:paraId="204167B7">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13.为保证兼容性，显示器与教学主机保持同一品牌。</w:t>
            </w:r>
          </w:p>
          <w:p w14:paraId="5838E1C8">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四</w:t>
            </w:r>
            <w:r>
              <w:rPr>
                <w:rFonts w:hint="eastAsia" w:ascii="宋体" w:hAnsi="宋体" w:eastAsia="宋体" w:cs="宋体"/>
                <w:i w:val="0"/>
                <w:iCs w:val="0"/>
                <w:color w:val="auto"/>
                <w:kern w:val="0"/>
                <w:sz w:val="20"/>
                <w:szCs w:val="20"/>
                <w:highlight w:val="none"/>
                <w:u w:val="none"/>
                <w:shd w:val="clear" w:color="auto" w:fill="auto"/>
                <w:lang w:val="en-US" w:eastAsia="zh-CN" w:bidi="ar"/>
              </w:rPr>
              <w:t>、</w:t>
            </w:r>
            <w:r>
              <w:rPr>
                <w:rFonts w:hint="eastAsia" w:ascii="宋体" w:hAnsi="宋体" w:eastAsia="宋体" w:cs="宋体"/>
                <w:i w:val="0"/>
                <w:iCs w:val="0"/>
                <w:color w:val="auto"/>
                <w:kern w:val="0"/>
                <w:sz w:val="20"/>
                <w:szCs w:val="20"/>
                <w:u w:val="none"/>
                <w:shd w:val="clear" w:color="auto" w:fill="auto"/>
                <w:lang w:val="en-US" w:eastAsia="zh-CN" w:bidi="ar"/>
              </w:rPr>
              <w:t>终端应用软件</w:t>
            </w:r>
            <w:r>
              <w:rPr>
                <w:rFonts w:hint="eastAsia" w:ascii="宋体" w:hAnsi="宋体" w:cs="宋体"/>
                <w:i w:val="0"/>
                <w:iCs w:val="0"/>
                <w:color w:val="auto"/>
                <w:kern w:val="0"/>
                <w:sz w:val="20"/>
                <w:szCs w:val="20"/>
                <w:highlight w:val="none"/>
                <w:u w:val="none"/>
                <w:shd w:val="clear" w:color="auto" w:fill="auto"/>
                <w:lang w:val="en-US" w:eastAsia="zh-CN" w:bidi="ar"/>
              </w:rPr>
              <w:t xml:space="preserve">   </w:t>
            </w:r>
          </w:p>
          <w:p w14:paraId="1DC27E3A">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支持设备功能，支持展示当前设备的硬件信息和系统信息。支持查看硬件信息包括：CPU、主板、显卡、硬盘、显示器、网卡、声卡。支持查看系统信息，包括：操作系统、系统激活状态、连接ID、SN号、MAC地址、内外网IP。</w:t>
            </w:r>
          </w:p>
          <w:p w14:paraId="2B62AA32">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2、支持查看设备运行状态，包含当前设备内存、CPU使用率、硬盘、系统盘和网速信息。</w:t>
            </w:r>
          </w:p>
          <w:p w14:paraId="03E77686">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学校管理员支持通过手机微信扫描接收端软件的二维码登录，支持选择学校并输入设备名称，接收端软件即可完成关联学校；支持学校管理员修改已关联的设备名称。普通老师加入该学校后可在发送端软件中看到该设备并可远程创建接收夹。（投标时须提供国家认可的第三方检测机构出具的关于该功能检测报告复印件）</w:t>
            </w:r>
          </w:p>
          <w:p w14:paraId="1B6A8049">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4、支持查看当前学校的电脑列表，包括电脑设备状态、归属用户、操作系统、IP地址、上线时间与最后在线时；支持对设备进行分组管理；支持通过设备名称与归属用户进行搜索。</w:t>
            </w:r>
          </w:p>
          <w:p w14:paraId="2A0DAC8E">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5、支持查看单个电脑的硬件信息与系统信息。</w:t>
            </w:r>
          </w:p>
          <w:p w14:paraId="06668ACB">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6、支持对单个电脑或批量设备下发关机与重启指令、移动分组、移除设备。</w:t>
            </w:r>
          </w:p>
          <w:p w14:paraId="7E1A358D">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7、支持展示电脑实时的数据信息，包括CPU、内存、系统盘、总存储、实时网速数据信息，离线的设备展示最后的数据信息。</w:t>
            </w:r>
          </w:p>
          <w:p w14:paraId="763B2F08">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8、支持在统信系统与麒麟系统使用</w:t>
            </w:r>
          </w:p>
          <w:p w14:paraId="27580F4C">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9、支持使用文件快传功能，从发送端传送文件至接收端；支持一次发送20个文件；支持发送图片、视频、文档类型的文件；支持从文件夹或选择文件拖动至文件传输发送区域；支持查看待发送的文件列表；支持在待发送列表中删除文件。（投标时须提供国家认可的第三方检测机构出具的关于该功能检测报告复印件）</w:t>
            </w:r>
          </w:p>
          <w:p w14:paraId="14E53767">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★10、支持一次发送文件给不同的接收端设备。接收端离线时文件能够暂存在云端，接收端设备在线后支持进行自动下载。（投标时须提供国家认可的第三方检测机构出具的关于该功能检测报告复印件）</w:t>
            </w:r>
          </w:p>
          <w:p w14:paraId="398F8653">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★11、支持发送端发的文件在windows、统信系统、麒麟系统的接收端接收文件。（投标时须提供国家认可的第三方检测机构出具的关于该功能检测报告复印件）</w:t>
            </w:r>
          </w:p>
          <w:p w14:paraId="2F671294">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12、采用云端存储的方式，用户可在发送端软件查看上传的文件；列表展示方式包含列表视图和栅格视图；列表视图中，支持展示文件更新时间和大小。支持在栅格视图中展示小预览图，支持在列表视图中展示文件格式预览图；支持对资料夹文件进行排序，支持按照文件名称、更新时间和大小排序；支持对资料夹文件进行筛选，支持图片、音视频和文档筛选；上传的文件支持用户在手机的移动软件中查看；支持查看当前文件夹的路径，支持点击文件路径跳转至目标文件夹；文件支持根据窗口的显示大小会进行适配，一行显示不同的数量</w:t>
            </w:r>
          </w:p>
          <w:p w14:paraId="17DBE8D9">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13、支持助手栏添加并展示应用、网站和组件，可通过助手栏打开软件。支持在发送端软件内打开备课、课件库、校本资源、集体备课、作业本、快传、设备；助手栏打开多个软件时支持在窗口内部切换、关闭标签；支持对窗口进行最小化、最大化、关闭操作。（投标时须提供国家认可的第三方检测机构出具的关于该功能检测报告复印件）</w:t>
            </w:r>
          </w:p>
          <w:p w14:paraId="11489770">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14、拖动文件时，支持根据文件判定并展示需要的功能项，文件拖入功能项后打开对应的功能；功能包括PDF转格式、图片转格式、文字快剪、提取文字、发送到大屏、发送到班级；右键点击文件时，支持根据文件判定并展示需要的功能项，选择后打开对应的功能；功能包括PDF转格式、图片转格式、文字快剪、提取文字、发送到大屏、发送到资料夹。（投标时须提供国家认可的第三方检测机构出具的关于该功能检测报告复印件）</w:t>
            </w:r>
          </w:p>
          <w:p w14:paraId="1FAC8497">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shd w:val="clear" w:color="auto" w:fill="auto"/>
                <w:lang w:val="en-US" w:eastAsia="zh-CN" w:bidi="ar"/>
              </w:rPr>
              <w:t>★15.支持在线对PDF的文件进行转换格式，支持转换格式为XLSX、DOCX、PPT；转换后文件内容的排布与源PDF保持一致；PDF文件转换后支持下载文件至电脑本地，支持对转换后的文件进行编辑，包括编辑文本、编辑表格、编辑图片。（投标时须提供国家认可的第三方检测机构出具的关于该功能检测报告复印件）</w:t>
            </w:r>
          </w:p>
          <w:p w14:paraId="58C3D5DA">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cs="宋体"/>
                <w:i w:val="0"/>
                <w:iCs w:val="0"/>
                <w:color w:val="auto"/>
                <w:kern w:val="0"/>
                <w:sz w:val="20"/>
                <w:szCs w:val="20"/>
                <w:highlight w:val="none"/>
                <w:u w:val="none"/>
                <w:shd w:val="clear" w:color="auto" w:fill="auto"/>
                <w:lang w:val="en-US" w:eastAsia="zh-CN" w:bidi="ar"/>
              </w:rPr>
              <w:t>五</w:t>
            </w:r>
            <w:r>
              <w:rPr>
                <w:rFonts w:hint="eastAsia" w:ascii="宋体" w:hAnsi="宋体" w:eastAsia="宋体" w:cs="宋体"/>
                <w:i w:val="0"/>
                <w:iCs w:val="0"/>
                <w:color w:val="auto"/>
                <w:kern w:val="0"/>
                <w:sz w:val="20"/>
                <w:szCs w:val="20"/>
                <w:highlight w:val="none"/>
                <w:u w:val="none"/>
                <w:shd w:val="clear" w:color="auto" w:fill="auto"/>
                <w:lang w:val="en-US" w:eastAsia="zh-CN" w:bidi="ar"/>
              </w:rPr>
              <w:t>、其他要求</w:t>
            </w:r>
          </w:p>
          <w:p w14:paraId="69133E96">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1.为了保障设备品质及服务，设备生产厂家须通过以下认证，符合GB/T 27922-2011售后服务评价体系标准，不低于十星级售后服务认证，供货时须提供相关证明材料。</w:t>
            </w:r>
          </w:p>
          <w:p w14:paraId="554313FE">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2.为确保货物质量及原厂品质，中标供应商在正式供货时必须提供生产厂家针对此项目的售后服务保证原件、供货证明原件，否则采购方将不予验收通过。</w:t>
            </w:r>
          </w:p>
          <w:p w14:paraId="4297EA19">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3.为了确保教育数据托付管理能力、存储能力及信息安全能力，所投产品生产厂家通过GB/T36073-2018《数据管理能力成熟度评估模型》认定，供货时须提供相关证明材料。</w:t>
            </w:r>
          </w:p>
          <w:p w14:paraId="7B8E3EE3">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4.根据市场需求持续进行软件开发、更新、维护，能出具SPCA软件能力成熟度模型等级3级或以上证书复印件的，供货时须提供相关证明材料。</w:t>
            </w:r>
          </w:p>
          <w:p w14:paraId="273A02CC">
            <w:pPr>
              <w:pStyle w:val="12"/>
              <w:spacing w:line="360" w:lineRule="auto"/>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5.电脑售后服务要求质保3年。</w:t>
            </w:r>
          </w:p>
        </w:tc>
        <w:tc>
          <w:tcPr>
            <w:tcW w:w="483" w:type="dxa"/>
            <w:vAlign w:val="center"/>
          </w:tcPr>
          <w:p w14:paraId="2EBCCC6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r>
              <w:rPr>
                <w:rFonts w:hint="eastAsia" w:hAnsi="宋体" w:cs="宋体"/>
                <w:b w:val="0"/>
                <w:bCs w:val="0"/>
                <w:color w:val="auto"/>
                <w:sz w:val="18"/>
                <w:szCs w:val="18"/>
                <w:highlight w:val="none"/>
                <w:shd w:val="clear" w:color="auto" w:fill="auto"/>
                <w:lang w:val="en-US" w:eastAsia="zh-CN"/>
              </w:rPr>
              <w:t>11</w:t>
            </w:r>
          </w:p>
        </w:tc>
        <w:tc>
          <w:tcPr>
            <w:tcW w:w="553" w:type="dxa"/>
            <w:vAlign w:val="center"/>
          </w:tcPr>
          <w:p w14:paraId="37E9AD8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r>
              <w:rPr>
                <w:rFonts w:hint="eastAsia" w:hAnsi="宋体" w:cs="宋体"/>
                <w:b w:val="0"/>
                <w:bCs w:val="0"/>
                <w:color w:val="auto"/>
                <w:sz w:val="18"/>
                <w:szCs w:val="18"/>
                <w:highlight w:val="none"/>
                <w:shd w:val="clear" w:color="auto" w:fill="auto"/>
                <w:lang w:val="en-US" w:eastAsia="zh-CN"/>
              </w:rPr>
              <w:t>台</w:t>
            </w:r>
          </w:p>
        </w:tc>
        <w:tc>
          <w:tcPr>
            <w:tcW w:w="1064" w:type="dxa"/>
            <w:vAlign w:val="center"/>
          </w:tcPr>
          <w:p w14:paraId="4C438B2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r>
              <w:rPr>
                <w:rFonts w:hint="eastAsia" w:hAnsi="宋体" w:cs="宋体"/>
                <w:b w:val="0"/>
                <w:bCs w:val="0"/>
                <w:color w:val="auto"/>
                <w:sz w:val="18"/>
                <w:szCs w:val="18"/>
                <w:highlight w:val="none"/>
                <w:shd w:val="clear" w:color="auto" w:fill="auto"/>
                <w:lang w:val="en-US" w:eastAsia="zh-CN"/>
              </w:rPr>
              <w:t>6000</w:t>
            </w:r>
          </w:p>
        </w:tc>
        <w:tc>
          <w:tcPr>
            <w:tcW w:w="1064" w:type="dxa"/>
            <w:vAlign w:val="center"/>
          </w:tcPr>
          <w:p w14:paraId="2A3D314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r>
              <w:rPr>
                <w:rFonts w:hint="eastAsia" w:hAnsi="宋体" w:cs="宋体"/>
                <w:b w:val="0"/>
                <w:bCs w:val="0"/>
                <w:color w:val="auto"/>
                <w:sz w:val="18"/>
                <w:szCs w:val="18"/>
                <w:highlight w:val="none"/>
                <w:shd w:val="clear" w:color="auto" w:fill="auto"/>
                <w:lang w:val="en-US" w:eastAsia="zh-CN"/>
              </w:rPr>
              <w:t>66000</w:t>
            </w:r>
          </w:p>
        </w:tc>
      </w:tr>
      <w:tr w14:paraId="00D9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499" w:type="dxa"/>
            <w:vAlign w:val="center"/>
          </w:tcPr>
          <w:p w14:paraId="4FF1B61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18"/>
                <w:szCs w:val="18"/>
                <w:highlight w:val="none"/>
                <w:shd w:val="clear" w:color="auto" w:fill="auto"/>
                <w:lang w:val="en-US" w:eastAsia="zh-CN"/>
              </w:rPr>
            </w:pPr>
          </w:p>
        </w:tc>
        <w:tc>
          <w:tcPr>
            <w:tcW w:w="815" w:type="dxa"/>
            <w:shd w:val="clear" w:color="auto" w:fill="auto"/>
            <w:vAlign w:val="center"/>
          </w:tcPr>
          <w:p w14:paraId="3FD19C89">
            <w:pPr>
              <w:pStyle w:val="12"/>
              <w:spacing w:line="360" w:lineRule="auto"/>
              <w:jc w:val="center"/>
              <w:rPr>
                <w:rFonts w:hint="default" w:ascii="宋体" w:hAnsi="宋体" w:eastAsia="宋体" w:cs="Times New Roman"/>
                <w:color w:val="auto"/>
                <w:kern w:val="2"/>
                <w:sz w:val="21"/>
                <w:szCs w:val="20"/>
                <w:highlight w:val="none"/>
                <w:shd w:val="clear" w:color="auto" w:fill="auto"/>
                <w:lang w:val="en-US" w:eastAsia="zh-CN" w:bidi="ar-SA"/>
              </w:rPr>
            </w:pPr>
            <w:r>
              <w:rPr>
                <w:rFonts w:hint="eastAsia" w:ascii="宋体" w:hAnsi="宋体" w:cs="Times New Roman"/>
                <w:color w:val="auto"/>
                <w:kern w:val="2"/>
                <w:sz w:val="21"/>
                <w:szCs w:val="20"/>
                <w:highlight w:val="none"/>
                <w:shd w:val="clear" w:color="auto" w:fill="auto"/>
                <w:lang w:val="en-US" w:eastAsia="zh-CN" w:bidi="ar-SA"/>
              </w:rPr>
              <w:t>合计</w:t>
            </w:r>
          </w:p>
        </w:tc>
        <w:tc>
          <w:tcPr>
            <w:tcW w:w="6322" w:type="dxa"/>
            <w:shd w:val="clear" w:color="auto" w:fill="auto"/>
            <w:vAlign w:val="center"/>
          </w:tcPr>
          <w:p w14:paraId="5AF0FFC8">
            <w:pPr>
              <w:pStyle w:val="12"/>
              <w:spacing w:line="360" w:lineRule="auto"/>
              <w:rPr>
                <w:rFonts w:hint="default" w:ascii="宋体" w:hAnsi="宋体" w:cs="Times New Roman"/>
                <w:color w:val="auto"/>
                <w:kern w:val="2"/>
                <w:sz w:val="21"/>
                <w:szCs w:val="20"/>
                <w:highlight w:val="none"/>
                <w:shd w:val="clear" w:color="auto" w:fill="auto"/>
                <w:lang w:val="en-US" w:eastAsia="zh-CN" w:bidi="ar-SA"/>
              </w:rPr>
            </w:pPr>
          </w:p>
        </w:tc>
        <w:tc>
          <w:tcPr>
            <w:tcW w:w="483" w:type="dxa"/>
            <w:vAlign w:val="center"/>
          </w:tcPr>
          <w:p w14:paraId="6C67B09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18"/>
                <w:szCs w:val="18"/>
                <w:highlight w:val="none"/>
                <w:shd w:val="clear" w:color="auto" w:fill="auto"/>
                <w:lang w:val="en-US" w:eastAsia="zh-CN"/>
              </w:rPr>
            </w:pPr>
          </w:p>
        </w:tc>
        <w:tc>
          <w:tcPr>
            <w:tcW w:w="553" w:type="dxa"/>
            <w:vAlign w:val="center"/>
          </w:tcPr>
          <w:p w14:paraId="4C0ECC5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18"/>
                <w:szCs w:val="18"/>
                <w:highlight w:val="none"/>
                <w:shd w:val="clear" w:color="auto" w:fill="auto"/>
                <w:lang w:val="en-US" w:eastAsia="zh-CN"/>
              </w:rPr>
            </w:pPr>
          </w:p>
        </w:tc>
        <w:tc>
          <w:tcPr>
            <w:tcW w:w="1064" w:type="dxa"/>
            <w:vAlign w:val="center"/>
          </w:tcPr>
          <w:p w14:paraId="2275800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p>
        </w:tc>
        <w:tc>
          <w:tcPr>
            <w:tcW w:w="1064" w:type="dxa"/>
            <w:vAlign w:val="center"/>
          </w:tcPr>
          <w:p w14:paraId="09A5715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p>
        </w:tc>
      </w:tr>
    </w:tbl>
    <w:p w14:paraId="4FED2497">
      <w:pPr>
        <w:rPr>
          <w:color w:val="auto"/>
          <w:highlight w:val="none"/>
          <w:shd w:val="clear" w:color="auto" w:fill="auto"/>
        </w:rPr>
      </w:pPr>
    </w:p>
    <w:p w14:paraId="7F3DBD0E">
      <w:pPr>
        <w:rPr>
          <w:color w:val="auto"/>
          <w:highlight w:val="none"/>
          <w:shd w:val="clear" w:color="auto" w:fill="auto"/>
        </w:rPr>
      </w:pPr>
    </w:p>
    <w:p w14:paraId="2B2A3788">
      <w:pPr>
        <w:rPr>
          <w:rFonts w:hint="eastAsia" w:eastAsiaTheme="minorEastAsia"/>
          <w:color w:val="auto"/>
          <w:highlight w:val="none"/>
          <w:shd w:val="clear" w:color="auto" w:fill="auto"/>
          <w:lang w:val="en-US" w:eastAsia="zh-CN"/>
        </w:rPr>
      </w:pP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8135"/>
      </w:tblGrid>
      <w:tr w14:paraId="3BB8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922" w:type="dxa"/>
            <w:gridSpan w:val="2"/>
            <w:vAlign w:val="center"/>
          </w:tcPr>
          <w:p w14:paraId="64DBA9F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18"/>
                <w:szCs w:val="18"/>
                <w:highlight w:val="none"/>
                <w:shd w:val="clear" w:color="auto" w:fill="auto"/>
                <w:lang w:val="en-US" w:eastAsia="zh-CN"/>
              </w:rPr>
            </w:pPr>
            <w:r>
              <w:rPr>
                <w:rFonts w:hint="eastAsia" w:hAnsi="宋体" w:cs="宋体"/>
                <w:b/>
                <w:bCs/>
                <w:color w:val="auto"/>
                <w:sz w:val="24"/>
                <w:szCs w:val="24"/>
                <w:highlight w:val="none"/>
                <w:shd w:val="clear" w:color="auto" w:fill="auto"/>
                <w:lang w:val="en-US" w:eastAsia="zh-CN"/>
              </w:rPr>
              <w:t>商务条款</w:t>
            </w:r>
          </w:p>
        </w:tc>
      </w:tr>
      <w:tr w14:paraId="7993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87" w:type="dxa"/>
            <w:vAlign w:val="center"/>
          </w:tcPr>
          <w:p w14:paraId="5893AF70">
            <w:pPr>
              <w:widowControl/>
              <w:jc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售后服务要求及免费保修期</w:t>
            </w:r>
          </w:p>
        </w:tc>
        <w:tc>
          <w:tcPr>
            <w:tcW w:w="8135" w:type="dxa"/>
            <w:vAlign w:val="center"/>
          </w:tcPr>
          <w:p w14:paraId="249EC599">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1.免费质保期：按国家有关产品“三包”规定执行“三包”；所投教学电脑产品提供原厂质保期最短不得少于3年(自货物验收合格之日起计算)。免费送货上门、安装、调试合格。</w:t>
            </w:r>
          </w:p>
          <w:p w14:paraId="082F7569">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2.质保期内免费维修、更换配件，提供免费上门服务。</w:t>
            </w:r>
          </w:p>
          <w:p w14:paraId="06CF9287">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3.设备如出现故障接到用户通知后在2小时内响应，12小时内上门服务，24小时内解决故障；未能在规定时间内排除故障的，必须在48小时内提供同档次的备用机。</w:t>
            </w:r>
          </w:p>
          <w:p w14:paraId="6274F7E2">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4.免费提供现场技术培训，保证使用人员正常操作系统的各项功能。</w:t>
            </w:r>
          </w:p>
        </w:tc>
      </w:tr>
      <w:tr w14:paraId="154B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87" w:type="dxa"/>
            <w:vAlign w:val="center"/>
          </w:tcPr>
          <w:p w14:paraId="08B579C4">
            <w:pPr>
              <w:widowControl/>
              <w:jc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交付使用时间及地点</w:t>
            </w:r>
          </w:p>
        </w:tc>
        <w:tc>
          <w:tcPr>
            <w:tcW w:w="8135" w:type="dxa"/>
            <w:vAlign w:val="center"/>
          </w:tcPr>
          <w:p w14:paraId="76EE0112">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1.交货时间：教学电脑自合同签订之日起15个工作日内交货，接到采购人安装通知后5日内安装调试完毕交付使用。</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2.交货地点：广西桂林市采购人指定地点。</w:t>
            </w:r>
          </w:p>
        </w:tc>
      </w:tr>
      <w:tr w14:paraId="7B20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787" w:type="dxa"/>
            <w:vAlign w:val="center"/>
          </w:tcPr>
          <w:p w14:paraId="32E2B224">
            <w:pPr>
              <w:widowControl/>
              <w:spacing w:line="360" w:lineRule="auto"/>
              <w:jc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付款方式</w:t>
            </w:r>
          </w:p>
        </w:tc>
        <w:tc>
          <w:tcPr>
            <w:tcW w:w="8135" w:type="dxa"/>
            <w:vAlign w:val="center"/>
          </w:tcPr>
          <w:p w14:paraId="38137030">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本项目无预付款，在货物安装验收合格及设备正常使用后60日内支付合同金额给成交供应商。</w:t>
            </w:r>
          </w:p>
        </w:tc>
      </w:tr>
      <w:tr w14:paraId="5CE1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1787" w:type="dxa"/>
            <w:vAlign w:val="center"/>
          </w:tcPr>
          <w:p w14:paraId="1A1CA7D8">
            <w:pPr>
              <w:widowControl/>
              <w:spacing w:line="360" w:lineRule="auto"/>
              <w:jc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验收标准</w:t>
            </w:r>
          </w:p>
        </w:tc>
        <w:tc>
          <w:tcPr>
            <w:tcW w:w="8135" w:type="dxa"/>
            <w:vAlign w:val="center"/>
          </w:tcPr>
          <w:p w14:paraId="226AED72">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中标供应商所提供的货物与投标文件中承诺的技术参数不符的或未提供以上货物去采购人处进行验收的，采购人将报同级财政监督管理部门进行处理，由此导致整批货物被拒收或索赔而引发的所有损失由中标供应商承担。</w:t>
            </w:r>
          </w:p>
          <w:p w14:paraId="19DEC8A8">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2.本项目的货物必须是原装正品行货、全新未开封的、符合国家标准的产品， 中标供应商按采购人的要求地址进行送货到位，验收时货物有不响应采购需求的，不予验收，采购人将报同级财政监督管理部门进行处理， 由此导致整批货物被拒收或索赔而引发的所有损失由中标供应商承担。</w:t>
            </w:r>
          </w:p>
          <w:p w14:paraId="5E2784F4">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3.备品备件及耗材等要求：本项目采购的全部设备和零部件、配件及安装材料必须是未经使用的、全新的，并符合国家相关质量标准的。</w:t>
            </w:r>
          </w:p>
          <w:p w14:paraId="7AFFBE2C">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4.产品属于国家强制标准要求的，必须提供产品相应符合标准证明材料。</w:t>
            </w:r>
          </w:p>
          <w:p w14:paraId="37202DEF">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5.凡要求中标人提供性能参数承诺函及相关检测报告的，验收时按承诺函中性能 参数标定及相关检测报告标准进行验收。</w:t>
            </w:r>
          </w:p>
          <w:p w14:paraId="60D8E3E1">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6.验收过程中，如采购人觉得有必要，可以邀请有资质的第三方检测机构对中标供应商提供的产品进行检测，费用由中标供应商负担。</w:t>
            </w:r>
          </w:p>
        </w:tc>
      </w:tr>
      <w:tr w14:paraId="0085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787" w:type="dxa"/>
            <w:vAlign w:val="center"/>
          </w:tcPr>
          <w:p w14:paraId="5B687990">
            <w:pPr>
              <w:widowControl/>
              <w:spacing w:line="360" w:lineRule="auto"/>
              <w:jc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其他要求</w:t>
            </w:r>
          </w:p>
        </w:tc>
        <w:tc>
          <w:tcPr>
            <w:tcW w:w="8135" w:type="dxa"/>
            <w:vAlign w:val="center"/>
          </w:tcPr>
          <w:p w14:paraId="3330454D">
            <w:pPr>
              <w:widowControl/>
              <w:spacing w:line="360" w:lineRule="auto"/>
              <w:jc w:val="left"/>
              <w:rPr>
                <w:rFonts w:hint="eastAsia" w:ascii="宋体" w:hAnsi="宋体" w:eastAsia="宋体" w:cs="宋体"/>
                <w:b/>
                <w:bCs/>
                <w:i w:val="0"/>
                <w:iCs w:val="0"/>
                <w:color w:val="auto"/>
                <w:kern w:val="0"/>
                <w:sz w:val="20"/>
                <w:szCs w:val="20"/>
                <w:highlight w:val="none"/>
                <w:u w:val="none"/>
                <w:shd w:val="clear" w:color="auto" w:fill="auto"/>
                <w:lang w:val="en-US" w:eastAsia="zh-CN" w:bidi="ar"/>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1.为确保货物质量及原厂品质，中标供应商在正式供货时必须提供生产厂家针对此项目的售后服务保证原件（加盖厂家公章）、供货证明原件（加盖厂家公章），否则采购方将不予验收通过。</w:t>
            </w:r>
          </w:p>
          <w:p w14:paraId="7E965D93">
            <w:pPr>
              <w:widowControl/>
              <w:spacing w:line="360" w:lineRule="auto"/>
              <w:jc w:val="left"/>
              <w:rPr>
                <w:rFonts w:hint="eastAsia" w:ascii="宋体" w:hAnsi="宋体" w:eastAsia="宋体" w:cs="宋体"/>
                <w:b/>
                <w:bCs/>
                <w:i w:val="0"/>
                <w:iCs w:val="0"/>
                <w:color w:val="auto"/>
                <w:kern w:val="0"/>
                <w:sz w:val="20"/>
                <w:szCs w:val="20"/>
                <w:highlight w:val="none"/>
                <w:u w:val="none"/>
                <w:shd w:val="clear" w:color="auto" w:fill="auto"/>
                <w:lang w:val="en-US" w:eastAsia="zh-CN" w:bidi="ar"/>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2.报价时须上传采购需求文件中要求提供的相关证明文件，并通过采购人审核通过，如果没有上传相关证明材料或提供的证明材料不符合要求，则视为投标报价无效。</w:t>
            </w:r>
          </w:p>
          <w:p w14:paraId="47469329">
            <w:pPr>
              <w:widowControl/>
              <w:spacing w:line="360" w:lineRule="auto"/>
              <w:jc w:val="left"/>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3.本项目货物不接受进口产品（即通过中国海关报关验放进入中国境内且产自关境外的产品）参与投标。</w:t>
            </w:r>
          </w:p>
        </w:tc>
      </w:tr>
    </w:tbl>
    <w:p w14:paraId="18C6BE8E">
      <w:pPr>
        <w:pStyle w:val="2"/>
        <w:jc w:val="both"/>
        <w:rPr>
          <w:color w:val="auto"/>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YzY5MjFhNjIwZjQyMDY1N2M3MGE5MDQwMTZjOTcifQ=="/>
  </w:docVars>
  <w:rsids>
    <w:rsidRoot w:val="3C6F109E"/>
    <w:rsid w:val="124E72A0"/>
    <w:rsid w:val="13515C6D"/>
    <w:rsid w:val="14E05B4D"/>
    <w:rsid w:val="199FF4AF"/>
    <w:rsid w:val="1EFE5577"/>
    <w:rsid w:val="26B801AB"/>
    <w:rsid w:val="354E5181"/>
    <w:rsid w:val="3C6F109E"/>
    <w:rsid w:val="3CCF6877"/>
    <w:rsid w:val="3DC22992"/>
    <w:rsid w:val="3DEA0A8B"/>
    <w:rsid w:val="3EB33737"/>
    <w:rsid w:val="3FEF095B"/>
    <w:rsid w:val="413278BE"/>
    <w:rsid w:val="41ED0B1F"/>
    <w:rsid w:val="42707E35"/>
    <w:rsid w:val="44D516DB"/>
    <w:rsid w:val="5A0D1AF0"/>
    <w:rsid w:val="6198032E"/>
    <w:rsid w:val="674A762B"/>
    <w:rsid w:val="682922CA"/>
    <w:rsid w:val="6B77AEA6"/>
    <w:rsid w:val="6F272038"/>
    <w:rsid w:val="701658F3"/>
    <w:rsid w:val="71D35419"/>
    <w:rsid w:val="73FF294F"/>
    <w:rsid w:val="752F0D63"/>
    <w:rsid w:val="759E37A9"/>
    <w:rsid w:val="77CB503B"/>
    <w:rsid w:val="77FF3ADF"/>
    <w:rsid w:val="79956BE2"/>
    <w:rsid w:val="7B8F5440"/>
    <w:rsid w:val="7E427D0F"/>
    <w:rsid w:val="7FEDBF36"/>
    <w:rsid w:val="9FFB3915"/>
    <w:rsid w:val="BFFEECF0"/>
    <w:rsid w:val="DAAF2B3C"/>
    <w:rsid w:val="F3F27110"/>
    <w:rsid w:val="F9FE4F3C"/>
    <w:rsid w:val="FABB8F0C"/>
    <w:rsid w:val="FDFEDCEA"/>
    <w:rsid w:val="FE3FD4AA"/>
    <w:rsid w:val="FE7F36D1"/>
    <w:rsid w:val="FFD318E2"/>
    <w:rsid w:val="FFFF8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4"/>
    <w:basedOn w:val="1"/>
    <w:next w:val="1"/>
    <w:qFormat/>
    <w:uiPriority w:val="0"/>
    <w:pPr>
      <w:keepNext/>
      <w:keepLines/>
      <w:spacing w:before="280" w:after="290" w:line="480" w:lineRule="exact"/>
      <w:jc w:val="center"/>
      <w:outlineLvl w:val="3"/>
    </w:pPr>
    <w:rPr>
      <w:rFonts w:ascii="Cambria" w:hAnsi="Cambria" w:eastAsia="宋体" w:cs="Times New Roman"/>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0"/>
    <w:pPr>
      <w:adjustRightInd w:val="0"/>
      <w:snapToGrid w:val="0"/>
      <w:spacing w:line="360" w:lineRule="atLeast"/>
      <w:ind w:firstLine="640" w:firstLineChars="200"/>
    </w:pPr>
    <w:rPr>
      <w:rFonts w:ascii="Arial" w:hAnsi="Arial"/>
    </w:rPr>
  </w:style>
  <w:style w:type="paragraph" w:styleId="7">
    <w:name w:val="Plain Text"/>
    <w:basedOn w:val="1"/>
    <w:qFormat/>
    <w:uiPriority w:val="0"/>
    <w:rPr>
      <w:rFonts w:ascii="宋体" w:hAnsi="Courier New"/>
      <w:szCs w:val="20"/>
    </w:rPr>
  </w:style>
  <w:style w:type="paragraph" w:styleId="8">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styleId="13">
    <w:name w:val="List Paragraph"/>
    <w:basedOn w:val="1"/>
    <w:qFormat/>
    <w:uiPriority w:val="0"/>
    <w:pPr>
      <w:widowControl/>
      <w:ind w:firstLine="420" w:firstLineChars="200"/>
      <w:jc w:val="left"/>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4895</Words>
  <Characters>5320</Characters>
  <Lines>0</Lines>
  <Paragraphs>0</Paragraphs>
  <TotalTime>6</TotalTime>
  <ScaleCrop>false</ScaleCrop>
  <LinksUpToDate>false</LinksUpToDate>
  <CharactersWithSpaces>5341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2024-08-04T19:12:00Z</dcterms:created>
  <dc:creator>WPS_1514269075</dc:creator>
  <cp:lastModifiedBy>Alex.M.Q</cp:lastModifiedBy>
  <dcterms:modified xsi:type="dcterms:W3CDTF">2026-07-18T04:44:56Z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0C7E710A6B2A71816BBB586A2C0D8334_43</vt:lpwstr>
  </property>
  <property fmtid="{D5CDD505-2E9C-101B-9397-08002B2CF9AE}" pid="4" name="KSOTemplateDocerSaveRecord">
    <vt:lpwstr>eyJoZGlkIjoiY2EyNzEwODM0Mjg2NTcwNmU4M2ZhODJkNjAwMjc3ZmEiLCJ1c2VySWQiOiI0NTQ4NzIzNTIifQ==</vt:lpwstr>
  </property>
</Properties>
</file>