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FCA68C">
      <w:pPr>
        <w:jc w:val="center"/>
        <w:rPr>
          <w:rFonts w:hint="eastAsia"/>
          <w:b/>
          <w:bCs/>
          <w:color w:val="000000" w:themeColor="text1"/>
          <w:sz w:val="28"/>
          <w:szCs w:val="28"/>
          <w:highlight w:val="none"/>
          <w:lang w:val="en-US" w:eastAsia="zh-CN"/>
          <w14:textFill>
            <w14:solidFill>
              <w14:schemeClr w14:val="tx1"/>
            </w14:solidFill>
          </w14:textFill>
        </w:rPr>
      </w:pPr>
      <w:r>
        <w:rPr>
          <w:rFonts w:hint="eastAsia"/>
          <w:b/>
          <w:bCs/>
          <w:color w:val="000000" w:themeColor="text1"/>
          <w:sz w:val="28"/>
          <w:szCs w:val="28"/>
          <w:highlight w:val="none"/>
          <w:lang w:val="en-US" w:eastAsia="zh-CN"/>
          <w14:textFill>
            <w14:solidFill>
              <w14:schemeClr w14:val="tx1"/>
            </w14:solidFill>
          </w14:textFill>
        </w:rPr>
        <w:t>桂林市逸仙中学多媒体教学设备采购需求表</w:t>
      </w:r>
    </w:p>
    <w:tbl>
      <w:tblPr>
        <w:tblStyle w:val="9"/>
        <w:tblW w:w="10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9"/>
        <w:gridCol w:w="815"/>
        <w:gridCol w:w="6322"/>
        <w:gridCol w:w="483"/>
        <w:gridCol w:w="553"/>
        <w:gridCol w:w="1064"/>
        <w:gridCol w:w="1064"/>
      </w:tblGrid>
      <w:tr w14:paraId="5B571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499" w:type="dxa"/>
            <w:vAlign w:val="center"/>
          </w:tcPr>
          <w:p w14:paraId="7995A514">
            <w:pPr>
              <w:spacing w:line="276" w:lineRule="auto"/>
              <w:jc w:val="center"/>
              <w:rPr>
                <w:rFonts w:hint="default" w:hAnsi="宋体" w:cs="宋体"/>
                <w:b/>
                <w:bCs/>
                <w:color w:val="000000" w:themeColor="text1"/>
                <w:sz w:val="18"/>
                <w:szCs w:val="18"/>
                <w:highlight w:val="none"/>
                <w:lang w:val="en-US" w:eastAsia="zh-CN"/>
                <w14:textFill>
                  <w14:solidFill>
                    <w14:schemeClr w14:val="tx1"/>
                  </w14:solidFill>
                </w14:textFill>
              </w:rPr>
            </w:pPr>
            <w:r>
              <w:rPr>
                <w:rFonts w:hint="eastAsia" w:ascii="宋体" w:hAnsi="宋体" w:eastAsia="宋体"/>
                <w:b/>
                <w:bCs/>
                <w:color w:val="000000" w:themeColor="text1"/>
                <w:szCs w:val="21"/>
                <w:highlight w:val="none"/>
                <w14:textFill>
                  <w14:solidFill>
                    <w14:schemeClr w14:val="tx1"/>
                  </w14:solidFill>
                </w14:textFill>
              </w:rPr>
              <w:t>序号</w:t>
            </w:r>
          </w:p>
        </w:tc>
        <w:tc>
          <w:tcPr>
            <w:tcW w:w="815" w:type="dxa"/>
            <w:vAlign w:val="center"/>
          </w:tcPr>
          <w:p w14:paraId="4B5E9A95">
            <w:pPr>
              <w:spacing w:line="276" w:lineRule="auto"/>
              <w:jc w:val="center"/>
              <w:rPr>
                <w:rFonts w:hint="default" w:hAnsi="宋体" w:cs="宋体"/>
                <w:b/>
                <w:bCs/>
                <w:color w:val="000000" w:themeColor="text1"/>
                <w:sz w:val="18"/>
                <w:szCs w:val="18"/>
                <w:highlight w:val="none"/>
                <w:lang w:val="en-US" w:eastAsia="zh-CN"/>
                <w14:textFill>
                  <w14:solidFill>
                    <w14:schemeClr w14:val="tx1"/>
                  </w14:solidFill>
                </w14:textFill>
              </w:rPr>
            </w:pPr>
            <w:r>
              <w:rPr>
                <w:rFonts w:hint="eastAsia" w:ascii="宋体" w:hAnsi="宋体" w:eastAsia="宋体"/>
                <w:b/>
                <w:bCs/>
                <w:color w:val="000000" w:themeColor="text1"/>
                <w:szCs w:val="21"/>
                <w:highlight w:val="none"/>
                <w14:textFill>
                  <w14:solidFill>
                    <w14:schemeClr w14:val="tx1"/>
                  </w14:solidFill>
                </w14:textFill>
              </w:rPr>
              <w:t>产品名称</w:t>
            </w:r>
          </w:p>
        </w:tc>
        <w:tc>
          <w:tcPr>
            <w:tcW w:w="6322" w:type="dxa"/>
            <w:vAlign w:val="center"/>
          </w:tcPr>
          <w:p w14:paraId="40DD46F6">
            <w:pPr>
              <w:spacing w:line="276" w:lineRule="auto"/>
              <w:jc w:val="center"/>
              <w:rPr>
                <w:rFonts w:hint="default" w:hAnsi="宋体" w:cs="宋体"/>
                <w:b/>
                <w:bCs/>
                <w:color w:val="000000" w:themeColor="text1"/>
                <w:sz w:val="18"/>
                <w:szCs w:val="18"/>
                <w:highlight w:val="none"/>
                <w:lang w:val="en-US" w:eastAsia="zh-CN"/>
                <w14:textFill>
                  <w14:solidFill>
                    <w14:schemeClr w14:val="tx1"/>
                  </w14:solidFill>
                </w14:textFill>
              </w:rPr>
            </w:pPr>
            <w:r>
              <w:rPr>
                <w:rFonts w:hint="eastAsia" w:ascii="宋体" w:hAnsi="宋体" w:eastAsia="宋体"/>
                <w:b/>
                <w:bCs/>
                <w:color w:val="000000" w:themeColor="text1"/>
                <w:szCs w:val="21"/>
                <w:highlight w:val="none"/>
                <w14:textFill>
                  <w14:solidFill>
                    <w14:schemeClr w14:val="tx1"/>
                  </w14:solidFill>
                </w14:textFill>
              </w:rPr>
              <w:t>技术参数及要求</w:t>
            </w:r>
          </w:p>
        </w:tc>
        <w:tc>
          <w:tcPr>
            <w:tcW w:w="483" w:type="dxa"/>
            <w:vAlign w:val="center"/>
          </w:tcPr>
          <w:p w14:paraId="09C1EF77">
            <w:pPr>
              <w:spacing w:line="276" w:lineRule="auto"/>
              <w:jc w:val="center"/>
              <w:rPr>
                <w:rFonts w:hint="default" w:hAnsi="宋体" w:cs="宋体"/>
                <w:b/>
                <w:bCs/>
                <w:color w:val="000000" w:themeColor="text1"/>
                <w:sz w:val="18"/>
                <w:szCs w:val="18"/>
                <w:highlight w:val="none"/>
                <w:lang w:val="en-US" w:eastAsia="zh-CN"/>
                <w14:textFill>
                  <w14:solidFill>
                    <w14:schemeClr w14:val="tx1"/>
                  </w14:solidFill>
                </w14:textFill>
              </w:rPr>
            </w:pPr>
            <w:r>
              <w:rPr>
                <w:rFonts w:hint="eastAsia" w:ascii="宋体" w:hAnsi="宋体" w:eastAsia="宋体"/>
                <w:b/>
                <w:bCs/>
                <w:color w:val="000000" w:themeColor="text1"/>
                <w:szCs w:val="21"/>
                <w:highlight w:val="none"/>
                <w14:textFill>
                  <w14:solidFill>
                    <w14:schemeClr w14:val="tx1"/>
                  </w14:solidFill>
                </w14:textFill>
              </w:rPr>
              <w:t>数量</w:t>
            </w:r>
          </w:p>
        </w:tc>
        <w:tc>
          <w:tcPr>
            <w:tcW w:w="553" w:type="dxa"/>
            <w:vAlign w:val="center"/>
          </w:tcPr>
          <w:p w14:paraId="74A38918">
            <w:pPr>
              <w:spacing w:line="276" w:lineRule="auto"/>
              <w:jc w:val="center"/>
              <w:rPr>
                <w:rFonts w:hint="eastAsia" w:hAnsi="宋体" w:cs="宋体"/>
                <w:b/>
                <w:bCs/>
                <w:color w:val="000000" w:themeColor="text1"/>
                <w:sz w:val="18"/>
                <w:szCs w:val="18"/>
                <w:highlight w:val="none"/>
                <w:lang w:val="en-US" w:eastAsia="zh-CN"/>
                <w14:textFill>
                  <w14:solidFill>
                    <w14:schemeClr w14:val="tx1"/>
                  </w14:solidFill>
                </w14:textFill>
              </w:rPr>
            </w:pPr>
            <w:r>
              <w:rPr>
                <w:rFonts w:hint="eastAsia" w:ascii="宋体" w:hAnsi="宋体" w:eastAsia="宋体"/>
                <w:b/>
                <w:bCs/>
                <w:color w:val="000000" w:themeColor="text1"/>
                <w:szCs w:val="21"/>
                <w:highlight w:val="none"/>
                <w14:textFill>
                  <w14:solidFill>
                    <w14:schemeClr w14:val="tx1"/>
                  </w14:solidFill>
                </w14:textFill>
              </w:rPr>
              <w:t>单位</w:t>
            </w:r>
          </w:p>
        </w:tc>
        <w:tc>
          <w:tcPr>
            <w:tcW w:w="1064" w:type="dxa"/>
            <w:vAlign w:val="center"/>
          </w:tcPr>
          <w:p w14:paraId="297E291E">
            <w:pPr>
              <w:spacing w:line="276" w:lineRule="auto"/>
              <w:jc w:val="center"/>
              <w:rPr>
                <w:rFonts w:hint="eastAsia" w:hAnsi="宋体" w:cs="宋体"/>
                <w:b/>
                <w:bCs/>
                <w:color w:val="000000" w:themeColor="text1"/>
                <w:sz w:val="18"/>
                <w:szCs w:val="18"/>
                <w:highlight w:val="none"/>
                <w:lang w:val="en-US" w:eastAsia="zh-CN"/>
                <w14:textFill>
                  <w14:solidFill>
                    <w14:schemeClr w14:val="tx1"/>
                  </w14:solidFill>
                </w14:textFill>
              </w:rPr>
            </w:pPr>
            <w:r>
              <w:rPr>
                <w:rFonts w:hint="eastAsia" w:ascii="宋体" w:hAnsi="宋体" w:eastAsia="宋体"/>
                <w:b/>
                <w:bCs/>
                <w:color w:val="000000" w:themeColor="text1"/>
                <w:szCs w:val="21"/>
                <w:highlight w:val="none"/>
                <w14:textFill>
                  <w14:solidFill>
                    <w14:schemeClr w14:val="tx1"/>
                  </w14:solidFill>
                </w14:textFill>
              </w:rPr>
              <w:t>单价（单位：元）</w:t>
            </w:r>
          </w:p>
        </w:tc>
        <w:tc>
          <w:tcPr>
            <w:tcW w:w="1064" w:type="dxa"/>
            <w:vAlign w:val="center"/>
          </w:tcPr>
          <w:p w14:paraId="4DFAFEFF">
            <w:pPr>
              <w:spacing w:line="276" w:lineRule="auto"/>
              <w:jc w:val="center"/>
              <w:rPr>
                <w:rFonts w:hint="default" w:hAnsi="宋体" w:cs="宋体"/>
                <w:b/>
                <w:bCs/>
                <w:color w:val="000000" w:themeColor="text1"/>
                <w:sz w:val="18"/>
                <w:szCs w:val="18"/>
                <w:highlight w:val="none"/>
                <w:lang w:val="en-US" w:eastAsia="zh-CN"/>
                <w14:textFill>
                  <w14:solidFill>
                    <w14:schemeClr w14:val="tx1"/>
                  </w14:solidFill>
                </w14:textFill>
              </w:rPr>
            </w:pPr>
            <w:r>
              <w:rPr>
                <w:rFonts w:hint="eastAsia" w:ascii="宋体" w:hAnsi="宋体" w:eastAsia="宋体"/>
                <w:b/>
                <w:bCs/>
                <w:color w:val="000000" w:themeColor="text1"/>
                <w:szCs w:val="21"/>
                <w:highlight w:val="none"/>
                <w14:textFill>
                  <w14:solidFill>
                    <w14:schemeClr w14:val="tx1"/>
                  </w14:solidFill>
                </w14:textFill>
              </w:rPr>
              <w:t>总价（单位：元）</w:t>
            </w:r>
          </w:p>
        </w:tc>
      </w:tr>
      <w:tr w14:paraId="72CC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499" w:type="dxa"/>
            <w:vAlign w:val="center"/>
          </w:tcPr>
          <w:p w14:paraId="06D0859A">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themeColor="text1"/>
                <w:sz w:val="18"/>
                <w:szCs w:val="18"/>
                <w:highlight w:val="none"/>
                <w:lang w:val="en-US" w:eastAsia="zh-CN"/>
                <w14:textFill>
                  <w14:solidFill>
                    <w14:schemeClr w14:val="tx1"/>
                  </w14:solidFill>
                </w14:textFill>
              </w:rPr>
            </w:pPr>
            <w:r>
              <w:rPr>
                <w:rFonts w:hint="eastAsia" w:hAnsi="宋体" w:cs="宋体"/>
                <w:b w:val="0"/>
                <w:bCs w:val="0"/>
                <w:color w:val="000000" w:themeColor="text1"/>
                <w:sz w:val="18"/>
                <w:szCs w:val="18"/>
                <w:highlight w:val="none"/>
                <w:lang w:val="en-US" w:eastAsia="zh-CN"/>
                <w14:textFill>
                  <w14:solidFill>
                    <w14:schemeClr w14:val="tx1"/>
                  </w14:solidFill>
                </w14:textFill>
              </w:rPr>
              <w:t>1</w:t>
            </w:r>
          </w:p>
        </w:tc>
        <w:tc>
          <w:tcPr>
            <w:tcW w:w="815" w:type="dxa"/>
            <w:shd w:val="clear" w:color="auto" w:fill="auto"/>
            <w:vAlign w:val="center"/>
          </w:tcPr>
          <w:p w14:paraId="54015A62">
            <w:pPr>
              <w:keepNext w:val="0"/>
              <w:keepLines w:val="0"/>
              <w:widowControl/>
              <w:suppressLineNumbers w:val="0"/>
              <w:jc w:val="center"/>
              <w:textAlignment w:val="center"/>
              <w:rPr>
                <w:rFonts w:hint="default" w:ascii="宋体" w:hAnsi="宋体" w:eastAsia="宋体" w:cs="宋体"/>
                <w:i w:val="0"/>
                <w:iCs w:val="0"/>
                <w:color w:val="000000" w:themeColor="text1"/>
                <w:kern w:val="2"/>
                <w:sz w:val="20"/>
                <w:szCs w:val="20"/>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交互智能平板（六年质保）</w:t>
            </w:r>
          </w:p>
        </w:tc>
        <w:tc>
          <w:tcPr>
            <w:tcW w:w="6322" w:type="dxa"/>
            <w:shd w:val="clear" w:color="auto" w:fill="auto"/>
            <w:vAlign w:val="center"/>
          </w:tcPr>
          <w:p w14:paraId="34298978">
            <w:pPr>
              <w:pStyle w:val="8"/>
              <w:spacing w:line="360" w:lineRule="auto"/>
              <w:ind w:left="0" w:leftChars="0" w:firstLine="0" w:firstLineChars="0"/>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（一）交互智能平板设备</w:t>
            </w:r>
          </w:p>
          <w:p w14:paraId="5A70034D">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一、集体备课设计</w:t>
            </w:r>
          </w:p>
          <w:p w14:paraId="75BF3CF2">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1、发起集备：支持选择教案、课件、胶囊资源上传发起集备研讨，支持设置多重访问权限，通过手机号搜索即可邀请外校老师，可用于跨校教研场景。</w:t>
            </w:r>
          </w:p>
          <w:p w14:paraId="3460D2F5">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2、进入集备：支持搜索集备名称/老师昵称，或按照学科/学段/年级/教材章节，我参与的/我发起的几个维度进行筛选查看，支持手机端/PC端进入集备页面。</w:t>
            </w:r>
          </w:p>
          <w:p w14:paraId="6BC8516D">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3、集备研讨：参备成员可通过评论区发表观点，通过评论回复，点赞等功能营造浓厚的研讨氛围，评论消息支持实时提醒，支持图片的上传。</w:t>
            </w:r>
          </w:p>
          <w:p w14:paraId="2AB26668">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4、在线批注：参备人在电脑端及手机端都可在线对教案进行随文式批注，追加批注，回复以及查看实时批注消息。支持对课件进行打点式的批注，通过批注快速定位研讨内容，高效完成协同备课。</w:t>
            </w:r>
          </w:p>
          <w:p w14:paraId="56AEC75E">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5、稿件编辑：完成本次研讨后，主备人可直接进入编辑页面编辑课件/教案，发布新稿件后，备课组进入下一轮打磨更新稿件后会给参备老师实时同步教研动态。</w:t>
            </w:r>
          </w:p>
          <w:p w14:paraId="3037FDDD">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6、稿件对比：可对集备中多稿的课件/教案/胶囊进行内容的横向对比，支持批注研讨过程数据对比回溯；</w:t>
            </w:r>
          </w:p>
          <w:p w14:paraId="39F992B1">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7、获取稿件：参备成员可以随时获取和下载每一稿中的集备稿件到云课件，进行编辑或引用。</w:t>
            </w:r>
          </w:p>
          <w:p w14:paraId="787F03B3">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8、完成集备：完成研讨后，可以生成集体备课报告。集备终稿会自动上传到校本资源库，主备人可自定义上传目录，参备人即可前往校本资源库获取集备终稿。</w:t>
            </w:r>
          </w:p>
          <w:p w14:paraId="35C616D0">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9、音视频教研活动：研讨发起人在研讨过程中支持在线发起多人音视频研讨在线讨论，构建线上多现场同步研讨，更高效、更针对性的解决问题，研讨内容自动形成音视频记录，有效提高网络教研效率，将音视频技术与集体备课、主题研讨等常规教研活动深度融合。</w:t>
            </w:r>
          </w:p>
          <w:p w14:paraId="10906D89">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二、整机接口设计</w:t>
            </w:r>
          </w:p>
          <w:p w14:paraId="32F7D658">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1、前置USB接口支持Android系统、Windows系统读取外接移动存储设备。</w:t>
            </w:r>
          </w:p>
          <w:p w14:paraId="366BD143">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2、侧置输入接口具备2路HDMI、1路RS232（RJ45形态）、1路USB接口。</w:t>
            </w:r>
          </w:p>
          <w:p w14:paraId="38BF3485">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3、侧置输出接口具备1路音频输出、1路触控USB输出。</w:t>
            </w:r>
          </w:p>
          <w:p w14:paraId="1F564983">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4、前置输入接口3路USB接口（包含1路Type-C、2路USB）。</w:t>
            </w:r>
          </w:p>
          <w:p w14:paraId="3476C3A4">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★4、支持通过Type-C接口U盘进行文件传输，兼容Type-C接口手机充电。</w:t>
            </w:r>
          </w:p>
          <w:p w14:paraId="6E798089">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5、支持通过Type-C接口U盘进行文件传输，兼容Type-C接口手机充电。</w:t>
            </w:r>
          </w:p>
          <w:p w14:paraId="137E790B">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三、整机音视频设计</w:t>
            </w:r>
          </w:p>
          <w:p w14:paraId="534A3823">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整机内置2.2声道扬声器，顶置朝前发声，12W高音扬声器2个，上朝向30W中低音扬声器2个，最大功率≥84W，单个扬声器容积≥0.62L，最低谐振频率≤85Hz。（投标时须提供国家认可的第三方检测机构出具的关于该功能检测报告复印件）</w:t>
            </w:r>
          </w:p>
          <w:p w14:paraId="23F1D38D">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2、整机可选择高级音效设置，支持在左右声道平衡显示范围中进行更改。中低频段可选择调节范围125Hz～1kHz，高频段可选择调节范围 2kHz～16kHz，分贝可选择调节范围-12dB～12dB。</w:t>
            </w:r>
          </w:p>
          <w:p w14:paraId="69E48CF4">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3、整机内置扬声器采用缝隙发声技术，喇叭采用槽式开口设计，扬声器在100%音量下，可做到1米处声压级≥92dB，10米处声压级≥82dB。</w:t>
            </w:r>
          </w:p>
          <w:p w14:paraId="66A55D22">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4、整机全部扬声器均采用模块化设计，无需打开背板即可单独拆卸，便于维护。整机内置麦克风声源定位算法，声源定位精度≤5度，可以识别回答问题的学生方位。（投标时须提供国家认可的第三方检测机构出具的关于该功能检测报告复印件）</w:t>
            </w:r>
          </w:p>
          <w:p w14:paraId="6101F531">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5、整机内置非独立外扩展的8阵列麦克风，拾音角度≥180°，可用于对教室环境音频进行采集，拾音距离≥12m。</w:t>
            </w:r>
          </w:p>
          <w:p w14:paraId="46B6832E">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6、内置摄像头、麦克风无需外接线材连接，无任何可见外接线材及模块化拼接痕迹，未占用整机设备端口。</w:t>
            </w:r>
          </w:p>
          <w:p w14:paraId="14466D3D">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7、整机听力模式下具备AI人声语言增强功能，支持三挡强弱调节，通过AI算法提取视频/音频中的语言进行效果增强，在不增加音量的情况下提升语言清晰度，扩声系统语言传输指数（STIPA）≥0.75。（投标时须提供国家认可的第三方检测机构出具的关于该功能检测报告复印件）</w:t>
            </w:r>
          </w:p>
          <w:p w14:paraId="0C19EDA7">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8、整机具备≥5个摄像头，支持同时输出5路画面，视频画面覆盖整个教室1.7m-9m处全教室场景图像采集，内置摄像头（非外扩），PC通道下支持通过视频展台软件调用摄像头进行二维码扫码识别。</w:t>
            </w:r>
          </w:p>
          <w:p w14:paraId="2CEF2B83">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★9、整机上边框内置非独立式摄像头，摄像头数量≥5个，其中至少四个摄像头像素值均≥1300 万，支持拍摄有效像素数≥5200万的照片，支持拍摄8192×2772分辨率的视频。整机上边框内置非独立式四个智能拼接摄像头，在1.5m处拍摄ISO12233 8倍大小图卡，边缘和中心的清晰度TV lines 均≥ 1800 lines。整机上边框内置非独立式四个智能拼接摄像头，视场角≥151度且水平视场角≥132度。（投标时须提供国家认可的第三方检测机构出具的关于该功能检测报告复印件）</w:t>
            </w:r>
          </w:p>
          <w:p w14:paraId="57314D15">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10、整机上边框内置非独立的广角高清摄像头，在距离整机1.7米情况下，且拍摄范围可以覆盖摄像头垂直法线左右距离大于等于4米，可以实现人脸识别。</w:t>
            </w:r>
          </w:p>
          <w:p w14:paraId="59136741">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11、整机摄像头支持环境色温判断，根据环境调节合适的显示图像效果。</w:t>
            </w:r>
          </w:p>
          <w:p w14:paraId="141568C1">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12、整机上边框内置非独立式广角摄像头和智能拼接摄像头， 均支持 3D 降噪算法和数字宽动态范围成像WDR 技术，支持输出 MJPG、 H.264 视频格式。</w:t>
            </w:r>
          </w:p>
          <w:p w14:paraId="4D6894C9">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★13、整机内置智能体AI图像生成功能 ，支持通过语音与大屏开展职业主题对话交互。大屏可同步生成对应职业形象，并将其转化为对话智能体实现双向对话交流。（投标时须提供国家认可的第三方检测机构出具的关于该功能检测报告复印件）</w:t>
            </w:r>
          </w:p>
          <w:p w14:paraId="588059D6">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四、整机屏幕设计</w:t>
            </w:r>
          </w:p>
          <w:p w14:paraId="6F49CA0C">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1、整机采用一体设计，外部无任何可见内部功能模块连接线。边角采用弧形设计，表面无尖锐边缘或凸起。</w:t>
            </w:r>
          </w:p>
          <w:p w14:paraId="1B6DB589">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2、整机采用边框背板一体化冲压成型，上左右三边边框与背板连接处无拼缝，提升整机整体强度和刚性，坚固可靠。</w:t>
            </w:r>
          </w:p>
          <w:p w14:paraId="66D88A5C">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★3、整机屏幕采用≥86英寸液晶显示器，整机采⽤LED液晶A规屏，显示分辨率3840x2160。</w:t>
            </w:r>
          </w:p>
          <w:p w14:paraId="0031D4AD">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4、屏幕采用≤3mm防眩光钢化玻璃保护，表面硬度≥9H，莫氏硬度≥7级，透光率不低于91%，雾度≤8%。</w:t>
            </w:r>
          </w:p>
          <w:p w14:paraId="380848CD">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5、整机内置全视角背光增光膜，通过增光膜对背光光源进行均光，在屏幕中心亮度≥350cd/㎡下，增加屏幕两侧亮度，使得整机水平方向法线60度视角下，实际屏幕的观看有效亮度≥110cd/㎡。（投标时须提供国家认可的第三方检测机构出具的关于该功能检测报告复印件）</w:t>
            </w:r>
          </w:p>
          <w:p w14:paraId="536874D3">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6、整机采用硬件低蓝光背光技术，在源头减少有害蓝光波段能量，蓝光占比（有害蓝光415～455nm能量综合）/（整体蓝光400～500能量综合）≤50%，低蓝光保护显示不偏色、不泛黄。</w:t>
            </w:r>
          </w:p>
          <w:p w14:paraId="61BE5650">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7、整机支持支持可自定义图像设置，可对对比度、屏幕色温、图像亮度、亮度范围、色彩空间进行更进一步调节设置。</w:t>
            </w:r>
          </w:p>
          <w:p w14:paraId="2F2DA3A7">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★8、整机背光系统支持DC调光方式，多级亮度调节，支持白颜色背景下最暗亮度≤100nit，用于提升显示对比度。（投标时须提供国家认可的第三方检测机构出具的关于该功能检测报告复印件）</w:t>
            </w:r>
          </w:p>
          <w:p w14:paraId="750AB500">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五、多媒体教学设计</w:t>
            </w:r>
          </w:p>
          <w:p w14:paraId="358FD21D">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1、整机全通道侧边栏快捷菜单包含如下小工具：批注、降半屏、截屏、放大镜、倒计时、日历、聚光灯、秒表、冻屏、倒数日、答题、节拍器。</w:t>
            </w:r>
          </w:p>
          <w:p w14:paraId="3F92B02E">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2、整机全通道侧边栏支持使用批注小工具进行批注讲解，可切换书写笔颜色、截屏保存批注内容、清屏，可根据手与屏幕的接触面积自动调整板擦工具的大小。</w:t>
            </w:r>
          </w:p>
          <w:p w14:paraId="5E79F28E">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3、整机全通道侧边栏快捷菜单支持快捷调节音量、亮度，支持自动亮度模式，支持点击静音按钮静音。</w:t>
            </w:r>
          </w:p>
          <w:p w14:paraId="625EB665">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4、教学中可以实时查看物联设备的连接情况，点击任意一台设备图标即可调出中控菜单进行管控。</w:t>
            </w:r>
          </w:p>
          <w:p w14:paraId="37701027">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5、整机自带学生古诗词学习软件，提供古诗词的赏析与作者背景介绍，部分诗词配套音频或视频资源。软件搭载游戏闯关模式，可进行古诗词相关的答题挑战。（投标时须提供国家认可的第三方检测机构出具的关于该功能检测报告复印件）</w:t>
            </w:r>
          </w:p>
          <w:p w14:paraId="0FFFF33D">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6、整机安卓和全部外接通道（HDMI、Type-C）下侧边栏支持设置倒数日。</w:t>
            </w:r>
          </w:p>
          <w:p w14:paraId="00E9F95E">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7、整机全通道侧边栏支持倒计时、正计时功能；倒计时，输入某特定时间值，可精确到秒，点击开始进入倒计时；正计时，点击开始计时便自动开始，并实时显示时间。</w:t>
            </w:r>
          </w:p>
          <w:p w14:paraId="58691501">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8、教学支持放大任意区域内容；并可支持对未选中区域关灯处理，实现聚光灯效果。</w:t>
            </w:r>
          </w:p>
          <w:p w14:paraId="7EA306AC">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9、整机内置手势答题小工具，支持老师在课中发起互动选择题，学生通过手势给出对应答案，通过摄像头进行捕捉和AI识别，最终收集回作答情况，形成课中的互动学情。（投标时须提供国家认可的第三方检测机构出具的关于该功能检测报告复印件）</w:t>
            </w:r>
          </w:p>
          <w:p w14:paraId="2A843858">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六、整机系统设计</w:t>
            </w:r>
          </w:p>
          <w:p w14:paraId="14DA9BC6">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（一）电脑系统</w:t>
            </w:r>
          </w:p>
          <w:p w14:paraId="78D784EA">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1、CPU：搭载Intel  酷睿系列≥ i5 CPU。</w:t>
            </w:r>
          </w:p>
          <w:p w14:paraId="262BD98A">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2、内存：8GB DDR4笔记本内存或以上配置。</w:t>
            </w:r>
          </w:p>
          <w:p w14:paraId="504A2984">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3、硬盘：512GB或以上SSD固态硬盘。</w:t>
            </w:r>
          </w:p>
          <w:p w14:paraId="6B76D710">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4、PC模块可抽拉式插入整机，可实现无单独接线的插拔，和整机的连接采用万兆级接口，传输速率≥10Gbps。</w:t>
            </w:r>
          </w:p>
          <w:p w14:paraId="33398984">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5、采用按压式卡扣，无需工具就可快速拆卸电脑模块。</w:t>
            </w:r>
          </w:p>
          <w:p w14:paraId="74AAB931">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6、PC模块的USB接口须为冗余备份接口，在正常使用整机的内置摄像头、内置麦克风功能时，USB接口不被占用，确保教师有足够的接口外接存储设备及显示设备。</w:t>
            </w:r>
          </w:p>
          <w:p w14:paraId="1DD82EC2">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7、具有独立非外扩展的视频输出接口：≥1路HDMI 。</w:t>
            </w:r>
          </w:p>
          <w:p w14:paraId="27395E61">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8、具有独立非外拓展的电脑 USB 接口：至少具备 3个USB3.0 接口。</w:t>
            </w:r>
          </w:p>
          <w:p w14:paraId="59B9CC33">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★9、整机具备供电保护模块，能够检测内置电脑是否插好在位，在内置电脑未在位的情况下，内置电脑无法上电工作。</w:t>
            </w:r>
          </w:p>
          <w:p w14:paraId="3E1979E5">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（二）触摸系统</w:t>
            </w:r>
          </w:p>
          <w:p w14:paraId="38865E2F">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★1、整机采用红外触控技术，Windows系统和Android系统均支持≥50点触控及书写划线。（投标时须提供国家认可的第三方检测机构出具的关于该功能检测报告复印件）</w:t>
            </w:r>
          </w:p>
          <w:p w14:paraId="4AB826D3">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2、整机屏幕触摸有效识别高度不超过1.5mm，即触摸物体距离玻璃外表面高度不超过1.5mm时，触摸屏识别为点击操作。</w:t>
            </w:r>
          </w:p>
          <w:p w14:paraId="22B24798">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3、整机触控书写功能集成预测算法，支持多档预测速度可调节，在书写速度≥50cm/s，支持笔迹距离笔的距离小于20mm。</w:t>
            </w:r>
          </w:p>
          <w:p w14:paraId="45A7BFF5">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4、整机书写触控延迟≤25ms。</w:t>
            </w:r>
          </w:p>
          <w:p w14:paraId="482F8D8D">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5、整机支持提笔书写，在Windows系统下可实现无需点击任意功能入口，当检测到红外笔笔尖接触屏幕时，自动进入书写模式。整机支持单笔双色，支持同一支笔，笔头、笔尾书写不同的颜色，且颜色可自定义。（投标时须提供国家认可的第三方检测机构出具的关于该功能检测报告复印件）</w:t>
            </w:r>
          </w:p>
          <w:p w14:paraId="439C456F">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6、支持智能板擦功能，系统可根据触控物体的形状自动识别出实物板擦，可擦除电子白板中的内容，无需依赖外部电子设备。</w:t>
            </w:r>
          </w:p>
          <w:p w14:paraId="4F373DEA">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7、支持Windows 7、Windows 8、Windows 10、Windows11、Linux、Mac Os、UOS和麒麟系统外置电脑操作系统接入时，无需安装触摸驱动。</w:t>
            </w:r>
          </w:p>
          <w:p w14:paraId="192D89A2">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8、整机左、右、下三边框皆具备磁吸功能，边框任意位置可吸附具备磁吸功能的书写笔，吸附稳定不掉落，磁吸拉力≥60g，方便教具的收纳管理。（投标时须提供国家认可的第三方检测机构出具的关于该功能检测报告复印件）</w:t>
            </w:r>
          </w:p>
          <w:p w14:paraId="0750B7BF">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（三）嵌入式系统</w:t>
            </w:r>
          </w:p>
          <w:p w14:paraId="252ED75E">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★1、整机采用≥12核国产化嵌入式芯片，CPU≥8核，整机嵌入式系统版本≥Android 15，主频≥1.6GHz，内存≥2GB，DDR最大速率≥2666MT/S，存储空间≥32GB。（投标时须提供国家认可的第三方检测机构出具的关于该功能检测报告复印件）</w:t>
            </w:r>
          </w:p>
          <w:p w14:paraId="5B878D2A">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2、嵌入式Android操作系统下，白板支持对已经书写的笔迹和形状的颜色进行更换。</w:t>
            </w:r>
          </w:p>
          <w:p w14:paraId="47C44757">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3、在嵌入式系统下使用白板软件时，整机可自行调节屏幕亮度</w:t>
            </w:r>
          </w:p>
          <w:p w14:paraId="502858A6">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4、嵌入式Android操作系统下，互动白板支持不同背景颜色，同时提供学科背景，如：五线谱、信纸、田字格、英文格、篮球和足球场地平面图。</w:t>
            </w:r>
          </w:p>
          <w:p w14:paraId="291AF2EE">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5、无PC状态下，嵌入式系统内置互动白板支持十笔书写及手掌擦除（手掌擦除面积根据手掌与屏幕的接触面大小自动调整），白板书写内容可以PDF、IWB和SVG格式导出。支持10种以上平面图形工具。支持8种以上立体图形工具。</w:t>
            </w:r>
          </w:p>
          <w:p w14:paraId="0ADFCB70">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6、无PC状态下，嵌入式系统内置互动白板支持全局漫游，并能在工具栏中对全局内容进行预览和移动。</w:t>
            </w:r>
          </w:p>
          <w:p w14:paraId="5C6DBFB1">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7、无PC状态下，嵌入式Android操作系统下可使用白板书写、WPS软件和网页浏览。</w:t>
            </w:r>
          </w:p>
          <w:p w14:paraId="7A59E24F">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七、综合素质管理软件</w:t>
            </w:r>
          </w:p>
          <w:p w14:paraId="3A64A55B">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1、支持通过数字账号、微信二维码、硬件密钥方式登录教师个人账号。</w:t>
            </w:r>
          </w:p>
          <w:p w14:paraId="3490CF90">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2、移动端支持教师/家长双重身份无缝切换，软件内可直接切换账户类型，无需安装多个APP应用或退出账号重新登录。</w:t>
            </w:r>
          </w:p>
          <w:p w14:paraId="408EA01D">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★3、兼容多平台系统，可在PC、Web、安卓、iOS等系统使用，且各终端数据互通，教师可多场景下对学生进行管理与评价。</w:t>
            </w:r>
          </w:p>
          <w:p w14:paraId="6F08E5A9">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4、支持汇总查看校内的班级评价排名，可以列表形式查看班主任、班级学生数、家长数、班级代码等信息。</w:t>
            </w:r>
          </w:p>
          <w:p w14:paraId="014B68B5">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5、支持查看校内某个班级的详细信息及学生个人表现记录，便于进行教学行为分析。</w:t>
            </w:r>
          </w:p>
          <w:p w14:paraId="0EDE0D17">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6、支持创建新班级，可批量添加学生，同时支持将已有班级的学生与家长快速导入新班级。</w:t>
            </w:r>
          </w:p>
          <w:p w14:paraId="78CD67CF">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7、支持进行校级、年级学生综合素质量表快速导入，教师可将针对不同年级学段以及校级综合素质量表快速导入班级。</w:t>
            </w:r>
          </w:p>
          <w:p w14:paraId="0138C8B4">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8、支持按学生或小组的首字母、总分、表扬分数、待改进分数等维度进行排序，方便老师快速找到需要评价的学生或小组。</w:t>
            </w:r>
          </w:p>
          <w:p w14:paraId="227D61A3">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9、支持考勤功能，可对学生的出勤、迟到、缺勤、请假状态进行记录，并支持查看课堂考勤统计报表，可详细查看班级考勤概览数据。</w:t>
            </w:r>
          </w:p>
          <w:p w14:paraId="5967DDBB">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10、支持网页端、PC授课端查看学生成长统计报表，按饼状图形式展现学生课堂表现情况，支持查看班级或学生个人情况，并可追溯每条评价的原因、对象、分值，便于教师进行精准评价。</w:t>
            </w:r>
          </w:p>
          <w:p w14:paraId="7ED54EF7">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11、系统支持通过教师日常点评数据及专业心理测试，对学生能力进行分析，分析维度包括专注力、行为习惯、理解力、探索性、表达能力、组织能力等，并对各个能力维度进行能力解释、得分量化、潜力分析。</w:t>
            </w:r>
          </w:p>
          <w:p w14:paraId="5A4617CF">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八、教学功能设计</w:t>
            </w:r>
          </w:p>
          <w:p w14:paraId="36C90A49">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1、整机能感应并自动调节屏幕亮度来达到在不同光照环境下的不同亮度显示效果。此功能可自行开启或关闭。</w:t>
            </w:r>
          </w:p>
          <w:p w14:paraId="0BF0DEF4">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2、整机设备开机启动后，自动进入教学桌面，支持账号登录、退出，自动获取个人云端教学课件列表、并可进入全部课件列表。</w:t>
            </w:r>
          </w:p>
          <w:p w14:paraId="1ECF1561">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3、整机内置触摸中控菜单，可查看当前正在运行的应用，支持应用切换，在全屏应用下无需退出全屏应用即可进行切换；支持应用关闭，以及关闭所有应用。</w:t>
            </w:r>
          </w:p>
          <w:p w14:paraId="5C3B9E1E">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4、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投标时须提供国家认可的第三方检测机构出具的关于该功能检测报告复印件）</w:t>
            </w:r>
          </w:p>
          <w:p w14:paraId="63C3E954">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5、整机可将应用编辑到教学桌面首页，编辑方式支持从教学桌面首页进入编辑，支持在全部应用列表中进入编辑2种方式。教学桌面首页应用支持无需进入应用编辑页面，在首页指定应用上长按进行移除。</w:t>
            </w:r>
          </w:p>
          <w:p w14:paraId="5B309EC5">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6、整机全通道侧边栏支持展示学校名称、设备班级、场地信息。</w:t>
            </w:r>
          </w:p>
          <w:p w14:paraId="5D0F3767">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7、整机内置全通道侧边栏快捷菜单，小工具、应用软件、快捷设置、亮度/音量调节、教室物联入口。</w:t>
            </w:r>
          </w:p>
          <w:p w14:paraId="14D43971">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8、整机Windows通道支持文件传输应用，开启该应用后，可自动打开整机热点，并在文件传输应用中显示热点信息，无需手动在设置中查看热点。</w:t>
            </w:r>
          </w:p>
          <w:p w14:paraId="3D24EB46">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9、整机教学桌面支持查看设备盘符，支持本地磁盘和外接U盘、移动硬盘，点击可打开该磁盘查看磁盘文件。教学桌面支持显示存储空间状态，当存储空间即将满载时候进行红色标记明显提示。</w:t>
            </w:r>
          </w:p>
          <w:p w14:paraId="56AC943C">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10、整机配套教学应用APP可通过wifi直连技术，近场发现附近教学大屏设备，无需扫码、账号密码输入步骤，即可直接连接并登录教学大屏设备，基于统一身份认证机制可实现其他教学软件免登录操作。（投标时须提供国家认可的第三方检测机构出具的关于该功能检测报告复印件）</w:t>
            </w:r>
          </w:p>
          <w:p w14:paraId="2A9965D0">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11、整机在五分钟内处于无信号接收状态时，能够自动关机。</w:t>
            </w:r>
          </w:p>
          <w:p w14:paraId="5DBCE7C7">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12、整机Windows通道支持文件传输应用，支持多人同时将手机文件传输到整机上；当手机端登录账号与整机一致时，接收文件不需要二次确认，当手机端登录账号与整机不一致时，且距离连接成功或上次传输超过3分钟，则接收文件需要二次确认。</w:t>
            </w:r>
          </w:p>
          <w:p w14:paraId="7804B1DF">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13、整机具备班级视力检测功能，学⽣站在距离屏幕前5m处，可通过⼿势识别方式来标识方向进行视力测试，测试完成后可直接⽣成视⼒检测结果，并建⽴学⽣视⼒档案，对学⽣视⼒情况进⾏管理。（投标时须提供国家认可的第三方检测机构出具的关于该功能检测报告复印件）</w:t>
            </w:r>
          </w:p>
          <w:p w14:paraId="690CBC45">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九、教学备授课软件设计</w:t>
            </w:r>
          </w:p>
          <w:p w14:paraId="54C3E7BC">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（一）白板教学PC端应用</w:t>
            </w:r>
          </w:p>
          <w:p w14:paraId="7272E8DB">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★1、教学系统为全校教师提供可扩展，易于学校管理，安全可靠的云存储空间，根据每名教师使用时长与教学资料制作频率提供可扩展升级至不小于200G的个人云空间。</w:t>
            </w:r>
          </w:p>
          <w:p w14:paraId="66EBBE80">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2、教学系统须为使用方全体教师配备个人账号，形成一体的信息化教学账号体系；根据教师账号信息将教师云空间匹配至对应学校、学科校本资源库。支持通过数字账号、微信二维码、硬件密钥方式登录教师个人账号。</w:t>
            </w:r>
          </w:p>
          <w:p w14:paraId="136DBF4D">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3、互动教学课件支持定向精准分享：分享者可将互动课件、课件组精准推送至指定接收方账号云空间，接收方可在云空间接收并打开分享课件。</w:t>
            </w:r>
          </w:p>
          <w:p w14:paraId="7AD1764A">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4、上传下载一体化云存储：备课时支持将云空间中存储图片、音频、视频等素材插入课件，同时支持将课件中的图片、音频、视频等素材右键上传至云空间。互动教学课件支持开放式云分享：分享者可将互动课件、课件组以公开或加密的 web 链接和二维码形式进行分享，分享链接可设置访问有效期。</w:t>
            </w:r>
          </w:p>
          <w:p w14:paraId="4A40399C">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5、语文工具：具备汉字生字卡，直观展示汉字部首、笔画数量，笔画书写支持分步展示和连续展示，教师可一次性生成多个汉字生字卡，同步生成数量不少于 5 个。可以调出可直接书写的田字格、四线三格，书写笔画笔顺指导功能。支持授课助手：同步教学写字的视频、朗读泛读音频、支持手机扫学生作品能够投影大屏幕、手机现场录音支持上传视听、支持连接绘本教学资源及字理教学视频播放、支持笔顺笔画的视频教学播放。</w:t>
            </w:r>
          </w:p>
          <w:p w14:paraId="6509B65F">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6、支持软件联网自动静默升级，无需用户手动更新。</w:t>
            </w:r>
          </w:p>
          <w:p w14:paraId="6C0FFB59">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7、课件背景：提供不少于8种以上背景模板供老师选择，持自定义背景。</w:t>
            </w:r>
          </w:p>
          <w:p w14:paraId="7509D4C9">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8、互动分类游戏：支持创建互动分类游戏，可自定义不同类别及相对应的对象，实现将不同对象拖拽到对应的类别容器中可自动辨识分类，分类正确或错误均有相应提示。类别和对象的样式、数量均可以自定义设置。系统需提供不少于9种游戏模板，直接选择并输入相应内容即可轻松生成互动分类游戏，提升课堂趣味性。</w:t>
            </w:r>
          </w:p>
          <w:p w14:paraId="6C95E78F">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9、智能选词填空：支持创建智能选词填空游戏，教师可随意编辑填空题题干以及相应的答案选项，将选项拖到对应题干空白处，系统将自动判别答案是否正确。系统需提供不少于 8 种游戏模板供老师选择，且模板样式支持自定义修改。</w:t>
            </w:r>
          </w:p>
          <w:p w14:paraId="0FDD7C21">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★10、智能配对游戏：支持创建配对游戏，教师可随意将知识点进行配对。当开始配对游戏时，拖动知识点进行配对，系统将自动判断是否正确。系统至少提供7种游戏模版，且模版样式支持自定义修改。</w:t>
            </w:r>
          </w:p>
          <w:p w14:paraId="2945CB51">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11、分组竞争游戏：支持创建分组竞争游戏，教师可设置正确项／干扰项，让两组学生开展竞争游戏。系统提供不少于 3 种难度、10种游戏模版选择，且模版样式支持自定义修改。</w:t>
            </w:r>
          </w:p>
          <w:p w14:paraId="7C294A3A">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★12、数学公式编辑器：支持复杂数学公式输入，提供不少于 20 个数学符号及模板，输出的公式内容支持不同颜色标记及二次编辑。</w:t>
            </w:r>
          </w:p>
          <w:p w14:paraId="510D4795">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13、数学画板功能：</w:t>
            </w:r>
          </w:p>
          <w:p w14:paraId="100C474F">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a)能在白板中插入在线画板，授课时可以一键打开,方便老师配合课件内容进行讲解。</w:t>
            </w:r>
          </w:p>
          <w:p w14:paraId="24F34BC9">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b)提供不少于 500 个数学画板资源，覆盖小学、初中、高中学段数学学科主要知识点，并按照知识点分类，便于老师查找。</w:t>
            </w:r>
          </w:p>
          <w:p w14:paraId="4170D32C">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c)画板资源互动性强，利于老师讲解抽象知识点，如小学阶段的四边形互相转换资源，可支持点击，动态切换四边形形态；中学阶段的平方差公式资源，可支持图形展示平方差公式计算原理，并可改变数值，重复演示。</w:t>
            </w:r>
          </w:p>
          <w:p w14:paraId="2EF9E71C">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d)老师创建个人画板，除了点、线、面等基础元素以外，画板还可提供线段中点、椭圆焦点、极坐标方程等数十种数学常用工具，保证老师日常备授课所需。创建完成后，老师可一键将画板插入白板，与课件无缝连接。</w:t>
            </w:r>
          </w:p>
          <w:p w14:paraId="70D78551">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14、思维导图：提供思维导图、鱼骨图及组织结构图编辑功能，可轻松增删或拖拽编辑内容节点，并支持在节点上插入图片、音频、视频、网页链接、课件页面链接。支持思维导图逐级、逐个节点展开，并可任意缩放，满足不同演示需求。</w:t>
            </w:r>
          </w:p>
          <w:p w14:paraId="4C718EAF">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15、表格：</w:t>
            </w:r>
          </w:p>
          <w:p w14:paraId="01BFEA48">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a)具有表格插入功能，并提供5种以上表格样式供老师选择。</w:t>
            </w:r>
          </w:p>
          <w:p w14:paraId="55B2C465">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b)表格能自适应，可一键将表格的行、列调整到最合适的大小。</w:t>
            </w:r>
          </w:p>
          <w:p w14:paraId="5619C482">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c)具有表格遮罩功能，可对表格中任意一格添加遮罩，在授课模式下通过点击可消除遮罩，方便老师设置互动活动。</w:t>
            </w:r>
          </w:p>
          <w:p w14:paraId="27D2E108">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d)在授课模式下，支持表格克隆功能，可克隆出多个相同表格，</w:t>
            </w:r>
          </w:p>
          <w:p w14:paraId="22AA7C84">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方便老师请多位同学进行答题互动。</w:t>
            </w:r>
          </w:p>
          <w:p w14:paraId="305CF0AF">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16、图表：</w:t>
            </w:r>
          </w:p>
          <w:p w14:paraId="063964DA">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a)具有图表插入功能，并提供柱状图、扇形图、折线图 3 种图表形式，且每种形式提供不少于5种样式供选择。</w:t>
            </w:r>
          </w:p>
          <w:p w14:paraId="23CC85A9">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b)具有图表二维及三维展示形式任意切换，且三维图表支持旋转，方便多角度展示数据变化。</w:t>
            </w:r>
          </w:p>
          <w:p w14:paraId="4FC0E8F7">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c)具有图表添加超链接，可连接至课件其他页面、网页、软件自带小工具等地方。</w:t>
            </w:r>
          </w:p>
          <w:p w14:paraId="25AE363C">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d)在授课模式下，支持图表克隆功能，可克隆出多个相同图表，</w:t>
            </w:r>
          </w:p>
          <w:p w14:paraId="1C8F7E85">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方便老师进行对比观察。</w:t>
            </w:r>
          </w:p>
          <w:p w14:paraId="699E6DC3">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★17、古诗词资源：</w:t>
            </w:r>
          </w:p>
          <w:p w14:paraId="286BF14E">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a)提供覆盖多学段的古诗词、古文资源，包含原文、翻译、背景介绍、作者介绍、朗诵音频等。</w:t>
            </w:r>
          </w:p>
          <w:p w14:paraId="264F46AB">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b)支持用户根据年级、朝代、诗人等进行分类查找，也可直接搜索诗词、古文名称或作者名查找。</w:t>
            </w:r>
          </w:p>
          <w:p w14:paraId="22219244">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c)提供不少于9种古诗词专用背景模板，老师可贴合古诗词意境选择合适背景进行教学。</w:t>
            </w:r>
          </w:p>
          <w:p w14:paraId="3A8A9C3B">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d)每篇古诗词、古文均提供原文及翻译、背景介绍、作者介绍等，同时支持一键跳转打开网页，展示对应的背景或作者介绍。</w:t>
            </w:r>
          </w:p>
          <w:p w14:paraId="5FE98F5D">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e)支持老师备课时对原文进行注释、标重点等操作，方便老师讲解重点字词。</w:t>
            </w:r>
          </w:p>
          <w:p w14:paraId="027FF485">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f)提供原文朗读功能，全部诗词、古文均配备专业朗读配音，且支持老师在备课时对朗读音频进行打点操作，上课时可播放提前选择好的片段。</w:t>
            </w:r>
          </w:p>
          <w:p w14:paraId="2F5F053B">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18、3D星球模型：提供3D立体星球模型，包括地球、太阳、火星、水星等太阳系行星，支持360°自由旋转、缩放展示；并支持在地球教学工具中，清晰展现地球表面的六大板块、降水分布、气温分布、气候分布、人口分布、表层洋流、陆地自然带、海平面等压线等内容；且支持三维、二维切换展示，方便地理学科教学。</w:t>
            </w:r>
          </w:p>
          <w:p w14:paraId="47D7B619">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★19、美术画板：具有美术画板工具，提供铅笔、毛笔、油画笔，可实现模拟调色盘功能，老师可自由选择不同颜色进行混合调色，搭配出任意色彩。</w:t>
            </w:r>
          </w:p>
          <w:p w14:paraId="075EA3F3">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20、美术工具：具备图形自由创作工具，教师可自由绘制复杂的任意多边图形及曲边图形；教师自主创作的图形可存储至个人云空间便于后续使用。</w:t>
            </w:r>
          </w:p>
          <w:p w14:paraId="5FB8B931">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（二）白板软件移动端应用</w:t>
            </w:r>
          </w:p>
          <w:p w14:paraId="2FCD1B6C">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1、课件预览保留课件对象拖拽移动、克隆复制、置顶、删除等互动功能，并可通过移动端进行思维导图、课堂互动游戏的触控交互操作，并支持显示课件备注内容。</w:t>
            </w:r>
          </w:p>
          <w:p w14:paraId="7CC21612">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2、可在移动平台选择是否接收获取的分享课件，接收后课件储存至个人云空间，可在移动平台的互动课件列表预览。</w:t>
            </w:r>
          </w:p>
          <w:p w14:paraId="22335C33">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3、移动平台可对云空间互动课件和课件组移动、删除和重命名，课件及课件组支持批量移动、删除。</w:t>
            </w:r>
          </w:p>
          <w:p w14:paraId="5C225C9B">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4、移动平台可将课件通过微信、朋友圈、云空间帐号、二维码、公开链接、加密链接等方式进行分享，分享有效期支持自定义。</w:t>
            </w:r>
          </w:p>
          <w:p w14:paraId="2A8B2DE7">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★5、移动平台可查看教师个人云空间里所有互动课件列表，并可打开互动课件进行预览，预览时支持上下翻页、页面缩略图预览、页面跳转。</w:t>
            </w:r>
          </w:p>
          <w:p w14:paraId="5EAFD0A8">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6、移动平台可以上传手机相册中的照片和视频到资料夹，且能调用系统相机拍摄照片并直接上传。教师可以在备课端选择资源插入课件。</w:t>
            </w:r>
          </w:p>
          <w:p w14:paraId="2837EFC2">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十、教学PPT小工具</w:t>
            </w:r>
          </w:p>
          <w:p w14:paraId="0257454C">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1、不借助其他软件情况下，播放PPT时即可实现书写、擦除功能；可支持课件所有页面的预览、可随意进行页面跳转和实现上下翻页。</w:t>
            </w:r>
          </w:p>
          <w:p w14:paraId="69708D16">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2、不借助其他软件情况下，播放PPT时即可支持板中板功能，直接调用板中板辅助教学，可实现批注及加页，不影响课件整体内容。</w:t>
            </w:r>
          </w:p>
          <w:p w14:paraId="6AC8C31B">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3、在无需打开除PPT以外的其他软件时，可实现新建PPT并课件及板书内容直接生成二维码分享，且扫码后支持在手持终端生成二维码进行再次分享，支持点赞。支持发送课件链接至邮箱，方便教师下载保存课件板书内容。</w:t>
            </w:r>
          </w:p>
          <w:p w14:paraId="5260DF33">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4、不借助其他软件情况下，播放PPT时即可调用放大镜、聚光灯小工具辅助教学。</w:t>
            </w:r>
          </w:p>
          <w:p w14:paraId="01073E34">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十一、产品售后保障服务</w:t>
            </w:r>
          </w:p>
          <w:p w14:paraId="7D0851F3">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1、全国24小时免费400电话保修、二维码扫描保修、区域化驻地技术工程师专线保修。</w:t>
            </w:r>
          </w:p>
          <w:p w14:paraId="56FE8CA5">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2、微信售后报修服务：快速输入相关问题及所在区域进行在线保修，贴心服务人员实时在线提供客服专线报修，更好更快的解决售后故障问题带来的使用不便。</w:t>
            </w:r>
          </w:p>
          <w:p w14:paraId="5B79E63B">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3、微信问题查询服务：提供八大模块的问题查询及解决方案，现场完成简单故障的快速修复指导。</w:t>
            </w:r>
          </w:p>
          <w:p w14:paraId="1772AA78">
            <w:pPr>
              <w:pStyle w:val="8"/>
              <w:spacing w:line="360" w:lineRule="auto"/>
              <w:ind w:left="0" w:leftChars="0" w:firstLine="0" w:firstLineChars="0"/>
              <w:rPr>
                <w:rFonts w:hint="default"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4、交互智能平板提供原厂6年质保服务。</w:t>
            </w:r>
          </w:p>
          <w:p w14:paraId="7E7A07C8">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十二、其他要求</w:t>
            </w:r>
          </w:p>
          <w:p w14:paraId="31EE0C9C">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1、为确保货物质量及原厂品质，中标供应商在正式供货时必须提供生产厂家针对此项目的售后服务保证原件、供货证明原件，否则采购方将不予验收通过。</w:t>
            </w:r>
          </w:p>
          <w:p w14:paraId="2DF2F8FE">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2、打“★”号条款为重要技术参数，投标人必须满足否则中标无效。中标公示期内若有其他投标人质疑情况下，中标单位必须提供与标书技术要求及功能符合的全部样品一套至用户处进行整体性能与标书文件核对，协助质疑答复。如出现所提供样品不符招标要求或无法提供所有样品，均视为虚假应标处理并根据招标法及标书要求追究法律责任。</w:t>
            </w:r>
          </w:p>
          <w:p w14:paraId="5A74770A">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（二）变轨黑板</w:t>
            </w:r>
          </w:p>
          <w:p w14:paraId="18CE8850">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1、规格：外径≥4200mm×1280mm，可根据所配电子产品尺寸适当调整，确保与电子产品的有效配套。</w:t>
            </w:r>
          </w:p>
          <w:p w14:paraId="7AA9C599">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2、结构：由四块折边板、外框及变轨导向装置组成。两块滑动书写板通过变轨导向部件可自动向内回位至与固定板平齐。闭合后，固定板与滑动板组合成一个平面，整板无边框障碍，可实现连续书写。</w:t>
            </w:r>
          </w:p>
          <w:p w14:paraId="5566692A">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3、内板：书写板正面无竖边框，竖边两侧均采用双90°折弯工艺，避免单折边钢板外漏。上下边框正面尺寸≤12mm，增大有效书写面积。</w:t>
            </w:r>
          </w:p>
          <w:p w14:paraId="2B98EF3B">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4、面板：采用优质金属烤漆板，涂层采用丙烯酸树脂漆，面板厚度0.3mm，表面附有透明保护膜；涂层硬度≥6H；墨绿色或米黄色，光泽度＜12%，无明显眩光，不反光，有效保护学生视力；使用粉笔书写流畅，笔迹均匀，字迹清晰，易写易擦；可吸附磁钉、磁片，便于教学。</w:t>
            </w:r>
          </w:p>
          <w:p w14:paraId="581FE4FA">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5、夹芯：采用防潮、阻燃、吸音、环保的聚苯乙烯板，厚度≥14mm，面层平整，挺度好，整张无接缝。</w:t>
            </w:r>
          </w:p>
          <w:p w14:paraId="185B4F48">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6、背板：采用优质亚光黑色彩涂板，厚度≥0.21mm。</w:t>
            </w:r>
          </w:p>
          <w:p w14:paraId="21524868">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7、覆板：采用书写板专用环保型双组份聚氨酯胶水粘合，经自动复合流水线一次压制成型，淋胶均匀，胶合牢固，不起泡，确保书写板面平整。</w:t>
            </w:r>
          </w:p>
          <w:p w14:paraId="03D77AC0">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8、边框：采用高强度银白色工业铝合金型材，表面经氧化、磨砂涂层处理，表面无划伤，抗腐蚀，模具一次成型；书写板上下小边框采用11.5mm窄边框设计，左右无竖边框；横框规格≥40×100mmmm，立框规格≥15mm×165mm，横立框均采用双层加强结构，一体化设计，横框与轨道不可采用拼接方式以确保黑板整体强度和滑动效果。立框设计有安装间隙调整槽，调节量6mm，避免因安装误差导致的滑动板间隙过小推拉不畅，间隙过大不美观。</w:t>
            </w:r>
          </w:p>
          <w:p w14:paraId="5B666257">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9、包角：采用一体承插式外框角连接横框与立框，便于黑板组装定位同时增强整体框架强度。材质采用高强度、防老化、抗疲劳ABS工程塑料，模具注塑一次成型。</w:t>
            </w:r>
          </w:p>
          <w:p w14:paraId="21E86ABD">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10、滑轮组：每块滑动板上下各安装4组，采用高精度轴承滑轮。滑轮模组由2组滑轮小车（8个滑轮）和变轨导向轮（1个滑轮）组成，引导滑动板行至与固定板平行的轨道内，滑动顺畅无噪音。</w:t>
            </w:r>
          </w:p>
          <w:p w14:paraId="1951F730">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11、缓冲块：上下框两端安装橡胶缓冲块，避免直接撞击立框，保护边框，并降低噪音，防止挤手。</w:t>
            </w:r>
          </w:p>
          <w:p w14:paraId="10729A0B">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12、拉手：采用磨砂银白色金属拉手，推拉时握感舒适，结实耐用。</w:t>
            </w:r>
          </w:p>
          <w:p w14:paraId="11B1FAFF">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13、要求：供应商正式供货之前，和学校明确板面颜色材料，再进行供货。</w:t>
            </w:r>
          </w:p>
          <w:p w14:paraId="225E5590">
            <w:pPr>
              <w:pStyle w:val="8"/>
              <w:spacing w:line="360" w:lineRule="auto"/>
              <w:ind w:left="0" w:leftChars="0" w:firstLine="0" w:firstLineChars="0"/>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（三）</w:t>
            </w: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视频展台</w:t>
            </w:r>
          </w:p>
          <w:p w14:paraId="7CDAED4C">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1、整机采用圆弧式设计，无锐角；同时托板采用磁吸吸附式机构，防止托板打落，方便打开及固定，避免机械式锁具故障率高的问题。</w:t>
            </w:r>
          </w:p>
          <w:p w14:paraId="48909C9E">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2、采用≥800万像素摄像头；采用 USB五伏电源直接供电，无需额外配置电源适配器，环保无辐射；箱内USB连线采用隐藏式设计，箱内无可见连线且USB口下出，有效防止积尘，且方便布线和返修。</w:t>
            </w:r>
          </w:p>
          <w:p w14:paraId="2146B8EE">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3、A4大小拍摄幅面，1080P动态视频预览达到30帧/秒；托板及挂墙部分采用金属加强，托板可承重3kg，整机壁挂式安装。</w:t>
            </w:r>
          </w:p>
          <w:p w14:paraId="66C8120D">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4、支持展台成像画面实时批注，预设多种笔划粗细及颜色供选择，且支持对展台成像画面联同批注内容进行同步缩放、移动。</w:t>
            </w:r>
          </w:p>
          <w:p w14:paraId="615F4EAE">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5、展示托板正上方具备LED补光灯，保证展示区域的亮度及展示效果，补光灯开关采用触摸按键设计，同时可通过交互智能平板中的软件直接控制开关。</w:t>
            </w:r>
          </w:p>
          <w:p w14:paraId="28067611">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6、带自动对焦摄像头；外壳在摄像头部分带保护镜片密封，防止灰尘沾染摄像头，防护等级达到IP4X级别。</w:t>
            </w:r>
          </w:p>
          <w:p w14:paraId="4C8BA20B">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7、具有故障自动检测功能：在调用展台却无法出现镜头采集画面信号时，可自动出现检测链接，并给出导致性原因（如硬件连接、摄像头占用、配套软件版本等问题）。</w:t>
            </w:r>
          </w:p>
          <w:p w14:paraId="3E1CC2A8">
            <w:pPr>
              <w:pStyle w:val="8"/>
              <w:spacing w:line="360" w:lineRule="auto"/>
              <w:ind w:left="0" w:leftChars="0" w:firstLine="0" w:firstLineChars="0"/>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0"/>
                <w:szCs w:val="20"/>
                <w:highlight w:val="none"/>
                <w:u w:val="none"/>
                <w:lang w:val="en-US" w:eastAsia="zh-CN" w:bidi="ar"/>
                <w14:textFill>
                  <w14:solidFill>
                    <w14:schemeClr w14:val="tx1"/>
                  </w14:solidFill>
                </w14:textFill>
              </w:rPr>
              <w:t>（四）</w:t>
            </w: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智能笔</w:t>
            </w:r>
          </w:p>
          <w:p w14:paraId="607B2EF0">
            <w:pPr>
              <w:pStyle w:val="8"/>
              <w:spacing w:line="360" w:lineRule="auto"/>
              <w:ind w:left="0" w:leftChars="0" w:firstLine="0" w:firstLineChars="0"/>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1、采用笔型设计，具有三个遥控按键（上下翻页和功能键），既可用于触摸书写，也可用于远程操控。</w:t>
            </w:r>
          </w:p>
          <w:p w14:paraId="0CBF2B26">
            <w:pPr>
              <w:pStyle w:val="8"/>
              <w:spacing w:line="360" w:lineRule="auto"/>
              <w:ind w:left="0" w:leftChars="0" w:firstLine="0" w:firstLineChars="0"/>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2、采用2.4G蓝牙无线连接技术，无线接收距离最大可达15米。</w:t>
            </w:r>
          </w:p>
          <w:p w14:paraId="5B705D0C">
            <w:pPr>
              <w:pStyle w:val="8"/>
              <w:spacing w:line="360" w:lineRule="auto"/>
              <w:ind w:left="0" w:leftChars="0" w:firstLine="0" w:firstLineChars="0"/>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3、无线接收器采用微型nano设计，整洁美观。</w:t>
            </w:r>
          </w:p>
          <w:p w14:paraId="5F41C895">
            <w:pPr>
              <w:pStyle w:val="8"/>
              <w:spacing w:line="360" w:lineRule="auto"/>
              <w:ind w:left="0" w:leftChars="0" w:firstLine="0" w:firstLineChars="0"/>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4、笔尖采用PE材质，经久耐磨，书写精度≤3mm。</w:t>
            </w:r>
          </w:p>
          <w:p w14:paraId="47F287A3">
            <w:pPr>
              <w:pStyle w:val="8"/>
              <w:spacing w:line="360" w:lineRule="auto"/>
              <w:ind w:left="0" w:leftChars="0" w:firstLine="0" w:firstLineChars="0"/>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5、使用单节7号电池驱动，并带自动休眠节电设计。</w:t>
            </w:r>
          </w:p>
          <w:p w14:paraId="08A56A3A">
            <w:pPr>
              <w:pStyle w:val="8"/>
              <w:spacing w:line="360" w:lineRule="auto"/>
              <w:ind w:left="0" w:leftChars="0" w:firstLine="0" w:firstLineChars="0"/>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6、具备单接收器，支持Android、windows双系统响应智能笔的操作指令。</w:t>
            </w:r>
          </w:p>
          <w:p w14:paraId="722AAEB2">
            <w:pPr>
              <w:pStyle w:val="8"/>
              <w:spacing w:line="360" w:lineRule="auto"/>
              <w:ind w:left="0" w:leftChars="0" w:firstLine="0" w:firstLineChars="0"/>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7、支持白板课件、PPT、WPS、PDF等多种格式的课件进行远程无线翻页。</w:t>
            </w:r>
          </w:p>
          <w:p w14:paraId="314D98BB">
            <w:pPr>
              <w:pStyle w:val="8"/>
              <w:spacing w:line="360" w:lineRule="auto"/>
              <w:ind w:left="0" w:leftChars="0" w:firstLine="0" w:firstLineChars="0"/>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8、功能按键可通过长按/短按实现两种快捷功能。</w:t>
            </w:r>
          </w:p>
          <w:p w14:paraId="463F9662">
            <w:pPr>
              <w:pStyle w:val="8"/>
              <w:spacing w:line="360" w:lineRule="auto"/>
              <w:ind w:left="0" w:leftChars="0" w:firstLine="0" w:firstLineChars="0"/>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9、支持自定义按键功能，可选功能包括：一键启动任意通道批注、一键启动/退出PPT播放、一键启动其他应用软件等。</w:t>
            </w:r>
          </w:p>
          <w:p w14:paraId="0BB3C218">
            <w:pPr>
              <w:pStyle w:val="8"/>
              <w:spacing w:line="360" w:lineRule="auto"/>
              <w:ind w:left="0" w:leftChars="0" w:firstLine="0" w:firstLineChars="0"/>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（五）有源音箱</w:t>
            </w:r>
          </w:p>
          <w:p w14:paraId="42EF5E46">
            <w:pPr>
              <w:pStyle w:val="8"/>
              <w:spacing w:line="360" w:lineRule="auto"/>
              <w:ind w:left="0" w:leftChars="0" w:firstLine="0" w:firstLineChars="0"/>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1、采用功放与有源音箱一体化设计，内置麦克风无线接收模块，帮助教师实现多媒体扩音以及本地扩声功能。</w:t>
            </w:r>
          </w:p>
          <w:p w14:paraId="53FA4B13">
            <w:pPr>
              <w:pStyle w:val="8"/>
              <w:spacing w:line="360" w:lineRule="auto"/>
              <w:ind w:left="0" w:leftChars="0" w:firstLine="0" w:firstLineChars="0"/>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2、双音箱有线连接，机箱采用塑胶材质，保护设备免受环境影响。</w:t>
            </w:r>
          </w:p>
          <w:p w14:paraId="6557D0A3">
            <w:pPr>
              <w:pStyle w:val="8"/>
              <w:spacing w:line="360" w:lineRule="auto"/>
              <w:ind w:left="0" w:leftChars="0" w:firstLine="0" w:firstLineChars="0"/>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3、输出额定功率: 2*15W，喇叭单元尺寸≥5寸。</w:t>
            </w:r>
          </w:p>
          <w:p w14:paraId="7FED4E88">
            <w:pPr>
              <w:pStyle w:val="8"/>
              <w:spacing w:line="360" w:lineRule="auto"/>
              <w:ind w:left="0" w:leftChars="0" w:firstLine="0" w:firstLineChars="0"/>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4、端口：220V电源接口*1、Line in*1、USB*1。</w:t>
            </w:r>
          </w:p>
          <w:p w14:paraId="6D3E3326">
            <w:pPr>
              <w:pStyle w:val="8"/>
              <w:spacing w:line="360" w:lineRule="auto"/>
              <w:ind w:left="0" w:leftChars="0" w:firstLine="0" w:firstLineChars="0"/>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5、专门为教室声学环境设计的合适扩声效果，距离音箱10米处声压级≥75dB。</w:t>
            </w:r>
          </w:p>
          <w:p w14:paraId="56F020DB">
            <w:pPr>
              <w:pStyle w:val="8"/>
              <w:spacing w:line="360" w:lineRule="auto"/>
              <w:ind w:left="0" w:leftChars="0" w:firstLine="0" w:firstLineChars="0"/>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6、麦克风和功放音箱之间采用数字U段传输技术，有效避免环境中2.4G信号干扰，例如蓝牙及WIFI设备。</w:t>
            </w:r>
          </w:p>
          <w:p w14:paraId="3365D13A">
            <w:pPr>
              <w:pStyle w:val="8"/>
              <w:spacing w:line="360" w:lineRule="auto"/>
              <w:ind w:left="0" w:leftChars="0" w:firstLine="0" w:firstLineChars="0"/>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7、配置独立音频数字信号处理芯片，支持啸叫抑制功能。</w:t>
            </w:r>
          </w:p>
          <w:p w14:paraId="48F0D232">
            <w:pPr>
              <w:pStyle w:val="8"/>
              <w:spacing w:line="360" w:lineRule="auto"/>
              <w:ind w:left="0" w:leftChars="0" w:firstLine="0" w:firstLineChars="0"/>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8、支持教师扩声和输入音源叠加输出，可对接录播系统实现教师扩声音频的纯净采集，避免环境杂音干扰采集效果。</w:t>
            </w:r>
          </w:p>
          <w:p w14:paraId="32B50A9E">
            <w:pPr>
              <w:pStyle w:val="8"/>
              <w:spacing w:line="360" w:lineRule="auto"/>
              <w:ind w:left="0" w:leftChars="0" w:firstLine="0" w:firstLineChars="0"/>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（六）无线麦克风</w:t>
            </w:r>
          </w:p>
          <w:p w14:paraId="5C0FF5FC">
            <w:pPr>
              <w:pStyle w:val="8"/>
              <w:spacing w:line="360" w:lineRule="auto"/>
              <w:ind w:left="0" w:leftChars="0" w:firstLine="0" w:firstLineChars="0"/>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1、无线麦克风集音频发射处理器、天线、电池、拾音麦克风于一体，配合一体化有源音箱，无需任何外接辅助设备即可实现本地扩声功能。</w:t>
            </w:r>
          </w:p>
          <w:p w14:paraId="2FB8329F">
            <w:pPr>
              <w:pStyle w:val="8"/>
              <w:spacing w:line="360" w:lineRule="auto"/>
              <w:ind w:left="0" w:leftChars="0" w:firstLine="0" w:firstLineChars="0"/>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2、麦克风和功放音箱之间采用数字U段传输技3术，有效避免环境中2.4G信号干扰，例如蓝牙及WIFI设备。</w:t>
            </w:r>
          </w:p>
          <w:p w14:paraId="6516BADF">
            <w:pPr>
              <w:pStyle w:val="8"/>
              <w:spacing w:line="360" w:lineRule="auto"/>
              <w:ind w:left="0" w:leftChars="0" w:firstLine="0" w:firstLineChars="0"/>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3、支持智能红外对码及UHF对码，可在2s内快速完成与教学扩声音箱对码，无需繁琐操作。可与移动音箱或录播主机对码连接。</w:t>
            </w:r>
          </w:p>
          <w:p w14:paraId="3BF3CCC9">
            <w:pPr>
              <w:pStyle w:val="8"/>
              <w:spacing w:line="360" w:lineRule="auto"/>
              <w:ind w:left="0" w:leftChars="0" w:firstLine="0" w:firstLineChars="0"/>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4、采用触点磁吸式充电方式，支持快速充电与超低功耗工作模式，课间充电10分钟，实现80分钟续航。</w:t>
            </w:r>
          </w:p>
          <w:p w14:paraId="0E252065">
            <w:pPr>
              <w:pStyle w:val="8"/>
              <w:spacing w:line="360" w:lineRule="auto"/>
              <w:ind w:left="0" w:leftChars="0" w:firstLine="0" w:firstLineChars="0"/>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5、麦克风距离音箱最大有效工作距离≥10米，保证全教室覆盖。</w:t>
            </w:r>
          </w:p>
          <w:p w14:paraId="2AADAEBE">
            <w:pPr>
              <w:pStyle w:val="8"/>
              <w:spacing w:line="360" w:lineRule="auto"/>
              <w:ind w:left="0" w:leftChars="0" w:firstLine="0" w:firstLineChars="0"/>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（七）集控工具</w:t>
            </w:r>
          </w:p>
          <w:p w14:paraId="019F7748">
            <w:pPr>
              <w:pStyle w:val="8"/>
              <w:spacing w:line="360" w:lineRule="auto"/>
              <w:ind w:left="0" w:leftChars="0" w:firstLine="0" w:firstLineChars="0"/>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专属工作台：支持设置显隐组件来定制专属工作台。支持通过设备总览组件快捷查看学校所有设备实时状态及达标情况。支持通过设备巡视组件实时了解教室和设备的情况。支持通过设备使用情况组件了解设备活跃分布及长时间未使用的设备情况，设置智能策略来对设备进行管控；支持通过软件使用情况组件掌握学校教师常用的教学软件，快速拦截风险应用；支持通过老师使用情况了解教师对信息化设备的使用率；支持通过网站访问情况了解设备上使用的常用网址，并可快速设置黑名单来禁止设备上的违规访问行为。（</w:t>
            </w: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投标时须提供功能截图</w:t>
            </w:r>
            <w:r>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w:t>
            </w:r>
          </w:p>
          <w:p w14:paraId="0C671D4B">
            <w:pPr>
              <w:pStyle w:val="8"/>
              <w:spacing w:line="360" w:lineRule="auto"/>
              <w:ind w:left="0" w:leftChars="0" w:firstLine="0" w:firstLineChars="0"/>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2、支持在Windows、Linux、Android、IOS等多种操作系统通过网页浏览器登陆操作，提供多种智能身份识别方式：支持通过账号登录、手机扫码登录等方式。</w:t>
            </w:r>
          </w:p>
          <w:p w14:paraId="24F4BB57">
            <w:pPr>
              <w:pStyle w:val="8"/>
              <w:spacing w:line="360" w:lineRule="auto"/>
              <w:ind w:left="0" w:leftChars="0" w:firstLine="0" w:firstLineChars="0"/>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3、管理平台提供管理员移动管理平台，免安装并支持Android、IOS等多种移动操作系统，便于远程管理及告警信息通知。</w:t>
            </w:r>
          </w:p>
          <w:p w14:paraId="32F16F3D">
            <w:pPr>
              <w:pStyle w:val="8"/>
              <w:spacing w:line="360" w:lineRule="auto"/>
              <w:ind w:left="0" w:leftChars="0" w:firstLine="0" w:firstLineChars="0"/>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4、冰点还原及穿透：支持远程向已冰冻的设备发送指令、安装软件，在设备正常关机时触发穿透动作，穿透完成后，设备即可使用已安装软件、执行已接收指令，且穿透过程中无需人为解冻。（</w:t>
            </w: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投标时须提供功能截图</w:t>
            </w:r>
            <w:r>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w:t>
            </w:r>
          </w:p>
          <w:p w14:paraId="6822E1F3">
            <w:pPr>
              <w:pStyle w:val="8"/>
              <w:spacing w:line="360" w:lineRule="auto"/>
              <w:ind w:left="0" w:leftChars="0" w:firstLine="0" w:firstLineChars="0"/>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5、管理平台可控制连接广域网的交互智能设备整机关机、开机和重启；可批量设定智能设备开关机的执行时间，并支持自定义循环模式（循环操作、定时操作）。</w:t>
            </w:r>
          </w:p>
          <w:p w14:paraId="5222B8C9">
            <w:pPr>
              <w:pStyle w:val="8"/>
              <w:spacing w:line="360" w:lineRule="auto"/>
              <w:ind w:left="0" w:leftChars="0" w:firstLine="0" w:firstLineChars="0"/>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6、管理平台可远程对选定的交互智能设备推送动态文字滚动公告，可对公告文字的颜色、粗体以及播放次数、推送时间进行设置。</w:t>
            </w:r>
          </w:p>
          <w:p w14:paraId="1638F8F4">
            <w:pPr>
              <w:pStyle w:val="8"/>
              <w:spacing w:line="360" w:lineRule="auto"/>
              <w:ind w:left="0" w:leftChars="0" w:firstLine="0" w:firstLineChars="0"/>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7、管理平台可远程开启指定交互智能设备倒计日功能并设定倒计日截止日期。</w:t>
            </w:r>
          </w:p>
          <w:p w14:paraId="4D4C5566">
            <w:pPr>
              <w:pStyle w:val="8"/>
              <w:spacing w:line="360" w:lineRule="auto"/>
              <w:ind w:left="0" w:leftChars="0" w:firstLine="0" w:firstLineChars="0"/>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8、管理平台提供巡课值守模式，自动轮循显示所有的交互智能设备使用界面。</w:t>
            </w:r>
          </w:p>
          <w:p w14:paraId="25CDC7CC">
            <w:pPr>
              <w:pStyle w:val="8"/>
              <w:spacing w:line="360" w:lineRule="auto"/>
              <w:ind w:left="0" w:leftChars="0" w:firstLine="0" w:firstLineChars="0"/>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9、基建优化建议：支持解读设备运行数据，提供基建优化建议；支持根据网络带宽利用率分析网络稳定性并提供优化方案；支持根据硬件参数及流畅度达标情况分析设备运行稳定性并提供优化方案；支持根据安全服务开启情况分析设备运行风险并提供优化方案。（</w:t>
            </w: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投标时须提供功能截图</w:t>
            </w:r>
            <w:r>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w:t>
            </w:r>
          </w:p>
          <w:p w14:paraId="169279FD">
            <w:pPr>
              <w:pStyle w:val="8"/>
              <w:spacing w:line="360" w:lineRule="auto"/>
              <w:ind w:left="0" w:leftChars="0" w:firstLine="0" w:firstLineChars="0"/>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10、素养提升建议：支持分析解读教师使用数据，提供信息化素养提升建议；支持根据各学科/设备/老师使用数据分析经验丰富的老师，并提</w:t>
            </w:r>
            <w:bookmarkStart w:id="0" w:name="_GoBack"/>
            <w:bookmarkEnd w:id="0"/>
            <w:r>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供信息化素养提升建议；支持根据不同类型软件的使用明细分析本校常用软件，并提供软件普及、替换或拦截建议。（</w:t>
            </w: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投标时须提供功能截图</w:t>
            </w:r>
            <w:r>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w:t>
            </w:r>
          </w:p>
        </w:tc>
        <w:tc>
          <w:tcPr>
            <w:tcW w:w="483" w:type="dxa"/>
            <w:vAlign w:val="center"/>
          </w:tcPr>
          <w:p w14:paraId="28814967">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themeColor="text1"/>
                <w:sz w:val="18"/>
                <w:szCs w:val="18"/>
                <w:highlight w:val="none"/>
                <w:lang w:val="en-US" w:eastAsia="zh-CN"/>
                <w14:textFill>
                  <w14:solidFill>
                    <w14:schemeClr w14:val="tx1"/>
                  </w14:solidFill>
                </w14:textFill>
              </w:rPr>
            </w:pPr>
            <w:r>
              <w:rPr>
                <w:rFonts w:hint="eastAsia" w:hAnsi="宋体" w:cs="宋体"/>
                <w:b w:val="0"/>
                <w:bCs w:val="0"/>
                <w:color w:val="000000" w:themeColor="text1"/>
                <w:sz w:val="18"/>
                <w:szCs w:val="18"/>
                <w:highlight w:val="none"/>
                <w:lang w:val="en-US" w:eastAsia="zh-CN"/>
                <w14:textFill>
                  <w14:solidFill>
                    <w14:schemeClr w14:val="tx1"/>
                  </w14:solidFill>
                </w14:textFill>
              </w:rPr>
              <w:t>1</w:t>
            </w:r>
          </w:p>
        </w:tc>
        <w:tc>
          <w:tcPr>
            <w:tcW w:w="553" w:type="dxa"/>
            <w:vAlign w:val="center"/>
          </w:tcPr>
          <w:p w14:paraId="222C8DAC">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themeColor="text1"/>
                <w:sz w:val="18"/>
                <w:szCs w:val="18"/>
                <w:highlight w:val="none"/>
                <w:lang w:val="en-US" w:eastAsia="zh-CN"/>
                <w14:textFill>
                  <w14:solidFill>
                    <w14:schemeClr w14:val="tx1"/>
                  </w14:solidFill>
                </w14:textFill>
              </w:rPr>
            </w:pPr>
            <w:r>
              <w:rPr>
                <w:rFonts w:hint="eastAsia" w:hAnsi="宋体" w:cs="宋体"/>
                <w:b w:val="0"/>
                <w:bCs w:val="0"/>
                <w:color w:val="000000" w:themeColor="text1"/>
                <w:sz w:val="18"/>
                <w:szCs w:val="18"/>
                <w:highlight w:val="none"/>
                <w:lang w:val="en-US" w:eastAsia="zh-CN"/>
                <w14:textFill>
                  <w14:solidFill>
                    <w14:schemeClr w14:val="tx1"/>
                  </w14:solidFill>
                </w14:textFill>
              </w:rPr>
              <w:t>套</w:t>
            </w:r>
          </w:p>
        </w:tc>
        <w:tc>
          <w:tcPr>
            <w:tcW w:w="1064" w:type="dxa"/>
            <w:shd w:val="clear" w:color="auto" w:fill="auto"/>
            <w:vAlign w:val="center"/>
          </w:tcPr>
          <w:p w14:paraId="55FBA0CD">
            <w:pPr>
              <w:keepNext w:val="0"/>
              <w:keepLines w:val="0"/>
              <w:widowControl/>
              <w:suppressLineNumbers w:val="0"/>
              <w:jc w:val="center"/>
              <w:textAlignment w:val="center"/>
              <w:rPr>
                <w:rFonts w:hint="default" w:ascii="宋体" w:hAnsi="宋体" w:eastAsia="宋体" w:cs="宋体"/>
                <w:i w:val="0"/>
                <w:iCs w:val="0"/>
                <w:color w:val="000000" w:themeColor="text1"/>
                <w:kern w:val="2"/>
                <w:sz w:val="20"/>
                <w:szCs w:val="20"/>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28000</w:t>
            </w:r>
          </w:p>
        </w:tc>
        <w:tc>
          <w:tcPr>
            <w:tcW w:w="1064" w:type="dxa"/>
            <w:shd w:val="clear" w:color="auto" w:fill="auto"/>
            <w:vAlign w:val="center"/>
          </w:tcPr>
          <w:p w14:paraId="596E4B1E">
            <w:pPr>
              <w:keepNext w:val="0"/>
              <w:keepLines w:val="0"/>
              <w:widowControl/>
              <w:suppressLineNumbers w:val="0"/>
              <w:jc w:val="center"/>
              <w:textAlignment w:val="center"/>
              <w:rPr>
                <w:rFonts w:hint="default" w:ascii="宋体" w:hAnsi="宋体" w:eastAsia="宋体" w:cs="宋体"/>
                <w:i w:val="0"/>
                <w:iCs w:val="0"/>
                <w:color w:val="000000" w:themeColor="text1"/>
                <w:kern w:val="2"/>
                <w:sz w:val="20"/>
                <w:szCs w:val="20"/>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28000</w:t>
            </w:r>
          </w:p>
        </w:tc>
      </w:tr>
      <w:tr w14:paraId="44D2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499" w:type="dxa"/>
            <w:vAlign w:val="center"/>
          </w:tcPr>
          <w:p w14:paraId="2CA3D92E">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themeColor="text1"/>
                <w:sz w:val="18"/>
                <w:szCs w:val="18"/>
                <w:highlight w:val="none"/>
                <w:lang w:val="en-US" w:eastAsia="zh-CN"/>
                <w14:textFill>
                  <w14:solidFill>
                    <w14:schemeClr w14:val="tx1"/>
                  </w14:solidFill>
                </w14:textFill>
              </w:rPr>
            </w:pPr>
            <w:r>
              <w:rPr>
                <w:rFonts w:hint="eastAsia" w:hAnsi="宋体" w:cs="宋体"/>
                <w:b w:val="0"/>
                <w:bCs w:val="0"/>
                <w:color w:val="000000" w:themeColor="text1"/>
                <w:sz w:val="18"/>
                <w:szCs w:val="18"/>
                <w:highlight w:val="none"/>
                <w:lang w:val="en-US" w:eastAsia="zh-CN"/>
                <w14:textFill>
                  <w14:solidFill>
                    <w14:schemeClr w14:val="tx1"/>
                  </w14:solidFill>
                </w14:textFill>
              </w:rPr>
              <w:t>2</w:t>
            </w:r>
          </w:p>
        </w:tc>
        <w:tc>
          <w:tcPr>
            <w:tcW w:w="815" w:type="dxa"/>
            <w:shd w:val="clear" w:color="auto" w:fill="auto"/>
            <w:vAlign w:val="center"/>
          </w:tcPr>
          <w:p w14:paraId="6A2A11A1">
            <w:pPr>
              <w:pStyle w:val="12"/>
              <w:spacing w:line="360" w:lineRule="auto"/>
              <w:jc w:val="center"/>
              <w:rPr>
                <w:rFonts w:hint="eastAsia" w:ascii="宋体" w:hAnsi="宋体" w:eastAsia="宋体" w:cs="Times New Roman"/>
                <w:color w:val="000000" w:themeColor="text1"/>
                <w:kern w:val="2"/>
                <w:sz w:val="21"/>
                <w:szCs w:val="20"/>
                <w:highlight w:val="none"/>
                <w:lang w:val="en-US" w:eastAsia="zh-CN" w:bidi="ar-SA"/>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教学电脑</w:t>
            </w:r>
          </w:p>
        </w:tc>
        <w:tc>
          <w:tcPr>
            <w:tcW w:w="6322" w:type="dxa"/>
            <w:shd w:val="clear" w:color="auto" w:fill="auto"/>
            <w:vAlign w:val="center"/>
          </w:tcPr>
          <w:p w14:paraId="65038B70">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一、终端硬件参数</w:t>
            </w:r>
          </w:p>
          <w:p w14:paraId="6FC80D69">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1.CPU：要求国产系列CPU，主频≥3.0GHz ，≥8核处理器，≥16线程，三级缓存≥16MB。</w:t>
            </w:r>
          </w:p>
          <w:p w14:paraId="7C9EFFF2">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2. 内存：8GB DDR4 3200MT/s 内存或以上。</w:t>
            </w:r>
          </w:p>
          <w:p w14:paraId="139DA3BF">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3. 硬盘：≥512GB M.2 NVMe SSD硬盘，支持拓展机械硬盘。</w:t>
            </w:r>
          </w:p>
          <w:p w14:paraId="43937A57">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4.支持拓展9.5mm标准光驱。</w:t>
            </w:r>
          </w:p>
          <w:p w14:paraId="20D6777C">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5.支持1000Mbps。网口支持wake on LAN。</w:t>
            </w:r>
          </w:p>
          <w:p w14:paraId="1BA0D6BF">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6. 集成标准声卡。</w:t>
            </w:r>
          </w:p>
          <w:p w14:paraId="0D5ED083">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7. USB有线键盘、鼠标。</w:t>
            </w:r>
          </w:p>
          <w:p w14:paraId="41AD1913">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8.前置面板：USB3.0≥2个；USB2.0≥4个；TypeC≥1个；四段式耳麦接口≥1个（支持耳机麦克风二合一）；三段式麦克风接口≥1</w:t>
            </w:r>
          </w:p>
          <w:p w14:paraId="7984CCCE">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9.后置面板：USB3.0≥7个；音频输入≥2个；音频输出≥1个；RJ45≥1个；串口≥1个。</w:t>
            </w:r>
          </w:p>
          <w:p w14:paraId="058CBF64">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10.独立显卡：≥2G。</w:t>
            </w:r>
          </w:p>
          <w:p w14:paraId="0DFB0790">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11.内部插槽：PCIEX16≥2个（支持拓展独立显卡）；PCIEX8≥1个；PCIEX1≥1个；M.2≥1个；SATA≥4个。</w:t>
            </w:r>
          </w:p>
          <w:p w14:paraId="145E1D6E">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12.机箱体积：≤15L。</w:t>
            </w:r>
          </w:p>
          <w:p w14:paraId="19A11C4E">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13.电源功率：≤300W。</w:t>
            </w:r>
          </w:p>
          <w:p w14:paraId="0F2A578C">
            <w:pPr>
              <w:pStyle w:val="12"/>
              <w:spacing w:line="360" w:lineRule="auto"/>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14.操作系统：配备正版国产操作系统。</w:t>
            </w:r>
          </w:p>
          <w:p w14:paraId="57D01AB4">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二、配套专属显示器：</w:t>
            </w:r>
          </w:p>
          <w:p w14:paraId="214969A1">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1.显示器≥23.8英寸显示屏幕，分辨率≥1920*1080。</w:t>
            </w:r>
          </w:p>
          <w:p w14:paraId="724C0D9D">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★2.屏幕亮度≥250nit，IPS屏。</w:t>
            </w:r>
          </w:p>
          <w:p w14:paraId="0EFBB0AD">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3.支持VGA≥1，HDMI≥1。</w:t>
            </w:r>
          </w:p>
          <w:p w14:paraId="55ED8A75">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★4.为保证屏幕色彩显示真实度，显示屏幕DCI-P3色域覆盖率≥ 90%。（投标时须提供国家认可的第三方检测机构出具的关于该功能的检测报告复印件）</w:t>
            </w:r>
          </w:p>
          <w:p w14:paraId="1E6340AD">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5.对比度达到1000:1，屏幕刷新率达到75Hz，响应时间≤7ms，可视角度178/178。</w:t>
            </w:r>
          </w:p>
          <w:p w14:paraId="403165EC">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6.电源能效转换效率≥86%</w:t>
            </w:r>
          </w:p>
          <w:p w14:paraId="455121A9">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★7.为了适应日常使用和更好的视频播放体验，显示屏分别提供标准模式和炫彩模式选项。（投标时须提供国家认可的第三方检测机构出具的关于该功能的检测报告复印件）</w:t>
            </w:r>
          </w:p>
          <w:p w14:paraId="033587EA">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★8.为保证教师、学生的用眼舒适，显示屏幕提供护眼模式，护眼模式下，蓝光比例≤20%。（投标时须提供国家认可的第三方检测机构出具的关于该功能的检测报告复印件）</w:t>
            </w:r>
          </w:p>
          <w:p w14:paraId="5074E6EF">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★9.显示器提供阅读模式，为长时间阅读提供舒适的用眼体验。（投标时须提供国家认可的第三方检测机构出具的关于该功能的检测报告复印件）</w:t>
            </w:r>
          </w:p>
          <w:p w14:paraId="50B1CBB2">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10.显示屏幕采用窄边设计，上左右边框≤3.6mm，下边框≤16.5mm，屏占比≥92%。</w:t>
            </w:r>
          </w:p>
          <w:p w14:paraId="2C714276">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11.为保护教师、学生视力健康，硬件具备硬件低蓝光，获得TUV硬件低蓝光认证。</w:t>
            </w:r>
          </w:p>
          <w:p w14:paraId="76EB6D1F">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12.为保护教师、学生视力健康，硬件具备无频闪，获得TUV无频闪认证。</w:t>
            </w:r>
          </w:p>
          <w:p w14:paraId="204167B7">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13.为保证兼容性，显示器与教学主机保持同一品牌。</w:t>
            </w:r>
          </w:p>
          <w:p w14:paraId="55131FE0">
            <w:pPr>
              <w:pStyle w:val="12"/>
              <w:spacing w:line="360" w:lineRule="auto"/>
              <w:rPr>
                <w:rFonts w:hint="default" w:ascii="宋体" w:hAnsi="宋体" w:eastAsia="宋体" w:cs="宋体"/>
                <w:i w:val="0"/>
                <w:iCs w:val="0"/>
                <w:color w:val="000000" w:themeColor="text1"/>
                <w:kern w:val="0"/>
                <w:sz w:val="20"/>
                <w:szCs w:val="20"/>
                <w:highlight w:val="none"/>
                <w:u w:val="none"/>
                <w:lang w:val="en-US" w:eastAsia="zh-Hans"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三、</w:t>
            </w:r>
            <w:r>
              <w:rPr>
                <w:rFonts w:hint="eastAsia" w:ascii="宋体" w:hAnsi="宋体" w:eastAsia="宋体" w:cs="宋体"/>
                <w:i w:val="0"/>
                <w:iCs w:val="0"/>
                <w:color w:val="000000" w:themeColor="text1"/>
                <w:kern w:val="0"/>
                <w:sz w:val="20"/>
                <w:szCs w:val="20"/>
                <w:highlight w:val="none"/>
                <w:u w:val="none"/>
                <w:lang w:val="en-US" w:eastAsia="zh-Hans" w:bidi="ar"/>
                <w14:textFill>
                  <w14:solidFill>
                    <w14:schemeClr w14:val="tx1"/>
                  </w14:solidFill>
                </w14:textFill>
              </w:rPr>
              <w:t>教学配套软件设计</w:t>
            </w:r>
            <w:r>
              <w:rPr>
                <w:rFonts w:hint="default" w:ascii="宋体" w:hAnsi="宋体" w:eastAsia="宋体" w:cs="宋体"/>
                <w:i w:val="0"/>
                <w:iCs w:val="0"/>
                <w:color w:val="000000" w:themeColor="text1"/>
                <w:kern w:val="0"/>
                <w:sz w:val="20"/>
                <w:szCs w:val="20"/>
                <w:highlight w:val="none"/>
                <w:u w:val="none"/>
                <w:lang w:val="en-US" w:eastAsia="zh-Hans" w:bidi="ar"/>
                <w14:textFill>
                  <w14:solidFill>
                    <w14:schemeClr w14:val="tx1"/>
                  </w14:solidFill>
                </w14:textFill>
              </w:rPr>
              <w:t>：</w:t>
            </w:r>
          </w:p>
          <w:p w14:paraId="1EAD26EB">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Hans"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0"/>
                <w:szCs w:val="20"/>
                <w:highlight w:val="none"/>
                <w:u w:val="none"/>
                <w:lang w:val="en-US" w:eastAsia="zh-Hans" w:bidi="ar"/>
                <w14:textFill>
                  <w14:solidFill>
                    <w14:schemeClr w14:val="tx1"/>
                  </w14:solidFill>
                </w14:textFill>
              </w:rPr>
              <w:t>教学平台为全校教师提供可扩展，易于学校管理，安全可靠的云存储空间，根据每名教师使用时长与教学资料制作频率提供可扩展升级至不小于200G的个人云空间。</w:t>
            </w:r>
          </w:p>
          <w:p w14:paraId="2CDFF908">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Hans"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0"/>
                <w:szCs w:val="20"/>
                <w:highlight w:val="none"/>
                <w:u w:val="none"/>
                <w:lang w:val="en-US" w:eastAsia="zh-Hans" w:bidi="ar"/>
                <w14:textFill>
                  <w14:solidFill>
                    <w14:schemeClr w14:val="tx1"/>
                  </w14:solidFill>
                </w14:textFill>
              </w:rPr>
              <w:t>PPT小工具：支持小组端进入PPT放映模式后提供批注、黑板、橡皮、撤销、批注分享等工具，满足学生小组研讨的使用</w:t>
            </w:r>
          </w:p>
          <w:p w14:paraId="4489CA98">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Hans"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0"/>
                <w:szCs w:val="20"/>
                <w:highlight w:val="none"/>
                <w:u w:val="none"/>
                <w:lang w:val="en-US" w:eastAsia="zh-Hans" w:bidi="ar"/>
                <w14:textFill>
                  <w14:solidFill>
                    <w14:schemeClr w14:val="tx1"/>
                  </w14:solidFill>
                </w14:textFill>
              </w:rPr>
              <w:t>书写工具具备地图图示（如铁路、城墙、山峰、港口、机场等）笔迹，可直接进行图示标注；提供三维立体星球模型，内含太阳系全览模型、行星模型、卫星模型，支持360°自由旋转、缩放。太阳系全览模型、行星、卫星使用模型嵌套设计，无需切换界面，可从太阳系逐层定位至卫星；提供丰富的地理教学图集，可查看行星的详细数据信息（包括名称、赤道直径、质量、自转周期、日心轨道周期、表面重力、温度等）和内部结构信息（地壳、地幔、外核、内核等），支持地球模型直接进行平面/立体转换，清晰展现地球表面的六大板块、降水分布、气温分布、气候分布、人口分布、表层洋流、陆地自然带、海平面等压线等内容，方便教学。</w:t>
            </w:r>
          </w:p>
          <w:p w14:paraId="021F865C">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Hans"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★4.</w:t>
            </w:r>
            <w:r>
              <w:rPr>
                <w:rFonts w:hint="eastAsia" w:ascii="宋体" w:hAnsi="宋体" w:eastAsia="宋体" w:cs="宋体"/>
                <w:i w:val="0"/>
                <w:iCs w:val="0"/>
                <w:color w:val="000000" w:themeColor="text1"/>
                <w:kern w:val="0"/>
                <w:sz w:val="20"/>
                <w:szCs w:val="20"/>
                <w:highlight w:val="none"/>
                <w:u w:val="none"/>
                <w:lang w:val="en-US" w:eastAsia="zh-Hans" w:bidi="ar"/>
                <w14:textFill>
                  <w14:solidFill>
                    <w14:schemeClr w14:val="tx1"/>
                  </w14:solidFill>
                </w14:textFill>
              </w:rPr>
              <w:t>一键开课：教师可一键开课生成课程海报；学生扫描课程海报微信二维码即可加入直播课堂，无需额外安装APP。（</w:t>
            </w:r>
            <w:r>
              <w:rPr>
                <w:rFonts w:hint="default" w:ascii="宋体" w:hAnsi="宋体" w:eastAsia="宋体" w:cs="宋体"/>
                <w:i w:val="0"/>
                <w:iCs w:val="0"/>
                <w:color w:val="000000" w:themeColor="text1"/>
                <w:kern w:val="0"/>
                <w:sz w:val="20"/>
                <w:szCs w:val="20"/>
                <w:highlight w:val="none"/>
                <w:u w:val="none"/>
                <w:lang w:val="en-US" w:eastAsia="zh-Hans" w:bidi="ar"/>
                <w14:textFill>
                  <w14:solidFill>
                    <w14:schemeClr w14:val="tx1"/>
                  </w14:solidFill>
                </w14:textFill>
              </w:rPr>
              <w:t>投标文件中须</w:t>
            </w:r>
            <w:r>
              <w:rPr>
                <w:rFonts w:hint="eastAsia" w:ascii="宋体" w:hAnsi="宋体" w:eastAsia="宋体" w:cs="宋体"/>
                <w:i w:val="0"/>
                <w:iCs w:val="0"/>
                <w:color w:val="000000" w:themeColor="text1"/>
                <w:kern w:val="0"/>
                <w:sz w:val="20"/>
                <w:szCs w:val="20"/>
                <w:highlight w:val="none"/>
                <w:u w:val="none"/>
                <w:lang w:val="en-US" w:eastAsia="zh-Hans" w:bidi="ar"/>
                <w14:textFill>
                  <w14:solidFill>
                    <w14:schemeClr w14:val="tx1"/>
                  </w14:solidFill>
                </w14:textFill>
              </w:rPr>
              <w:t>提供国家认可的第三方检测机构出具的检测报告复印件）</w:t>
            </w:r>
          </w:p>
          <w:p w14:paraId="24446614">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Hans"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0"/>
                <w:szCs w:val="20"/>
                <w:highlight w:val="none"/>
                <w:u w:val="none"/>
                <w:lang w:val="en-US" w:eastAsia="zh-Hans" w:bidi="ar"/>
                <w14:textFill>
                  <w14:solidFill>
                    <w14:schemeClr w14:val="tx1"/>
                  </w14:solidFill>
                </w14:textFill>
              </w:rPr>
              <w:t>剪辑重录：支持按照课件页面片段剪辑和重录微课，支持一键上传至云端保存。</w:t>
            </w:r>
          </w:p>
          <w:p w14:paraId="1BEF7813">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Hans"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0"/>
                <w:szCs w:val="20"/>
                <w:highlight w:val="none"/>
                <w:u w:val="none"/>
                <w:lang w:val="en-US" w:eastAsia="zh-Hans" w:bidi="ar"/>
                <w14:textFill>
                  <w14:solidFill>
                    <w14:schemeClr w14:val="tx1"/>
                  </w14:solidFill>
                </w14:textFill>
              </w:rPr>
              <w:t>课程回放：课程结束后自动生成直播回放，报名课程的学生可反复学习；回放课程自动保存在云端，支持人工删除。（</w:t>
            </w:r>
            <w:r>
              <w:rPr>
                <w:rFonts w:hint="default" w:ascii="宋体" w:hAnsi="宋体" w:eastAsia="宋体" w:cs="宋体"/>
                <w:i w:val="0"/>
                <w:iCs w:val="0"/>
                <w:color w:val="000000" w:themeColor="text1"/>
                <w:kern w:val="0"/>
                <w:sz w:val="20"/>
                <w:szCs w:val="20"/>
                <w:highlight w:val="none"/>
                <w:u w:val="none"/>
                <w:lang w:val="en-US" w:eastAsia="zh-Hans" w:bidi="ar"/>
                <w14:textFill>
                  <w14:solidFill>
                    <w14:schemeClr w14:val="tx1"/>
                  </w14:solidFill>
                </w14:textFill>
              </w:rPr>
              <w:t>投标文件中须</w:t>
            </w:r>
            <w:r>
              <w:rPr>
                <w:rFonts w:hint="eastAsia" w:ascii="宋体" w:hAnsi="宋体" w:eastAsia="宋体" w:cs="宋体"/>
                <w:i w:val="0"/>
                <w:iCs w:val="0"/>
                <w:color w:val="000000" w:themeColor="text1"/>
                <w:kern w:val="0"/>
                <w:sz w:val="20"/>
                <w:szCs w:val="20"/>
                <w:highlight w:val="none"/>
                <w:u w:val="none"/>
                <w:lang w:val="en-US" w:eastAsia="zh-Hans" w:bidi="ar"/>
                <w14:textFill>
                  <w14:solidFill>
                    <w14:schemeClr w14:val="tx1"/>
                  </w14:solidFill>
                </w14:textFill>
              </w:rPr>
              <w:t>提供国家认可的第三方检测机构出具的检测报告复印件）</w:t>
            </w:r>
          </w:p>
          <w:p w14:paraId="2E738BA2">
            <w:pPr>
              <w:pStyle w:val="12"/>
              <w:spacing w:line="360" w:lineRule="auto"/>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7.</w:t>
            </w:r>
            <w:r>
              <w:rPr>
                <w:rFonts w:hint="default"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发起集备：支持选择教案、课件、胶囊资源上传发起集备研讨，支持设置多重访问权限，通过手机号搜索即可邀请外校老师，可用于跨校教研场景。</w:t>
            </w:r>
          </w:p>
          <w:p w14:paraId="5838E1C8">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四、教学辅助工具</w:t>
            </w:r>
          </w:p>
          <w:p w14:paraId="1DC27E3A">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支持设备功能，支持展示当前设备的硬件信息和系统信息。支持查看硬件信息包括：CPU、主板、显卡、硬盘、显示器、网卡、声卡。支持查看系统信息，包括：操作系统、系统激活状态、连接ID、SN号、MAC地址、内外网IP。</w:t>
            </w:r>
          </w:p>
          <w:p w14:paraId="2B62AA32">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2、支持查看设备运行状态，包含当前设备内存、CPU使用率、硬盘、系统盘和网速信息。</w:t>
            </w:r>
          </w:p>
          <w:p w14:paraId="03E77686">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3、学校管理员支持通过手机微信扫描接收端软件的二维码登录，支持选择学校并输入设备名称，接收端软件即可完成关联学校；支持学校管理员修改已关联的设备名称。普通老师加入该学校后可在发送端软件中看到该设备并可远程创建接收夹。（投标时须提供国家认可的第三方检测机构出具的关于该功能检测报告复印件）</w:t>
            </w:r>
          </w:p>
          <w:p w14:paraId="1B6A8049">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4、支持查看当前学校的电脑列表，包括电脑设备状态、归属用户、操作系统、IP地址、上线时间与最后在线时；支持对设备进行分组管理；支持通过设备名称与归属用户进行搜索。</w:t>
            </w:r>
          </w:p>
          <w:p w14:paraId="2A0DAC8E">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5、支持查看单个电脑的硬件信息与系统信息。</w:t>
            </w:r>
          </w:p>
          <w:p w14:paraId="06668ACB">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6、支持对单个电脑或批量设备下发关机与重启指令、移动分组、移除设备。</w:t>
            </w:r>
          </w:p>
          <w:p w14:paraId="7E1A358D">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7、支持展示电脑实时的数据信息，包括CPU、内存、系统盘、总存储、实时网速数据信息，离线的设备展示最后的数据信息。</w:t>
            </w:r>
          </w:p>
          <w:p w14:paraId="763B2F08">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8、支持在统信系统与麒麟系统使用</w:t>
            </w:r>
          </w:p>
          <w:p w14:paraId="27580F4C">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9、支持使用文件快传功能，从发送端传送文件至接收端；支持一次发送20个文件；支持发送图片、视频、文档类型的文件；支持从文件夹或选择文件拖动至文件传输发送区域；支持查看待发送的文件列表；支持在待发送列表中删除文件。（投标时须提供国家认可的第三方检测机构出具的关于该功能检测报告复印件）</w:t>
            </w:r>
          </w:p>
          <w:p w14:paraId="14E53767">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★10、支持一次发送文件给不同的接收端设备。接收端离线时文件能够暂存在云端，接收端设备在线后支持进行自动下载。（投标时须提供国家认可的第三方检测机构出具的关于该功能检测报告复印件）</w:t>
            </w:r>
          </w:p>
          <w:p w14:paraId="398F8653">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★11、支持发送端发的文件在windows、统信系统、麒麟系统的接收端接收文件。（投标时须提供国家认可的第三方检测机构出具的关于该功能检测报告复印件）</w:t>
            </w:r>
          </w:p>
          <w:p w14:paraId="2F671294">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12、采用云端存储的方式，用户可在发送端软件查看上传的文件；列表展示方式包含列表视图和栅格视图；列表视图中，支持展示文件更新时间和大小。支持在栅格视图中展示小预览图，支持在列表视图中展示文件格式预览图；支持对资料夹文件进行排序，支持按照文件名称、更新时间和大小排序；支持对资料夹文件进行筛选，支持图片、音视频和文档筛选；上传的文件支持用户在手机的移动软件中查看；支持查看当前文件夹的路径，支持点击文件路径跳转至目标文件夹；文件支持根据窗口的显示大小会进行适配，一行显示不同的数量</w:t>
            </w:r>
          </w:p>
          <w:p w14:paraId="17DBE8D9">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13、支持助手栏添加并展示应用、网站和组件，可通过助手栏打开软件。支持在发送端软件内打开备课、课件库、校本资源、集体备课、作业本、快传、设备；助手栏打开多个软件时支持在窗口内部切换、关闭标签；支持对窗口进行最小化、最大化、关闭操作。（投标时须提供国家认可的第三方检测机构出具的关于该功能检测报告复印件）</w:t>
            </w:r>
          </w:p>
          <w:p w14:paraId="11489770">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14、拖动文件时，支持根据文件判定并展示需要的功能项，文件拖入功能项后打开对应的功能；功能包括PDF转格式、图片转格式、文字快剪、提取文字、发送到大屏、发送到班级；右键点击文件时，支持根据文件判定并展示需要的功能项，选择后打开对应的功能；功能包括PDF转格式、图片转格式、文字快剪、提取文字、发送到大屏、发送到资料夹。（投标时须提供国家认可的第三方检测机构出具的关于该功能检测报告复印件）</w:t>
            </w:r>
          </w:p>
          <w:p w14:paraId="58C3D5DA">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五、其他要求</w:t>
            </w:r>
          </w:p>
          <w:p w14:paraId="69133E96">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1.为了保障设备品质及服务，设备生产厂家须通过以下认证，符合GB/T 27922-2011售后服务评价体系标准，不低于十星级售后服务认证，供货时须提供相关证明材料。</w:t>
            </w:r>
          </w:p>
          <w:p w14:paraId="554313FE">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2.为确保货物质量及原厂品质，中标供应商在正式供货时必须提供生产厂家针对此项目的售后服务保证原件、供货证明原件，否则采购方将不予验收通过。</w:t>
            </w:r>
          </w:p>
          <w:p w14:paraId="4297EA19">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3.为了确保教育数据托付管理能力、存储能力及信息安全能力，所投产品生产厂家通过GB/T36073-2018《数据管理能力成熟度评估模型》认定，供货时须提供相关证明材料。</w:t>
            </w:r>
          </w:p>
          <w:p w14:paraId="7B8E3EE3">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4.根据市场需求持续进行软件开发、更新、维护，能出具SPCA软件能力成熟度模型等级3级或以上证书复印件的，供货时须提供相关证明材料。</w:t>
            </w:r>
          </w:p>
          <w:p w14:paraId="273A02CC">
            <w:pPr>
              <w:pStyle w:val="12"/>
              <w:spacing w:line="360" w:lineRule="auto"/>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5.电脑售后服务要求质保3年。</w:t>
            </w:r>
          </w:p>
        </w:tc>
        <w:tc>
          <w:tcPr>
            <w:tcW w:w="483" w:type="dxa"/>
            <w:vAlign w:val="center"/>
          </w:tcPr>
          <w:p w14:paraId="2EBCCC6C">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themeColor="text1"/>
                <w:sz w:val="18"/>
                <w:szCs w:val="18"/>
                <w:highlight w:val="none"/>
                <w:lang w:val="en-US" w:eastAsia="zh-CN"/>
                <w14:textFill>
                  <w14:solidFill>
                    <w14:schemeClr w14:val="tx1"/>
                  </w14:solidFill>
                </w14:textFill>
              </w:rPr>
            </w:pPr>
            <w:r>
              <w:rPr>
                <w:rFonts w:hint="eastAsia" w:hAnsi="宋体" w:cs="宋体"/>
                <w:b w:val="0"/>
                <w:bCs w:val="0"/>
                <w:color w:val="000000" w:themeColor="text1"/>
                <w:sz w:val="18"/>
                <w:szCs w:val="18"/>
                <w:highlight w:val="none"/>
                <w:lang w:val="en-US" w:eastAsia="zh-CN"/>
                <w14:textFill>
                  <w14:solidFill>
                    <w14:schemeClr w14:val="tx1"/>
                  </w14:solidFill>
                </w14:textFill>
              </w:rPr>
              <w:t>12</w:t>
            </w:r>
          </w:p>
        </w:tc>
        <w:tc>
          <w:tcPr>
            <w:tcW w:w="553" w:type="dxa"/>
            <w:vAlign w:val="center"/>
          </w:tcPr>
          <w:p w14:paraId="37E9AD86">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themeColor="text1"/>
                <w:sz w:val="18"/>
                <w:szCs w:val="18"/>
                <w:highlight w:val="none"/>
                <w:lang w:val="en-US" w:eastAsia="zh-CN"/>
                <w14:textFill>
                  <w14:solidFill>
                    <w14:schemeClr w14:val="tx1"/>
                  </w14:solidFill>
                </w14:textFill>
              </w:rPr>
            </w:pPr>
            <w:r>
              <w:rPr>
                <w:rFonts w:hint="eastAsia" w:hAnsi="宋体" w:cs="宋体"/>
                <w:b w:val="0"/>
                <w:bCs w:val="0"/>
                <w:color w:val="000000" w:themeColor="text1"/>
                <w:sz w:val="18"/>
                <w:szCs w:val="18"/>
                <w:highlight w:val="none"/>
                <w:lang w:val="en-US" w:eastAsia="zh-CN"/>
                <w14:textFill>
                  <w14:solidFill>
                    <w14:schemeClr w14:val="tx1"/>
                  </w14:solidFill>
                </w14:textFill>
              </w:rPr>
              <w:t>台</w:t>
            </w:r>
          </w:p>
        </w:tc>
        <w:tc>
          <w:tcPr>
            <w:tcW w:w="1064" w:type="dxa"/>
            <w:vAlign w:val="center"/>
          </w:tcPr>
          <w:p w14:paraId="4C438B2A">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themeColor="text1"/>
                <w:sz w:val="18"/>
                <w:szCs w:val="18"/>
                <w:highlight w:val="none"/>
                <w:lang w:val="en-US" w:eastAsia="zh-CN"/>
                <w14:textFill>
                  <w14:solidFill>
                    <w14:schemeClr w14:val="tx1"/>
                  </w14:solidFill>
                </w14:textFill>
              </w:rPr>
            </w:pPr>
            <w:r>
              <w:rPr>
                <w:rFonts w:hint="eastAsia" w:hAnsi="宋体" w:cs="宋体"/>
                <w:b w:val="0"/>
                <w:bCs w:val="0"/>
                <w:color w:val="000000" w:themeColor="text1"/>
                <w:sz w:val="18"/>
                <w:szCs w:val="18"/>
                <w:highlight w:val="none"/>
                <w:lang w:val="en-US" w:eastAsia="zh-CN"/>
                <w14:textFill>
                  <w14:solidFill>
                    <w14:schemeClr w14:val="tx1"/>
                  </w14:solidFill>
                </w14:textFill>
              </w:rPr>
              <w:t>6000</w:t>
            </w:r>
          </w:p>
        </w:tc>
        <w:tc>
          <w:tcPr>
            <w:tcW w:w="1064" w:type="dxa"/>
            <w:vAlign w:val="center"/>
          </w:tcPr>
          <w:p w14:paraId="2A3D3148">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themeColor="text1"/>
                <w:sz w:val="18"/>
                <w:szCs w:val="18"/>
                <w:highlight w:val="none"/>
                <w:lang w:val="en-US" w:eastAsia="zh-CN"/>
                <w14:textFill>
                  <w14:solidFill>
                    <w14:schemeClr w14:val="tx1"/>
                  </w14:solidFill>
                </w14:textFill>
              </w:rPr>
            </w:pPr>
            <w:r>
              <w:rPr>
                <w:rFonts w:hint="eastAsia" w:hAnsi="宋体" w:cs="宋体"/>
                <w:b w:val="0"/>
                <w:bCs w:val="0"/>
                <w:color w:val="000000" w:themeColor="text1"/>
                <w:sz w:val="18"/>
                <w:szCs w:val="18"/>
                <w:highlight w:val="none"/>
                <w:lang w:val="en-US" w:eastAsia="zh-CN"/>
                <w14:textFill>
                  <w14:solidFill>
                    <w14:schemeClr w14:val="tx1"/>
                  </w14:solidFill>
                </w14:textFill>
              </w:rPr>
              <w:t>72000</w:t>
            </w:r>
          </w:p>
        </w:tc>
      </w:tr>
      <w:tr w14:paraId="00D9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499" w:type="dxa"/>
            <w:vAlign w:val="center"/>
          </w:tcPr>
          <w:p w14:paraId="4FF1B616">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hAnsi="宋体" w:cs="宋体"/>
                <w:b w:val="0"/>
                <w:bCs w:val="0"/>
                <w:color w:val="000000" w:themeColor="text1"/>
                <w:sz w:val="18"/>
                <w:szCs w:val="18"/>
                <w:highlight w:val="none"/>
                <w:lang w:val="en-US" w:eastAsia="zh-CN"/>
                <w14:textFill>
                  <w14:solidFill>
                    <w14:schemeClr w14:val="tx1"/>
                  </w14:solidFill>
                </w14:textFill>
              </w:rPr>
            </w:pPr>
          </w:p>
        </w:tc>
        <w:tc>
          <w:tcPr>
            <w:tcW w:w="815" w:type="dxa"/>
            <w:shd w:val="clear" w:color="auto" w:fill="auto"/>
            <w:vAlign w:val="center"/>
          </w:tcPr>
          <w:p w14:paraId="3FD19C89">
            <w:pPr>
              <w:pStyle w:val="12"/>
              <w:spacing w:line="360" w:lineRule="auto"/>
              <w:jc w:val="center"/>
              <w:rPr>
                <w:rFonts w:hint="default" w:ascii="宋体" w:hAnsi="宋体" w:eastAsia="宋体" w:cs="Times New Roman"/>
                <w:color w:val="000000" w:themeColor="text1"/>
                <w:kern w:val="2"/>
                <w:sz w:val="21"/>
                <w:szCs w:val="20"/>
                <w:highlight w:val="none"/>
                <w:lang w:val="en-US" w:eastAsia="zh-CN" w:bidi="ar-SA"/>
                <w14:textFill>
                  <w14:solidFill>
                    <w14:schemeClr w14:val="tx1"/>
                  </w14:solidFill>
                </w14:textFill>
              </w:rPr>
            </w:pPr>
            <w:r>
              <w:rPr>
                <w:rFonts w:hint="eastAsia" w:ascii="宋体" w:hAnsi="宋体" w:cs="Times New Roman"/>
                <w:color w:val="000000" w:themeColor="text1"/>
                <w:kern w:val="2"/>
                <w:sz w:val="21"/>
                <w:szCs w:val="20"/>
                <w:highlight w:val="none"/>
                <w:lang w:val="en-US" w:eastAsia="zh-CN" w:bidi="ar-SA"/>
                <w14:textFill>
                  <w14:solidFill>
                    <w14:schemeClr w14:val="tx1"/>
                  </w14:solidFill>
                </w14:textFill>
              </w:rPr>
              <w:t>合计</w:t>
            </w:r>
          </w:p>
        </w:tc>
        <w:tc>
          <w:tcPr>
            <w:tcW w:w="6322" w:type="dxa"/>
            <w:shd w:val="clear" w:color="auto" w:fill="auto"/>
            <w:vAlign w:val="center"/>
          </w:tcPr>
          <w:p w14:paraId="5AF0FFC8">
            <w:pPr>
              <w:pStyle w:val="12"/>
              <w:spacing w:line="360" w:lineRule="auto"/>
              <w:rPr>
                <w:rFonts w:hint="default" w:ascii="宋体" w:hAnsi="宋体" w:cs="Times New Roman"/>
                <w:color w:val="000000" w:themeColor="text1"/>
                <w:kern w:val="2"/>
                <w:sz w:val="21"/>
                <w:szCs w:val="20"/>
                <w:highlight w:val="none"/>
                <w:lang w:val="en-US" w:eastAsia="zh-CN" w:bidi="ar-SA"/>
                <w14:textFill>
                  <w14:solidFill>
                    <w14:schemeClr w14:val="tx1"/>
                  </w14:solidFill>
                </w14:textFill>
              </w:rPr>
            </w:pPr>
          </w:p>
        </w:tc>
        <w:tc>
          <w:tcPr>
            <w:tcW w:w="483" w:type="dxa"/>
            <w:vAlign w:val="center"/>
          </w:tcPr>
          <w:p w14:paraId="6C67B09D">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hAnsi="宋体" w:cs="宋体"/>
                <w:b w:val="0"/>
                <w:bCs w:val="0"/>
                <w:color w:val="000000" w:themeColor="text1"/>
                <w:sz w:val="18"/>
                <w:szCs w:val="18"/>
                <w:highlight w:val="none"/>
                <w:lang w:val="en-US" w:eastAsia="zh-CN"/>
                <w14:textFill>
                  <w14:solidFill>
                    <w14:schemeClr w14:val="tx1"/>
                  </w14:solidFill>
                </w14:textFill>
              </w:rPr>
            </w:pPr>
          </w:p>
        </w:tc>
        <w:tc>
          <w:tcPr>
            <w:tcW w:w="553" w:type="dxa"/>
            <w:vAlign w:val="center"/>
          </w:tcPr>
          <w:p w14:paraId="4C0ECC53">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hAnsi="宋体" w:cs="宋体"/>
                <w:b w:val="0"/>
                <w:bCs w:val="0"/>
                <w:color w:val="000000" w:themeColor="text1"/>
                <w:sz w:val="18"/>
                <w:szCs w:val="18"/>
                <w:highlight w:val="none"/>
                <w:lang w:val="en-US" w:eastAsia="zh-CN"/>
                <w14:textFill>
                  <w14:solidFill>
                    <w14:schemeClr w14:val="tx1"/>
                  </w14:solidFill>
                </w14:textFill>
              </w:rPr>
            </w:pPr>
          </w:p>
        </w:tc>
        <w:tc>
          <w:tcPr>
            <w:tcW w:w="1064" w:type="dxa"/>
            <w:vAlign w:val="center"/>
          </w:tcPr>
          <w:p w14:paraId="2275800E">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themeColor="text1"/>
                <w:sz w:val="18"/>
                <w:szCs w:val="18"/>
                <w:highlight w:val="none"/>
                <w:lang w:val="en-US" w:eastAsia="zh-CN"/>
                <w14:textFill>
                  <w14:solidFill>
                    <w14:schemeClr w14:val="tx1"/>
                  </w14:solidFill>
                </w14:textFill>
              </w:rPr>
            </w:pPr>
          </w:p>
        </w:tc>
        <w:tc>
          <w:tcPr>
            <w:tcW w:w="1064" w:type="dxa"/>
            <w:vAlign w:val="center"/>
          </w:tcPr>
          <w:p w14:paraId="09A57154">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themeColor="text1"/>
                <w:sz w:val="18"/>
                <w:szCs w:val="18"/>
                <w:highlight w:val="none"/>
                <w:lang w:val="en-US" w:eastAsia="zh-CN"/>
                <w14:textFill>
                  <w14:solidFill>
                    <w14:schemeClr w14:val="tx1"/>
                  </w14:solidFill>
                </w14:textFill>
              </w:rPr>
            </w:pPr>
            <w:r>
              <w:rPr>
                <w:rFonts w:hint="eastAsia" w:hAnsi="宋体" w:cs="宋体"/>
                <w:b w:val="0"/>
                <w:bCs w:val="0"/>
                <w:color w:val="000000" w:themeColor="text1"/>
                <w:sz w:val="18"/>
                <w:szCs w:val="18"/>
                <w:highlight w:val="none"/>
                <w:lang w:val="en-US" w:eastAsia="zh-CN"/>
                <w14:textFill>
                  <w14:solidFill>
                    <w14:schemeClr w14:val="tx1"/>
                  </w14:solidFill>
                </w14:textFill>
              </w:rPr>
              <w:t>256000</w:t>
            </w:r>
          </w:p>
        </w:tc>
      </w:tr>
    </w:tbl>
    <w:p w14:paraId="4FED2497">
      <w:pPr>
        <w:rPr>
          <w:color w:val="000000" w:themeColor="text1"/>
          <w:highlight w:val="none"/>
          <w14:textFill>
            <w14:solidFill>
              <w14:schemeClr w14:val="tx1"/>
            </w14:solidFill>
          </w14:textFill>
        </w:rPr>
      </w:pPr>
    </w:p>
    <w:p w14:paraId="7F3DBD0E">
      <w:pPr>
        <w:rPr>
          <w:color w:val="000000" w:themeColor="text1"/>
          <w:highlight w:val="none"/>
          <w14:textFill>
            <w14:solidFill>
              <w14:schemeClr w14:val="tx1"/>
            </w14:solidFill>
          </w14:textFill>
        </w:rPr>
      </w:pPr>
    </w:p>
    <w:p w14:paraId="2B2A3788">
      <w:pPr>
        <w:rPr>
          <w:rFonts w:hint="eastAsia" w:eastAsiaTheme="minorEastAsia"/>
          <w:color w:val="000000" w:themeColor="text1"/>
          <w:highlight w:val="none"/>
          <w:lang w:val="en-US" w:eastAsia="zh-CN"/>
          <w14:textFill>
            <w14:solidFill>
              <w14:schemeClr w14:val="tx1"/>
            </w14:solidFill>
          </w14:textFill>
        </w:rPr>
      </w:pPr>
    </w:p>
    <w:tbl>
      <w:tblPr>
        <w:tblStyle w:val="9"/>
        <w:tblW w:w="99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8135"/>
      </w:tblGrid>
      <w:tr w14:paraId="3BB8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jc w:val="center"/>
        </w:trPr>
        <w:tc>
          <w:tcPr>
            <w:tcW w:w="9922" w:type="dxa"/>
            <w:gridSpan w:val="2"/>
            <w:vAlign w:val="center"/>
          </w:tcPr>
          <w:p w14:paraId="64DBA9FF">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themeColor="text1"/>
                <w:sz w:val="18"/>
                <w:szCs w:val="18"/>
                <w:highlight w:val="none"/>
                <w:lang w:val="en-US" w:eastAsia="zh-CN"/>
                <w14:textFill>
                  <w14:solidFill>
                    <w14:schemeClr w14:val="tx1"/>
                  </w14:solidFill>
                </w14:textFill>
              </w:rPr>
            </w:pPr>
            <w:r>
              <w:rPr>
                <w:rFonts w:hint="eastAsia" w:hAnsi="宋体" w:cs="宋体"/>
                <w:b/>
                <w:bCs/>
                <w:color w:val="000000" w:themeColor="text1"/>
                <w:sz w:val="24"/>
                <w:szCs w:val="24"/>
                <w:highlight w:val="none"/>
                <w:lang w:val="en-US" w:eastAsia="zh-CN"/>
                <w14:textFill>
                  <w14:solidFill>
                    <w14:schemeClr w14:val="tx1"/>
                  </w14:solidFill>
                </w14:textFill>
              </w:rPr>
              <w:t>商务条款</w:t>
            </w:r>
          </w:p>
        </w:tc>
      </w:tr>
      <w:tr w14:paraId="7993A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787" w:type="dxa"/>
            <w:vAlign w:val="center"/>
          </w:tcPr>
          <w:p w14:paraId="5893AF70">
            <w:pPr>
              <w:widowControl/>
              <w:jc w:val="cente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售后服务要求及免费保修期</w:t>
            </w:r>
          </w:p>
        </w:tc>
        <w:tc>
          <w:tcPr>
            <w:tcW w:w="8135" w:type="dxa"/>
            <w:vAlign w:val="center"/>
          </w:tcPr>
          <w:p w14:paraId="249EC599">
            <w:pPr>
              <w:widowControl/>
              <w:spacing w:line="360" w:lineRule="auto"/>
              <w:jc w:val="left"/>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免费质保期：按国家有关产品“三包”规定执行“三包”；所投交互智能平板产品提供原厂质保期最短不得少于6年；所投教学电脑产品提供原厂质保期最短不得少于3年(自货物验收合格之日起计算)。免费送货上门、安装、调试合格。</w:t>
            </w:r>
          </w:p>
          <w:p w14:paraId="082F7569">
            <w:pPr>
              <w:widowControl/>
              <w:spacing w:line="360" w:lineRule="auto"/>
              <w:jc w:val="left"/>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2.质保期内免费维修、更换配件，提供免费上门服务。</w:t>
            </w:r>
          </w:p>
          <w:p w14:paraId="06CF9287">
            <w:pPr>
              <w:widowControl/>
              <w:spacing w:line="360" w:lineRule="auto"/>
              <w:jc w:val="left"/>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3.设备如出现故障接到用户通知后在2小时内响应，12小时内上门服务，24小时内解决故障；未能在规定时间内排除故障的，必须在48小时内提供同档次的备用机。</w:t>
            </w:r>
          </w:p>
          <w:p w14:paraId="6274F7E2">
            <w:pPr>
              <w:widowControl/>
              <w:spacing w:line="360" w:lineRule="auto"/>
              <w:jc w:val="left"/>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4.免费提供现场技术培训，保证使用人员正常操作系统的各项功能。</w:t>
            </w:r>
          </w:p>
        </w:tc>
      </w:tr>
      <w:tr w14:paraId="154B9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787" w:type="dxa"/>
            <w:vAlign w:val="center"/>
          </w:tcPr>
          <w:p w14:paraId="08B579C4">
            <w:pPr>
              <w:widowControl/>
              <w:jc w:val="cente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交付使用时间及地点</w:t>
            </w:r>
          </w:p>
        </w:tc>
        <w:tc>
          <w:tcPr>
            <w:tcW w:w="8135" w:type="dxa"/>
            <w:vAlign w:val="center"/>
          </w:tcPr>
          <w:p w14:paraId="76EE0112">
            <w:pPr>
              <w:widowControl/>
              <w:spacing w:line="360" w:lineRule="auto"/>
              <w:jc w:val="left"/>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1.交货时间：交互智能平板 自合同签订之日起10个工作日内交货，教学电脑 自合同签订之日起15个工作日内交货，接到采购人安装通知后5日内安装调试完毕交付使用。</w:t>
            </w: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2.交货地点：广西桂林市采购人指定地点。</w:t>
            </w:r>
          </w:p>
        </w:tc>
      </w:tr>
      <w:tr w14:paraId="7B204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1787" w:type="dxa"/>
            <w:vAlign w:val="center"/>
          </w:tcPr>
          <w:p w14:paraId="32E2B224">
            <w:pPr>
              <w:widowControl/>
              <w:spacing w:line="360" w:lineRule="auto"/>
              <w:jc w:val="cente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付款方式</w:t>
            </w:r>
          </w:p>
        </w:tc>
        <w:tc>
          <w:tcPr>
            <w:tcW w:w="8135" w:type="dxa"/>
            <w:vAlign w:val="center"/>
          </w:tcPr>
          <w:p w14:paraId="38137030">
            <w:pPr>
              <w:widowControl/>
              <w:spacing w:line="360" w:lineRule="auto"/>
              <w:jc w:val="left"/>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本项目无预付款，在货物安装验收合格及设备正常使用后60日内支付合同金额给成交供应商。</w:t>
            </w:r>
          </w:p>
        </w:tc>
      </w:tr>
      <w:tr w14:paraId="5CE18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2" w:hRule="atLeast"/>
          <w:jc w:val="center"/>
        </w:trPr>
        <w:tc>
          <w:tcPr>
            <w:tcW w:w="1787" w:type="dxa"/>
            <w:vAlign w:val="center"/>
          </w:tcPr>
          <w:p w14:paraId="1A1CA7D8">
            <w:pPr>
              <w:widowControl/>
              <w:spacing w:line="360" w:lineRule="auto"/>
              <w:jc w:val="cente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验收标准</w:t>
            </w:r>
          </w:p>
        </w:tc>
        <w:tc>
          <w:tcPr>
            <w:tcW w:w="8135" w:type="dxa"/>
            <w:vAlign w:val="center"/>
          </w:tcPr>
          <w:p w14:paraId="226AED72">
            <w:pPr>
              <w:widowControl/>
              <w:spacing w:line="360" w:lineRule="auto"/>
              <w:jc w:val="left"/>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1.中标供应商所提供的货物与投标文件中承诺的技术参数不符的或未提供以上货物去采购人处进行验收的，采购人将报同级财政监督管理部门进行处理，由此导致整批货物被拒收或索赔而引发的所有损失由中标供应商承担。</w:t>
            </w:r>
          </w:p>
          <w:p w14:paraId="19DEC8A8">
            <w:pPr>
              <w:widowControl/>
              <w:spacing w:line="360" w:lineRule="auto"/>
              <w:jc w:val="left"/>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2.本项目的货物必须是原装正品行货、全新未开封的、符合国家标准的产品， 中标供应商按采购人的要求地址进行送货到位，验收时货物有不响应采购需求的，不予验收，采购人将报同级财政监督管理部门进行处理， 由此导致整批货物被拒收或索赔而引发的所有损失由中标供应商承担。</w:t>
            </w:r>
          </w:p>
          <w:p w14:paraId="5E2784F4">
            <w:pPr>
              <w:widowControl/>
              <w:spacing w:line="360" w:lineRule="auto"/>
              <w:jc w:val="left"/>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3.备品备件及耗材等要求：本项目采购的全部设备和零部件、配件及安装材料必须是未经使用的、全新的，并符合国家相关质量标准的。</w:t>
            </w:r>
          </w:p>
          <w:p w14:paraId="7AFFBE2C">
            <w:pPr>
              <w:widowControl/>
              <w:spacing w:line="360" w:lineRule="auto"/>
              <w:jc w:val="left"/>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4.产品属于国家强制标准要求的，必须提供产品相应符合标准证明材料。</w:t>
            </w:r>
          </w:p>
          <w:p w14:paraId="37202DEF">
            <w:pPr>
              <w:widowControl/>
              <w:spacing w:line="360" w:lineRule="auto"/>
              <w:jc w:val="left"/>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5.凡要求中标人提供性能参数承诺函及相关检测报告的，验收时按承诺函中性能 参数标定及相关检测报告标准进行验收。</w:t>
            </w:r>
          </w:p>
          <w:p w14:paraId="60D8E3E1">
            <w:pPr>
              <w:widowControl/>
              <w:spacing w:line="360" w:lineRule="auto"/>
              <w:jc w:val="left"/>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6.验收过程中，如采购人觉得有必要，可以邀请有资质的第三方检测机构对中标供应商提供的产品进行检测，费用由中标供应商负担。</w:t>
            </w:r>
          </w:p>
        </w:tc>
      </w:tr>
      <w:tr w14:paraId="00854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1787" w:type="dxa"/>
            <w:vAlign w:val="center"/>
          </w:tcPr>
          <w:p w14:paraId="5B687990">
            <w:pPr>
              <w:widowControl/>
              <w:spacing w:line="360" w:lineRule="auto"/>
              <w:jc w:val="cente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其他要求</w:t>
            </w:r>
          </w:p>
        </w:tc>
        <w:tc>
          <w:tcPr>
            <w:tcW w:w="8135" w:type="dxa"/>
            <w:vAlign w:val="center"/>
          </w:tcPr>
          <w:p w14:paraId="3330454D">
            <w:pPr>
              <w:widowControl/>
              <w:spacing w:line="360" w:lineRule="auto"/>
              <w:jc w:val="left"/>
              <w:rPr>
                <w:rFonts w:hint="eastAsia" w:ascii="宋体" w:hAnsi="宋体" w:eastAsia="宋体" w:cs="宋体"/>
                <w:b/>
                <w:bCs/>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0"/>
                <w:szCs w:val="20"/>
                <w:highlight w:val="none"/>
                <w:u w:val="none"/>
                <w:lang w:val="en-US" w:eastAsia="zh-CN" w:bidi="ar"/>
                <w14:textFill>
                  <w14:solidFill>
                    <w14:schemeClr w14:val="tx1"/>
                  </w14:solidFill>
                </w14:textFill>
              </w:rPr>
              <w:t>1.为确保货物质量及原厂品质，中标供应商在正式供货时必须提供生产厂家针对此项目的售后服务保证原件（加盖厂家公章）、供货证明原件（加盖厂家公章），否则采购方将不予验收通过。</w:t>
            </w:r>
          </w:p>
          <w:p w14:paraId="7E965D93">
            <w:pPr>
              <w:widowControl/>
              <w:spacing w:line="360" w:lineRule="auto"/>
              <w:jc w:val="left"/>
              <w:rPr>
                <w:rFonts w:hint="eastAsia" w:ascii="宋体" w:hAnsi="宋体" w:eastAsia="宋体" w:cs="宋体"/>
                <w:b/>
                <w:bCs/>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0"/>
                <w:szCs w:val="20"/>
                <w:highlight w:val="none"/>
                <w:u w:val="none"/>
                <w:lang w:val="en-US" w:eastAsia="zh-CN" w:bidi="ar"/>
                <w14:textFill>
                  <w14:solidFill>
                    <w14:schemeClr w14:val="tx1"/>
                  </w14:solidFill>
                </w14:textFill>
              </w:rPr>
              <w:t>2.报价时须上传采购需求文件中要求提供的相关证明文件，并通过采购人审核通过，如果没有上传相关证明材料或提供的证明材料不符合要求，则视为投标报价无效。</w:t>
            </w:r>
          </w:p>
          <w:p w14:paraId="47469329">
            <w:pPr>
              <w:widowControl/>
              <w:spacing w:line="360" w:lineRule="auto"/>
              <w:jc w:val="left"/>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t>3.本项目货物不接受进口产品（即通过中国海关报关验放进入中国境内且产自关境外的产品）参与投标。</w:t>
            </w:r>
          </w:p>
        </w:tc>
      </w:tr>
    </w:tbl>
    <w:p w14:paraId="18C6BE8E">
      <w:pPr>
        <w:pStyle w:val="2"/>
        <w:jc w:val="both"/>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jYzY5MjFhNjIwZjQyMDY1N2M3MGE5MDQwMTZjOTcifQ=="/>
  </w:docVars>
  <w:rsids>
    <w:rsidRoot w:val="3C6F109E"/>
    <w:rsid w:val="13515C6D"/>
    <w:rsid w:val="199FF4AF"/>
    <w:rsid w:val="1EFE5577"/>
    <w:rsid w:val="206162B1"/>
    <w:rsid w:val="26B801AB"/>
    <w:rsid w:val="354E5181"/>
    <w:rsid w:val="3C6F109E"/>
    <w:rsid w:val="3CCF6877"/>
    <w:rsid w:val="3DC22992"/>
    <w:rsid w:val="3DEA0A8B"/>
    <w:rsid w:val="3EB33737"/>
    <w:rsid w:val="3FEF095B"/>
    <w:rsid w:val="41ED0B1F"/>
    <w:rsid w:val="42707E35"/>
    <w:rsid w:val="42B8711B"/>
    <w:rsid w:val="6198032E"/>
    <w:rsid w:val="682922CA"/>
    <w:rsid w:val="6CA36567"/>
    <w:rsid w:val="6F272038"/>
    <w:rsid w:val="701658F3"/>
    <w:rsid w:val="73FF294F"/>
    <w:rsid w:val="752F0D63"/>
    <w:rsid w:val="759E37A9"/>
    <w:rsid w:val="77CB503B"/>
    <w:rsid w:val="77FF3ADF"/>
    <w:rsid w:val="79956BE2"/>
    <w:rsid w:val="7E427D0F"/>
    <w:rsid w:val="7FEDBF36"/>
    <w:rsid w:val="9FFB3915"/>
    <w:rsid w:val="BFFEECF0"/>
    <w:rsid w:val="DAAF2B3C"/>
    <w:rsid w:val="F3F27110"/>
    <w:rsid w:val="F9FE4F3C"/>
    <w:rsid w:val="FABB8F0C"/>
    <w:rsid w:val="FDFEDCEA"/>
    <w:rsid w:val="FE3FD4AA"/>
    <w:rsid w:val="FE7F36D1"/>
    <w:rsid w:val="FFD318E2"/>
    <w:rsid w:val="FFFF8A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2">
    <w:name w:val="heading 4"/>
    <w:basedOn w:val="1"/>
    <w:next w:val="1"/>
    <w:qFormat/>
    <w:uiPriority w:val="0"/>
    <w:pPr>
      <w:keepNext/>
      <w:keepLines/>
      <w:spacing w:before="280" w:after="290" w:line="480" w:lineRule="exact"/>
      <w:jc w:val="center"/>
      <w:outlineLvl w:val="3"/>
    </w:pPr>
    <w:rPr>
      <w:rFonts w:ascii="Cambria" w:hAnsi="Cambria" w:eastAsia="宋体" w:cs="Times New Roman"/>
      <w:b/>
      <w:bCs/>
      <w:sz w:val="28"/>
      <w:szCs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index 8"/>
    <w:basedOn w:val="1"/>
    <w:next w:val="1"/>
    <w:qFormat/>
    <w:uiPriority w:val="0"/>
    <w:pPr>
      <w:ind w:left="2940"/>
    </w:pPr>
  </w:style>
  <w:style w:type="paragraph" w:styleId="5">
    <w:name w:val="Body Text Indent"/>
    <w:basedOn w:val="1"/>
    <w:next w:val="6"/>
    <w:qFormat/>
    <w:uiPriority w:val="0"/>
    <w:pPr>
      <w:ind w:firstLine="830" w:firstLineChars="352"/>
    </w:pPr>
    <w:rPr>
      <w:rFonts w:ascii="仿宋_GB2312" w:eastAsia="仿宋_GB2312"/>
      <w:kern w:val="0"/>
      <w:sz w:val="32"/>
      <w:szCs w:val="20"/>
    </w:rPr>
  </w:style>
  <w:style w:type="paragraph" w:styleId="6">
    <w:name w:val="envelope return"/>
    <w:basedOn w:val="1"/>
    <w:qFormat/>
    <w:uiPriority w:val="0"/>
    <w:pPr>
      <w:adjustRightInd w:val="0"/>
      <w:snapToGrid w:val="0"/>
      <w:spacing w:line="360" w:lineRule="atLeast"/>
      <w:ind w:firstLine="640" w:firstLineChars="200"/>
    </w:pPr>
    <w:rPr>
      <w:rFonts w:ascii="Arial" w:hAnsi="Arial"/>
    </w:rPr>
  </w:style>
  <w:style w:type="paragraph" w:styleId="7">
    <w:name w:val="Plain Text"/>
    <w:basedOn w:val="1"/>
    <w:qFormat/>
    <w:uiPriority w:val="0"/>
    <w:rPr>
      <w:rFonts w:ascii="宋体" w:hAnsi="Courier New"/>
      <w:szCs w:val="20"/>
    </w:rPr>
  </w:style>
  <w:style w:type="paragraph" w:styleId="8">
    <w:name w:val="Body Text First Indent 2"/>
    <w:basedOn w:val="5"/>
    <w:unhideWhenUsed/>
    <w:qFormat/>
    <w:uiPriority w:val="99"/>
    <w:pPr>
      <w:spacing w:after="120"/>
      <w:ind w:left="420" w:leftChars="200" w:firstLine="420" w:firstLineChars="200"/>
    </w:pPr>
    <w:rPr>
      <w:rFonts w:ascii="Times New Roman" w:eastAsia="宋体"/>
      <w:kern w:val="2"/>
      <w:sz w:val="21"/>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正文 New New New New"/>
    <w:qFormat/>
    <w:uiPriority w:val="0"/>
    <w:pPr>
      <w:widowControl w:val="0"/>
      <w:jc w:val="both"/>
    </w:pPr>
    <w:rPr>
      <w:rFonts w:ascii="Times New Roman" w:hAnsi="Times New Roman" w:eastAsia="宋体" w:cs="Times New Roman"/>
      <w:kern w:val="0"/>
      <w:sz w:val="20"/>
      <w:szCs w:val="24"/>
      <w:lang w:val="en-US" w:eastAsia="zh-CN" w:bidi="ar-SA"/>
    </w:rPr>
  </w:style>
  <w:style w:type="paragraph" w:styleId="13">
    <w:name w:val="List Paragraph"/>
    <w:basedOn w:val="1"/>
    <w:qFormat/>
    <w:uiPriority w:val="0"/>
    <w:pPr>
      <w:widowControl/>
      <w:ind w:firstLine="420" w:firstLineChars="200"/>
      <w:jc w:val="left"/>
    </w:pPr>
    <w:rPr>
      <w:rFonts w:ascii="宋体" w:hAnsi="宋体" w:cs="宋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15694</Words>
  <Characters>16678</Characters>
  <Lines>0</Lines>
  <Paragraphs>0</Paragraphs>
  <TotalTime>5</TotalTime>
  <ScaleCrop>false</ScaleCrop>
  <LinksUpToDate>false</LinksUpToDate>
  <CharactersWithSpaces>16740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2024-08-04T11:12:00Z</dcterms:created>
  <dc:creator>WPS_1514269075</dc:creator>
  <cp:lastModifiedBy>固德办公苏小英18677379696</cp:lastModifiedBy>
  <dcterms:modified xsi:type="dcterms:W3CDTF">2026-08-21T00:28:38Z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4F906EAED653E63A1D57506A402D0595_43</vt:lpwstr>
  </property>
  <property fmtid="{D5CDD505-2E9C-101B-9397-08002B2CF9AE}" pid="4" name="KSOTemplateDocerSaveRecord">
    <vt:lpwstr>eyJoZGlkIjoiMWI5NGM2YmM3NTcwNjY3Y2RhNDk3ODkxYTExYjk3YjEiLCJ1c2VySWQiOiI1MjkyOTYyODAifQ==</vt:lpwstr>
  </property>
</Properties>
</file>