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32"/>
          <w:szCs w:val="32"/>
          <w:u w:val="none"/>
          <w:lang w:val="en-US" w:eastAsia="zh-CN" w:bidi="ar"/>
        </w:rPr>
        <w:t>计算机标准化实训室建设项目（临桂校区）</w:t>
      </w:r>
    </w:p>
    <w:p>
      <w:pPr>
        <w:keepNext w:val="0"/>
        <w:keepLines w:val="0"/>
        <w:widowControl/>
        <w:suppressLineNumbers w:val="0"/>
        <w:jc w:val="left"/>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一、需求一览表</w:t>
      </w:r>
    </w:p>
    <w:tbl>
      <w:tblPr>
        <w:tblStyle w:val="2"/>
        <w:tblW w:w="9157" w:type="dxa"/>
        <w:tblInd w:w="-73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20"/>
        <w:gridCol w:w="756"/>
        <w:gridCol w:w="720"/>
        <w:gridCol w:w="4360"/>
        <w:gridCol w:w="611"/>
        <w:gridCol w:w="394"/>
        <w:gridCol w:w="249"/>
        <w:gridCol w:w="655"/>
        <w:gridCol w:w="9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项号</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bCs w:val="0"/>
                <w:i w:val="0"/>
                <w:color w:val="000000"/>
                <w:sz w:val="22"/>
                <w:szCs w:val="22"/>
                <w:u w:val="none"/>
              </w:rPr>
            </w:pPr>
            <w:r>
              <w:rPr>
                <w:rFonts w:ascii="宋体" w:hAnsi="宋体" w:eastAsia="宋体" w:cs="宋体"/>
                <w:b/>
                <w:bCs w:val="0"/>
                <w:sz w:val="24"/>
                <w:szCs w:val="24"/>
              </w:rPr>
              <w:t>标的名称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型号</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ascii="宋体" w:hAnsi="宋体" w:eastAsia="宋体" w:cs="宋体"/>
                <w:b/>
                <w:bCs/>
                <w:sz w:val="24"/>
                <w:szCs w:val="24"/>
              </w:rPr>
              <w:t>技术参数及性能（配置）要求</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数量</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预算单价（元）</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预算单项小计（元）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教学用教师机</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核心参数</w:t>
            </w:r>
          </w:p>
        </w:tc>
        <w:tc>
          <w:tcPr>
            <w:tcW w:w="43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一：硬件部分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★1、CPU：≥I7-14700主频2.1GHz，缓存33MB，核心线程20核28线程）；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★2、内存：≥16GB DDR5 ；≥4个内存插槽，最大支持≥128GB；</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3、主板：≥B760芯片组，最高支持128GB内存，集成HD Audio，支持5.1声道；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4、固态硬盘：≥1TB SSD，支持升级≥M.2 2TB固态硬盘+4TB 机械硬盘；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★5、接口：≥4个SATAIII，M.2接口≥3个， USB接口≥10个，其中至少4 x USB 3.2，1xHDMI接口, 1 xDisplay Port接口，1xVGA，1xRJ45,1x耳麦二合一插孔，2xPS/2；</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★6、显卡：≥RTX 3050 6G独显；</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7、I/O扩展口：1xPCIe 4.0X16，2xPCIe 3.0X1，1 x M.2 for WiFi；</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★8、电源：原厂电源≥500W；</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★9、产品具备并通过国家认证证书：CCC证书、节能证书；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10、显示器：≥23.8英寸屏，2560*1440分辨率，刷新率≥120Hz，具有HDMI接口，配有HDMI线；</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11、系统：原厂自带windows11正版系统，兼容国产操作系统；</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★12、服务：原厂三年硬件故障免费服务（含换件和维修），提供免人力+部件，7*24小时电话技术支持服务，供货时提供针对本次项目的原厂供货证明。</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color w:val="000000"/>
                <w:kern w:val="0"/>
                <w:sz w:val="22"/>
                <w:szCs w:val="22"/>
                <w:lang w:bidi="ar"/>
              </w:rPr>
              <w:t>二：教学软件需求：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1、教学功能</w:t>
            </w:r>
            <w:r>
              <w:rPr>
                <w:rFonts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2、网络同传还原功能</w:t>
            </w:r>
            <w:r>
              <w:rPr>
                <w:rFonts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3、课堂管理功能。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4、点名功能。</w:t>
            </w:r>
            <w:r>
              <w:rPr>
                <w:rFonts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★5、提供正版教学软件，终身使用权；竞标时须提供教学软件著作权，否则视为无效响应。</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11000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教学用学生机</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核心参数</w:t>
            </w:r>
          </w:p>
        </w:tc>
        <w:tc>
          <w:tcPr>
            <w:tcW w:w="43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一：硬件部分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★1、CPU：≥I5-14400主频2.5GHz，缓存20MB，核心线程14核20线程）；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★2、内存：≥16GB DDR5 ；≥4个内存插槽，最大支持≥128GB；</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3、主板：≥B760芯片组，最高支持128GB内存，集成HD Audio，支持5.1声道；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4、固态硬盘：≥512GB SSD，支持升级≥M.2 2TB固态硬盘+4TB 机械硬盘；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★5、接口：≥4个SATAIII，M.2接口≥3个， USB接口≥10个，其中至少4 x USB 3.2，1xHDMI接口, 1 xDisplay Port接口，1xVGA，1xRJ45,1x耳麦二合一插孔，2xPS/2；</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★6、显卡：</w:t>
            </w:r>
            <w:r>
              <w:rPr>
                <w:rFonts w:hint="eastAsia" w:ascii="宋体" w:hAnsi="宋体" w:eastAsia="宋体" w:cs="宋体"/>
                <w:i w:val="0"/>
                <w:color w:val="auto"/>
                <w:kern w:val="0"/>
                <w:sz w:val="22"/>
                <w:szCs w:val="22"/>
                <w:u w:val="none"/>
                <w:lang w:val="en-US" w:eastAsia="zh-CN" w:bidi="ar"/>
              </w:rPr>
              <w:t>≥GT730 4G独显</w:t>
            </w:r>
            <w:r>
              <w:rPr>
                <w:rFonts w:hint="eastAsia" w:ascii="宋体" w:hAnsi="宋体" w:eastAsia="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7、I/O扩展口：1xPCIe 4.0X16，2xPCIe 3.0X1，1 x M.2 for WiFi；</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★8、电源：为了适应后续AI加装更高的显卡要求，原厂电源≥300W；</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★9、产品具备并通过国家认证证书：CCC证书、节能证书；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10、显示器：≥23.8英寸屏，1920*1080分辨率，刷新率≥120Hz，具有HDMI接口，配有HDMI线；</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11、系统：原厂自带windows11正版系统，兼容国产操作系统；</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★12、服务：原厂三年硬件故障免费服务（含换件和维修），提供免人力+部件，7*24小时电话技术支持服务，供货时提供针对本次项目的原厂供货证明。</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二：教学软件要求：</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color w:val="000000"/>
                <w:kern w:val="0"/>
                <w:sz w:val="22"/>
                <w:szCs w:val="22"/>
                <w:lang w:bidi="ar"/>
              </w:rPr>
              <w:t>1、教学功能</w:t>
            </w:r>
            <w:r>
              <w:rPr>
                <w:rFonts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2、网络同传还原功能</w:t>
            </w:r>
            <w:r>
              <w:rPr>
                <w:rFonts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3、课堂管理功能。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4、点名功能。</w:t>
            </w:r>
            <w:r>
              <w:rPr>
                <w:rFonts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★5、提供正版教学软件，终身使用权；竞标时须提供教学软件著作权，否则视为无效响应。</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台</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7490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374500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学生电脑桌</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定制</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1、基材:E1级高密度纤维板，甲醛释放量符合国家环保标准。桌体板材厚度：≥16mm / 18mm，桌面厚度≥25mm；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2、工艺:采用烤漆工艺，五底三面，十二道工序，表面光滑平整，有光泽。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3、五金:采用优质五金配件,五金配件包括（铰链、三合一等），品质优越，持久耐用，设计合理，稳重，结构简单链接牢固。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4、油漆:采用优质环保漆，符合国际环保标准油漆；光泽均匀， 流平性能好，饱满度高，抗刮性强，不易褪色。</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5、需要键盘托、需隐藏走线槽。</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位</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550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学生椅</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定制</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1、尺寸：座面 380×360mm，座高 420mm（固定），总高约 800mm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2、座垫：加厚帆布 / 耐磨 PU + 高弹海绵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3、靠背：钢管框架 + 透气网布</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4、椅架：25×25×1.2mm 方管，静电喷塑，配防滑脚垫</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讲台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定制</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讲台(1500*800*800MM)采用优质精装冷轧钢板</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1、基材:E1级高密度纤维板，甲醛释放量符合国家环保标准。桌体板材厚度：≥16mm / 18mm，桌面厚度≥25mm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2、工艺:采用烤漆工艺，五底三面，十二道工序，表面光滑平整，有光泽。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3、五金:采用优质五金配件,五金配件包括（铰链、三合一等），品质优越，持久耐用，设计合理，稳重，结构简单链接牢固。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4、油漆:采用优质环保漆，符合国际环保标准油漆；光泽均匀， 流平性能好，饱满度高，抗刮性强，不易褪色。</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教师椅</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定制</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整体外形尺寸为 600mm（宽）*600mm（深）* 1050mm（高）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 弓形椅脚架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采用优质冷轧钢管制作，壁厚不低于 1.2mm。表面经过镀铬或喷塑处理，防锈等级不低于 8 级，无锈蚀、漏镀、毛刺等缺陷。整体承重不低于 150kg，长期使用无变形、断裂风险。焊接处无虚焊、气孔，焊缝平整光滑。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 椅脚连接件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采用钢制焊接搭配高强度螺丝加固，连接牢固，无松动、异响问题，符合 GB/T 3324 家具通用技术条件要求。</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 坐面结构</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坐芯为高密度切割海绵，海绵密度不低于 30kg/m³，厚度不低于 40mm，回弹性不低于 60%，可保证久坐不塌陷。表层为高弹力透气网布（特斯林或涤纶材质），耐磨抗老化，无跳线、破损，且便于日常清洁打理。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 靠背结构</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靠背主体为高弹力透气网布搭配钢制支撑框架。网布透气性能良好，久坐不易闷热，抗拉强度不低于 200N/5cm；支撑框架稳固，网布张力均匀，长期使用无松弛变形现象。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 扶手结构</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扶手支架为钢制材质，承重不低于 400N，使用中无变形问题。扶手面采用 PU 软包材质，无异味、耐刮擦，边缘光滑无毛刺，手感舒适。</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 脚垫</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采用防滑静音橡胶脚垫，材质耐磨、无异味，防滑性能良好，安装牢固，可避免拖动椅子时刮伤地板、产生噪音。</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防静电地板</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定制</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陶瓷面静电地板</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1、地板规格：600mm×600mm×35mm。</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2、灰白，无边，钢制内六角杯。</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3、HPL 贴面，厚度≥1.2mm。</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4、平面度≤0.5mm。</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5、集中载荷≥2950N。</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6、均布载荷≥12500N。</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7、地板重量12.5±0.5kg/pc。</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8、极限尺寸偏差600±0.1mm。</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9、地板系统电阻1×106～1×1010Ω。</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10、耐磨值≥3000 转，磨损量≤0.012g/cm2。</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11、防火指标：基材A 级，不燃；贴面FV-1 级。</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12、含支架镀锌，高度≥250mm，可调节高度±20mm，承重≥1000kg。</w:t>
            </w:r>
          </w:p>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13、安装方式与辅材：优先采用机械连接（如锁扣）或支架架空安装。</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97.24</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平米</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交换机</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S220S-24T4JX</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接入/汇聚交换机 | 二层 | Web管理 | 交换容量396Gbps | 包转发率110Mpps | 下行24个GE电口+上行2个2.5GE光口,2个10GE光口 | 监控带机量150 | 终端带机量300 | 机架款</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网线</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CAT6</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六类非屏蔽网线，305米一箱，国标</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箱</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辅材</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定制</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配备电源线、插排、水晶头、扎带等各类辅材，可全面满足实训室各类安装施工需求。</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5000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集成服务</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定制</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1、吊顶：97m²：</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2、墙面、楼顶刷漆翻新：235m²。</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3、电灯/风扇电路改造；</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4、安装、调试、培训、运输、装卸、垃圾清理搬运、保洁等。</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36000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1896" w:type="dxa"/>
          <w:trHeight w:val="660" w:hRule="atLeast"/>
        </w:trPr>
        <w:tc>
          <w:tcPr>
            <w:tcW w:w="7261"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人民币：肆拾玖万玖仟捌佰柒拾贰元整。（</w:t>
            </w:r>
            <w:r>
              <w:rPr>
                <w:rFonts w:hint="eastAsia" w:ascii="宋体" w:hAnsi="宋体" w:eastAsia="宋体" w:cs="宋体"/>
                <w:b/>
                <w:bCs/>
                <w:sz w:val="24"/>
                <w:szCs w:val="24"/>
                <w:u w:val="single"/>
                <w:lang w:val="en-US" w:eastAsia="zh-CN"/>
              </w:rPr>
              <w:t>¥0</w:t>
            </w:r>
            <w:r>
              <w:rPr>
                <w:rFonts w:hint="eastAsia" w:ascii="宋体" w:hAnsi="宋体" w:eastAsia="宋体" w:cs="宋体"/>
                <w:i w:val="0"/>
                <w:color w:val="auto"/>
                <w:kern w:val="0"/>
                <w:sz w:val="22"/>
                <w:szCs w:val="22"/>
                <w:u w:val="none"/>
                <w:lang w:val="en-US" w:eastAsia="zh-CN" w:bidi="ar"/>
              </w:rPr>
              <w:t>）</w:t>
            </w:r>
          </w:p>
        </w:tc>
      </w:tr>
    </w:tbl>
    <w:p>
      <w:pPr>
        <w:rPr>
          <w:rFonts w:hint="eastAsia" w:ascii="宋体" w:hAnsi="宋体" w:eastAsia="宋体" w:cs="宋体"/>
          <w:b/>
          <w:iCs/>
          <w:color w:val="auto"/>
          <w:sz w:val="22"/>
          <w:szCs w:val="22"/>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b/>
          <w:iCs/>
          <w:color w:val="auto"/>
          <w:sz w:val="22"/>
          <w:szCs w:val="22"/>
          <w:lang w:val="en-US" w:eastAsia="zh-CN"/>
        </w:rPr>
      </w:pPr>
    </w:p>
    <w:p>
      <w:pPr>
        <w:jc w:val="left"/>
        <w:rPr>
          <w:rFonts w:hint="eastAsia" w:ascii="宋体" w:hAnsi="宋体" w:eastAsia="宋体" w:cs="宋体"/>
          <w:sz w:val="22"/>
          <w:szCs w:val="22"/>
        </w:rPr>
      </w:pPr>
      <w:r>
        <w:rPr>
          <w:rFonts w:hint="eastAsia" w:ascii="宋体" w:hAnsi="宋体" w:eastAsia="宋体" w:cs="宋体"/>
          <w:b/>
          <w:iCs/>
          <w:color w:val="auto"/>
          <w:sz w:val="22"/>
          <w:szCs w:val="22"/>
          <w:lang w:val="en-US" w:eastAsia="zh-CN"/>
        </w:rPr>
        <w:t>二、</w:t>
      </w:r>
      <w:r>
        <w:rPr>
          <w:rFonts w:hint="eastAsia" w:ascii="宋体" w:hAnsi="宋体" w:eastAsia="宋体" w:cs="宋体"/>
          <w:b/>
          <w:iCs/>
          <w:color w:val="auto"/>
          <w:sz w:val="22"/>
          <w:szCs w:val="22"/>
        </w:rPr>
        <w:t>商务要求</w:t>
      </w:r>
    </w:p>
    <w:tbl>
      <w:tblPr>
        <w:tblStyle w:val="2"/>
        <w:tblW w:w="9802" w:type="dxa"/>
        <w:tblInd w:w="-73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79"/>
        <w:gridCol w:w="87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00" w:hRule="atLeast"/>
        </w:trPr>
        <w:tc>
          <w:tcPr>
            <w:tcW w:w="107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报价要求</w:t>
            </w:r>
          </w:p>
        </w:tc>
        <w:tc>
          <w:tcPr>
            <w:tcW w:w="872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numPr>
                <w:ilvl w:val="0"/>
                <w:numId w:val="1"/>
              </w:numPr>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auto"/>
                <w:kern w:val="2"/>
                <w:sz w:val="22"/>
                <w:szCs w:val="22"/>
                <w:highlight w:val="none"/>
                <w:lang w:val="en-US" w:eastAsia="zh-CN" w:bidi="ar-SA"/>
              </w:rPr>
              <w:t>本项目采购预算金额为人民币：50万元，报价超出采购</w:t>
            </w:r>
            <w:r>
              <w:rPr>
                <w:rFonts w:hint="eastAsia" w:ascii="宋体" w:hAnsi="宋体" w:eastAsia="宋体" w:cs="宋体"/>
                <w:color w:val="auto"/>
                <w:sz w:val="22"/>
                <w:szCs w:val="22"/>
                <w:highlight w:val="none"/>
                <w:lang w:val="en-US" w:eastAsia="zh-CN"/>
              </w:rPr>
              <w:t>预算</w:t>
            </w:r>
            <w:r>
              <w:rPr>
                <w:rFonts w:hint="eastAsia" w:ascii="宋体" w:hAnsi="宋体" w:eastAsia="宋体" w:cs="宋体"/>
                <w:color w:val="auto"/>
                <w:kern w:val="2"/>
                <w:sz w:val="22"/>
                <w:szCs w:val="22"/>
                <w:highlight w:val="none"/>
                <w:lang w:val="en-US" w:eastAsia="zh-CN" w:bidi="ar-SA"/>
              </w:rPr>
              <w:t>金额的，响应文件作无效处理。供应商报价时必须按附件要求提交加盖公章的报价表，</w:t>
            </w:r>
            <w:r>
              <w:rPr>
                <w:rFonts w:hint="eastAsia" w:ascii="宋体" w:hAnsi="宋体" w:eastAsia="宋体" w:cs="宋体"/>
                <w:i w:val="0"/>
                <w:color w:val="000000"/>
                <w:kern w:val="0"/>
                <w:sz w:val="22"/>
                <w:szCs w:val="22"/>
                <w:u w:val="none"/>
                <w:lang w:val="en-US" w:eastAsia="zh-CN" w:bidi="ar"/>
              </w:rPr>
              <w:t>否则</w:t>
            </w:r>
            <w:r>
              <w:rPr>
                <w:rFonts w:hint="eastAsia" w:ascii="宋体" w:hAnsi="宋体" w:eastAsia="宋体" w:cs="宋体"/>
                <w:color w:val="auto"/>
                <w:kern w:val="2"/>
                <w:sz w:val="22"/>
                <w:szCs w:val="22"/>
                <w:highlight w:val="none"/>
                <w:lang w:val="en-US" w:eastAsia="zh-CN" w:bidi="ar-SA"/>
              </w:rPr>
              <w:t>响应文件作无效处理。</w:t>
            </w:r>
          </w:p>
          <w:p>
            <w:pPr>
              <w:keepNext w:val="0"/>
              <w:keepLines w:val="0"/>
              <w:widowControl/>
              <w:numPr>
                <w:ilvl w:val="0"/>
                <w:numId w:val="1"/>
              </w:numPr>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供应商竞价时仅就推荐品牌进行竞价，且必须全部响应本文件的“项目要求及技术需求”，否则</w:t>
            </w:r>
            <w:r>
              <w:rPr>
                <w:rFonts w:hint="eastAsia" w:ascii="宋体" w:hAnsi="宋体" w:eastAsia="宋体" w:cs="宋体"/>
                <w:color w:val="auto"/>
                <w:kern w:val="2"/>
                <w:sz w:val="22"/>
                <w:szCs w:val="22"/>
                <w:highlight w:val="none"/>
                <w:lang w:val="en-US" w:eastAsia="zh-CN" w:bidi="ar-SA"/>
              </w:rPr>
              <w:t>响应文件作无效处理；提供虚假材料的，采购人有权上报上级单位，并依据相关法律规定追究责任，由此带来的一切责任及损失由供应商自行承担。</w:t>
            </w:r>
          </w:p>
          <w:p>
            <w:pPr>
              <w:keepNext w:val="0"/>
              <w:keepLines w:val="0"/>
              <w:widowControl/>
              <w:numPr>
                <w:ilvl w:val="0"/>
                <w:numId w:val="1"/>
              </w:numPr>
              <w:suppressLineNumbers w:val="0"/>
              <w:ind w:left="0" w:leftChars="0" w:firstLine="0" w:firstLineChars="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本项目不接受联合体参与竞标，配置必须是原厂出厂标配，为保证原厂正品，本项目需求一览表标有“★”号的内容为实质性条款必须满足，供货时提供针对本次项目的原厂供货证明文件并加盖原厂制造商公章。中标企业在签订合同前需提供样机核查，中标企业在签订合同前还必须提供原厂制造商针对此项目的技术参数确认函原件并加盖投标人公章，如参数确认函中所确认的参数与提供的样机参数不符，竞标供应商与生产厂家须承担相关法律责任，并视为弃标。</w:t>
            </w:r>
          </w:p>
          <w:p>
            <w:pPr>
              <w:keepNext w:val="0"/>
              <w:keepLines w:val="0"/>
              <w:widowControl/>
              <w:numPr>
                <w:ilvl w:val="0"/>
                <w:numId w:val="0"/>
              </w:numPr>
              <w:suppressLineNumbers w:val="0"/>
              <w:ind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本项目为总价包干，竞标报价包含货物、服务、货物标准附件、备品备件、专用工具、设备安装辅材、施工辅材、包装、运输、装卸、保险、货到就位、垃圾清理搬运、保洁的各种费用以及安装、调试等本文件所列设备材料、功能配置需进行补充完善才能完成本项目的或实际采购中产品材料、功能配置有任何遗漏的费用、税金、验收检测费、合理利润、售后服务、技术培训及其他所有成本费用，以及合同明示或暗示的所有责任、义务和一般风险等一切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07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质保期及免费维护期限</w:t>
            </w:r>
          </w:p>
        </w:tc>
        <w:tc>
          <w:tcPr>
            <w:tcW w:w="872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保期为1年（分项货物有要求按分项要求，具体以报价文件承诺为准。若产品生产厂家免费质保期超过此年限的，合同履行过程中按厂家规定执行），自通过验收合格之日起至质保期届满且经采购人确认无任何质量问题时止。质保期内，提供免费上门维修服务，免收维修费和配件费，保障正常运行并提供终身技术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6" w:hRule="atLeast"/>
        </w:trPr>
        <w:tc>
          <w:tcPr>
            <w:tcW w:w="107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交货时间</w:t>
            </w:r>
          </w:p>
        </w:tc>
        <w:tc>
          <w:tcPr>
            <w:tcW w:w="872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1、供货安装时间：合同签订之日起 20个工作日内，供应商须按采购人的要求全部供货调试完毕。</w:t>
            </w:r>
            <w:bookmarkStart w:id="0" w:name="_GoBack"/>
            <w:bookmarkEnd w:id="0"/>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2、交货地点：广西桂林市采购人指定地点。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4" w:hRule="atLeast"/>
        </w:trPr>
        <w:tc>
          <w:tcPr>
            <w:tcW w:w="107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安装与验收</w:t>
            </w:r>
          </w:p>
        </w:tc>
        <w:tc>
          <w:tcPr>
            <w:tcW w:w="872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1、免费送货上门，免费安装、免费调试，免费提供现场技术培训，保证使用人员正常使用货物；其余按报价人承诺进行。</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验收：按照《项目要求及技术需求》、响应文件的各项指标和国家有关质量标准进行最终验收。如发生所供货物不相符，采购人有权退货或要求成交供货商进行更换、补齐，因此造成逾期交货的，则视为成交供应商违约，采购人有权终止合同，并追究成交供应商的违约责任，所造成的损失由成交供应商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107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售后服务</w:t>
            </w:r>
          </w:p>
        </w:tc>
        <w:tc>
          <w:tcPr>
            <w:tcW w:w="872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1、在质保期内，成交供应商应对货物出现的质量及安全问题负责处理解决并承担一切费用。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2、有专业维修工程师提供服务，一旦发生故障，2小时内响应，24小时内解决故障，否则须在二个工作日内提供与原设备技术参数要求相同或高于原设备技术参数要求的备用产品，以保证采购人的正常工作。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3、质保期届满后，成交供应商对货物提供终身维修服务，且维修时只收取所需维修部件的成本费，服务内容应与质保期内的要求相一致。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b/>
                <w:i w:val="0"/>
                <w:color w:val="000000"/>
                <w:sz w:val="22"/>
                <w:szCs w:val="22"/>
                <w:u w:val="none"/>
              </w:rPr>
            </w:pPr>
          </w:p>
        </w:tc>
        <w:tc>
          <w:tcPr>
            <w:tcW w:w="872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b/>
                <w:i w:val="0"/>
                <w:color w:val="000000"/>
                <w:sz w:val="22"/>
                <w:szCs w:val="22"/>
                <w:u w:val="none"/>
              </w:rPr>
            </w:pPr>
          </w:p>
        </w:tc>
        <w:tc>
          <w:tcPr>
            <w:tcW w:w="872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b/>
                <w:i w:val="0"/>
                <w:color w:val="000000"/>
                <w:sz w:val="22"/>
                <w:szCs w:val="22"/>
                <w:u w:val="none"/>
              </w:rPr>
            </w:pPr>
          </w:p>
        </w:tc>
        <w:tc>
          <w:tcPr>
            <w:tcW w:w="872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6" w:hRule="atLeast"/>
        </w:trPr>
        <w:tc>
          <w:tcPr>
            <w:tcW w:w="10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付款方式</w:t>
            </w:r>
          </w:p>
        </w:tc>
        <w:tc>
          <w:tcPr>
            <w:tcW w:w="87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本项目不设预付款。项目经采购人最终验收合格并双方共同签署盖章的《验收报告》后，采购人在30个工作日内向成交人支付合同总金额的100%。采购人在收到成交人出具的合法有效发票后，即负责在法定期限内办妥全部财政支付申请手续。因财政资金调度或支付审批流程导致的延期支付，采购人不承担违约责任，但应及时通知成交人并积极协调推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5" w:hRule="atLeast"/>
        </w:trPr>
        <w:tc>
          <w:tcPr>
            <w:tcW w:w="10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其他说明</w:t>
            </w:r>
          </w:p>
        </w:tc>
        <w:tc>
          <w:tcPr>
            <w:tcW w:w="87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政采云系统排名第一的成交候选人为成交供应商，排名第一的成交候选人报价无效、放弃成交、或因不可抗力提出不能履行合同的，采购人可以按顺序由排在后面的成交候选人递补，也可以决定重新采购。</w:t>
            </w:r>
          </w:p>
        </w:tc>
      </w:tr>
    </w:tbl>
    <w:p>
      <w:pPr>
        <w:rPr>
          <w:rFonts w:hint="eastAsia"/>
          <w:b/>
          <w:bCs/>
          <w:lang w:val="en-US" w:eastAsia="zh-CN"/>
        </w:rPr>
      </w:pPr>
      <w:r>
        <w:rPr>
          <w:rFonts w:hint="eastAsia"/>
          <w:b/>
          <w:bCs/>
          <w:lang w:val="en-US" w:eastAsia="zh-CN"/>
        </w:rPr>
        <w:t>学生桌椅参考图：</w:t>
      </w:r>
    </w:p>
    <w:p>
      <w:pPr>
        <w:rPr>
          <w:rFonts w:hint="eastAsia" w:eastAsia="宋体"/>
          <w:b/>
          <w:bCs/>
          <w:lang w:val="en-US" w:eastAsia="zh-CN"/>
        </w:rPr>
      </w:pP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hint="eastAsia" w:eastAsia="宋体"/>
          <w:b/>
          <w:bCs/>
          <w:lang w:val="en-US" w:eastAsia="zh-CN"/>
        </w:rPr>
        <w:drawing>
          <wp:inline distT="0" distB="0" distL="114300" distR="114300">
            <wp:extent cx="5266690" cy="5266690"/>
            <wp:effectExtent l="0" t="0" r="6350" b="6350"/>
            <wp:docPr id="2" name="图片 2" descr="ecdccd6e-1d1d-4d18-b678-1db2bffd13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cdccd6e-1d1d-4d18-b678-1db2bffd13ce"/>
                    <pic:cNvPicPr>
                      <a:picLocks noChangeAspect="1"/>
                    </pic:cNvPicPr>
                  </pic:nvPicPr>
                  <pic:blipFill>
                    <a:blip r:embed="rId5"/>
                    <a:stretch>
                      <a:fillRect/>
                    </a:stretch>
                  </pic:blipFill>
                  <pic:spPr>
                    <a:xfrm>
                      <a:off x="0" y="0"/>
                      <a:ext cx="5266690" cy="526669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9F731"/>
    <w:multiLevelType w:val="singleLevel"/>
    <w:tmpl w:val="0D49F73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4NjliNGI0ZWJjOTg3MzMzZjdmYjMzYTIxYmIxOGEifQ=="/>
  </w:docVars>
  <w:rsids>
    <w:rsidRoot w:val="4A7D0B99"/>
    <w:rsid w:val="007C15F9"/>
    <w:rsid w:val="027801EC"/>
    <w:rsid w:val="03304AA8"/>
    <w:rsid w:val="03343A91"/>
    <w:rsid w:val="046E5F66"/>
    <w:rsid w:val="057C2C5C"/>
    <w:rsid w:val="058E0296"/>
    <w:rsid w:val="07B163A1"/>
    <w:rsid w:val="0A070D3C"/>
    <w:rsid w:val="0C0B5563"/>
    <w:rsid w:val="0CF968AE"/>
    <w:rsid w:val="0D462EDC"/>
    <w:rsid w:val="0F252CDA"/>
    <w:rsid w:val="0F594A05"/>
    <w:rsid w:val="10976C6C"/>
    <w:rsid w:val="10F56439"/>
    <w:rsid w:val="11EC69D5"/>
    <w:rsid w:val="13AB39A6"/>
    <w:rsid w:val="14061FDD"/>
    <w:rsid w:val="14797300"/>
    <w:rsid w:val="14FF028B"/>
    <w:rsid w:val="152E682B"/>
    <w:rsid w:val="1577580B"/>
    <w:rsid w:val="15BB29CA"/>
    <w:rsid w:val="16634152"/>
    <w:rsid w:val="17B03340"/>
    <w:rsid w:val="18496689"/>
    <w:rsid w:val="1A261DDE"/>
    <w:rsid w:val="1A5644C0"/>
    <w:rsid w:val="1AA5691B"/>
    <w:rsid w:val="1AF77925"/>
    <w:rsid w:val="1B82077E"/>
    <w:rsid w:val="1CA56F3B"/>
    <w:rsid w:val="1D695706"/>
    <w:rsid w:val="1DAA5A1F"/>
    <w:rsid w:val="1E367A58"/>
    <w:rsid w:val="1EB10B44"/>
    <w:rsid w:val="1F080ED1"/>
    <w:rsid w:val="1FD41760"/>
    <w:rsid w:val="207B649C"/>
    <w:rsid w:val="20BD0384"/>
    <w:rsid w:val="21592554"/>
    <w:rsid w:val="24636771"/>
    <w:rsid w:val="24C436B6"/>
    <w:rsid w:val="271531F3"/>
    <w:rsid w:val="290B5DA9"/>
    <w:rsid w:val="294C21B4"/>
    <w:rsid w:val="2ADD2F43"/>
    <w:rsid w:val="2B3C7CB9"/>
    <w:rsid w:val="2DF306F0"/>
    <w:rsid w:val="2E6A2B19"/>
    <w:rsid w:val="2EAA37AB"/>
    <w:rsid w:val="2EED76CC"/>
    <w:rsid w:val="30654204"/>
    <w:rsid w:val="32F93026"/>
    <w:rsid w:val="3357786B"/>
    <w:rsid w:val="342A1A4F"/>
    <w:rsid w:val="346C2011"/>
    <w:rsid w:val="35310120"/>
    <w:rsid w:val="354D5182"/>
    <w:rsid w:val="3634489D"/>
    <w:rsid w:val="3652612F"/>
    <w:rsid w:val="372E4E21"/>
    <w:rsid w:val="374258BE"/>
    <w:rsid w:val="38E21E60"/>
    <w:rsid w:val="39A551B4"/>
    <w:rsid w:val="3A2F0CCB"/>
    <w:rsid w:val="3B331EC9"/>
    <w:rsid w:val="3BA93DD6"/>
    <w:rsid w:val="3CB62260"/>
    <w:rsid w:val="3D19017E"/>
    <w:rsid w:val="3D7C0203"/>
    <w:rsid w:val="406058AD"/>
    <w:rsid w:val="41132080"/>
    <w:rsid w:val="41D67772"/>
    <w:rsid w:val="41F32773"/>
    <w:rsid w:val="42E24383"/>
    <w:rsid w:val="45852C6B"/>
    <w:rsid w:val="45E50632"/>
    <w:rsid w:val="46D6586A"/>
    <w:rsid w:val="49537212"/>
    <w:rsid w:val="4A7D0B99"/>
    <w:rsid w:val="4C0867E7"/>
    <w:rsid w:val="4F223E15"/>
    <w:rsid w:val="5041434A"/>
    <w:rsid w:val="50C06BB8"/>
    <w:rsid w:val="54CF2471"/>
    <w:rsid w:val="54D64904"/>
    <w:rsid w:val="559E2703"/>
    <w:rsid w:val="55F17C42"/>
    <w:rsid w:val="57534156"/>
    <w:rsid w:val="58AD0BFA"/>
    <w:rsid w:val="5CD279E9"/>
    <w:rsid w:val="5D4943E7"/>
    <w:rsid w:val="5D9B13B5"/>
    <w:rsid w:val="5ED36F5A"/>
    <w:rsid w:val="62EE7E30"/>
    <w:rsid w:val="63280A8D"/>
    <w:rsid w:val="646D1E25"/>
    <w:rsid w:val="669E2EC0"/>
    <w:rsid w:val="67F51CAE"/>
    <w:rsid w:val="68D013BE"/>
    <w:rsid w:val="6B31699B"/>
    <w:rsid w:val="6BB95A8C"/>
    <w:rsid w:val="6BCD27DF"/>
    <w:rsid w:val="6BE254B6"/>
    <w:rsid w:val="6C6418AC"/>
    <w:rsid w:val="6CF410B2"/>
    <w:rsid w:val="6D5B5559"/>
    <w:rsid w:val="6D793AE8"/>
    <w:rsid w:val="6F680F81"/>
    <w:rsid w:val="70137F68"/>
    <w:rsid w:val="701B7A56"/>
    <w:rsid w:val="719865FB"/>
    <w:rsid w:val="72396F18"/>
    <w:rsid w:val="72CA6F32"/>
    <w:rsid w:val="73882E37"/>
    <w:rsid w:val="74693C09"/>
    <w:rsid w:val="7540029C"/>
    <w:rsid w:val="75E246F3"/>
    <w:rsid w:val="78036EA2"/>
    <w:rsid w:val="786F4FAD"/>
    <w:rsid w:val="78856021"/>
    <w:rsid w:val="78880236"/>
    <w:rsid w:val="79B77791"/>
    <w:rsid w:val="7A5152E9"/>
    <w:rsid w:val="7ACF6404"/>
    <w:rsid w:val="7B6A2D01"/>
    <w:rsid w:val="7C59748F"/>
    <w:rsid w:val="7CC80585"/>
    <w:rsid w:val="7D7B5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01"/>
    <w:basedOn w:val="3"/>
    <w:qFormat/>
    <w:uiPriority w:val="0"/>
    <w:rPr>
      <w:rFonts w:hint="eastAsia" w:ascii="宋体" w:hAnsi="宋体" w:eastAsia="宋体" w:cs="宋体"/>
      <w:color w:val="000000"/>
      <w:sz w:val="22"/>
      <w:szCs w:val="22"/>
      <w:u w:val="none"/>
    </w:rPr>
  </w:style>
  <w:style w:type="character" w:customStyle="1" w:styleId="5">
    <w:name w:val="font11"/>
    <w:basedOn w:val="3"/>
    <w:qFormat/>
    <w:uiPriority w:val="0"/>
    <w:rPr>
      <w:rFonts w:ascii="Calibri" w:hAnsi="Calibri" w:cs="Calibri"/>
      <w:color w:val="000000"/>
      <w:sz w:val="22"/>
      <w:szCs w:val="22"/>
      <w:u w:val="none"/>
    </w:rPr>
  </w:style>
  <w:style w:type="character" w:customStyle="1" w:styleId="6">
    <w:name w:val="font61"/>
    <w:basedOn w:val="3"/>
    <w:qFormat/>
    <w:uiPriority w:val="0"/>
    <w:rPr>
      <w:rFonts w:hint="eastAsia" w:ascii="宋体" w:hAnsi="宋体" w:eastAsia="宋体" w:cs="宋体"/>
      <w:color w:val="000000"/>
      <w:sz w:val="22"/>
      <w:szCs w:val="22"/>
      <w:u w:val="none"/>
    </w:rPr>
  </w:style>
  <w:style w:type="character" w:customStyle="1" w:styleId="7">
    <w:name w:val="font01"/>
    <w:basedOn w:val="3"/>
    <w:qFormat/>
    <w:uiPriority w:val="0"/>
    <w:rPr>
      <w:rFonts w:hint="default" w:ascii="Calibri" w:hAnsi="Calibri" w:cs="Calibri"/>
      <w:color w:val="000000"/>
      <w:sz w:val="22"/>
      <w:szCs w:val="22"/>
      <w:u w:val="none"/>
    </w:rPr>
  </w:style>
  <w:style w:type="character" w:customStyle="1" w:styleId="8">
    <w:name w:val="font31"/>
    <w:basedOn w:val="3"/>
    <w:qFormat/>
    <w:uiPriority w:val="0"/>
    <w:rPr>
      <w:rFonts w:hint="eastAsia" w:ascii="宋体" w:hAnsi="宋体" w:eastAsia="宋体" w:cs="宋体"/>
      <w:color w:val="000000"/>
      <w:sz w:val="22"/>
      <w:szCs w:val="22"/>
      <w:u w:val="none"/>
    </w:rPr>
  </w:style>
  <w:style w:type="character" w:customStyle="1" w:styleId="9">
    <w:name w:val="font5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潮州市直及下属单位</Company>
  <Pages>6</Pages>
  <Words>3919</Words>
  <Characters>4604</Characters>
  <Lines>0</Lines>
  <Paragraphs>0</Paragraphs>
  <TotalTime>4</TotalTime>
  <ScaleCrop>false</ScaleCrop>
  <LinksUpToDate>false</LinksUpToDate>
  <CharactersWithSpaces>4708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2026-01-21T10:31:00Z</dcterms:created>
  <dc:creator>jie</dc:creator>
  <cp:lastModifiedBy>北斗</cp:lastModifiedBy>
  <dcterms:modified xsi:type="dcterms:W3CDTF">2026-07-24T01:10:52Z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7A235242E53643DA872AFEEF9AAE91BF_12</vt:lpwstr>
  </property>
</Properties>
</file>