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71"/>
        <w:gridCol w:w="658"/>
        <w:gridCol w:w="694"/>
        <w:gridCol w:w="848"/>
        <w:gridCol w:w="1341"/>
        <w:gridCol w:w="6081"/>
      </w:tblGrid>
      <w:tr w14:paraId="19E0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178C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序号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AD42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产品名称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420E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数量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FD89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单位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02BB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9970">
            <w:pPr>
              <w:jc w:val="center"/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小计</w:t>
            </w:r>
          </w:p>
          <w:p w14:paraId="3170636A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（元）</w:t>
            </w:r>
          </w:p>
        </w:tc>
        <w:tc>
          <w:tcPr>
            <w:tcW w:w="6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85B1">
            <w:pPr>
              <w:jc w:val="center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规格及技术参数要求</w:t>
            </w:r>
          </w:p>
        </w:tc>
      </w:tr>
      <w:tr w14:paraId="4C6D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4E9D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EF14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实木课桌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FABB">
            <w:pPr>
              <w:jc w:val="both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330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F0E6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3DEAA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180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6A5D8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59400</w:t>
            </w:r>
          </w:p>
        </w:tc>
        <w:tc>
          <w:tcPr>
            <w:tcW w:w="6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7B145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val="en-US" w:eastAsia="zh-CN"/>
              </w:rPr>
              <w:t>规格：长6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0mm*宽4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0mm*高760mm（尺寸±5mm）</w:t>
            </w:r>
          </w:p>
          <w:p w14:paraId="7AB24C53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、桌面尺寸：长6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0mm*宽4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0mm*厚18mm，材质采用18mm厚橡胶木指接板制作。</w:t>
            </w:r>
          </w:p>
          <w:p w14:paraId="12F6A26A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★提供“橡胶木”检测报告，检测内容至少包含：①树种鉴别为橡胶木，②木材含水率≤10%。</w:t>
            </w:r>
          </w:p>
          <w:p w14:paraId="54CCAF0A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、桌斗：背板、左右围板、底板采用7mm厚多层板双面贴橡胶木木皮制作；</w:t>
            </w:r>
          </w:p>
          <w:p w14:paraId="7E29F1F1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提供“多层板”检测报告，检测内容至少包含：①五氯苯酚含量≤0.05mg/kg，②外观质量（优等品II类）符合要求，③理化性能-胶合强度≥0.9MPa，合格试件数与有效试件总数之比≥100%；理化性能-浸渍剥离：每个试件同一胶层每边剥离长度累计不超过25mm，6块试件的胶层均无剥离现象；④理化性能-静曲强度（顺纹）≥30MPa，符合指标值规定的试件数占有效试件数≥100%；静曲强度（横纹）≥30MPa，符合指标值规定的试件数占有效试件数≥100%；⑤理化性能-弹性模量（顺纹）≥5000MPa，符合指标值规定的试件数占有效试件数≥100%；弹性模量（横纹）≥4000MPa，符合指标值规定的试件数占有效试件数≥100%；⑥甲醛释放量（气候箱法）≤0.025mg/m³；⑦品质属性-挥发性有机化合物释放浓度(7d)：苯≤0.2μg/m³、甲苯≤0.4μg/m³、二甲苯≤0.2μg/m³、总挥发性有机化合物(TVOC)≤0.4μg/m³；⑧防霉性能-防霉质量分级（黑曲霉、黄曲霉、树脂子囊菌）为0级；⑨防静电性能≥6.0x10^11Ω；⑩抗冲击性能：落球高度1000mm、压痕直径≥1.5mm、板面无破损。</w:t>
            </w:r>
          </w:p>
          <w:p w14:paraId="6B13FEA5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 w:eastAsia="zh-CN"/>
              </w:rPr>
              <w:t>、桌架：立柱采用45*35mm橡胶木木方制作；桌架连接横料采用30*25mm橡胶木木方制作。</w:t>
            </w:r>
          </w:p>
          <w:p w14:paraId="16A51B65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桌架</w:t>
            </w:r>
            <w:r>
              <w:rPr>
                <w:rFonts w:hint="default"/>
                <w:lang w:val="en-US" w:eastAsia="zh-CN"/>
              </w:rPr>
              <w:t>采用椭圆型带倒挂榫卯结构进行设计，增加安全美观，采用优质五金件紧密连接，使用寿命长。各种配件安装后应严密、平整、端正、牢固、结合处应无开裂或松动。榫头、零部件等结合处不应断裂，榫眼采用水基胶粘剂装斗。涂层应平整光滑、清晰、无明显粒子、涨边现象。</w:t>
            </w:r>
          </w:p>
          <w:p w14:paraId="2F097E4D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</w:t>
            </w:r>
            <w:r>
              <w:rPr>
                <w:rFonts w:hint="default"/>
                <w:lang w:val="en-US" w:eastAsia="zh-CN"/>
              </w:rPr>
              <w:t>提供“胶粘剂”检测报告，检测内容至少包含：①游离甲醛≤0.1g/kg，②苯≤0.01g/kg，③甲苯+二甲苯≤0.05g/kg，④总挥发性有机物≤70g/L。</w:t>
            </w:r>
          </w:p>
          <w:p w14:paraId="25CD2761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、油漆工艺：采用环保油漆喷涂，三底两面，全部满刮透明腻子，表面纹理清晰无颗粒，无气泡，无渣点，颜色均匀。</w:t>
            </w:r>
          </w:p>
          <w:p w14:paraId="69242D14">
            <w:pPr>
              <w:adjustRightInd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★提供“油漆（面漆）”检测报告，检测内容至少包含：①VOC含量≤80g/L，②总铅（Pb）含量未检出，③可溶性重金属含量（镉、铬、汞）未检出。</w:t>
            </w:r>
          </w:p>
          <w:p w14:paraId="76005531">
            <w:pPr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★提供“油漆（底漆）”检测报告，检测内容至少包含：①VOC含量≤80g/L，②总铅（Pb）含量未检出，③可溶性重金属含量（镉、铬、汞）未检出。</w:t>
            </w:r>
          </w:p>
        </w:tc>
      </w:tr>
      <w:tr w14:paraId="1229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81B3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379C">
            <w:pPr>
              <w:jc w:val="center"/>
              <w:rPr>
                <w:rFonts w:hint="default" w:ascii="宋体" w:hAnsi="宋体" w:eastAsia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实木椅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AD1C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330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5341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2C230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170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95761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56100</w:t>
            </w:r>
          </w:p>
        </w:tc>
        <w:tc>
          <w:tcPr>
            <w:tcW w:w="6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6555E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val="en-US" w:eastAsia="zh-CN"/>
              </w:rPr>
              <w:t>规格：宽380mm*深360mm*高760mm（尺寸±5mm）</w:t>
            </w:r>
          </w:p>
          <w:p w14:paraId="01333133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、椅面尺寸：长380mm*宽360mm*厚18mm，材质采用18mm厚橡胶木指接板制作。</w:t>
            </w:r>
          </w:p>
          <w:p w14:paraId="7D431723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、椅架：立柱采用40*30mm橡胶木木方制作，椅架连接横料采用30*25mm橡胶木木方制作。</w:t>
            </w:r>
          </w:p>
          <w:p w14:paraId="07A96F55">
            <w:pPr>
              <w:adjustRightIn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椅架</w:t>
            </w:r>
            <w:r>
              <w:rPr>
                <w:rFonts w:hint="default"/>
                <w:lang w:val="en-US" w:eastAsia="zh-CN"/>
              </w:rPr>
              <w:t>采用椭圆型带倒挂榫卯结构进行设计，增加安全美观，采用优质五金件紧密连接，使用寿命长。各种配件安装后应严密、平整、端正、牢固、结合处应无开裂或松动。榫头、零部件等结合处不应断裂，榫眼采用水基胶粘剂装斗。涂层应平整光滑、清晰、无明显粒子、涨边现象。</w:t>
            </w:r>
          </w:p>
          <w:p w14:paraId="1D0E8284">
            <w:pPr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、油漆工艺：采用环保油漆喷涂，三底两面，全部满刮透明腻子，表面纹理清晰无颗粒，无气泡，无渣点，颜色均匀。</w:t>
            </w:r>
          </w:p>
        </w:tc>
      </w:tr>
      <w:tr w14:paraId="68F1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295A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99B5">
            <w:pPr>
              <w:jc w:val="center"/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双层上下铁架床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3B96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110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540A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套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21977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1150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85244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126500</w:t>
            </w:r>
          </w:p>
        </w:tc>
        <w:tc>
          <w:tcPr>
            <w:tcW w:w="6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15308">
            <w:p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双层上下铁架床</w:t>
            </w:r>
          </w:p>
          <w:p w14:paraId="5A6937E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规格（mm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（长）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×（宽）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×（高）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1880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其中十张床尺寸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（长）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2200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×（宽）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×（高）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1880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（允许正负偏离 10mm）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                                                          二、工艺要求：采用优质钢材，各钢件经除锈、酸洗、磷化等 8 个工序，经防锈处理，外层采用聚脂环氧粉末喷塑，颜色为灰白色，焊接表面波纹均匀，焊接处无夹渣、气孔、焊瘤、焊丝头咬边飞溅，无脱焊、虚焊及焊穿等现象。</w:t>
            </w:r>
          </w:p>
          <w:p w14:paraId="549D1532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三、部件型材截面尺寸，壁厚及要求：</w:t>
            </w:r>
          </w:p>
          <w:p w14:paraId="6831669D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1.床立柱：采用优质冷轧钢板一次轧制而成，其立面为中空异形（双面喷涂），成型后的型材带有不少于四条凹凸加强筋；立面成型后尺寸为≥77mm×77mm，材料厚度≥1.3mm。有防撞伤、防划、防夹等安全性处理；。</w:t>
            </w:r>
          </w:p>
          <w:p w14:paraId="4180E071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2.长横梁：长92mm× 42mm（允许正负偏离 1mm），壁厚≥1.3mm。成型后的型材带有不少于三条凹凸加强筋；要求采用冷轧钢板一次滚压成型。</w:t>
            </w:r>
          </w:p>
          <w:p w14:paraId="124260F5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3.床桓：方管长25mm×宽50mm（允许正负偏离 1mm）。</w:t>
            </w:r>
          </w:p>
          <w:p w14:paraId="73FE9733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4.床护栏：圆管Φ 19mm（允许正负偏离 1mm）。</w:t>
            </w:r>
          </w:p>
          <w:p w14:paraId="3BE2D650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5.床档头：圆管Φ 19mm（允许正负偏离 1mm），壁厚 1.5mm。</w:t>
            </w:r>
          </w:p>
          <w:p w14:paraId="6FCD8707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6.蚊帐架：圆管Φ 14mm×1.0mm（允许正负偏离 1mm），壁厚 1.0mm。活连接，开型结构。</w:t>
            </w:r>
          </w:p>
          <w:p w14:paraId="2F21B74E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7.床爬梯：方管长 25mm×宽 25mm（允许正负偏离1mm）。</w:t>
            </w:r>
          </w:p>
          <w:p w14:paraId="47A05146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8.床挂件：30mm×30 mm×195 mm×2.0 mm。</w:t>
            </w:r>
          </w:p>
          <w:p w14:paraId="0C609BDB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9.床脚保护套：采用防滑胶垫保护套。</w:t>
            </w:r>
          </w:p>
          <w:p w14:paraId="7283B64B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10.上铺配蚊帐杆带圆挂钩；下铺焊蚊帐圆挂钩。</w:t>
            </w:r>
          </w:p>
          <w:p w14:paraId="1BAFF379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11.床架与主柱连接采用卡式紧固结构连接。</w:t>
            </w:r>
          </w:p>
          <w:p w14:paraId="21E6BE01">
            <w:pP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防虫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床板：树种为杉木，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 xml:space="preserve"> 床板规格：厚15mm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床板双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面刨光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床板含水率为</w:t>
            </w:r>
            <w:r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﹪-（产品所在地区年平均木材含水率＋1%）。</w:t>
            </w:r>
          </w:p>
          <w:p w14:paraId="1D8375A9">
            <w:pPr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床下储物柜：柜体长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350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mm*高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400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mm*深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400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mm；采用0.6mmm厚优质冷轧钢板制作，鞋架长度为900mm，采用长20mm*宽20mm*厚1.0mm优质管材制成，共两层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28202531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13、钢制部分耐腐蚀标准应符合GB/T3325-2017《金属家具通用技术条件》。管板任意一面的对角线上，用锐利的刀具划出深至钢板的划痕，然后浸入温度为15℃～25℃，浓度为3%的氯化钠溶液中进行耐腐蚀试验后，划道两侧3mm外，无锈迹、剥落、起皱、变色和失光等现象。</w:t>
            </w:r>
          </w:p>
          <w:p w14:paraId="2DFFC155"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四、材质要求</w:t>
            </w:r>
          </w:p>
          <w:p w14:paraId="0D6A57AF">
            <w:pPr>
              <w:pStyle w:val="3"/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提供“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塑粉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”检测报告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，塑粉应符合HG/T2006-2022《热固性和热塑性粉末涂料》、GB18581-2020《木器涂料中有害物质限量》、HG/T3950-2007《抗菌涂料》检测标准。铅笔硬度≥H；耐碱性168h无异常、耐酸性240h无异常、耐湿性500h无异常；总铅含量≤90mg/kg；抗细菌性能【金黄色葡萄球菌、大肠埃希氏菌（大肠杆菌）、变化考克氏菌（变异库克菌）】＞99.9%。抗霉菌性能：长霉等级-黑曲霉、长霉等级-黄曲霉，0级。</w:t>
            </w:r>
          </w:p>
          <w:p w14:paraId="3060F72D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★</w:t>
            </w:r>
            <w:r>
              <w:rPr>
                <w:rFonts w:hint="default"/>
                <w:lang w:val="en-US" w:eastAsia="zh-CN"/>
              </w:rPr>
              <w:t>提供“</w:t>
            </w:r>
            <w:r>
              <w:rPr>
                <w:rFonts w:hint="eastAsia"/>
                <w:lang w:val="en-US" w:eastAsia="zh-CN"/>
              </w:rPr>
              <w:t>脚套</w:t>
            </w:r>
            <w:r>
              <w:rPr>
                <w:rFonts w:hint="default"/>
                <w:lang w:val="en-US" w:eastAsia="zh-CN"/>
              </w:rPr>
              <w:t>”检测报告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脚套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应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符合GB/T32487-2016《塑料家具通用技术条件》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GB/T12000-2017《塑料暴露于湿热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水喷雾和盐雾中影响的测定》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GB/T11547-2008《塑料耐液体化学试剂性能的测定》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GB/T24128-2018《塑料塑料防霉剂的防霉效果评估》等检测标准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。耐老化性能室内用500h，冲击强度保持率≥62%，塑料件硬度，邵氏D硬度≥HD70；防霉性能：黑曲霉、黄曲霉、帚状曲霉的防霉等级为0级。</w:t>
            </w:r>
          </w:p>
          <w:p w14:paraId="4D25E431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3、★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提供“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钢管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”检测报告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，钢管应符合GB/T3325-2024（金属家具通用技术备件》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QB/T4371-2012《家具抗菌性能的评价》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GB/T1741-2020《漆膜耐霉菌性测定法》等检测标准。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耐霉菌性：黑曲霉、黄曲霉、串珠镰刀菌的耐霉菌性等级为0级；抗菌性能：金黄色葡萄球菌抑菌率≥99%，大肠杆菌（大肠埃希氏菌）≥99%；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环境属性中的产品有害物质【铅Pb、镉Cd、铬Cr、汞Hg、锑Sb、硒Se、砷AS】未检出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，钡Ba≤50。</w:t>
            </w:r>
          </w:p>
        </w:tc>
      </w:tr>
      <w:bookmarkEnd w:id="0"/>
      <w:tr w14:paraId="4FA6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DE98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4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6B08"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讲台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648F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6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58E7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E93CE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1000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5D3F6">
            <w:pPr>
              <w:jc w:val="center"/>
              <w:rPr>
                <w:rFonts w:hint="default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6000</w:t>
            </w:r>
          </w:p>
        </w:tc>
        <w:tc>
          <w:tcPr>
            <w:tcW w:w="6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66847">
            <w:p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一、规格（mm）：（长）1200×（宽）600×（高）950（允许正负偏离 10mm）。二、材质要求1、面材：采用进口品牌三聚氰胺饰面板，需符合GB/T15102-2006浸渍胶膜纸饰面人造板标准要求。其中甲醛释放量≤0.05mg/m³</w:t>
            </w:r>
          </w:p>
          <w:p w14:paraId="4C60867D">
            <w:p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2、基材：采用优质环保刨花板，甲醛释放量≤0.124mg/m³。达到国家环保标准，并经过防虫、防腐等化学处理。</w:t>
            </w:r>
          </w:p>
          <w:p w14:paraId="444339CE">
            <w:p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3、封边：采用与板材同色全自动封边机封边，厚度≥2.0mm，无缝封边，色泽均匀一致，确保在本地区气温、湿度的变化中不受影响，能长期不变形、不开裂，保证板材封边质量，延长产品使用寿命。</w:t>
            </w:r>
          </w:p>
          <w:p w14:paraId="5A584FD4">
            <w:pP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4、胶水、采用国内优质品牌热溶胶，品质优异，证贴合及封边牢固，经得起寒冷和高温气候考验，胶水中德有害物质的含量远底于国家标准。</w:t>
            </w:r>
          </w:p>
          <w:p w14:paraId="389ED80A">
            <w:pPr>
              <w:adjustRightInd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4667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4506">
            <w:pPr>
              <w:spacing w:line="240" w:lineRule="auto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（二）商务需求</w:t>
            </w:r>
          </w:p>
        </w:tc>
      </w:tr>
      <w:tr w14:paraId="0024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7D51">
            <w:pPr>
              <w:spacing w:line="240" w:lineRule="auto"/>
              <w:ind w:left="210" w:leftChars="0" w:hanging="210" w:hanging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★合同签定</w:t>
            </w:r>
          </w:p>
        </w:tc>
        <w:tc>
          <w:tcPr>
            <w:tcW w:w="9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9C9AE">
            <w:pPr>
              <w:spacing w:line="240" w:lineRule="auto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中标公告发出后，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个工作日内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签订合同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8B8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dxa"/>
            <w:gridSpan w:val="2"/>
            <w:vAlign w:val="center"/>
          </w:tcPr>
          <w:p w14:paraId="34E94D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交付的时间和地点</w:t>
            </w:r>
          </w:p>
        </w:tc>
        <w:tc>
          <w:tcPr>
            <w:tcW w:w="9622" w:type="dxa"/>
            <w:gridSpan w:val="5"/>
            <w:vAlign w:val="top"/>
          </w:tcPr>
          <w:p w14:paraId="2F98EBA3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交付使用期：自签订合同之日起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日内全部安装调试合格完毕并交付使用。</w:t>
            </w:r>
          </w:p>
          <w:p w14:paraId="3F1801CC">
            <w:pPr>
              <w:bidi w:val="0"/>
            </w:pPr>
            <w:r>
              <w:rPr>
                <w:rFonts w:hint="eastAsia"/>
              </w:rPr>
              <w:t>（1）中标方逾期交付货物的，应按逾期交付价值总额每日千分之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的标准向采购方支付违约金，由采购方从待付货款中直接扣除。</w:t>
            </w:r>
          </w:p>
          <w:p w14:paraId="7621CBF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（2）中标方逾期时间超过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个工作日仍不能交付的，视为不能履约，采购方可解除采购合同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并赔偿采购方损失</w:t>
            </w:r>
            <w:r>
              <w:rPr>
                <w:rFonts w:hint="eastAsia"/>
              </w:rPr>
              <w:t>。</w:t>
            </w:r>
          </w:p>
          <w:p w14:paraId="1D39B1E2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交付地点：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桂林市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采购人指定地点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桂林中学解西校区和临桂校区）</w:t>
            </w:r>
          </w:p>
          <w:p w14:paraId="4C1B37BC">
            <w:pPr>
              <w:pStyle w:val="2"/>
              <w:ind w:left="0" w:leftChars="0" w:firstLine="0" w:firstLineChars="0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3、交货时需免费帮采购人搬运替换的旧家具到指定地点。</w:t>
            </w:r>
          </w:p>
        </w:tc>
      </w:tr>
      <w:tr w14:paraId="0F98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dxa"/>
            <w:gridSpan w:val="2"/>
            <w:vAlign w:val="center"/>
          </w:tcPr>
          <w:p w14:paraId="604725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付款条件</w:t>
            </w:r>
          </w:p>
        </w:tc>
        <w:tc>
          <w:tcPr>
            <w:tcW w:w="9622" w:type="dxa"/>
            <w:gridSpan w:val="5"/>
            <w:vAlign w:val="top"/>
          </w:tcPr>
          <w:p w14:paraId="00E21945">
            <w:pPr>
              <w:spacing w:line="240" w:lineRule="auto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1、本项目全部货物安装调试完毕验收合格，</w:t>
            </w:r>
            <w:r>
              <w:rPr>
                <w:rFonts w:hint="eastAsia"/>
                <w:sz w:val="21"/>
                <w:szCs w:val="21"/>
              </w:rPr>
              <w:t>采购人收到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全额</w:t>
            </w:r>
            <w:r>
              <w:rPr>
                <w:rFonts w:hint="eastAsia"/>
                <w:sz w:val="21"/>
                <w:szCs w:val="21"/>
              </w:rPr>
              <w:t>发票后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一次性支付合同总价的100%货款。</w:t>
            </w:r>
          </w:p>
        </w:tc>
      </w:tr>
      <w:tr w14:paraId="031B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dxa"/>
            <w:gridSpan w:val="2"/>
            <w:vAlign w:val="center"/>
          </w:tcPr>
          <w:p w14:paraId="4456E70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包装和运输</w:t>
            </w:r>
          </w:p>
        </w:tc>
        <w:tc>
          <w:tcPr>
            <w:tcW w:w="9622" w:type="dxa"/>
            <w:gridSpan w:val="5"/>
            <w:vAlign w:val="top"/>
          </w:tcPr>
          <w:p w14:paraId="09C9A98B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所提供的货物产品必须是未使用过的全新产品。货物包装完整，免费送货上门，按现场条件全程免费安装调试合格，直至最终验收前产生的所有费用由中标供应商承担。</w:t>
            </w:r>
          </w:p>
          <w:p w14:paraId="79725024">
            <w:pPr>
              <w:spacing w:line="240" w:lineRule="auto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送达采购人指定地点的货物若产品质量存在缺陷，免费更换新产品。</w:t>
            </w:r>
          </w:p>
        </w:tc>
      </w:tr>
      <w:tr w14:paraId="661F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dxa"/>
            <w:gridSpan w:val="2"/>
            <w:vAlign w:val="center"/>
          </w:tcPr>
          <w:p w14:paraId="4CF9E1F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售后服务</w:t>
            </w:r>
          </w:p>
        </w:tc>
        <w:tc>
          <w:tcPr>
            <w:tcW w:w="9622" w:type="dxa"/>
            <w:gridSpan w:val="5"/>
            <w:vAlign w:val="top"/>
          </w:tcPr>
          <w:p w14:paraId="5D7362D9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货物验收合格后，按国家有关产品“三包”规定执行“三包”,提供不少于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年的免费质保期，提供终身维护服务。 </w:t>
            </w:r>
          </w:p>
          <w:p w14:paraId="513416FC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质保期内提供免费服务（含部件、人力、上门等），保修期自双方代表在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安装调试后的验收证明文件上签字之日起计算，质保期满后，乙方仍应提供维修服务，按维修件成本收费。 </w:t>
            </w:r>
          </w:p>
          <w:p w14:paraId="03679E70">
            <w:pPr>
              <w:spacing w:line="240" w:lineRule="auto"/>
              <w:ind w:left="210" w:hanging="210" w:hanging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免费质保期内，接到采购人故障报修后，30分钟内响应，2小时内到位。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12小时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内不能解决问题的产品应在24小时内提供等同档次产品给采购人使用。</w:t>
            </w:r>
          </w:p>
          <w:p w14:paraId="45C4849E">
            <w:pPr>
              <w:spacing w:line="240" w:lineRule="auto"/>
              <w:ind w:left="210" w:leftChars="0" w:hanging="210" w:hangingChars="1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、考虑到售后服务方便，非桂林市注册供应商须在桂林市设立经厂家授权的售后服务点（以营业执照注册地为准），并提供授权证书。</w:t>
            </w:r>
          </w:p>
        </w:tc>
      </w:tr>
      <w:tr w14:paraId="7FDC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dxa"/>
            <w:gridSpan w:val="2"/>
            <w:vAlign w:val="center"/>
          </w:tcPr>
          <w:p w14:paraId="2C33A925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★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其他要求</w:t>
            </w:r>
          </w:p>
        </w:tc>
        <w:tc>
          <w:tcPr>
            <w:tcW w:w="9622" w:type="dxa"/>
            <w:gridSpan w:val="5"/>
            <w:vAlign w:val="top"/>
          </w:tcPr>
          <w:p w14:paraId="547FD930">
            <w:pPr>
              <w:bidi w:val="0"/>
              <w:rPr>
                <w:b w:val="0"/>
                <w:bCs w:val="0"/>
                <w:color w:val="auto"/>
                <w:highlight w:val="none"/>
              </w:rPr>
            </w:pPr>
            <w:r>
              <w:rPr>
                <w:b w:val="0"/>
                <w:bCs w:val="0"/>
                <w:color w:val="auto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</w:rPr>
              <w:t>、正品保障：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中标方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保证向采购人提供的货物是全新、完整、未使用过的。具备正规合法经销渠道，符合国家各项有关质量标准的合格产品。</w:t>
            </w:r>
          </w:p>
          <w:p w14:paraId="5328E7AB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</w:rPr>
              <w:t>2、报价时须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月1日以来至本项目招标公告日止，由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  <w:highlight w:val="none"/>
              </w:rPr>
              <w:t>国家相关质量检测部门出具的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检测（检验）报告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</w:rPr>
              <w:t>复印件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</w:rPr>
              <w:t>，以附件上传，不上传者或不按要求提供的视为未实质性响应，作无效报价处理。</w:t>
            </w:r>
          </w:p>
          <w:p w14:paraId="22395904">
            <w:pPr>
              <w:bidi w:val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（1）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提供“橡胶木”检测报告，检测内容至少包含：①树种鉴别为橡胶木，②木材含水率≤10%。</w:t>
            </w:r>
          </w:p>
          <w:p w14:paraId="302F39CF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（2）、提供“多层板”检测报告，检测内容至少包含：①五氯苯酚含量≤0.05mg/kg，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②外观质量（优等品II类）符合要求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，③理化性能-胶合强度≥0.9MPa，合格试件数与有效试件总数之比≥100%；理化性能-浸渍剥离：每个试件同一胶层每边剥离长度累计不超过25mm，6块试件的胶层均无剥离现象；④理化性能-静曲强度（顺纹）≥30MPa，符合指标值规定的试件数占有效试件数≥100%；静曲强度（横纹）≥30MPa，符合指标值规定的试件数占有效试件数≥100%；⑤理化性能-弹性模量（顺纹）≥5000MPa，符合指标值规定的试件数占有效试件数≥100%；弹性模量（横纹）≥4000MPa，符合指标值规定的试件数占有效试件数≥100%；⑥甲醛释放量（气候箱法）≤0.025mg/m³；⑦品质属性-挥发性有机化合物释放浓度(7d)：苯≤0.2μg/m³、甲苯≤0.4μg/m³、二甲苯≤0.2μg/m³、总挥发性有机化合物(TVOC)≤0.4μg/m³；⑧防霉性能-防霉质量分级（黑曲霉、黄曲霉、树脂子囊菌）为0级；⑨防静电性能≥6.0x10^11Ω；⑩抗冲击性能：落球高度1000mm、压痕直径≥1.5mm、板面无破损。</w:t>
            </w:r>
          </w:p>
          <w:p w14:paraId="124F12E7">
            <w:pPr>
              <w:bidi w:val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（3）、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提供“胶粘剂”检测报告，检测内容至少包含：①游离甲醛≤0.1g/kg，②苯≤0.01g/kg，③甲苯+二甲苯≤0.05g/kg，④总挥发性有机物≤70g/L。</w:t>
            </w:r>
          </w:p>
          <w:p w14:paraId="0799D39E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（4）、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提供“油漆（面漆）”检测报告，检测内容至少包含：①VOC含量≤80g/L，②总铅（Pb）含量未检出，③可溶性重金属含量（镉、铬、汞）未检出。</w:t>
            </w:r>
          </w:p>
          <w:p w14:paraId="11C1162E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（5）、提供“油漆（底漆）”检测报告，检测内容至少包含：①VOC含量≤80g/L，②总铅（Pb）含量未检出，③可溶性重金属含量（镉、铬、汞）未检出。</w:t>
            </w:r>
          </w:p>
          <w:p w14:paraId="7DE31653">
            <w:pPr>
              <w:pStyle w:val="3"/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（6）、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提供“塑粉”检测报告，检测内容至少包含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铅笔硬度≥H；耐碱性168h无异常、耐酸性240h无异常、耐湿性500h无异；总铅含量≤90mg/kg；抗细菌性能【金黄色葡萄球菌、大肠埃希氏菌（大肠杆菌）、变化考克氏菌（变异库克菌）】＞99.9%。抗霉菌性能：长霉等级-黑曲霉、长霉等级-黄曲霉，0级。</w:t>
            </w:r>
          </w:p>
          <w:p w14:paraId="165B24BE">
            <w:pP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（7）、提供“脚套”检测报告，检测内容至少包含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耐老化性能室内用500h，冲击强度保持率≥62%，塑料件硬度，邵氏D硬度≥HD70；防霉性能：黑曲霉、黄曲霉、帚状曲霉的防霉等级为0级。</w:t>
            </w:r>
          </w:p>
          <w:p w14:paraId="241AB7D8"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（8）、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提供“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钢管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”检测报告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，钢管应符合GB/T3325-2024（金属家具通用技术备件》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QB/T4371-2012《家具抗菌性能的评价》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GB/T1741-2020《漆膜耐霉菌性测定法》等检测标准。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耐霉菌性：黑曲霉、黄曲霉、串珠镰刀菌的耐霉菌性等级为0级；抗菌性能：金黄色葡萄球菌抑菌率≥99%，大肠杆菌（大肠埃希氏菌）≥99%；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环境属性中的产品有害物质【铅Pb、镉Cd、铬Cr、汞Hg、锑Sb、硒Se、砷AS】未检出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，钡Ba≤50。</w:t>
            </w:r>
          </w:p>
          <w:p w14:paraId="52F31DA1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3、</w:t>
            </w:r>
            <w:r>
              <w:rPr>
                <w:rFonts w:hint="eastAsia"/>
                <w:b w:val="0"/>
                <w:bCs w:val="0"/>
                <w:color w:val="auto"/>
              </w:rPr>
              <w:t>签订合同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时</w:t>
            </w:r>
            <w:r>
              <w:rPr>
                <w:rFonts w:hint="eastAsia"/>
                <w:b w:val="0"/>
                <w:bCs w:val="0"/>
                <w:color w:val="auto"/>
              </w:rPr>
              <w:t>需提供以上报告原件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并提供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所采购的货物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完整样品各一套，</w:t>
            </w:r>
            <w:r>
              <w:rPr>
                <w:rFonts w:hint="eastAsia"/>
                <w:b w:val="0"/>
                <w:bCs w:val="0"/>
                <w:color w:val="auto"/>
              </w:rPr>
              <w:t>不按要求提供的视为未实质性响应，对不能满足参数要求虚假响应，业主可作为废标处理，并按规定对投标公司予以处罚和进行网上通报处理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若提供虚假材料，采购人有权追究其法律责任，并向监督部门举报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</w:rPr>
              <w:t>。</w:t>
            </w:r>
          </w:p>
        </w:tc>
      </w:tr>
      <w:tr w14:paraId="5458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dxa"/>
            <w:gridSpan w:val="2"/>
            <w:vAlign w:val="center"/>
          </w:tcPr>
          <w:p w14:paraId="36059A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履约验收要求</w:t>
            </w:r>
          </w:p>
        </w:tc>
        <w:tc>
          <w:tcPr>
            <w:tcW w:w="9622" w:type="dxa"/>
            <w:gridSpan w:val="5"/>
            <w:vAlign w:val="top"/>
          </w:tcPr>
          <w:p w14:paraId="33473F6C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1、验收要求：由采购人、中标人同现场验收，并出具验收文书。采购人按照本项目合同及谈判文件、成交供应商响应文件承诺进行验收（或委托具有相应资质的第三方机构进行验收，费用由成交供应商承担，竞标报价时应考虑报价风险）。如货物验收不合格，由成交供应商按采购人（或第三方验收机构）要求整改，成交供应商不按要求整改或拒不整改的，采购人有权终止合同，给采购单位造成的损失等费用由成交供应商承担。如不符合采购文件项目需要及技术需求以及提供虚假承诺的，按相关规定做违约处理，采购人依据相关法律规定追究成交供应商的责任，由此带来的一切损失由成交供应商自行承担。</w:t>
            </w:r>
          </w:p>
          <w:p w14:paraId="05853CC8">
            <w:pPr>
              <w:bidi w:val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lang w:val="en-US" w:eastAsia="zh-CN"/>
              </w:rPr>
              <w:t>2、本次采购货物在完成所有安装调试并经采购人验收前，商品的丢失、损害或毁坏等风险由中标供应商承担。中标供应商组织安装调试期间应做到安全安装调试，不损坏采购人的设备设施，否则，应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承担由于自身安全措施不力所造成的事故责任和造成的损失。</w:t>
            </w:r>
          </w:p>
        </w:tc>
      </w:tr>
    </w:tbl>
    <w:p w14:paraId="4DFF4028">
      <w:pPr>
        <w:bidi w:val="0"/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DcyNjVkOTM5NjgzMjkzODc5NDJmMDM0NzZiM2EifQ=="/>
  </w:docVars>
  <w:rsids>
    <w:rsidRoot w:val="00000000"/>
    <w:rsid w:val="01F56303"/>
    <w:rsid w:val="034E350D"/>
    <w:rsid w:val="05CD222A"/>
    <w:rsid w:val="06F33486"/>
    <w:rsid w:val="08E04023"/>
    <w:rsid w:val="09BC05EC"/>
    <w:rsid w:val="0B6E3B68"/>
    <w:rsid w:val="0B867103"/>
    <w:rsid w:val="0D8D1400"/>
    <w:rsid w:val="0E1C6AE6"/>
    <w:rsid w:val="0E2F7690"/>
    <w:rsid w:val="0F81030D"/>
    <w:rsid w:val="0FCA0F9C"/>
    <w:rsid w:val="12C21A67"/>
    <w:rsid w:val="139101B9"/>
    <w:rsid w:val="13A44442"/>
    <w:rsid w:val="15192C7E"/>
    <w:rsid w:val="15C03212"/>
    <w:rsid w:val="1609105D"/>
    <w:rsid w:val="197B19BD"/>
    <w:rsid w:val="1B132AFA"/>
    <w:rsid w:val="1CB82E95"/>
    <w:rsid w:val="20F35A9E"/>
    <w:rsid w:val="22744DFE"/>
    <w:rsid w:val="227710FC"/>
    <w:rsid w:val="24625CA0"/>
    <w:rsid w:val="2835183D"/>
    <w:rsid w:val="2A297180"/>
    <w:rsid w:val="2B0E506C"/>
    <w:rsid w:val="2BB1742D"/>
    <w:rsid w:val="2E62077D"/>
    <w:rsid w:val="2ED27DE6"/>
    <w:rsid w:val="35020CF9"/>
    <w:rsid w:val="35DA3A24"/>
    <w:rsid w:val="3B8C322E"/>
    <w:rsid w:val="3DD1570D"/>
    <w:rsid w:val="3DE90CA8"/>
    <w:rsid w:val="3F5B7984"/>
    <w:rsid w:val="40FF2436"/>
    <w:rsid w:val="412E324E"/>
    <w:rsid w:val="430C53D8"/>
    <w:rsid w:val="441445A5"/>
    <w:rsid w:val="442E5667"/>
    <w:rsid w:val="46804174"/>
    <w:rsid w:val="497F0713"/>
    <w:rsid w:val="4D436C8F"/>
    <w:rsid w:val="4D655743"/>
    <w:rsid w:val="527252B8"/>
    <w:rsid w:val="53EF6FCD"/>
    <w:rsid w:val="56044479"/>
    <w:rsid w:val="56550237"/>
    <w:rsid w:val="57AD61FE"/>
    <w:rsid w:val="5992410D"/>
    <w:rsid w:val="59C86D1B"/>
    <w:rsid w:val="5B4377F2"/>
    <w:rsid w:val="611D2893"/>
    <w:rsid w:val="68285806"/>
    <w:rsid w:val="7185070D"/>
    <w:rsid w:val="733A72D5"/>
    <w:rsid w:val="762C55FB"/>
    <w:rsid w:val="76E91EE8"/>
    <w:rsid w:val="782F4F2E"/>
    <w:rsid w:val="78E51A91"/>
    <w:rsid w:val="7ABE4C8F"/>
    <w:rsid w:val="7B9B4DCE"/>
    <w:rsid w:val="7CA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19"/>
      <w:szCs w:val="19"/>
      <w:lang w:val="zh-CN" w:eastAsia="zh-CN" w:bidi="zh-CN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5116</Words>
  <Characters>6036</Characters>
  <Lines>0</Lines>
  <Paragraphs>0</Paragraphs>
  <TotalTime>6</TotalTime>
  <ScaleCrop>false</ScaleCrop>
  <LinksUpToDate>false</LinksUpToDate>
  <CharactersWithSpaces>6163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2024-07-16T07:24:00Z</dcterms:created>
  <dc:creator>Administrator</dc:creator>
  <cp:lastModifiedBy>张伟</cp:lastModifiedBy>
  <dcterms:modified xsi:type="dcterms:W3CDTF">2026-07-09T06:14:13Z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9F122F9413E24FCF9B1A54C07C240C7B_13</vt:lpwstr>
  </property>
  <property fmtid="{D5CDD505-2E9C-101B-9397-08002B2CF9AE}" pid="4" name="KSOTemplateDocerSaveRecord">
    <vt:lpwstr>eyJoZGlkIjoiZDA0MWE3OWFlNWE2ZTRhZjJkMGU3NzJmNTY1YjIzMjUiLCJ1c2VySWQiOiI1NTAyODUxMTQifQ==</vt:lpwstr>
  </property>
</Properties>
</file>